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8"/>
        <w:widowControl/>
      </w:pPr>
      <w:r>
        <w:rPr>
          <w:rFonts w:ascii="Times New Roman"/>
        </w:rPr>
        <w:t>43ICS</w:t>
      </w:r>
      <w:r>
        <w:rPr>
          <w:rFonts w:hint="eastAsia" w:ascii="MS Mincho" w:hAnsi="MS Mincho" w:eastAsia="MS Mincho" w:cs="MS Mincho"/>
        </w:rPr>
        <w:t>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r>
        <w:rPr>
          <w:rFonts w:hint="eastAsia"/>
        </w:rPr>
        <w:t>点击此处添加ICS号</w:t>
      </w:r>
      <w:r>
        <w:fldChar w:fldCharType="end"/>
      </w:r>
      <w:bookmarkEnd w:id="0"/>
    </w:p>
    <w:p>
      <w:pPr>
        <w:pStyle w:val="68"/>
        <w:widowControl/>
      </w:pPr>
      <w:bookmarkStart w:id="1" w:name="WXFLH"/>
      <w:r>
        <w:fldChar w:fldCharType="begin">
          <w:ffData>
            <w:name w:val="WXFLH"/>
            <w:enabled/>
            <w:calcOnExit w:val="0"/>
            <w:helpText w:type="text" w:val="请输入中国标准文献分类号："/>
            <w:textInput>
              <w:default w:val="点击此处添加中国标准文献分类号"/>
            </w:textInput>
          </w:ffData>
        </w:fldChar>
      </w:r>
      <w:r>
        <w:instrText xml:space="preserve"> FORMTEXT </w:instrText>
      </w:r>
      <w:r>
        <w:fldChar w:fldCharType="separate"/>
      </w:r>
      <w:r>
        <w:rPr>
          <w:rFonts w:hint="eastAsia"/>
        </w:rPr>
        <w:t>点击此处添加中国标准文献分类号</w:t>
      </w:r>
      <w:r>
        <w:fldChar w:fldCharType="end"/>
      </w:r>
      <w:bookmarkEnd w:id="1"/>
    </w:p>
    <w:tbl>
      <w:tblPr>
        <w:tblStyle w:val="37"/>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8522" w:type="dxa"/>
            <w:tcBorders>
              <w:top w:val="nil"/>
              <w:left w:val="nil"/>
              <w:bottom w:val="nil"/>
              <w:right w:val="nil"/>
            </w:tcBorders>
            <w:shd w:val="clear" w:color="auto" w:fill="auto"/>
          </w:tcPr>
          <w:p>
            <w:pPr>
              <w:pStyle w:val="68"/>
              <w:widowControl/>
            </w:pPr>
            <w: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0" r="9525" b="11430"/>
                      <wp:wrapNone/>
                      <wp:docPr id="20" name="BAH"/>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ffectLst/>
                            </wps:spPr>
                            <wps:txbx>
                              <w:txbxContent>
                                <w:p>
                                  <w:pPr>
                                    <w:jc w:val="center"/>
                                  </w:pPr>
                                </w:p>
                                <w:p/>
                                <w:p/>
                                <w:p/>
                                <w:p/>
                                <w:p/>
                                <w:p/>
                                <w:p/>
                                <w:p/>
                                <w:p/>
                                <w:p/>
                                <w:p/>
                                <w:p/>
                                <w:p/>
                                <w:p/>
                                <w:p/>
                                <w:p/>
                                <w:p/>
                                <w:p/>
                                <w:p/>
                                <w:p/>
                                <w:p/>
                                <w:p/>
                                <w:p/>
                                <w:p/>
                                <w:p/>
                                <w:p/>
                                <w:p/>
                                <w:p/>
                                <w:p/>
                                <w:p/>
                              </w:txbxContent>
                            </wps:txbx>
                            <wps:bodyPr rot="0" vert="horz" wrap="square" lIns="91440" tIns="45720" rIns="91440" bIns="45720" anchor="t" anchorCtr="0" upright="1">
                              <a:noAutofit/>
                            </wps:bodyPr>
                          </wps:wsp>
                        </a:graphicData>
                      </a:graphic>
                    </wp:anchor>
                  </w:drawing>
                </mc:Choice>
                <mc:Fallback>
                  <w:pict>
                    <v:rect id="BAH"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MiuL+zVAAAABwEAAA8AAAAAAAAAAQAgAAAAIgAAAGRycy9kb3ducmV2LnhtbFBL&#10;AQIUABQAAAAIAIdO4kAWWLF3+QEAAOwDAAAOAAAAAAAAAAEAIAAAACQBAABkcnMvZTJvRG9jLnht&#10;bFBLBQYAAAAABgAGAFkBAACPBQAAAAA=&#10;">
                      <v:fill on="t" focussize="0,0"/>
                      <v:stroke on="f"/>
                      <v:imagedata o:title=""/>
                      <o:lock v:ext="edit" aspectratio="f"/>
                      <v:textbox>
                        <w:txbxContent>
                          <w:p>
                            <w:pPr>
                              <w:jc w:val="center"/>
                            </w:pPr>
                          </w:p>
                          <w:p/>
                          <w:p/>
                          <w:p/>
                          <w:p/>
                          <w:p/>
                          <w:p/>
                          <w:p/>
                          <w:p/>
                          <w:p/>
                          <w:p/>
                          <w:p/>
                          <w:p/>
                          <w:p/>
                          <w:p/>
                          <w:p/>
                          <w:p/>
                          <w:p/>
                          <w:p/>
                          <w:p/>
                          <w:p/>
                          <w:p/>
                          <w:p/>
                          <w:p/>
                          <w:p/>
                          <w:p/>
                          <w:p/>
                          <w:p/>
                          <w:p/>
                          <w:p/>
                          <w:p/>
                        </w:txbxContent>
                      </v:textbox>
                    </v:rect>
                  </w:pict>
                </mc:Fallback>
              </mc:AlternateContent>
            </w: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pPr>
        <w:pStyle w:val="65"/>
      </w:pPr>
      <w:r>
        <w:t>DB</w:t>
      </w:r>
      <w:bookmarkStart w:id="3" w:name="c3"/>
      <w:r>
        <w:fldChar w:fldCharType="begin">
          <w:ffData>
            <w:name w:val="c3"/>
            <w:enabled/>
            <w:calcOnExit w:val="0"/>
            <w:textInput>
              <w:maxLength w:val="2"/>
            </w:textInput>
          </w:ffData>
        </w:fldChar>
      </w:r>
      <w:r>
        <w:instrText xml:space="preserve"> FORMTEXT </w:instrText>
      </w:r>
      <w:r>
        <w:fldChar w:fldCharType="separate"/>
      </w:r>
      <w:r>
        <w:t>  </w:t>
      </w:r>
      <w:r>
        <w:fldChar w:fldCharType="end"/>
      </w:r>
      <w:bookmarkEnd w:id="3"/>
    </w:p>
    <w:p>
      <w:pPr>
        <w:pStyle w:val="66"/>
      </w:pPr>
      <w:bookmarkStart w:id="4" w:name="c4"/>
      <w:r>
        <w:rPr>
          <w:sz w:val="52"/>
          <w:szCs w:val="52"/>
        </w:rPr>
        <w:fldChar w:fldCharType="begin">
          <w:ffData>
            <w:name w:val="c4"/>
            <w:enabled/>
            <w:calcOnExit w:val="0"/>
            <w:textInput/>
          </w:ffData>
        </w:fldChar>
      </w:r>
      <w:r>
        <w:rPr>
          <w:sz w:val="52"/>
          <w:szCs w:val="52"/>
        </w:rPr>
        <w:instrText xml:space="preserve"> FORMTEXT </w:instrText>
      </w:r>
      <w:r>
        <w:rPr>
          <w:sz w:val="52"/>
          <w:szCs w:val="52"/>
        </w:rPr>
        <w:fldChar w:fldCharType="separate"/>
      </w:r>
      <w:r>
        <w:rPr>
          <w:sz w:val="52"/>
          <w:szCs w:val="52"/>
        </w:rPr>
        <w:t>湖南省</w:t>
      </w:r>
      <w:r>
        <w:rPr>
          <w:sz w:val="52"/>
          <w:szCs w:val="52"/>
        </w:rPr>
        <w:fldChar w:fldCharType="end"/>
      </w:r>
      <w:bookmarkEnd w:id="4"/>
      <w:r>
        <w:rPr>
          <w:rFonts w:hint="eastAsia"/>
          <w:sz w:val="52"/>
          <w:szCs w:val="52"/>
        </w:rPr>
        <w:t>地方标准</w:t>
      </w:r>
    </w:p>
    <w:p>
      <w:pPr>
        <w:pStyle w:val="59"/>
        <w:rPr>
          <w:rFonts w:hAnsi="黑体"/>
        </w:rPr>
      </w:pPr>
      <w:r>
        <w:rPr>
          <w:rFonts w:ascii="Times New Roman"/>
        </w:rPr>
        <w:t xml:space="preserve">DB </w:t>
      </w:r>
      <w:bookmarkStart w:id="5" w:name="StdNo0"/>
      <w:r>
        <w:rPr>
          <w:rFonts w:hAnsi="黑体"/>
        </w:rPr>
        <w:fldChar w:fldCharType="begin">
          <w:ffData>
            <w:name w:val="StdNo0"/>
            <w:enabled/>
            <w:calcOnExit w:val="0"/>
            <w:textInput>
              <w:default w:val="XX"/>
              <w:maxLength w:val="2"/>
            </w:textInput>
          </w:ffData>
        </w:fldChar>
      </w:r>
      <w:r>
        <w:rPr>
          <w:rFonts w:hAnsi="黑体"/>
        </w:rPr>
        <w:instrText xml:space="preserve"> FORMTEXT </w:instrText>
      </w:r>
      <w:r>
        <w:rPr>
          <w:rFonts w:hAnsi="黑体"/>
        </w:rPr>
        <w:fldChar w:fldCharType="separate"/>
      </w:r>
      <w:r>
        <w:rPr>
          <w:rFonts w:hAnsi="黑体"/>
        </w:rPr>
        <w:t>  </w:t>
      </w:r>
      <w:r>
        <w:rPr>
          <w:rFonts w:hAnsi="黑体"/>
        </w:rPr>
        <w:fldChar w:fldCharType="end"/>
      </w:r>
      <w:bookmarkEnd w:id="5"/>
      <w:r>
        <w:rPr>
          <w:rFonts w:hAnsi="黑体"/>
        </w:rPr>
        <w:t xml:space="preserve">/ </w:t>
      </w:r>
      <w:bookmarkStart w:id="6" w:name="StdNo1"/>
      <w:r>
        <w:rPr>
          <w:rFonts w:hAnsi="黑体"/>
        </w:rPr>
        <w:fldChar w:fldCharType="begin">
          <w:ffData>
            <w:name w:val="StdNo1"/>
            <w:enabled/>
            <w:calcOnExit w:val="0"/>
            <w:textInput>
              <w:default w:val="XXXXX"/>
            </w:textInput>
          </w:ffData>
        </w:fldChar>
      </w:r>
      <w:r>
        <w:rPr>
          <w:rFonts w:hAnsi="黑体"/>
        </w:rPr>
        <w:instrText xml:space="preserve"> FORMTEXT </w:instrText>
      </w:r>
      <w:r>
        <w:rPr>
          <w:rFonts w:hAnsi="黑体"/>
        </w:rPr>
        <w:fldChar w:fldCharType="separate"/>
      </w:r>
      <w:r>
        <w:rPr>
          <w:rFonts w:hAnsi="黑体"/>
        </w:rPr>
        <w:t>XXXXX</w:t>
      </w:r>
      <w:r>
        <w:rPr>
          <w:rFonts w:hAnsi="黑体"/>
        </w:rPr>
        <w:fldChar w:fldCharType="end"/>
      </w:r>
      <w:bookmarkEnd w:id="6"/>
      <w:r>
        <w:rPr>
          <w:rFonts w:hAnsi="黑体"/>
        </w:rPr>
        <w:t>—</w:t>
      </w:r>
      <w:bookmarkStart w:id="7" w:name="StdNo2"/>
      <w:r>
        <w:rPr>
          <w:rFonts w:hAnsi="黑体"/>
        </w:rPr>
        <w:fldChar w:fldCharType="begin">
          <w:ffData>
            <w:name w:val="StdNo2"/>
            <w:enabled/>
            <w:calcOnExit w:val="0"/>
            <w:textInput>
              <w:default w:val="XXXX"/>
              <w:maxLength w:val="4"/>
            </w:textInput>
          </w:ffData>
        </w:fldChar>
      </w:r>
      <w:r>
        <w:rPr>
          <w:rFonts w:hAnsi="黑体"/>
        </w:rPr>
        <w:instrText xml:space="preserve"> FORMTEXT </w:instrText>
      </w:r>
      <w:r>
        <w:rPr>
          <w:rFonts w:hAnsi="黑体"/>
        </w:rPr>
        <w:fldChar w:fldCharType="separate"/>
      </w:r>
      <w:r>
        <w:rPr>
          <w:rFonts w:hAnsi="黑体"/>
        </w:rPr>
        <w:t>XXXX</w:t>
      </w:r>
      <w:r>
        <w:rPr>
          <w:rFonts w:hAnsi="黑体"/>
        </w:rPr>
        <w:fldChar w:fldCharType="end"/>
      </w:r>
      <w:bookmarkEnd w:id="7"/>
    </w:p>
    <w:tbl>
      <w:tblPr>
        <w:tblStyle w:val="37"/>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9356" w:type="dxa"/>
            <w:tcBorders>
              <w:top w:val="nil"/>
              <w:left w:val="nil"/>
              <w:bottom w:val="nil"/>
              <w:right w:val="nil"/>
            </w:tcBorders>
            <w:shd w:val="clear" w:color="auto" w:fill="auto"/>
          </w:tcPr>
          <w:p>
            <w:pPr>
              <w:pStyle w:val="61"/>
            </w:pPr>
            <w:bookmarkStart w:id="8" w:name="DT"/>
            <w:r>
              <mc:AlternateContent>
                <mc:Choice Requires="wps">
                  <w:drawing>
                    <wp:anchor distT="0" distB="0" distL="114300" distR="114300" simplePos="0" relativeHeight="251660288"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17" name="DT"/>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ffectLst/>
                            </wps:spPr>
                            <wps:txbx>
                              <w:txbxContent>
                                <w:p>
                                  <w:pPr>
                                    <w:jc w:val="center"/>
                                  </w:pPr>
                                </w:p>
                              </w:txbxContent>
                            </wps:txbx>
                            <wps:bodyPr rot="0" vert="horz" wrap="square" lIns="91440" tIns="45720" rIns="91440" bIns="45720" anchor="t" anchorCtr="0" upright="1">
                              <a:noAutofit/>
                            </wps:bodyPr>
                          </wps:wsp>
                        </a:graphicData>
                      </a:graphic>
                    </wp:anchor>
                  </w:drawing>
                </mc:Choice>
                <mc:Fallback>
                  <w:pict>
                    <v:rect id="DT" o:spid="_x0000_s1026" o:spt="1" style="position:absolute;left:0pt;margin-left:372.8pt;margin-top:2.7pt;height:18pt;width:90pt;z-index:-251656192;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HmDyy9YAAAAIAQAADwAAAAAAAAABACAAAAAiAAAAZHJzL2Rvd25yZXYueG1sUEsB&#10;AhQAFAAAAAgAh07iQM+dgIT3AQAA7AMAAA4AAAAAAAAAAQAgAAAAJQEAAGRycy9lMm9Eb2MueG1s&#10;UEsFBgAAAAAGAAYAWQEAAI4FAAAAAA==&#10;">
                      <v:fill on="t" focussize="0,0"/>
                      <v:stroke on="f"/>
                      <v:imagedata o:title=""/>
                      <o:lock v:ext="edit" aspectratio="f"/>
                      <v:textbox>
                        <w:txbxContent>
                          <w:p>
                            <w:pPr>
                              <w:jc w:val="center"/>
                            </w:pPr>
                          </w:p>
                        </w:txbxContent>
                      </v:textbox>
                    </v:rect>
                  </w:pict>
                </mc:Fallback>
              </mc:AlternateContent>
            </w:r>
            <w:r>
              <w:fldChar w:fldCharType="begin">
                <w:ffData>
                  <w:name w:val="DT"/>
                  <w:enabled/>
                  <w:calcOnExit w:val="0"/>
                  <w:textInput/>
                </w:ffData>
              </w:fldChar>
            </w:r>
            <w:r>
              <w:instrText xml:space="preserve"> FORMTEXT </w:instrText>
            </w:r>
            <w:r>
              <w:fldChar w:fldCharType="separate"/>
            </w:r>
            <w:r>
              <w:t>     </w:t>
            </w:r>
            <w:r>
              <w:fldChar w:fldCharType="end"/>
            </w:r>
            <w:bookmarkEnd w:id="8"/>
          </w:p>
        </w:tc>
      </w:tr>
    </w:tbl>
    <w:p>
      <w:pPr>
        <w:pStyle w:val="59"/>
        <w:rPr>
          <w:rFonts w:hAnsi="黑体"/>
        </w:rPr>
      </w:pPr>
    </w:p>
    <w:p>
      <w:pPr>
        <w:pStyle w:val="59"/>
        <w:rPr>
          <w:rFonts w:hAnsi="黑体"/>
        </w:rPr>
      </w:pPr>
    </w:p>
    <w:p>
      <w:pPr>
        <w:framePr w:w="9639" w:h="6917" w:hRule="exact" w:wrap="around" w:vAnchor="page" w:hAnchor="page" w:x="1080" w:y="6042" w:anchorLock="1"/>
        <w:widowControl/>
        <w:jc w:val="center"/>
        <w:rPr>
          <w:rFonts w:hint="eastAsia" w:ascii="黑体" w:hAnsi="Times New Roman" w:eastAsia="黑体" w:cs="Times New Roman"/>
          <w:kern w:val="0"/>
          <w:sz w:val="52"/>
          <w:szCs w:val="22"/>
          <w:lang w:val="en-US" w:eastAsia="zh-CN" w:bidi="ar-SA"/>
        </w:rPr>
      </w:pPr>
      <w:r>
        <w:rPr>
          <w:rFonts w:hint="eastAsia" w:ascii="黑体" w:hAnsi="Times New Roman" w:eastAsia="黑体" w:cs="Times New Roman"/>
          <w:kern w:val="0"/>
          <w:sz w:val="52"/>
          <w:szCs w:val="22"/>
          <w:lang w:val="en-US" w:eastAsia="zh-CN" w:bidi="ar-SA"/>
        </w:rPr>
        <w:t>居民小区有序充电设备与电网交互技术要求</w:t>
      </w:r>
    </w:p>
    <w:p>
      <w:pPr>
        <w:framePr w:w="9639" w:h="6917" w:hRule="exact" w:wrap="around" w:vAnchor="page" w:hAnchor="page" w:x="1080" w:y="6042" w:anchorLock="1"/>
        <w:widowControl/>
        <w:spacing w:line="360" w:lineRule="exact"/>
        <w:jc w:val="center"/>
        <w:rPr>
          <w:rFonts w:ascii="黑体" w:hAnsi="Times New Roman" w:eastAsia="黑体" w:cs="Times New Roman"/>
          <w:kern w:val="0"/>
          <w:sz w:val="28"/>
          <w:szCs w:val="22"/>
          <w:lang w:val="en-US" w:eastAsia="zh-CN" w:bidi="ar-SA"/>
        </w:rPr>
      </w:pPr>
      <w:r>
        <w:rPr>
          <w:rFonts w:ascii="黑体" w:hAnsi="Times New Roman" w:eastAsia="黑体" w:cs="Times New Roman"/>
          <w:kern w:val="0"/>
          <w:sz w:val="28"/>
          <w:szCs w:val="22"/>
          <w:lang w:val="en-US" w:eastAsia="zh-CN" w:bidi="ar-SA"/>
        </w:rPr>
        <w:t xml:space="preserve">Technical </w:t>
      </w:r>
      <w:r>
        <w:rPr>
          <w:rFonts w:hint="eastAsia" w:ascii="黑体" w:hAnsi="Times New Roman" w:eastAsia="黑体" w:cs="Times New Roman"/>
          <w:kern w:val="0"/>
          <w:sz w:val="28"/>
          <w:szCs w:val="22"/>
          <w:lang w:val="en-US" w:eastAsia="zh-CN" w:bidi="ar-SA"/>
        </w:rPr>
        <w:t>requirements</w:t>
      </w:r>
      <w:r>
        <w:rPr>
          <w:rFonts w:ascii="黑体" w:hAnsi="Times New Roman" w:eastAsia="黑体" w:cs="Times New Roman"/>
          <w:kern w:val="0"/>
          <w:sz w:val="28"/>
          <w:szCs w:val="22"/>
          <w:lang w:val="en-US" w:eastAsia="zh-CN" w:bidi="ar-SA"/>
        </w:rPr>
        <w:t xml:space="preserve"> for </w:t>
      </w:r>
      <w:r>
        <w:rPr>
          <w:rFonts w:hint="eastAsia" w:ascii="黑体" w:hAnsi="Times New Roman" w:eastAsia="黑体" w:cs="Times New Roman"/>
          <w:kern w:val="0"/>
          <w:sz w:val="28"/>
          <w:szCs w:val="22"/>
          <w:lang w:val="en-US" w:eastAsia="zh-CN" w:bidi="ar-SA"/>
        </w:rPr>
        <w:t>interaction</w:t>
      </w:r>
      <w:r>
        <w:rPr>
          <w:rFonts w:ascii="黑体" w:hAnsi="Times New Roman" w:eastAsia="黑体" w:cs="Times New Roman"/>
          <w:kern w:val="0"/>
          <w:sz w:val="28"/>
          <w:szCs w:val="22"/>
          <w:lang w:val="en-US" w:eastAsia="zh-CN" w:bidi="ar-SA"/>
        </w:rPr>
        <w:t xml:space="preserve"> </w:t>
      </w:r>
      <w:r>
        <w:rPr>
          <w:rFonts w:hint="eastAsia" w:ascii="黑体" w:hAnsi="Times New Roman" w:eastAsia="黑体" w:cs="Times New Roman"/>
          <w:kern w:val="0"/>
          <w:sz w:val="28"/>
          <w:szCs w:val="22"/>
          <w:lang w:val="en-US" w:eastAsia="zh-CN" w:bidi="ar-SA"/>
        </w:rPr>
        <w:t>between Orderly</w:t>
      </w:r>
    </w:p>
    <w:p>
      <w:pPr>
        <w:framePr w:w="9639" w:h="6917" w:hRule="exact" w:wrap="around" w:vAnchor="page" w:hAnchor="page" w:x="1080" w:y="6042" w:anchorLock="1"/>
        <w:widowControl/>
        <w:spacing w:line="360" w:lineRule="exact"/>
        <w:jc w:val="center"/>
        <w:rPr>
          <w:rFonts w:ascii="黑体" w:hAnsi="Times New Roman" w:eastAsia="黑体" w:cs="Times New Roman"/>
          <w:kern w:val="0"/>
          <w:sz w:val="28"/>
          <w:szCs w:val="22"/>
          <w:lang w:val="en-US" w:eastAsia="zh-CN" w:bidi="ar-SA"/>
        </w:rPr>
      </w:pPr>
      <w:r>
        <w:rPr>
          <w:rFonts w:hint="eastAsia" w:ascii="黑体" w:hAnsi="Times New Roman" w:eastAsia="黑体" w:cs="Times New Roman"/>
          <w:kern w:val="0"/>
          <w:sz w:val="28"/>
          <w:szCs w:val="22"/>
          <w:lang w:val="en-US" w:eastAsia="zh-CN" w:bidi="ar-SA"/>
        </w:rPr>
        <w:t>charging facilities and power grid in residential areas</w:t>
      </w:r>
    </w:p>
    <w:p>
      <w:pPr>
        <w:pStyle w:val="62"/>
        <w:framePr w:x="1080" w:y="6042"/>
        <w:widowControl/>
      </w:pPr>
    </w:p>
    <w:tbl>
      <w:tblPr>
        <w:tblStyle w:val="37"/>
        <w:tblW w:w="98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9855" w:type="dxa"/>
            <w:tcBorders>
              <w:top w:val="nil"/>
              <w:left w:val="nil"/>
              <w:bottom w:val="nil"/>
              <w:right w:val="nil"/>
            </w:tcBorders>
            <w:shd w:val="clear" w:color="auto" w:fill="auto"/>
          </w:tcPr>
          <w:p>
            <w:pPr>
              <w:pStyle w:val="63"/>
              <w:framePr w:x="1080" w:y="6042"/>
              <w:widowControl/>
              <w:jc w:val="both"/>
            </w:pPr>
            <w: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573405</wp:posOffset>
                      </wp:positionV>
                      <wp:extent cx="1905000" cy="254000"/>
                      <wp:effectExtent l="0" t="0" r="0" b="12700"/>
                      <wp:wrapNone/>
                      <wp:docPr id="18" name="RQ"/>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ffectLst/>
                            </wps:spPr>
                            <wps:txbx>
                              <w:txbxContent>
                                <w:p>
                                  <w:pPr>
                                    <w:jc w:val="center"/>
                                  </w:pPr>
                                </w:p>
                              </w:txbxContent>
                            </wps:txbx>
                            <wps:bodyPr rot="0" vert="horz" wrap="square" lIns="91440" tIns="45720" rIns="91440" bIns="45720" anchor="t" anchorCtr="0" upright="1">
                              <a:noAutofit/>
                            </wps:bodyPr>
                          </wps:wsp>
                        </a:graphicData>
                      </a:graphic>
                    </wp:anchor>
                  </w:drawing>
                </mc:Choice>
                <mc:Fallback>
                  <w:pict>
                    <v:rect id="RQ" o:spid="_x0000_s1026" o:spt="1" style="position:absolute;left:0pt;margin-left:173.3pt;margin-top:45.15pt;height:20pt;width:150pt;z-index:-251655168;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BYmuktUAAAAKAQAADwAAAAAAAAABACAAAAAiAAAAZHJzL2Rvd25yZXYueG1sUEsBAhQA&#10;FAAAAAgAh07iQHPjfwP1AQAA7AMAAA4AAAAAAAAAAQAgAAAAJAEAAGRycy9lMm9Eb2MueG1sUEsF&#10;BgAAAAAGAAYAWQEAAIsFAAAAAA==&#10;">
                      <v:fill on="t" focussize="0,0"/>
                      <v:stroke on="f"/>
                      <v:imagedata o:title=""/>
                      <o:lock v:ext="edit" aspectratio="f"/>
                      <v:textbox>
                        <w:txbxContent>
                          <w:p>
                            <w:pPr>
                              <w:jc w:val="center"/>
                            </w:pPr>
                          </w:p>
                        </w:txbxContent>
                      </v:textbox>
                      <w10:anchorlock/>
                    </v:rect>
                  </w:pict>
                </mc:Fallback>
              </mc:AlternateContent>
            </w:r>
            <w:r>
              <mc:AlternateContent>
                <mc:Choice Requires="wps">
                  <w:drawing>
                    <wp:anchor distT="0" distB="0" distL="114300" distR="114300" simplePos="0" relativeHeight="251662336" behindDoc="1" locked="0" layoutInCell="1" allowOverlap="1">
                      <wp:simplePos x="0" y="0"/>
                      <wp:positionH relativeFrom="column">
                        <wp:posOffset>2454910</wp:posOffset>
                      </wp:positionH>
                      <wp:positionV relativeFrom="paragraph">
                        <wp:posOffset>255905</wp:posOffset>
                      </wp:positionV>
                      <wp:extent cx="1270000" cy="304800"/>
                      <wp:effectExtent l="0" t="0" r="6350" b="0"/>
                      <wp:wrapNone/>
                      <wp:docPr id="19" name="LB"/>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ffectLst/>
                            </wps:spPr>
                            <wps:txbx>
                              <w:txbxContent>
                                <w:p>
                                  <w:pPr>
                                    <w:jc w:val="center"/>
                                  </w:pPr>
                                </w:p>
                              </w:txbxContent>
                            </wps:txbx>
                            <wps:bodyPr rot="0" vert="horz" wrap="square" lIns="91440" tIns="45720" rIns="91440" bIns="45720" anchor="t" anchorCtr="0" upright="1">
                              <a:noAutofit/>
                            </wps:bodyPr>
                          </wps:wsp>
                        </a:graphicData>
                      </a:graphic>
                    </wp:anchor>
                  </w:drawing>
                </mc:Choice>
                <mc:Fallback>
                  <w:pict>
                    <v:rect id="LB" o:spid="_x0000_s1026" o:spt="1" style="position:absolute;left:0pt;margin-left:193.3pt;margin-top:20.15pt;height:24pt;width:100pt;z-index:-251654144;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A+GL5dYAAAAJAQAADwAAAAAAAAABACAAAAAiAAAAZHJzL2Rvd25yZXYueG1sUEsB&#10;AhQAFAAAAAgAh07iQDWJEmX3AQAA7AMAAA4AAAAAAAAAAQAgAAAAJQEAAGRycy9lMm9Eb2MueG1s&#10;UEsFBgAAAAAGAAYAWQEAAI4FAAAAAA==&#10;">
                      <v:fill on="t" focussize="0,0"/>
                      <v:stroke on="f"/>
                      <v:imagedata o:title=""/>
                      <o:lock v:ext="edit" aspectratio="f"/>
                      <v:textbox>
                        <w:txbxContent>
                          <w:p>
                            <w:pPr>
                              <w:jc w:val="center"/>
                            </w:pPr>
                          </w:p>
                        </w:txbxContent>
                      </v:textbox>
                    </v:rect>
                  </w:pict>
                </mc:Fallback>
              </mc:AlternateConten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9855" w:type="dxa"/>
            <w:tcBorders>
              <w:top w:val="nil"/>
              <w:left w:val="nil"/>
              <w:bottom w:val="nil"/>
              <w:right w:val="nil"/>
            </w:tcBorders>
            <w:shd w:val="clear" w:color="auto" w:fill="auto"/>
          </w:tcPr>
          <w:p>
            <w:pPr>
              <w:pStyle w:val="64"/>
              <w:framePr w:x="1080" w:y="6042"/>
              <w:widowControl/>
            </w:pPr>
            <w:r>
              <w:rPr>
                <w:rFonts w:hint="eastAsia"/>
                <w:lang w:eastAsia="zh-CN"/>
              </w:rPr>
              <w:t>（</w:t>
            </w:r>
            <w:r>
              <w:rPr>
                <w:rFonts w:hint="eastAsia"/>
                <w:lang w:val="en-US" w:eastAsia="zh-CN"/>
              </w:rPr>
              <w:t>征求意见稿）</w:t>
            </w:r>
          </w:p>
        </w:tc>
      </w:tr>
    </w:tbl>
    <w:p>
      <w:pPr>
        <w:pStyle w:val="69"/>
        <w:framePr w:hAnchor="page" w:x="1846" w:y="14176"/>
      </w:pPr>
      <w:bookmarkStart w:id="9" w:name="FY"/>
      <w:r>
        <w:rPr>
          <w:rFonts w:ascii="黑体"/>
        </w:rPr>
        <w:fldChar w:fldCharType="begin">
          <w:ffData>
            <w:name w:val="FY"/>
            <w:enabled/>
            <w:calcOnExit w:val="0"/>
            <w:textInput>
              <w:default w:val="XXXX"/>
              <w:maxLength w:val="4"/>
            </w:textInput>
          </w:ffData>
        </w:fldChar>
      </w:r>
      <w:r>
        <w:rPr>
          <w:rFonts w:ascii="黑体"/>
        </w:rPr>
        <w:instrText xml:space="preserve"> FORMTEXT </w:instrText>
      </w:r>
      <w:r>
        <w:rPr>
          <w:rFonts w:ascii="黑体"/>
        </w:rPr>
        <w:fldChar w:fldCharType="separate"/>
      </w:r>
      <w:r>
        <w:rPr>
          <w:rFonts w:hint="eastAsia" w:ascii="黑体"/>
        </w:rPr>
        <w:t>20XX</w:t>
      </w:r>
      <w:r>
        <w:rPr>
          <w:rFonts w:ascii="黑体"/>
        </w:rPr>
        <w:fldChar w:fldCharType="end"/>
      </w:r>
      <w:bookmarkEnd w:id="9"/>
      <w:r>
        <w:rPr>
          <w:rFonts w:ascii="黑体"/>
        </w:rPr>
        <w:t>-</w:t>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ascii="黑体"/>
        </w:rPr>
        <w:t>-</w:t>
      </w:r>
      <w:bookmarkStart w:id="10" w:name="FD"/>
      <w:r>
        <w:rPr>
          <w:rFonts w:ascii="黑体"/>
        </w:rPr>
        <w:fldChar w:fldCharType="begin">
          <w:ffData>
            <w:name w:val="F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rPr>
          <w:rFonts w:hint="eastAsia"/>
        </w:rPr>
        <w:t>发布</w:t>
      </w:r>
      <w:r>
        <mc:AlternateContent>
          <mc:Choice Requires="wps">
            <w:drawing>
              <wp:anchor distT="0" distB="0" distL="114300" distR="114300" simplePos="0" relativeHeight="251659264" behindDoc="0" locked="1" layoutInCell="1" allowOverlap="1">
                <wp:simplePos x="0" y="0"/>
                <wp:positionH relativeFrom="column">
                  <wp:posOffset>-9525</wp:posOffset>
                </wp:positionH>
                <wp:positionV relativeFrom="page">
                  <wp:posOffset>9501505</wp:posOffset>
                </wp:positionV>
                <wp:extent cx="6120130" cy="0"/>
                <wp:effectExtent l="0" t="0" r="0" b="0"/>
                <wp:wrapNone/>
                <wp:docPr id="16" name="Line 10"/>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w:pict>
              <v:line id="Line 10" o:spid="_x0000_s1026" o:spt="20" style="position:absolute;left:0pt;margin-left:-0.75pt;margin-top:748.15pt;height:0pt;width:481.9pt;mso-position-vertical-relative:page;z-index:251659264;mso-width-relative:page;mso-height-relative:page;" filled="f" stroked="t" coordsize="21600,21600" o:gfxdata="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qObgdcAAAAMAQAADwAAAAAAAAABACAAAAAiAAAAZHJzL2Rvd25yZXYueG1sUEsBAhQAFAAAAAgA&#10;h07iQDW0X5K0AQAAYQMAAA4AAAAAAAAAAQAgAAAAJgEAAGRycy9lMm9Eb2MueG1sUEsFBgAAAAAG&#10;AAYAWQEAAEwFAAAAAA==&#10;">
                <v:fill on="f" focussize="0,0"/>
                <v:stroke color="#000000" joinstyle="round"/>
                <v:imagedata o:title=""/>
                <o:lock v:ext="edit" aspectratio="f"/>
                <w10:anchorlock/>
              </v:line>
            </w:pict>
          </mc:Fallback>
        </mc:AlternateContent>
      </w:r>
    </w:p>
    <w:p>
      <w:pPr>
        <w:pStyle w:val="70"/>
        <w:framePr w:hAnchor="page" w:x="7411" w:y="14056"/>
        <w:jc w:val="center"/>
      </w:pPr>
      <w:bookmarkStart w:id="11" w:name="SY"/>
      <w:r>
        <w:rPr>
          <w:rFonts w:ascii="黑体"/>
        </w:rPr>
        <w:fldChar w:fldCharType="begin">
          <w:ffData>
            <w:name w:val="SY"/>
            <w:enabled/>
            <w:calcOnExit w:val="0"/>
            <w:textInput>
              <w:default w:val="XXXX"/>
              <w:maxLength w:val="4"/>
            </w:textInput>
          </w:ffData>
        </w:fldChar>
      </w:r>
      <w:r>
        <w:rPr>
          <w:rFonts w:ascii="黑体"/>
        </w:rPr>
        <w:instrText xml:space="preserve"> FORMTEXT </w:instrText>
      </w:r>
      <w:r>
        <w:rPr>
          <w:rFonts w:ascii="黑体"/>
        </w:rPr>
        <w:fldChar w:fldCharType="separate"/>
      </w:r>
      <w:r>
        <w:rPr>
          <w:rFonts w:hint="eastAsia" w:ascii="黑体"/>
        </w:rPr>
        <w:t>20XX</w:t>
      </w:r>
      <w:r>
        <w:rPr>
          <w:rFonts w:ascii="黑体"/>
        </w:rPr>
        <w:fldChar w:fldCharType="end"/>
      </w:r>
      <w:bookmarkEnd w:id="11"/>
      <w:r>
        <w:rPr>
          <w:rFonts w:ascii="黑体"/>
        </w:rPr>
        <w:t>-</w:t>
      </w:r>
      <w:bookmarkStart w:id="12" w:name="SM"/>
      <w:r>
        <w:rPr>
          <w:rFonts w:ascii="黑体"/>
        </w:rPr>
        <w:fldChar w:fldCharType="begin">
          <w:ffData>
            <w:name w:val="S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ascii="黑体"/>
        </w:rPr>
        <w:t>-</w:t>
      </w:r>
      <w:bookmarkStart w:id="13" w:name="SD"/>
      <w:r>
        <w:rPr>
          <w:rFonts w:ascii="黑体"/>
        </w:rPr>
        <w:fldChar w:fldCharType="begin">
          <w:ffData>
            <w:name w:val="S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实施</w:t>
      </w:r>
    </w:p>
    <w:p>
      <w:pPr>
        <w:pStyle w:val="67"/>
        <w:framePr w:x="2130" w:y="15415"/>
      </w:pPr>
      <w:bookmarkStart w:id="14" w:name="fm"/>
      <w:r>
        <w:fldChar w:fldCharType="begin">
          <w:ffData>
            <w:name w:val="fm"/>
            <w:enabled/>
            <w:calcOnExit w:val="0"/>
            <w:textInput/>
          </w:ffData>
        </w:fldChar>
      </w:r>
      <w:r>
        <w:instrText xml:space="preserve"> FORMTEXT </w:instrText>
      </w:r>
      <w:r>
        <w:fldChar w:fldCharType="separate"/>
      </w:r>
      <w:r>
        <w:t>湖南省市场监督管理局</w:t>
      </w:r>
      <w:r>
        <w:fldChar w:fldCharType="end"/>
      </w:r>
      <w:bookmarkEnd w:id="14"/>
      <w:r>
        <w:rPr>
          <w:rFonts w:hint="eastAsia" w:ascii="MS Mincho" w:hAnsi="MS Mincho" w:eastAsia="MS Mincho" w:cs="MS Mincho"/>
        </w:rPr>
        <w:t>   </w:t>
      </w:r>
      <w:r>
        <w:rPr>
          <w:rStyle w:val="60"/>
          <w:rFonts w:hint="eastAsia"/>
        </w:rPr>
        <w:t>发布</w:t>
      </w:r>
    </w:p>
    <w:p>
      <w:pPr>
        <w:widowControl/>
        <w:spacing w:line="850" w:lineRule="exact"/>
        <w:jc w:val="center"/>
        <w:rPr>
          <w:rFonts w:ascii="黑体" w:hAnsi="黑体" w:eastAsia="黑体" w:cs="黑体"/>
          <w:bCs/>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fmt="upperRoman" w:start="1"/>
          <w:cols w:space="720" w:num="1"/>
          <w:titlePg/>
          <w:docGrid w:type="lines" w:linePitch="312" w:charSpace="0"/>
        </w:sectPr>
      </w:pPr>
      <w:r>
        <w:rPr>
          <w:rFonts w:asciiTheme="majorEastAsia" w:hAnsiTheme="majorEastAsia" w:eastAsiaTheme="majorEastAsia"/>
          <w:sz w:val="32"/>
          <w:szCs w:val="32"/>
        </w:rPr>
        <mc:AlternateContent>
          <mc:Choice Requires="wps">
            <w:drawing>
              <wp:anchor distT="0" distB="0" distL="114300" distR="114300" simplePos="0" relativeHeight="251663360" behindDoc="0" locked="0" layoutInCell="1" allowOverlap="1">
                <wp:simplePos x="0" y="0"/>
                <wp:positionH relativeFrom="column">
                  <wp:posOffset>-243840</wp:posOffset>
                </wp:positionH>
                <wp:positionV relativeFrom="paragraph">
                  <wp:posOffset>1674495</wp:posOffset>
                </wp:positionV>
                <wp:extent cx="6120130" cy="0"/>
                <wp:effectExtent l="0" t="0" r="0" b="0"/>
                <wp:wrapNone/>
                <wp:docPr id="22" name="Line 1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w:pict>
              <v:line id="Line 11" o:spid="_x0000_s1026" o:spt="20" style="position:absolute;left:0pt;margin-left:-19.2pt;margin-top:131.85pt;height:0pt;width:481.9pt;z-index:251663360;mso-width-relative:page;mso-height-relative:page;" filled="f" stroked="t" coordsize="21600,21600" o:gfxdata="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PZN5bTYAAAACwEAAA8AAAAAAAAAAQAgAAAAIgAAAGRycy9kb3ducmV2LnhtbFBLAQIUABQAAAAI&#10;AIdO4kA8UPWxtAEAAGEDAAAOAAAAAAAAAAEAIAAAACcBAABkcnMvZTJvRG9jLnhtbFBLBQYAAAAA&#10;BgAGAFkBAABNBQAAAAA=&#10;">
                <v:fill on="f" focussize="0,0"/>
                <v:stroke color="#000000" joinstyle="round"/>
                <v:imagedata o:title=""/>
                <o:lock v:ext="edit" aspectratio="f"/>
              </v:line>
            </w:pict>
          </mc:Fallback>
        </mc:AlternateContent>
      </w:r>
    </w:p>
    <w:p>
      <w:pPr>
        <w:pStyle w:val="42"/>
        <w:keepNext w:val="0"/>
        <w:pageBreakBefore w:val="0"/>
        <w:widowControl/>
        <w:shd w:val="clear" w:color="FFFFFF" w:fill="FFFFFF"/>
        <w:outlineLvl w:val="9"/>
        <w:rPr>
          <w:rFonts w:hint="eastAsia" w:hAnsi="Times New Roman" w:cs="Times New Roman"/>
          <w:kern w:val="0"/>
          <w:szCs w:val="22"/>
        </w:rPr>
      </w:pPr>
      <w:r>
        <w:rPr>
          <w:rFonts w:hint="eastAsia" w:hAnsi="Times New Roman" w:cs="Times New Roman"/>
          <w:kern w:val="0"/>
          <w:szCs w:val="22"/>
        </w:rPr>
        <w:t>目</w:t>
      </w:r>
      <w:r>
        <w:rPr>
          <w:rFonts w:hint="eastAsia" w:hAnsi="Times New Roman" w:cs="Times New Roman"/>
          <w:kern w:val="0"/>
          <w:szCs w:val="22"/>
          <w:lang w:val="en-US" w:eastAsia="zh-CN"/>
        </w:rPr>
        <w:t xml:space="preserve">  </w:t>
      </w:r>
      <w:r>
        <w:rPr>
          <w:rFonts w:hint="eastAsia" w:hAnsi="Times New Roman" w:cs="Times New Roman"/>
          <w:kern w:val="0"/>
          <w:szCs w:val="22"/>
        </w:rPr>
        <w:t>录</w:t>
      </w:r>
    </w:p>
    <w:sdt>
      <w:sdtPr>
        <w:rPr>
          <w:rFonts w:ascii="宋体" w:hAnsi="宋体" w:eastAsia="宋体" w:cs="Times New Roman"/>
          <w:kern w:val="2"/>
          <w:sz w:val="21"/>
          <w:szCs w:val="24"/>
          <w:lang w:val="en-US" w:eastAsia="zh-CN" w:bidi="ar-SA"/>
        </w:rPr>
        <w:id w:val="147461125"/>
      </w:sdtPr>
      <w:sdtEndPr>
        <w:rPr>
          <w:rFonts w:hint="eastAsia" w:ascii="宋体" w:hAnsi="宋体" w:eastAsia="宋体" w:cs="宋体"/>
          <w:b w:val="0"/>
          <w:bCs w:val="0"/>
          <w:kern w:val="2"/>
          <w:sz w:val="21"/>
          <w:szCs w:val="21"/>
          <w:lang w:val="en-US" w:eastAsia="zh-CN" w:bidi="ar-SA"/>
        </w:rPr>
      </w:sdtEndPr>
      <w:sdtContent>
        <w:p>
          <w:pPr>
            <w:spacing w:before="0" w:beforeLines="0" w:after="0" w:afterLines="0" w:line="240" w:lineRule="auto"/>
            <w:ind w:left="0" w:leftChars="0" w:right="0" w:rightChars="0" w:firstLine="0" w:firstLineChars="0"/>
            <w:jc w:val="center"/>
          </w:pPr>
          <w:bookmarkStart w:id="15" w:name="_Toc29081_WPSOffice_Type2"/>
        </w:p>
        <w:p>
          <w:pPr>
            <w:pStyle w:val="74"/>
            <w:tabs>
              <w:tab w:val="right" w:leader="dot" w:pos="8306"/>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_Toc8130_WPSOffice_Level1 </w:instrText>
          </w:r>
          <w:r>
            <w:rPr>
              <w:rFonts w:hint="eastAsia" w:ascii="宋体" w:hAnsi="宋体" w:eastAsia="宋体" w:cs="宋体"/>
              <w:b w:val="0"/>
              <w:bCs w:val="0"/>
              <w:sz w:val="21"/>
              <w:szCs w:val="21"/>
            </w:rPr>
            <w:fldChar w:fldCharType="separate"/>
          </w:r>
          <w:sdt>
            <w:sdtPr>
              <w:rPr>
                <w:rFonts w:hint="eastAsia" w:ascii="宋体" w:hAnsi="宋体" w:eastAsia="宋体" w:cs="宋体"/>
                <w:b w:val="0"/>
                <w:bCs w:val="0"/>
                <w:caps/>
                <w:kern w:val="2"/>
                <w:sz w:val="21"/>
                <w:szCs w:val="21"/>
                <w:lang w:val="en-US" w:eastAsia="zh-CN" w:bidi="ar-SA"/>
              </w:rPr>
              <w:id w:val="147472848"/>
              <w:placeholder>
                <w:docPart w:val="{3df31ae6-912f-4147-85b6-063d3e44e673}"/>
              </w:placeholder>
            </w:sdtPr>
            <w:sdtEndPr>
              <w:rPr>
                <w:rFonts w:hint="eastAsia" w:ascii="宋体" w:hAnsi="宋体" w:eastAsia="宋体" w:cs="宋体"/>
                <w:b w:val="0"/>
                <w:bCs w:val="0"/>
                <w:caps/>
                <w:kern w:val="2"/>
                <w:sz w:val="21"/>
                <w:szCs w:val="21"/>
                <w:lang w:val="en-US" w:eastAsia="zh-CN" w:bidi="ar-SA"/>
              </w:rPr>
            </w:sdtEndPr>
            <w:sdtContent>
              <w:r>
                <w:rPr>
                  <w:rFonts w:hint="eastAsia" w:ascii="宋体" w:hAnsi="宋体" w:eastAsia="宋体" w:cs="宋体"/>
                  <w:b w:val="0"/>
                  <w:bCs w:val="0"/>
                  <w:sz w:val="21"/>
                  <w:szCs w:val="21"/>
                </w:rPr>
                <w:t>前言</w:t>
              </w:r>
            </w:sdtContent>
          </w:sdt>
          <w:r>
            <w:rPr>
              <w:rFonts w:hint="eastAsia" w:ascii="宋体" w:hAnsi="宋体" w:eastAsia="宋体" w:cs="宋体"/>
              <w:b w:val="0"/>
              <w:bCs w:val="0"/>
              <w:sz w:val="21"/>
              <w:szCs w:val="21"/>
            </w:rPr>
            <w:tab/>
          </w:r>
          <w:bookmarkStart w:id="16" w:name="_Toc8130_WPSOffice_Level1Page"/>
          <w:r>
            <w:rPr>
              <w:rFonts w:hint="eastAsia" w:ascii="宋体" w:hAnsi="宋体" w:eastAsia="宋体" w:cs="宋体"/>
              <w:b w:val="0"/>
              <w:bCs w:val="0"/>
              <w:sz w:val="21"/>
              <w:szCs w:val="21"/>
            </w:rPr>
            <w:t>1</w:t>
          </w:r>
          <w:bookmarkEnd w:id="16"/>
          <w:r>
            <w:rPr>
              <w:rFonts w:hint="eastAsia" w:ascii="宋体" w:hAnsi="宋体" w:eastAsia="宋体" w:cs="宋体"/>
              <w:b w:val="0"/>
              <w:bCs w:val="0"/>
              <w:sz w:val="21"/>
              <w:szCs w:val="21"/>
            </w:rPr>
            <w:fldChar w:fldCharType="end"/>
          </w:r>
        </w:p>
        <w:p>
          <w:pPr>
            <w:pStyle w:val="74"/>
            <w:tabs>
              <w:tab w:val="right" w:leader="dot" w:pos="8306"/>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_Toc21835_WPSOffice_Level1 </w:instrText>
          </w:r>
          <w:r>
            <w:rPr>
              <w:rFonts w:hint="eastAsia" w:ascii="宋体" w:hAnsi="宋体" w:eastAsia="宋体" w:cs="宋体"/>
              <w:b w:val="0"/>
              <w:bCs w:val="0"/>
              <w:sz w:val="21"/>
              <w:szCs w:val="21"/>
            </w:rPr>
            <w:fldChar w:fldCharType="separate"/>
          </w:r>
          <w:sdt>
            <w:sdtPr>
              <w:rPr>
                <w:rFonts w:hint="eastAsia" w:ascii="宋体" w:hAnsi="宋体" w:eastAsia="宋体" w:cs="宋体"/>
                <w:b w:val="0"/>
                <w:bCs w:val="0"/>
                <w:caps/>
                <w:kern w:val="2"/>
                <w:sz w:val="21"/>
                <w:szCs w:val="21"/>
                <w:lang w:val="en-US" w:eastAsia="zh-CN" w:bidi="ar-SA"/>
              </w:rPr>
              <w:id w:val="147457360"/>
              <w:placeholder>
                <w:docPart w:val="{f144ac4c-84c0-4a16-9c9b-e3ec9a9c26c6}"/>
              </w:placeholder>
            </w:sdtPr>
            <w:sdtEndPr>
              <w:rPr>
                <w:rFonts w:hint="eastAsia" w:ascii="宋体" w:hAnsi="宋体" w:eastAsia="宋体" w:cs="宋体"/>
                <w:b w:val="0"/>
                <w:bCs w:val="0"/>
                <w:caps/>
                <w:kern w:val="2"/>
                <w:sz w:val="21"/>
                <w:szCs w:val="21"/>
                <w:lang w:val="en-US" w:eastAsia="zh-CN" w:bidi="ar-SA"/>
              </w:rPr>
            </w:sdtEndPr>
            <w:sdtContent>
              <w:r>
                <w:rPr>
                  <w:rFonts w:hint="eastAsia" w:ascii="宋体" w:hAnsi="宋体" w:eastAsia="宋体" w:cs="宋体"/>
                  <w:b w:val="0"/>
                  <w:bCs w:val="0"/>
                  <w:sz w:val="21"/>
                  <w:szCs w:val="21"/>
                </w:rPr>
                <w:t>1 范围</w:t>
              </w:r>
            </w:sdtContent>
          </w:sdt>
          <w:r>
            <w:rPr>
              <w:rFonts w:hint="eastAsia" w:ascii="宋体" w:hAnsi="宋体" w:eastAsia="宋体" w:cs="宋体"/>
              <w:b w:val="0"/>
              <w:bCs w:val="0"/>
              <w:sz w:val="21"/>
              <w:szCs w:val="21"/>
            </w:rPr>
            <w:tab/>
          </w:r>
          <w:bookmarkStart w:id="17" w:name="_Toc21835_WPSOffice_Level1Page"/>
          <w:r>
            <w:rPr>
              <w:rFonts w:hint="eastAsia" w:ascii="宋体" w:hAnsi="宋体" w:eastAsia="宋体" w:cs="宋体"/>
              <w:b w:val="0"/>
              <w:bCs w:val="0"/>
              <w:sz w:val="21"/>
              <w:szCs w:val="21"/>
            </w:rPr>
            <w:t>1</w:t>
          </w:r>
          <w:bookmarkEnd w:id="17"/>
          <w:r>
            <w:rPr>
              <w:rFonts w:hint="eastAsia" w:ascii="宋体" w:hAnsi="宋体" w:eastAsia="宋体" w:cs="宋体"/>
              <w:b w:val="0"/>
              <w:bCs w:val="0"/>
              <w:sz w:val="21"/>
              <w:szCs w:val="21"/>
            </w:rPr>
            <w:fldChar w:fldCharType="end"/>
          </w:r>
        </w:p>
        <w:p>
          <w:pPr>
            <w:pStyle w:val="74"/>
            <w:tabs>
              <w:tab w:val="right" w:leader="dot" w:pos="8306"/>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_Toc30865_WPSOffice_Level1 </w:instrText>
          </w:r>
          <w:r>
            <w:rPr>
              <w:rFonts w:hint="eastAsia" w:ascii="宋体" w:hAnsi="宋体" w:eastAsia="宋体" w:cs="宋体"/>
              <w:b w:val="0"/>
              <w:bCs w:val="0"/>
              <w:sz w:val="21"/>
              <w:szCs w:val="21"/>
            </w:rPr>
            <w:fldChar w:fldCharType="separate"/>
          </w:r>
          <w:sdt>
            <w:sdtPr>
              <w:rPr>
                <w:rFonts w:hint="eastAsia" w:ascii="宋体" w:hAnsi="宋体" w:eastAsia="宋体" w:cs="宋体"/>
                <w:b w:val="0"/>
                <w:bCs w:val="0"/>
                <w:caps/>
                <w:kern w:val="2"/>
                <w:sz w:val="21"/>
                <w:szCs w:val="21"/>
                <w:lang w:val="en-US" w:eastAsia="zh-CN" w:bidi="ar-SA"/>
              </w:rPr>
              <w:id w:val="147461882"/>
              <w:placeholder>
                <w:docPart w:val="{3f4e9b96-decb-4bda-885c-e94428695a84}"/>
              </w:placeholder>
            </w:sdtPr>
            <w:sdtEndPr>
              <w:rPr>
                <w:rFonts w:hint="eastAsia" w:ascii="宋体" w:hAnsi="宋体" w:eastAsia="宋体" w:cs="宋体"/>
                <w:b w:val="0"/>
                <w:bCs w:val="0"/>
                <w:caps/>
                <w:kern w:val="2"/>
                <w:sz w:val="21"/>
                <w:szCs w:val="21"/>
                <w:lang w:val="en-US" w:eastAsia="zh-CN" w:bidi="ar-SA"/>
              </w:rPr>
            </w:sdtEndPr>
            <w:sdtContent>
              <w:r>
                <w:rPr>
                  <w:rFonts w:hint="eastAsia" w:ascii="宋体" w:hAnsi="宋体" w:eastAsia="宋体" w:cs="宋体"/>
                  <w:b w:val="0"/>
                  <w:bCs w:val="0"/>
                  <w:sz w:val="21"/>
                  <w:szCs w:val="21"/>
                </w:rPr>
                <w:t>2 规范性引用文件</w:t>
              </w:r>
            </w:sdtContent>
          </w:sdt>
          <w:r>
            <w:rPr>
              <w:rFonts w:hint="eastAsia" w:ascii="宋体" w:hAnsi="宋体" w:eastAsia="宋体" w:cs="宋体"/>
              <w:b w:val="0"/>
              <w:bCs w:val="0"/>
              <w:sz w:val="21"/>
              <w:szCs w:val="21"/>
            </w:rPr>
            <w:tab/>
          </w:r>
          <w:bookmarkStart w:id="18" w:name="_Toc30865_WPSOffice_Level1Page"/>
          <w:r>
            <w:rPr>
              <w:rFonts w:hint="eastAsia" w:ascii="宋体" w:hAnsi="宋体" w:eastAsia="宋体" w:cs="宋体"/>
              <w:b w:val="0"/>
              <w:bCs w:val="0"/>
              <w:sz w:val="21"/>
              <w:szCs w:val="21"/>
            </w:rPr>
            <w:t>1</w:t>
          </w:r>
          <w:bookmarkEnd w:id="18"/>
          <w:r>
            <w:rPr>
              <w:rFonts w:hint="eastAsia" w:ascii="宋体" w:hAnsi="宋体" w:eastAsia="宋体" w:cs="宋体"/>
              <w:b w:val="0"/>
              <w:bCs w:val="0"/>
              <w:sz w:val="21"/>
              <w:szCs w:val="21"/>
            </w:rPr>
            <w:fldChar w:fldCharType="end"/>
          </w:r>
        </w:p>
        <w:p>
          <w:pPr>
            <w:pStyle w:val="74"/>
            <w:tabs>
              <w:tab w:val="right" w:leader="dot" w:pos="8306"/>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_Toc28445_WPSOffice_Level1 </w:instrText>
          </w:r>
          <w:r>
            <w:rPr>
              <w:rFonts w:hint="eastAsia" w:ascii="宋体" w:hAnsi="宋体" w:eastAsia="宋体" w:cs="宋体"/>
              <w:b w:val="0"/>
              <w:bCs w:val="0"/>
              <w:sz w:val="21"/>
              <w:szCs w:val="21"/>
            </w:rPr>
            <w:fldChar w:fldCharType="separate"/>
          </w:r>
          <w:sdt>
            <w:sdtPr>
              <w:rPr>
                <w:rFonts w:hint="eastAsia" w:ascii="宋体" w:hAnsi="宋体" w:eastAsia="宋体" w:cs="宋体"/>
                <w:b w:val="0"/>
                <w:bCs w:val="0"/>
                <w:caps/>
                <w:kern w:val="2"/>
                <w:sz w:val="21"/>
                <w:szCs w:val="21"/>
                <w:lang w:val="en-US" w:eastAsia="zh-CN" w:bidi="ar-SA"/>
              </w:rPr>
              <w:id w:val="147470094"/>
              <w:placeholder>
                <w:docPart w:val="{bf83d181-35c2-417b-8dcb-ba15c7aad471}"/>
              </w:placeholder>
            </w:sdtPr>
            <w:sdtEndPr>
              <w:rPr>
                <w:rFonts w:hint="eastAsia" w:ascii="宋体" w:hAnsi="宋体" w:eastAsia="宋体" w:cs="宋体"/>
                <w:b w:val="0"/>
                <w:bCs w:val="0"/>
                <w:caps/>
                <w:kern w:val="2"/>
                <w:sz w:val="21"/>
                <w:szCs w:val="21"/>
                <w:lang w:val="en-US" w:eastAsia="zh-CN" w:bidi="ar-SA"/>
              </w:rPr>
            </w:sdtEndPr>
            <w:sdtContent>
              <w:r>
                <w:rPr>
                  <w:rFonts w:hint="eastAsia" w:ascii="宋体" w:hAnsi="宋体" w:eastAsia="宋体" w:cs="宋体"/>
                  <w:b w:val="0"/>
                  <w:bCs w:val="0"/>
                  <w:sz w:val="21"/>
                  <w:szCs w:val="21"/>
                </w:rPr>
                <w:t>3 术语与定义</w:t>
              </w:r>
            </w:sdtContent>
          </w:sdt>
          <w:r>
            <w:rPr>
              <w:rFonts w:hint="eastAsia" w:ascii="宋体" w:hAnsi="宋体" w:eastAsia="宋体" w:cs="宋体"/>
              <w:b w:val="0"/>
              <w:bCs w:val="0"/>
              <w:sz w:val="21"/>
              <w:szCs w:val="21"/>
            </w:rPr>
            <w:tab/>
          </w:r>
          <w:bookmarkStart w:id="19" w:name="_Toc28445_WPSOffice_Level1Page"/>
          <w:r>
            <w:rPr>
              <w:rFonts w:hint="eastAsia" w:ascii="宋体" w:hAnsi="宋体" w:eastAsia="宋体" w:cs="宋体"/>
              <w:b w:val="0"/>
              <w:bCs w:val="0"/>
              <w:sz w:val="21"/>
              <w:szCs w:val="21"/>
            </w:rPr>
            <w:t>1</w:t>
          </w:r>
          <w:bookmarkEnd w:id="19"/>
          <w:r>
            <w:rPr>
              <w:rFonts w:hint="eastAsia" w:ascii="宋体" w:hAnsi="宋体" w:eastAsia="宋体" w:cs="宋体"/>
              <w:b w:val="0"/>
              <w:bCs w:val="0"/>
              <w:sz w:val="21"/>
              <w:szCs w:val="21"/>
            </w:rPr>
            <w:fldChar w:fldCharType="end"/>
          </w:r>
        </w:p>
        <w:p>
          <w:pPr>
            <w:pStyle w:val="74"/>
            <w:tabs>
              <w:tab w:val="right" w:leader="dot" w:pos="8306"/>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_Toc18453_WPSOffice_Level1 </w:instrText>
          </w:r>
          <w:r>
            <w:rPr>
              <w:rFonts w:hint="eastAsia" w:ascii="宋体" w:hAnsi="宋体" w:eastAsia="宋体" w:cs="宋体"/>
              <w:b w:val="0"/>
              <w:bCs w:val="0"/>
              <w:sz w:val="21"/>
              <w:szCs w:val="21"/>
            </w:rPr>
            <w:fldChar w:fldCharType="separate"/>
          </w:r>
          <w:sdt>
            <w:sdtPr>
              <w:rPr>
                <w:rFonts w:hint="eastAsia" w:ascii="宋体" w:hAnsi="宋体" w:eastAsia="宋体" w:cs="宋体"/>
                <w:b w:val="0"/>
                <w:bCs w:val="0"/>
                <w:caps/>
                <w:kern w:val="2"/>
                <w:sz w:val="21"/>
                <w:szCs w:val="21"/>
                <w:lang w:val="en-US" w:eastAsia="zh-CN" w:bidi="ar-SA"/>
              </w:rPr>
              <w:id w:val="147451429"/>
              <w:placeholder>
                <w:docPart w:val="{6c09a55e-264d-4304-a3bf-1981d19692e9}"/>
              </w:placeholder>
            </w:sdtPr>
            <w:sdtEndPr>
              <w:rPr>
                <w:rFonts w:hint="eastAsia" w:ascii="宋体" w:hAnsi="宋体" w:eastAsia="宋体" w:cs="宋体"/>
                <w:b w:val="0"/>
                <w:bCs w:val="0"/>
                <w:caps/>
                <w:kern w:val="2"/>
                <w:sz w:val="21"/>
                <w:szCs w:val="21"/>
                <w:lang w:val="en-US" w:eastAsia="zh-CN" w:bidi="ar-SA"/>
              </w:rPr>
            </w:sdtEndPr>
            <w:sdtContent>
              <w:r>
                <w:rPr>
                  <w:rFonts w:hint="eastAsia" w:ascii="宋体" w:hAnsi="宋体" w:eastAsia="宋体" w:cs="宋体"/>
                  <w:b w:val="0"/>
                  <w:bCs w:val="0"/>
                  <w:sz w:val="21"/>
                  <w:szCs w:val="21"/>
                </w:rPr>
                <w:t>4 系统架构</w:t>
              </w:r>
            </w:sdtContent>
          </w:sdt>
          <w:r>
            <w:rPr>
              <w:rFonts w:hint="eastAsia" w:ascii="宋体" w:hAnsi="宋体" w:eastAsia="宋体" w:cs="宋体"/>
              <w:b w:val="0"/>
              <w:bCs w:val="0"/>
              <w:sz w:val="21"/>
              <w:szCs w:val="21"/>
            </w:rPr>
            <w:tab/>
          </w:r>
          <w:bookmarkStart w:id="20" w:name="_Toc18453_WPSOffice_Level1Page"/>
          <w:r>
            <w:rPr>
              <w:rFonts w:hint="eastAsia" w:ascii="宋体" w:hAnsi="宋体" w:eastAsia="宋体" w:cs="宋体"/>
              <w:b w:val="0"/>
              <w:bCs w:val="0"/>
              <w:sz w:val="21"/>
              <w:szCs w:val="21"/>
            </w:rPr>
            <w:t>2</w:t>
          </w:r>
          <w:bookmarkEnd w:id="20"/>
          <w:r>
            <w:rPr>
              <w:rFonts w:hint="eastAsia" w:ascii="宋体" w:hAnsi="宋体" w:eastAsia="宋体" w:cs="宋体"/>
              <w:b w:val="0"/>
              <w:bCs w:val="0"/>
              <w:sz w:val="21"/>
              <w:szCs w:val="21"/>
            </w:rPr>
            <w:fldChar w:fldCharType="end"/>
          </w:r>
        </w:p>
        <w:p>
          <w:pPr>
            <w:pStyle w:val="75"/>
            <w:tabs>
              <w:tab w:val="right" w:leader="dot" w:pos="8306"/>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_Toc29081_WPSOffice_Level2 </w:instrText>
          </w:r>
          <w:r>
            <w:rPr>
              <w:rFonts w:hint="eastAsia" w:ascii="宋体" w:hAnsi="宋体" w:eastAsia="宋体" w:cs="宋体"/>
              <w:b w:val="0"/>
              <w:bCs w:val="0"/>
              <w:sz w:val="21"/>
              <w:szCs w:val="21"/>
            </w:rPr>
            <w:fldChar w:fldCharType="separate"/>
          </w:r>
          <w:sdt>
            <w:sdtPr>
              <w:rPr>
                <w:rFonts w:hint="eastAsia" w:ascii="宋体" w:hAnsi="宋体" w:eastAsia="宋体" w:cs="宋体"/>
                <w:b w:val="0"/>
                <w:bCs w:val="0"/>
                <w:caps/>
                <w:kern w:val="2"/>
                <w:sz w:val="21"/>
                <w:szCs w:val="21"/>
                <w:lang w:val="en-US" w:eastAsia="zh-CN" w:bidi="ar-SA"/>
              </w:rPr>
              <w:id w:val="147455800"/>
              <w:placeholder>
                <w:docPart w:val="{c887993f-42c7-46e0-9763-b92ec5add371}"/>
              </w:placeholder>
            </w:sdtPr>
            <w:sdtEndPr>
              <w:rPr>
                <w:rFonts w:hint="eastAsia" w:ascii="宋体" w:hAnsi="宋体" w:eastAsia="宋体" w:cs="宋体"/>
                <w:b w:val="0"/>
                <w:bCs w:val="0"/>
                <w:caps/>
                <w:kern w:val="2"/>
                <w:sz w:val="21"/>
                <w:szCs w:val="21"/>
                <w:lang w:val="en-US" w:eastAsia="zh-CN" w:bidi="ar-SA"/>
              </w:rPr>
            </w:sdtEndPr>
            <w:sdtContent>
              <w:r>
                <w:rPr>
                  <w:rFonts w:hint="eastAsia" w:ascii="宋体" w:hAnsi="宋体" w:eastAsia="宋体" w:cs="宋体"/>
                  <w:b w:val="0"/>
                  <w:bCs w:val="0"/>
                  <w:sz w:val="21"/>
                  <w:szCs w:val="21"/>
                </w:rPr>
                <w:t>4.1 基本要求</w:t>
              </w:r>
            </w:sdtContent>
          </w:sdt>
          <w:r>
            <w:rPr>
              <w:rFonts w:hint="eastAsia" w:ascii="宋体" w:hAnsi="宋体" w:eastAsia="宋体" w:cs="宋体"/>
              <w:b w:val="0"/>
              <w:bCs w:val="0"/>
              <w:sz w:val="21"/>
              <w:szCs w:val="21"/>
            </w:rPr>
            <w:tab/>
          </w:r>
          <w:bookmarkStart w:id="21" w:name="_Toc29081_WPSOffice_Level2Page"/>
          <w:r>
            <w:rPr>
              <w:rFonts w:hint="eastAsia" w:ascii="宋体" w:hAnsi="宋体" w:eastAsia="宋体" w:cs="宋体"/>
              <w:b w:val="0"/>
              <w:bCs w:val="0"/>
              <w:sz w:val="21"/>
              <w:szCs w:val="21"/>
            </w:rPr>
            <w:t>2</w:t>
          </w:r>
          <w:bookmarkEnd w:id="21"/>
          <w:r>
            <w:rPr>
              <w:rFonts w:hint="eastAsia" w:ascii="宋体" w:hAnsi="宋体" w:eastAsia="宋体" w:cs="宋体"/>
              <w:b w:val="0"/>
              <w:bCs w:val="0"/>
              <w:sz w:val="21"/>
              <w:szCs w:val="21"/>
            </w:rPr>
            <w:fldChar w:fldCharType="end"/>
          </w:r>
        </w:p>
        <w:p>
          <w:pPr>
            <w:pStyle w:val="75"/>
            <w:tabs>
              <w:tab w:val="right" w:leader="dot" w:pos="8306"/>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_Toc21835_WPSOffice_Level2 </w:instrText>
          </w:r>
          <w:r>
            <w:rPr>
              <w:rFonts w:hint="eastAsia" w:ascii="宋体" w:hAnsi="宋体" w:eastAsia="宋体" w:cs="宋体"/>
              <w:b w:val="0"/>
              <w:bCs w:val="0"/>
              <w:sz w:val="21"/>
              <w:szCs w:val="21"/>
            </w:rPr>
            <w:fldChar w:fldCharType="separate"/>
          </w:r>
          <w:sdt>
            <w:sdtPr>
              <w:rPr>
                <w:rFonts w:hint="eastAsia" w:ascii="宋体" w:hAnsi="宋体" w:eastAsia="宋体" w:cs="宋体"/>
                <w:b w:val="0"/>
                <w:bCs w:val="0"/>
                <w:caps/>
                <w:kern w:val="2"/>
                <w:sz w:val="21"/>
                <w:szCs w:val="21"/>
                <w:lang w:val="en-US" w:eastAsia="zh-CN" w:bidi="ar-SA"/>
              </w:rPr>
              <w:id w:val="147452938"/>
              <w:placeholder>
                <w:docPart w:val="{df624c48-150a-495a-b300-a77a9337c3bf}"/>
              </w:placeholder>
            </w:sdtPr>
            <w:sdtEndPr>
              <w:rPr>
                <w:rFonts w:hint="eastAsia" w:ascii="宋体" w:hAnsi="宋体" w:eastAsia="宋体" w:cs="宋体"/>
                <w:b w:val="0"/>
                <w:bCs w:val="0"/>
                <w:caps/>
                <w:kern w:val="2"/>
                <w:sz w:val="21"/>
                <w:szCs w:val="21"/>
                <w:lang w:val="en-US" w:eastAsia="zh-CN" w:bidi="ar-SA"/>
              </w:rPr>
            </w:sdtEndPr>
            <w:sdtContent>
              <w:r>
                <w:rPr>
                  <w:rFonts w:hint="eastAsia" w:ascii="宋体" w:hAnsi="宋体" w:eastAsia="宋体" w:cs="宋体"/>
                  <w:b w:val="0"/>
                  <w:bCs w:val="0"/>
                  <w:sz w:val="21"/>
                  <w:szCs w:val="21"/>
                </w:rPr>
                <w:t>4.2 层级定义</w:t>
              </w:r>
            </w:sdtContent>
          </w:sdt>
          <w:r>
            <w:rPr>
              <w:rFonts w:hint="eastAsia" w:ascii="宋体" w:hAnsi="宋体" w:eastAsia="宋体" w:cs="宋体"/>
              <w:b w:val="0"/>
              <w:bCs w:val="0"/>
              <w:sz w:val="21"/>
              <w:szCs w:val="21"/>
            </w:rPr>
            <w:tab/>
          </w:r>
          <w:bookmarkStart w:id="22" w:name="_Toc21835_WPSOffice_Level2Page"/>
          <w:r>
            <w:rPr>
              <w:rFonts w:hint="eastAsia" w:ascii="宋体" w:hAnsi="宋体" w:eastAsia="宋体" w:cs="宋体"/>
              <w:b w:val="0"/>
              <w:bCs w:val="0"/>
              <w:sz w:val="21"/>
              <w:szCs w:val="21"/>
            </w:rPr>
            <w:t>2</w:t>
          </w:r>
          <w:bookmarkEnd w:id="22"/>
          <w:r>
            <w:rPr>
              <w:rFonts w:hint="eastAsia" w:ascii="宋体" w:hAnsi="宋体" w:eastAsia="宋体" w:cs="宋体"/>
              <w:b w:val="0"/>
              <w:bCs w:val="0"/>
              <w:sz w:val="21"/>
              <w:szCs w:val="21"/>
            </w:rPr>
            <w:fldChar w:fldCharType="end"/>
          </w:r>
        </w:p>
        <w:p>
          <w:pPr>
            <w:pStyle w:val="75"/>
            <w:tabs>
              <w:tab w:val="right" w:leader="dot" w:pos="8306"/>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_Toc30865_WPSOffice_Level2 </w:instrText>
          </w:r>
          <w:r>
            <w:rPr>
              <w:rFonts w:hint="eastAsia" w:ascii="宋体" w:hAnsi="宋体" w:eastAsia="宋体" w:cs="宋体"/>
              <w:b w:val="0"/>
              <w:bCs w:val="0"/>
              <w:sz w:val="21"/>
              <w:szCs w:val="21"/>
            </w:rPr>
            <w:fldChar w:fldCharType="separate"/>
          </w:r>
          <w:sdt>
            <w:sdtPr>
              <w:rPr>
                <w:rFonts w:hint="eastAsia" w:ascii="宋体" w:hAnsi="宋体" w:eastAsia="宋体" w:cs="宋体"/>
                <w:b w:val="0"/>
                <w:bCs w:val="0"/>
                <w:caps/>
                <w:kern w:val="2"/>
                <w:sz w:val="21"/>
                <w:szCs w:val="21"/>
                <w:lang w:val="en-US" w:eastAsia="zh-CN" w:bidi="ar-SA"/>
              </w:rPr>
              <w:id w:val="147455047"/>
              <w:placeholder>
                <w:docPart w:val="{263cf033-8a3f-47bd-92e7-28eda6c58d2a}"/>
              </w:placeholder>
            </w:sdtPr>
            <w:sdtEndPr>
              <w:rPr>
                <w:rFonts w:hint="eastAsia" w:ascii="宋体" w:hAnsi="宋体" w:eastAsia="宋体" w:cs="宋体"/>
                <w:b w:val="0"/>
                <w:bCs w:val="0"/>
                <w:caps/>
                <w:kern w:val="2"/>
                <w:sz w:val="21"/>
                <w:szCs w:val="21"/>
                <w:lang w:val="en-US" w:eastAsia="zh-CN" w:bidi="ar-SA"/>
              </w:rPr>
            </w:sdtEndPr>
            <w:sdtContent>
              <w:r>
                <w:rPr>
                  <w:rFonts w:hint="eastAsia" w:ascii="宋体" w:hAnsi="宋体" w:eastAsia="宋体" w:cs="宋体"/>
                  <w:b w:val="0"/>
                  <w:bCs w:val="0"/>
                  <w:sz w:val="21"/>
                  <w:szCs w:val="21"/>
                </w:rPr>
                <w:t>4.3 有序充电设备接入电网的模式</w:t>
              </w:r>
            </w:sdtContent>
          </w:sdt>
          <w:r>
            <w:rPr>
              <w:rFonts w:hint="eastAsia" w:ascii="宋体" w:hAnsi="宋体" w:eastAsia="宋体" w:cs="宋体"/>
              <w:b w:val="0"/>
              <w:bCs w:val="0"/>
              <w:sz w:val="21"/>
              <w:szCs w:val="21"/>
            </w:rPr>
            <w:tab/>
          </w:r>
          <w:bookmarkStart w:id="23" w:name="_Toc30865_WPSOffice_Level2Page"/>
          <w:r>
            <w:rPr>
              <w:rFonts w:hint="eastAsia" w:ascii="宋体" w:hAnsi="宋体" w:eastAsia="宋体" w:cs="宋体"/>
              <w:b w:val="0"/>
              <w:bCs w:val="0"/>
              <w:sz w:val="21"/>
              <w:szCs w:val="21"/>
            </w:rPr>
            <w:t>3</w:t>
          </w:r>
          <w:bookmarkEnd w:id="23"/>
          <w:r>
            <w:rPr>
              <w:rFonts w:hint="eastAsia" w:ascii="宋体" w:hAnsi="宋体" w:eastAsia="宋体" w:cs="宋体"/>
              <w:b w:val="0"/>
              <w:bCs w:val="0"/>
              <w:sz w:val="21"/>
              <w:szCs w:val="21"/>
            </w:rPr>
            <w:fldChar w:fldCharType="end"/>
          </w:r>
        </w:p>
        <w:p>
          <w:pPr>
            <w:pStyle w:val="75"/>
            <w:tabs>
              <w:tab w:val="right" w:leader="dot" w:pos="8306"/>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_Toc28445_WPSOffice_Level2 </w:instrText>
          </w:r>
          <w:r>
            <w:rPr>
              <w:rFonts w:hint="eastAsia" w:ascii="宋体" w:hAnsi="宋体" w:eastAsia="宋体" w:cs="宋体"/>
              <w:b w:val="0"/>
              <w:bCs w:val="0"/>
              <w:sz w:val="21"/>
              <w:szCs w:val="21"/>
            </w:rPr>
            <w:fldChar w:fldCharType="separate"/>
          </w:r>
          <w:sdt>
            <w:sdtPr>
              <w:rPr>
                <w:rFonts w:hint="eastAsia" w:ascii="宋体" w:hAnsi="宋体" w:eastAsia="宋体" w:cs="宋体"/>
                <w:b w:val="0"/>
                <w:bCs w:val="0"/>
                <w:caps/>
                <w:kern w:val="2"/>
                <w:sz w:val="21"/>
                <w:szCs w:val="21"/>
                <w:lang w:val="en-US" w:eastAsia="zh-CN" w:bidi="ar-SA"/>
              </w:rPr>
              <w:id w:val="147477253"/>
              <w:placeholder>
                <w:docPart w:val="{948cb00b-3dad-47b8-9064-7055b3668139}"/>
              </w:placeholder>
            </w:sdtPr>
            <w:sdtEndPr>
              <w:rPr>
                <w:rFonts w:hint="eastAsia" w:ascii="宋体" w:hAnsi="宋体" w:eastAsia="宋体" w:cs="宋体"/>
                <w:b w:val="0"/>
                <w:bCs w:val="0"/>
                <w:caps/>
                <w:kern w:val="2"/>
                <w:sz w:val="21"/>
                <w:szCs w:val="21"/>
                <w:lang w:val="en-US" w:eastAsia="zh-CN" w:bidi="ar-SA"/>
              </w:rPr>
            </w:sdtEndPr>
            <w:sdtContent>
              <w:r>
                <w:rPr>
                  <w:rFonts w:hint="eastAsia" w:ascii="宋体" w:hAnsi="宋体" w:eastAsia="宋体" w:cs="宋体"/>
                  <w:b w:val="0"/>
                  <w:bCs w:val="0"/>
                  <w:sz w:val="21"/>
                  <w:szCs w:val="21"/>
                </w:rPr>
                <w:t>4.4 有序控制优先级</w:t>
              </w:r>
            </w:sdtContent>
          </w:sdt>
          <w:r>
            <w:rPr>
              <w:rFonts w:hint="eastAsia" w:ascii="宋体" w:hAnsi="宋体" w:eastAsia="宋体" w:cs="宋体"/>
              <w:b w:val="0"/>
              <w:bCs w:val="0"/>
              <w:sz w:val="21"/>
              <w:szCs w:val="21"/>
            </w:rPr>
            <w:tab/>
          </w:r>
          <w:bookmarkStart w:id="24" w:name="_Toc28445_WPSOffice_Level2Page"/>
          <w:r>
            <w:rPr>
              <w:rFonts w:hint="eastAsia" w:ascii="宋体" w:hAnsi="宋体" w:eastAsia="宋体" w:cs="宋体"/>
              <w:b w:val="0"/>
              <w:bCs w:val="0"/>
              <w:sz w:val="21"/>
              <w:szCs w:val="21"/>
            </w:rPr>
            <w:t>3</w:t>
          </w:r>
          <w:bookmarkEnd w:id="24"/>
          <w:r>
            <w:rPr>
              <w:rFonts w:hint="eastAsia" w:ascii="宋体" w:hAnsi="宋体" w:eastAsia="宋体" w:cs="宋体"/>
              <w:b w:val="0"/>
              <w:bCs w:val="0"/>
              <w:sz w:val="21"/>
              <w:szCs w:val="21"/>
            </w:rPr>
            <w:fldChar w:fldCharType="end"/>
          </w:r>
        </w:p>
        <w:p>
          <w:pPr>
            <w:pStyle w:val="74"/>
            <w:tabs>
              <w:tab w:val="right" w:leader="dot" w:pos="8306"/>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_Toc11845_WPSOffice_Level1 </w:instrText>
          </w:r>
          <w:r>
            <w:rPr>
              <w:rFonts w:hint="eastAsia" w:ascii="宋体" w:hAnsi="宋体" w:eastAsia="宋体" w:cs="宋体"/>
              <w:b w:val="0"/>
              <w:bCs w:val="0"/>
              <w:sz w:val="21"/>
              <w:szCs w:val="21"/>
            </w:rPr>
            <w:fldChar w:fldCharType="separate"/>
          </w:r>
          <w:sdt>
            <w:sdtPr>
              <w:rPr>
                <w:rFonts w:hint="eastAsia" w:ascii="宋体" w:hAnsi="宋体" w:eastAsia="宋体" w:cs="宋体"/>
                <w:b w:val="0"/>
                <w:bCs w:val="0"/>
                <w:caps/>
                <w:kern w:val="2"/>
                <w:sz w:val="21"/>
                <w:szCs w:val="21"/>
                <w:lang w:val="en-US" w:eastAsia="zh-CN" w:bidi="ar-SA"/>
              </w:rPr>
              <w:id w:val="147477948"/>
              <w:placeholder>
                <w:docPart w:val="{0edff4a1-d99d-4661-84da-1160725c4865}"/>
              </w:placeholder>
            </w:sdtPr>
            <w:sdtEndPr>
              <w:rPr>
                <w:rFonts w:hint="eastAsia" w:ascii="宋体" w:hAnsi="宋体" w:eastAsia="宋体" w:cs="宋体"/>
                <w:b w:val="0"/>
                <w:bCs w:val="0"/>
                <w:caps/>
                <w:kern w:val="2"/>
                <w:sz w:val="21"/>
                <w:szCs w:val="21"/>
                <w:lang w:val="en-US" w:eastAsia="zh-CN" w:bidi="ar-SA"/>
              </w:rPr>
            </w:sdtEndPr>
            <w:sdtContent>
              <w:r>
                <w:rPr>
                  <w:rFonts w:hint="eastAsia" w:ascii="宋体" w:hAnsi="宋体" w:eastAsia="宋体" w:cs="宋体"/>
                  <w:b w:val="0"/>
                  <w:bCs w:val="0"/>
                  <w:sz w:val="21"/>
                  <w:szCs w:val="21"/>
                </w:rPr>
                <w:t>5 有序充电设备技术要求</w:t>
              </w:r>
            </w:sdtContent>
          </w:sdt>
          <w:r>
            <w:rPr>
              <w:rFonts w:hint="eastAsia" w:ascii="宋体" w:hAnsi="宋体" w:eastAsia="宋体" w:cs="宋体"/>
              <w:b w:val="0"/>
              <w:bCs w:val="0"/>
              <w:sz w:val="21"/>
              <w:szCs w:val="21"/>
            </w:rPr>
            <w:tab/>
          </w:r>
          <w:bookmarkStart w:id="25" w:name="_Toc11845_WPSOffice_Level1Page"/>
          <w:r>
            <w:rPr>
              <w:rFonts w:hint="eastAsia" w:ascii="宋体" w:hAnsi="宋体" w:eastAsia="宋体" w:cs="宋体"/>
              <w:b w:val="0"/>
              <w:bCs w:val="0"/>
              <w:sz w:val="21"/>
              <w:szCs w:val="21"/>
            </w:rPr>
            <w:t>3</w:t>
          </w:r>
          <w:bookmarkEnd w:id="25"/>
          <w:r>
            <w:rPr>
              <w:rFonts w:hint="eastAsia" w:ascii="宋体" w:hAnsi="宋体" w:eastAsia="宋体" w:cs="宋体"/>
              <w:b w:val="0"/>
              <w:bCs w:val="0"/>
              <w:sz w:val="21"/>
              <w:szCs w:val="21"/>
            </w:rPr>
            <w:fldChar w:fldCharType="end"/>
          </w:r>
        </w:p>
        <w:p>
          <w:pPr>
            <w:pStyle w:val="75"/>
            <w:tabs>
              <w:tab w:val="right" w:leader="dot" w:pos="8306"/>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_Toc18453_WPSOffice_Level2 </w:instrText>
          </w:r>
          <w:r>
            <w:rPr>
              <w:rFonts w:hint="eastAsia" w:ascii="宋体" w:hAnsi="宋体" w:eastAsia="宋体" w:cs="宋体"/>
              <w:b w:val="0"/>
              <w:bCs w:val="0"/>
              <w:sz w:val="21"/>
              <w:szCs w:val="21"/>
            </w:rPr>
            <w:fldChar w:fldCharType="separate"/>
          </w:r>
          <w:sdt>
            <w:sdtPr>
              <w:rPr>
                <w:rFonts w:hint="eastAsia" w:ascii="宋体" w:hAnsi="宋体" w:eastAsia="宋体" w:cs="宋体"/>
                <w:b w:val="0"/>
                <w:bCs w:val="0"/>
                <w:caps/>
                <w:kern w:val="2"/>
                <w:sz w:val="21"/>
                <w:szCs w:val="21"/>
                <w:lang w:val="en-US" w:eastAsia="zh-CN" w:bidi="ar-SA"/>
              </w:rPr>
              <w:id w:val="147454164"/>
              <w:placeholder>
                <w:docPart w:val="{2ddcfbc7-693e-4691-9cd9-77b4a390aaa6}"/>
              </w:placeholder>
            </w:sdtPr>
            <w:sdtEndPr>
              <w:rPr>
                <w:rFonts w:hint="eastAsia" w:ascii="宋体" w:hAnsi="宋体" w:eastAsia="宋体" w:cs="宋体"/>
                <w:b w:val="0"/>
                <w:bCs w:val="0"/>
                <w:caps/>
                <w:kern w:val="2"/>
                <w:sz w:val="21"/>
                <w:szCs w:val="21"/>
                <w:lang w:val="en-US" w:eastAsia="zh-CN" w:bidi="ar-SA"/>
              </w:rPr>
            </w:sdtEndPr>
            <w:sdtContent>
              <w:r>
                <w:rPr>
                  <w:rFonts w:hint="eastAsia" w:ascii="宋体" w:hAnsi="宋体" w:eastAsia="宋体" w:cs="宋体"/>
                  <w:b w:val="0"/>
                  <w:bCs w:val="0"/>
                  <w:sz w:val="21"/>
                  <w:szCs w:val="21"/>
                </w:rPr>
                <w:t>5.1 通信单元技术要求</w:t>
              </w:r>
            </w:sdtContent>
          </w:sdt>
          <w:r>
            <w:rPr>
              <w:rFonts w:hint="eastAsia" w:ascii="宋体" w:hAnsi="宋体" w:eastAsia="宋体" w:cs="宋体"/>
              <w:b w:val="0"/>
              <w:bCs w:val="0"/>
              <w:sz w:val="21"/>
              <w:szCs w:val="21"/>
            </w:rPr>
            <w:tab/>
          </w:r>
          <w:bookmarkStart w:id="26" w:name="_Toc18453_WPSOffice_Level2Page"/>
          <w:r>
            <w:rPr>
              <w:rFonts w:hint="eastAsia" w:ascii="宋体" w:hAnsi="宋体" w:eastAsia="宋体" w:cs="宋体"/>
              <w:b w:val="0"/>
              <w:bCs w:val="0"/>
              <w:sz w:val="21"/>
              <w:szCs w:val="21"/>
            </w:rPr>
            <w:t>3</w:t>
          </w:r>
          <w:bookmarkEnd w:id="26"/>
          <w:r>
            <w:rPr>
              <w:rFonts w:hint="eastAsia" w:ascii="宋体" w:hAnsi="宋体" w:eastAsia="宋体" w:cs="宋体"/>
              <w:b w:val="0"/>
              <w:bCs w:val="0"/>
              <w:sz w:val="21"/>
              <w:szCs w:val="21"/>
            </w:rPr>
            <w:fldChar w:fldCharType="end"/>
          </w:r>
        </w:p>
        <w:p>
          <w:pPr>
            <w:pStyle w:val="75"/>
            <w:tabs>
              <w:tab w:val="right" w:leader="dot" w:pos="8306"/>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_Toc11845_WPSOffice_Level2 </w:instrText>
          </w:r>
          <w:r>
            <w:rPr>
              <w:rFonts w:hint="eastAsia" w:ascii="宋体" w:hAnsi="宋体" w:eastAsia="宋体" w:cs="宋体"/>
              <w:b w:val="0"/>
              <w:bCs w:val="0"/>
              <w:sz w:val="21"/>
              <w:szCs w:val="21"/>
            </w:rPr>
            <w:fldChar w:fldCharType="separate"/>
          </w:r>
          <w:sdt>
            <w:sdtPr>
              <w:rPr>
                <w:rFonts w:hint="eastAsia" w:ascii="宋体" w:hAnsi="宋体" w:eastAsia="宋体" w:cs="宋体"/>
                <w:b w:val="0"/>
                <w:bCs w:val="0"/>
                <w:caps/>
                <w:kern w:val="2"/>
                <w:sz w:val="21"/>
                <w:szCs w:val="21"/>
                <w:lang w:val="en-US" w:eastAsia="zh-CN" w:bidi="ar-SA"/>
              </w:rPr>
              <w:id w:val="147459491"/>
              <w:placeholder>
                <w:docPart w:val="{5ae8ae4f-32a4-43ba-8717-e3bee00e80e8}"/>
              </w:placeholder>
            </w:sdtPr>
            <w:sdtEndPr>
              <w:rPr>
                <w:rFonts w:hint="eastAsia" w:ascii="宋体" w:hAnsi="宋体" w:eastAsia="宋体" w:cs="宋体"/>
                <w:b w:val="0"/>
                <w:bCs w:val="0"/>
                <w:caps/>
                <w:kern w:val="2"/>
                <w:sz w:val="21"/>
                <w:szCs w:val="21"/>
                <w:lang w:val="en-US" w:eastAsia="zh-CN" w:bidi="ar-SA"/>
              </w:rPr>
            </w:sdtEndPr>
            <w:sdtContent>
              <w:r>
                <w:rPr>
                  <w:rFonts w:hint="eastAsia" w:ascii="宋体" w:hAnsi="宋体" w:eastAsia="宋体" w:cs="宋体"/>
                  <w:b w:val="0"/>
                  <w:bCs w:val="0"/>
                  <w:sz w:val="21"/>
                  <w:szCs w:val="21"/>
                </w:rPr>
                <w:t>5.2 有序充电控制单元技术要求</w:t>
              </w:r>
            </w:sdtContent>
          </w:sdt>
          <w:r>
            <w:rPr>
              <w:rFonts w:hint="eastAsia" w:ascii="宋体" w:hAnsi="宋体" w:eastAsia="宋体" w:cs="宋体"/>
              <w:b w:val="0"/>
              <w:bCs w:val="0"/>
              <w:sz w:val="21"/>
              <w:szCs w:val="21"/>
            </w:rPr>
            <w:tab/>
          </w:r>
          <w:bookmarkStart w:id="27" w:name="_Toc11845_WPSOffice_Level2Page"/>
          <w:r>
            <w:rPr>
              <w:rFonts w:hint="eastAsia" w:ascii="宋体" w:hAnsi="宋体" w:eastAsia="宋体" w:cs="宋体"/>
              <w:b w:val="0"/>
              <w:bCs w:val="0"/>
              <w:sz w:val="21"/>
              <w:szCs w:val="21"/>
            </w:rPr>
            <w:t>5</w:t>
          </w:r>
          <w:bookmarkEnd w:id="27"/>
          <w:r>
            <w:rPr>
              <w:rFonts w:hint="eastAsia" w:ascii="宋体" w:hAnsi="宋体" w:eastAsia="宋体" w:cs="宋体"/>
              <w:b w:val="0"/>
              <w:bCs w:val="0"/>
              <w:sz w:val="21"/>
              <w:szCs w:val="21"/>
            </w:rPr>
            <w:fldChar w:fldCharType="end"/>
          </w:r>
        </w:p>
        <w:p>
          <w:pPr>
            <w:pStyle w:val="75"/>
            <w:tabs>
              <w:tab w:val="right" w:leader="dot" w:pos="8306"/>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_Toc29595_WPSOffice_Level2 </w:instrText>
          </w:r>
          <w:r>
            <w:rPr>
              <w:rFonts w:hint="eastAsia" w:ascii="宋体" w:hAnsi="宋体" w:eastAsia="宋体" w:cs="宋体"/>
              <w:b w:val="0"/>
              <w:bCs w:val="0"/>
              <w:sz w:val="21"/>
              <w:szCs w:val="21"/>
            </w:rPr>
            <w:fldChar w:fldCharType="separate"/>
          </w:r>
          <w:sdt>
            <w:sdtPr>
              <w:rPr>
                <w:rFonts w:hint="eastAsia" w:ascii="宋体" w:hAnsi="宋体" w:eastAsia="宋体" w:cs="宋体"/>
                <w:b w:val="0"/>
                <w:bCs w:val="0"/>
                <w:caps/>
                <w:kern w:val="2"/>
                <w:sz w:val="21"/>
                <w:szCs w:val="21"/>
                <w:lang w:val="en-US" w:eastAsia="zh-CN" w:bidi="ar-SA"/>
              </w:rPr>
              <w:id w:val="147461507"/>
              <w:placeholder>
                <w:docPart w:val="{c3198f22-70ae-4417-8758-f919f6c1a89f}"/>
              </w:placeholder>
            </w:sdtPr>
            <w:sdtEndPr>
              <w:rPr>
                <w:rFonts w:hint="eastAsia" w:ascii="宋体" w:hAnsi="宋体" w:eastAsia="宋体" w:cs="宋体"/>
                <w:b w:val="0"/>
                <w:bCs w:val="0"/>
                <w:caps/>
                <w:kern w:val="2"/>
                <w:sz w:val="21"/>
                <w:szCs w:val="21"/>
                <w:lang w:val="en-US" w:eastAsia="zh-CN" w:bidi="ar-SA"/>
              </w:rPr>
            </w:sdtEndPr>
            <w:sdtContent>
              <w:r>
                <w:rPr>
                  <w:rFonts w:hint="eastAsia" w:ascii="宋体" w:hAnsi="宋体" w:eastAsia="宋体" w:cs="宋体"/>
                  <w:b w:val="0"/>
                  <w:bCs w:val="0"/>
                  <w:sz w:val="21"/>
                  <w:szCs w:val="21"/>
                </w:rPr>
                <w:t>5.3 有序充电桩技术要求</w:t>
              </w:r>
            </w:sdtContent>
          </w:sdt>
          <w:r>
            <w:rPr>
              <w:rFonts w:hint="eastAsia" w:ascii="宋体" w:hAnsi="宋体" w:eastAsia="宋体" w:cs="宋体"/>
              <w:b w:val="0"/>
              <w:bCs w:val="0"/>
              <w:sz w:val="21"/>
              <w:szCs w:val="21"/>
            </w:rPr>
            <w:tab/>
          </w:r>
          <w:bookmarkStart w:id="28" w:name="_Toc29595_WPSOffice_Level2Page"/>
          <w:r>
            <w:rPr>
              <w:rFonts w:hint="eastAsia" w:ascii="宋体" w:hAnsi="宋体" w:eastAsia="宋体" w:cs="宋体"/>
              <w:b w:val="0"/>
              <w:bCs w:val="0"/>
              <w:sz w:val="21"/>
              <w:szCs w:val="21"/>
            </w:rPr>
            <w:t>6</w:t>
          </w:r>
          <w:bookmarkEnd w:id="28"/>
          <w:r>
            <w:rPr>
              <w:rFonts w:hint="eastAsia" w:ascii="宋体" w:hAnsi="宋体" w:eastAsia="宋体" w:cs="宋体"/>
              <w:b w:val="0"/>
              <w:bCs w:val="0"/>
              <w:sz w:val="21"/>
              <w:szCs w:val="21"/>
            </w:rPr>
            <w:fldChar w:fldCharType="end"/>
          </w:r>
        </w:p>
        <w:p>
          <w:pPr>
            <w:pStyle w:val="74"/>
            <w:tabs>
              <w:tab w:val="right" w:leader="dot" w:pos="8306"/>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_Toc29595_WPSOffice_Level1 </w:instrText>
          </w:r>
          <w:r>
            <w:rPr>
              <w:rFonts w:hint="eastAsia" w:ascii="宋体" w:hAnsi="宋体" w:eastAsia="宋体" w:cs="宋体"/>
              <w:b w:val="0"/>
              <w:bCs w:val="0"/>
              <w:sz w:val="21"/>
              <w:szCs w:val="21"/>
            </w:rPr>
            <w:fldChar w:fldCharType="separate"/>
          </w:r>
          <w:sdt>
            <w:sdtPr>
              <w:rPr>
                <w:rFonts w:hint="eastAsia" w:ascii="宋体" w:hAnsi="宋体" w:eastAsia="宋体" w:cs="宋体"/>
                <w:b w:val="0"/>
                <w:bCs w:val="0"/>
                <w:caps/>
                <w:kern w:val="2"/>
                <w:sz w:val="21"/>
                <w:szCs w:val="21"/>
                <w:lang w:val="en-US" w:eastAsia="zh-CN" w:bidi="ar-SA"/>
              </w:rPr>
              <w:id w:val="147466576"/>
              <w:placeholder>
                <w:docPart w:val="{fcae7cfb-65eb-4732-9248-a59644ec70e9}"/>
              </w:placeholder>
            </w:sdtPr>
            <w:sdtEndPr>
              <w:rPr>
                <w:rFonts w:hint="eastAsia" w:ascii="宋体" w:hAnsi="宋体" w:eastAsia="宋体" w:cs="宋体"/>
                <w:b w:val="0"/>
                <w:bCs w:val="0"/>
                <w:caps/>
                <w:kern w:val="2"/>
                <w:sz w:val="21"/>
                <w:szCs w:val="21"/>
                <w:lang w:val="en-US" w:eastAsia="zh-CN" w:bidi="ar-SA"/>
              </w:rPr>
            </w:sdtEndPr>
            <w:sdtContent>
              <w:r>
                <w:rPr>
                  <w:rFonts w:hint="eastAsia" w:ascii="宋体" w:hAnsi="宋体" w:eastAsia="宋体" w:cs="宋体"/>
                  <w:b w:val="0"/>
                  <w:bCs w:val="0"/>
                  <w:sz w:val="21"/>
                  <w:szCs w:val="21"/>
                </w:rPr>
                <w:t>6 用电信息采集终端技术要求</w:t>
              </w:r>
            </w:sdtContent>
          </w:sdt>
          <w:r>
            <w:rPr>
              <w:rFonts w:hint="eastAsia" w:ascii="宋体" w:hAnsi="宋体" w:eastAsia="宋体" w:cs="宋体"/>
              <w:b w:val="0"/>
              <w:bCs w:val="0"/>
              <w:sz w:val="21"/>
              <w:szCs w:val="21"/>
            </w:rPr>
            <w:tab/>
          </w:r>
          <w:bookmarkStart w:id="29" w:name="_Toc29595_WPSOffice_Level1Page"/>
          <w:r>
            <w:rPr>
              <w:rFonts w:hint="eastAsia" w:ascii="宋体" w:hAnsi="宋体" w:eastAsia="宋体" w:cs="宋体"/>
              <w:b w:val="0"/>
              <w:bCs w:val="0"/>
              <w:sz w:val="21"/>
              <w:szCs w:val="21"/>
            </w:rPr>
            <w:t>7</w:t>
          </w:r>
          <w:bookmarkEnd w:id="29"/>
          <w:r>
            <w:rPr>
              <w:rFonts w:hint="eastAsia" w:ascii="宋体" w:hAnsi="宋体" w:eastAsia="宋体" w:cs="宋体"/>
              <w:b w:val="0"/>
              <w:bCs w:val="0"/>
              <w:sz w:val="21"/>
              <w:szCs w:val="21"/>
            </w:rPr>
            <w:fldChar w:fldCharType="end"/>
          </w:r>
        </w:p>
        <w:p>
          <w:pPr>
            <w:pStyle w:val="75"/>
            <w:tabs>
              <w:tab w:val="right" w:leader="dot" w:pos="8306"/>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_Toc6746_WPSOffice_Level2 </w:instrText>
          </w:r>
          <w:r>
            <w:rPr>
              <w:rFonts w:hint="eastAsia" w:ascii="宋体" w:hAnsi="宋体" w:eastAsia="宋体" w:cs="宋体"/>
              <w:b w:val="0"/>
              <w:bCs w:val="0"/>
              <w:sz w:val="21"/>
              <w:szCs w:val="21"/>
            </w:rPr>
            <w:fldChar w:fldCharType="separate"/>
          </w:r>
          <w:sdt>
            <w:sdtPr>
              <w:rPr>
                <w:rFonts w:hint="eastAsia" w:ascii="宋体" w:hAnsi="宋体" w:eastAsia="宋体" w:cs="宋体"/>
                <w:b w:val="0"/>
                <w:bCs w:val="0"/>
                <w:caps/>
                <w:kern w:val="2"/>
                <w:sz w:val="21"/>
                <w:szCs w:val="21"/>
                <w:lang w:val="en-US" w:eastAsia="zh-CN" w:bidi="ar-SA"/>
              </w:rPr>
              <w:id w:val="147468463"/>
              <w:placeholder>
                <w:docPart w:val="{35b44d38-a4d9-49c7-a179-ec7e55928e49}"/>
              </w:placeholder>
            </w:sdtPr>
            <w:sdtEndPr>
              <w:rPr>
                <w:rFonts w:hint="eastAsia" w:ascii="宋体" w:hAnsi="宋体" w:eastAsia="宋体" w:cs="宋体"/>
                <w:b w:val="0"/>
                <w:bCs w:val="0"/>
                <w:caps/>
                <w:kern w:val="2"/>
                <w:sz w:val="21"/>
                <w:szCs w:val="21"/>
                <w:lang w:val="en-US" w:eastAsia="zh-CN" w:bidi="ar-SA"/>
              </w:rPr>
            </w:sdtEndPr>
            <w:sdtContent>
              <w:r>
                <w:rPr>
                  <w:rFonts w:hint="eastAsia" w:ascii="宋体" w:hAnsi="宋体" w:eastAsia="宋体" w:cs="宋体"/>
                  <w:b w:val="0"/>
                  <w:bCs w:val="0"/>
                  <w:sz w:val="21"/>
                  <w:szCs w:val="21"/>
                </w:rPr>
                <w:t>6.1 功能要求</w:t>
              </w:r>
            </w:sdtContent>
          </w:sdt>
          <w:r>
            <w:rPr>
              <w:rFonts w:hint="eastAsia" w:ascii="宋体" w:hAnsi="宋体" w:eastAsia="宋体" w:cs="宋体"/>
              <w:b w:val="0"/>
              <w:bCs w:val="0"/>
              <w:sz w:val="21"/>
              <w:szCs w:val="21"/>
            </w:rPr>
            <w:tab/>
          </w:r>
          <w:bookmarkStart w:id="30" w:name="_Toc6746_WPSOffice_Level2Page"/>
          <w:r>
            <w:rPr>
              <w:rFonts w:hint="eastAsia" w:ascii="宋体" w:hAnsi="宋体" w:eastAsia="宋体" w:cs="宋体"/>
              <w:b w:val="0"/>
              <w:bCs w:val="0"/>
              <w:sz w:val="21"/>
              <w:szCs w:val="21"/>
            </w:rPr>
            <w:t>7</w:t>
          </w:r>
          <w:bookmarkEnd w:id="30"/>
          <w:r>
            <w:rPr>
              <w:rFonts w:hint="eastAsia" w:ascii="宋体" w:hAnsi="宋体" w:eastAsia="宋体" w:cs="宋体"/>
              <w:b w:val="0"/>
              <w:bCs w:val="0"/>
              <w:sz w:val="21"/>
              <w:szCs w:val="21"/>
            </w:rPr>
            <w:fldChar w:fldCharType="end"/>
          </w:r>
        </w:p>
        <w:p>
          <w:pPr>
            <w:pStyle w:val="75"/>
            <w:tabs>
              <w:tab w:val="right" w:leader="dot" w:pos="8306"/>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_Toc26248_WPSOffice_Level2 </w:instrText>
          </w:r>
          <w:r>
            <w:rPr>
              <w:rFonts w:hint="eastAsia" w:ascii="宋体" w:hAnsi="宋体" w:eastAsia="宋体" w:cs="宋体"/>
              <w:b w:val="0"/>
              <w:bCs w:val="0"/>
              <w:sz w:val="21"/>
              <w:szCs w:val="21"/>
            </w:rPr>
            <w:fldChar w:fldCharType="separate"/>
          </w:r>
          <w:sdt>
            <w:sdtPr>
              <w:rPr>
                <w:rFonts w:hint="eastAsia" w:ascii="宋体" w:hAnsi="宋体" w:eastAsia="宋体" w:cs="宋体"/>
                <w:b w:val="0"/>
                <w:bCs w:val="0"/>
                <w:caps/>
                <w:kern w:val="2"/>
                <w:sz w:val="21"/>
                <w:szCs w:val="21"/>
                <w:lang w:val="en-US" w:eastAsia="zh-CN" w:bidi="ar-SA"/>
              </w:rPr>
              <w:id w:val="147473168"/>
              <w:placeholder>
                <w:docPart w:val="{48381eea-869b-4423-b027-c644ce50bb69}"/>
              </w:placeholder>
            </w:sdtPr>
            <w:sdtEndPr>
              <w:rPr>
                <w:rFonts w:hint="eastAsia" w:ascii="宋体" w:hAnsi="宋体" w:eastAsia="宋体" w:cs="宋体"/>
                <w:b w:val="0"/>
                <w:bCs w:val="0"/>
                <w:caps/>
                <w:kern w:val="2"/>
                <w:sz w:val="21"/>
                <w:szCs w:val="21"/>
                <w:lang w:val="en-US" w:eastAsia="zh-CN" w:bidi="ar-SA"/>
              </w:rPr>
            </w:sdtEndPr>
            <w:sdtContent>
              <w:r>
                <w:rPr>
                  <w:rFonts w:hint="eastAsia" w:ascii="宋体" w:hAnsi="宋体" w:eastAsia="宋体" w:cs="宋体"/>
                  <w:b w:val="0"/>
                  <w:bCs w:val="0"/>
                  <w:sz w:val="21"/>
                  <w:szCs w:val="21"/>
                </w:rPr>
                <w:t>6.2 通信要求</w:t>
              </w:r>
            </w:sdtContent>
          </w:sdt>
          <w:r>
            <w:rPr>
              <w:rFonts w:hint="eastAsia" w:ascii="宋体" w:hAnsi="宋体" w:eastAsia="宋体" w:cs="宋体"/>
              <w:b w:val="0"/>
              <w:bCs w:val="0"/>
              <w:sz w:val="21"/>
              <w:szCs w:val="21"/>
            </w:rPr>
            <w:tab/>
          </w:r>
          <w:bookmarkStart w:id="31" w:name="_Toc26248_WPSOffice_Level2Page"/>
          <w:r>
            <w:rPr>
              <w:rFonts w:hint="eastAsia" w:ascii="宋体" w:hAnsi="宋体" w:eastAsia="宋体" w:cs="宋体"/>
              <w:b w:val="0"/>
              <w:bCs w:val="0"/>
              <w:sz w:val="21"/>
              <w:szCs w:val="21"/>
            </w:rPr>
            <w:t>7</w:t>
          </w:r>
          <w:bookmarkEnd w:id="31"/>
          <w:r>
            <w:rPr>
              <w:rFonts w:hint="eastAsia" w:ascii="宋体" w:hAnsi="宋体" w:eastAsia="宋体" w:cs="宋体"/>
              <w:b w:val="0"/>
              <w:bCs w:val="0"/>
              <w:sz w:val="21"/>
              <w:szCs w:val="21"/>
            </w:rPr>
            <w:fldChar w:fldCharType="end"/>
          </w:r>
        </w:p>
        <w:p>
          <w:pPr>
            <w:pStyle w:val="75"/>
            <w:tabs>
              <w:tab w:val="right" w:leader="dot" w:pos="8306"/>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_Toc4779_WPSOffice_Level2 </w:instrText>
          </w:r>
          <w:r>
            <w:rPr>
              <w:rFonts w:hint="eastAsia" w:ascii="宋体" w:hAnsi="宋体" w:eastAsia="宋体" w:cs="宋体"/>
              <w:b w:val="0"/>
              <w:bCs w:val="0"/>
              <w:sz w:val="21"/>
              <w:szCs w:val="21"/>
            </w:rPr>
            <w:fldChar w:fldCharType="separate"/>
          </w:r>
          <w:sdt>
            <w:sdtPr>
              <w:rPr>
                <w:rFonts w:hint="eastAsia" w:ascii="宋体" w:hAnsi="宋体" w:eastAsia="宋体" w:cs="宋体"/>
                <w:b w:val="0"/>
                <w:bCs w:val="0"/>
                <w:caps/>
                <w:kern w:val="2"/>
                <w:sz w:val="21"/>
                <w:szCs w:val="21"/>
                <w:lang w:val="en-US" w:eastAsia="zh-CN" w:bidi="ar-SA"/>
              </w:rPr>
              <w:id w:val="147456003"/>
              <w:placeholder>
                <w:docPart w:val="{712c6024-ce13-48c3-9fb8-c4bd580d136e}"/>
              </w:placeholder>
            </w:sdtPr>
            <w:sdtEndPr>
              <w:rPr>
                <w:rFonts w:hint="eastAsia" w:ascii="宋体" w:hAnsi="宋体" w:eastAsia="宋体" w:cs="宋体"/>
                <w:b w:val="0"/>
                <w:bCs w:val="0"/>
                <w:caps/>
                <w:kern w:val="2"/>
                <w:sz w:val="21"/>
                <w:szCs w:val="21"/>
                <w:lang w:val="en-US" w:eastAsia="zh-CN" w:bidi="ar-SA"/>
              </w:rPr>
            </w:sdtEndPr>
            <w:sdtContent>
              <w:r>
                <w:rPr>
                  <w:rFonts w:hint="eastAsia" w:ascii="宋体" w:hAnsi="宋体" w:eastAsia="宋体" w:cs="宋体"/>
                  <w:b w:val="0"/>
                  <w:bCs w:val="0"/>
                  <w:sz w:val="21"/>
                  <w:szCs w:val="21"/>
                </w:rPr>
                <w:t>6.3 数据要求</w:t>
              </w:r>
            </w:sdtContent>
          </w:sdt>
          <w:r>
            <w:rPr>
              <w:rFonts w:hint="eastAsia" w:ascii="宋体" w:hAnsi="宋体" w:eastAsia="宋体" w:cs="宋体"/>
              <w:b w:val="0"/>
              <w:bCs w:val="0"/>
              <w:sz w:val="21"/>
              <w:szCs w:val="21"/>
            </w:rPr>
            <w:tab/>
          </w:r>
          <w:bookmarkStart w:id="32" w:name="_Toc4779_WPSOffice_Level2Page"/>
          <w:r>
            <w:rPr>
              <w:rFonts w:hint="eastAsia" w:ascii="宋体" w:hAnsi="宋体" w:eastAsia="宋体" w:cs="宋体"/>
              <w:b w:val="0"/>
              <w:bCs w:val="0"/>
              <w:sz w:val="21"/>
              <w:szCs w:val="21"/>
            </w:rPr>
            <w:t>8</w:t>
          </w:r>
          <w:bookmarkEnd w:id="32"/>
          <w:r>
            <w:rPr>
              <w:rFonts w:hint="eastAsia" w:ascii="宋体" w:hAnsi="宋体" w:eastAsia="宋体" w:cs="宋体"/>
              <w:b w:val="0"/>
              <w:bCs w:val="0"/>
              <w:sz w:val="21"/>
              <w:szCs w:val="21"/>
            </w:rPr>
            <w:fldChar w:fldCharType="end"/>
          </w:r>
        </w:p>
        <w:p>
          <w:pPr>
            <w:pStyle w:val="75"/>
            <w:tabs>
              <w:tab w:val="right" w:leader="dot" w:pos="8306"/>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_Toc9835_WPSOffice_Level2 </w:instrText>
          </w:r>
          <w:r>
            <w:rPr>
              <w:rFonts w:hint="eastAsia" w:ascii="宋体" w:hAnsi="宋体" w:eastAsia="宋体" w:cs="宋体"/>
              <w:b w:val="0"/>
              <w:bCs w:val="0"/>
              <w:sz w:val="21"/>
              <w:szCs w:val="21"/>
            </w:rPr>
            <w:fldChar w:fldCharType="separate"/>
          </w:r>
          <w:sdt>
            <w:sdtPr>
              <w:rPr>
                <w:rFonts w:hint="eastAsia" w:ascii="宋体" w:hAnsi="宋体" w:eastAsia="宋体" w:cs="宋体"/>
                <w:b w:val="0"/>
                <w:bCs w:val="0"/>
                <w:caps/>
                <w:kern w:val="2"/>
                <w:sz w:val="21"/>
                <w:szCs w:val="21"/>
                <w:lang w:val="en-US" w:eastAsia="zh-CN" w:bidi="ar-SA"/>
              </w:rPr>
              <w:id w:val="147481656"/>
              <w:placeholder>
                <w:docPart w:val="{49748dff-ca86-46e9-bfdf-cd8dcd9e3c9e}"/>
              </w:placeholder>
            </w:sdtPr>
            <w:sdtEndPr>
              <w:rPr>
                <w:rFonts w:hint="eastAsia" w:ascii="宋体" w:hAnsi="宋体" w:eastAsia="宋体" w:cs="宋体"/>
                <w:b w:val="0"/>
                <w:bCs w:val="0"/>
                <w:caps/>
                <w:kern w:val="2"/>
                <w:sz w:val="21"/>
                <w:szCs w:val="21"/>
                <w:lang w:val="en-US" w:eastAsia="zh-CN" w:bidi="ar-SA"/>
              </w:rPr>
            </w:sdtEndPr>
            <w:sdtContent>
              <w:r>
                <w:rPr>
                  <w:rFonts w:hint="eastAsia" w:ascii="宋体" w:hAnsi="宋体" w:eastAsia="宋体" w:cs="宋体"/>
                  <w:b w:val="0"/>
                  <w:bCs w:val="0"/>
                  <w:sz w:val="21"/>
                  <w:szCs w:val="21"/>
                </w:rPr>
                <w:t>6.4 有序充电边缘自治</w:t>
              </w:r>
            </w:sdtContent>
          </w:sdt>
          <w:r>
            <w:rPr>
              <w:rFonts w:hint="eastAsia" w:ascii="宋体" w:hAnsi="宋体" w:eastAsia="宋体" w:cs="宋体"/>
              <w:b w:val="0"/>
              <w:bCs w:val="0"/>
              <w:sz w:val="21"/>
              <w:szCs w:val="21"/>
            </w:rPr>
            <w:tab/>
          </w:r>
          <w:bookmarkStart w:id="33" w:name="_Toc9835_WPSOffice_Level2Page"/>
          <w:r>
            <w:rPr>
              <w:rFonts w:hint="eastAsia" w:ascii="宋体" w:hAnsi="宋体" w:eastAsia="宋体" w:cs="宋体"/>
              <w:b w:val="0"/>
              <w:bCs w:val="0"/>
              <w:sz w:val="21"/>
              <w:szCs w:val="21"/>
            </w:rPr>
            <w:t>9</w:t>
          </w:r>
          <w:bookmarkEnd w:id="33"/>
          <w:r>
            <w:rPr>
              <w:rFonts w:hint="eastAsia" w:ascii="宋体" w:hAnsi="宋体" w:eastAsia="宋体" w:cs="宋体"/>
              <w:b w:val="0"/>
              <w:bCs w:val="0"/>
              <w:sz w:val="21"/>
              <w:szCs w:val="21"/>
            </w:rPr>
            <w:fldChar w:fldCharType="end"/>
          </w:r>
        </w:p>
        <w:p>
          <w:pPr>
            <w:pStyle w:val="75"/>
            <w:tabs>
              <w:tab w:val="right" w:leader="dot" w:pos="8306"/>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_Toc1056_WPSOffice_Level2 </w:instrText>
          </w:r>
          <w:r>
            <w:rPr>
              <w:rFonts w:hint="eastAsia" w:ascii="宋体" w:hAnsi="宋体" w:eastAsia="宋体" w:cs="宋体"/>
              <w:b w:val="0"/>
              <w:bCs w:val="0"/>
              <w:sz w:val="21"/>
              <w:szCs w:val="21"/>
            </w:rPr>
            <w:fldChar w:fldCharType="separate"/>
          </w:r>
          <w:sdt>
            <w:sdtPr>
              <w:rPr>
                <w:rFonts w:hint="eastAsia" w:ascii="宋体" w:hAnsi="宋体" w:eastAsia="宋体" w:cs="宋体"/>
                <w:b w:val="0"/>
                <w:bCs w:val="0"/>
                <w:caps/>
                <w:kern w:val="2"/>
                <w:sz w:val="21"/>
                <w:szCs w:val="21"/>
                <w:lang w:val="en-US" w:eastAsia="zh-CN" w:bidi="ar-SA"/>
              </w:rPr>
              <w:id w:val="147472507"/>
              <w:placeholder>
                <w:docPart w:val="{ce23e67a-4a6d-4c47-beee-60698e3fbd1c}"/>
              </w:placeholder>
            </w:sdtPr>
            <w:sdtEndPr>
              <w:rPr>
                <w:rFonts w:hint="eastAsia" w:ascii="宋体" w:hAnsi="宋体" w:eastAsia="宋体" w:cs="宋体"/>
                <w:b w:val="0"/>
                <w:bCs w:val="0"/>
                <w:caps/>
                <w:kern w:val="2"/>
                <w:sz w:val="21"/>
                <w:szCs w:val="21"/>
                <w:lang w:val="en-US" w:eastAsia="zh-CN" w:bidi="ar-SA"/>
              </w:rPr>
            </w:sdtEndPr>
            <w:sdtContent>
              <w:r>
                <w:rPr>
                  <w:rFonts w:hint="eastAsia" w:ascii="宋体" w:hAnsi="宋体" w:eastAsia="宋体" w:cs="宋体"/>
                  <w:b w:val="0"/>
                  <w:bCs w:val="0"/>
                  <w:sz w:val="21"/>
                  <w:szCs w:val="21"/>
                </w:rPr>
                <w:t>6.5 信息安全防护要求</w:t>
              </w:r>
            </w:sdtContent>
          </w:sdt>
          <w:r>
            <w:rPr>
              <w:rFonts w:hint="eastAsia" w:ascii="宋体" w:hAnsi="宋体" w:eastAsia="宋体" w:cs="宋体"/>
              <w:b w:val="0"/>
              <w:bCs w:val="0"/>
              <w:sz w:val="21"/>
              <w:szCs w:val="21"/>
            </w:rPr>
            <w:tab/>
          </w:r>
          <w:bookmarkStart w:id="34" w:name="_Toc1056_WPSOffice_Level2Page"/>
          <w:r>
            <w:rPr>
              <w:rFonts w:hint="eastAsia" w:ascii="宋体" w:hAnsi="宋体" w:eastAsia="宋体" w:cs="宋体"/>
              <w:b w:val="0"/>
              <w:bCs w:val="0"/>
              <w:sz w:val="21"/>
              <w:szCs w:val="21"/>
            </w:rPr>
            <w:t>10</w:t>
          </w:r>
          <w:bookmarkEnd w:id="34"/>
          <w:r>
            <w:rPr>
              <w:rFonts w:hint="eastAsia" w:ascii="宋体" w:hAnsi="宋体" w:eastAsia="宋体" w:cs="宋体"/>
              <w:b w:val="0"/>
              <w:bCs w:val="0"/>
              <w:sz w:val="21"/>
              <w:szCs w:val="21"/>
            </w:rPr>
            <w:fldChar w:fldCharType="end"/>
          </w:r>
        </w:p>
        <w:p>
          <w:pPr>
            <w:pStyle w:val="74"/>
            <w:tabs>
              <w:tab w:val="right" w:leader="dot" w:pos="8306"/>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_Toc6746_WPSOffice_Level1 </w:instrText>
          </w:r>
          <w:r>
            <w:rPr>
              <w:rFonts w:hint="eastAsia" w:ascii="宋体" w:hAnsi="宋体" w:eastAsia="宋体" w:cs="宋体"/>
              <w:b w:val="0"/>
              <w:bCs w:val="0"/>
              <w:sz w:val="21"/>
              <w:szCs w:val="21"/>
            </w:rPr>
            <w:fldChar w:fldCharType="separate"/>
          </w:r>
          <w:sdt>
            <w:sdtPr>
              <w:rPr>
                <w:rFonts w:hint="eastAsia" w:ascii="宋体" w:hAnsi="宋体" w:eastAsia="宋体" w:cs="宋体"/>
                <w:b w:val="0"/>
                <w:bCs w:val="0"/>
                <w:caps/>
                <w:kern w:val="2"/>
                <w:sz w:val="21"/>
                <w:szCs w:val="21"/>
                <w:lang w:val="en-US" w:eastAsia="zh-CN" w:bidi="ar-SA"/>
              </w:rPr>
              <w:id w:val="147473117"/>
              <w:placeholder>
                <w:docPart w:val="{a6c49811-5f15-484e-a021-2d2fdd0b0571}"/>
              </w:placeholder>
            </w:sdtPr>
            <w:sdtEndPr>
              <w:rPr>
                <w:rFonts w:hint="eastAsia" w:ascii="宋体" w:hAnsi="宋体" w:eastAsia="宋体" w:cs="宋体"/>
                <w:b w:val="0"/>
                <w:bCs w:val="0"/>
                <w:caps/>
                <w:kern w:val="2"/>
                <w:sz w:val="21"/>
                <w:szCs w:val="21"/>
                <w:lang w:val="en-US" w:eastAsia="zh-CN" w:bidi="ar-SA"/>
              </w:rPr>
            </w:sdtEndPr>
            <w:sdtContent>
              <w:r>
                <w:rPr>
                  <w:rFonts w:hint="eastAsia" w:ascii="宋体" w:hAnsi="宋体" w:eastAsia="宋体" w:cs="宋体"/>
                  <w:b w:val="0"/>
                  <w:bCs w:val="0"/>
                  <w:sz w:val="21"/>
                  <w:szCs w:val="21"/>
                </w:rPr>
                <w:t>7 有序充电管理系统技术要求</w:t>
              </w:r>
            </w:sdtContent>
          </w:sdt>
          <w:r>
            <w:rPr>
              <w:rFonts w:hint="eastAsia" w:ascii="宋体" w:hAnsi="宋体" w:eastAsia="宋体" w:cs="宋体"/>
              <w:b w:val="0"/>
              <w:bCs w:val="0"/>
              <w:sz w:val="21"/>
              <w:szCs w:val="21"/>
            </w:rPr>
            <w:tab/>
          </w:r>
          <w:bookmarkStart w:id="35" w:name="_Toc6746_WPSOffice_Level1Page"/>
          <w:r>
            <w:rPr>
              <w:rFonts w:hint="eastAsia" w:ascii="宋体" w:hAnsi="宋体" w:eastAsia="宋体" w:cs="宋体"/>
              <w:b w:val="0"/>
              <w:bCs w:val="0"/>
              <w:sz w:val="21"/>
              <w:szCs w:val="21"/>
            </w:rPr>
            <w:t>10</w:t>
          </w:r>
          <w:bookmarkEnd w:id="35"/>
          <w:r>
            <w:rPr>
              <w:rFonts w:hint="eastAsia" w:ascii="宋体" w:hAnsi="宋体" w:eastAsia="宋体" w:cs="宋体"/>
              <w:b w:val="0"/>
              <w:bCs w:val="0"/>
              <w:sz w:val="21"/>
              <w:szCs w:val="21"/>
            </w:rPr>
            <w:fldChar w:fldCharType="end"/>
          </w:r>
        </w:p>
        <w:p>
          <w:pPr>
            <w:pStyle w:val="75"/>
            <w:tabs>
              <w:tab w:val="right" w:leader="dot" w:pos="8306"/>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_Toc15319_WPSOffice_Level2 </w:instrText>
          </w:r>
          <w:r>
            <w:rPr>
              <w:rFonts w:hint="eastAsia" w:ascii="宋体" w:hAnsi="宋体" w:eastAsia="宋体" w:cs="宋体"/>
              <w:b w:val="0"/>
              <w:bCs w:val="0"/>
              <w:sz w:val="21"/>
              <w:szCs w:val="21"/>
            </w:rPr>
            <w:fldChar w:fldCharType="separate"/>
          </w:r>
          <w:sdt>
            <w:sdtPr>
              <w:rPr>
                <w:rFonts w:hint="eastAsia" w:ascii="宋体" w:hAnsi="宋体" w:eastAsia="宋体" w:cs="宋体"/>
                <w:b w:val="0"/>
                <w:bCs w:val="0"/>
                <w:caps/>
                <w:kern w:val="2"/>
                <w:sz w:val="21"/>
                <w:szCs w:val="21"/>
                <w:lang w:val="en-US" w:eastAsia="zh-CN" w:bidi="ar-SA"/>
              </w:rPr>
              <w:id w:val="147464394"/>
              <w:placeholder>
                <w:docPart w:val="{65ed9f36-3232-46f9-95fc-64a21cc4b506}"/>
              </w:placeholder>
            </w:sdtPr>
            <w:sdtEndPr>
              <w:rPr>
                <w:rFonts w:hint="eastAsia" w:ascii="宋体" w:hAnsi="宋体" w:eastAsia="宋体" w:cs="宋体"/>
                <w:b w:val="0"/>
                <w:bCs w:val="0"/>
                <w:caps/>
                <w:kern w:val="2"/>
                <w:sz w:val="21"/>
                <w:szCs w:val="21"/>
                <w:lang w:val="en-US" w:eastAsia="zh-CN" w:bidi="ar-SA"/>
              </w:rPr>
            </w:sdtEndPr>
            <w:sdtContent>
              <w:r>
                <w:rPr>
                  <w:rFonts w:hint="eastAsia" w:ascii="宋体" w:hAnsi="宋体" w:eastAsia="宋体" w:cs="宋体"/>
                  <w:b w:val="0"/>
                  <w:bCs w:val="0"/>
                  <w:sz w:val="21"/>
                  <w:szCs w:val="21"/>
                </w:rPr>
                <w:t>7.1 通用要求</w:t>
              </w:r>
            </w:sdtContent>
          </w:sdt>
          <w:r>
            <w:rPr>
              <w:rFonts w:hint="eastAsia" w:ascii="宋体" w:hAnsi="宋体" w:eastAsia="宋体" w:cs="宋体"/>
              <w:b w:val="0"/>
              <w:bCs w:val="0"/>
              <w:sz w:val="21"/>
              <w:szCs w:val="21"/>
            </w:rPr>
            <w:tab/>
          </w:r>
          <w:bookmarkStart w:id="36" w:name="_Toc15319_WPSOffice_Level2Page"/>
          <w:r>
            <w:rPr>
              <w:rFonts w:hint="eastAsia" w:ascii="宋体" w:hAnsi="宋体" w:eastAsia="宋体" w:cs="宋体"/>
              <w:b w:val="0"/>
              <w:bCs w:val="0"/>
              <w:sz w:val="21"/>
              <w:szCs w:val="21"/>
            </w:rPr>
            <w:t>10</w:t>
          </w:r>
          <w:bookmarkEnd w:id="36"/>
          <w:r>
            <w:rPr>
              <w:rFonts w:hint="eastAsia" w:ascii="宋体" w:hAnsi="宋体" w:eastAsia="宋体" w:cs="宋体"/>
              <w:b w:val="0"/>
              <w:bCs w:val="0"/>
              <w:sz w:val="21"/>
              <w:szCs w:val="21"/>
            </w:rPr>
            <w:fldChar w:fldCharType="end"/>
          </w:r>
        </w:p>
        <w:p>
          <w:pPr>
            <w:pStyle w:val="75"/>
            <w:tabs>
              <w:tab w:val="right" w:leader="dot" w:pos="8306"/>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_Toc3869_WPSOffice_Level2 </w:instrText>
          </w:r>
          <w:r>
            <w:rPr>
              <w:rFonts w:hint="eastAsia" w:ascii="宋体" w:hAnsi="宋体" w:eastAsia="宋体" w:cs="宋体"/>
              <w:b w:val="0"/>
              <w:bCs w:val="0"/>
              <w:sz w:val="21"/>
              <w:szCs w:val="21"/>
            </w:rPr>
            <w:fldChar w:fldCharType="separate"/>
          </w:r>
          <w:sdt>
            <w:sdtPr>
              <w:rPr>
                <w:rFonts w:hint="eastAsia" w:ascii="宋体" w:hAnsi="宋体" w:eastAsia="宋体" w:cs="宋体"/>
                <w:b w:val="0"/>
                <w:bCs w:val="0"/>
                <w:caps/>
                <w:kern w:val="2"/>
                <w:sz w:val="21"/>
                <w:szCs w:val="21"/>
                <w:lang w:val="en-US" w:eastAsia="zh-CN" w:bidi="ar-SA"/>
              </w:rPr>
              <w:id w:val="147462168"/>
              <w:placeholder>
                <w:docPart w:val="{8aaa3b67-eeea-4647-83b2-872fc50c5a7c}"/>
              </w:placeholder>
            </w:sdtPr>
            <w:sdtEndPr>
              <w:rPr>
                <w:rFonts w:hint="eastAsia" w:ascii="宋体" w:hAnsi="宋体" w:eastAsia="宋体" w:cs="宋体"/>
                <w:b w:val="0"/>
                <w:bCs w:val="0"/>
                <w:caps/>
                <w:kern w:val="2"/>
                <w:sz w:val="21"/>
                <w:szCs w:val="21"/>
                <w:lang w:val="en-US" w:eastAsia="zh-CN" w:bidi="ar-SA"/>
              </w:rPr>
            </w:sdtEndPr>
            <w:sdtContent>
              <w:r>
                <w:rPr>
                  <w:rFonts w:hint="eastAsia" w:ascii="宋体" w:hAnsi="宋体" w:eastAsia="宋体" w:cs="宋体"/>
                  <w:b w:val="0"/>
                  <w:bCs w:val="0"/>
                  <w:sz w:val="21"/>
                  <w:szCs w:val="21"/>
                </w:rPr>
                <w:t>7.2 数据要求</w:t>
              </w:r>
            </w:sdtContent>
          </w:sdt>
          <w:r>
            <w:rPr>
              <w:rFonts w:hint="eastAsia" w:ascii="宋体" w:hAnsi="宋体" w:eastAsia="宋体" w:cs="宋体"/>
              <w:b w:val="0"/>
              <w:bCs w:val="0"/>
              <w:sz w:val="21"/>
              <w:szCs w:val="21"/>
            </w:rPr>
            <w:tab/>
          </w:r>
          <w:bookmarkStart w:id="37" w:name="_Toc3869_WPSOffice_Level2Page"/>
          <w:r>
            <w:rPr>
              <w:rFonts w:hint="eastAsia" w:ascii="宋体" w:hAnsi="宋体" w:eastAsia="宋体" w:cs="宋体"/>
              <w:b w:val="0"/>
              <w:bCs w:val="0"/>
              <w:sz w:val="21"/>
              <w:szCs w:val="21"/>
            </w:rPr>
            <w:t>10</w:t>
          </w:r>
          <w:bookmarkEnd w:id="37"/>
          <w:r>
            <w:rPr>
              <w:rFonts w:hint="eastAsia" w:ascii="宋体" w:hAnsi="宋体" w:eastAsia="宋体" w:cs="宋体"/>
              <w:b w:val="0"/>
              <w:bCs w:val="0"/>
              <w:sz w:val="21"/>
              <w:szCs w:val="21"/>
            </w:rPr>
            <w:fldChar w:fldCharType="end"/>
          </w:r>
        </w:p>
        <w:p>
          <w:pPr>
            <w:pStyle w:val="74"/>
            <w:tabs>
              <w:tab w:val="right" w:leader="dot" w:pos="8306"/>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_Toc26248_WPSOffice_Level1 </w:instrText>
          </w:r>
          <w:r>
            <w:rPr>
              <w:rFonts w:hint="eastAsia" w:ascii="宋体" w:hAnsi="宋体" w:eastAsia="宋体" w:cs="宋体"/>
              <w:b w:val="0"/>
              <w:bCs w:val="0"/>
              <w:sz w:val="21"/>
              <w:szCs w:val="21"/>
            </w:rPr>
            <w:fldChar w:fldCharType="separate"/>
          </w:r>
          <w:sdt>
            <w:sdtPr>
              <w:rPr>
                <w:rFonts w:hint="eastAsia" w:ascii="宋体" w:hAnsi="宋体" w:eastAsia="宋体" w:cs="宋体"/>
                <w:b w:val="0"/>
                <w:bCs w:val="0"/>
                <w:caps/>
                <w:kern w:val="2"/>
                <w:sz w:val="21"/>
                <w:szCs w:val="21"/>
                <w:lang w:val="en-US" w:eastAsia="zh-CN" w:bidi="ar-SA"/>
              </w:rPr>
              <w:id w:val="147455487"/>
              <w:placeholder>
                <w:docPart w:val="{a3337df4-135b-473d-b821-2cfb4daf1b77}"/>
              </w:placeholder>
            </w:sdtPr>
            <w:sdtEndPr>
              <w:rPr>
                <w:rFonts w:hint="eastAsia" w:ascii="宋体" w:hAnsi="宋体" w:eastAsia="宋体" w:cs="宋体"/>
                <w:b w:val="0"/>
                <w:bCs w:val="0"/>
                <w:caps/>
                <w:kern w:val="2"/>
                <w:sz w:val="21"/>
                <w:szCs w:val="21"/>
                <w:lang w:val="en-US" w:eastAsia="zh-CN" w:bidi="ar-SA"/>
              </w:rPr>
            </w:sdtEndPr>
            <w:sdtContent>
              <w:r>
                <w:rPr>
                  <w:rFonts w:hint="eastAsia" w:ascii="宋体" w:hAnsi="宋体" w:eastAsia="宋体" w:cs="宋体"/>
                  <w:b w:val="0"/>
                  <w:bCs w:val="0"/>
                  <w:sz w:val="21"/>
                  <w:szCs w:val="21"/>
                </w:rPr>
                <w:t>8 检测、入网及运行要求</w:t>
              </w:r>
            </w:sdtContent>
          </w:sdt>
          <w:r>
            <w:rPr>
              <w:rFonts w:hint="eastAsia" w:ascii="宋体" w:hAnsi="宋体" w:eastAsia="宋体" w:cs="宋体"/>
              <w:b w:val="0"/>
              <w:bCs w:val="0"/>
              <w:sz w:val="21"/>
              <w:szCs w:val="21"/>
            </w:rPr>
            <w:tab/>
          </w:r>
          <w:bookmarkStart w:id="38" w:name="_Toc26248_WPSOffice_Level1Page"/>
          <w:r>
            <w:rPr>
              <w:rFonts w:hint="eastAsia" w:ascii="宋体" w:hAnsi="宋体" w:eastAsia="宋体" w:cs="宋体"/>
              <w:b w:val="0"/>
              <w:bCs w:val="0"/>
              <w:sz w:val="21"/>
              <w:szCs w:val="21"/>
            </w:rPr>
            <w:t>12</w:t>
          </w:r>
          <w:bookmarkEnd w:id="38"/>
          <w:r>
            <w:rPr>
              <w:rFonts w:hint="eastAsia" w:ascii="宋体" w:hAnsi="宋体" w:eastAsia="宋体" w:cs="宋体"/>
              <w:b w:val="0"/>
              <w:bCs w:val="0"/>
              <w:sz w:val="21"/>
              <w:szCs w:val="21"/>
            </w:rPr>
            <w:fldChar w:fldCharType="end"/>
          </w:r>
        </w:p>
        <w:p>
          <w:pPr>
            <w:pStyle w:val="75"/>
            <w:tabs>
              <w:tab w:val="right" w:leader="dot" w:pos="8306"/>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_Toc7991_WPSOffice_Level2 </w:instrText>
          </w:r>
          <w:r>
            <w:rPr>
              <w:rFonts w:hint="eastAsia" w:ascii="宋体" w:hAnsi="宋体" w:eastAsia="宋体" w:cs="宋体"/>
              <w:b w:val="0"/>
              <w:bCs w:val="0"/>
              <w:sz w:val="21"/>
              <w:szCs w:val="21"/>
            </w:rPr>
            <w:fldChar w:fldCharType="separate"/>
          </w:r>
          <w:sdt>
            <w:sdtPr>
              <w:rPr>
                <w:rFonts w:hint="eastAsia" w:ascii="宋体" w:hAnsi="宋体" w:eastAsia="宋体" w:cs="宋体"/>
                <w:b w:val="0"/>
                <w:bCs w:val="0"/>
                <w:caps/>
                <w:kern w:val="2"/>
                <w:sz w:val="21"/>
                <w:szCs w:val="21"/>
                <w:lang w:val="en-US" w:eastAsia="zh-CN" w:bidi="ar-SA"/>
              </w:rPr>
              <w:id w:val="147467173"/>
              <w:placeholder>
                <w:docPart w:val="{95ec952a-8aba-49bc-b49e-e0aa24bd8611}"/>
              </w:placeholder>
            </w:sdtPr>
            <w:sdtEndPr>
              <w:rPr>
                <w:rFonts w:hint="eastAsia" w:ascii="宋体" w:hAnsi="宋体" w:eastAsia="宋体" w:cs="宋体"/>
                <w:b w:val="0"/>
                <w:bCs w:val="0"/>
                <w:caps/>
                <w:kern w:val="2"/>
                <w:sz w:val="21"/>
                <w:szCs w:val="21"/>
                <w:lang w:val="en-US" w:eastAsia="zh-CN" w:bidi="ar-SA"/>
              </w:rPr>
            </w:sdtEndPr>
            <w:sdtContent>
              <w:r>
                <w:rPr>
                  <w:rFonts w:hint="eastAsia" w:ascii="宋体" w:hAnsi="宋体" w:eastAsia="宋体" w:cs="宋体"/>
                  <w:b w:val="0"/>
                  <w:bCs w:val="0"/>
                  <w:sz w:val="21"/>
                  <w:szCs w:val="21"/>
                </w:rPr>
                <w:t>8.1 检测要求</w:t>
              </w:r>
            </w:sdtContent>
          </w:sdt>
          <w:r>
            <w:rPr>
              <w:rFonts w:hint="eastAsia" w:ascii="宋体" w:hAnsi="宋体" w:eastAsia="宋体" w:cs="宋体"/>
              <w:b w:val="0"/>
              <w:bCs w:val="0"/>
              <w:sz w:val="21"/>
              <w:szCs w:val="21"/>
            </w:rPr>
            <w:tab/>
          </w:r>
          <w:bookmarkStart w:id="39" w:name="_Toc7991_WPSOffice_Level2Page"/>
          <w:r>
            <w:rPr>
              <w:rFonts w:hint="eastAsia" w:ascii="宋体" w:hAnsi="宋体" w:eastAsia="宋体" w:cs="宋体"/>
              <w:b w:val="0"/>
              <w:bCs w:val="0"/>
              <w:sz w:val="21"/>
              <w:szCs w:val="21"/>
            </w:rPr>
            <w:t>12</w:t>
          </w:r>
          <w:bookmarkEnd w:id="39"/>
          <w:r>
            <w:rPr>
              <w:rFonts w:hint="eastAsia" w:ascii="宋体" w:hAnsi="宋体" w:eastAsia="宋体" w:cs="宋体"/>
              <w:b w:val="0"/>
              <w:bCs w:val="0"/>
              <w:sz w:val="21"/>
              <w:szCs w:val="21"/>
            </w:rPr>
            <w:fldChar w:fldCharType="end"/>
          </w:r>
        </w:p>
        <w:p>
          <w:pPr>
            <w:pStyle w:val="75"/>
            <w:tabs>
              <w:tab w:val="right" w:leader="dot" w:pos="8306"/>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_Toc9625_WPSOffice_Level2 </w:instrText>
          </w:r>
          <w:r>
            <w:rPr>
              <w:rFonts w:hint="eastAsia" w:ascii="宋体" w:hAnsi="宋体" w:eastAsia="宋体" w:cs="宋体"/>
              <w:b w:val="0"/>
              <w:bCs w:val="0"/>
              <w:sz w:val="21"/>
              <w:szCs w:val="21"/>
            </w:rPr>
            <w:fldChar w:fldCharType="separate"/>
          </w:r>
          <w:sdt>
            <w:sdtPr>
              <w:rPr>
                <w:rFonts w:hint="eastAsia" w:ascii="宋体" w:hAnsi="宋体" w:eastAsia="宋体" w:cs="宋体"/>
                <w:b w:val="0"/>
                <w:bCs w:val="0"/>
                <w:caps/>
                <w:kern w:val="2"/>
                <w:sz w:val="21"/>
                <w:szCs w:val="21"/>
                <w:lang w:val="en-US" w:eastAsia="zh-CN" w:bidi="ar-SA"/>
              </w:rPr>
              <w:id w:val="147455032"/>
              <w:placeholder>
                <w:docPart w:val="{c36c9c01-3545-430d-8537-7e36f31bed9d}"/>
              </w:placeholder>
            </w:sdtPr>
            <w:sdtEndPr>
              <w:rPr>
                <w:rFonts w:hint="eastAsia" w:ascii="宋体" w:hAnsi="宋体" w:eastAsia="宋体" w:cs="宋体"/>
                <w:b w:val="0"/>
                <w:bCs w:val="0"/>
                <w:caps/>
                <w:kern w:val="2"/>
                <w:sz w:val="21"/>
                <w:szCs w:val="21"/>
                <w:lang w:val="en-US" w:eastAsia="zh-CN" w:bidi="ar-SA"/>
              </w:rPr>
            </w:sdtEndPr>
            <w:sdtContent>
              <w:r>
                <w:rPr>
                  <w:rFonts w:hint="eastAsia" w:ascii="宋体" w:hAnsi="宋体" w:eastAsia="宋体" w:cs="宋体"/>
                  <w:b w:val="0"/>
                  <w:bCs w:val="0"/>
                  <w:sz w:val="21"/>
                  <w:szCs w:val="21"/>
                </w:rPr>
                <w:t>8.2 检测项目</w:t>
              </w:r>
            </w:sdtContent>
          </w:sdt>
          <w:r>
            <w:rPr>
              <w:rFonts w:hint="eastAsia" w:ascii="宋体" w:hAnsi="宋体" w:eastAsia="宋体" w:cs="宋体"/>
              <w:b w:val="0"/>
              <w:bCs w:val="0"/>
              <w:sz w:val="21"/>
              <w:szCs w:val="21"/>
            </w:rPr>
            <w:tab/>
          </w:r>
          <w:bookmarkStart w:id="40" w:name="_Toc9625_WPSOffice_Level2Page"/>
          <w:r>
            <w:rPr>
              <w:rFonts w:hint="eastAsia" w:ascii="宋体" w:hAnsi="宋体" w:eastAsia="宋体" w:cs="宋体"/>
              <w:b w:val="0"/>
              <w:bCs w:val="0"/>
              <w:sz w:val="21"/>
              <w:szCs w:val="21"/>
            </w:rPr>
            <w:t>12</w:t>
          </w:r>
          <w:bookmarkEnd w:id="40"/>
          <w:r>
            <w:rPr>
              <w:rFonts w:hint="eastAsia" w:ascii="宋体" w:hAnsi="宋体" w:eastAsia="宋体" w:cs="宋体"/>
              <w:b w:val="0"/>
              <w:bCs w:val="0"/>
              <w:sz w:val="21"/>
              <w:szCs w:val="21"/>
            </w:rPr>
            <w:fldChar w:fldCharType="end"/>
          </w:r>
        </w:p>
        <w:p>
          <w:pPr>
            <w:pStyle w:val="75"/>
            <w:tabs>
              <w:tab w:val="right" w:leader="dot" w:pos="8306"/>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_Toc12560_WPSOffice_Level2 </w:instrText>
          </w:r>
          <w:r>
            <w:rPr>
              <w:rFonts w:hint="eastAsia" w:ascii="宋体" w:hAnsi="宋体" w:eastAsia="宋体" w:cs="宋体"/>
              <w:b w:val="0"/>
              <w:bCs w:val="0"/>
              <w:sz w:val="21"/>
              <w:szCs w:val="21"/>
            </w:rPr>
            <w:fldChar w:fldCharType="separate"/>
          </w:r>
          <w:sdt>
            <w:sdtPr>
              <w:rPr>
                <w:rFonts w:hint="eastAsia" w:ascii="宋体" w:hAnsi="宋体" w:eastAsia="宋体" w:cs="宋体"/>
                <w:b w:val="0"/>
                <w:bCs w:val="0"/>
                <w:caps/>
                <w:kern w:val="2"/>
                <w:sz w:val="21"/>
                <w:szCs w:val="21"/>
                <w:lang w:val="en-US" w:eastAsia="zh-CN" w:bidi="ar-SA"/>
              </w:rPr>
              <w:id w:val="147478333"/>
              <w:placeholder>
                <w:docPart w:val="{6604057e-5467-414d-88e3-6c1844e717c3}"/>
              </w:placeholder>
            </w:sdtPr>
            <w:sdtEndPr>
              <w:rPr>
                <w:rFonts w:hint="eastAsia" w:ascii="宋体" w:hAnsi="宋体" w:eastAsia="宋体" w:cs="宋体"/>
                <w:b w:val="0"/>
                <w:bCs w:val="0"/>
                <w:caps/>
                <w:kern w:val="2"/>
                <w:sz w:val="21"/>
                <w:szCs w:val="21"/>
                <w:lang w:val="en-US" w:eastAsia="zh-CN" w:bidi="ar-SA"/>
              </w:rPr>
            </w:sdtEndPr>
            <w:sdtContent>
              <w:r>
                <w:rPr>
                  <w:rFonts w:hint="eastAsia" w:ascii="宋体" w:hAnsi="宋体" w:eastAsia="宋体" w:cs="宋体"/>
                  <w:b w:val="0"/>
                  <w:bCs w:val="0"/>
                  <w:sz w:val="21"/>
                  <w:szCs w:val="21"/>
                </w:rPr>
                <w:t>8.3 入网及运行要求</w:t>
              </w:r>
            </w:sdtContent>
          </w:sdt>
          <w:r>
            <w:rPr>
              <w:rFonts w:hint="eastAsia" w:ascii="宋体" w:hAnsi="宋体" w:eastAsia="宋体" w:cs="宋体"/>
              <w:b w:val="0"/>
              <w:bCs w:val="0"/>
              <w:sz w:val="21"/>
              <w:szCs w:val="21"/>
            </w:rPr>
            <w:tab/>
          </w:r>
          <w:bookmarkStart w:id="41" w:name="_Toc12560_WPSOffice_Level2Page"/>
          <w:r>
            <w:rPr>
              <w:rFonts w:hint="eastAsia" w:ascii="宋体" w:hAnsi="宋体" w:eastAsia="宋体" w:cs="宋体"/>
              <w:b w:val="0"/>
              <w:bCs w:val="0"/>
              <w:sz w:val="21"/>
              <w:szCs w:val="21"/>
            </w:rPr>
            <w:t>15</w:t>
          </w:r>
          <w:bookmarkEnd w:id="41"/>
          <w:r>
            <w:rPr>
              <w:rFonts w:hint="eastAsia" w:ascii="宋体" w:hAnsi="宋体" w:eastAsia="宋体" w:cs="宋体"/>
              <w:b w:val="0"/>
              <w:bCs w:val="0"/>
              <w:sz w:val="21"/>
              <w:szCs w:val="21"/>
            </w:rPr>
            <w:fldChar w:fldCharType="end"/>
          </w:r>
          <w:bookmarkEnd w:id="15"/>
        </w:p>
      </w:sdtContent>
    </w:sdt>
    <w:p>
      <w:pPr>
        <w:pStyle w:val="74"/>
        <w:tabs>
          <w:tab w:val="right" w:leader="dot" w:pos="8306"/>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TOC \o "1-2" \h \u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_Toc27740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rPr>
        <w:t>附录A</w:t>
      </w:r>
      <w:r>
        <w:rPr>
          <w:rFonts w:hint="eastAsia" w:ascii="宋体" w:hAnsi="宋体" w:eastAsia="宋体" w:cs="宋体"/>
          <w:b w:val="0"/>
          <w:bCs w:val="0"/>
          <w:sz w:val="21"/>
          <w:szCs w:val="21"/>
          <w:lang w:val="en-US" w:eastAsia="zh-CN"/>
        </w:rPr>
        <w:t>外置通信单元</w:t>
      </w:r>
      <w:r>
        <w:rPr>
          <w:rFonts w:hint="eastAsia" w:ascii="宋体" w:hAnsi="宋体" w:eastAsia="宋体" w:cs="宋体"/>
          <w:b w:val="0"/>
          <w:bCs w:val="0"/>
          <w:sz w:val="21"/>
          <w:szCs w:val="21"/>
        </w:rPr>
        <w:tab/>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PAGEREF _Toc27740 \h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rPr>
        <w:t>17</w:t>
      </w:r>
      <w:r>
        <w:rPr>
          <w:rFonts w:hint="eastAsia" w:ascii="宋体" w:hAnsi="宋体" w:eastAsia="宋体" w:cs="宋体"/>
          <w:b w:val="0"/>
          <w:bCs w:val="0"/>
          <w:sz w:val="21"/>
          <w:szCs w:val="21"/>
        </w:rPr>
        <w:fldChar w:fldCharType="end"/>
      </w:r>
      <w:r>
        <w:rPr>
          <w:rFonts w:hint="eastAsia" w:ascii="宋体" w:hAnsi="宋体" w:eastAsia="宋体" w:cs="宋体"/>
          <w:b w:val="0"/>
          <w:bCs w:val="0"/>
          <w:sz w:val="21"/>
          <w:szCs w:val="21"/>
        </w:rPr>
        <w:fldChar w:fldCharType="end"/>
      </w:r>
    </w:p>
    <w:p>
      <w:pPr>
        <w:pStyle w:val="74"/>
        <w:tabs>
          <w:tab w:val="right" w:leader="dot" w:pos="8306"/>
        </w:tabs>
        <w:sectPr>
          <w:headerReference r:id="rId11" w:type="first"/>
          <w:footerReference r:id="rId14" w:type="first"/>
          <w:headerReference r:id="rId9" w:type="default"/>
          <w:footerReference r:id="rId12" w:type="default"/>
          <w:headerReference r:id="rId10" w:type="even"/>
          <w:footerReference r:id="rId13" w:type="even"/>
          <w:pgSz w:w="11906" w:h="16838"/>
          <w:pgMar w:top="1440" w:right="1800" w:bottom="1440" w:left="1800" w:header="851" w:footer="992" w:gutter="0"/>
          <w:pgNumType w:fmt="upperRoman" w:start="2"/>
          <w:cols w:space="720" w:num="1"/>
          <w:titlePg/>
          <w:docGrid w:type="lines" w:linePitch="312" w:charSpace="0"/>
        </w:sectPr>
      </w:pPr>
      <w:r>
        <w:rPr>
          <w:rFonts w:hint="eastAsia" w:ascii="宋体" w:hAnsi="宋体" w:eastAsia="宋体" w:cs="宋体"/>
          <w:b w:val="0"/>
          <w:bCs w:val="0"/>
          <w:sz w:val="21"/>
          <w:szCs w:val="21"/>
        </w:rPr>
        <w:fldChar w:fldCharType="end"/>
      </w:r>
      <w:bookmarkStart w:id="42" w:name="_Toc24838_WPSOffice_Level1"/>
    </w:p>
    <w:p>
      <w:pPr>
        <w:pStyle w:val="93"/>
        <w:shd w:val="clear" w:color="FFFFFF" w:fill="FFFFFF"/>
        <w:spacing w:before="900" w:after="468"/>
        <w:ind w:left="0" w:firstLine="0"/>
        <w:rPr>
          <w:rFonts w:hint="eastAsia"/>
          <w:spacing w:val="320"/>
          <w:szCs w:val="22"/>
        </w:rPr>
      </w:pPr>
      <w:bookmarkStart w:id="43" w:name="_Toc8130_WPSOffice_Level1"/>
      <w:bookmarkStart w:id="44" w:name="_Toc6373"/>
      <w:r>
        <w:rPr>
          <w:rFonts w:hint="eastAsia"/>
          <w:spacing w:val="320"/>
          <w:szCs w:val="22"/>
        </w:rPr>
        <w:t>前言</w:t>
      </w:r>
      <w:bookmarkEnd w:id="42"/>
      <w:bookmarkEnd w:id="43"/>
      <w:bookmarkEnd w:id="44"/>
    </w:p>
    <w:p>
      <w:pPr>
        <w:pStyle w:val="41"/>
        <w:spacing w:before="0" w:line="240" w:lineRule="auto"/>
        <w:ind w:left="0" w:leftChars="0" w:right="0" w:rightChars="0" w:firstLine="420" w:firstLineChars="200"/>
        <w:jc w:val="both"/>
        <w:rPr>
          <w:rFonts w:hint="eastAsia" w:ascii="宋体" w:hAnsi="Times New Roman" w:eastAsia="宋体" w:cs="Times New Roman"/>
          <w:szCs w:val="21"/>
        </w:rPr>
      </w:pPr>
      <w:r>
        <w:rPr>
          <w:rFonts w:hint="eastAsia" w:ascii="宋体" w:hAnsi="Times New Roman" w:eastAsia="宋体" w:cs="Times New Roman"/>
          <w:szCs w:val="21"/>
        </w:rPr>
        <w:t>本文件按照GB/T1.1-2020《标准化工作导则 第1部分：标准化文件的结构和起草规则》的规则起草。</w:t>
      </w:r>
    </w:p>
    <w:p>
      <w:pPr>
        <w:pStyle w:val="41"/>
        <w:spacing w:before="0" w:line="240" w:lineRule="auto"/>
        <w:ind w:left="0" w:leftChars="0" w:right="0" w:rightChars="0" w:firstLine="420" w:firstLineChars="200"/>
        <w:jc w:val="both"/>
        <w:rPr>
          <w:rFonts w:hint="eastAsia" w:ascii="宋体" w:hAnsi="Times New Roman" w:eastAsia="宋体" w:cs="Times New Roman"/>
          <w:szCs w:val="21"/>
        </w:rPr>
      </w:pPr>
      <w:r>
        <w:rPr>
          <w:rFonts w:hint="eastAsia" w:ascii="宋体" w:hAnsi="Times New Roman" w:eastAsia="宋体" w:cs="Times New Roman"/>
          <w:szCs w:val="21"/>
        </w:rPr>
        <w:t>本文件的某些内容可能涉及专利，本文件的发布机构不承担识别专利的责任。</w:t>
      </w:r>
    </w:p>
    <w:p>
      <w:pPr>
        <w:pStyle w:val="41"/>
        <w:spacing w:before="0" w:line="240" w:lineRule="auto"/>
        <w:ind w:left="0" w:leftChars="0" w:right="0" w:rightChars="0" w:firstLine="420" w:firstLineChars="200"/>
        <w:jc w:val="both"/>
        <w:rPr>
          <w:rFonts w:hint="eastAsia" w:ascii="宋体" w:hAnsi="Times New Roman" w:eastAsia="宋体" w:cs="Times New Roman"/>
          <w:szCs w:val="21"/>
        </w:rPr>
      </w:pPr>
      <w:r>
        <w:rPr>
          <w:rFonts w:hint="eastAsia" w:ascii="宋体" w:hAnsi="Times New Roman" w:eastAsia="宋体" w:cs="Times New Roman"/>
          <w:szCs w:val="21"/>
        </w:rPr>
        <w:t>本文件由湖南省工业和信息化厅</w:t>
      </w:r>
      <w:bookmarkStart w:id="354" w:name="_GoBack"/>
      <w:bookmarkEnd w:id="354"/>
      <w:r>
        <w:rPr>
          <w:rFonts w:hint="eastAsia" w:ascii="宋体" w:hAnsi="Times New Roman" w:eastAsia="宋体" w:cs="Times New Roman"/>
          <w:szCs w:val="21"/>
        </w:rPr>
        <w:t>提出。</w:t>
      </w:r>
    </w:p>
    <w:p>
      <w:pPr>
        <w:pStyle w:val="41"/>
        <w:spacing w:before="0" w:line="240" w:lineRule="auto"/>
        <w:ind w:left="0" w:leftChars="0" w:right="0" w:rightChars="0" w:firstLine="420" w:firstLineChars="200"/>
        <w:jc w:val="both"/>
        <w:rPr>
          <w:rFonts w:hint="eastAsia" w:ascii="宋体" w:hAnsi="Times New Roman" w:eastAsia="宋体" w:cs="Times New Roman"/>
          <w:szCs w:val="21"/>
        </w:rPr>
      </w:pPr>
      <w:r>
        <w:rPr>
          <w:rFonts w:hint="eastAsia" w:ascii="宋体" w:hAnsi="Times New Roman" w:eastAsia="宋体" w:cs="Times New Roman"/>
          <w:szCs w:val="21"/>
        </w:rPr>
        <w:t>本文件由湖南省工业和信息化厅归口。</w:t>
      </w:r>
    </w:p>
    <w:p>
      <w:pPr>
        <w:pStyle w:val="41"/>
        <w:spacing w:before="0" w:line="240" w:lineRule="auto"/>
        <w:ind w:left="0" w:leftChars="0" w:right="0" w:rightChars="0" w:firstLine="420" w:firstLineChars="200"/>
        <w:jc w:val="both"/>
        <w:rPr>
          <w:rFonts w:hint="eastAsia" w:ascii="宋体" w:hAnsi="Times New Roman" w:eastAsia="宋体" w:cs="Times New Roman"/>
          <w:szCs w:val="21"/>
        </w:rPr>
      </w:pPr>
      <w:r>
        <w:rPr>
          <w:rFonts w:hint="eastAsia" w:ascii="宋体" w:hAnsi="Times New Roman" w:eastAsia="宋体" w:cs="Times New Roman"/>
          <w:szCs w:val="21"/>
        </w:rPr>
        <w:t>本文件起草单位：国网湖南省电力有限公司供电服务中心（计量中心）</w:t>
      </w:r>
    </w:p>
    <w:p>
      <w:pPr>
        <w:pStyle w:val="41"/>
        <w:spacing w:before="0" w:line="240" w:lineRule="auto"/>
        <w:ind w:left="0" w:leftChars="0" w:right="0" w:rightChars="0" w:firstLine="420" w:firstLineChars="200"/>
        <w:jc w:val="both"/>
        <w:rPr>
          <w:rFonts w:ascii="黑体" w:hAnsi="黑体" w:eastAsia="黑体" w:cs="黑体"/>
          <w:sz w:val="32"/>
          <w:szCs w:val="32"/>
        </w:rPr>
        <w:sectPr>
          <w:headerReference r:id="rId15" w:type="default"/>
          <w:footerReference r:id="rId17" w:type="default"/>
          <w:headerReference r:id="rId16" w:type="even"/>
          <w:footerReference r:id="rId18" w:type="even"/>
          <w:pgSz w:w="11906" w:h="16838"/>
          <w:pgMar w:top="1440" w:right="1440" w:bottom="1418" w:left="1440" w:header="851" w:footer="992" w:gutter="0"/>
          <w:pgNumType w:start="1"/>
          <w:cols w:space="425" w:num="1"/>
          <w:docGrid w:type="lines" w:linePitch="312" w:charSpace="0"/>
        </w:sectPr>
      </w:pPr>
      <w:r>
        <w:rPr>
          <w:rFonts w:hint="eastAsia" w:ascii="宋体" w:hAnsi="Times New Roman" w:eastAsia="宋体" w:cs="Times New Roman"/>
          <w:szCs w:val="21"/>
        </w:rPr>
        <w:t>本文件主要起草人：</w:t>
      </w:r>
      <w:bookmarkStart w:id="45" w:name="_Toc752"/>
      <w:bookmarkStart w:id="46" w:name="_Toc23686"/>
      <w:bookmarkStart w:id="47" w:name="_Toc511113777"/>
      <w:bookmarkStart w:id="48" w:name="_Toc3717_WPSOffice_Level1"/>
      <w:bookmarkStart w:id="49" w:name="_Toc515529886"/>
      <w:bookmarkStart w:id="50" w:name="_Toc90492885"/>
      <w:bookmarkStart w:id="51" w:name="_Toc513445206"/>
      <w:bookmarkStart w:id="52" w:name="_Toc511208435"/>
    </w:p>
    <w:p>
      <w:pPr>
        <w:pStyle w:val="31"/>
        <w:widowControl/>
        <w:shd w:val="clear" w:color="auto" w:fill="FFFFFF"/>
        <w:wordWrap w:val="0"/>
        <w:spacing w:before="567" w:beforeAutospacing="0" w:after="680" w:afterAutospacing="0"/>
        <w:jc w:val="center"/>
        <w:rPr>
          <w:rFonts w:hint="eastAsia" w:ascii="黑体" w:hAnsi="Times New Roman" w:eastAsia="黑体" w:cs="Times New Roman"/>
          <w:sz w:val="32"/>
          <w:szCs w:val="20"/>
        </w:rPr>
      </w:pPr>
      <w:bookmarkStart w:id="53" w:name="_Toc29081_WPSOffice_Level1"/>
      <w:r>
        <w:rPr>
          <w:rFonts w:hint="eastAsia" w:ascii="黑体" w:hAnsi="Times New Roman" w:eastAsia="黑体" w:cs="Times New Roman"/>
          <w:sz w:val="32"/>
          <w:szCs w:val="20"/>
        </w:rPr>
        <w:t>居民小区有序充电设备与电网交互技术要求</w:t>
      </w:r>
      <w:bookmarkEnd w:id="53"/>
    </w:p>
    <w:p>
      <w:pPr>
        <w:pStyle w:val="2"/>
        <w:keepNext/>
        <w:keepLines/>
        <w:pageBreakBefore w:val="0"/>
        <w:widowControl/>
        <w:numPr>
          <w:ilvl w:val="0"/>
          <w:numId w:val="6"/>
        </w:numPr>
        <w:kinsoku/>
        <w:wordWrap/>
        <w:overflowPunct/>
        <w:topLinePunct w:val="0"/>
        <w:autoSpaceDE/>
        <w:autoSpaceDN/>
        <w:bidi w:val="0"/>
        <w:adjustRightInd/>
        <w:snapToGrid/>
        <w:spacing w:before="317" w:beforeLines="100" w:after="317" w:afterLines="100" w:line="240" w:lineRule="auto"/>
        <w:textAlignment w:val="auto"/>
        <w:rPr>
          <w:rFonts w:ascii="黑体" w:hAnsi="黑体" w:eastAsia="黑体" w:cs="黑体"/>
          <w:b w:val="0"/>
          <w:bCs/>
          <w:sz w:val="21"/>
          <w:szCs w:val="21"/>
        </w:rPr>
      </w:pPr>
      <w:bookmarkStart w:id="54" w:name="_Toc21835_WPSOffice_Level1"/>
      <w:bookmarkStart w:id="55" w:name="_Toc23084"/>
      <w:r>
        <w:rPr>
          <w:rFonts w:hint="eastAsia" w:ascii="黑体" w:hAnsi="黑体" w:eastAsia="黑体" w:cs="黑体"/>
          <w:b w:val="0"/>
          <w:bCs/>
          <w:sz w:val="21"/>
          <w:szCs w:val="21"/>
        </w:rPr>
        <w:t>范围</w:t>
      </w:r>
      <w:bookmarkEnd w:id="45"/>
      <w:bookmarkEnd w:id="46"/>
      <w:bookmarkEnd w:id="47"/>
      <w:bookmarkEnd w:id="48"/>
      <w:bookmarkEnd w:id="49"/>
      <w:bookmarkEnd w:id="50"/>
      <w:bookmarkEnd w:id="51"/>
      <w:bookmarkEnd w:id="52"/>
      <w:bookmarkEnd w:id="54"/>
      <w:bookmarkEnd w:id="55"/>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rPr>
      </w:pPr>
      <w:r>
        <w:rPr>
          <w:rFonts w:hint="eastAsia" w:ascii="宋体"/>
        </w:rPr>
        <w:t>本文件规定了居民小区有序充电设备与电网交互技术要求的术语和定义、系统框架、有序充电设备技术要求、用电信息采集终端技术要求、有序充电管理系统技术要求、检测、入网及运行要求等内容。</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rPr>
      </w:pPr>
      <w:r>
        <w:rPr>
          <w:rFonts w:hint="eastAsia" w:ascii="宋体"/>
        </w:rPr>
        <w:t>本文件适用于通过380V/220V接入公变台区的有序充电设备与电网交互的技术要求。</w:t>
      </w:r>
    </w:p>
    <w:p>
      <w:pPr>
        <w:pStyle w:val="2"/>
        <w:keepNext/>
        <w:keepLines/>
        <w:pageBreakBefore w:val="0"/>
        <w:widowControl/>
        <w:numPr>
          <w:ilvl w:val="0"/>
          <w:numId w:val="6"/>
        </w:numPr>
        <w:kinsoku/>
        <w:wordWrap/>
        <w:overflowPunct/>
        <w:topLinePunct w:val="0"/>
        <w:autoSpaceDE/>
        <w:autoSpaceDN/>
        <w:bidi w:val="0"/>
        <w:adjustRightInd/>
        <w:snapToGrid/>
        <w:spacing w:before="317" w:beforeLines="100" w:after="317" w:afterLines="100" w:line="240" w:lineRule="auto"/>
        <w:textAlignment w:val="auto"/>
        <w:rPr>
          <w:rFonts w:ascii="黑体" w:hAnsi="黑体" w:eastAsia="黑体" w:cs="黑体"/>
          <w:b w:val="0"/>
          <w:bCs/>
          <w:sz w:val="21"/>
          <w:szCs w:val="21"/>
        </w:rPr>
      </w:pPr>
      <w:bookmarkStart w:id="56" w:name="_Toc19516"/>
      <w:bookmarkStart w:id="57" w:name="_Toc17680"/>
      <w:bookmarkStart w:id="58" w:name="_Toc511208436"/>
      <w:bookmarkStart w:id="59" w:name="_Toc30865_WPSOffice_Level1"/>
      <w:bookmarkStart w:id="60" w:name="_Toc21201"/>
      <w:bookmarkStart w:id="61" w:name="_Toc25340_WPSOffice_Level1"/>
      <w:bookmarkStart w:id="62" w:name="_Toc513445207"/>
      <w:bookmarkStart w:id="63" w:name="_Toc90492886"/>
      <w:bookmarkStart w:id="64" w:name="_Toc511113778"/>
      <w:bookmarkStart w:id="65" w:name="_Toc515529887"/>
      <w:r>
        <w:rPr>
          <w:rFonts w:hint="eastAsia" w:ascii="黑体" w:hAnsi="黑体" w:eastAsia="黑体" w:cs="黑体"/>
          <w:b w:val="0"/>
          <w:bCs/>
          <w:sz w:val="21"/>
          <w:szCs w:val="21"/>
        </w:rPr>
        <w:t>规范性引用文件</w:t>
      </w:r>
      <w:bookmarkEnd w:id="56"/>
      <w:bookmarkEnd w:id="57"/>
      <w:bookmarkEnd w:id="58"/>
      <w:bookmarkEnd w:id="59"/>
      <w:bookmarkEnd w:id="60"/>
      <w:bookmarkEnd w:id="61"/>
      <w:bookmarkEnd w:id="62"/>
      <w:bookmarkEnd w:id="63"/>
      <w:bookmarkEnd w:id="64"/>
      <w:bookmarkEnd w:id="65"/>
    </w:p>
    <w:p>
      <w:pPr>
        <w:pStyle w:val="41"/>
        <w:keepNext w:val="0"/>
        <w:keepLines w:val="0"/>
        <w:pageBreakBefore w:val="0"/>
        <w:widowControl/>
        <w:kinsoku/>
        <w:wordWrap/>
        <w:overflowPunct/>
        <w:topLinePunct w:val="0"/>
        <w:autoSpaceDE w:val="0"/>
        <w:autoSpaceDN w:val="0"/>
        <w:bidi w:val="0"/>
        <w:adjustRightInd/>
        <w:snapToGrid/>
        <w:spacing w:before="0" w:line="400" w:lineRule="exact"/>
        <w:ind w:firstLine="420" w:firstLineChars="200"/>
        <w:textAlignment w:val="auto"/>
        <w:rPr>
          <w:rFonts w:hint="eastAsia" w:ascii="宋体" w:hAnsi="Times New Roman" w:eastAsia="宋体" w:cs="Times New Roman"/>
          <w:kern w:val="2"/>
          <w:sz w:val="21"/>
          <w:szCs w:val="24"/>
          <w:lang w:val="en-US" w:eastAsia="zh-CN" w:bidi="ar-SA"/>
        </w:rPr>
      </w:pPr>
      <w:bookmarkStart w:id="66" w:name="_Toc513445208"/>
      <w:bookmarkStart w:id="67" w:name="_Toc515529888"/>
      <w:bookmarkStart w:id="68" w:name="_Toc511208437"/>
      <w:bookmarkStart w:id="69" w:name="_Toc20714"/>
      <w:bookmarkStart w:id="70" w:name="_Toc90492887"/>
      <w:r>
        <w:rPr>
          <w:rFonts w:hint="eastAsia" w:ascii="宋体" w:hAnsi="Times New Roman" w:eastAsia="宋体" w:cs="Times New Roman"/>
          <w:kern w:val="2"/>
          <w:sz w:val="21"/>
          <w:szCs w:val="24"/>
          <w:lang w:val="en-US" w:eastAsia="zh-CN" w:bidi="ar-SA"/>
        </w:rPr>
        <w:t>下列文件对于本文件的应用是必不可少的。凡是注日期的引用文件，仅所注日期的版本适用于本文件。凡是不注日期的引用文件，其最新版本（包括所有的修改单）适用于本文件。</w:t>
      </w:r>
    </w:p>
    <w:p>
      <w:pPr>
        <w:pStyle w:val="92"/>
        <w:ind w:firstLine="420"/>
        <w:rPr>
          <w:rFonts w:hint="eastAsia" w:ascii="宋体" w:hAnsi="Times New Roman" w:eastAsia="宋体" w:cs="Times New Roman"/>
          <w:kern w:val="2"/>
          <w:sz w:val="21"/>
          <w:szCs w:val="24"/>
          <w:lang w:val="en-US" w:eastAsia="zh-CN" w:bidi="ar-SA"/>
        </w:rPr>
      </w:pPr>
      <w:r>
        <w:rPr>
          <w:rFonts w:hint="eastAsia" w:ascii="宋体" w:hAnsi="Times New Roman" w:eastAsia="宋体" w:cs="Times New Roman"/>
          <w:kern w:val="2"/>
          <w:sz w:val="21"/>
          <w:szCs w:val="24"/>
          <w:lang w:val="en-US" w:eastAsia="zh-CN" w:bidi="ar-SA"/>
        </w:rPr>
        <w:t>GB/T 18487.1 电动汽车传导充电系统第1部分：通用要求</w:t>
      </w:r>
    </w:p>
    <w:p>
      <w:pPr>
        <w:pStyle w:val="92"/>
        <w:ind w:firstLine="420"/>
        <w:rPr>
          <w:rFonts w:hint="eastAsia" w:ascii="宋体" w:hAnsi="Times New Roman" w:eastAsia="宋体" w:cs="Times New Roman"/>
          <w:kern w:val="2"/>
          <w:sz w:val="21"/>
          <w:szCs w:val="24"/>
          <w:lang w:val="en-US" w:eastAsia="zh-CN" w:bidi="ar-SA"/>
        </w:rPr>
      </w:pPr>
      <w:r>
        <w:rPr>
          <w:rFonts w:hint="eastAsia" w:ascii="宋体" w:hAnsi="Times New Roman" w:eastAsia="宋体" w:cs="Times New Roman"/>
          <w:kern w:val="2"/>
          <w:sz w:val="21"/>
          <w:szCs w:val="24"/>
          <w:lang w:val="en-US" w:eastAsia="zh-CN" w:bidi="ar-SA"/>
        </w:rPr>
        <w:t>GB/T 27930 非车载传导式充电机与电动汽车之间的数字通信协议</w:t>
      </w:r>
    </w:p>
    <w:p>
      <w:pPr>
        <w:pStyle w:val="92"/>
        <w:ind w:firstLine="420"/>
        <w:rPr>
          <w:rFonts w:hint="eastAsia" w:ascii="宋体" w:hAnsi="Times New Roman" w:eastAsia="宋体" w:cs="Times New Roman"/>
          <w:kern w:val="2"/>
          <w:sz w:val="21"/>
          <w:szCs w:val="24"/>
          <w:lang w:val="en-US" w:eastAsia="zh-CN" w:bidi="ar-SA"/>
        </w:rPr>
      </w:pPr>
      <w:r>
        <w:rPr>
          <w:rFonts w:hint="eastAsia" w:ascii="宋体" w:hAnsi="Times New Roman" w:eastAsia="宋体" w:cs="Times New Roman"/>
          <w:kern w:val="2"/>
          <w:sz w:val="21"/>
          <w:szCs w:val="24"/>
          <w:lang w:val="en-US" w:eastAsia="zh-CN" w:bidi="ar-SA"/>
        </w:rPr>
        <w:t>DL/T 698.45 面向对象的用电信息数据交换协议</w:t>
      </w:r>
    </w:p>
    <w:p>
      <w:pPr>
        <w:pStyle w:val="92"/>
        <w:ind w:firstLine="420"/>
        <w:rPr>
          <w:rFonts w:hint="eastAsia" w:ascii="宋体" w:hAnsi="Times New Roman" w:eastAsia="宋体" w:cs="Times New Roman"/>
          <w:kern w:val="2"/>
          <w:sz w:val="21"/>
          <w:szCs w:val="24"/>
          <w:lang w:val="en-US" w:eastAsia="zh-CN" w:bidi="ar-SA"/>
        </w:rPr>
      </w:pPr>
      <w:r>
        <w:rPr>
          <w:rFonts w:hint="eastAsia" w:ascii="宋体" w:hAnsi="Times New Roman" w:eastAsia="宋体" w:cs="Times New Roman"/>
          <w:kern w:val="2"/>
          <w:sz w:val="21"/>
          <w:szCs w:val="24"/>
          <w:lang w:val="en-US" w:eastAsia="zh-CN" w:bidi="ar-SA"/>
        </w:rPr>
        <w:t>NB/T 11305.2 电动汽车充放电双向互动第2部分：有序充电</w:t>
      </w:r>
    </w:p>
    <w:p>
      <w:pPr>
        <w:pStyle w:val="92"/>
        <w:ind w:firstLine="420"/>
        <w:rPr>
          <w:rFonts w:hint="eastAsia" w:ascii="宋体" w:hAnsi="Times New Roman" w:eastAsia="宋体" w:cs="Times New Roman"/>
          <w:kern w:val="2"/>
          <w:sz w:val="21"/>
          <w:szCs w:val="24"/>
          <w:lang w:val="en-US" w:eastAsia="zh-CN" w:bidi="ar-SA"/>
        </w:rPr>
      </w:pPr>
      <w:r>
        <w:rPr>
          <w:rFonts w:hint="eastAsia" w:ascii="宋体" w:hAnsi="Times New Roman" w:eastAsia="宋体" w:cs="Times New Roman"/>
          <w:kern w:val="2"/>
          <w:sz w:val="21"/>
          <w:szCs w:val="24"/>
          <w:lang w:val="en-US" w:eastAsia="zh-CN" w:bidi="ar-SA"/>
        </w:rPr>
        <w:t>T/CEC 337.1 2MHz~12MHz低压电力线高速载波通信系统  第1部分：总则</w:t>
      </w:r>
    </w:p>
    <w:p>
      <w:pPr>
        <w:pStyle w:val="92"/>
        <w:ind w:firstLine="420"/>
        <w:rPr>
          <w:rFonts w:hint="eastAsia" w:ascii="宋体" w:hAnsi="Times New Roman" w:eastAsia="宋体" w:cs="Times New Roman"/>
          <w:kern w:val="2"/>
          <w:sz w:val="21"/>
          <w:szCs w:val="24"/>
          <w:lang w:val="en-US" w:eastAsia="zh-CN" w:bidi="ar-SA"/>
        </w:rPr>
      </w:pPr>
      <w:r>
        <w:rPr>
          <w:rFonts w:hint="eastAsia" w:ascii="宋体" w:hAnsi="Times New Roman" w:eastAsia="宋体" w:cs="Times New Roman"/>
          <w:kern w:val="2"/>
          <w:sz w:val="21"/>
          <w:szCs w:val="24"/>
          <w:lang w:val="en-US" w:eastAsia="zh-CN" w:bidi="ar-SA"/>
        </w:rPr>
        <w:t>T/CEC 337.2 2MHz~12MHz低压电力线高速载波通信系统  第2部分：技术要求</w:t>
      </w:r>
    </w:p>
    <w:p>
      <w:pPr>
        <w:pStyle w:val="2"/>
        <w:keepNext/>
        <w:keepLines/>
        <w:pageBreakBefore w:val="0"/>
        <w:widowControl/>
        <w:numPr>
          <w:ilvl w:val="0"/>
          <w:numId w:val="6"/>
        </w:numPr>
        <w:kinsoku/>
        <w:wordWrap/>
        <w:overflowPunct/>
        <w:topLinePunct w:val="0"/>
        <w:autoSpaceDE/>
        <w:autoSpaceDN/>
        <w:bidi w:val="0"/>
        <w:adjustRightInd/>
        <w:snapToGrid/>
        <w:spacing w:before="317" w:beforeLines="100" w:after="317" w:afterLines="100" w:line="240" w:lineRule="auto"/>
        <w:textAlignment w:val="auto"/>
        <w:rPr>
          <w:rFonts w:hint="eastAsia" w:ascii="黑体" w:hAnsi="黑体" w:eastAsia="黑体" w:cs="黑体"/>
          <w:b w:val="0"/>
          <w:bCs/>
          <w:sz w:val="21"/>
          <w:szCs w:val="21"/>
        </w:rPr>
      </w:pPr>
      <w:bookmarkStart w:id="71" w:name="_Toc28445_WPSOffice_Level1"/>
      <w:bookmarkStart w:id="72" w:name="_Toc23077"/>
      <w:bookmarkStart w:id="73" w:name="_Toc24965"/>
      <w:bookmarkStart w:id="74" w:name="_Toc9142_WPSOffice_Level1"/>
      <w:r>
        <w:rPr>
          <w:rFonts w:hint="eastAsia" w:ascii="黑体" w:hAnsi="黑体" w:eastAsia="黑体" w:cs="黑体"/>
          <w:b w:val="0"/>
          <w:bCs/>
          <w:sz w:val="21"/>
          <w:szCs w:val="21"/>
        </w:rPr>
        <w:t>术语与定义</w:t>
      </w:r>
      <w:bookmarkEnd w:id="66"/>
      <w:bookmarkEnd w:id="67"/>
      <w:bookmarkEnd w:id="68"/>
      <w:bookmarkEnd w:id="69"/>
      <w:bookmarkEnd w:id="70"/>
      <w:bookmarkEnd w:id="71"/>
      <w:bookmarkEnd w:id="72"/>
      <w:bookmarkEnd w:id="73"/>
      <w:bookmarkEnd w:id="74"/>
    </w:p>
    <w:p>
      <w:pPr>
        <w:widowControl/>
        <w:autoSpaceDE w:val="0"/>
        <w:autoSpaceDN w:val="0"/>
        <w:spacing w:before="156"/>
        <w:ind w:firstLine="420" w:firstLineChars="200"/>
        <w:rPr>
          <w:rFonts w:hint="eastAsia" w:ascii="宋体" w:hAnsi="Times New Roman" w:eastAsia="宋体" w:cs="Times New Roman"/>
          <w:kern w:val="0"/>
          <w:sz w:val="21"/>
          <w:szCs w:val="22"/>
          <w:lang w:val="en-US" w:eastAsia="zh-CN" w:bidi="ar-SA"/>
        </w:rPr>
      </w:pPr>
      <w:r>
        <w:rPr>
          <w:rFonts w:hint="eastAsia" w:ascii="宋体" w:hAnsi="Times New Roman" w:eastAsia="宋体" w:cs="Times New Roman"/>
          <w:kern w:val="0"/>
          <w:sz w:val="21"/>
          <w:szCs w:val="22"/>
          <w:lang w:val="en-US" w:eastAsia="zh-CN" w:bidi="ar-SA"/>
        </w:rPr>
        <w:t>下列术语和定义适用于本文件。</w:t>
      </w:r>
    </w:p>
    <w:p>
      <w:pPr>
        <w:pStyle w:val="2"/>
        <w:keepNext/>
        <w:keepLines/>
        <w:pageBreakBefore w:val="0"/>
        <w:widowControl/>
        <w:numPr>
          <w:ilvl w:val="1"/>
          <w:numId w:val="6"/>
        </w:numPr>
        <w:tabs>
          <w:tab w:val="left" w:pos="0"/>
        </w:tabs>
        <w:kinsoku/>
        <w:wordWrap/>
        <w:overflowPunct/>
        <w:topLinePunct w:val="0"/>
        <w:autoSpaceDE/>
        <w:autoSpaceDN/>
        <w:bidi w:val="0"/>
        <w:adjustRightInd/>
        <w:snapToGrid/>
        <w:spacing w:before="158" w:beforeLines="50" w:after="158" w:afterLines="50" w:line="240" w:lineRule="auto"/>
        <w:textAlignment w:val="auto"/>
        <w:rPr>
          <w:rFonts w:ascii="黑体" w:hAnsi="Times New Roman" w:eastAsia="黑体" w:cs="Times New Roman"/>
          <w:b w:val="0"/>
          <w:kern w:val="0"/>
          <w:sz w:val="21"/>
          <w:szCs w:val="21"/>
          <w:lang w:val="en-US" w:eastAsia="zh-CN" w:bidi="ar-SA"/>
        </w:rPr>
      </w:pPr>
      <w:bookmarkStart w:id="75" w:name="_Toc3513"/>
      <w:bookmarkEnd w:id="75"/>
      <w:bookmarkStart w:id="76" w:name="_Toc15441"/>
      <w:bookmarkEnd w:id="76"/>
    </w:p>
    <w:p>
      <w:pPr>
        <w:pStyle w:val="41"/>
        <w:rPr>
          <w:rFonts w:hint="eastAsia" w:ascii="黑体" w:hAnsi="Times New Roman" w:eastAsia="黑体" w:cs="Times New Roman"/>
          <w:sz w:val="21"/>
          <w:szCs w:val="21"/>
          <w:lang w:val="en-US" w:eastAsia="zh-CN" w:bidi="ar-SA"/>
        </w:rPr>
      </w:pPr>
      <w:r>
        <w:rPr>
          <w:rFonts w:hint="eastAsia" w:ascii="黑体" w:hAnsi="Times New Roman" w:eastAsia="黑体" w:cs="Times New Roman"/>
          <w:sz w:val="21"/>
          <w:szCs w:val="21"/>
          <w:lang w:val="en-US" w:eastAsia="zh-CN" w:bidi="ar-SA"/>
        </w:rPr>
        <w:t>有序充电桩 coordinated charging post</w:t>
      </w:r>
    </w:p>
    <w:p>
      <w:pPr>
        <w:widowControl/>
        <w:autoSpaceDE w:val="0"/>
        <w:autoSpaceDN w:val="0"/>
        <w:spacing w:before="156"/>
        <w:ind w:firstLine="420" w:firstLineChars="200"/>
        <w:rPr>
          <w:rFonts w:hint="eastAsia" w:ascii="宋体" w:hAnsi="Times New Roman" w:eastAsia="宋体" w:cs="Times New Roman"/>
          <w:kern w:val="0"/>
          <w:sz w:val="21"/>
          <w:szCs w:val="22"/>
          <w:lang w:val="en-US" w:eastAsia="zh-CN" w:bidi="ar-SA"/>
        </w:rPr>
      </w:pPr>
      <w:r>
        <w:rPr>
          <w:rFonts w:hint="eastAsia" w:ascii="宋体" w:hAnsi="Times New Roman" w:eastAsia="宋体" w:cs="Times New Roman"/>
          <w:kern w:val="0"/>
          <w:sz w:val="21"/>
          <w:szCs w:val="22"/>
          <w:lang w:val="en-US" w:eastAsia="zh-CN" w:bidi="ar-SA"/>
        </w:rPr>
        <w:t>具备有序充电控制策略执行功能的充电桩。</w:t>
      </w:r>
    </w:p>
    <w:p>
      <w:pPr>
        <w:pStyle w:val="2"/>
        <w:widowControl/>
        <w:numPr>
          <w:ilvl w:val="1"/>
          <w:numId w:val="6"/>
        </w:numPr>
        <w:tabs>
          <w:tab w:val="left" w:pos="0"/>
        </w:tabs>
        <w:spacing w:before="158" w:beforeLines="50" w:after="158" w:afterLines="50" w:line="240" w:lineRule="auto"/>
        <w:rPr>
          <w:rFonts w:ascii="黑体" w:hAnsi="黑体" w:eastAsia="黑体" w:cs="黑体"/>
          <w:b w:val="0"/>
          <w:bCs/>
          <w:sz w:val="21"/>
          <w:szCs w:val="21"/>
        </w:rPr>
      </w:pPr>
      <w:bookmarkStart w:id="77" w:name="_Toc2434"/>
      <w:bookmarkEnd w:id="77"/>
      <w:bookmarkStart w:id="78" w:name="_Toc5500"/>
      <w:bookmarkEnd w:id="78"/>
    </w:p>
    <w:p>
      <w:pPr>
        <w:pStyle w:val="41"/>
        <w:ind w:firstLine="0" w:firstLineChars="0"/>
        <w:jc w:val="left"/>
        <w:rPr>
          <w:rFonts w:hint="eastAsia" w:ascii="黑体" w:hAnsi="Times New Roman" w:eastAsia="黑体" w:cs="Times New Roman"/>
          <w:sz w:val="21"/>
          <w:szCs w:val="21"/>
          <w:lang w:val="en-US" w:eastAsia="zh-CN" w:bidi="ar-SA"/>
        </w:rPr>
      </w:pPr>
      <w:r>
        <w:rPr>
          <w:rFonts w:hint="eastAsia" w:ascii="黑体" w:hAnsi="Times New Roman" w:eastAsia="黑体" w:cs="Times New Roman"/>
          <w:sz w:val="21"/>
          <w:szCs w:val="21"/>
          <w:lang w:val="en-US" w:eastAsia="zh-CN" w:bidi="ar-SA"/>
        </w:rPr>
        <w:t>有序充电控制单元 coordinated charging control unit</w:t>
      </w:r>
    </w:p>
    <w:p>
      <w:pPr>
        <w:autoSpaceDE w:val="0"/>
        <w:autoSpaceDN w:val="0"/>
        <w:ind w:firstLine="420" w:firstLineChars="200"/>
        <w:jc w:val="both"/>
        <w:rPr>
          <w:rFonts w:hint="eastAsia" w:ascii="宋体" w:hAnsi="Times New Roman" w:eastAsia="宋体" w:cs="Times New Roman"/>
          <w:sz w:val="21"/>
          <w:szCs w:val="22"/>
          <w:lang w:val="en-US" w:eastAsia="zh-CN" w:bidi="ar-SA"/>
        </w:rPr>
      </w:pPr>
      <w:r>
        <w:rPr>
          <w:rFonts w:hint="eastAsia" w:ascii="宋体" w:eastAsia="宋体"/>
          <w:sz w:val="21"/>
          <w:lang w:val="en-US" w:eastAsia="zh-CN" w:bidi="ar-SA"/>
        </w:rPr>
        <w:t>具备有序充电控制策略执行功能的控制单元。</w:t>
      </w:r>
    </w:p>
    <w:p>
      <w:pPr>
        <w:pStyle w:val="2"/>
        <w:widowControl/>
        <w:numPr>
          <w:ilvl w:val="1"/>
          <w:numId w:val="6"/>
        </w:numPr>
        <w:tabs>
          <w:tab w:val="left" w:pos="0"/>
        </w:tabs>
        <w:spacing w:before="158" w:beforeLines="50" w:after="158" w:afterLines="50" w:line="240" w:lineRule="auto"/>
        <w:rPr>
          <w:rFonts w:ascii="黑体" w:hAnsi="黑体" w:eastAsia="黑体" w:cs="黑体"/>
          <w:b w:val="0"/>
          <w:bCs/>
          <w:sz w:val="21"/>
          <w:szCs w:val="21"/>
        </w:rPr>
      </w:pPr>
      <w:bookmarkStart w:id="79" w:name="_Toc20311"/>
      <w:bookmarkEnd w:id="79"/>
      <w:bookmarkStart w:id="80" w:name="_Toc29251"/>
      <w:bookmarkEnd w:id="80"/>
    </w:p>
    <w:p>
      <w:pPr>
        <w:pStyle w:val="41"/>
        <w:autoSpaceDE w:val="0"/>
        <w:autoSpaceDN w:val="0"/>
        <w:ind w:firstLine="420" w:firstLineChars="200"/>
        <w:jc w:val="both"/>
        <w:rPr>
          <w:rFonts w:hint="eastAsia" w:ascii="黑体" w:hAnsi="Times New Roman" w:eastAsia="黑体" w:cs="Times New Roman"/>
          <w:sz w:val="21"/>
          <w:szCs w:val="21"/>
          <w:lang w:val="en-US" w:eastAsia="zh-CN" w:bidi="ar-SA"/>
        </w:rPr>
      </w:pPr>
      <w:r>
        <w:rPr>
          <w:rFonts w:hint="eastAsia" w:ascii="黑体" w:hAnsi="Times New Roman" w:eastAsia="黑体" w:cs="Times New Roman"/>
          <w:sz w:val="21"/>
          <w:szCs w:val="21"/>
          <w:lang w:val="en-US" w:eastAsia="zh-CN" w:bidi="ar-SA"/>
        </w:rPr>
        <w:t>有序充电设备 coordinated charging equipment</w:t>
      </w:r>
    </w:p>
    <w:p>
      <w:pPr>
        <w:pStyle w:val="41"/>
        <w:autoSpaceDE/>
        <w:autoSpaceDN/>
        <w:spacing w:before="0" w:line="240" w:lineRule="auto"/>
        <w:ind w:left="0" w:leftChars="0" w:right="0" w:rightChars="0" w:firstLine="420" w:firstLineChars="200"/>
        <w:jc w:val="both"/>
        <w:rPr>
          <w:rFonts w:hint="eastAsia" w:ascii="宋体" w:hAnsi="Times New Roman" w:eastAsia="宋体" w:cs="Times New Roman"/>
          <w:sz w:val="21"/>
          <w:szCs w:val="22"/>
          <w:lang w:val="en-US" w:eastAsia="zh-CN" w:bidi="ar-SA"/>
        </w:rPr>
      </w:pPr>
      <w:r>
        <w:rPr>
          <w:rFonts w:hint="eastAsia" w:ascii="宋体" w:eastAsia="宋体"/>
          <w:sz w:val="21"/>
          <w:lang w:val="en-US" w:eastAsia="zh-CN" w:bidi="ar-SA"/>
        </w:rPr>
        <w:t>具备有序充电控制策略执行功能的充电设备，包括有序充电桩和有序充电控制单元。</w:t>
      </w:r>
    </w:p>
    <w:p>
      <w:pPr>
        <w:pStyle w:val="2"/>
        <w:widowControl/>
        <w:numPr>
          <w:ilvl w:val="1"/>
          <w:numId w:val="6"/>
        </w:numPr>
        <w:tabs>
          <w:tab w:val="left" w:pos="0"/>
        </w:tabs>
        <w:spacing w:before="158" w:beforeLines="50" w:after="158" w:afterLines="50" w:line="240" w:lineRule="auto"/>
        <w:rPr>
          <w:rFonts w:ascii="黑体" w:hAnsi="黑体" w:eastAsia="黑体" w:cs="黑体"/>
          <w:b w:val="0"/>
          <w:bCs/>
          <w:sz w:val="21"/>
          <w:szCs w:val="21"/>
        </w:rPr>
      </w:pPr>
      <w:bookmarkStart w:id="81" w:name="_Toc1204"/>
      <w:bookmarkEnd w:id="81"/>
      <w:bookmarkStart w:id="82" w:name="_Toc25994"/>
      <w:bookmarkEnd w:id="82"/>
    </w:p>
    <w:p>
      <w:pPr>
        <w:autoSpaceDE w:val="0"/>
        <w:autoSpaceDN w:val="0"/>
        <w:ind w:firstLine="420" w:firstLineChars="200"/>
        <w:jc w:val="both"/>
        <w:rPr>
          <w:rFonts w:hint="eastAsia" w:ascii="黑体" w:hAnsi="Times New Roman" w:eastAsia="黑体" w:cs="Times New Roman"/>
          <w:sz w:val="21"/>
          <w:szCs w:val="21"/>
          <w:lang w:val="en-US" w:eastAsia="zh-CN" w:bidi="ar-SA"/>
        </w:rPr>
      </w:pPr>
      <w:r>
        <w:rPr>
          <w:rFonts w:hint="eastAsia" w:ascii="黑体" w:hAnsi="Times New Roman" w:eastAsia="黑体" w:cs="Times New Roman"/>
          <w:sz w:val="21"/>
          <w:szCs w:val="21"/>
          <w:lang w:val="en-US" w:eastAsia="zh-CN" w:bidi="ar-SA"/>
        </w:rPr>
        <w:t>有序充电管理系统 coordinated charging management system</w:t>
      </w:r>
    </w:p>
    <w:p>
      <w:pPr>
        <w:autoSpaceDE w:val="0"/>
        <w:autoSpaceDN w:val="0"/>
        <w:ind w:firstLine="420" w:firstLineChars="200"/>
        <w:jc w:val="both"/>
        <w:rPr>
          <w:rFonts w:hint="eastAsia" w:ascii="宋体" w:eastAsia="宋体"/>
          <w:sz w:val="21"/>
          <w:lang w:val="en-US" w:eastAsia="zh-CN" w:bidi="ar-SA"/>
        </w:rPr>
      </w:pPr>
      <w:r>
        <w:rPr>
          <w:rFonts w:hint="eastAsia" w:ascii="宋体" w:eastAsia="宋体"/>
          <w:sz w:val="21"/>
          <w:lang w:val="en-US" w:eastAsia="zh-CN" w:bidi="ar-SA"/>
        </w:rPr>
        <w:t>实现电动汽车与电网或其他主体间有序充电控制策略制定、下发及监控管理功能的系统。</w:t>
      </w:r>
    </w:p>
    <w:p>
      <w:pPr>
        <w:pStyle w:val="2"/>
        <w:widowControl/>
        <w:numPr>
          <w:ilvl w:val="1"/>
          <w:numId w:val="6"/>
        </w:numPr>
        <w:tabs>
          <w:tab w:val="left" w:pos="0"/>
        </w:tabs>
        <w:spacing w:before="158" w:beforeLines="50" w:after="158" w:afterLines="50" w:line="240" w:lineRule="auto"/>
        <w:rPr>
          <w:rFonts w:ascii="黑体" w:hAnsi="黑体" w:eastAsia="黑体" w:cs="黑体"/>
          <w:b w:val="0"/>
          <w:bCs/>
          <w:sz w:val="21"/>
          <w:szCs w:val="21"/>
        </w:rPr>
      </w:pPr>
      <w:bookmarkStart w:id="83" w:name="_Toc29206"/>
      <w:bookmarkEnd w:id="83"/>
      <w:bookmarkStart w:id="84" w:name="_Toc28210"/>
      <w:bookmarkEnd w:id="84"/>
    </w:p>
    <w:p>
      <w:pPr>
        <w:autoSpaceDE w:val="0"/>
        <w:autoSpaceDN w:val="0"/>
        <w:ind w:firstLine="420" w:firstLineChars="200"/>
        <w:jc w:val="both"/>
        <w:rPr>
          <w:rFonts w:hint="eastAsia" w:ascii="黑体" w:hAnsi="Times New Roman" w:eastAsia="黑体" w:cs="Times New Roman"/>
          <w:sz w:val="21"/>
          <w:szCs w:val="21"/>
          <w:lang w:val="en-US" w:eastAsia="zh-CN" w:bidi="ar-SA"/>
        </w:rPr>
      </w:pPr>
      <w:r>
        <w:rPr>
          <w:rFonts w:hint="eastAsia" w:ascii="黑体" w:hAnsi="Times New Roman" w:eastAsia="黑体" w:cs="Times New Roman"/>
          <w:sz w:val="21"/>
          <w:szCs w:val="21"/>
          <w:lang w:val="en-US" w:eastAsia="zh-CN" w:bidi="ar-SA"/>
        </w:rPr>
        <w:t>有序充电管理终端 coordinated charging management terminal</w:t>
      </w:r>
    </w:p>
    <w:p>
      <w:pPr>
        <w:autoSpaceDE w:val="0"/>
        <w:autoSpaceDN w:val="0"/>
        <w:ind w:firstLine="420" w:firstLineChars="200"/>
        <w:jc w:val="both"/>
        <w:rPr>
          <w:rFonts w:hint="eastAsia" w:ascii="宋体" w:eastAsia="宋体"/>
          <w:sz w:val="21"/>
          <w:lang w:val="en-US" w:eastAsia="zh-CN" w:bidi="ar-SA"/>
        </w:rPr>
      </w:pPr>
      <w:r>
        <w:rPr>
          <w:rFonts w:hint="eastAsia" w:ascii="宋体" w:eastAsia="宋体"/>
          <w:sz w:val="21"/>
          <w:lang w:val="en-US" w:eastAsia="zh-CN" w:bidi="ar-SA"/>
        </w:rPr>
        <w:t>具备有序充电控制策略的远程接收、本地生成和下发执行等功能，实现有序充电设备本地运行管理的专用装置，本文中特指用电信息采集终端。</w:t>
      </w:r>
    </w:p>
    <w:p>
      <w:pPr>
        <w:pStyle w:val="2"/>
        <w:widowControl/>
        <w:numPr>
          <w:ilvl w:val="1"/>
          <w:numId w:val="6"/>
        </w:numPr>
        <w:tabs>
          <w:tab w:val="left" w:pos="0"/>
        </w:tabs>
        <w:spacing w:before="158" w:beforeLines="50" w:after="158" w:afterLines="50" w:line="240" w:lineRule="auto"/>
        <w:rPr>
          <w:rFonts w:ascii="黑体" w:hAnsi="黑体" w:eastAsia="黑体" w:cs="黑体"/>
          <w:b w:val="0"/>
          <w:bCs/>
          <w:sz w:val="21"/>
          <w:szCs w:val="21"/>
        </w:rPr>
      </w:pPr>
      <w:bookmarkStart w:id="85" w:name="_Toc20405"/>
      <w:bookmarkEnd w:id="85"/>
      <w:bookmarkStart w:id="86" w:name="_Toc31349"/>
      <w:bookmarkEnd w:id="86"/>
    </w:p>
    <w:p>
      <w:pPr>
        <w:autoSpaceDE w:val="0"/>
        <w:autoSpaceDN w:val="0"/>
        <w:ind w:firstLine="420" w:firstLineChars="200"/>
        <w:jc w:val="both"/>
        <w:rPr>
          <w:rFonts w:hint="eastAsia" w:ascii="黑体" w:hAnsi="Times New Roman" w:eastAsia="黑体" w:cs="Times New Roman"/>
          <w:sz w:val="21"/>
          <w:szCs w:val="21"/>
          <w:lang w:val="en-US" w:eastAsia="zh-CN" w:bidi="ar-SA"/>
        </w:rPr>
      </w:pPr>
      <w:r>
        <w:rPr>
          <w:rFonts w:hint="eastAsia" w:ascii="黑体" w:hAnsi="Times New Roman" w:eastAsia="黑体" w:cs="Times New Roman"/>
          <w:sz w:val="21"/>
          <w:szCs w:val="21"/>
          <w:lang w:val="en-US" w:eastAsia="zh-CN" w:bidi="ar-SA"/>
        </w:rPr>
        <w:t>有序充电边缘自治 edge autonomy</w:t>
      </w:r>
    </w:p>
    <w:p>
      <w:pPr>
        <w:pStyle w:val="41"/>
        <w:autoSpaceDE/>
        <w:autoSpaceDN/>
        <w:spacing w:before="0" w:line="240" w:lineRule="auto"/>
        <w:ind w:left="0" w:leftChars="0" w:right="0" w:rightChars="0" w:firstLine="420" w:firstLineChars="200"/>
        <w:jc w:val="both"/>
        <w:rPr>
          <w:rFonts w:hint="eastAsia" w:ascii="宋体" w:hAnsi="Times New Roman" w:eastAsia="宋体"/>
          <w:szCs w:val="22"/>
        </w:rPr>
      </w:pPr>
      <w:r>
        <w:rPr>
          <w:rFonts w:hint="eastAsia" w:ascii="宋体" w:hAnsi="Times New Roman" w:eastAsia="宋体"/>
          <w:szCs w:val="22"/>
        </w:rPr>
        <w:t>有序充电管理终端具备自主决策能力，可不依靠有序充电管理系统的控制指令，独立实现对有序充电设备的本地控制。有序充电管理终端根据变压器运行状态或用户用电情况，实时进行充电策略计算，达到控制条件后生成有序充电控制指令并下发至有序充电设备，开展本地控制。</w:t>
      </w:r>
    </w:p>
    <w:p>
      <w:pPr>
        <w:pStyle w:val="2"/>
        <w:widowControl/>
        <w:numPr>
          <w:ilvl w:val="1"/>
          <w:numId w:val="6"/>
        </w:numPr>
        <w:tabs>
          <w:tab w:val="left" w:pos="0"/>
        </w:tabs>
        <w:spacing w:before="158" w:beforeLines="50" w:after="158" w:afterLines="50" w:line="240" w:lineRule="auto"/>
        <w:rPr>
          <w:rFonts w:ascii="黑体" w:hAnsi="黑体" w:eastAsia="黑体" w:cs="黑体"/>
          <w:b w:val="0"/>
          <w:bCs/>
          <w:sz w:val="21"/>
          <w:szCs w:val="21"/>
        </w:rPr>
      </w:pPr>
      <w:bookmarkStart w:id="87" w:name="_Toc6913"/>
      <w:bookmarkEnd w:id="87"/>
      <w:bookmarkStart w:id="88" w:name="_Toc14821"/>
      <w:bookmarkEnd w:id="88"/>
    </w:p>
    <w:p>
      <w:pPr>
        <w:autoSpaceDE w:val="0"/>
        <w:autoSpaceDN w:val="0"/>
        <w:ind w:firstLine="420" w:firstLineChars="200"/>
        <w:jc w:val="both"/>
        <w:rPr>
          <w:rFonts w:hint="eastAsia" w:ascii="黑体" w:hAnsi="Times New Roman" w:eastAsia="黑体" w:cs="Times New Roman"/>
          <w:sz w:val="21"/>
          <w:szCs w:val="21"/>
          <w:lang w:val="en-US" w:eastAsia="zh-CN" w:bidi="ar-SA"/>
        </w:rPr>
      </w:pPr>
      <w:r>
        <w:rPr>
          <w:rFonts w:hint="eastAsia" w:ascii="黑体" w:hAnsi="Times New Roman" w:eastAsia="黑体" w:cs="Times New Roman"/>
          <w:sz w:val="21"/>
          <w:szCs w:val="21"/>
          <w:lang w:val="en-US" w:eastAsia="zh-CN" w:bidi="ar-SA"/>
        </w:rPr>
        <w:t>HPLC通信 high power line communication</w:t>
      </w:r>
    </w:p>
    <w:p>
      <w:pPr>
        <w:autoSpaceDE w:val="0"/>
        <w:autoSpaceDN w:val="0"/>
        <w:ind w:firstLine="420" w:firstLineChars="200"/>
        <w:jc w:val="both"/>
        <w:rPr>
          <w:rFonts w:hint="eastAsia" w:ascii="宋体" w:eastAsia="宋体"/>
          <w:sz w:val="21"/>
          <w:lang w:val="en-US" w:eastAsia="zh-CN" w:bidi="ar-SA"/>
        </w:rPr>
      </w:pPr>
      <w:r>
        <w:rPr>
          <w:rFonts w:hint="eastAsia" w:ascii="宋体" w:eastAsia="宋体"/>
          <w:sz w:val="21"/>
          <w:lang w:val="en-US" w:eastAsia="zh-CN" w:bidi="ar-SA"/>
        </w:rPr>
        <w:t>低压电力线高速载波通信，简称HPLC，是采用宽带载波技术在电力线上进行数据传输的通信方式。</w:t>
      </w:r>
    </w:p>
    <w:p>
      <w:pPr>
        <w:pStyle w:val="2"/>
        <w:widowControl/>
        <w:numPr>
          <w:ilvl w:val="1"/>
          <w:numId w:val="6"/>
        </w:numPr>
        <w:tabs>
          <w:tab w:val="left" w:pos="0"/>
        </w:tabs>
        <w:spacing w:before="158" w:beforeLines="50" w:after="158" w:afterLines="50" w:line="240" w:lineRule="auto"/>
        <w:rPr>
          <w:rFonts w:ascii="黑体" w:hAnsi="黑体" w:eastAsia="黑体" w:cs="黑体"/>
          <w:b w:val="0"/>
          <w:bCs/>
          <w:sz w:val="21"/>
          <w:szCs w:val="21"/>
        </w:rPr>
      </w:pPr>
      <w:bookmarkStart w:id="89" w:name="_Toc21400"/>
      <w:bookmarkEnd w:id="89"/>
      <w:bookmarkStart w:id="90" w:name="_Toc724"/>
      <w:bookmarkEnd w:id="90"/>
    </w:p>
    <w:p>
      <w:pPr>
        <w:autoSpaceDE w:val="0"/>
        <w:autoSpaceDN w:val="0"/>
        <w:ind w:firstLine="420" w:firstLineChars="200"/>
        <w:jc w:val="both"/>
        <w:rPr>
          <w:rFonts w:hint="eastAsia" w:ascii="黑体" w:hAnsi="Times New Roman" w:eastAsia="黑体" w:cs="Times New Roman"/>
          <w:sz w:val="21"/>
          <w:szCs w:val="21"/>
          <w:lang w:val="en-US" w:eastAsia="zh-CN" w:bidi="ar-SA"/>
        </w:rPr>
      </w:pPr>
      <w:r>
        <w:rPr>
          <w:rFonts w:hint="eastAsia" w:ascii="黑体" w:hAnsi="Times New Roman" w:eastAsia="黑体" w:cs="Times New Roman"/>
          <w:sz w:val="21"/>
          <w:szCs w:val="21"/>
          <w:lang w:val="en-US" w:eastAsia="zh-CN" w:bidi="ar-SA"/>
        </w:rPr>
        <w:t>双模通信 dual-mode communication</w:t>
      </w:r>
    </w:p>
    <w:p>
      <w:pPr>
        <w:autoSpaceDE w:val="0"/>
        <w:autoSpaceDN w:val="0"/>
        <w:ind w:firstLine="420" w:firstLineChars="200"/>
        <w:jc w:val="both"/>
        <w:rPr>
          <w:rFonts w:hint="eastAsia" w:ascii="宋体" w:eastAsia="宋体"/>
          <w:sz w:val="21"/>
          <w:lang w:val="en-US" w:eastAsia="zh-CN" w:bidi="ar-SA"/>
        </w:rPr>
      </w:pPr>
      <w:r>
        <w:rPr>
          <w:rFonts w:hint="eastAsia" w:ascii="宋体" w:eastAsia="宋体"/>
          <w:sz w:val="21"/>
          <w:lang w:val="en-US" w:eastAsia="zh-CN" w:bidi="ar-SA"/>
        </w:rPr>
        <w:t>采用电力线高速载波和高速无线通信技术进行数据传输的通信方式，简称HPLC+HRF。</w:t>
      </w:r>
    </w:p>
    <w:p>
      <w:pPr>
        <w:pStyle w:val="2"/>
        <w:keepNext/>
        <w:keepLines/>
        <w:pageBreakBefore w:val="0"/>
        <w:widowControl/>
        <w:numPr>
          <w:ilvl w:val="0"/>
          <w:numId w:val="6"/>
        </w:numPr>
        <w:kinsoku/>
        <w:wordWrap/>
        <w:overflowPunct/>
        <w:topLinePunct w:val="0"/>
        <w:autoSpaceDE/>
        <w:autoSpaceDN/>
        <w:bidi w:val="0"/>
        <w:adjustRightInd/>
        <w:snapToGrid/>
        <w:spacing w:before="317" w:beforeLines="100" w:after="317" w:afterLines="100" w:line="240" w:lineRule="auto"/>
        <w:textAlignment w:val="auto"/>
        <w:rPr>
          <w:rFonts w:hint="eastAsia" w:ascii="黑体" w:hAnsi="黑体" w:eastAsia="黑体" w:cs="黑体"/>
          <w:b w:val="0"/>
          <w:bCs/>
          <w:sz w:val="21"/>
          <w:szCs w:val="21"/>
        </w:rPr>
      </w:pPr>
      <w:bookmarkStart w:id="91" w:name="_Toc11352_WPSOffice_Level1"/>
      <w:bookmarkStart w:id="92" w:name="_Toc18453_WPSOffice_Level1"/>
      <w:bookmarkStart w:id="93" w:name="_Toc12389"/>
      <w:bookmarkStart w:id="94" w:name="_Toc90492893"/>
      <w:r>
        <w:rPr>
          <w:rFonts w:hint="eastAsia" w:ascii="黑体" w:hAnsi="黑体" w:eastAsia="黑体" w:cs="黑体"/>
          <w:b w:val="0"/>
          <w:bCs/>
          <w:sz w:val="21"/>
          <w:szCs w:val="21"/>
        </w:rPr>
        <w:t>系统架构</w:t>
      </w:r>
      <w:bookmarkEnd w:id="91"/>
      <w:bookmarkEnd w:id="92"/>
      <w:bookmarkEnd w:id="93"/>
    </w:p>
    <w:p>
      <w:pPr>
        <w:pStyle w:val="2"/>
        <w:widowControl/>
        <w:numPr>
          <w:ilvl w:val="1"/>
          <w:numId w:val="6"/>
        </w:numPr>
        <w:tabs>
          <w:tab w:val="left" w:pos="0"/>
        </w:tabs>
        <w:spacing w:before="158" w:beforeLines="50" w:after="158" w:afterLines="50" w:line="240" w:lineRule="auto"/>
        <w:rPr>
          <w:rFonts w:ascii="黑体" w:hAnsi="黑体" w:eastAsia="黑体" w:cs="黑体"/>
          <w:b w:val="0"/>
          <w:bCs/>
          <w:sz w:val="21"/>
          <w:szCs w:val="21"/>
        </w:rPr>
      </w:pPr>
      <w:bookmarkStart w:id="95" w:name="_Toc18049"/>
      <w:bookmarkStart w:id="96" w:name="_Toc29081_WPSOffice_Level2"/>
      <w:r>
        <w:rPr>
          <w:rFonts w:hint="eastAsia" w:ascii="黑体" w:hAnsi="黑体" w:eastAsia="黑体" w:cs="黑体"/>
          <w:b w:val="0"/>
          <w:bCs/>
          <w:sz w:val="21"/>
          <w:szCs w:val="21"/>
        </w:rPr>
        <w:t>基本要求</w:t>
      </w:r>
      <w:bookmarkEnd w:id="95"/>
      <w:bookmarkEnd w:id="96"/>
    </w:p>
    <w:p>
      <w:pPr>
        <w:pStyle w:val="41"/>
        <w:autoSpaceDE w:val="0"/>
        <w:autoSpaceDN w:val="0"/>
        <w:spacing w:before="0" w:line="240" w:lineRule="auto"/>
        <w:ind w:left="0" w:leftChars="0" w:right="0" w:rightChars="0" w:firstLine="420" w:firstLineChars="200"/>
        <w:jc w:val="both"/>
        <w:rPr>
          <w:rFonts w:hint="eastAsia" w:ascii="Times New Roman" w:hAnsi="Times New Roman" w:eastAsia="宋体" w:cs="Times New Roman"/>
          <w:szCs w:val="22"/>
        </w:rPr>
      </w:pPr>
      <w:r>
        <w:rPr>
          <w:rFonts w:hint="eastAsia" w:ascii="Times New Roman" w:hAnsi="Times New Roman" w:eastAsia="宋体" w:cs="Times New Roman"/>
          <w:szCs w:val="22"/>
        </w:rPr>
        <w:t>本文件的系统架构符合</w:t>
      </w:r>
      <w:r>
        <w:rPr>
          <w:rFonts w:hint="eastAsia" w:ascii="Times New Roman" w:hAnsi="Times New Roman" w:eastAsia="宋体" w:cs="Times New Roman"/>
          <w:sz w:val="21"/>
          <w:szCs w:val="22"/>
          <w:lang w:val="en-US" w:eastAsia="zh-CN" w:bidi="ar-SA"/>
        </w:rPr>
        <w:t>NB</w:t>
      </w:r>
      <w:r>
        <w:rPr>
          <w:rFonts w:hint="eastAsia" w:ascii="Times New Roman" w:hAnsi="Times New Roman" w:eastAsia="宋体" w:cs="Times New Roman"/>
          <w:szCs w:val="22"/>
        </w:rPr>
        <w:t>/T11305.2《电动汽车充放电双向互动第2部分：有序充电》中4.1b）有序充电设备通过有序充电管理终端接入有序充电管理系统应用场景。</w:t>
      </w:r>
      <w:bookmarkStart w:id="97" w:name="_Toc81389924"/>
    </w:p>
    <w:p>
      <w:pPr>
        <w:pStyle w:val="2"/>
        <w:widowControl/>
        <w:numPr>
          <w:ilvl w:val="1"/>
          <w:numId w:val="6"/>
        </w:numPr>
        <w:tabs>
          <w:tab w:val="left" w:pos="0"/>
        </w:tabs>
        <w:spacing w:before="158" w:beforeLines="50" w:after="158" w:afterLines="50" w:line="240" w:lineRule="auto"/>
        <w:rPr>
          <w:rFonts w:hint="eastAsia" w:ascii="黑体" w:hAnsi="黑体" w:eastAsia="黑体" w:cs="黑体"/>
          <w:b w:val="0"/>
          <w:bCs/>
          <w:sz w:val="21"/>
          <w:szCs w:val="21"/>
        </w:rPr>
      </w:pPr>
      <w:bookmarkStart w:id="98" w:name="_Toc21835_WPSOffice_Level2"/>
      <w:bookmarkStart w:id="99" w:name="_Toc16408"/>
      <w:r>
        <w:rPr>
          <w:rFonts w:hint="eastAsia" w:ascii="黑体" w:hAnsi="黑体" w:eastAsia="黑体" w:cs="黑体"/>
          <w:b w:val="0"/>
          <w:bCs/>
          <w:sz w:val="21"/>
          <w:szCs w:val="21"/>
        </w:rPr>
        <w:t>层级定义</w:t>
      </w:r>
      <w:bookmarkEnd w:id="98"/>
      <w:bookmarkEnd w:id="99"/>
    </w:p>
    <w:p>
      <w:pPr>
        <w:rPr>
          <w:rFonts w:hint="eastAsia" w:ascii="黑体" w:hAnsi="黑体" w:eastAsia="黑体" w:cs="黑体"/>
          <w:b w:val="0"/>
          <w:bCs/>
          <w:sz w:val="21"/>
          <w:szCs w:val="21"/>
        </w:rPr>
      </w:pPr>
    </w:p>
    <w:p>
      <w:pPr>
        <w:rPr>
          <w:rFonts w:hint="eastAsia" w:ascii="黑体" w:hAnsi="黑体" w:eastAsia="黑体" w:cs="黑体"/>
          <w:b w:val="0"/>
          <w:bCs/>
          <w:sz w:val="21"/>
          <w:szCs w:val="21"/>
        </w:rPr>
      </w:pPr>
    </w:p>
    <w:p>
      <w:pPr>
        <w:rPr>
          <w:rFonts w:hint="eastAsia" w:ascii="黑体" w:hAnsi="黑体" w:eastAsia="黑体" w:cs="黑体"/>
          <w:b w:val="0"/>
          <w:bCs/>
          <w:sz w:val="21"/>
          <w:szCs w:val="21"/>
        </w:rPr>
      </w:pPr>
    </w:p>
    <w:p>
      <w:pPr>
        <w:rPr>
          <w:rFonts w:hint="eastAsia" w:ascii="黑体" w:hAnsi="黑体" w:eastAsia="黑体" w:cs="黑体"/>
          <w:b w:val="0"/>
          <w:bCs/>
          <w:sz w:val="21"/>
          <w:szCs w:val="21"/>
        </w:rPr>
      </w:pPr>
    </w:p>
    <w:p>
      <w:pPr>
        <w:rPr>
          <w:rFonts w:hint="eastAsia" w:ascii="黑体" w:hAnsi="黑体" w:eastAsia="黑体" w:cs="黑体"/>
          <w:b w:val="0"/>
          <w:bCs/>
          <w:sz w:val="21"/>
          <w:szCs w:val="21"/>
        </w:rPr>
      </w:pPr>
    </w:p>
    <w:p>
      <w:pPr>
        <w:rPr>
          <w:rFonts w:hint="eastAsia" w:ascii="黑体" w:hAnsi="黑体" w:eastAsia="黑体" w:cs="黑体"/>
          <w:b w:val="0"/>
          <w:bCs/>
          <w:sz w:val="21"/>
          <w:szCs w:val="21"/>
        </w:rPr>
      </w:pPr>
    </w:p>
    <w:p>
      <w:pPr>
        <w:rPr>
          <w:rFonts w:hint="eastAsia" w:ascii="黑体" w:hAnsi="黑体" w:eastAsia="黑体" w:cs="黑体"/>
          <w:b w:val="0"/>
          <w:bCs/>
          <w:sz w:val="21"/>
          <w:szCs w:val="21"/>
        </w:rPr>
      </w:pPr>
    </w:p>
    <w:p>
      <w:pPr>
        <w:rPr>
          <w:rFonts w:hint="eastAsia" w:ascii="黑体" w:hAnsi="黑体" w:eastAsia="黑体" w:cs="黑体"/>
          <w:b w:val="0"/>
          <w:bCs/>
          <w:sz w:val="21"/>
          <w:szCs w:val="21"/>
        </w:rPr>
      </w:pPr>
    </w:p>
    <w:p>
      <w:pPr>
        <w:rPr>
          <w:rFonts w:hint="eastAsia" w:ascii="黑体" w:hAnsi="黑体" w:eastAsia="黑体" w:cs="黑体"/>
          <w:b w:val="0"/>
          <w:bCs/>
          <w:sz w:val="21"/>
          <w:szCs w:val="21"/>
        </w:rPr>
      </w:pPr>
    </w:p>
    <w:p>
      <w:pPr>
        <w:rPr>
          <w:rFonts w:hint="eastAsia" w:ascii="黑体" w:hAnsi="黑体" w:eastAsia="黑体" w:cs="黑体"/>
          <w:b w:val="0"/>
          <w:bCs/>
          <w:sz w:val="21"/>
          <w:szCs w:val="21"/>
        </w:rPr>
      </w:pPr>
    </w:p>
    <w:p>
      <w:pPr>
        <w:pStyle w:val="41"/>
        <w:rPr>
          <w:highlight w:val="yellow"/>
        </w:rPr>
      </w:pPr>
      <w:r>
        <mc:AlternateContent>
          <mc:Choice Requires="wpg">
            <w:drawing>
              <wp:anchor distT="0" distB="0" distL="114300" distR="114300" simplePos="0" relativeHeight="251662336" behindDoc="0" locked="0" layoutInCell="1" allowOverlap="1">
                <wp:simplePos x="0" y="0"/>
                <wp:positionH relativeFrom="column">
                  <wp:posOffset>466725</wp:posOffset>
                </wp:positionH>
                <wp:positionV relativeFrom="paragraph">
                  <wp:posOffset>84455</wp:posOffset>
                </wp:positionV>
                <wp:extent cx="5009515" cy="3160395"/>
                <wp:effectExtent l="5080" t="4445" r="0" b="16510"/>
                <wp:wrapNone/>
                <wp:docPr id="13" name="组合 13"/>
                <wp:cNvGraphicFramePr/>
                <a:graphic xmlns:a="http://schemas.openxmlformats.org/drawingml/2006/main">
                  <a:graphicData uri="http://schemas.microsoft.com/office/word/2010/wordprocessingGroup">
                    <wpg:wgp>
                      <wpg:cNvGrpSpPr/>
                      <wpg:grpSpPr>
                        <a:xfrm>
                          <a:off x="0" y="0"/>
                          <a:ext cx="5009515" cy="3160395"/>
                          <a:chOff x="6637" y="78454"/>
                          <a:chExt cx="7302" cy="5795"/>
                        </a:xfrm>
                      </wpg:grpSpPr>
                      <wps:wsp>
                        <wps:cNvPr id="4" name="矩形 6"/>
                        <wps:cNvSpPr/>
                        <wps:spPr>
                          <a:xfrm>
                            <a:off x="6693" y="82286"/>
                            <a:ext cx="2567" cy="1948"/>
                          </a:xfrm>
                          <a:prstGeom prst="rect">
                            <a:avLst/>
                          </a:prstGeom>
                          <a:solidFill>
                            <a:schemeClr val="bg1">
                              <a:lumMod val="75000"/>
                            </a:schemeClr>
                          </a:solidFill>
                          <a:ln w="6350" cap="flat" cmpd="sng">
                            <a:solidFill>
                              <a:srgbClr val="000000"/>
                            </a:solidFill>
                            <a:prstDash val="solid"/>
                            <a:miter/>
                            <a:headEnd type="none" w="med" len="med"/>
                            <a:tailEnd type="none" w="med" len="med"/>
                          </a:ln>
                        </wps:spPr>
                        <wps:txbx>
                          <w:txbxContent>
                            <w:p>
                              <w:pPr>
                                <w:jc w:val="center"/>
                                <w:rPr>
                                  <w:b/>
                                  <w:bCs/>
                                </w:rPr>
                              </w:pPr>
                            </w:p>
                          </w:txbxContent>
                        </wps:txbx>
                        <wps:bodyPr anchor="ctr" anchorCtr="0" upright="1"/>
                      </wps:wsp>
                      <wps:wsp>
                        <wps:cNvPr id="44" name="矩形 9"/>
                        <wps:cNvSpPr/>
                        <wps:spPr>
                          <a:xfrm>
                            <a:off x="6637" y="79356"/>
                            <a:ext cx="7064" cy="904"/>
                          </a:xfrm>
                          <a:prstGeom prst="rect">
                            <a:avLst/>
                          </a:prstGeom>
                          <a:solidFill>
                            <a:schemeClr val="bg1">
                              <a:lumMod val="75000"/>
                            </a:schemeClr>
                          </a:solidFill>
                          <a:ln>
                            <a:solidFill>
                              <a:schemeClr val="tx1"/>
                            </a:solidFill>
                            <a:headEnd type="none" w="med" len="med"/>
                            <a:tailEnd type="none" w="med" len="med"/>
                          </a:ln>
                        </wps:spPr>
                        <wps:style>
                          <a:lnRef idx="0">
                            <a:srgbClr val="FFFFFF"/>
                          </a:lnRef>
                          <a:fillRef idx="1">
                            <a:schemeClr val="accent1"/>
                          </a:fillRef>
                          <a:effectRef idx="0">
                            <a:srgbClr val="FFFFFF"/>
                          </a:effectRef>
                          <a:fontRef idx="minor">
                            <a:schemeClr val="lt1"/>
                          </a:fontRef>
                        </wps:style>
                        <wps:bodyPr anchor="ctr" anchorCtr="0" upright="1"/>
                      </wps:wsp>
                      <wps:wsp>
                        <wps:cNvPr id="45" name="矩形 4"/>
                        <wps:cNvSpPr/>
                        <wps:spPr>
                          <a:xfrm>
                            <a:off x="6653" y="80463"/>
                            <a:ext cx="7096" cy="1079"/>
                          </a:xfrm>
                          <a:prstGeom prst="rect">
                            <a:avLst/>
                          </a:prstGeom>
                          <a:solidFill>
                            <a:schemeClr val="bg1">
                              <a:lumMod val="75000"/>
                            </a:schemeClr>
                          </a:solidFill>
                          <a:ln>
                            <a:solidFill>
                              <a:schemeClr val="tx1"/>
                            </a:solidFill>
                            <a:headEnd type="none" w="med" len="med"/>
                            <a:tailEnd type="none" w="med" len="med"/>
                          </a:ln>
                        </wps:spPr>
                        <wps:style>
                          <a:lnRef idx="0">
                            <a:srgbClr val="FFFFFF"/>
                          </a:lnRef>
                          <a:fillRef idx="1">
                            <a:schemeClr val="accent1"/>
                          </a:fillRef>
                          <a:effectRef idx="0">
                            <a:srgbClr val="FFFFFF"/>
                          </a:effectRef>
                          <a:fontRef idx="minor">
                            <a:schemeClr val="lt1"/>
                          </a:fontRef>
                        </wps:style>
                        <wps:txbx>
                          <w:txbxContent>
                            <w:p>
                              <w:pPr>
                                <w:jc w:val="center"/>
                                <w:rPr>
                                  <w:rFonts w:eastAsiaTheme="minorEastAsia"/>
                                  <w14:textOutline w14:w="9525" w14:cap="flat" w14:cmpd="sng" w14:algn="ctr">
                                    <w14:solidFill>
                                      <w14:schemeClr w14:val="tx1"/>
                                    </w14:solidFill>
                                    <w14:prstDash w14:val="solid"/>
                                    <w14:round/>
                                  </w14:textOutline>
                                </w:rPr>
                              </w:pPr>
                            </w:p>
                          </w:txbxContent>
                        </wps:txbx>
                        <wps:bodyPr anchor="ctr" anchorCtr="0" upright="1"/>
                      </wps:wsp>
                      <wps:wsp>
                        <wps:cNvPr id="46" name="矩形 1"/>
                        <wps:cNvSpPr/>
                        <wps:spPr>
                          <a:xfrm>
                            <a:off x="6637" y="78454"/>
                            <a:ext cx="7096" cy="701"/>
                          </a:xfrm>
                          <a:prstGeom prst="rect">
                            <a:avLst/>
                          </a:prstGeom>
                          <a:solidFill>
                            <a:schemeClr val="bg1">
                              <a:lumMod val="75000"/>
                            </a:schemeClr>
                          </a:solidFill>
                          <a:ln>
                            <a:solidFill>
                              <a:schemeClr val="tx1"/>
                            </a:solidFill>
                            <a:headEnd type="none" w="med" len="med"/>
                            <a:tailEnd type="none" w="med" len="med"/>
                          </a:ln>
                        </wps:spPr>
                        <wps:style>
                          <a:lnRef idx="0">
                            <a:srgbClr val="FFFFFF"/>
                          </a:lnRef>
                          <a:fillRef idx="1">
                            <a:schemeClr val="accent1"/>
                          </a:fillRef>
                          <a:effectRef idx="0">
                            <a:srgbClr val="FFFFFF"/>
                          </a:effectRef>
                          <a:fontRef idx="minor">
                            <a:schemeClr val="lt1"/>
                          </a:fontRef>
                        </wps:style>
                        <wps:txbx>
                          <w:txbxContent>
                            <w:p>
                              <w:pPr>
                                <w:jc w:val="center"/>
                              </w:pPr>
                            </w:p>
                          </w:txbxContent>
                        </wps:txbx>
                        <wps:bodyPr anchor="ctr" anchorCtr="0" upright="1"/>
                      </wps:wsp>
                      <wps:wsp>
                        <wps:cNvPr id="47" name="矩形 2"/>
                        <wps:cNvSpPr/>
                        <wps:spPr>
                          <a:xfrm>
                            <a:off x="7263" y="79518"/>
                            <a:ext cx="5829" cy="599"/>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sz w:val="15"/>
                                  <w:szCs w:val="15"/>
                                </w:rPr>
                              </w:pPr>
                              <w:r>
                                <w:rPr>
                                  <w:rFonts w:hint="eastAsia"/>
                                  <w:sz w:val="15"/>
                                  <w:szCs w:val="15"/>
                                </w:rPr>
                                <w:t>有序充电管理系统</w:t>
                              </w:r>
                            </w:p>
                          </w:txbxContent>
                        </wps:txbx>
                        <wps:bodyPr anchor="ctr" anchorCtr="0" upright="1"/>
                      </wps:wsp>
                      <wps:wsp>
                        <wps:cNvPr id="48" name="矩形 3"/>
                        <wps:cNvSpPr/>
                        <wps:spPr>
                          <a:xfrm>
                            <a:off x="8977" y="80651"/>
                            <a:ext cx="2738" cy="76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sz w:val="15"/>
                                  <w:szCs w:val="15"/>
                                </w:rPr>
                              </w:pPr>
                              <w:r>
                                <w:rPr>
                                  <w:rFonts w:hint="eastAsia"/>
                                  <w:sz w:val="15"/>
                                  <w:szCs w:val="15"/>
                                </w:rPr>
                                <w:t>有序充电管理终端</w:t>
                              </w:r>
                            </w:p>
                            <w:p>
                              <w:pPr>
                                <w:jc w:val="center"/>
                                <w:rPr>
                                  <w:sz w:val="15"/>
                                  <w:szCs w:val="15"/>
                                </w:rPr>
                              </w:pPr>
                              <w:r>
                                <w:rPr>
                                  <w:rFonts w:hint="eastAsia"/>
                                  <w:sz w:val="15"/>
                                  <w:szCs w:val="15"/>
                                </w:rPr>
                                <w:t>（用电信息采集终端）</w:t>
                              </w:r>
                            </w:p>
                          </w:txbxContent>
                        </wps:txbx>
                        <wps:bodyPr anchor="ctr" anchorCtr="0" upright="1"/>
                      </wps:wsp>
                      <wps:wsp>
                        <wps:cNvPr id="49" name="矩形 6"/>
                        <wps:cNvSpPr/>
                        <wps:spPr>
                          <a:xfrm>
                            <a:off x="6878" y="82889"/>
                            <a:ext cx="1972" cy="463"/>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sz w:val="15"/>
                                  <w:szCs w:val="15"/>
                                </w:rPr>
                              </w:pPr>
                              <w:r>
                                <w:rPr>
                                  <w:rFonts w:hint="eastAsia"/>
                                  <w:sz w:val="15"/>
                                  <w:szCs w:val="15"/>
                                </w:rPr>
                                <w:t>有序充电控制单元</w:t>
                              </w:r>
                            </w:p>
                          </w:txbxContent>
                        </wps:txbx>
                        <wps:bodyPr anchor="ctr" anchorCtr="0" upright="1"/>
                      </wps:wsp>
                      <wps:wsp>
                        <wps:cNvPr id="50" name="矩形 7"/>
                        <wps:cNvSpPr/>
                        <wps:spPr>
                          <a:xfrm>
                            <a:off x="6883" y="83688"/>
                            <a:ext cx="1966" cy="449"/>
                          </a:xfrm>
                          <a:prstGeom prst="rect">
                            <a:avLst/>
                          </a:prstGeom>
                          <a:solidFill>
                            <a:srgbClr val="FFFFFF"/>
                          </a:solidFill>
                          <a:ln w="9525" cap="flat" cmpd="sng">
                            <a:solidFill>
                              <a:schemeClr val="tx1"/>
                            </a:solidFill>
                            <a:prstDash val="solid"/>
                            <a:miter/>
                            <a:headEnd type="none" w="med" len="med"/>
                            <a:tailEnd type="none" w="med" len="med"/>
                          </a:ln>
                        </wps:spPr>
                        <wps:txbx>
                          <w:txbxContent>
                            <w:p>
                              <w:pPr>
                                <w:jc w:val="center"/>
                                <w:rPr>
                                  <w:sz w:val="15"/>
                                  <w:szCs w:val="15"/>
                                </w:rPr>
                              </w:pPr>
                              <w:r>
                                <w:rPr>
                                  <w:rFonts w:hint="eastAsia"/>
                                  <w:sz w:val="15"/>
                                  <w:szCs w:val="15"/>
                                </w:rPr>
                                <w:t>充电桩</w:t>
                              </w:r>
                            </w:p>
                          </w:txbxContent>
                        </wps:txbx>
                        <wps:bodyPr anchor="ctr" anchorCtr="0" upright="1"/>
                      </wps:wsp>
                      <wps:wsp>
                        <wps:cNvPr id="51" name="矩形 8"/>
                        <wps:cNvSpPr/>
                        <wps:spPr>
                          <a:xfrm>
                            <a:off x="11044" y="83548"/>
                            <a:ext cx="2745" cy="701"/>
                          </a:xfrm>
                          <a:prstGeom prst="rect">
                            <a:avLst/>
                          </a:prstGeom>
                          <a:solidFill>
                            <a:srgbClr val="FFFFFF"/>
                          </a:solidFill>
                          <a:ln w="9525" cap="flat" cmpd="sng">
                            <a:solidFill>
                              <a:schemeClr val="tx1"/>
                            </a:solidFill>
                            <a:prstDash val="solid"/>
                            <a:miter/>
                            <a:headEnd type="none" w="med" len="med"/>
                            <a:tailEnd type="none" w="med" len="med"/>
                          </a:ln>
                        </wps:spPr>
                        <wps:txbx>
                          <w:txbxContent>
                            <w:p>
                              <w:pPr>
                                <w:jc w:val="center"/>
                                <w:rPr>
                                  <w:b/>
                                  <w:bCs/>
                                  <w:sz w:val="24"/>
                                </w:rPr>
                              </w:pPr>
                              <w:r>
                                <w:rPr>
                                  <w:rFonts w:hint="eastAsia"/>
                                  <w:sz w:val="15"/>
                                  <w:szCs w:val="15"/>
                                </w:rPr>
                                <w:t>有序充电桩/桩群</w:t>
                              </w:r>
                            </w:p>
                          </w:txbxContent>
                        </wps:txbx>
                        <wps:bodyPr anchor="ctr" anchorCtr="0" upright="1"/>
                      </wps:wsp>
                      <wps:wsp>
                        <wps:cNvPr id="52" name="直接箭头连接符 12"/>
                        <wps:cNvCnPr/>
                        <wps:spPr>
                          <a:xfrm flipH="1">
                            <a:off x="10304" y="80099"/>
                            <a:ext cx="8" cy="575"/>
                          </a:xfrm>
                          <a:prstGeom prst="straightConnector1">
                            <a:avLst/>
                          </a:prstGeom>
                          <a:ln w="12700" cap="flat" cmpd="sng">
                            <a:solidFill>
                              <a:srgbClr val="000000"/>
                            </a:solidFill>
                            <a:prstDash val="solid"/>
                            <a:headEnd type="arrow" w="med" len="med"/>
                            <a:tailEnd type="arrow" w="med" len="med"/>
                          </a:ln>
                        </wps:spPr>
                        <wps:bodyPr/>
                      </wps:wsp>
                      <wps:wsp>
                        <wps:cNvPr id="53" name="直接箭头连接符 13"/>
                        <wps:cNvCnPr>
                          <a:stCxn id="47" idx="0"/>
                          <a:endCxn id="46" idx="2"/>
                        </wps:cNvCnPr>
                        <wps:spPr>
                          <a:xfrm flipV="1">
                            <a:off x="10178" y="79154"/>
                            <a:ext cx="7" cy="364"/>
                          </a:xfrm>
                          <a:prstGeom prst="straightConnector1">
                            <a:avLst/>
                          </a:prstGeom>
                          <a:ln w="12700" cap="flat" cmpd="sng">
                            <a:solidFill>
                              <a:srgbClr val="000000"/>
                            </a:solidFill>
                            <a:prstDash val="solid"/>
                            <a:headEnd type="arrow" w="med" len="med"/>
                            <a:tailEnd type="arrow" w="med" len="med"/>
                          </a:ln>
                        </wps:spPr>
                        <wps:bodyPr/>
                      </wps:wsp>
                      <wps:wsp>
                        <wps:cNvPr id="57" name="矩形 2"/>
                        <wps:cNvSpPr/>
                        <wps:spPr>
                          <a:xfrm>
                            <a:off x="7250" y="78584"/>
                            <a:ext cx="5829" cy="479"/>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sz w:val="15"/>
                                  <w:szCs w:val="15"/>
                                </w:rPr>
                              </w:pPr>
                              <w:r>
                                <w:rPr>
                                  <w:rFonts w:hint="eastAsia"/>
                                  <w:sz w:val="15"/>
                                  <w:szCs w:val="15"/>
                                </w:rPr>
                                <w:t>电网调度交易系统、负荷聚合管理系统及其他信息系统</w:t>
                              </w:r>
                            </w:p>
                          </w:txbxContent>
                        </wps:txbx>
                        <wps:bodyPr anchor="ctr" anchorCtr="0" upright="1"/>
                      </wps:wsp>
                      <wps:wsp>
                        <wps:cNvPr id="58" name="直接连接符 16"/>
                        <wps:cNvCnPr/>
                        <wps:spPr>
                          <a:xfrm>
                            <a:off x="10488" y="80094"/>
                            <a:ext cx="0" cy="583"/>
                          </a:xfrm>
                          <a:prstGeom prst="line">
                            <a:avLst/>
                          </a:prstGeom>
                          <a:ln w="12700" cap="flat" cmpd="sng" algn="ctr">
                            <a:solidFill>
                              <a:schemeClr val="tx1"/>
                            </a:solidFill>
                            <a:prstDash val="dash"/>
                            <a:miter lim="800000"/>
                          </a:ln>
                        </wps:spPr>
                        <wps:style>
                          <a:lnRef idx="0">
                            <a:schemeClr val="accent1"/>
                          </a:lnRef>
                          <a:fillRef idx="0">
                            <a:srgbClr val="FFFFFF"/>
                          </a:fillRef>
                          <a:effectRef idx="0">
                            <a:srgbClr val="FFFFFF"/>
                          </a:effectRef>
                          <a:fontRef idx="minor">
                            <a:schemeClr val="tx1"/>
                          </a:fontRef>
                        </wps:style>
                        <wps:bodyPr/>
                      </wps:wsp>
                      <wps:wsp>
                        <wps:cNvPr id="62" name="文本框 20"/>
                        <wps:cNvSpPr txBox="1"/>
                        <wps:spPr>
                          <a:xfrm>
                            <a:off x="10568" y="80126"/>
                            <a:ext cx="907" cy="439"/>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sz w:val="20"/>
                                  <w:szCs w:val="22"/>
                                </w:rPr>
                              </w:pPr>
                              <w:r>
                                <w:rPr>
                                  <w:rFonts w:hint="eastAsia"/>
                                  <w:sz w:val="20"/>
                                  <w:szCs w:val="22"/>
                                </w:rPr>
                                <w:t>4G/5G</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3" name="文本框 21"/>
                        <wps:cNvSpPr txBox="1"/>
                        <wps:spPr>
                          <a:xfrm>
                            <a:off x="10530" y="81592"/>
                            <a:ext cx="1999" cy="439"/>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sz w:val="15"/>
                                  <w:szCs w:val="15"/>
                                </w:rPr>
                              </w:pPr>
                              <w:r>
                                <w:rPr>
                                  <w:rFonts w:hint="eastAsia"/>
                                  <w:sz w:val="15"/>
                                  <w:szCs w:val="15"/>
                                </w:rPr>
                                <w:t>HPLC/HPLC+HRF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4" name="文本框 22"/>
                        <wps:cNvSpPr txBox="1"/>
                        <wps:spPr>
                          <a:xfrm>
                            <a:off x="7964" y="81586"/>
                            <a:ext cx="2070" cy="439"/>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sz w:val="15"/>
                                  <w:szCs w:val="15"/>
                                </w:rPr>
                              </w:pPr>
                              <w:r>
                                <w:rPr>
                                  <w:rFonts w:hint="eastAsia"/>
                                  <w:sz w:val="15"/>
                                  <w:szCs w:val="15"/>
                                </w:rPr>
                                <w:t>HPLC/HPLC+HRF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5" name="文本框 23"/>
                        <wps:cNvSpPr txBox="1"/>
                        <wps:spPr>
                          <a:xfrm>
                            <a:off x="12419" y="83027"/>
                            <a:ext cx="1520" cy="43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ascii="宋体" w:hAnsi="宋体" w:cs="宋体"/>
                                  <w:sz w:val="18"/>
                                  <w:szCs w:val="21"/>
                                </w:rPr>
                              </w:pPr>
                              <w:r>
                                <w:rPr>
                                  <w:rFonts w:hint="eastAsia" w:ascii="宋体" w:hAnsi="宋体" w:cs="宋体"/>
                                  <w:sz w:val="18"/>
                                  <w:szCs w:val="21"/>
                                </w:rPr>
                                <w:t>RS485、CAN等</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 name="矩形 6"/>
                        <wps:cNvSpPr/>
                        <wps:spPr>
                          <a:xfrm>
                            <a:off x="11028" y="82207"/>
                            <a:ext cx="2765" cy="701"/>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sz w:val="15"/>
                                  <w:szCs w:val="15"/>
                                </w:rPr>
                              </w:pPr>
                              <w:r>
                                <w:rPr>
                                  <w:rFonts w:hint="eastAsia"/>
                                  <w:sz w:val="15"/>
                                  <w:szCs w:val="15"/>
                                </w:rPr>
                                <w:t>有序充电控制单元</w:t>
                              </w:r>
                            </w:p>
                          </w:txbxContent>
                        </wps:txbx>
                        <wps:bodyPr anchor="ctr" anchorCtr="0" upright="1"/>
                      </wps:wsp>
                      <wps:wsp>
                        <wps:cNvPr id="3" name="文本框 23"/>
                        <wps:cNvSpPr txBox="1"/>
                        <wps:spPr>
                          <a:xfrm>
                            <a:off x="7632" y="83279"/>
                            <a:ext cx="1730" cy="43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sz w:val="18"/>
                                  <w:szCs w:val="21"/>
                                </w:rPr>
                              </w:pPr>
                              <w:r>
                                <w:rPr>
                                  <w:rFonts w:hint="eastAsia"/>
                                  <w:sz w:val="18"/>
                                  <w:szCs w:val="21"/>
                                </w:rPr>
                                <w:t>RS485、CAN等</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 name="直接箭头连接符 17"/>
                        <wps:cNvCnPr/>
                        <wps:spPr>
                          <a:xfrm flipH="1">
                            <a:off x="7730" y="83366"/>
                            <a:ext cx="1" cy="348"/>
                          </a:xfrm>
                          <a:prstGeom prst="straightConnector1">
                            <a:avLst/>
                          </a:prstGeom>
                          <a:ln w="12700" cap="flat" cmpd="sng">
                            <a:solidFill>
                              <a:srgbClr val="000000"/>
                            </a:solidFill>
                            <a:prstDash val="solid"/>
                            <a:headEnd type="arrow" w="med" len="med"/>
                            <a:tailEnd type="arrow" w="med" len="med"/>
                          </a:ln>
                        </wps:spPr>
                        <wps:bodyPr/>
                      </wps:wsp>
                      <wps:wsp>
                        <wps:cNvPr id="6" name="矩形 6"/>
                        <wps:cNvSpPr/>
                        <wps:spPr>
                          <a:xfrm>
                            <a:off x="6686" y="82198"/>
                            <a:ext cx="2574" cy="551"/>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sz w:val="15"/>
                                  <w:szCs w:val="15"/>
                                </w:rPr>
                              </w:pPr>
                              <w:r>
                                <w:rPr>
                                  <w:rFonts w:hint="eastAsia"/>
                                  <w:sz w:val="15"/>
                                  <w:szCs w:val="15"/>
                                </w:rPr>
                                <w:t>有序充电桩</w:t>
                              </w:r>
                            </w:p>
                          </w:txbxContent>
                        </wps:txbx>
                        <wps:bodyPr anchor="ctr" anchorCtr="0" upright="1"/>
                      </wps:wsp>
                      <wps:wsp>
                        <wps:cNvPr id="7" name="肘形连接符 7"/>
                        <wps:cNvCnPr>
                          <a:stCxn id="48" idx="3"/>
                          <a:endCxn id="2" idx="0"/>
                        </wps:cNvCnPr>
                        <wps:spPr>
                          <a:xfrm>
                            <a:off x="11715" y="81031"/>
                            <a:ext cx="696" cy="1176"/>
                          </a:xfrm>
                          <a:prstGeom prst="bentConnector2">
                            <a:avLst/>
                          </a:prstGeom>
                          <a:ln w="12700" cap="flat" cmpd="sng">
                            <a:solidFill>
                              <a:srgbClr val="000000"/>
                            </a:solidFill>
                            <a:prstDash val="solid"/>
                            <a:headEnd type="arrow" w="med" len="med"/>
                            <a:tailEnd type="arrow" w="med" len="med"/>
                          </a:ln>
                        </wps:spPr>
                        <wps:bodyPr/>
                      </wps:wsp>
                      <wps:wsp>
                        <wps:cNvPr id="9" name="直接箭头连接符 17"/>
                        <wps:cNvCnPr>
                          <a:stCxn id="2" idx="2"/>
                          <a:endCxn id="51" idx="0"/>
                        </wps:cNvCnPr>
                        <wps:spPr>
                          <a:xfrm>
                            <a:off x="12411" y="82908"/>
                            <a:ext cx="7" cy="640"/>
                          </a:xfrm>
                          <a:prstGeom prst="straightConnector1">
                            <a:avLst/>
                          </a:prstGeom>
                          <a:ln w="12700" cap="flat" cmpd="sng">
                            <a:solidFill>
                              <a:srgbClr val="000000"/>
                            </a:solidFill>
                            <a:prstDash val="solid"/>
                            <a:headEnd type="arrow" w="med" len="med"/>
                            <a:tailEnd type="arrow" w="med" len="med"/>
                          </a:ln>
                        </wps:spPr>
                        <wps:bodyPr/>
                      </wps:wsp>
                      <wps:wsp>
                        <wps:cNvPr id="10" name="肘形连接符 10"/>
                        <wps:cNvCnPr>
                          <a:stCxn id="48" idx="1"/>
                          <a:endCxn id="6" idx="0"/>
                        </wps:cNvCnPr>
                        <wps:spPr>
                          <a:xfrm rot="10800000" flipV="1">
                            <a:off x="7973" y="81031"/>
                            <a:ext cx="1004" cy="1167"/>
                          </a:xfrm>
                          <a:prstGeom prst="bentConnector2">
                            <a:avLst/>
                          </a:prstGeom>
                          <a:ln w="12700" cap="flat" cmpd="sng">
                            <a:solidFill>
                              <a:srgbClr val="000000"/>
                            </a:solidFill>
                            <a:prstDash val="solid"/>
                            <a:headEnd type="arrow" w="med" len="med"/>
                            <a:tailEnd type="arrow" w="med" len="med"/>
                          </a:ln>
                        </wps:spPr>
                        <wps:bodyPr/>
                      </wps:wsp>
                    </wpg:wgp>
                  </a:graphicData>
                </a:graphic>
              </wp:anchor>
            </w:drawing>
          </mc:Choice>
          <mc:Fallback>
            <w:pict>
              <v:group id="_x0000_s1026" o:spid="_x0000_s1026" o:spt="203" style="position:absolute;left:0pt;margin-left:36.75pt;margin-top:6.65pt;height:248.85pt;width:394.45pt;z-index:251662336;mso-width-relative:page;mso-height-relative:page;" coordorigin="6637,78454" coordsize="7302,5795" o:gfxdata="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">
                <o:lock v:ext="edit" aspectratio="f"/>
                <v:rect id="矩形 6" o:spid="_x0000_s1026" o:spt="1" style="position:absolute;left:6693;top:82286;height:1948;width:2567;v-text-anchor:middle;" fillcolor="#BFBFBF [2412]" filled="t" stroked="t" coordsize="21600,21600" o:gfxdata="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7g5iK8AAAA&#10;2gAAAA8AAAAAAAAAAQAgAAAAIgAAAGRycy9kb3ducmV2LnhtbFBLAQIUABQAAAAIAIdO4kAzLwWe&#10;OwAAADkAAAAQAAAAAAAAAAEAIAAAAAsBAABkcnMvc2hhcGV4bWwueG1sUEsFBgAAAAAGAAYAWwEA&#10;ALUDAAAAAA==&#10;">
                  <v:fill on="t" focussize="0,0"/>
                  <v:stroke weight="0.5pt" color="#000000" joinstyle="miter"/>
                  <v:imagedata o:title=""/>
                  <o:lock v:ext="edit" aspectratio="f"/>
                  <v:textbox>
                    <w:txbxContent>
                      <w:p>
                        <w:pPr>
                          <w:jc w:val="center"/>
                          <w:rPr>
                            <w:b/>
                            <w:bCs/>
                          </w:rPr>
                        </w:pPr>
                      </w:p>
                    </w:txbxContent>
                  </v:textbox>
                </v:rect>
                <v:rect id="矩形 9" o:spid="_x0000_s1026" o:spt="1" style="position:absolute;left:6637;top:79356;height:904;width:7064;v-text-anchor:middle;" fillcolor="#BFBFBF [2412]" filled="t" stroked="t" coordsize="21600,21600" o:gfxdata="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J+uRbugAAANsA&#10;AAAPAAAAAAAAAAEAIAAAACIAAABkcnMvZG93bnJldi54bWxQSwECFAAUAAAACACHTuJAMy8FnjsA&#10;AAA5AAAAEAAAAAAAAAABACAAAAAJAQAAZHJzL3NoYXBleG1sLnhtbFBLBQYAAAAABgAGAFsBAACz&#10;AwAAAAA=&#10;">
                  <v:fill on="t" focussize="0,0"/>
                  <v:stroke color="#000000 [3213]" joinstyle="round"/>
                  <v:imagedata o:title=""/>
                  <o:lock v:ext="edit" aspectratio="f"/>
                </v:rect>
                <v:rect id="矩形 4" o:spid="_x0000_s1026" o:spt="1" style="position:absolute;left:6653;top:80463;height:1079;width:7096;v-text-anchor:middle;" fillcolor="#BFBFBF [2412]" filled="t" stroked="t" coordsize="21600,21600" o:gfxdata="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mtkHAugAAANsA&#10;AAAPAAAAAAAAAAEAIAAAACIAAABkcnMvZG93bnJldi54bWxQSwECFAAUAAAACACHTuJAMy8FnjsA&#10;AAA5AAAAEAAAAAAAAAABACAAAAAJAQAAZHJzL3NoYXBleG1sLnhtbFBLBQYAAAAABgAGAFsBAACz&#10;AwAAAAA=&#10;">
                  <v:fill on="t" focussize="0,0"/>
                  <v:stroke color="#000000 [3213]" joinstyle="round"/>
                  <v:imagedata o:title=""/>
                  <o:lock v:ext="edit" aspectratio="f"/>
                  <v:textbox>
                    <w:txbxContent>
                      <w:p>
                        <w:pPr>
                          <w:jc w:val="center"/>
                          <w:rPr>
                            <w:rFonts w:eastAsiaTheme="minorEastAsia"/>
                            <w14:textOutline w14:w="9525" w14:cap="flat" w14:cmpd="sng" w14:algn="ctr">
                              <w14:solidFill>
                                <w14:schemeClr w14:val="tx1"/>
                              </w14:solidFill>
                              <w14:prstDash w14:val="solid"/>
                              <w14:round/>
                            </w14:textOutline>
                          </w:rPr>
                        </w:pPr>
                      </w:p>
                    </w:txbxContent>
                  </v:textbox>
                </v:rect>
                <v:rect id="矩形 1" o:spid="_x0000_s1026" o:spt="1" style="position:absolute;left:6637;top:78454;height:701;width:7096;v-text-anchor:middle;" fillcolor="#BFBFBF [2412]" filled="t" stroked="t" coordsize="21600,21600" o:gfxdata="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mTft7sAAADb&#10;AAAADwAAAAAAAAABACAAAAAiAAAAZHJzL2Rvd25yZXYueG1sUEsBAhQAFAAAAAgAh07iQDMvBZ47&#10;AAAAOQAAABAAAAAAAAAAAQAgAAAACgEAAGRycy9zaGFwZXhtbC54bWxQSwUGAAAAAAYABgBbAQAA&#10;tAMAAAAA&#10;">
                  <v:fill on="t" focussize="0,0"/>
                  <v:stroke color="#000000 [3213]" joinstyle="round"/>
                  <v:imagedata o:title=""/>
                  <o:lock v:ext="edit" aspectratio="f"/>
                  <v:textbox>
                    <w:txbxContent>
                      <w:p>
                        <w:pPr>
                          <w:jc w:val="center"/>
                        </w:pPr>
                      </w:p>
                    </w:txbxContent>
                  </v:textbox>
                </v:rect>
                <v:rect id="矩形 2" o:spid="_x0000_s1026" o:spt="1" style="position:absolute;left:7263;top:79518;height:599;width:5829;v-text-anchor:middle;" fillcolor="#FFFFFF" filled="t" stroked="t" coordsize="21600,21600" o:gfxdata="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s/+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w:txbxContent>
                      <w:p>
                        <w:pPr>
                          <w:jc w:val="center"/>
                          <w:rPr>
                            <w:sz w:val="15"/>
                            <w:szCs w:val="15"/>
                          </w:rPr>
                        </w:pPr>
                        <w:r>
                          <w:rPr>
                            <w:rFonts w:hint="eastAsia"/>
                            <w:sz w:val="15"/>
                            <w:szCs w:val="15"/>
                          </w:rPr>
                          <w:t>有序充电管理系统</w:t>
                        </w:r>
                      </w:p>
                    </w:txbxContent>
                  </v:textbox>
                </v:rect>
                <v:rect id="矩形 3" o:spid="_x0000_s1026" o:spt="1" style="position:absolute;left:8977;top:80651;height:760;width:2738;v-text-anchor:middle;" fillcolor="#FFFFFF" filled="t" stroked="t" coordsize="21600,21600" o:gfxdata="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ZVuMugAAANsA&#10;AAAPAAAAAAAAAAEAIAAAACIAAABkcnMvZG93bnJldi54bWxQSwECFAAUAAAACACHTuJAMy8FnjsA&#10;AAA5AAAAEAAAAAAAAAABACAAAAAJAQAAZHJzL3NoYXBleG1sLnhtbFBLBQYAAAAABgAGAFsBAACz&#10;AwAAAAA=&#10;">
                  <v:fill on="t" focussize="0,0"/>
                  <v:stroke weight="0.5pt" color="#000000" joinstyle="miter"/>
                  <v:imagedata o:title=""/>
                  <o:lock v:ext="edit" aspectratio="f"/>
                  <v:textbox>
                    <w:txbxContent>
                      <w:p>
                        <w:pPr>
                          <w:jc w:val="center"/>
                          <w:rPr>
                            <w:sz w:val="15"/>
                            <w:szCs w:val="15"/>
                          </w:rPr>
                        </w:pPr>
                        <w:r>
                          <w:rPr>
                            <w:rFonts w:hint="eastAsia"/>
                            <w:sz w:val="15"/>
                            <w:szCs w:val="15"/>
                          </w:rPr>
                          <w:t>有序充电管理终端</w:t>
                        </w:r>
                      </w:p>
                      <w:p>
                        <w:pPr>
                          <w:jc w:val="center"/>
                          <w:rPr>
                            <w:sz w:val="15"/>
                            <w:szCs w:val="15"/>
                          </w:rPr>
                        </w:pPr>
                        <w:r>
                          <w:rPr>
                            <w:rFonts w:hint="eastAsia"/>
                            <w:sz w:val="15"/>
                            <w:szCs w:val="15"/>
                          </w:rPr>
                          <w:t>（用电信息采集终端）</w:t>
                        </w:r>
                      </w:p>
                    </w:txbxContent>
                  </v:textbox>
                </v:rect>
                <v:rect id="矩形 6" o:spid="_x0000_s1026" o:spt="1" style="position:absolute;left:6878;top:82889;height:463;width:1972;v-text-anchor:middle;" fillcolor="#FFFFFF" filled="t" stroked="t" coordsize="21600,21600" o:gfxdata="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Sn+F74A&#10;AADbAAAADwAAAAAAAAABACAAAAAiAAAAZHJzL2Rvd25yZXYueG1sUEsBAhQAFAAAAAgAh07iQDMv&#10;BZ47AAAAOQAAABAAAAAAAAAAAQAgAAAADQEAAGRycy9zaGFwZXhtbC54bWxQSwUGAAAAAAYABgBb&#10;AQAAtwMAAAAA&#10;">
                  <v:fill on="t" focussize="0,0"/>
                  <v:stroke weight="0.5pt" color="#000000" joinstyle="miter"/>
                  <v:imagedata o:title=""/>
                  <o:lock v:ext="edit" aspectratio="f"/>
                  <v:textbox>
                    <w:txbxContent>
                      <w:p>
                        <w:pPr>
                          <w:jc w:val="center"/>
                          <w:rPr>
                            <w:sz w:val="15"/>
                            <w:szCs w:val="15"/>
                          </w:rPr>
                        </w:pPr>
                        <w:r>
                          <w:rPr>
                            <w:rFonts w:hint="eastAsia"/>
                            <w:sz w:val="15"/>
                            <w:szCs w:val="15"/>
                          </w:rPr>
                          <w:t>有序充电控制单元</w:t>
                        </w:r>
                      </w:p>
                    </w:txbxContent>
                  </v:textbox>
                </v:rect>
                <v:rect id="矩形 7" o:spid="_x0000_s1026" o:spt="1" style="position:absolute;left:6883;top:83688;height:449;width:1966;v-text-anchor:middle;" fillcolor="#FFFFFF" filled="t" stroked="t" coordsize="21600,21600" o:gfxdata="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8srF7sAAADb&#10;AAAADwAAAAAAAAABACAAAAAiAAAAZHJzL2Rvd25yZXYueG1sUEsBAhQAFAAAAAgAh07iQDMvBZ47&#10;AAAAOQAAABAAAAAAAAAAAQAgAAAACgEAAGRycy9zaGFwZXhtbC54bWxQSwUGAAAAAAYABgBbAQAA&#10;tAMAAAAA&#10;">
                  <v:fill on="t" focussize="0,0"/>
                  <v:stroke color="#000000 [3213]" joinstyle="miter"/>
                  <v:imagedata o:title=""/>
                  <o:lock v:ext="edit" aspectratio="f"/>
                  <v:textbox>
                    <w:txbxContent>
                      <w:p>
                        <w:pPr>
                          <w:jc w:val="center"/>
                          <w:rPr>
                            <w:sz w:val="15"/>
                            <w:szCs w:val="15"/>
                          </w:rPr>
                        </w:pPr>
                        <w:r>
                          <w:rPr>
                            <w:rFonts w:hint="eastAsia"/>
                            <w:sz w:val="15"/>
                            <w:szCs w:val="15"/>
                          </w:rPr>
                          <w:t>充电桩</w:t>
                        </w:r>
                      </w:p>
                    </w:txbxContent>
                  </v:textbox>
                </v:rect>
                <v:rect id="矩形 8" o:spid="_x0000_s1026" o:spt="1" style="position:absolute;left:11044;top:83548;height:701;width:2745;v-text-anchor:middle;" fillcolor="#FFFFFF" filled="t" stroked="t" coordsize="21600,21600" o:gfxdata="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IeOjL4A&#10;AADbAAAADwAAAAAAAAABACAAAAAiAAAAZHJzL2Rvd25yZXYueG1sUEsBAhQAFAAAAAgAh07iQDMv&#10;BZ47AAAAOQAAABAAAAAAAAAAAQAgAAAADQEAAGRycy9zaGFwZXhtbC54bWxQSwUGAAAAAAYABgBb&#10;AQAAtwMAAAAA&#10;">
                  <v:fill on="t" focussize="0,0"/>
                  <v:stroke color="#000000 [3213]" joinstyle="miter"/>
                  <v:imagedata o:title=""/>
                  <o:lock v:ext="edit" aspectratio="f"/>
                  <v:textbox>
                    <w:txbxContent>
                      <w:p>
                        <w:pPr>
                          <w:jc w:val="center"/>
                          <w:rPr>
                            <w:b/>
                            <w:bCs/>
                            <w:sz w:val="24"/>
                          </w:rPr>
                        </w:pPr>
                        <w:r>
                          <w:rPr>
                            <w:rFonts w:hint="eastAsia"/>
                            <w:sz w:val="15"/>
                            <w:szCs w:val="15"/>
                          </w:rPr>
                          <w:t>有序充电桩/桩群</w:t>
                        </w:r>
                      </w:p>
                    </w:txbxContent>
                  </v:textbox>
                </v:rect>
                <v:shape id="直接箭头连接符 12" o:spid="_x0000_s1026" o:spt="32" type="#_x0000_t32" style="position:absolute;left:10304;top:80099;flip:x;height:575;width:8;" filled="f" stroked="t" coordsize="21600,21600" o:gfxdata="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KZqiG/&#10;AAAA2wAAAA8AAAAAAAAAAQAgAAAAIgAAAGRycy9kb3ducmV2LnhtbFBLAQIUABQAAAAIAIdO4kAz&#10;LwWeOwAAADkAAAAQAAAAAAAAAAEAIAAAAA4BAABkcnMvc2hhcGV4bWwueG1sUEsFBgAAAAAGAAYA&#10;WwEAALgDAAAAAA==&#10;">
                  <v:fill on="f" focussize="0,0"/>
                  <v:stroke weight="1pt" color="#000000" joinstyle="round" startarrow="open" endarrow="open"/>
                  <v:imagedata o:title=""/>
                  <o:lock v:ext="edit" aspectratio="f"/>
                </v:shape>
                <v:shape id="直接箭头连接符 13" o:spid="_x0000_s1026" o:spt="32" type="#_x0000_t32" style="position:absolute;left:10178;top:79154;flip:y;height:364;width:7;" filled="f" stroked="t" coordsize="21600,21600" o:gfxdata="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3VD7q/&#10;AAAA2wAAAA8AAAAAAAAAAQAgAAAAIgAAAGRycy9kb3ducmV2LnhtbFBLAQIUABQAAAAIAIdO4kAz&#10;LwWeOwAAADkAAAAQAAAAAAAAAAEAIAAAAA4BAABkcnMvc2hhcGV4bWwueG1sUEsFBgAAAAAGAAYA&#10;WwEAALgDAAAAAA==&#10;">
                  <v:fill on="f" focussize="0,0"/>
                  <v:stroke weight="1pt" color="#000000" joinstyle="round" startarrow="open" endarrow="open"/>
                  <v:imagedata o:title=""/>
                  <o:lock v:ext="edit" aspectratio="f"/>
                </v:shape>
                <v:rect id="矩形 2" o:spid="_x0000_s1026" o:spt="1" style="position:absolute;left:7250;top:78584;height:479;width:5829;v-text-anchor:middle;" fillcolor="#FFFFFF" filled="t" stroked="t" coordsize="21600,21600" o:gfxdata="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SI1kj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w:txbxContent>
                      <w:p>
                        <w:pPr>
                          <w:jc w:val="center"/>
                          <w:rPr>
                            <w:sz w:val="15"/>
                            <w:szCs w:val="15"/>
                          </w:rPr>
                        </w:pPr>
                        <w:r>
                          <w:rPr>
                            <w:rFonts w:hint="eastAsia"/>
                            <w:sz w:val="15"/>
                            <w:szCs w:val="15"/>
                          </w:rPr>
                          <w:t>电网调度交易系统、负荷聚合管理系统及其他信息系统</w:t>
                        </w:r>
                      </w:p>
                    </w:txbxContent>
                  </v:textbox>
                </v:rect>
                <v:line id="直接连接符 16" o:spid="_x0000_s1026" o:spt="20" style="position:absolute;left:10488;top:80094;height:583;width:0;" filled="f" stroked="t" coordsize="21600,21600" o:gfxdata="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HjRaItwAAANsAAAAP&#10;AAAAAAAAAAEAIAAAACIAAABkcnMvZG93bnJldi54bWxQSwECFAAUAAAACACHTuJAMy8FnjsAAAA5&#10;AAAAEAAAAAAAAAABACAAAAAGAQAAZHJzL3NoYXBleG1sLnhtbFBLBQYAAAAABgAGAFsBAACwAwAA&#10;AAA=&#10;">
                  <v:fill on="f" focussize="0,0"/>
                  <v:stroke weight="1pt" color="#000000 [3213]" miterlimit="8" joinstyle="miter" dashstyle="dash"/>
                  <v:imagedata o:title=""/>
                  <o:lock v:ext="edit" aspectratio="f"/>
                </v:line>
                <v:shape id="文本框 20" o:spid="_x0000_s1026" o:spt="202" type="#_x0000_t202" style="position:absolute;left:10568;top:80126;height:439;width:907;" filled="f" stroked="f" coordsize="21600,21600" o:gfxdata="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MvAERvQAA&#10;ANsAAAAPAAAAAAAAAAEAIAAAACIAAABkcnMvZG93bnJldi54bWxQSwECFAAUAAAACACHTuJAMy8F&#10;njsAAAA5AAAAEAAAAAAAAAABACAAAAAMAQAAZHJzL3NoYXBleG1sLnhtbFBLBQYAAAAABgAGAFsB&#10;AAC2AwAAAAA=&#10;">
                  <v:fill on="f" focussize="0,0"/>
                  <v:stroke on="f" weight="0.5pt"/>
                  <v:imagedata o:title=""/>
                  <o:lock v:ext="edit" aspectratio="f"/>
                  <v:textbox>
                    <w:txbxContent>
                      <w:p>
                        <w:pPr>
                          <w:rPr>
                            <w:sz w:val="20"/>
                            <w:szCs w:val="22"/>
                          </w:rPr>
                        </w:pPr>
                        <w:r>
                          <w:rPr>
                            <w:rFonts w:hint="eastAsia"/>
                            <w:sz w:val="20"/>
                            <w:szCs w:val="22"/>
                          </w:rPr>
                          <w:t>4G/5G</w:t>
                        </w:r>
                      </w:p>
                    </w:txbxContent>
                  </v:textbox>
                </v:shape>
                <v:shape id="文本框 21" o:spid="_x0000_s1026" o:spt="202" type="#_x0000_t202" style="position:absolute;left:10530;top:81592;height:439;width:1999;" filled="f" stroked="f" coordsize="21600,21600" o:gfxdata="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PwpIq/&#10;AAAA2w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jc w:val="center"/>
                          <w:rPr>
                            <w:sz w:val="15"/>
                            <w:szCs w:val="15"/>
                          </w:rPr>
                        </w:pPr>
                        <w:r>
                          <w:rPr>
                            <w:rFonts w:hint="eastAsia"/>
                            <w:sz w:val="15"/>
                            <w:szCs w:val="15"/>
                          </w:rPr>
                          <w:t>HPLC/HPLC+HRF</w:t>
                        </w:r>
                      </w:p>
                    </w:txbxContent>
                  </v:textbox>
                </v:shape>
                <v:shape id="文本框 22" o:spid="_x0000_s1026" o:spt="202" type="#_x0000_t202" style="position:absolute;left:7964;top:81586;height:439;width:2070;" filled="f" stroked="f" coordsize="21600,21600" o:gfxdata="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wZPP6/&#10;AAAA2w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jc w:val="center"/>
                          <w:rPr>
                            <w:sz w:val="15"/>
                            <w:szCs w:val="15"/>
                          </w:rPr>
                        </w:pPr>
                        <w:r>
                          <w:rPr>
                            <w:rFonts w:hint="eastAsia"/>
                            <w:sz w:val="15"/>
                            <w:szCs w:val="15"/>
                          </w:rPr>
                          <w:t>HPLC/HPLC+HRF</w:t>
                        </w:r>
                      </w:p>
                    </w:txbxContent>
                  </v:textbox>
                </v:shape>
                <v:shape id="文本框 23" o:spid="_x0000_s1026" o:spt="202" type="#_x0000_t202" style="position:absolute;left:12419;top:83027;height:431;width:1520;" filled="f" stroked="f" coordsize="21600,21600" o:gfxdata="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1WZZb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rFonts w:ascii="宋体" w:hAnsi="宋体" w:cs="宋体"/>
                            <w:sz w:val="18"/>
                            <w:szCs w:val="21"/>
                          </w:rPr>
                        </w:pPr>
                        <w:r>
                          <w:rPr>
                            <w:rFonts w:hint="eastAsia" w:ascii="宋体" w:hAnsi="宋体" w:cs="宋体"/>
                            <w:sz w:val="18"/>
                            <w:szCs w:val="21"/>
                          </w:rPr>
                          <w:t>RS485、CAN等</w:t>
                        </w:r>
                      </w:p>
                    </w:txbxContent>
                  </v:textbox>
                </v:shape>
                <v:rect id="矩形 6" o:spid="_x0000_s1026" o:spt="1" style="position:absolute;left:11028;top:82207;height:701;width:2765;v-text-anchor:middle;" fillcolor="#FFFFFF" filled="t" stroked="t" coordsize="21600,21600" o:gfxdata="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SOL7rsAAADa&#10;AAAADwAAAAAAAAABACAAAAAiAAAAZHJzL2Rvd25yZXYueG1sUEsBAhQAFAAAAAgAh07iQDMvBZ47&#10;AAAAOQAAABAAAAAAAAAAAQAgAAAACgEAAGRycy9zaGFwZXhtbC54bWxQSwUGAAAAAAYABgBbAQAA&#10;tAMAAAAA&#10;">
                  <v:fill on="t" focussize="0,0"/>
                  <v:stroke weight="0.5pt" color="#000000" joinstyle="miter"/>
                  <v:imagedata o:title=""/>
                  <o:lock v:ext="edit" aspectratio="f"/>
                  <v:textbox>
                    <w:txbxContent>
                      <w:p>
                        <w:pPr>
                          <w:jc w:val="center"/>
                          <w:rPr>
                            <w:sz w:val="15"/>
                            <w:szCs w:val="15"/>
                          </w:rPr>
                        </w:pPr>
                        <w:r>
                          <w:rPr>
                            <w:rFonts w:hint="eastAsia"/>
                            <w:sz w:val="15"/>
                            <w:szCs w:val="15"/>
                          </w:rPr>
                          <w:t>有序充电控制单元</w:t>
                        </w:r>
                      </w:p>
                    </w:txbxContent>
                  </v:textbox>
                </v:rect>
                <v:shape id="文本框 23" o:spid="_x0000_s1026" o:spt="202" type="#_x0000_t202" style="position:absolute;left:7632;top:83279;height:431;width:1730;" filled="f" stroked="f" coordsize="21600,21600" o:gfxdata="UEsDBAoAAAAAAIdO4kAAAAAAAAAAAAAAAAAEAAAAZHJzL1BLAwQUAAAACACHTuJAXOwU878AAADa&#10;AAAADwAAAGRycy9kb3ducmV2LnhtbEWPT2vCQBTE74V+h+UVequbWCy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zsFPO/&#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jc w:val="center"/>
                          <w:rPr>
                            <w:sz w:val="18"/>
                            <w:szCs w:val="21"/>
                          </w:rPr>
                        </w:pPr>
                        <w:r>
                          <w:rPr>
                            <w:rFonts w:hint="eastAsia"/>
                            <w:sz w:val="18"/>
                            <w:szCs w:val="21"/>
                          </w:rPr>
                          <w:t>RS485、CAN等</w:t>
                        </w:r>
                      </w:p>
                    </w:txbxContent>
                  </v:textbox>
                </v:shape>
                <v:shape id="直接箭头连接符 17" o:spid="_x0000_s1026" o:spt="32" type="#_x0000_t32" style="position:absolute;left:7730;top:83366;flip:x;height:348;width:1;" filled="f" stroked="t" coordsize="21600,21600" o:gfxdata="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7xtdb4A&#10;AADaAAAADwAAAAAAAAABACAAAAAiAAAAZHJzL2Rvd25yZXYueG1sUEsBAhQAFAAAAAgAh07iQDMv&#10;BZ47AAAAOQAAABAAAAAAAAAAAQAgAAAADQEAAGRycy9zaGFwZXhtbC54bWxQSwUGAAAAAAYABgBb&#10;AQAAtwMAAAAA&#10;">
                  <v:fill on="f" focussize="0,0"/>
                  <v:stroke weight="1pt" color="#000000" joinstyle="round" startarrow="open" endarrow="open"/>
                  <v:imagedata o:title=""/>
                  <o:lock v:ext="edit" aspectratio="f"/>
                </v:shape>
                <v:rect id="_x0000_s1026" o:spid="_x0000_s1026" o:spt="1" style="position:absolute;left:6686;top:82198;height:551;width:2574;v-text-anchor:middle;" fillcolor="#FFFFFF" filled="t" stroked="t" coordsize="21600,21600" o:gfxdata="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SGI3tvQAA&#10;ANo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w:txbxContent>
                      <w:p>
                        <w:pPr>
                          <w:jc w:val="center"/>
                          <w:rPr>
                            <w:sz w:val="15"/>
                            <w:szCs w:val="15"/>
                          </w:rPr>
                        </w:pPr>
                        <w:r>
                          <w:rPr>
                            <w:rFonts w:hint="eastAsia"/>
                            <w:sz w:val="15"/>
                            <w:szCs w:val="15"/>
                          </w:rPr>
                          <w:t>有序充电桩</w:t>
                        </w:r>
                      </w:p>
                    </w:txbxContent>
                  </v:textbox>
                </v:rect>
                <v:shape id="_x0000_s1026" o:spid="_x0000_s1026" o:spt="33" type="#_x0000_t33" style="position:absolute;left:11715;top:81031;height:1176;width:696;" filled="f" stroked="t" coordsize="21600,21600" o:gfxdata="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MYIf7sAAADa&#10;AAAADwAAAAAAAAABACAAAAAiAAAAZHJzL2Rvd25yZXYueG1sUEsBAhQAFAAAAAgAh07iQDMvBZ47&#10;AAAAOQAAABAAAAAAAAAAAQAgAAAACgEAAGRycy9zaGFwZXhtbC54bWxQSwUGAAAAAAYABgBbAQAA&#10;tAMAAAAA&#10;">
                  <v:fill on="f" focussize="0,0"/>
                  <v:stroke weight="1pt" color="#000000" joinstyle="round" startarrow="open" endarrow="open"/>
                  <v:imagedata o:title=""/>
                  <o:lock v:ext="edit" aspectratio="f"/>
                </v:shape>
                <v:shape id="直接箭头连接符 17" o:spid="_x0000_s1026" o:spt="32" type="#_x0000_t32" style="position:absolute;left:12411;top:82908;height:640;width:7;" filled="f" stroked="t" coordsize="21600,21600" o:gfxdata="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Zaek74A&#10;AADaAAAADwAAAAAAAAABACAAAAAiAAAAZHJzL2Rvd25yZXYueG1sUEsBAhQAFAAAAAgAh07iQDMv&#10;BZ47AAAAOQAAABAAAAAAAAAAAQAgAAAADQEAAGRycy9zaGFwZXhtbC54bWxQSwUGAAAAAAYABgBb&#10;AQAAtwMAAAAA&#10;">
                  <v:fill on="f" focussize="0,0"/>
                  <v:stroke weight="1pt" color="#000000" joinstyle="round" startarrow="open" endarrow="open"/>
                  <v:imagedata o:title=""/>
                  <o:lock v:ext="edit" aspectratio="f"/>
                </v:shape>
                <v:shape id="_x0000_s1026" o:spid="_x0000_s1026" o:spt="33" type="#_x0000_t33" style="position:absolute;left:7973;top:81031;flip:y;height:1167;width:1004;rotation:11796480f;" filled="f" stroked="t" coordsize="21600,21600" o:gfxdata="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blCAvQAA&#10;ANsAAAAPAAAAAAAAAAEAIAAAACIAAABkcnMvZG93bnJldi54bWxQSwECFAAUAAAACACHTuJAMy8F&#10;njsAAAA5AAAAEAAAAAAAAAABACAAAAAMAQAAZHJzL3NoYXBleG1sLnhtbFBLBQYAAAAABgAGAFsB&#10;AAC2AwAAAAA=&#10;">
                  <v:fill on="f" focussize="0,0"/>
                  <v:stroke weight="1pt" color="#000000" joinstyle="round" startarrow="open" endarrow="open"/>
                  <v:imagedata o:title=""/>
                  <o:lock v:ext="edit" aspectratio="f"/>
                </v:shape>
              </v:group>
            </w:pict>
          </mc:Fallback>
        </mc:AlternateContent>
      </w:r>
    </w:p>
    <w:p>
      <w:pPr>
        <w:pStyle w:val="41"/>
        <w:rPr>
          <w:highlight w:val="yellow"/>
        </w:rPr>
      </w:pPr>
    </w:p>
    <w:p>
      <w:pPr>
        <w:pStyle w:val="41"/>
        <w:rPr>
          <w:highlight w:val="yellow"/>
        </w:rPr>
      </w:pPr>
    </w:p>
    <w:p>
      <w:pPr>
        <w:pStyle w:val="41"/>
        <w:rPr>
          <w:highlight w:val="yellow"/>
        </w:rPr>
      </w:pPr>
    </w:p>
    <w:p>
      <w:pPr>
        <w:pStyle w:val="41"/>
        <w:ind w:left="0" w:leftChars="0" w:firstLine="0" w:firstLineChars="0"/>
        <w:rPr>
          <w:highlight w:val="yellow"/>
        </w:rPr>
      </w:pPr>
    </w:p>
    <w:p>
      <w:pPr>
        <w:pStyle w:val="41"/>
        <w:ind w:left="0" w:leftChars="0" w:firstLine="0" w:firstLineChars="0"/>
        <w:rPr>
          <w:highlight w:val="yellow"/>
        </w:rPr>
      </w:pPr>
    </w:p>
    <w:p>
      <w:pPr>
        <w:pStyle w:val="41"/>
        <w:ind w:left="0" w:leftChars="0" w:firstLine="0" w:firstLineChars="0"/>
        <w:rPr>
          <w:highlight w:val="yellow"/>
        </w:rPr>
      </w:pPr>
    </w:p>
    <w:p>
      <w:pPr>
        <w:pStyle w:val="41"/>
        <w:jc w:val="center"/>
        <w:rPr>
          <w:rFonts w:hint="eastAsia"/>
        </w:rPr>
      </w:pPr>
    </w:p>
    <w:p>
      <w:pPr>
        <w:pStyle w:val="41"/>
        <w:jc w:val="center"/>
      </w:pPr>
      <w:r>
        <w:rPr>
          <w:rFonts w:hint="eastAsia"/>
        </w:rPr>
        <w:t>图1 有序充电系统架构</w:t>
      </w:r>
    </w:p>
    <w:bookmarkEnd w:id="97"/>
    <w:p>
      <w:pPr>
        <w:pStyle w:val="2"/>
        <w:widowControl/>
        <w:numPr>
          <w:ilvl w:val="1"/>
          <w:numId w:val="6"/>
        </w:numPr>
        <w:tabs>
          <w:tab w:val="left" w:pos="0"/>
        </w:tabs>
        <w:spacing w:before="158" w:beforeLines="50" w:after="158" w:afterLines="50" w:line="240" w:lineRule="auto"/>
        <w:rPr>
          <w:rFonts w:hint="eastAsia" w:ascii="黑体" w:hAnsi="黑体" w:eastAsia="黑体" w:cs="黑体"/>
          <w:b w:val="0"/>
          <w:bCs/>
          <w:sz w:val="21"/>
          <w:szCs w:val="21"/>
        </w:rPr>
      </w:pPr>
      <w:bookmarkStart w:id="100" w:name="_Toc6975"/>
      <w:bookmarkStart w:id="101" w:name="_Toc30865_WPSOffice_Level2"/>
      <w:bookmarkStart w:id="102" w:name="_Toc6266"/>
      <w:r>
        <w:rPr>
          <w:rFonts w:hint="eastAsia" w:ascii="黑体" w:hAnsi="黑体" w:eastAsia="黑体" w:cs="黑体"/>
          <w:b w:val="0"/>
          <w:bCs/>
          <w:sz w:val="21"/>
          <w:szCs w:val="21"/>
        </w:rPr>
        <w:t>有序充电设备接入电网的模式</w:t>
      </w:r>
      <w:bookmarkEnd w:id="100"/>
      <w:bookmarkEnd w:id="101"/>
    </w:p>
    <w:p>
      <w:pPr>
        <w:pStyle w:val="2"/>
        <w:widowControl/>
        <w:numPr>
          <w:ilvl w:val="0"/>
          <w:numId w:val="0"/>
        </w:numPr>
        <w:spacing w:before="0" w:after="0" w:line="360" w:lineRule="atLeast"/>
        <w:ind w:right="210" w:rightChars="100"/>
        <w:rPr>
          <w:rFonts w:hint="eastAsia" w:ascii="宋体" w:hAnsi="宋体" w:eastAsia="宋体" w:cs="宋体"/>
          <w:b w:val="0"/>
          <w:kern w:val="0"/>
          <w:sz w:val="21"/>
          <w:szCs w:val="22"/>
          <w:lang w:val="en-US" w:eastAsia="zh-CN" w:bidi="ar-SA"/>
        </w:rPr>
      </w:pPr>
      <w:bookmarkStart w:id="103" w:name="_Toc8798"/>
      <w:bookmarkStart w:id="104" w:name="_Toc32495"/>
      <w:r>
        <w:rPr>
          <w:rFonts w:hint="eastAsia" w:ascii="黑体" w:hAnsi="黑体" w:eastAsia="黑体" w:cs="黑体"/>
          <w:b w:val="0"/>
          <w:bCs/>
          <w:sz w:val="21"/>
          <w:szCs w:val="21"/>
        </w:rPr>
        <w:t xml:space="preserve">4.3.1 </w:t>
      </w:r>
      <w:r>
        <w:rPr>
          <w:rFonts w:hint="eastAsia" w:ascii="宋体" w:hAnsi="宋体" w:eastAsia="宋体" w:cs="宋体"/>
          <w:b w:val="0"/>
          <w:kern w:val="0"/>
          <w:sz w:val="21"/>
          <w:szCs w:val="22"/>
          <w:lang w:val="en-US" w:eastAsia="zh-CN" w:bidi="ar-SA"/>
        </w:rPr>
        <w:t xml:space="preserve"> 本文件适应以下两种有序充电设备接入电网的模式（系统架构图见图1）：</w:t>
      </w:r>
      <w:bookmarkEnd w:id="103"/>
      <w:bookmarkEnd w:id="104"/>
      <w:bookmarkStart w:id="105" w:name="_Toc10327"/>
    </w:p>
    <w:p>
      <w:pPr>
        <w:keepNext w:val="0"/>
        <w:keepLines w:val="0"/>
        <w:pageBreakBefore w:val="0"/>
        <w:widowControl/>
        <w:kinsoku/>
        <w:wordWrap/>
        <w:overflowPunct/>
        <w:topLinePunct w:val="0"/>
        <w:autoSpaceDE w:val="0"/>
        <w:autoSpaceDN w:val="0"/>
        <w:bidi w:val="0"/>
        <w:adjustRightInd/>
        <w:snapToGrid/>
        <w:spacing w:line="360" w:lineRule="exact"/>
        <w:ind w:firstLine="420" w:firstLineChars="200"/>
        <w:textAlignment w:val="auto"/>
        <w:rPr>
          <w:rFonts w:hint="eastAsia" w:cs="Times New Roman" w:asciiTheme="majorEastAsia" w:hAnsiTheme="majorEastAsia" w:eastAsiaTheme="majorEastAsia"/>
          <w:lang w:val="en-US" w:eastAsia="zh-CN"/>
        </w:rPr>
      </w:pPr>
      <w:r>
        <w:rPr>
          <w:rFonts w:hint="eastAsia" w:cs="Times New Roman" w:asciiTheme="majorEastAsia" w:hAnsiTheme="majorEastAsia" w:eastAsiaTheme="majorEastAsia"/>
          <w:lang w:val="en-US" w:eastAsia="zh-CN"/>
        </w:rPr>
        <w:t>——有序充电桩通过有序充电控制单元接入电网的模式：有序充电控制单元通过HPLC/HPLC+HRF方式接入用电信息采集终端，通过用电信息采集终端接入有序充电管理系统</w:t>
      </w:r>
      <w:bookmarkEnd w:id="105"/>
      <w:r>
        <w:rPr>
          <w:rFonts w:hint="eastAsia" w:cs="Times New Roman" w:asciiTheme="majorEastAsia" w:hAnsiTheme="majorEastAsia" w:eastAsiaTheme="majorEastAsia"/>
          <w:lang w:val="en-US" w:eastAsia="zh-CN"/>
        </w:rPr>
        <w:t>。</w:t>
      </w:r>
      <w:bookmarkStart w:id="106" w:name="_Toc7489"/>
    </w:p>
    <w:p>
      <w:pPr>
        <w:keepNext w:val="0"/>
        <w:keepLines w:val="0"/>
        <w:pageBreakBefore w:val="0"/>
        <w:widowControl/>
        <w:kinsoku/>
        <w:wordWrap/>
        <w:overflowPunct/>
        <w:topLinePunct w:val="0"/>
        <w:autoSpaceDE w:val="0"/>
        <w:autoSpaceDN w:val="0"/>
        <w:bidi w:val="0"/>
        <w:adjustRightInd/>
        <w:snapToGrid/>
        <w:spacing w:line="360" w:lineRule="exact"/>
        <w:ind w:firstLine="420" w:firstLineChars="200"/>
        <w:textAlignment w:val="auto"/>
        <w:rPr>
          <w:rFonts w:hint="eastAsia" w:cs="Times New Roman" w:asciiTheme="majorEastAsia" w:hAnsiTheme="majorEastAsia" w:eastAsiaTheme="majorEastAsia"/>
        </w:rPr>
      </w:pPr>
      <w:r>
        <w:rPr>
          <w:rFonts w:hint="eastAsia" w:cs="Times New Roman" w:asciiTheme="majorEastAsia" w:hAnsiTheme="majorEastAsia" w:eastAsiaTheme="majorEastAsia"/>
          <w:lang w:val="en-US" w:eastAsia="zh-CN"/>
        </w:rPr>
        <w:t>——有序充电桩直接接入电网的模式：有序充电桩HPLC/HPLC+HRF方式直接接入用电信息采集终端，通过用电信息采集终端接入有序充电管理系统</w:t>
      </w:r>
      <w:bookmarkEnd w:id="106"/>
      <w:r>
        <w:rPr>
          <w:rFonts w:hint="eastAsia" w:cs="Times New Roman" w:asciiTheme="majorEastAsia" w:hAnsiTheme="majorEastAsia" w:eastAsiaTheme="majorEastAsia"/>
          <w:lang w:val="en-US" w:eastAsia="zh-CN"/>
        </w:rPr>
        <w:t>。</w:t>
      </w:r>
    </w:p>
    <w:p>
      <w:pPr>
        <w:pStyle w:val="2"/>
        <w:widowControl/>
        <w:numPr>
          <w:ilvl w:val="1"/>
          <w:numId w:val="6"/>
        </w:numPr>
        <w:tabs>
          <w:tab w:val="left" w:pos="0"/>
        </w:tabs>
        <w:spacing w:before="158" w:beforeLines="50" w:after="158" w:afterLines="50" w:line="240" w:lineRule="auto"/>
        <w:rPr>
          <w:rFonts w:hint="eastAsia" w:ascii="黑体" w:hAnsi="黑体" w:eastAsia="黑体" w:cs="黑体"/>
          <w:b w:val="0"/>
          <w:bCs/>
          <w:sz w:val="21"/>
          <w:szCs w:val="21"/>
        </w:rPr>
      </w:pPr>
      <w:bookmarkStart w:id="107" w:name="_Toc19875"/>
      <w:bookmarkStart w:id="108" w:name="_Toc28445_WPSOffice_Level2"/>
      <w:bookmarkStart w:id="109" w:name="_Toc15862"/>
      <w:r>
        <w:rPr>
          <w:rFonts w:hint="eastAsia" w:ascii="黑体" w:hAnsi="黑体" w:eastAsia="黑体" w:cs="黑体"/>
          <w:b w:val="0"/>
          <w:bCs/>
          <w:sz w:val="21"/>
          <w:szCs w:val="21"/>
        </w:rPr>
        <w:t>有序控制优先级</w:t>
      </w:r>
      <w:bookmarkEnd w:id="107"/>
      <w:bookmarkEnd w:id="108"/>
      <w:bookmarkEnd w:id="109"/>
    </w:p>
    <w:p>
      <w:pPr>
        <w:autoSpaceDE w:val="0"/>
        <w:autoSpaceDN w:val="0"/>
        <w:ind w:firstLine="420" w:firstLineChars="200"/>
        <w:jc w:val="both"/>
        <w:rPr>
          <w:rFonts w:hint="eastAsia" w:ascii="宋体" w:eastAsia="宋体"/>
          <w:sz w:val="21"/>
          <w:lang w:val="en-US" w:eastAsia="zh-CN" w:bidi="ar-SA"/>
        </w:rPr>
      </w:pPr>
      <w:r>
        <w:rPr>
          <w:rFonts w:hint="eastAsia" w:ascii="宋体" w:eastAsia="宋体"/>
          <w:sz w:val="21"/>
          <w:lang w:val="en-US" w:eastAsia="zh-CN" w:bidi="ar-SA"/>
        </w:rPr>
        <w:t>有序充电设备应设置有序控制指令的优先级，以电网控制为最高优先级。</w:t>
      </w:r>
    </w:p>
    <w:bookmarkEnd w:id="102"/>
    <w:p>
      <w:pPr>
        <w:pStyle w:val="2"/>
        <w:keepNext/>
        <w:keepLines/>
        <w:pageBreakBefore w:val="0"/>
        <w:widowControl/>
        <w:numPr>
          <w:ilvl w:val="0"/>
          <w:numId w:val="6"/>
        </w:numPr>
        <w:kinsoku/>
        <w:wordWrap/>
        <w:overflowPunct/>
        <w:topLinePunct w:val="0"/>
        <w:autoSpaceDE/>
        <w:autoSpaceDN/>
        <w:bidi w:val="0"/>
        <w:adjustRightInd/>
        <w:snapToGrid/>
        <w:spacing w:before="317" w:beforeLines="100" w:after="317" w:afterLines="100" w:line="240" w:lineRule="auto"/>
        <w:textAlignment w:val="auto"/>
        <w:rPr>
          <w:rFonts w:hint="eastAsia" w:ascii="黑体" w:hAnsi="黑体" w:eastAsia="黑体" w:cs="黑体"/>
          <w:b w:val="0"/>
          <w:bCs/>
          <w:sz w:val="21"/>
          <w:szCs w:val="21"/>
        </w:rPr>
      </w:pPr>
      <w:bookmarkStart w:id="110" w:name="_Toc10416"/>
      <w:bookmarkStart w:id="111" w:name="_Toc11845_WPSOffice_Level1"/>
      <w:r>
        <w:rPr>
          <w:rFonts w:hint="eastAsia" w:ascii="黑体" w:hAnsi="黑体" w:eastAsia="黑体" w:cs="黑体"/>
          <w:b w:val="0"/>
          <w:bCs/>
          <w:sz w:val="21"/>
          <w:szCs w:val="21"/>
        </w:rPr>
        <w:t>有序充电设备技术要求</w:t>
      </w:r>
      <w:bookmarkEnd w:id="110"/>
      <w:bookmarkEnd w:id="111"/>
    </w:p>
    <w:p>
      <w:pPr>
        <w:pStyle w:val="2"/>
        <w:widowControl/>
        <w:numPr>
          <w:ilvl w:val="1"/>
          <w:numId w:val="6"/>
        </w:numPr>
        <w:tabs>
          <w:tab w:val="left" w:pos="0"/>
        </w:tabs>
        <w:spacing w:before="158" w:beforeLines="50" w:after="158" w:afterLines="50" w:line="240" w:lineRule="auto"/>
        <w:rPr>
          <w:rFonts w:hint="eastAsia" w:ascii="黑体" w:hAnsi="黑体" w:eastAsia="黑体" w:cs="黑体"/>
          <w:b w:val="0"/>
          <w:bCs/>
          <w:sz w:val="21"/>
          <w:szCs w:val="21"/>
        </w:rPr>
      </w:pPr>
      <w:bookmarkStart w:id="112" w:name="_Toc18453_WPSOffice_Level2"/>
      <w:bookmarkStart w:id="113" w:name="_Toc3717_WPSOffice_Level2"/>
      <w:bookmarkStart w:id="114" w:name="_Toc25790"/>
      <w:bookmarkStart w:id="115" w:name="_Toc25340_WPSOffice_Level2"/>
      <w:r>
        <w:rPr>
          <w:rFonts w:hint="eastAsia" w:ascii="黑体" w:hAnsi="黑体" w:eastAsia="黑体" w:cs="黑体"/>
          <w:b w:val="0"/>
          <w:bCs/>
          <w:sz w:val="21"/>
          <w:szCs w:val="21"/>
        </w:rPr>
        <w:t>通信单元技术要求</w:t>
      </w:r>
      <w:bookmarkEnd w:id="112"/>
      <w:bookmarkEnd w:id="113"/>
      <w:bookmarkEnd w:id="114"/>
    </w:p>
    <w:p>
      <w:pPr>
        <w:pStyle w:val="2"/>
        <w:widowControl/>
        <w:numPr>
          <w:ilvl w:val="2"/>
          <w:numId w:val="6"/>
        </w:numPr>
        <w:spacing w:before="158" w:beforeLines="50" w:after="158" w:afterLines="50" w:line="240" w:lineRule="auto"/>
        <w:rPr>
          <w:rFonts w:ascii="黑体" w:hAnsi="黑体" w:eastAsia="黑体" w:cs="黑体"/>
          <w:b w:val="0"/>
          <w:bCs/>
          <w:sz w:val="21"/>
          <w:szCs w:val="21"/>
        </w:rPr>
      </w:pPr>
      <w:bookmarkStart w:id="116" w:name="_Toc13297"/>
      <w:bookmarkStart w:id="117" w:name="_Toc8419"/>
      <w:r>
        <w:rPr>
          <w:rFonts w:hint="eastAsia" w:ascii="黑体" w:hAnsi="黑体" w:eastAsia="黑体" w:cs="黑体"/>
          <w:b w:val="0"/>
          <w:bCs/>
          <w:sz w:val="21"/>
          <w:szCs w:val="21"/>
        </w:rPr>
        <w:t>基本要求</w:t>
      </w:r>
      <w:bookmarkEnd w:id="116"/>
      <w:bookmarkEnd w:id="117"/>
    </w:p>
    <w:p>
      <w:pPr>
        <w:widowControl/>
        <w:spacing w:before="158" w:beforeLines="50" w:after="158" w:afterLines="50"/>
        <w:ind w:firstLine="420" w:firstLineChars="200"/>
        <w:jc w:val="left"/>
        <w:rPr>
          <w:rFonts w:ascii="黑体" w:hAnsi="黑体" w:eastAsia="黑体"/>
          <w:kern w:val="0"/>
          <w:szCs w:val="21"/>
        </w:rPr>
      </w:pPr>
      <w:r>
        <w:rPr>
          <w:rFonts w:hint="eastAsia" w:asciiTheme="majorEastAsia" w:hAnsiTheme="majorEastAsia" w:eastAsiaTheme="majorEastAsia"/>
        </w:rPr>
        <w:t>有序充电设备应具备HPLC或</w:t>
      </w:r>
      <w:r>
        <w:rPr>
          <w:rFonts w:hint="eastAsia" w:ascii="宋体" w:eastAsiaTheme="minorEastAsia"/>
        </w:rPr>
        <w:t>HPL</w:t>
      </w:r>
      <w:r>
        <w:rPr>
          <w:rFonts w:hint="eastAsia" w:asciiTheme="majorEastAsia" w:hAnsiTheme="majorEastAsia" w:eastAsiaTheme="majorEastAsia"/>
        </w:rPr>
        <w:t>C+HRF能力的通信单元。</w:t>
      </w:r>
    </w:p>
    <w:p>
      <w:pPr>
        <w:pStyle w:val="2"/>
        <w:widowControl/>
        <w:numPr>
          <w:ilvl w:val="2"/>
          <w:numId w:val="6"/>
        </w:numPr>
        <w:spacing w:before="158" w:beforeLines="50" w:after="158" w:afterLines="50" w:line="240" w:lineRule="auto"/>
        <w:rPr>
          <w:rFonts w:ascii="黑体" w:hAnsi="黑体" w:eastAsia="黑体" w:cs="黑体"/>
          <w:b w:val="0"/>
          <w:bCs/>
          <w:sz w:val="21"/>
          <w:szCs w:val="21"/>
        </w:rPr>
      </w:pPr>
      <w:bookmarkStart w:id="118" w:name="_Toc28875"/>
      <w:bookmarkStart w:id="119" w:name="_Toc21427"/>
      <w:r>
        <w:rPr>
          <w:rFonts w:hint="eastAsia" w:ascii="黑体" w:hAnsi="黑体" w:eastAsia="黑体" w:cs="黑体"/>
          <w:b w:val="0"/>
          <w:bCs/>
          <w:sz w:val="21"/>
          <w:szCs w:val="21"/>
        </w:rPr>
        <w:t>组网要求</w:t>
      </w:r>
      <w:bookmarkEnd w:id="118"/>
      <w:bookmarkEnd w:id="119"/>
    </w:p>
    <w:p>
      <w:pPr>
        <w:keepNext w:val="0"/>
        <w:keepLines w:val="0"/>
        <w:pageBreakBefore w:val="0"/>
        <w:widowControl/>
        <w:kinsoku/>
        <w:wordWrap/>
        <w:overflowPunct/>
        <w:topLinePunct w:val="0"/>
        <w:autoSpaceDE w:val="0"/>
        <w:autoSpaceDN w:val="0"/>
        <w:bidi w:val="0"/>
        <w:adjustRightInd/>
        <w:snapToGrid/>
        <w:spacing w:line="360" w:lineRule="exact"/>
        <w:ind w:firstLine="420" w:firstLineChars="200"/>
        <w:textAlignment w:val="auto"/>
        <w:rPr>
          <w:rFonts w:hint="eastAsia" w:ascii="宋体" w:hAnsi="Times New Roman" w:eastAsia="宋体" w:cs="Times New Roman"/>
          <w:kern w:val="0"/>
          <w:sz w:val="21"/>
          <w:szCs w:val="22"/>
          <w:lang w:val="en-US" w:eastAsia="zh-CN" w:bidi="ar-SA"/>
        </w:rPr>
      </w:pPr>
      <w:r>
        <w:rPr>
          <w:rFonts w:hint="eastAsia" w:ascii="宋体" w:hAnsi="Times New Roman" w:eastAsia="宋体" w:cs="Times New Roman"/>
          <w:kern w:val="0"/>
          <w:sz w:val="21"/>
          <w:szCs w:val="22"/>
          <w:lang w:val="en-US" w:eastAsia="zh-CN" w:bidi="ar-SA"/>
        </w:rPr>
        <w:t>有序充电设备双模通信单元可与用电信息采集终端双模通信单元组网，用电信息采集终端与有序充电设备进行本地数据通信。</w:t>
      </w:r>
    </w:p>
    <w:p>
      <w:pPr>
        <w:keepNext w:val="0"/>
        <w:keepLines w:val="0"/>
        <w:pageBreakBefore w:val="0"/>
        <w:widowControl/>
        <w:kinsoku/>
        <w:wordWrap/>
        <w:overflowPunct/>
        <w:topLinePunct w:val="0"/>
        <w:autoSpaceDE w:val="0"/>
        <w:autoSpaceDN w:val="0"/>
        <w:bidi w:val="0"/>
        <w:adjustRightInd/>
        <w:snapToGrid/>
        <w:spacing w:line="360" w:lineRule="exact"/>
        <w:ind w:firstLine="420" w:firstLineChars="200"/>
        <w:textAlignment w:val="auto"/>
        <w:rPr>
          <w:rFonts w:hint="eastAsia" w:ascii="宋体" w:hAnsi="Times New Roman" w:eastAsia="宋体" w:cs="Times New Roman"/>
          <w:kern w:val="0"/>
          <w:sz w:val="21"/>
          <w:szCs w:val="22"/>
          <w:lang w:val="en-US" w:eastAsia="zh-CN" w:bidi="ar-SA"/>
        </w:rPr>
      </w:pPr>
      <w:r>
        <w:rPr>
          <w:rFonts w:hint="eastAsia" w:ascii="宋体" w:hAnsi="Times New Roman" w:eastAsia="宋体" w:cs="Times New Roman"/>
          <w:kern w:val="0"/>
          <w:sz w:val="21"/>
          <w:szCs w:val="22"/>
          <w:lang w:val="en-US" w:eastAsia="zh-CN" w:bidi="ar-SA"/>
        </w:rPr>
        <w:t>有序充电设备上电后，其双模通信单元向有序充电设备获取设备通信地址（通信地址12位）后，向用电信息采集终端双模通信单元发送入网申请，入网成功后，实现有序充电设备与用电信息采集终端通信通道互联，通过双模通道完成有序充电管理。</w:t>
      </w:r>
    </w:p>
    <w:p>
      <w:pPr>
        <w:pStyle w:val="2"/>
        <w:widowControl/>
        <w:numPr>
          <w:ilvl w:val="2"/>
          <w:numId w:val="6"/>
        </w:numPr>
        <w:spacing w:before="158" w:beforeLines="50" w:after="158" w:afterLines="50" w:line="240" w:lineRule="auto"/>
        <w:rPr>
          <w:rFonts w:hint="eastAsia" w:ascii="黑体" w:hAnsi="黑体" w:eastAsia="黑体" w:cs="黑体"/>
          <w:b w:val="0"/>
          <w:bCs/>
          <w:sz w:val="21"/>
          <w:szCs w:val="21"/>
        </w:rPr>
      </w:pPr>
      <w:bookmarkStart w:id="120" w:name="_Toc7415"/>
      <w:bookmarkStart w:id="121" w:name="_Toc24507"/>
      <w:r>
        <w:rPr>
          <w:rFonts w:hint="eastAsia" w:ascii="黑体" w:hAnsi="黑体" w:eastAsia="黑体" w:cs="黑体"/>
          <w:b w:val="0"/>
          <w:bCs/>
          <w:sz w:val="21"/>
          <w:szCs w:val="21"/>
        </w:rPr>
        <w:t>性能要求</w:t>
      </w:r>
      <w:bookmarkEnd w:id="120"/>
      <w:bookmarkEnd w:id="121"/>
    </w:p>
    <w:p>
      <w:pPr>
        <w:keepNext w:val="0"/>
        <w:keepLines w:val="0"/>
        <w:pageBreakBefore w:val="0"/>
        <w:widowControl/>
        <w:kinsoku/>
        <w:wordWrap/>
        <w:overflowPunct/>
        <w:topLinePunct w:val="0"/>
        <w:autoSpaceDE w:val="0"/>
        <w:autoSpaceDN w:val="0"/>
        <w:bidi w:val="0"/>
        <w:adjustRightInd/>
        <w:snapToGrid/>
        <w:spacing w:line="360" w:lineRule="exact"/>
        <w:ind w:firstLine="420" w:firstLineChars="200"/>
        <w:textAlignment w:val="auto"/>
        <w:rPr>
          <w:rFonts w:hint="eastAsia" w:ascii="宋体" w:hAnsi="Times New Roman" w:eastAsia="宋体" w:cs="Times New Roman"/>
          <w:kern w:val="0"/>
          <w:sz w:val="21"/>
          <w:szCs w:val="22"/>
          <w:lang w:val="en-US" w:eastAsia="zh-CN" w:bidi="ar-SA"/>
        </w:rPr>
      </w:pPr>
      <w:r>
        <w:rPr>
          <w:rFonts w:hint="eastAsia" w:ascii="宋体" w:hAnsi="Times New Roman" w:eastAsia="宋体" w:cs="Times New Roman"/>
          <w:kern w:val="0"/>
          <w:sz w:val="21"/>
          <w:szCs w:val="22"/>
          <w:lang w:val="en-US" w:eastAsia="zh-CN" w:bidi="ar-SA"/>
        </w:rPr>
        <w:t>有序充电设备通信单元性能应符合国家电网公司用电信息采集系统中有关通信单元的相关标准《 T/CEC 337.1》和《 T/CEC 337.2》的要求，并通过相关权威机构入网前性能检测和互联互通检测。</w:t>
      </w:r>
    </w:p>
    <w:p>
      <w:pPr>
        <w:pStyle w:val="2"/>
        <w:widowControl/>
        <w:numPr>
          <w:ilvl w:val="3"/>
          <w:numId w:val="6"/>
        </w:numPr>
        <w:spacing w:before="0" w:after="0" w:line="240" w:lineRule="auto"/>
        <w:rPr>
          <w:rFonts w:ascii="黑体" w:hAnsi="黑体" w:eastAsia="黑体" w:cs="宋体"/>
          <w:b w:val="0"/>
          <w:bCs/>
          <w:sz w:val="21"/>
          <w:szCs w:val="21"/>
        </w:rPr>
      </w:pPr>
      <w:bookmarkStart w:id="122" w:name="_Toc5571"/>
      <w:r>
        <w:rPr>
          <w:rFonts w:ascii="黑体" w:hAnsi="黑体" w:eastAsia="黑体" w:cs="宋体"/>
          <w:b w:val="0"/>
          <w:bCs/>
          <w:sz w:val="21"/>
          <w:szCs w:val="21"/>
        </w:rPr>
        <w:t>高速电力线载波</w:t>
      </w:r>
      <w:r>
        <w:rPr>
          <w:rFonts w:hint="eastAsia" w:ascii="黑体" w:hAnsi="黑体" w:eastAsia="黑体" w:cs="宋体"/>
          <w:b w:val="0"/>
          <w:bCs/>
          <w:sz w:val="21"/>
          <w:szCs w:val="21"/>
        </w:rPr>
        <w:t>通信</w:t>
      </w:r>
      <w:r>
        <w:rPr>
          <w:rFonts w:ascii="黑体" w:hAnsi="黑体" w:eastAsia="黑体" w:cs="宋体"/>
          <w:b w:val="0"/>
          <w:bCs/>
          <w:sz w:val="21"/>
          <w:szCs w:val="21"/>
        </w:rPr>
        <w:t>基本通信性能</w:t>
      </w:r>
      <w:bookmarkEnd w:id="122"/>
    </w:p>
    <w:p>
      <w:pPr>
        <w:pStyle w:val="85"/>
        <w:widowControl/>
        <w:numPr>
          <w:ilvl w:val="0"/>
          <w:numId w:val="7"/>
        </w:numPr>
        <w:ind w:firstLineChars="0"/>
        <w:rPr>
          <w:rFonts w:hint="eastAsia" w:ascii="宋体" w:hAnsi="Times New Roman" w:eastAsia="宋体" w:cs="Times New Roman"/>
          <w:kern w:val="0"/>
          <w:sz w:val="21"/>
          <w:szCs w:val="22"/>
          <w:lang w:val="en-US" w:eastAsia="zh-CN" w:bidi="ar-SA"/>
        </w:rPr>
      </w:pPr>
      <w:r>
        <w:rPr>
          <w:rFonts w:hint="eastAsia" w:ascii="宋体" w:hAnsi="Times New Roman" w:eastAsia="宋体" w:cs="Times New Roman"/>
          <w:kern w:val="0"/>
          <w:sz w:val="21"/>
          <w:szCs w:val="22"/>
          <w:lang w:val="en-US" w:eastAsia="zh-CN" w:bidi="ar-SA"/>
        </w:rPr>
        <w:t>工作频带</w:t>
      </w:r>
    </w:p>
    <w:p>
      <w:pPr>
        <w:pStyle w:val="85"/>
        <w:widowControl/>
        <w:ind w:left="780" w:firstLine="0" w:firstLineChars="0"/>
      </w:pPr>
      <w:r>
        <w:rPr>
          <w:rFonts w:hint="eastAsia" w:ascii="宋体" w:hAnsi="Times New Roman" w:eastAsia="宋体" w:cs="Times New Roman"/>
          <w:kern w:val="0"/>
          <w:sz w:val="21"/>
          <w:szCs w:val="22"/>
          <w:lang w:val="en-US" w:eastAsia="zh-CN" w:bidi="ar-SA"/>
        </w:rPr>
        <w:tab/>
      </w:r>
      <w:r>
        <w:rPr>
          <w:rFonts w:hint="eastAsia" w:ascii="宋体" w:hAnsi="Times New Roman" w:eastAsia="宋体" w:cs="Times New Roman"/>
          <w:kern w:val="0"/>
          <w:sz w:val="21"/>
          <w:szCs w:val="22"/>
          <w:lang w:val="en-US" w:eastAsia="zh-CN" w:bidi="ar-SA"/>
        </w:rPr>
        <w:t>高速电力线载波的基本频带为2MHz～12MHz、2.4MHz～5.6MHz、0.7MHz～3MHz、1.7MHz～3MHz，可支持切换使用。</w:t>
      </w:r>
    </w:p>
    <w:p>
      <w:pPr>
        <w:pStyle w:val="85"/>
        <w:widowControl/>
        <w:numPr>
          <w:ilvl w:val="0"/>
          <w:numId w:val="7"/>
        </w:numPr>
        <w:ind w:firstLineChars="0"/>
        <w:rPr>
          <w:rFonts w:hint="eastAsia" w:ascii="宋体" w:hAnsi="Times New Roman" w:eastAsia="宋体" w:cs="Times New Roman"/>
          <w:kern w:val="0"/>
          <w:sz w:val="21"/>
          <w:szCs w:val="22"/>
          <w:lang w:val="en-US" w:eastAsia="zh-CN" w:bidi="ar-SA"/>
        </w:rPr>
      </w:pPr>
      <w:r>
        <w:rPr>
          <w:rFonts w:hint="eastAsia" w:ascii="宋体" w:hAnsi="Times New Roman" w:eastAsia="宋体" w:cs="Times New Roman"/>
          <w:kern w:val="0"/>
          <w:sz w:val="21"/>
          <w:szCs w:val="22"/>
          <w:lang w:val="en-US" w:eastAsia="zh-CN" w:bidi="ar-SA"/>
        </w:rPr>
        <w:t>功率频谱密</w:t>
      </w:r>
    </w:p>
    <w:p>
      <w:pPr>
        <w:pStyle w:val="85"/>
        <w:widowControl/>
        <w:numPr>
          <w:ilvl w:val="0"/>
          <w:numId w:val="0"/>
        </w:numPr>
        <w:ind w:left="420" w:leftChars="0" w:firstLine="420" w:firstLineChars="200"/>
        <w:rPr>
          <w:rFonts w:hint="eastAsia" w:ascii="宋体" w:hAnsi="Times New Roman" w:eastAsia="宋体" w:cs="Times New Roman"/>
          <w:kern w:val="0"/>
          <w:sz w:val="21"/>
          <w:szCs w:val="22"/>
          <w:lang w:val="en-US" w:eastAsia="zh-CN" w:bidi="ar-SA"/>
        </w:rPr>
      </w:pPr>
      <w:r>
        <w:rPr>
          <w:rFonts w:hint="eastAsia" w:ascii="宋体" w:hAnsi="Times New Roman" w:eastAsia="宋体" w:cs="Times New Roman"/>
          <w:kern w:val="0"/>
          <w:sz w:val="21"/>
          <w:szCs w:val="22"/>
          <w:lang w:val="en-US" w:eastAsia="zh-CN" w:bidi="ar-SA"/>
        </w:rPr>
        <w:t>发送功率频谱密度在工作频带内不大于-45dBm/Hz，工作频带外不大于-75dBm/Hz。</w:t>
      </w:r>
    </w:p>
    <w:p>
      <w:pPr>
        <w:pStyle w:val="2"/>
        <w:widowControl/>
        <w:numPr>
          <w:ilvl w:val="3"/>
          <w:numId w:val="6"/>
        </w:numPr>
        <w:spacing w:before="0" w:after="0" w:line="240" w:lineRule="auto"/>
        <w:rPr>
          <w:rFonts w:ascii="黑体" w:hAnsi="黑体" w:eastAsia="黑体" w:cs="宋体"/>
          <w:b w:val="0"/>
          <w:bCs/>
          <w:sz w:val="21"/>
          <w:szCs w:val="21"/>
        </w:rPr>
      </w:pPr>
      <w:bookmarkStart w:id="123" w:name="_Toc135"/>
      <w:r>
        <w:rPr>
          <w:rFonts w:ascii="黑体" w:hAnsi="黑体" w:eastAsia="黑体" w:cs="宋体"/>
          <w:b w:val="0"/>
          <w:bCs/>
          <w:sz w:val="21"/>
          <w:szCs w:val="21"/>
        </w:rPr>
        <w:t>高速</w:t>
      </w:r>
      <w:r>
        <w:rPr>
          <w:rFonts w:hint="eastAsia" w:ascii="黑体" w:hAnsi="黑体" w:eastAsia="黑体" w:cs="宋体"/>
          <w:b w:val="0"/>
          <w:bCs/>
          <w:sz w:val="21"/>
          <w:szCs w:val="21"/>
        </w:rPr>
        <w:t>无线通信</w:t>
      </w:r>
      <w:r>
        <w:rPr>
          <w:rFonts w:ascii="黑体" w:hAnsi="黑体" w:eastAsia="黑体" w:cs="宋体"/>
          <w:b w:val="0"/>
          <w:bCs/>
          <w:sz w:val="21"/>
          <w:szCs w:val="21"/>
        </w:rPr>
        <w:t>基本通信性能</w:t>
      </w:r>
      <w:bookmarkEnd w:id="123"/>
    </w:p>
    <w:p>
      <w:pPr>
        <w:pStyle w:val="85"/>
        <w:widowControl/>
        <w:numPr>
          <w:ilvl w:val="0"/>
          <w:numId w:val="8"/>
        </w:numPr>
        <w:ind w:firstLineChars="0"/>
        <w:rPr>
          <w:rFonts w:hint="eastAsia" w:ascii="宋体" w:hAnsi="Times New Roman" w:eastAsia="宋体" w:cs="Times New Roman"/>
          <w:kern w:val="0"/>
          <w:sz w:val="21"/>
          <w:szCs w:val="22"/>
          <w:lang w:val="en-US" w:eastAsia="zh-CN" w:bidi="ar-SA"/>
        </w:rPr>
      </w:pPr>
      <w:r>
        <w:rPr>
          <w:rFonts w:hint="eastAsia" w:ascii="宋体" w:hAnsi="Times New Roman" w:eastAsia="宋体" w:cs="Times New Roman"/>
          <w:kern w:val="0"/>
          <w:sz w:val="21"/>
          <w:szCs w:val="22"/>
          <w:lang w:val="en-US" w:eastAsia="zh-CN" w:bidi="ar-SA"/>
        </w:rPr>
        <w:t>工作频带</w:t>
      </w:r>
    </w:p>
    <w:p>
      <w:pPr>
        <w:pStyle w:val="85"/>
        <w:widowControl/>
        <w:ind w:left="780" w:firstLine="0" w:firstLineChars="0"/>
      </w:pPr>
      <w:r>
        <w:rPr>
          <w:rFonts w:hint="eastAsia" w:ascii="宋体" w:hAnsi="Times New Roman" w:eastAsia="宋体" w:cs="Times New Roman"/>
          <w:kern w:val="0"/>
          <w:sz w:val="21"/>
          <w:szCs w:val="22"/>
          <w:lang w:val="en-US" w:eastAsia="zh-CN" w:bidi="ar-SA"/>
        </w:rPr>
        <w:t>基本通信频段满足470~510MHz。</w:t>
      </w:r>
    </w:p>
    <w:p>
      <w:pPr>
        <w:pStyle w:val="85"/>
        <w:widowControl/>
        <w:numPr>
          <w:ilvl w:val="0"/>
          <w:numId w:val="8"/>
        </w:numPr>
        <w:ind w:firstLineChars="0"/>
        <w:rPr>
          <w:rFonts w:hint="eastAsia" w:ascii="宋体" w:hAnsi="Times New Roman" w:eastAsia="宋体" w:cs="Times New Roman"/>
          <w:kern w:val="0"/>
          <w:sz w:val="21"/>
          <w:szCs w:val="22"/>
          <w:lang w:val="en-US" w:eastAsia="zh-CN" w:bidi="ar-SA"/>
        </w:rPr>
      </w:pPr>
      <w:r>
        <w:rPr>
          <w:rFonts w:hint="eastAsia" w:ascii="宋体" w:hAnsi="Times New Roman" w:eastAsia="宋体" w:cs="Times New Roman"/>
          <w:kern w:val="0"/>
          <w:sz w:val="21"/>
          <w:szCs w:val="22"/>
          <w:lang w:val="en-US" w:eastAsia="zh-CN" w:bidi="ar-SA"/>
        </w:rPr>
        <w:t>信号带宽</w:t>
      </w:r>
    </w:p>
    <w:p>
      <w:pPr>
        <w:pStyle w:val="85"/>
        <w:widowControl/>
        <w:ind w:left="780" w:firstLine="0" w:firstLineChars="0"/>
        <w:rPr>
          <w:rFonts w:hint="eastAsia" w:ascii="宋体" w:hAnsi="Times New Roman" w:eastAsia="宋体" w:cs="Times New Roman"/>
          <w:kern w:val="0"/>
          <w:sz w:val="21"/>
          <w:szCs w:val="22"/>
          <w:lang w:val="en-US" w:eastAsia="zh-CN" w:bidi="ar-SA"/>
        </w:rPr>
      </w:pPr>
      <w:r>
        <w:rPr>
          <w:rFonts w:hint="eastAsia" w:ascii="宋体" w:hAnsi="Times New Roman" w:eastAsia="宋体" w:cs="Times New Roman"/>
          <w:kern w:val="0"/>
          <w:sz w:val="21"/>
          <w:szCs w:val="22"/>
          <w:lang w:val="en-US" w:eastAsia="zh-CN" w:bidi="ar-SA"/>
        </w:rPr>
        <w:t>信号带宽满足表1中所示要求：</w:t>
      </w:r>
    </w:p>
    <w:p>
      <w:pPr>
        <w:pStyle w:val="14"/>
        <w:jc w:val="center"/>
        <w:rPr>
          <w:rFonts w:hint="eastAsia" w:ascii="黑体" w:hAnsi="黑体" w:eastAsia="黑体" w:cs="黑体"/>
          <w:sz w:val="21"/>
          <w:szCs w:val="21"/>
        </w:rPr>
      </w:pPr>
      <w:r>
        <w:rPr>
          <w:rFonts w:hint="eastAsia" w:ascii="黑体" w:hAnsi="黑体" w:eastAsia="黑体" w:cs="黑体"/>
          <w:sz w:val="21"/>
          <w:szCs w:val="21"/>
        </w:rPr>
        <w:t>表1 信号带宽要求</w:t>
      </w:r>
    </w:p>
    <w:tbl>
      <w:tblPr>
        <w:tblStyle w:val="37"/>
        <w:tblW w:w="6587"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952"/>
        <w:gridCol w:w="36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952" w:type="dxa"/>
            <w:shd w:val="clear" w:color="auto" w:fill="auto"/>
            <w:vAlign w:val="center"/>
          </w:tcPr>
          <w:p>
            <w:pPr>
              <w:jc w:val="center"/>
              <w:textAlignment w:val="center"/>
              <w:rPr>
                <w:rFonts w:hint="eastAsia" w:ascii="宋体" w:hAnsi="宋体" w:cs="宋体"/>
                <w:sz w:val="18"/>
                <w:szCs w:val="18"/>
              </w:rPr>
            </w:pPr>
            <w:r>
              <w:rPr>
                <w:rFonts w:hint="eastAsia" w:ascii="宋体" w:hAnsi="宋体" w:cs="宋体"/>
                <w:sz w:val="18"/>
                <w:szCs w:val="18"/>
              </w:rPr>
              <w:t>参数</w:t>
            </w:r>
          </w:p>
        </w:tc>
        <w:tc>
          <w:tcPr>
            <w:tcW w:w="3635" w:type="dxa"/>
            <w:shd w:val="clear" w:color="auto" w:fill="auto"/>
            <w:vAlign w:val="center"/>
          </w:tcPr>
          <w:p>
            <w:pPr>
              <w:jc w:val="center"/>
              <w:textAlignment w:val="center"/>
              <w:rPr>
                <w:rFonts w:hint="eastAsia" w:ascii="宋体" w:hAnsi="宋体" w:cs="宋体"/>
                <w:sz w:val="18"/>
                <w:szCs w:val="18"/>
              </w:rPr>
            </w:pPr>
            <w:r>
              <w:rPr>
                <w:rFonts w:hint="eastAsia" w:ascii="宋体" w:hAnsi="宋体" w:cs="宋体"/>
                <w:sz w:val="18"/>
                <w:szCs w:val="18"/>
                <w:lang w:val="en-US" w:eastAsia="zh-CN"/>
              </w:rPr>
              <w:t>带宽/kHz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952" w:type="dxa"/>
            <w:shd w:val="clear" w:color="auto" w:fill="auto"/>
            <w:vAlign w:val="center"/>
          </w:tcPr>
          <w:p>
            <w:pPr>
              <w:jc w:val="center"/>
              <w:textAlignment w:val="center"/>
              <w:rPr>
                <w:rFonts w:hint="eastAsia" w:ascii="宋体" w:hAnsi="宋体" w:eastAsia="宋体" w:cs="宋体"/>
                <w:sz w:val="18"/>
                <w:szCs w:val="18"/>
              </w:rPr>
            </w:pPr>
            <w:r>
              <w:rPr>
                <w:rFonts w:hint="eastAsia" w:ascii="宋体" w:hAnsi="宋体" w:eastAsia="宋体" w:cs="Times New Roman"/>
                <w:sz w:val="18"/>
                <w:szCs w:val="18"/>
                <w:lang w:val="en-US" w:eastAsia="zh-CN"/>
              </w:rPr>
              <w:t>Option2</w:t>
            </w:r>
          </w:p>
        </w:tc>
        <w:tc>
          <w:tcPr>
            <w:tcW w:w="3635" w:type="dxa"/>
            <w:shd w:val="clear" w:color="auto" w:fill="auto"/>
            <w:vAlign w:val="center"/>
          </w:tcPr>
          <w:p>
            <w:pPr>
              <w:jc w:val="center"/>
              <w:textAlignment w:val="center"/>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431.3151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952" w:type="dxa"/>
            <w:shd w:val="clear" w:color="auto" w:fill="auto"/>
            <w:vAlign w:val="center"/>
          </w:tcPr>
          <w:p>
            <w:pPr>
              <w:jc w:val="center"/>
              <w:textAlignment w:val="center"/>
              <w:rPr>
                <w:rFonts w:hint="eastAsia" w:ascii="宋体" w:hAnsi="宋体" w:eastAsia="宋体" w:cs="宋体"/>
                <w:sz w:val="18"/>
                <w:szCs w:val="18"/>
              </w:rPr>
            </w:pPr>
            <w:r>
              <w:rPr>
                <w:rFonts w:hint="eastAsia" w:ascii="宋体" w:hAnsi="宋体" w:eastAsia="宋体" w:cs="Times New Roman"/>
                <w:sz w:val="18"/>
                <w:szCs w:val="18"/>
                <w:lang w:val="en-US" w:eastAsia="zh-CN"/>
              </w:rPr>
              <w:t>Option3</w:t>
            </w:r>
          </w:p>
        </w:tc>
        <w:tc>
          <w:tcPr>
            <w:tcW w:w="3635" w:type="dxa"/>
            <w:shd w:val="clear" w:color="auto" w:fill="auto"/>
            <w:vAlign w:val="center"/>
          </w:tcPr>
          <w:p>
            <w:pPr>
              <w:jc w:val="center"/>
              <w:textAlignment w:val="center"/>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170.8984</w:t>
            </w:r>
          </w:p>
        </w:tc>
      </w:tr>
    </w:tbl>
    <w:p>
      <w:pPr>
        <w:pStyle w:val="41"/>
        <w:ind w:left="0" w:leftChars="0"/>
        <w:rPr>
          <w:rFonts w:hint="eastAsia"/>
        </w:rPr>
      </w:pPr>
    </w:p>
    <w:p>
      <w:pPr>
        <w:pStyle w:val="85"/>
        <w:widowControl/>
        <w:numPr>
          <w:ilvl w:val="0"/>
          <w:numId w:val="8"/>
        </w:numPr>
        <w:ind w:firstLineChars="0"/>
        <w:rPr>
          <w:rFonts w:hint="eastAsia" w:ascii="宋体" w:hAnsi="Times New Roman" w:eastAsia="宋体" w:cs="Times New Roman"/>
          <w:kern w:val="0"/>
          <w:sz w:val="21"/>
          <w:szCs w:val="22"/>
          <w:lang w:val="en-US" w:eastAsia="zh-CN" w:bidi="ar-SA"/>
        </w:rPr>
      </w:pPr>
      <w:r>
        <w:rPr>
          <w:rFonts w:hint="eastAsia" w:ascii="宋体" w:hAnsi="Times New Roman" w:eastAsia="宋体" w:cs="Times New Roman"/>
          <w:kern w:val="0"/>
          <w:sz w:val="21"/>
          <w:szCs w:val="22"/>
          <w:lang w:val="en-US" w:eastAsia="zh-CN" w:bidi="ar-SA"/>
        </w:rPr>
        <w:t>发送频谱模板</w:t>
      </w:r>
    </w:p>
    <w:p>
      <w:pPr>
        <w:pStyle w:val="41"/>
        <w:jc w:val="center"/>
      </w:pPr>
      <w:r>
        <w:object>
          <v:shape id="_x0000_i1025" o:spt="75" type="#_x0000_t75" style="height:171pt;width:286.5pt;" o:ole="t" filled="f" o:preferrelative="t" stroked="f" coordsize="21600,21600">
            <v:path/>
            <v:fill on="f" focussize="0,0"/>
            <v:stroke on="f" joinstyle="miter"/>
            <v:imagedata r:id="rId33" o:title=""/>
            <o:lock v:ext="edit" aspectratio="t"/>
            <w10:wrap type="none"/>
            <w10:anchorlock/>
          </v:shape>
          <o:OLEObject Type="Embed" ProgID="Visio.Drawing.11" ShapeID="_x0000_i1025" DrawAspect="Content" ObjectID="_1468075725" r:id="rId32">
            <o:LockedField>false</o:LockedField>
          </o:OLEObject>
        </w:object>
      </w:r>
    </w:p>
    <w:p>
      <w:pPr>
        <w:pStyle w:val="14"/>
        <w:jc w:val="center"/>
        <w:rPr>
          <w:rFonts w:hint="eastAsia" w:ascii="宋体" w:hAnsi="宋体" w:eastAsia="宋体" w:cs="宋体"/>
          <w:sz w:val="21"/>
          <w:szCs w:val="21"/>
        </w:rPr>
      </w:pPr>
      <w:r>
        <w:rPr>
          <w:rFonts w:hint="eastAsia" w:ascii="宋体" w:hAnsi="宋体" w:eastAsia="宋体" w:cs="宋体"/>
          <w:sz w:val="21"/>
          <w:szCs w:val="21"/>
        </w:rPr>
        <w:t>图2 频谱模板示意图</w:t>
      </w:r>
    </w:p>
    <w:p>
      <w:pPr>
        <w:ind w:firstLine="420" w:firstLineChars="200"/>
        <w:rPr>
          <w:rFonts w:hint="eastAsia" w:asciiTheme="majorEastAsia" w:hAnsiTheme="majorEastAsia" w:eastAsiaTheme="majorEastAsia"/>
          <w:color w:val="FF0000"/>
        </w:rPr>
      </w:pPr>
      <w:r>
        <w:rPr>
          <w:rFonts w:hint="eastAsia" w:ascii="宋体" w:hAnsi="Times New Roman" w:eastAsia="宋体" w:cs="Times New Roman"/>
          <w:kern w:val="0"/>
          <w:sz w:val="21"/>
          <w:szCs w:val="22"/>
          <w:lang w:val="en-US" w:eastAsia="zh-CN" w:bidi="ar-SA"/>
        </w:rPr>
        <w:t>OCW指信号所占的信道带宽，Option2的OCW为200kHz，Option3的OCW为500kHz。频谱仪的RBW为1kHz，检波方式为RMS，Trace Mode为AVG。</w:t>
      </w:r>
    </w:p>
    <w:p>
      <w:pPr>
        <w:pStyle w:val="2"/>
        <w:widowControl/>
        <w:numPr>
          <w:ilvl w:val="2"/>
          <w:numId w:val="6"/>
        </w:numPr>
        <w:spacing w:before="158" w:beforeLines="50" w:after="158" w:afterLines="50" w:line="240" w:lineRule="auto"/>
        <w:rPr>
          <w:rFonts w:ascii="黑体" w:hAnsi="黑体" w:eastAsia="黑体" w:cs="黑体"/>
          <w:b w:val="0"/>
          <w:bCs/>
          <w:sz w:val="21"/>
          <w:szCs w:val="21"/>
        </w:rPr>
      </w:pPr>
      <w:bookmarkStart w:id="124" w:name="_Toc2036"/>
      <w:r>
        <w:rPr>
          <w:rFonts w:hint="eastAsia" w:ascii="黑体" w:hAnsi="黑体" w:eastAsia="黑体" w:cs="黑体"/>
          <w:b w:val="0"/>
          <w:bCs/>
          <w:sz w:val="21"/>
          <w:szCs w:val="21"/>
        </w:rPr>
        <w:t>功能要求</w:t>
      </w:r>
      <w:bookmarkEnd w:id="124"/>
    </w:p>
    <w:p>
      <w:pPr>
        <w:pStyle w:val="41"/>
        <w:spacing w:line="240" w:lineRule="auto"/>
      </w:pPr>
      <w:r>
        <w:rPr>
          <w:rFonts w:hint="eastAsia"/>
        </w:rPr>
        <w:t>1）抄读功能</w:t>
      </w:r>
    </w:p>
    <w:p>
      <w:pPr>
        <w:pStyle w:val="41"/>
        <w:spacing w:line="240" w:lineRule="auto"/>
        <w:rPr>
          <w:rFonts w:hint="eastAsia" w:ascii="宋体" w:hAnsi="宋体" w:eastAsia="宋体" w:cs="宋体"/>
          <w:color w:val="auto"/>
          <w:kern w:val="2"/>
          <w:sz w:val="21"/>
          <w:szCs w:val="24"/>
          <w:lang w:val="en-US" w:eastAsia="zh-CN" w:bidi="ar-SA"/>
        </w:rPr>
      </w:pPr>
      <w:r>
        <w:rPr>
          <w:rFonts w:hint="eastAsia" w:ascii="宋体" w:hAnsi="宋体" w:eastAsia="宋体" w:cs="宋体"/>
          <w:color w:val="auto"/>
          <w:kern w:val="2"/>
          <w:sz w:val="21"/>
          <w:szCs w:val="24"/>
          <w:lang w:val="en-US" w:eastAsia="zh-CN" w:bidi="ar-SA"/>
        </w:rPr>
        <w:tab/>
      </w:r>
      <w:r>
        <w:rPr>
          <w:rFonts w:hint="eastAsia" w:ascii="宋体" w:hAnsi="宋体" w:eastAsia="宋体" w:cs="宋体"/>
          <w:color w:val="auto"/>
          <w:kern w:val="2"/>
          <w:sz w:val="21"/>
          <w:szCs w:val="24"/>
          <w:lang w:val="en-US" w:eastAsia="zh-CN" w:bidi="ar-SA"/>
        </w:rPr>
        <w:t>应支持DL/T 698.45通信协议的数据采集，抄表方式支持集中器主动抄表、并发抄表。</w:t>
      </w:r>
    </w:p>
    <w:p>
      <w:pPr>
        <w:pStyle w:val="41"/>
        <w:spacing w:line="240" w:lineRule="auto"/>
        <w:rPr>
          <w:rFonts w:hint="eastAsia" w:ascii="宋体" w:hAnsi="宋体" w:eastAsia="宋体" w:cs="宋体"/>
          <w:color w:val="auto"/>
          <w:kern w:val="2"/>
          <w:sz w:val="21"/>
          <w:szCs w:val="24"/>
          <w:lang w:val="en-US" w:eastAsia="zh-CN" w:bidi="ar-SA"/>
        </w:rPr>
      </w:pPr>
      <w:r>
        <w:rPr>
          <w:rFonts w:hint="eastAsia" w:ascii="宋体" w:hAnsi="宋体" w:eastAsia="宋体" w:cs="宋体"/>
          <w:color w:val="auto"/>
          <w:kern w:val="2"/>
          <w:sz w:val="21"/>
          <w:szCs w:val="24"/>
          <w:lang w:val="en-US" w:eastAsia="zh-CN" w:bidi="ar-SA"/>
        </w:rPr>
        <w:t xml:space="preserve">2）从节点注册 </w:t>
      </w:r>
    </w:p>
    <w:p>
      <w:pPr>
        <w:pStyle w:val="41"/>
        <w:spacing w:line="240" w:lineRule="auto"/>
      </w:pPr>
      <w:r>
        <w:rPr>
          <w:rFonts w:hint="eastAsia"/>
        </w:rPr>
        <w:t xml:space="preserve">通信单元启动从节点主动注册时，通信单元应完成搜表，并上报结果。 </w:t>
      </w:r>
    </w:p>
    <w:p>
      <w:pPr>
        <w:pStyle w:val="41"/>
        <w:spacing w:line="240" w:lineRule="auto"/>
      </w:pPr>
      <w:r>
        <w:t>3</w:t>
      </w:r>
      <w:r>
        <w:rPr>
          <w:rFonts w:hint="eastAsia"/>
        </w:rPr>
        <w:t xml:space="preserve">）事件主动上报 </w:t>
      </w:r>
    </w:p>
    <w:p>
      <w:pPr>
        <w:pStyle w:val="41"/>
        <w:spacing w:line="240" w:lineRule="auto"/>
      </w:pPr>
      <w:r>
        <w:rPr>
          <w:rFonts w:hint="eastAsia"/>
        </w:rPr>
        <w:t xml:space="preserve">应支持充电桩停复电、充电启停、通信中断等事件主动上报。 </w:t>
      </w:r>
    </w:p>
    <w:p>
      <w:pPr>
        <w:pStyle w:val="41"/>
        <w:spacing w:line="240" w:lineRule="auto"/>
      </w:pPr>
      <w:r>
        <w:rPr>
          <w:rFonts w:hint="eastAsia"/>
        </w:rPr>
        <w:t xml:space="preserve">4）相位识别 </w:t>
      </w:r>
    </w:p>
    <w:p>
      <w:pPr>
        <w:pStyle w:val="41"/>
        <w:spacing w:line="240" w:lineRule="auto"/>
      </w:pPr>
      <w:r>
        <w:rPr>
          <w:rFonts w:hint="eastAsia"/>
        </w:rPr>
        <w:t>通信单元配备过零检测电路，支持终端本地模块获取相位信息。</w:t>
      </w:r>
      <w:r>
        <w:t xml:space="preserve"> </w:t>
      </w:r>
    </w:p>
    <w:p>
      <w:pPr>
        <w:pStyle w:val="41"/>
        <w:spacing w:line="240" w:lineRule="auto"/>
      </w:pPr>
      <w:r>
        <w:t>5</w:t>
      </w:r>
      <w:r>
        <w:rPr>
          <w:rFonts w:hint="eastAsia"/>
        </w:rPr>
        <w:t>）资产管理</w:t>
      </w:r>
    </w:p>
    <w:p>
      <w:pPr>
        <w:pStyle w:val="41"/>
        <w:spacing w:line="240" w:lineRule="auto"/>
      </w:pPr>
      <w:r>
        <w:rPr>
          <w:rFonts w:hint="eastAsia"/>
        </w:rPr>
        <w:t>通信单元具备模块芯片ID，支持终端本地模块获取模块芯片I</w:t>
      </w:r>
      <w:r>
        <w:t>D</w:t>
      </w:r>
      <w:r>
        <w:rPr>
          <w:rFonts w:hint="eastAsia"/>
        </w:rPr>
        <w:t>信息。</w:t>
      </w:r>
      <w:r>
        <w:t xml:space="preserve"> </w:t>
      </w:r>
    </w:p>
    <w:p>
      <w:pPr>
        <w:pStyle w:val="41"/>
        <w:spacing w:line="240" w:lineRule="auto"/>
      </w:pPr>
      <w:r>
        <w:t>6</w:t>
      </w:r>
      <w:r>
        <w:rPr>
          <w:rFonts w:hint="eastAsia"/>
        </w:rPr>
        <w:t xml:space="preserve">）在线升级 </w:t>
      </w:r>
    </w:p>
    <w:p>
      <w:pPr>
        <w:pStyle w:val="90"/>
        <w:snapToGrid/>
        <w:spacing w:line="240" w:lineRule="auto"/>
        <w:rPr>
          <w:rFonts w:hint="eastAsia" w:ascii="Times New Roman" w:hAnsi="Times New Roman" w:cs="Times New Roman"/>
        </w:rPr>
      </w:pPr>
      <w:r>
        <w:rPr>
          <w:rFonts w:hint="eastAsia" w:ascii="Times New Roman" w:hAnsi="Times New Roman" w:cs="Times New Roman"/>
        </w:rPr>
        <w:t>应具备在线升级功能，通过通信网络实现软件升级。</w:t>
      </w:r>
      <w:bookmarkStart w:id="125" w:name="_Toc1268"/>
      <w:bookmarkStart w:id="126" w:name="_Toc26846"/>
    </w:p>
    <w:p>
      <w:pPr>
        <w:pStyle w:val="2"/>
        <w:widowControl/>
        <w:numPr>
          <w:ilvl w:val="2"/>
          <w:numId w:val="6"/>
        </w:numPr>
        <w:spacing w:before="158" w:beforeLines="50" w:after="158" w:afterLines="50" w:line="240" w:lineRule="auto"/>
        <w:rPr>
          <w:rFonts w:ascii="宋体" w:hAnsi="宋体" w:cs="宋体"/>
          <w:b w:val="0"/>
          <w:bCs/>
          <w:sz w:val="21"/>
          <w:szCs w:val="21"/>
        </w:rPr>
      </w:pPr>
      <w:r>
        <w:rPr>
          <w:rFonts w:hint="eastAsia" w:ascii="黑体" w:hAnsi="黑体" w:eastAsia="黑体" w:cs="黑体"/>
          <w:b w:val="0"/>
          <w:bCs/>
          <w:sz w:val="21"/>
          <w:szCs w:val="21"/>
        </w:rPr>
        <w:t>通信协议要求</w:t>
      </w:r>
      <w:bookmarkEnd w:id="125"/>
      <w:bookmarkEnd w:id="126"/>
      <w:bookmarkStart w:id="127" w:name="_Toc21707"/>
      <w:bookmarkStart w:id="128" w:name="_Toc14411"/>
    </w:p>
    <w:p>
      <w:pPr>
        <w:pStyle w:val="2"/>
        <w:widowControl/>
        <w:numPr>
          <w:ilvl w:val="3"/>
          <w:numId w:val="6"/>
        </w:numPr>
        <w:spacing w:before="158" w:beforeLines="50" w:after="158" w:afterLines="50" w:line="240" w:lineRule="auto"/>
        <w:ind w:left="0" w:leftChars="0" w:firstLine="0" w:firstLineChars="0"/>
        <w:rPr>
          <w:rFonts w:ascii="宋体" w:hAnsi="宋体" w:cs="宋体"/>
          <w:b w:val="0"/>
          <w:bCs/>
          <w:sz w:val="21"/>
          <w:szCs w:val="21"/>
        </w:rPr>
      </w:pPr>
      <w:r>
        <w:rPr>
          <w:rFonts w:hint="eastAsia" w:ascii="宋体" w:hAnsi="宋体" w:cs="宋体"/>
          <w:b w:val="0"/>
          <w:bCs/>
          <w:sz w:val="21"/>
          <w:szCs w:val="21"/>
        </w:rPr>
        <w:t>有序充电设备与用电信息采集终端之间应遵循DB XX/XXX《居民小区有序充电设备与电网交互通信协议》；</w:t>
      </w:r>
      <w:bookmarkEnd w:id="127"/>
      <w:bookmarkEnd w:id="128"/>
    </w:p>
    <w:p>
      <w:pPr>
        <w:pStyle w:val="2"/>
        <w:widowControl/>
        <w:numPr>
          <w:ilvl w:val="3"/>
          <w:numId w:val="6"/>
        </w:numPr>
        <w:spacing w:before="0" w:after="0" w:line="240" w:lineRule="auto"/>
        <w:rPr>
          <w:rFonts w:ascii="宋体" w:hAnsi="宋体" w:cs="宋体"/>
          <w:b w:val="0"/>
          <w:bCs/>
          <w:sz w:val="21"/>
          <w:szCs w:val="21"/>
        </w:rPr>
      </w:pPr>
      <w:bookmarkStart w:id="129" w:name="_Toc20146"/>
      <w:bookmarkStart w:id="130" w:name="_Toc883"/>
      <w:r>
        <w:rPr>
          <w:rFonts w:hint="eastAsia" w:ascii="宋体" w:hAnsi="宋体" w:cs="宋体"/>
          <w:b w:val="0"/>
          <w:bCs/>
          <w:sz w:val="21"/>
          <w:szCs w:val="21"/>
        </w:rPr>
        <w:t>有序充电设备通信单元与用电信息采集终端通信单元之间的通信应遵循国家电网公司双模通信互联互通技术相关要求。</w:t>
      </w:r>
      <w:bookmarkEnd w:id="129"/>
      <w:bookmarkEnd w:id="130"/>
    </w:p>
    <w:bookmarkEnd w:id="115"/>
    <w:p>
      <w:pPr>
        <w:pStyle w:val="2"/>
        <w:widowControl/>
        <w:numPr>
          <w:ilvl w:val="1"/>
          <w:numId w:val="6"/>
        </w:numPr>
        <w:tabs>
          <w:tab w:val="left" w:pos="0"/>
        </w:tabs>
        <w:spacing w:before="158" w:beforeLines="50" w:after="158" w:afterLines="50" w:line="240" w:lineRule="auto"/>
        <w:rPr>
          <w:rFonts w:hint="eastAsia" w:ascii="黑体" w:hAnsi="黑体" w:eastAsia="黑体" w:cs="黑体"/>
          <w:b w:val="0"/>
          <w:bCs/>
          <w:sz w:val="21"/>
          <w:szCs w:val="21"/>
        </w:rPr>
      </w:pPr>
      <w:bookmarkStart w:id="131" w:name="_Toc10986"/>
      <w:bookmarkStart w:id="132" w:name="_Toc11845_WPSOffice_Level2"/>
      <w:r>
        <w:rPr>
          <w:rFonts w:hint="eastAsia" w:ascii="黑体" w:hAnsi="黑体" w:eastAsia="黑体" w:cs="黑体"/>
          <w:b w:val="0"/>
          <w:bCs/>
          <w:sz w:val="21"/>
          <w:szCs w:val="21"/>
        </w:rPr>
        <w:t>有序充电控制单元技术要求</w:t>
      </w:r>
      <w:bookmarkEnd w:id="131"/>
      <w:bookmarkEnd w:id="132"/>
    </w:p>
    <w:p>
      <w:pPr>
        <w:pStyle w:val="2"/>
        <w:widowControl/>
        <w:numPr>
          <w:ilvl w:val="2"/>
          <w:numId w:val="6"/>
        </w:numPr>
        <w:spacing w:before="158" w:beforeLines="50" w:after="158" w:afterLines="50" w:line="240" w:lineRule="auto"/>
        <w:rPr>
          <w:rFonts w:ascii="黑体" w:hAnsi="黑体" w:eastAsia="黑体" w:cs="黑体"/>
          <w:b w:val="0"/>
          <w:bCs/>
          <w:sz w:val="21"/>
          <w:szCs w:val="21"/>
        </w:rPr>
      </w:pPr>
      <w:bookmarkStart w:id="133" w:name="_Toc26093"/>
      <w:bookmarkStart w:id="134" w:name="_Toc21086"/>
      <w:bookmarkStart w:id="135" w:name="_Toc9142_WPSOffice_Level2"/>
      <w:r>
        <w:rPr>
          <w:rFonts w:hint="eastAsia" w:ascii="黑体" w:hAnsi="黑体" w:eastAsia="黑体" w:cs="黑体"/>
          <w:b w:val="0"/>
          <w:bCs/>
          <w:sz w:val="21"/>
          <w:szCs w:val="21"/>
        </w:rPr>
        <w:t>基本功能</w:t>
      </w:r>
      <w:bookmarkEnd w:id="133"/>
      <w:bookmarkEnd w:id="134"/>
    </w:p>
    <w:p>
      <w:pPr>
        <w:pStyle w:val="2"/>
        <w:widowControl/>
        <w:numPr>
          <w:ilvl w:val="3"/>
          <w:numId w:val="6"/>
        </w:numPr>
        <w:spacing w:before="0" w:after="0" w:line="240" w:lineRule="auto"/>
      </w:pPr>
      <w:bookmarkStart w:id="136" w:name="_Toc3908"/>
      <w:bookmarkStart w:id="137" w:name="_Toc32149"/>
      <w:r>
        <w:rPr>
          <w:rFonts w:hint="eastAsia" w:ascii="宋体" w:hAnsi="宋体" w:cs="宋体"/>
          <w:b w:val="0"/>
          <w:bCs/>
          <w:sz w:val="21"/>
          <w:szCs w:val="21"/>
        </w:rPr>
        <w:t>有序充电控制单元应具备运行管理功能，实现对管辖范围内的有序充电桩接入管理、实时监控、数据分析处理</w:t>
      </w:r>
      <w:bookmarkEnd w:id="136"/>
      <w:r>
        <w:rPr>
          <w:rFonts w:hint="eastAsia" w:ascii="宋体" w:hAnsi="宋体" w:cs="宋体"/>
          <w:b w:val="0"/>
          <w:bCs/>
          <w:sz w:val="21"/>
          <w:szCs w:val="21"/>
        </w:rPr>
        <w:t>。</w:t>
      </w:r>
      <w:bookmarkEnd w:id="137"/>
    </w:p>
    <w:p>
      <w:pPr>
        <w:pStyle w:val="2"/>
        <w:widowControl/>
        <w:numPr>
          <w:ilvl w:val="3"/>
          <w:numId w:val="6"/>
        </w:numPr>
        <w:spacing w:before="0" w:after="0" w:line="240" w:lineRule="auto"/>
        <w:rPr>
          <w:rFonts w:ascii="宋体" w:hAnsi="宋体" w:cs="宋体"/>
          <w:b w:val="0"/>
          <w:bCs/>
          <w:sz w:val="21"/>
          <w:szCs w:val="21"/>
        </w:rPr>
      </w:pPr>
      <w:bookmarkStart w:id="138" w:name="_Toc22625"/>
      <w:bookmarkStart w:id="139" w:name="_Toc30072"/>
      <w:r>
        <w:rPr>
          <w:rFonts w:hint="eastAsia" w:ascii="宋体" w:hAnsi="宋体" w:cs="宋体"/>
          <w:b w:val="0"/>
          <w:bCs/>
          <w:sz w:val="21"/>
          <w:szCs w:val="21"/>
        </w:rPr>
        <w:t>有序充电控制单元应具备有序充电动态调控功能，可根据接收用电信息采集终端的功率调控指令，发起对所管辖有序充电设备动态功率调控</w:t>
      </w:r>
      <w:bookmarkEnd w:id="138"/>
      <w:r>
        <w:rPr>
          <w:rFonts w:hint="eastAsia" w:ascii="宋体" w:hAnsi="宋体" w:cs="宋体"/>
          <w:b w:val="0"/>
          <w:bCs/>
          <w:sz w:val="21"/>
          <w:szCs w:val="21"/>
        </w:rPr>
        <w:t>和远程启停控制。</w:t>
      </w:r>
      <w:bookmarkEnd w:id="139"/>
    </w:p>
    <w:p>
      <w:pPr>
        <w:pStyle w:val="2"/>
        <w:widowControl/>
        <w:numPr>
          <w:ilvl w:val="3"/>
          <w:numId w:val="6"/>
        </w:numPr>
        <w:spacing w:before="0" w:after="0" w:line="240" w:lineRule="auto"/>
        <w:rPr>
          <w:rFonts w:ascii="宋体" w:hAnsi="宋体" w:cs="宋体"/>
          <w:b w:val="0"/>
          <w:bCs/>
          <w:sz w:val="21"/>
          <w:szCs w:val="21"/>
        </w:rPr>
      </w:pPr>
      <w:bookmarkStart w:id="140" w:name="_Toc32461"/>
      <w:bookmarkStart w:id="141" w:name="_Toc18027"/>
      <w:r>
        <w:rPr>
          <w:rFonts w:hint="eastAsia" w:ascii="宋体" w:hAnsi="宋体" w:cs="宋体"/>
          <w:b w:val="0"/>
          <w:bCs/>
          <w:sz w:val="21"/>
          <w:szCs w:val="21"/>
        </w:rPr>
        <w:t>有序充电控制单元应能独立运行。有序充电控制单元与</w:t>
      </w:r>
      <w:bookmarkStart w:id="142" w:name="_Hlk163635680"/>
      <w:r>
        <w:rPr>
          <w:rFonts w:hint="eastAsia" w:ascii="宋体" w:hAnsi="宋体" w:cs="宋体"/>
          <w:b w:val="0"/>
          <w:bCs/>
          <w:sz w:val="21"/>
          <w:szCs w:val="21"/>
        </w:rPr>
        <w:t>用电信息采集终端</w:t>
      </w:r>
      <w:bookmarkEnd w:id="142"/>
      <w:r>
        <w:rPr>
          <w:rFonts w:hint="eastAsia" w:ascii="宋体" w:hAnsi="宋体" w:cs="宋体"/>
          <w:b w:val="0"/>
          <w:bCs/>
          <w:sz w:val="21"/>
          <w:szCs w:val="21"/>
        </w:rPr>
        <w:t>未连接或通信中断时，可执行已收到的有序充电控制指令</w:t>
      </w:r>
      <w:bookmarkEnd w:id="140"/>
      <w:r>
        <w:rPr>
          <w:rFonts w:hint="eastAsia" w:ascii="宋体" w:hAnsi="宋体" w:cs="宋体"/>
          <w:b w:val="0"/>
          <w:bCs/>
          <w:sz w:val="21"/>
          <w:szCs w:val="21"/>
        </w:rPr>
        <w:t>。</w:t>
      </w:r>
      <w:bookmarkEnd w:id="141"/>
    </w:p>
    <w:p>
      <w:pPr>
        <w:pStyle w:val="2"/>
        <w:widowControl/>
        <w:numPr>
          <w:ilvl w:val="3"/>
          <w:numId w:val="6"/>
        </w:numPr>
        <w:spacing w:before="0" w:after="0" w:line="240" w:lineRule="auto"/>
        <w:rPr>
          <w:rFonts w:ascii="宋体" w:hAnsi="宋体" w:cs="宋体"/>
          <w:b w:val="0"/>
          <w:bCs/>
          <w:sz w:val="21"/>
          <w:szCs w:val="21"/>
        </w:rPr>
      </w:pPr>
      <w:bookmarkStart w:id="143" w:name="_Toc17069"/>
      <w:bookmarkStart w:id="144" w:name="_Toc2602"/>
      <w:r>
        <w:rPr>
          <w:rFonts w:hint="eastAsia" w:ascii="宋体" w:hAnsi="宋体" w:cs="宋体"/>
          <w:b w:val="0"/>
          <w:bCs/>
          <w:sz w:val="21"/>
          <w:szCs w:val="21"/>
        </w:rPr>
        <w:t>有序充电控制单元下发功率调节指令调控成功后，再次调控时间间隔应≥5min</w:t>
      </w:r>
      <w:bookmarkEnd w:id="143"/>
      <w:r>
        <w:rPr>
          <w:rFonts w:hint="eastAsia" w:ascii="宋体" w:hAnsi="宋体" w:cs="宋体"/>
          <w:b w:val="0"/>
          <w:bCs/>
          <w:sz w:val="21"/>
          <w:szCs w:val="21"/>
        </w:rPr>
        <w:t>。</w:t>
      </w:r>
      <w:bookmarkEnd w:id="144"/>
    </w:p>
    <w:p>
      <w:pPr>
        <w:pStyle w:val="2"/>
        <w:widowControl/>
        <w:numPr>
          <w:ilvl w:val="3"/>
          <w:numId w:val="6"/>
        </w:numPr>
        <w:spacing w:before="0" w:after="0" w:line="240" w:lineRule="auto"/>
      </w:pPr>
      <w:bookmarkStart w:id="145" w:name="_Toc23637"/>
      <w:bookmarkStart w:id="146" w:name="_Toc14806"/>
      <w:r>
        <w:rPr>
          <w:rFonts w:hint="eastAsia" w:ascii="宋体" w:hAnsi="宋体" w:cs="宋体"/>
          <w:b w:val="0"/>
          <w:bCs/>
          <w:sz w:val="21"/>
          <w:szCs w:val="21"/>
        </w:rPr>
        <w:t>有序充电控制单元接收用电信息采集终端下发对时指令，对时误差不超过5s。</w:t>
      </w:r>
      <w:bookmarkEnd w:id="145"/>
      <w:r>
        <w:rPr>
          <w:rFonts w:hint="eastAsia" w:ascii="宋体" w:hAnsi="宋体" w:cs="宋体"/>
          <w:b w:val="0"/>
          <w:bCs/>
          <w:sz w:val="21"/>
          <w:szCs w:val="21"/>
        </w:rPr>
        <w:t>有序充电控制单元在参比温度及工作电压范围内，时钟准确度不应超过±0.5s/d。在工作温度范围-25℃～＋55℃内，时钟准确度随温度的改变量不应超过±0.1s/℃/d，在该温度范围内时钟准确度不应超过±1s/d。具备备用电源，断电后应维持内部时钟正确工作时间累计不少于5年。</w:t>
      </w:r>
      <w:bookmarkEnd w:id="146"/>
    </w:p>
    <w:p>
      <w:pPr>
        <w:pStyle w:val="2"/>
        <w:widowControl/>
        <w:numPr>
          <w:ilvl w:val="2"/>
          <w:numId w:val="6"/>
        </w:numPr>
        <w:spacing w:before="158" w:beforeLines="50" w:after="158" w:afterLines="50" w:line="240" w:lineRule="auto"/>
        <w:rPr>
          <w:rFonts w:ascii="黑体" w:hAnsi="黑体" w:eastAsia="黑体" w:cs="黑体"/>
          <w:b w:val="0"/>
          <w:bCs/>
          <w:sz w:val="21"/>
          <w:szCs w:val="21"/>
        </w:rPr>
      </w:pPr>
      <w:bookmarkStart w:id="147" w:name="_Toc32632"/>
      <w:bookmarkStart w:id="148" w:name="_Toc7689"/>
      <w:r>
        <w:rPr>
          <w:rFonts w:hint="eastAsia" w:ascii="黑体" w:hAnsi="黑体" w:eastAsia="黑体" w:cs="黑体"/>
          <w:b w:val="0"/>
          <w:bCs/>
          <w:sz w:val="21"/>
          <w:szCs w:val="21"/>
        </w:rPr>
        <w:t>通信功能</w:t>
      </w:r>
      <w:bookmarkEnd w:id="147"/>
      <w:bookmarkEnd w:id="148"/>
    </w:p>
    <w:p>
      <w:pPr>
        <w:pStyle w:val="2"/>
        <w:widowControl/>
        <w:numPr>
          <w:ilvl w:val="3"/>
          <w:numId w:val="6"/>
        </w:numPr>
        <w:spacing w:before="0" w:after="0" w:line="240" w:lineRule="auto"/>
        <w:rPr>
          <w:rFonts w:ascii="宋体" w:hAnsi="宋体" w:cs="宋体"/>
          <w:b w:val="0"/>
          <w:bCs/>
          <w:sz w:val="21"/>
          <w:szCs w:val="21"/>
        </w:rPr>
      </w:pPr>
      <w:bookmarkStart w:id="149" w:name="_Toc9712"/>
      <w:bookmarkStart w:id="150" w:name="_Toc11257"/>
      <w:bookmarkStart w:id="151" w:name="_Hlk163636606"/>
      <w:r>
        <w:rPr>
          <w:rFonts w:hint="eastAsia" w:ascii="宋体" w:hAnsi="宋体" w:cs="宋体"/>
          <w:b w:val="0"/>
          <w:bCs/>
          <w:sz w:val="21"/>
          <w:szCs w:val="21"/>
        </w:rPr>
        <w:t>有序充电控制单元与用电信息采集终端之间应具备本地双模通信能力，可通过内置或外置通信单元实现，与用电信息采集终端之间信息交互延迟应≤2s（自接收用电信息采集终端信息开始，至返回响应指令结束）</w:t>
      </w:r>
      <w:bookmarkEnd w:id="149"/>
      <w:r>
        <w:rPr>
          <w:rFonts w:hint="eastAsia" w:ascii="宋体" w:hAnsi="宋体" w:cs="宋体"/>
          <w:b w:val="0"/>
          <w:bCs/>
          <w:sz w:val="21"/>
          <w:szCs w:val="21"/>
        </w:rPr>
        <w:t>。</w:t>
      </w:r>
      <w:bookmarkEnd w:id="150"/>
    </w:p>
    <w:p>
      <w:pPr>
        <w:pStyle w:val="2"/>
        <w:widowControl/>
        <w:numPr>
          <w:ilvl w:val="3"/>
          <w:numId w:val="6"/>
        </w:numPr>
        <w:spacing w:before="0" w:after="0" w:line="240" w:lineRule="auto"/>
        <w:rPr>
          <w:rFonts w:ascii="宋体" w:hAnsi="宋体" w:cs="宋体"/>
          <w:b w:val="0"/>
          <w:bCs/>
          <w:sz w:val="21"/>
          <w:szCs w:val="21"/>
        </w:rPr>
      </w:pPr>
      <w:bookmarkStart w:id="152" w:name="_Toc8788"/>
      <w:bookmarkStart w:id="153" w:name="_Toc22012"/>
      <w:r>
        <w:rPr>
          <w:rFonts w:hint="eastAsia" w:ascii="宋体" w:hAnsi="宋体" w:cs="宋体"/>
          <w:b w:val="0"/>
          <w:bCs/>
          <w:sz w:val="21"/>
          <w:szCs w:val="21"/>
        </w:rPr>
        <w:t>采用外置通信单元的有序充电控制单元，通信单元与有序充电控制单元之间采用串口通信，通信单元支持接口速率自适应，标准速率为9600bps、115200bps，缺省值为115200bps，8bit数据位，1bit停止位，偶校验</w:t>
      </w:r>
      <w:bookmarkEnd w:id="152"/>
      <w:r>
        <w:rPr>
          <w:rFonts w:hint="eastAsia" w:ascii="宋体" w:hAnsi="宋体" w:cs="宋体"/>
          <w:b w:val="0"/>
          <w:bCs/>
          <w:sz w:val="21"/>
          <w:szCs w:val="21"/>
        </w:rPr>
        <w:t>。</w:t>
      </w:r>
      <w:bookmarkEnd w:id="153"/>
    </w:p>
    <w:p>
      <w:pPr>
        <w:pStyle w:val="2"/>
        <w:widowControl/>
        <w:numPr>
          <w:ilvl w:val="3"/>
          <w:numId w:val="6"/>
        </w:numPr>
        <w:spacing w:before="0" w:after="0" w:line="240" w:lineRule="auto"/>
        <w:rPr>
          <w:rFonts w:ascii="宋体" w:hAnsi="宋体" w:cs="宋体"/>
          <w:b w:val="0"/>
          <w:bCs/>
          <w:sz w:val="21"/>
          <w:szCs w:val="21"/>
        </w:rPr>
      </w:pPr>
      <w:bookmarkStart w:id="154" w:name="_Toc4654"/>
      <w:r>
        <w:rPr>
          <w:rFonts w:hint="eastAsia" w:ascii="宋体" w:hAnsi="宋体" w:cs="宋体"/>
          <w:b w:val="0"/>
          <w:bCs/>
          <w:sz w:val="21"/>
          <w:szCs w:val="21"/>
        </w:rPr>
        <w:t>有序充电控制单元与充电桩之间采用RS485通信时，接口通信速率缺省值为 9600bps，8bit数据位，1bit停止位，偶校验；采用CAN通信时，接口速率为10~125kbps。</w:t>
      </w:r>
      <w:bookmarkEnd w:id="154"/>
    </w:p>
    <w:p>
      <w:pPr>
        <w:pStyle w:val="2"/>
        <w:widowControl/>
        <w:numPr>
          <w:ilvl w:val="3"/>
          <w:numId w:val="6"/>
        </w:numPr>
        <w:spacing w:before="0" w:after="0" w:line="240" w:lineRule="auto"/>
      </w:pPr>
      <w:bookmarkStart w:id="155" w:name="_Toc16242"/>
      <w:bookmarkStart w:id="156" w:name="_Toc19927"/>
      <w:r>
        <w:rPr>
          <w:rFonts w:hint="eastAsia" w:ascii="宋体" w:hAnsi="宋体" w:cs="宋体"/>
          <w:b w:val="0"/>
          <w:bCs/>
          <w:sz w:val="21"/>
          <w:szCs w:val="21"/>
        </w:rPr>
        <w:t>通信地址为12位，应支持本地或远程设置。</w:t>
      </w:r>
      <w:bookmarkEnd w:id="155"/>
      <w:bookmarkEnd w:id="156"/>
    </w:p>
    <w:bookmarkEnd w:id="151"/>
    <w:p>
      <w:pPr>
        <w:pStyle w:val="2"/>
        <w:widowControl/>
        <w:numPr>
          <w:ilvl w:val="2"/>
          <w:numId w:val="6"/>
        </w:numPr>
        <w:spacing w:before="158" w:beforeLines="50" w:after="158" w:afterLines="50" w:line="240" w:lineRule="auto"/>
        <w:rPr>
          <w:rFonts w:ascii="黑体" w:hAnsi="黑体" w:eastAsia="黑体" w:cs="黑体"/>
          <w:b w:val="0"/>
          <w:bCs/>
          <w:sz w:val="21"/>
          <w:szCs w:val="21"/>
        </w:rPr>
      </w:pPr>
      <w:bookmarkStart w:id="157" w:name="_Toc19496"/>
      <w:bookmarkStart w:id="158" w:name="_Toc11599"/>
      <w:r>
        <w:rPr>
          <w:rFonts w:hint="eastAsia" w:ascii="黑体" w:hAnsi="黑体" w:eastAsia="黑体" w:cs="黑体"/>
          <w:b w:val="0"/>
          <w:bCs/>
          <w:sz w:val="21"/>
          <w:szCs w:val="21"/>
        </w:rPr>
        <w:t>数据要求</w:t>
      </w:r>
      <w:bookmarkEnd w:id="157"/>
      <w:bookmarkEnd w:id="158"/>
    </w:p>
    <w:p>
      <w:pPr>
        <w:pStyle w:val="95"/>
        <w:numPr>
          <w:ilvl w:val="0"/>
          <w:numId w:val="0"/>
        </w:numPr>
        <w:jc w:val="center"/>
        <w:rPr>
          <w:rFonts w:hint="eastAsia" w:ascii="黑体" w:hAnsi="黑体" w:eastAsia="黑体" w:cs="黑体"/>
        </w:rPr>
      </w:pPr>
      <w:r>
        <w:rPr>
          <w:rFonts w:hint="eastAsia" w:ascii="黑体" w:hAnsi="黑体" w:eastAsia="黑体" w:cs="黑体"/>
        </w:rPr>
        <w:t>表2 有序充电控制单元的数据明细表</w:t>
      </w:r>
    </w:p>
    <w:tbl>
      <w:tblPr>
        <w:tblStyle w:val="38"/>
        <w:tblW w:w="83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1695"/>
        <w:gridCol w:w="5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82" w:type="dxa"/>
            <w:vAlign w:val="center"/>
          </w:tcPr>
          <w:p>
            <w:pPr>
              <w:widowControl/>
              <w:adjustRightInd w:val="0"/>
              <w:spacing w:line="240" w:lineRule="auto"/>
              <w:jc w:val="center"/>
              <w:rPr>
                <w:rFonts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序号</w:t>
            </w:r>
          </w:p>
        </w:tc>
        <w:tc>
          <w:tcPr>
            <w:tcW w:w="1695" w:type="dxa"/>
            <w:vAlign w:val="center"/>
          </w:tcPr>
          <w:p>
            <w:pPr>
              <w:widowControl/>
              <w:adjustRightInd w:val="0"/>
              <w:spacing w:line="240" w:lineRule="auto"/>
              <w:jc w:val="center"/>
              <w:rPr>
                <w:rFonts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数据类别</w:t>
            </w:r>
          </w:p>
        </w:tc>
        <w:tc>
          <w:tcPr>
            <w:tcW w:w="5577" w:type="dxa"/>
            <w:vAlign w:val="center"/>
          </w:tcPr>
          <w:p>
            <w:pPr>
              <w:widowControl/>
              <w:adjustRightInd w:val="0"/>
              <w:spacing w:line="240" w:lineRule="auto"/>
              <w:jc w:val="center"/>
              <w:rPr>
                <w:rFonts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数据项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4" w:hRule="atLeast"/>
          <w:jc w:val="center"/>
        </w:trPr>
        <w:tc>
          <w:tcPr>
            <w:tcW w:w="1082" w:type="dxa"/>
            <w:vAlign w:val="center"/>
          </w:tcPr>
          <w:p>
            <w:pPr>
              <w:widowControl/>
              <w:adjustRightInd w:val="0"/>
              <w:spacing w:line="240" w:lineRule="auto"/>
              <w:jc w:val="center"/>
              <w:rPr>
                <w:rFonts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1</w:t>
            </w:r>
          </w:p>
        </w:tc>
        <w:tc>
          <w:tcPr>
            <w:tcW w:w="1695" w:type="dxa"/>
            <w:vAlign w:val="center"/>
          </w:tcPr>
          <w:p>
            <w:pPr>
              <w:widowControl/>
              <w:adjustRightInd w:val="0"/>
              <w:spacing w:line="240" w:lineRule="auto"/>
              <w:jc w:val="center"/>
              <w:rPr>
                <w:rFonts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变量类</w:t>
            </w:r>
          </w:p>
        </w:tc>
        <w:tc>
          <w:tcPr>
            <w:tcW w:w="5577" w:type="dxa"/>
            <w:vAlign w:val="center"/>
          </w:tcPr>
          <w:p>
            <w:pPr>
              <w:widowControl/>
              <w:adjustRightInd w:val="0"/>
              <w:spacing w:line="240" w:lineRule="auto"/>
              <w:jc w:val="center"/>
              <w:rPr>
                <w:rFonts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受控状态，时间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82" w:type="dxa"/>
            <w:vAlign w:val="center"/>
          </w:tcPr>
          <w:p>
            <w:pPr>
              <w:widowControl/>
              <w:adjustRightInd w:val="0"/>
              <w:spacing w:line="240" w:lineRule="auto"/>
              <w:jc w:val="center"/>
              <w:rPr>
                <w:rFonts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2</w:t>
            </w:r>
          </w:p>
        </w:tc>
        <w:tc>
          <w:tcPr>
            <w:tcW w:w="1695" w:type="dxa"/>
            <w:vAlign w:val="center"/>
          </w:tcPr>
          <w:p>
            <w:pPr>
              <w:widowControl/>
              <w:adjustRightInd w:val="0"/>
              <w:spacing w:line="240" w:lineRule="auto"/>
              <w:jc w:val="center"/>
              <w:rPr>
                <w:rFonts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控制类</w:t>
            </w:r>
          </w:p>
        </w:tc>
        <w:tc>
          <w:tcPr>
            <w:tcW w:w="5577" w:type="dxa"/>
            <w:vAlign w:val="center"/>
          </w:tcPr>
          <w:p>
            <w:pPr>
              <w:widowControl/>
              <w:adjustRightInd w:val="0"/>
              <w:spacing w:line="240" w:lineRule="auto"/>
              <w:jc w:val="center"/>
              <w:rPr>
                <w:rFonts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时段调控指令，功率调控指令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6" w:hRule="atLeast"/>
          <w:jc w:val="center"/>
        </w:trPr>
        <w:tc>
          <w:tcPr>
            <w:tcW w:w="1082" w:type="dxa"/>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3</w:t>
            </w:r>
          </w:p>
        </w:tc>
        <w:tc>
          <w:tcPr>
            <w:tcW w:w="1695" w:type="dxa"/>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事件类</w:t>
            </w:r>
          </w:p>
        </w:tc>
        <w:tc>
          <w:tcPr>
            <w:tcW w:w="5577" w:type="dxa"/>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通信中断事件（有序充电控制单元与充电桩）；</w:t>
            </w:r>
          </w:p>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停上电事件；</w:t>
            </w:r>
          </w:p>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启停事件。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082" w:type="dxa"/>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4</w:t>
            </w:r>
          </w:p>
        </w:tc>
        <w:tc>
          <w:tcPr>
            <w:tcW w:w="1695" w:type="dxa"/>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参数类</w:t>
            </w:r>
          </w:p>
        </w:tc>
        <w:tc>
          <w:tcPr>
            <w:tcW w:w="5577" w:type="dxa"/>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额定功率，对时，通信地址，生产厂家信息</w:t>
            </w:r>
          </w:p>
        </w:tc>
      </w:tr>
    </w:tbl>
    <w:p>
      <w:pPr>
        <w:pStyle w:val="2"/>
        <w:widowControl/>
        <w:numPr>
          <w:ilvl w:val="2"/>
          <w:numId w:val="6"/>
        </w:numPr>
        <w:spacing w:before="158" w:beforeLines="50" w:after="158" w:afterLines="50" w:line="240" w:lineRule="auto"/>
        <w:rPr>
          <w:rFonts w:ascii="黑体" w:hAnsi="黑体" w:eastAsia="黑体" w:cs="黑体"/>
          <w:b w:val="0"/>
          <w:bCs/>
          <w:sz w:val="21"/>
          <w:szCs w:val="21"/>
        </w:rPr>
      </w:pPr>
      <w:bookmarkStart w:id="159" w:name="_Toc26882"/>
      <w:bookmarkStart w:id="160" w:name="_Toc28158"/>
      <w:r>
        <w:rPr>
          <w:rFonts w:hint="eastAsia" w:ascii="黑体" w:hAnsi="黑体" w:eastAsia="黑体" w:cs="黑体"/>
          <w:b w:val="0"/>
          <w:bCs/>
          <w:sz w:val="21"/>
          <w:szCs w:val="21"/>
        </w:rPr>
        <w:t>信息安全防护要求</w:t>
      </w:r>
      <w:bookmarkEnd w:id="159"/>
      <w:bookmarkEnd w:id="160"/>
    </w:p>
    <w:p>
      <w:pPr>
        <w:keepNext w:val="0"/>
        <w:keepLines w:val="0"/>
        <w:pageBreakBefore w:val="0"/>
        <w:widowControl/>
        <w:kinsoku/>
        <w:wordWrap/>
        <w:overflowPunct/>
        <w:topLinePunct w:val="0"/>
        <w:autoSpaceDE w:val="0"/>
        <w:autoSpaceDN w:val="0"/>
        <w:bidi w:val="0"/>
        <w:adjustRightInd/>
        <w:snapToGrid/>
        <w:spacing w:line="360" w:lineRule="exact"/>
        <w:ind w:firstLine="420" w:firstLineChars="200"/>
        <w:textAlignment w:val="auto"/>
        <w:rPr>
          <w:rFonts w:hint="eastAsia" w:ascii="宋体" w:hAnsi="Times New Roman" w:eastAsia="宋体" w:cs="Times New Roman"/>
          <w:kern w:val="0"/>
          <w:sz w:val="21"/>
          <w:szCs w:val="22"/>
          <w:lang w:val="en-US" w:eastAsia="zh-CN" w:bidi="ar-SA"/>
        </w:rPr>
      </w:pPr>
      <w:r>
        <w:rPr>
          <w:rFonts w:hint="eastAsia" w:ascii="宋体" w:hAnsi="Times New Roman" w:eastAsia="宋体" w:cs="Times New Roman"/>
          <w:kern w:val="0"/>
          <w:sz w:val="21"/>
          <w:szCs w:val="22"/>
          <w:lang w:val="en-US" w:eastAsia="zh-CN" w:bidi="ar-SA"/>
        </w:rPr>
        <w:t>有序充电控制单元应具备必要的信息安全防护手段，包含但不限于访问控制、口令认证、数据加密（建加密库，通过软加密）等。</w:t>
      </w:r>
    </w:p>
    <w:p>
      <w:pPr>
        <w:autoSpaceDE w:val="0"/>
        <w:autoSpaceDN w:val="0"/>
        <w:ind w:firstLine="420" w:firstLineChars="200"/>
        <w:jc w:val="both"/>
        <w:rPr>
          <w:rFonts w:hint="eastAsia" w:ascii="宋体" w:eastAsia="宋体"/>
          <w:sz w:val="21"/>
          <w:szCs w:val="22"/>
          <w:lang w:val="en-US" w:eastAsia="zh-CN" w:bidi="ar-SA"/>
        </w:rPr>
      </w:pPr>
      <w:r>
        <w:rPr>
          <w:rFonts w:hint="eastAsia" w:ascii="宋体" w:eastAsia="宋体"/>
          <w:sz w:val="21"/>
          <w:szCs w:val="22"/>
          <w:lang w:val="en-US" w:eastAsia="zh-CN" w:bidi="ar-SA"/>
        </w:rPr>
        <w:t>软加密通信过程：</w:t>
      </w:r>
    </w:p>
    <w:p>
      <w:pPr>
        <w:pStyle w:val="54"/>
        <w:numPr>
          <w:ilvl w:val="0"/>
          <w:numId w:val="9"/>
        </w:numPr>
        <w:ind w:left="0" w:firstLine="420" w:firstLineChars="200"/>
        <w:outlineLvl w:val="9"/>
      </w:pPr>
      <w:r>
        <w:rPr>
          <w:rFonts w:hint="eastAsia"/>
        </w:rPr>
        <w:t>用电信息采集终端向有序充电控制单元或有序充电桩通信的报文，可使用国网湖南电力公司认证的加解密算法库进行加密。</w:t>
      </w:r>
    </w:p>
    <w:p>
      <w:pPr>
        <w:pStyle w:val="54"/>
        <w:numPr>
          <w:ilvl w:val="0"/>
          <w:numId w:val="9"/>
        </w:numPr>
        <w:ind w:left="0" w:firstLine="420" w:firstLineChars="200"/>
        <w:outlineLvl w:val="9"/>
      </w:pPr>
      <w:r>
        <w:rPr>
          <w:rFonts w:hint="eastAsia"/>
        </w:rPr>
        <w:t>有序充电控制单元或有序充电桩收到密文时，则使用国网湖南电力公司认证的加解密算法库进行解密。</w:t>
      </w:r>
    </w:p>
    <w:p>
      <w:pPr>
        <w:pStyle w:val="2"/>
        <w:widowControl/>
        <w:numPr>
          <w:ilvl w:val="1"/>
          <w:numId w:val="6"/>
        </w:numPr>
        <w:tabs>
          <w:tab w:val="left" w:pos="0"/>
        </w:tabs>
        <w:spacing w:before="158" w:beforeLines="50" w:after="158" w:afterLines="50" w:line="240" w:lineRule="auto"/>
        <w:rPr>
          <w:rFonts w:ascii="黑体" w:hAnsi="黑体" w:eastAsia="黑体" w:cs="黑体"/>
          <w:b w:val="0"/>
          <w:bCs/>
          <w:sz w:val="21"/>
          <w:szCs w:val="21"/>
        </w:rPr>
      </w:pPr>
      <w:bookmarkStart w:id="161" w:name="_Toc2907"/>
      <w:bookmarkStart w:id="162" w:name="_Toc29595_WPSOffice_Level2"/>
      <w:r>
        <w:rPr>
          <w:rFonts w:hint="eastAsia" w:ascii="黑体" w:hAnsi="黑体" w:eastAsia="黑体" w:cs="黑体"/>
          <w:b w:val="0"/>
          <w:bCs/>
          <w:sz w:val="21"/>
          <w:szCs w:val="21"/>
        </w:rPr>
        <w:t>有序充电桩</w:t>
      </w:r>
      <w:bookmarkEnd w:id="135"/>
      <w:r>
        <w:rPr>
          <w:rFonts w:hint="eastAsia" w:ascii="黑体" w:hAnsi="黑体" w:eastAsia="黑体" w:cs="黑体"/>
          <w:b w:val="0"/>
          <w:bCs/>
          <w:sz w:val="21"/>
          <w:szCs w:val="21"/>
        </w:rPr>
        <w:t>技术要求</w:t>
      </w:r>
      <w:bookmarkEnd w:id="161"/>
      <w:bookmarkEnd w:id="162"/>
    </w:p>
    <w:p>
      <w:pPr>
        <w:pStyle w:val="2"/>
        <w:widowControl/>
        <w:numPr>
          <w:ilvl w:val="2"/>
          <w:numId w:val="6"/>
        </w:numPr>
        <w:spacing w:before="158" w:beforeLines="50" w:after="158" w:afterLines="50" w:line="240" w:lineRule="auto"/>
      </w:pPr>
      <w:bookmarkStart w:id="163" w:name="_Toc24311"/>
      <w:bookmarkStart w:id="164" w:name="_Toc5850"/>
      <w:r>
        <w:rPr>
          <w:rFonts w:hint="eastAsia" w:ascii="黑体" w:hAnsi="黑体" w:eastAsia="黑体" w:cs="黑体"/>
          <w:b w:val="0"/>
          <w:bCs/>
          <w:sz w:val="21"/>
          <w:szCs w:val="21"/>
        </w:rPr>
        <w:t>基本要求</w:t>
      </w:r>
      <w:bookmarkEnd w:id="163"/>
      <w:bookmarkEnd w:id="164"/>
    </w:p>
    <w:p>
      <w:pPr>
        <w:pStyle w:val="2"/>
        <w:widowControl/>
        <w:numPr>
          <w:ilvl w:val="3"/>
          <w:numId w:val="6"/>
        </w:numPr>
        <w:spacing w:before="0" w:after="0" w:line="240" w:lineRule="auto"/>
        <w:rPr>
          <w:rFonts w:ascii="宋体" w:hAnsi="宋体" w:cs="宋体"/>
          <w:b w:val="0"/>
          <w:bCs/>
          <w:sz w:val="21"/>
          <w:szCs w:val="21"/>
        </w:rPr>
      </w:pPr>
      <w:bookmarkStart w:id="165" w:name="_Toc18908"/>
      <w:bookmarkStart w:id="166" w:name="_Toc17210"/>
      <w:r>
        <w:rPr>
          <w:rFonts w:hint="eastAsia" w:ascii="宋体" w:hAnsi="宋体" w:cs="宋体"/>
          <w:b w:val="0"/>
          <w:bCs/>
          <w:sz w:val="21"/>
          <w:szCs w:val="21"/>
        </w:rPr>
        <w:t>交流充电桩通用要求：应满足NB/T11305.2《电动汽车充放电双向互动第2部分：有序充电》5.3.1</w:t>
      </w:r>
      <w:bookmarkEnd w:id="165"/>
      <w:r>
        <w:rPr>
          <w:rFonts w:hint="eastAsia" w:ascii="宋体" w:hAnsi="宋体" w:cs="宋体"/>
          <w:b w:val="0"/>
          <w:bCs/>
          <w:sz w:val="21"/>
          <w:szCs w:val="21"/>
        </w:rPr>
        <w:t>。</w:t>
      </w:r>
      <w:bookmarkEnd w:id="166"/>
    </w:p>
    <w:p>
      <w:pPr>
        <w:pStyle w:val="2"/>
        <w:widowControl/>
        <w:numPr>
          <w:ilvl w:val="3"/>
          <w:numId w:val="6"/>
        </w:numPr>
        <w:spacing w:before="0" w:after="0" w:line="240" w:lineRule="auto"/>
        <w:rPr>
          <w:rFonts w:ascii="宋体" w:hAnsi="宋体" w:cs="宋体"/>
          <w:b w:val="0"/>
          <w:bCs/>
          <w:sz w:val="21"/>
          <w:szCs w:val="21"/>
        </w:rPr>
      </w:pPr>
      <w:bookmarkStart w:id="167" w:name="_Toc10458"/>
      <w:bookmarkStart w:id="168" w:name="_Toc4763"/>
      <w:r>
        <w:rPr>
          <w:rFonts w:hint="eastAsia" w:ascii="宋体" w:hAnsi="宋体" w:cs="宋体"/>
          <w:b w:val="0"/>
          <w:bCs/>
          <w:sz w:val="21"/>
          <w:szCs w:val="21"/>
        </w:rPr>
        <w:t>非车载充电机通用要求：应满足NB/T11305.2《电动汽车充放电双向互动第2部分：有序充电》5.3.2</w:t>
      </w:r>
      <w:bookmarkEnd w:id="167"/>
      <w:r>
        <w:rPr>
          <w:rFonts w:hint="eastAsia" w:ascii="宋体" w:hAnsi="宋体" w:cs="宋体"/>
          <w:b w:val="0"/>
          <w:bCs/>
          <w:sz w:val="21"/>
          <w:szCs w:val="21"/>
        </w:rPr>
        <w:t>。</w:t>
      </w:r>
      <w:bookmarkEnd w:id="168"/>
    </w:p>
    <w:p>
      <w:pPr>
        <w:pStyle w:val="2"/>
        <w:widowControl/>
        <w:numPr>
          <w:ilvl w:val="3"/>
          <w:numId w:val="6"/>
        </w:numPr>
        <w:spacing w:before="0" w:after="0" w:line="240" w:lineRule="auto"/>
        <w:rPr>
          <w:rFonts w:ascii="宋体" w:hAnsi="宋体" w:cs="宋体"/>
          <w:b w:val="0"/>
          <w:bCs/>
          <w:sz w:val="21"/>
          <w:szCs w:val="21"/>
        </w:rPr>
      </w:pPr>
      <w:bookmarkStart w:id="169" w:name="_Toc17283"/>
      <w:bookmarkStart w:id="170" w:name="_Toc9133"/>
      <w:r>
        <w:rPr>
          <w:rFonts w:hint="eastAsia" w:ascii="宋体" w:hAnsi="宋体" w:cs="宋体"/>
          <w:b w:val="0"/>
          <w:bCs/>
          <w:sz w:val="21"/>
          <w:szCs w:val="21"/>
        </w:rPr>
        <w:t>有序充电桩接收用电信息采集终端下发对时指令，对时误差不超过5s</w:t>
      </w:r>
      <w:bookmarkEnd w:id="169"/>
      <w:r>
        <w:rPr>
          <w:rFonts w:hint="eastAsia" w:ascii="宋体" w:hAnsi="宋体" w:cs="宋体"/>
          <w:b w:val="0"/>
          <w:bCs/>
          <w:sz w:val="21"/>
          <w:szCs w:val="21"/>
        </w:rPr>
        <w:t>。</w:t>
      </w:r>
      <w:bookmarkEnd w:id="170"/>
    </w:p>
    <w:p>
      <w:pPr>
        <w:pStyle w:val="2"/>
        <w:widowControl/>
        <w:numPr>
          <w:ilvl w:val="3"/>
          <w:numId w:val="6"/>
        </w:numPr>
        <w:spacing w:before="0" w:after="0" w:line="240" w:lineRule="auto"/>
        <w:rPr>
          <w:rFonts w:ascii="宋体" w:hAnsi="宋体" w:cs="宋体"/>
          <w:b w:val="0"/>
          <w:bCs/>
          <w:sz w:val="21"/>
          <w:szCs w:val="21"/>
        </w:rPr>
      </w:pPr>
      <w:bookmarkStart w:id="171" w:name="_Toc11662"/>
      <w:bookmarkStart w:id="172" w:name="_Toc22474"/>
      <w:r>
        <w:rPr>
          <w:rFonts w:hint="eastAsia" w:ascii="宋体" w:hAnsi="宋体" w:cs="宋体"/>
          <w:b w:val="0"/>
          <w:bCs/>
          <w:sz w:val="21"/>
          <w:szCs w:val="21"/>
        </w:rPr>
        <w:t>有序充电桩在充电过程中出现电力中断，恢复供电后，其应能重启并处于待机状态</w:t>
      </w:r>
      <w:bookmarkEnd w:id="171"/>
      <w:r>
        <w:rPr>
          <w:rFonts w:hint="eastAsia" w:ascii="宋体" w:hAnsi="宋体" w:cs="宋体"/>
          <w:b w:val="0"/>
          <w:bCs/>
          <w:sz w:val="21"/>
          <w:szCs w:val="21"/>
        </w:rPr>
        <w:t>。</w:t>
      </w:r>
      <w:bookmarkEnd w:id="172"/>
    </w:p>
    <w:p>
      <w:pPr>
        <w:pStyle w:val="2"/>
        <w:widowControl/>
        <w:numPr>
          <w:ilvl w:val="3"/>
          <w:numId w:val="6"/>
        </w:numPr>
        <w:spacing w:before="0" w:after="0" w:line="240" w:lineRule="auto"/>
        <w:rPr>
          <w:rFonts w:ascii="宋体" w:hAnsi="宋体" w:cs="宋体"/>
          <w:b w:val="0"/>
          <w:bCs/>
          <w:sz w:val="21"/>
          <w:szCs w:val="21"/>
        </w:rPr>
      </w:pPr>
      <w:bookmarkStart w:id="173" w:name="_Toc24204"/>
      <w:bookmarkStart w:id="174" w:name="_Toc5802"/>
      <w:r>
        <w:rPr>
          <w:rFonts w:hint="eastAsia" w:ascii="宋体" w:hAnsi="宋体" w:cs="宋体"/>
          <w:b w:val="0"/>
          <w:bCs/>
          <w:sz w:val="21"/>
          <w:szCs w:val="21"/>
        </w:rPr>
        <w:t>智能非车载充电机应具备在充电过程中根据功率控制指令停止充电，在接到恢复充电指令后或执行停止充电指令超过24小时后恢复的功能。</w:t>
      </w:r>
      <w:bookmarkEnd w:id="173"/>
      <w:bookmarkEnd w:id="174"/>
    </w:p>
    <w:p>
      <w:pPr>
        <w:pStyle w:val="2"/>
        <w:widowControl/>
        <w:numPr>
          <w:ilvl w:val="2"/>
          <w:numId w:val="6"/>
        </w:numPr>
        <w:spacing w:before="158" w:beforeLines="50" w:after="158" w:afterLines="50" w:line="240" w:lineRule="auto"/>
        <w:rPr>
          <w:rFonts w:ascii="黑体" w:hAnsi="黑体" w:eastAsia="黑体" w:cs="黑体"/>
          <w:b w:val="0"/>
          <w:bCs/>
          <w:sz w:val="21"/>
          <w:szCs w:val="21"/>
        </w:rPr>
      </w:pPr>
      <w:bookmarkStart w:id="175" w:name="_Toc26276"/>
      <w:bookmarkStart w:id="176" w:name="_Toc21712"/>
      <w:r>
        <w:rPr>
          <w:rFonts w:hint="eastAsia" w:ascii="黑体" w:hAnsi="黑体" w:eastAsia="黑体" w:cs="黑体"/>
          <w:b w:val="0"/>
          <w:bCs/>
          <w:sz w:val="21"/>
          <w:szCs w:val="21"/>
        </w:rPr>
        <w:t>通信功能</w:t>
      </w:r>
      <w:bookmarkEnd w:id="175"/>
      <w:bookmarkEnd w:id="176"/>
    </w:p>
    <w:p>
      <w:pPr>
        <w:pStyle w:val="2"/>
        <w:widowControl/>
        <w:numPr>
          <w:ilvl w:val="3"/>
          <w:numId w:val="6"/>
        </w:numPr>
        <w:spacing w:before="0" w:after="0" w:line="240" w:lineRule="auto"/>
        <w:rPr>
          <w:rFonts w:ascii="宋体" w:hAnsi="宋体" w:cs="宋体"/>
          <w:b w:val="0"/>
          <w:bCs/>
          <w:sz w:val="21"/>
          <w:szCs w:val="21"/>
        </w:rPr>
      </w:pPr>
      <w:bookmarkStart w:id="177" w:name="_Toc17593"/>
      <w:bookmarkStart w:id="178" w:name="_Toc981"/>
      <w:r>
        <w:rPr>
          <w:rFonts w:hint="eastAsia" w:ascii="宋体" w:hAnsi="宋体" w:cs="宋体"/>
          <w:b w:val="0"/>
          <w:bCs/>
          <w:sz w:val="21"/>
          <w:szCs w:val="21"/>
        </w:rPr>
        <w:t>有序充电桩与用电信息采集终端之间应具备本地双模通信能力，可通过通信单元实现，与用电信息采集终端之间信息交互延迟应 ≤2s（自接收用电信息采集终端信息开始，至返回响应指令结束）；</w:t>
      </w:r>
      <w:bookmarkEnd w:id="177"/>
      <w:bookmarkEnd w:id="178"/>
    </w:p>
    <w:p>
      <w:pPr>
        <w:pStyle w:val="2"/>
        <w:widowControl/>
        <w:numPr>
          <w:ilvl w:val="3"/>
          <w:numId w:val="6"/>
        </w:numPr>
        <w:spacing w:before="0" w:after="0" w:line="240" w:lineRule="auto"/>
        <w:rPr>
          <w:rFonts w:ascii="宋体" w:hAnsi="宋体" w:cs="宋体"/>
          <w:b w:val="0"/>
          <w:bCs/>
          <w:sz w:val="21"/>
          <w:szCs w:val="21"/>
        </w:rPr>
      </w:pPr>
      <w:bookmarkStart w:id="179" w:name="_Toc14274"/>
      <w:bookmarkStart w:id="180" w:name="_Toc26076"/>
      <w:r>
        <w:rPr>
          <w:rFonts w:hint="eastAsia" w:ascii="宋体" w:hAnsi="宋体" w:cs="宋体"/>
          <w:b w:val="0"/>
          <w:bCs/>
          <w:sz w:val="21"/>
          <w:szCs w:val="21"/>
        </w:rPr>
        <w:t>外置通信单元的型式要求见附录A；</w:t>
      </w:r>
      <w:bookmarkEnd w:id="179"/>
      <w:bookmarkEnd w:id="180"/>
    </w:p>
    <w:p>
      <w:pPr>
        <w:pStyle w:val="2"/>
        <w:widowControl/>
        <w:numPr>
          <w:ilvl w:val="3"/>
          <w:numId w:val="6"/>
        </w:numPr>
        <w:spacing w:before="0" w:after="0" w:line="240" w:lineRule="auto"/>
        <w:rPr>
          <w:rFonts w:ascii="宋体" w:hAnsi="宋体" w:cs="宋体"/>
          <w:b w:val="0"/>
          <w:bCs/>
          <w:sz w:val="21"/>
          <w:szCs w:val="21"/>
        </w:rPr>
      </w:pPr>
      <w:bookmarkStart w:id="181" w:name="_Toc13736"/>
      <w:bookmarkStart w:id="182" w:name="_Toc8201"/>
      <w:r>
        <w:rPr>
          <w:rFonts w:hint="eastAsia" w:ascii="宋体" w:hAnsi="宋体" w:cs="宋体"/>
          <w:b w:val="0"/>
          <w:bCs/>
          <w:sz w:val="21"/>
          <w:szCs w:val="21"/>
        </w:rPr>
        <w:t>通信地址为12位，应支持本地或远程设置。</w:t>
      </w:r>
      <w:bookmarkEnd w:id="181"/>
      <w:bookmarkEnd w:id="182"/>
    </w:p>
    <w:p>
      <w:pPr>
        <w:pStyle w:val="2"/>
        <w:widowControl/>
        <w:numPr>
          <w:ilvl w:val="2"/>
          <w:numId w:val="6"/>
        </w:numPr>
        <w:spacing w:before="158" w:beforeLines="50" w:after="158" w:afterLines="50" w:line="240" w:lineRule="auto"/>
        <w:rPr>
          <w:rFonts w:ascii="黑体" w:hAnsi="黑体" w:eastAsia="黑体" w:cs="黑体"/>
          <w:b w:val="0"/>
          <w:bCs/>
          <w:sz w:val="21"/>
          <w:szCs w:val="21"/>
        </w:rPr>
      </w:pPr>
      <w:bookmarkStart w:id="183" w:name="_Toc2099"/>
      <w:bookmarkStart w:id="184" w:name="_Toc31331"/>
      <w:r>
        <w:rPr>
          <w:rFonts w:hint="eastAsia" w:ascii="黑体" w:hAnsi="黑体" w:eastAsia="黑体" w:cs="黑体"/>
          <w:b w:val="0"/>
          <w:bCs/>
          <w:sz w:val="21"/>
          <w:szCs w:val="21"/>
        </w:rPr>
        <w:t>数据要求</w:t>
      </w:r>
      <w:bookmarkEnd w:id="183"/>
      <w:bookmarkEnd w:id="184"/>
    </w:p>
    <w:p>
      <w:pPr>
        <w:pStyle w:val="95"/>
        <w:numPr>
          <w:ilvl w:val="0"/>
          <w:numId w:val="0"/>
        </w:numPr>
        <w:jc w:val="center"/>
        <w:rPr>
          <w:rFonts w:hint="eastAsia" w:ascii="黑体" w:hAnsi="黑体" w:eastAsia="黑体" w:cs="黑体"/>
        </w:rPr>
      </w:pPr>
      <w:r>
        <w:rPr>
          <w:rFonts w:hint="eastAsia" w:ascii="黑体" w:hAnsi="黑体" w:eastAsia="黑体" w:cs="黑体"/>
        </w:rPr>
        <w:t>表3 有序充电桩的数据明细表</w:t>
      </w:r>
    </w:p>
    <w:tbl>
      <w:tblPr>
        <w:tblStyle w:val="38"/>
        <w:tblW w:w="87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534"/>
        <w:gridCol w:w="6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序号</w:t>
            </w:r>
          </w:p>
        </w:tc>
        <w:tc>
          <w:tcPr>
            <w:tcW w:w="1534" w:type="dxa"/>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数据类别</w:t>
            </w:r>
          </w:p>
        </w:tc>
        <w:tc>
          <w:tcPr>
            <w:tcW w:w="6051" w:type="dxa"/>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数据项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4" w:hRule="atLeast"/>
          <w:jc w:val="center"/>
        </w:trPr>
        <w:tc>
          <w:tcPr>
            <w:tcW w:w="1170" w:type="dxa"/>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1</w:t>
            </w:r>
          </w:p>
        </w:tc>
        <w:tc>
          <w:tcPr>
            <w:tcW w:w="1534" w:type="dxa"/>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变量类</w:t>
            </w:r>
          </w:p>
        </w:tc>
        <w:tc>
          <w:tcPr>
            <w:tcW w:w="6051" w:type="dxa"/>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受控状态，时钟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7" w:hRule="atLeast"/>
          <w:jc w:val="center"/>
        </w:trPr>
        <w:tc>
          <w:tcPr>
            <w:tcW w:w="1170" w:type="dxa"/>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2</w:t>
            </w:r>
          </w:p>
        </w:tc>
        <w:tc>
          <w:tcPr>
            <w:tcW w:w="1534" w:type="dxa"/>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控制类</w:t>
            </w:r>
          </w:p>
        </w:tc>
        <w:tc>
          <w:tcPr>
            <w:tcW w:w="6051" w:type="dxa"/>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时段调控指令，功率调控指令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7" w:hRule="atLeast"/>
          <w:jc w:val="center"/>
        </w:trPr>
        <w:tc>
          <w:tcPr>
            <w:tcW w:w="1170" w:type="dxa"/>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3</w:t>
            </w:r>
          </w:p>
        </w:tc>
        <w:tc>
          <w:tcPr>
            <w:tcW w:w="1534" w:type="dxa"/>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事件类</w:t>
            </w:r>
          </w:p>
        </w:tc>
        <w:tc>
          <w:tcPr>
            <w:tcW w:w="6051" w:type="dxa"/>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停上电事件、启停事件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4</w:t>
            </w:r>
          </w:p>
        </w:tc>
        <w:tc>
          <w:tcPr>
            <w:tcW w:w="1534" w:type="dxa"/>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参数类</w:t>
            </w:r>
          </w:p>
        </w:tc>
        <w:tc>
          <w:tcPr>
            <w:tcW w:w="6051" w:type="dxa"/>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额定功率，对时，通信地址，生产厂家信息</w:t>
            </w:r>
          </w:p>
        </w:tc>
      </w:tr>
    </w:tbl>
    <w:p>
      <w:pPr>
        <w:pStyle w:val="2"/>
        <w:keepNext w:val="0"/>
        <w:keepLines w:val="0"/>
        <w:numPr>
          <w:ilvl w:val="2"/>
          <w:numId w:val="6"/>
        </w:numPr>
        <w:spacing w:before="158" w:beforeLines="50" w:after="158" w:afterLines="50" w:line="240" w:lineRule="auto"/>
        <w:rPr>
          <w:rFonts w:ascii="黑体" w:hAnsi="黑体" w:eastAsia="黑体" w:cs="黑体"/>
          <w:b w:val="0"/>
          <w:bCs/>
          <w:sz w:val="21"/>
          <w:szCs w:val="21"/>
        </w:rPr>
      </w:pPr>
      <w:bookmarkStart w:id="185" w:name="_Toc3742"/>
      <w:bookmarkStart w:id="186" w:name="_Toc32082"/>
      <w:r>
        <w:rPr>
          <w:rFonts w:hint="eastAsia" w:ascii="黑体" w:hAnsi="黑体" w:eastAsia="黑体" w:cs="黑体"/>
          <w:b w:val="0"/>
          <w:bCs/>
          <w:sz w:val="21"/>
          <w:szCs w:val="21"/>
        </w:rPr>
        <w:t>信息安全防护要求</w:t>
      </w:r>
      <w:bookmarkEnd w:id="185"/>
      <w:bookmarkEnd w:id="186"/>
    </w:p>
    <w:p>
      <w:pPr>
        <w:keepNext w:val="0"/>
        <w:keepLines w:val="0"/>
        <w:pageBreakBefore w:val="0"/>
        <w:widowControl/>
        <w:kinsoku/>
        <w:wordWrap/>
        <w:overflowPunct/>
        <w:topLinePunct w:val="0"/>
        <w:autoSpaceDE w:val="0"/>
        <w:autoSpaceDN w:val="0"/>
        <w:bidi w:val="0"/>
        <w:adjustRightInd/>
        <w:snapToGrid/>
        <w:spacing w:line="360" w:lineRule="exact"/>
        <w:ind w:firstLine="420" w:firstLineChars="200"/>
        <w:textAlignment w:val="auto"/>
        <w:rPr>
          <w:rFonts w:hint="eastAsia" w:ascii="宋体" w:hAnsi="Times New Roman" w:eastAsia="宋体" w:cs="Times New Roman"/>
          <w:kern w:val="0"/>
          <w:sz w:val="21"/>
          <w:szCs w:val="22"/>
          <w:lang w:val="en-US" w:eastAsia="zh-CN" w:bidi="ar-SA"/>
        </w:rPr>
      </w:pPr>
      <w:r>
        <w:rPr>
          <w:rFonts w:hint="eastAsia" w:ascii="宋体" w:hAnsi="Times New Roman" w:eastAsia="宋体" w:cs="Times New Roman"/>
          <w:kern w:val="0"/>
          <w:sz w:val="21"/>
          <w:szCs w:val="22"/>
          <w:lang w:val="en-US" w:eastAsia="zh-CN" w:bidi="ar-SA"/>
        </w:rPr>
        <w:t>有序充电桩应具备必要的信息安全防护手段，包含但不限于访问控制、口令认证、数据加密（建加密库，通过软加密）等。数据软加密通信过程与5.2.4一致。</w:t>
      </w:r>
    </w:p>
    <w:p>
      <w:pPr>
        <w:pStyle w:val="2"/>
        <w:keepNext w:val="0"/>
        <w:keepLines w:val="0"/>
        <w:numPr>
          <w:ilvl w:val="2"/>
          <w:numId w:val="6"/>
        </w:numPr>
        <w:spacing w:before="158" w:beforeLines="50" w:after="158" w:afterLines="50" w:line="240" w:lineRule="auto"/>
        <w:rPr>
          <w:rFonts w:ascii="黑体" w:hAnsi="黑体" w:eastAsia="黑体" w:cs="黑体"/>
          <w:b w:val="0"/>
          <w:bCs/>
          <w:sz w:val="21"/>
          <w:szCs w:val="21"/>
        </w:rPr>
      </w:pPr>
      <w:bookmarkStart w:id="187" w:name="_Toc12"/>
      <w:bookmarkStart w:id="188" w:name="_Toc4502"/>
      <w:r>
        <w:rPr>
          <w:rFonts w:hint="eastAsia" w:ascii="黑体" w:hAnsi="黑体" w:eastAsia="黑体" w:cs="黑体"/>
          <w:b w:val="0"/>
          <w:bCs/>
          <w:sz w:val="21"/>
          <w:szCs w:val="21"/>
        </w:rPr>
        <w:t>有序调节要求</w:t>
      </w:r>
      <w:bookmarkEnd w:id="187"/>
      <w:bookmarkEnd w:id="188"/>
    </w:p>
    <w:p>
      <w:pPr>
        <w:pStyle w:val="2"/>
        <w:keepNext w:val="0"/>
        <w:keepLines w:val="0"/>
        <w:numPr>
          <w:ilvl w:val="3"/>
          <w:numId w:val="6"/>
        </w:numPr>
        <w:spacing w:before="0" w:after="0" w:line="240" w:lineRule="auto"/>
        <w:rPr>
          <w:rFonts w:ascii="宋体" w:hAnsi="宋体" w:cs="宋体"/>
          <w:b w:val="0"/>
          <w:bCs/>
          <w:sz w:val="21"/>
          <w:szCs w:val="21"/>
        </w:rPr>
      </w:pPr>
      <w:bookmarkStart w:id="189" w:name="_Toc20683"/>
      <w:bookmarkStart w:id="190" w:name="_Toc21730"/>
      <w:r>
        <w:rPr>
          <w:rFonts w:hint="eastAsia" w:ascii="宋体" w:hAnsi="Times New Roman" w:eastAsia="宋体" w:cs="Times New Roman"/>
          <w:b w:val="0"/>
          <w:kern w:val="0"/>
          <w:sz w:val="21"/>
          <w:szCs w:val="22"/>
          <w:lang w:val="en-US" w:eastAsia="zh-CN" w:bidi="ar-SA"/>
        </w:rPr>
        <w:t>交流有序充电桩应能根据有序充电管理系统和有序充电管理终端下发的负荷调节指令，1s内调整PWM信号的占空比，功率和占空比值对应关系满足GB/T18487.1中相关要求。</w:t>
      </w:r>
      <w:bookmarkEnd w:id="189"/>
      <w:bookmarkEnd w:id="190"/>
    </w:p>
    <w:p>
      <w:pPr>
        <w:pStyle w:val="2"/>
        <w:keepNext w:val="0"/>
        <w:keepLines w:val="0"/>
        <w:numPr>
          <w:ilvl w:val="3"/>
          <w:numId w:val="6"/>
        </w:numPr>
        <w:spacing w:before="0" w:after="0" w:line="240" w:lineRule="auto"/>
        <w:rPr>
          <w:rFonts w:ascii="宋体" w:hAnsi="宋体" w:cs="宋体"/>
          <w:b w:val="0"/>
          <w:bCs/>
          <w:sz w:val="21"/>
          <w:szCs w:val="21"/>
        </w:rPr>
      </w:pPr>
      <w:bookmarkStart w:id="191" w:name="_Toc5685"/>
      <w:bookmarkStart w:id="192" w:name="_Toc17617"/>
      <w:r>
        <w:rPr>
          <w:rFonts w:hint="eastAsia" w:ascii="宋体" w:hAnsi="宋体" w:cs="宋体"/>
          <w:b w:val="0"/>
          <w:bCs/>
          <w:sz w:val="21"/>
          <w:szCs w:val="21"/>
        </w:rPr>
        <w:t>非车载充电机应能在充电前根据其有序充电管理系统和有序充电管理终端下发的负荷调节指令，调整其最大充电能力，满足GB/T 27930协议要求。在充电中接受功率调节指令，输出功率下降的响应时间应≤ 3s，输出功率上升的响应时间应 ≤15s。</w:t>
      </w:r>
      <w:bookmarkEnd w:id="191"/>
      <w:bookmarkEnd w:id="192"/>
    </w:p>
    <w:p>
      <w:pPr>
        <w:pStyle w:val="2"/>
        <w:keepNext/>
        <w:keepLines/>
        <w:pageBreakBefore w:val="0"/>
        <w:widowControl/>
        <w:numPr>
          <w:ilvl w:val="0"/>
          <w:numId w:val="6"/>
        </w:numPr>
        <w:kinsoku/>
        <w:wordWrap/>
        <w:overflowPunct/>
        <w:topLinePunct w:val="0"/>
        <w:autoSpaceDE/>
        <w:autoSpaceDN/>
        <w:bidi w:val="0"/>
        <w:adjustRightInd/>
        <w:snapToGrid/>
        <w:spacing w:before="317" w:beforeLines="100" w:after="317" w:afterLines="100" w:line="240" w:lineRule="auto"/>
        <w:textAlignment w:val="auto"/>
        <w:rPr>
          <w:rFonts w:hint="eastAsia" w:ascii="黑体" w:hAnsi="黑体" w:eastAsia="黑体" w:cs="黑体"/>
          <w:b w:val="0"/>
          <w:bCs/>
          <w:sz w:val="21"/>
          <w:szCs w:val="21"/>
        </w:rPr>
      </w:pPr>
      <w:bookmarkStart w:id="193" w:name="_Toc6069"/>
      <w:bookmarkStart w:id="194" w:name="_Toc29595_WPSOffice_Level1"/>
      <w:r>
        <w:rPr>
          <w:rFonts w:hint="eastAsia" w:ascii="黑体" w:hAnsi="黑体" w:eastAsia="黑体" w:cs="黑体"/>
          <w:b w:val="0"/>
          <w:bCs/>
          <w:sz w:val="21"/>
          <w:szCs w:val="21"/>
        </w:rPr>
        <w:t>用电信息采集终端技术要求</w:t>
      </w:r>
      <w:bookmarkEnd w:id="193"/>
      <w:bookmarkEnd w:id="194"/>
    </w:p>
    <w:p>
      <w:pPr>
        <w:pStyle w:val="2"/>
        <w:widowControl/>
        <w:numPr>
          <w:ilvl w:val="1"/>
          <w:numId w:val="6"/>
        </w:numPr>
        <w:tabs>
          <w:tab w:val="left" w:pos="0"/>
        </w:tabs>
        <w:spacing w:before="158" w:beforeLines="50" w:after="158" w:afterLines="50" w:line="240" w:lineRule="auto"/>
        <w:rPr>
          <w:rFonts w:ascii="黑体" w:hAnsi="黑体" w:eastAsia="黑体" w:cs="黑体"/>
          <w:b w:val="0"/>
          <w:bCs/>
          <w:sz w:val="21"/>
          <w:szCs w:val="21"/>
        </w:rPr>
      </w:pPr>
      <w:bookmarkStart w:id="195" w:name="_Toc29678"/>
      <w:bookmarkStart w:id="196" w:name="_Toc6746_WPSOffice_Level2"/>
      <w:bookmarkStart w:id="197" w:name="_Toc16469"/>
      <w:bookmarkStart w:id="198" w:name="_Toc90545419"/>
      <w:bookmarkStart w:id="199" w:name="_Toc11352_WPSOffice_Level2"/>
      <w:r>
        <w:rPr>
          <w:rFonts w:hint="eastAsia" w:ascii="黑体" w:hAnsi="黑体" w:eastAsia="黑体" w:cs="黑体"/>
          <w:b w:val="0"/>
          <w:bCs/>
          <w:sz w:val="21"/>
          <w:szCs w:val="21"/>
        </w:rPr>
        <w:t>功能要求</w:t>
      </w:r>
      <w:bookmarkEnd w:id="195"/>
      <w:bookmarkEnd w:id="196"/>
    </w:p>
    <w:bookmarkEnd w:id="197"/>
    <w:bookmarkEnd w:id="198"/>
    <w:p>
      <w:pPr>
        <w:pStyle w:val="2"/>
        <w:widowControl/>
        <w:numPr>
          <w:ilvl w:val="2"/>
          <w:numId w:val="6"/>
        </w:numPr>
        <w:spacing w:before="158" w:beforeLines="50" w:after="158" w:afterLines="50" w:line="240" w:lineRule="auto"/>
        <w:rPr>
          <w:rFonts w:ascii="黑体" w:hAnsi="黑体" w:eastAsia="黑体" w:cs="黑体"/>
          <w:b w:val="0"/>
          <w:bCs/>
          <w:sz w:val="21"/>
          <w:szCs w:val="21"/>
        </w:rPr>
      </w:pPr>
      <w:bookmarkStart w:id="200" w:name="_Toc1501"/>
      <w:bookmarkStart w:id="201" w:name="_Toc31559"/>
      <w:r>
        <w:rPr>
          <w:rFonts w:hint="eastAsia" w:ascii="黑体" w:hAnsi="黑体" w:eastAsia="黑体" w:cs="黑体"/>
          <w:b w:val="0"/>
          <w:bCs/>
          <w:sz w:val="21"/>
          <w:szCs w:val="21"/>
        </w:rPr>
        <w:t>功能的基本要求</w:t>
      </w:r>
      <w:bookmarkEnd w:id="199"/>
      <w:bookmarkEnd w:id="200"/>
      <w:bookmarkEnd w:id="201"/>
    </w:p>
    <w:p>
      <w:pPr>
        <w:pStyle w:val="54"/>
        <w:numPr>
          <w:ilvl w:val="255"/>
          <w:numId w:val="0"/>
        </w:numPr>
        <w:spacing w:before="158" w:beforeLines="50" w:after="158" w:afterLines="50"/>
        <w:ind w:left="780" w:leftChars="200"/>
        <w:outlineLvl w:val="9"/>
        <w:rPr>
          <w:rFonts w:ascii="Times New Roman"/>
        </w:rPr>
      </w:pPr>
      <w:r>
        <w:rPr>
          <w:rFonts w:hint="eastAsia"/>
        </w:rPr>
        <w:t>用电信息采集终端</w:t>
      </w:r>
      <w:r>
        <w:t>应</w:t>
      </w:r>
      <w:r>
        <w:rPr>
          <w:rFonts w:hint="eastAsia"/>
        </w:rPr>
        <w:t>满足DL/T 698.45《面向对象的用电信息数据交换协议》的要求。</w:t>
      </w:r>
    </w:p>
    <w:p>
      <w:pPr>
        <w:pStyle w:val="2"/>
        <w:widowControl/>
        <w:numPr>
          <w:ilvl w:val="2"/>
          <w:numId w:val="6"/>
        </w:numPr>
        <w:spacing w:before="158" w:beforeLines="50" w:after="158" w:afterLines="50" w:line="240" w:lineRule="auto"/>
        <w:rPr>
          <w:rFonts w:ascii="黑体" w:hAnsi="黑体" w:eastAsia="黑体" w:cs="黑体"/>
          <w:b w:val="0"/>
          <w:bCs/>
          <w:sz w:val="21"/>
          <w:szCs w:val="21"/>
        </w:rPr>
      </w:pPr>
      <w:bookmarkStart w:id="202" w:name="_Toc5796"/>
      <w:bookmarkStart w:id="203" w:name="_Toc27606"/>
      <w:r>
        <w:rPr>
          <w:rFonts w:hint="eastAsia" w:ascii="黑体" w:hAnsi="黑体" w:eastAsia="黑体" w:cs="黑体"/>
          <w:b w:val="0"/>
          <w:bCs/>
          <w:sz w:val="21"/>
          <w:szCs w:val="21"/>
        </w:rPr>
        <w:t>远程有序充电控制</w:t>
      </w:r>
      <w:bookmarkEnd w:id="202"/>
      <w:bookmarkEnd w:id="203"/>
    </w:p>
    <w:p>
      <w:pPr>
        <w:keepNext w:val="0"/>
        <w:keepLines w:val="0"/>
        <w:pageBreakBefore w:val="0"/>
        <w:widowControl/>
        <w:kinsoku/>
        <w:wordWrap/>
        <w:overflowPunct/>
        <w:topLinePunct w:val="0"/>
        <w:autoSpaceDE w:val="0"/>
        <w:autoSpaceDN w:val="0"/>
        <w:bidi w:val="0"/>
        <w:adjustRightInd/>
        <w:snapToGrid/>
        <w:spacing w:line="360" w:lineRule="exact"/>
        <w:ind w:firstLine="420" w:firstLineChars="200"/>
        <w:textAlignment w:val="auto"/>
        <w:rPr>
          <w:rFonts w:hint="eastAsia" w:ascii="宋体" w:hAnsi="Times New Roman" w:eastAsia="宋体" w:cs="Times New Roman"/>
          <w:kern w:val="0"/>
          <w:sz w:val="21"/>
          <w:szCs w:val="22"/>
          <w:lang w:val="en-US" w:eastAsia="zh-CN" w:bidi="ar-SA"/>
        </w:rPr>
      </w:pPr>
      <w:r>
        <w:rPr>
          <w:rFonts w:hint="eastAsia" w:ascii="宋体" w:hAnsi="Times New Roman" w:eastAsia="宋体" w:cs="Times New Roman"/>
          <w:kern w:val="0"/>
          <w:sz w:val="21"/>
          <w:szCs w:val="22"/>
          <w:lang w:val="en-US" w:eastAsia="zh-CN" w:bidi="ar-SA"/>
        </w:rPr>
        <w:t>用电信息采集终端应能接收有序充电管理系统下发的有序充电控制策略指令，按照有序充电控制策略下发控制指令到有序充电设备，并能监控有序充电设备的执行状态，评估有序充电设备的执行效果，根据执行的效果实时调整控制指令。</w:t>
      </w:r>
    </w:p>
    <w:p>
      <w:pPr>
        <w:pStyle w:val="2"/>
        <w:widowControl/>
        <w:numPr>
          <w:ilvl w:val="2"/>
          <w:numId w:val="6"/>
        </w:numPr>
        <w:spacing w:before="158" w:beforeLines="50" w:after="158" w:afterLines="50" w:line="240" w:lineRule="auto"/>
        <w:rPr>
          <w:rFonts w:hint="eastAsia" w:ascii="宋体" w:hAnsi="Times New Roman" w:eastAsia="宋体" w:cs="Times New Roman"/>
          <w:kern w:val="2"/>
          <w:sz w:val="21"/>
          <w:szCs w:val="24"/>
          <w:lang w:val="en-US" w:eastAsia="zh-CN" w:bidi="ar-SA"/>
        </w:rPr>
      </w:pPr>
      <w:bookmarkStart w:id="204" w:name="_Toc8850"/>
      <w:bookmarkStart w:id="205" w:name="_Toc24580"/>
      <w:r>
        <w:rPr>
          <w:rFonts w:hint="eastAsia" w:ascii="黑体" w:hAnsi="黑体" w:eastAsia="黑体" w:cs="黑体"/>
          <w:b w:val="0"/>
          <w:bCs/>
          <w:sz w:val="21"/>
          <w:szCs w:val="21"/>
        </w:rPr>
        <w:t>本地有序充电控制</w:t>
      </w:r>
      <w:bookmarkEnd w:id="204"/>
      <w:bookmarkEnd w:id="205"/>
    </w:p>
    <w:p>
      <w:pPr>
        <w:autoSpaceDE w:val="0"/>
        <w:autoSpaceDN w:val="0"/>
        <w:ind w:firstLine="420" w:firstLineChars="200"/>
        <w:jc w:val="both"/>
        <w:rPr>
          <w:rFonts w:hint="eastAsia" w:ascii="宋体" w:hAnsi="Times New Roman" w:eastAsia="宋体" w:cs="Times New Roman"/>
          <w:sz w:val="21"/>
          <w:szCs w:val="22"/>
          <w:lang w:val="en-US" w:eastAsia="zh-CN" w:bidi="ar-SA"/>
        </w:rPr>
      </w:pPr>
      <w:r>
        <w:rPr>
          <w:rFonts w:hint="eastAsia" w:ascii="宋体" w:hAnsi="Times New Roman" w:eastAsia="宋体" w:cs="Times New Roman"/>
          <w:sz w:val="21"/>
          <w:szCs w:val="22"/>
          <w:lang w:val="en-US" w:eastAsia="zh-CN" w:bidi="ar-SA"/>
        </w:rPr>
        <w:t>用电信息采集终端可根据台区实际的负荷情况，本地生成有序充电控制策略。并按照有序充电控制策略下发控制指令到有序充电设备，并能监控有序充电设备的执行状态，评估有序充电设备的执行效果，根据执行的效果实时调整控制指令，实现本地有序充电控制。</w:t>
      </w:r>
    </w:p>
    <w:p>
      <w:pPr>
        <w:pStyle w:val="2"/>
        <w:widowControl/>
        <w:numPr>
          <w:ilvl w:val="2"/>
          <w:numId w:val="6"/>
        </w:numPr>
        <w:spacing w:before="158" w:beforeLines="50" w:after="158" w:afterLines="50" w:line="240" w:lineRule="auto"/>
        <w:rPr>
          <w:rFonts w:ascii="黑体" w:hAnsi="黑体" w:eastAsia="黑体" w:cs="黑体"/>
          <w:b w:val="0"/>
          <w:bCs/>
          <w:sz w:val="21"/>
          <w:szCs w:val="21"/>
        </w:rPr>
      </w:pPr>
      <w:bookmarkStart w:id="206" w:name="_Toc25197"/>
      <w:r>
        <w:rPr>
          <w:rFonts w:hint="eastAsia" w:ascii="黑体" w:hAnsi="黑体" w:eastAsia="黑体" w:cs="黑体"/>
          <w:b w:val="0"/>
          <w:bCs/>
          <w:sz w:val="21"/>
          <w:szCs w:val="21"/>
        </w:rPr>
        <w:t>告警与事件处理</w:t>
      </w:r>
      <w:bookmarkEnd w:id="206"/>
    </w:p>
    <w:p>
      <w:pPr>
        <w:rPr>
          <w:rFonts w:hint="eastAsia" w:ascii="宋体" w:hAnsi="Times New Roman" w:eastAsia="宋体" w:cs="Times New Roman"/>
          <w:kern w:val="0"/>
          <w:sz w:val="21"/>
          <w:szCs w:val="22"/>
          <w:lang w:val="en-US" w:eastAsia="zh-CN" w:bidi="ar-SA"/>
        </w:rPr>
      </w:pPr>
      <w:bookmarkStart w:id="207" w:name="_Toc25198_WPSOffice_Level2"/>
      <w:r>
        <w:rPr>
          <w:rFonts w:hint="eastAsia" w:ascii="黑体" w:hAnsi="黑体" w:eastAsia="黑体" w:cs="黑体"/>
        </w:rPr>
        <w:t xml:space="preserve">6.1.4.1 </w:t>
      </w:r>
      <w:r>
        <w:rPr>
          <w:rFonts w:hint="eastAsia"/>
        </w:rPr>
        <w:t>用</w:t>
      </w:r>
      <w:r>
        <w:rPr>
          <w:rFonts w:hint="eastAsia" w:ascii="宋体" w:hAnsi="Times New Roman" w:eastAsia="宋体" w:cs="Times New Roman"/>
          <w:kern w:val="0"/>
          <w:sz w:val="21"/>
          <w:szCs w:val="22"/>
          <w:lang w:val="en-US" w:eastAsia="zh-CN" w:bidi="ar-SA"/>
        </w:rPr>
        <w:t>电信息采集终端应具备故障检测及告警功能，当出现停上电、通信异常、台区重过载，应实时产生告警事件并上报给有序充电管理系统。</w:t>
      </w:r>
    </w:p>
    <w:p>
      <w:pPr>
        <w:pStyle w:val="41"/>
        <w:ind w:left="0" w:leftChars="0" w:firstLine="0" w:firstLineChars="0"/>
        <w:rPr>
          <w:rFonts w:hint="eastAsia" w:ascii="宋体" w:hAnsi="宋体" w:eastAsia="宋体" w:cs="宋体"/>
          <w:b w:val="0"/>
          <w:bCs/>
          <w:kern w:val="44"/>
          <w:sz w:val="21"/>
          <w:szCs w:val="21"/>
          <w:lang w:val="en-US" w:eastAsia="zh-CN" w:bidi="ar-SA"/>
        </w:rPr>
      </w:pPr>
      <w:r>
        <w:rPr>
          <w:rFonts w:hint="eastAsia" w:ascii="黑体" w:hAnsi="黑体" w:eastAsia="黑体" w:cs="黑体"/>
          <w:b w:val="0"/>
          <w:bCs/>
          <w:kern w:val="44"/>
          <w:sz w:val="21"/>
          <w:szCs w:val="21"/>
          <w:lang w:val="en-US" w:eastAsia="zh-CN" w:bidi="ar-SA"/>
        </w:rPr>
        <w:t xml:space="preserve">6.1.4.2 </w:t>
      </w:r>
      <w:r>
        <w:rPr>
          <w:rFonts w:hint="eastAsia" w:ascii="宋体" w:hAnsi="宋体" w:eastAsia="宋体" w:cs="宋体"/>
          <w:b w:val="0"/>
          <w:bCs/>
          <w:kern w:val="44"/>
          <w:sz w:val="21"/>
          <w:szCs w:val="21"/>
          <w:lang w:val="en-US" w:eastAsia="zh-CN" w:bidi="ar-SA"/>
        </w:rPr>
        <w:t>用电信息采集终端需具备告警事件的记录和管理功能，支持告警事件的查询和分析。</w:t>
      </w:r>
    </w:p>
    <w:p>
      <w:pPr>
        <w:ind w:firstLine="420" w:firstLineChars="200"/>
      </w:pPr>
    </w:p>
    <w:p>
      <w:pPr>
        <w:pStyle w:val="2"/>
        <w:widowControl/>
        <w:numPr>
          <w:ilvl w:val="1"/>
          <w:numId w:val="6"/>
        </w:numPr>
        <w:tabs>
          <w:tab w:val="left" w:pos="0"/>
        </w:tabs>
        <w:spacing w:before="158" w:beforeLines="50" w:after="158" w:afterLines="50" w:line="240" w:lineRule="auto"/>
        <w:rPr>
          <w:rFonts w:ascii="黑体" w:hAnsi="黑体" w:eastAsia="黑体" w:cs="黑体"/>
          <w:b w:val="0"/>
          <w:bCs/>
          <w:sz w:val="21"/>
          <w:szCs w:val="21"/>
        </w:rPr>
      </w:pPr>
      <w:bookmarkStart w:id="208" w:name="_Toc27845"/>
      <w:bookmarkStart w:id="209" w:name="_Toc26248_WPSOffice_Level2"/>
      <w:r>
        <w:rPr>
          <w:rFonts w:hint="eastAsia" w:ascii="黑体" w:hAnsi="黑体" w:eastAsia="黑体" w:cs="黑体"/>
          <w:b w:val="0"/>
          <w:bCs/>
          <w:sz w:val="21"/>
          <w:szCs w:val="21"/>
        </w:rPr>
        <w:t>通信要求</w:t>
      </w:r>
      <w:bookmarkEnd w:id="207"/>
      <w:bookmarkEnd w:id="208"/>
      <w:bookmarkEnd w:id="209"/>
    </w:p>
    <w:p>
      <w:pPr>
        <w:pStyle w:val="2"/>
        <w:widowControl/>
        <w:numPr>
          <w:ilvl w:val="2"/>
          <w:numId w:val="6"/>
        </w:numPr>
        <w:spacing w:before="158" w:beforeLines="50" w:after="158" w:afterLines="50" w:line="240" w:lineRule="auto"/>
        <w:rPr>
          <w:rFonts w:ascii="黑体" w:hAnsi="黑体" w:eastAsia="黑体" w:cs="黑体"/>
          <w:b w:val="0"/>
          <w:bCs/>
          <w:sz w:val="21"/>
          <w:szCs w:val="21"/>
        </w:rPr>
      </w:pPr>
      <w:bookmarkStart w:id="210" w:name="_Toc32077"/>
      <w:bookmarkStart w:id="211" w:name="_Toc20852"/>
      <w:r>
        <w:rPr>
          <w:rFonts w:hint="eastAsia" w:ascii="黑体" w:hAnsi="黑体" w:eastAsia="黑体" w:cs="黑体"/>
          <w:b w:val="0"/>
          <w:bCs/>
          <w:sz w:val="21"/>
          <w:szCs w:val="21"/>
        </w:rPr>
        <w:t>通信介质</w:t>
      </w:r>
      <w:bookmarkEnd w:id="210"/>
      <w:bookmarkEnd w:id="211"/>
    </w:p>
    <w:p>
      <w:pPr>
        <w:widowControl/>
        <w:spacing w:line="240" w:lineRule="exact"/>
        <w:ind w:firstLine="420"/>
        <w:jc w:val="left"/>
        <w:rPr>
          <w:rFonts w:ascii="宋体"/>
          <w:kern w:val="0"/>
          <w:szCs w:val="20"/>
        </w:rPr>
      </w:pPr>
      <w:r>
        <w:rPr>
          <w:rFonts w:hint="eastAsia" w:ascii="宋体"/>
          <w:kern w:val="0"/>
          <w:szCs w:val="20"/>
        </w:rPr>
        <w:t>通信介质可采用无线、有线、电力线载波、光纤等。</w:t>
      </w:r>
    </w:p>
    <w:p>
      <w:pPr>
        <w:pStyle w:val="2"/>
        <w:widowControl/>
        <w:numPr>
          <w:ilvl w:val="2"/>
          <w:numId w:val="6"/>
        </w:numPr>
        <w:spacing w:before="158" w:beforeLines="50" w:after="158" w:afterLines="50" w:line="240" w:lineRule="auto"/>
        <w:rPr>
          <w:rFonts w:ascii="黑体" w:hAnsi="黑体" w:eastAsia="黑体" w:cs="黑体"/>
          <w:b w:val="0"/>
          <w:bCs/>
          <w:sz w:val="21"/>
          <w:szCs w:val="21"/>
        </w:rPr>
      </w:pPr>
      <w:bookmarkStart w:id="212" w:name="_Toc23696"/>
      <w:bookmarkStart w:id="213" w:name="_Toc12022"/>
      <w:r>
        <w:rPr>
          <w:rFonts w:hint="eastAsia" w:ascii="黑体" w:hAnsi="黑体" w:eastAsia="黑体" w:cs="黑体"/>
          <w:b w:val="0"/>
          <w:bCs/>
          <w:sz w:val="21"/>
          <w:szCs w:val="21"/>
        </w:rPr>
        <w:t>通信协议</w:t>
      </w:r>
      <w:bookmarkEnd w:id="212"/>
      <w:bookmarkEnd w:id="213"/>
    </w:p>
    <w:p>
      <w:pPr>
        <w:pStyle w:val="2"/>
        <w:widowControl/>
        <w:numPr>
          <w:ilvl w:val="3"/>
          <w:numId w:val="6"/>
        </w:numPr>
        <w:spacing w:before="0" w:after="0" w:line="240" w:lineRule="auto"/>
        <w:rPr>
          <w:rFonts w:hint="eastAsia" w:ascii="宋体" w:hAnsi="宋体" w:eastAsia="宋体" w:cs="宋体"/>
          <w:b w:val="0"/>
          <w:bCs/>
          <w:sz w:val="21"/>
          <w:szCs w:val="21"/>
        </w:rPr>
      </w:pPr>
      <w:bookmarkStart w:id="214" w:name="_Toc112"/>
      <w:bookmarkStart w:id="215" w:name="_Toc28597"/>
      <w:r>
        <w:rPr>
          <w:rFonts w:hint="eastAsia" w:ascii="宋体" w:hAnsi="宋体" w:eastAsia="宋体" w:cs="宋体"/>
          <w:b w:val="0"/>
          <w:bCs/>
          <w:sz w:val="21"/>
          <w:szCs w:val="21"/>
        </w:rPr>
        <w:t>有序充电设备与用电信息采集终端之间应遵循DBXX/XXX《居民小区有序充电设备与电网交互通信协议》；</w:t>
      </w:r>
      <w:bookmarkEnd w:id="214"/>
      <w:bookmarkEnd w:id="215"/>
    </w:p>
    <w:p>
      <w:pPr>
        <w:pStyle w:val="2"/>
        <w:widowControl/>
        <w:numPr>
          <w:ilvl w:val="3"/>
          <w:numId w:val="6"/>
        </w:numPr>
        <w:spacing w:before="0" w:after="0" w:line="240" w:lineRule="auto"/>
        <w:rPr>
          <w:rFonts w:hint="eastAsia" w:ascii="宋体" w:hAnsi="宋体" w:eastAsia="宋体" w:cs="宋体"/>
          <w:b w:val="0"/>
          <w:bCs/>
          <w:sz w:val="21"/>
          <w:szCs w:val="21"/>
        </w:rPr>
      </w:pPr>
      <w:bookmarkStart w:id="216" w:name="_Toc12043"/>
      <w:bookmarkStart w:id="217" w:name="_Toc28120"/>
      <w:r>
        <w:rPr>
          <w:rFonts w:hint="eastAsia" w:ascii="宋体" w:hAnsi="宋体" w:eastAsia="宋体" w:cs="宋体"/>
          <w:b w:val="0"/>
          <w:bCs/>
          <w:sz w:val="21"/>
          <w:szCs w:val="21"/>
        </w:rPr>
        <w:t>用电信息采集终端与有序充电管理系统之间的通信协议应符合 DL/T 698.45《面向对象的用电信息数据交换协议》。</w:t>
      </w:r>
      <w:bookmarkEnd w:id="216"/>
      <w:bookmarkEnd w:id="217"/>
    </w:p>
    <w:p>
      <w:pPr>
        <w:pStyle w:val="2"/>
        <w:widowControl/>
        <w:numPr>
          <w:ilvl w:val="1"/>
          <w:numId w:val="6"/>
        </w:numPr>
        <w:tabs>
          <w:tab w:val="left" w:pos="0"/>
        </w:tabs>
        <w:spacing w:before="158" w:beforeLines="50" w:after="158" w:afterLines="50" w:line="240" w:lineRule="auto"/>
        <w:rPr>
          <w:rFonts w:ascii="黑体" w:hAnsi="黑体" w:eastAsia="黑体" w:cs="黑体"/>
          <w:b w:val="0"/>
          <w:bCs/>
          <w:sz w:val="21"/>
          <w:szCs w:val="21"/>
        </w:rPr>
      </w:pPr>
      <w:bookmarkStart w:id="218" w:name="_Toc3518"/>
      <w:bookmarkStart w:id="219" w:name="_Toc4779_WPSOffice_Level2"/>
      <w:bookmarkStart w:id="220" w:name="_Toc32489_WPSOffice_Level2"/>
      <w:r>
        <w:rPr>
          <w:rFonts w:hint="eastAsia" w:ascii="黑体" w:hAnsi="黑体" w:eastAsia="黑体" w:cs="黑体"/>
          <w:b w:val="0"/>
          <w:bCs/>
          <w:sz w:val="21"/>
          <w:szCs w:val="21"/>
        </w:rPr>
        <w:t>数据要求</w:t>
      </w:r>
      <w:bookmarkEnd w:id="218"/>
      <w:bookmarkEnd w:id="219"/>
      <w:bookmarkEnd w:id="220"/>
    </w:p>
    <w:p>
      <w:pPr>
        <w:pStyle w:val="2"/>
        <w:widowControl/>
        <w:numPr>
          <w:ilvl w:val="2"/>
          <w:numId w:val="6"/>
        </w:numPr>
        <w:spacing w:before="158" w:beforeLines="50" w:after="158" w:afterLines="50" w:line="240" w:lineRule="auto"/>
        <w:rPr>
          <w:rFonts w:asciiTheme="majorEastAsia" w:hAnsiTheme="majorEastAsia" w:eastAsiaTheme="majorEastAsia" w:cstheme="majorEastAsia"/>
        </w:rPr>
      </w:pPr>
      <w:bookmarkStart w:id="221" w:name="_Toc10880"/>
      <w:bookmarkStart w:id="222" w:name="_Toc3276"/>
      <w:r>
        <w:rPr>
          <w:rFonts w:hint="eastAsia" w:ascii="宋体" w:hAnsi="宋体" w:cs="宋体"/>
          <w:b w:val="0"/>
          <w:bCs/>
          <w:sz w:val="21"/>
          <w:szCs w:val="21"/>
        </w:rPr>
        <w:t>用电信息采集终端数据明细</w:t>
      </w:r>
      <w:bookmarkEnd w:id="221"/>
      <w:bookmarkEnd w:id="222"/>
    </w:p>
    <w:p>
      <w:pPr>
        <w:pStyle w:val="95"/>
        <w:numPr>
          <w:ilvl w:val="0"/>
          <w:numId w:val="0"/>
        </w:numPr>
        <w:jc w:val="center"/>
        <w:rPr>
          <w:rFonts w:hint="eastAsia" w:ascii="黑体" w:hAnsi="黑体" w:eastAsia="黑体" w:cs="黑体"/>
          <w:sz w:val="21"/>
          <w:lang w:val="en-US" w:eastAsia="zh-CN" w:bidi="ar-SA"/>
        </w:rPr>
      </w:pPr>
      <w:r>
        <w:rPr>
          <w:rFonts w:hint="eastAsia" w:ascii="黑体" w:hAnsi="黑体" w:eastAsia="黑体" w:cs="黑体"/>
          <w:sz w:val="21"/>
          <w:lang w:val="en-US" w:eastAsia="zh-CN" w:bidi="ar-SA"/>
        </w:rPr>
        <w:t>表4 用电信息采集终端数据明细表</w:t>
      </w:r>
    </w:p>
    <w:tbl>
      <w:tblPr>
        <w:tblStyle w:val="38"/>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1613"/>
        <w:gridCol w:w="1338"/>
        <w:gridCol w:w="1674"/>
        <w:gridCol w:w="3208"/>
        <w:gridCol w:w="10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898"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序号</w:t>
            </w:r>
          </w:p>
        </w:tc>
        <w:tc>
          <w:tcPr>
            <w:tcW w:w="161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设备类型</w:t>
            </w:r>
          </w:p>
        </w:tc>
        <w:tc>
          <w:tcPr>
            <w:tcW w:w="1338"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数据类</w:t>
            </w:r>
          </w:p>
        </w:tc>
        <w:tc>
          <w:tcPr>
            <w:tcW w:w="1674"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数据项</w:t>
            </w:r>
          </w:p>
        </w:tc>
        <w:tc>
          <w:tcPr>
            <w:tcW w:w="3208"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采集方式</w:t>
            </w:r>
          </w:p>
        </w:tc>
        <w:tc>
          <w:tcPr>
            <w:tcW w:w="1076"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频度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exact"/>
        </w:trPr>
        <w:tc>
          <w:tcPr>
            <w:tcW w:w="898" w:type="dxa"/>
            <w:vMerge w:val="restart"/>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1</w:t>
            </w:r>
          </w:p>
        </w:tc>
        <w:tc>
          <w:tcPr>
            <w:tcW w:w="1613" w:type="dxa"/>
            <w:vMerge w:val="restart"/>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有序充电桩</w:t>
            </w:r>
          </w:p>
        </w:tc>
        <w:tc>
          <w:tcPr>
            <w:tcW w:w="1338" w:type="dxa"/>
            <w:vMerge w:val="restart"/>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变量类</w:t>
            </w:r>
          </w:p>
        </w:tc>
        <w:tc>
          <w:tcPr>
            <w:tcW w:w="1674"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受控状态</w:t>
            </w:r>
          </w:p>
        </w:tc>
        <w:tc>
          <w:tcPr>
            <w:tcW w:w="3208"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有序充电管理系统召测</w:t>
            </w:r>
          </w:p>
        </w:tc>
        <w:tc>
          <w:tcPr>
            <w:tcW w:w="1076"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exact"/>
        </w:trPr>
        <w:tc>
          <w:tcPr>
            <w:tcW w:w="898" w:type="dxa"/>
            <w:vMerge w:val="continue"/>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3"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338"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74"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时间</w:t>
            </w:r>
          </w:p>
        </w:tc>
        <w:tc>
          <w:tcPr>
            <w:tcW w:w="3208"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日采集任务</w:t>
            </w:r>
          </w:p>
        </w:tc>
        <w:tc>
          <w:tcPr>
            <w:tcW w:w="1076"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898" w:type="dxa"/>
            <w:vMerge w:val="continue"/>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3"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338" w:type="dxa"/>
            <w:vMerge w:val="restart"/>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控制类</w:t>
            </w:r>
          </w:p>
        </w:tc>
        <w:tc>
          <w:tcPr>
            <w:tcW w:w="1674"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时段调控指令</w:t>
            </w:r>
          </w:p>
        </w:tc>
        <w:tc>
          <w:tcPr>
            <w:tcW w:w="3208"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有序充电管理系统控制</w:t>
            </w:r>
          </w:p>
        </w:tc>
        <w:tc>
          <w:tcPr>
            <w:tcW w:w="1076"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898" w:type="dxa"/>
            <w:vMerge w:val="continue"/>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3"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338"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74"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功率调控指令</w:t>
            </w:r>
          </w:p>
        </w:tc>
        <w:tc>
          <w:tcPr>
            <w:tcW w:w="3208"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有序充电管理系统控制</w:t>
            </w:r>
          </w:p>
        </w:tc>
        <w:tc>
          <w:tcPr>
            <w:tcW w:w="1076"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898" w:type="dxa"/>
            <w:vMerge w:val="continue"/>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3"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338" w:type="dxa"/>
            <w:vMerge w:val="restart"/>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事件类</w:t>
            </w:r>
          </w:p>
        </w:tc>
        <w:tc>
          <w:tcPr>
            <w:tcW w:w="1674"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停上电事件</w:t>
            </w:r>
          </w:p>
        </w:tc>
        <w:tc>
          <w:tcPr>
            <w:tcW w:w="3208"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事件采集任务</w:t>
            </w:r>
          </w:p>
        </w:tc>
        <w:tc>
          <w:tcPr>
            <w:tcW w:w="1076"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15分钟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898" w:type="dxa"/>
            <w:vMerge w:val="continue"/>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3"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338"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74"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启停事件</w:t>
            </w:r>
          </w:p>
        </w:tc>
        <w:tc>
          <w:tcPr>
            <w:tcW w:w="3208"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事件采集任务</w:t>
            </w:r>
          </w:p>
        </w:tc>
        <w:tc>
          <w:tcPr>
            <w:tcW w:w="1076"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15分钟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9" w:hRule="exact"/>
        </w:trPr>
        <w:tc>
          <w:tcPr>
            <w:tcW w:w="898" w:type="dxa"/>
            <w:vMerge w:val="continue"/>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3"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338" w:type="dxa"/>
            <w:vMerge w:val="restart"/>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参数类</w:t>
            </w:r>
          </w:p>
        </w:tc>
        <w:tc>
          <w:tcPr>
            <w:tcW w:w="1674"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额定功率</w:t>
            </w:r>
          </w:p>
        </w:tc>
        <w:tc>
          <w:tcPr>
            <w:tcW w:w="3208"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有序充电管理系统召测</w:t>
            </w:r>
          </w:p>
        </w:tc>
        <w:tc>
          <w:tcPr>
            <w:tcW w:w="1076"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8" w:hRule="exact"/>
        </w:trPr>
        <w:tc>
          <w:tcPr>
            <w:tcW w:w="898" w:type="dxa"/>
            <w:vMerge w:val="continue"/>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3"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338"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74"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通信地址</w:t>
            </w:r>
          </w:p>
        </w:tc>
        <w:tc>
          <w:tcPr>
            <w:tcW w:w="3208"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有序充电管理系统设置对时参数</w:t>
            </w:r>
          </w:p>
        </w:tc>
        <w:tc>
          <w:tcPr>
            <w:tcW w:w="1076"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2" w:hRule="exact"/>
        </w:trPr>
        <w:tc>
          <w:tcPr>
            <w:tcW w:w="898" w:type="dxa"/>
            <w:vMerge w:val="continue"/>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3"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338"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74"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对时</w:t>
            </w:r>
          </w:p>
        </w:tc>
        <w:tc>
          <w:tcPr>
            <w:tcW w:w="3208"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有序充电管理系统设置对时参数</w:t>
            </w:r>
          </w:p>
        </w:tc>
        <w:tc>
          <w:tcPr>
            <w:tcW w:w="1076"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exact"/>
        </w:trPr>
        <w:tc>
          <w:tcPr>
            <w:tcW w:w="898" w:type="dxa"/>
            <w:vMerge w:val="continue"/>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3"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338"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74"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生产厂家信息</w:t>
            </w:r>
          </w:p>
        </w:tc>
        <w:tc>
          <w:tcPr>
            <w:tcW w:w="3208"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有序充电管理系统召测</w:t>
            </w:r>
          </w:p>
        </w:tc>
        <w:tc>
          <w:tcPr>
            <w:tcW w:w="1076"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898" w:type="dxa"/>
            <w:vMerge w:val="restart"/>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2</w:t>
            </w:r>
          </w:p>
        </w:tc>
        <w:tc>
          <w:tcPr>
            <w:tcW w:w="1613" w:type="dxa"/>
            <w:vMerge w:val="restart"/>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有序充电控制单元</w:t>
            </w:r>
          </w:p>
        </w:tc>
        <w:tc>
          <w:tcPr>
            <w:tcW w:w="1338" w:type="dxa"/>
            <w:vMerge w:val="restart"/>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变量类</w:t>
            </w:r>
          </w:p>
          <w:p>
            <w:pPr>
              <w:widowControl/>
              <w:adjustRightInd w:val="0"/>
              <w:spacing w:line="240" w:lineRule="auto"/>
              <w:jc w:val="center"/>
              <w:rPr>
                <w:rFonts w:hint="eastAsia" w:ascii="Times New Roman" w:hAnsi="Times New Roman" w:eastAsia="宋体" w:cs="Times New Roman"/>
                <w:color w:val="000000"/>
                <w:kern w:val="0"/>
                <w:sz w:val="18"/>
                <w:szCs w:val="21"/>
              </w:rPr>
            </w:pPr>
          </w:p>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74"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受控状态</w:t>
            </w:r>
          </w:p>
        </w:tc>
        <w:tc>
          <w:tcPr>
            <w:tcW w:w="3208"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有序充电管理系统召测</w:t>
            </w:r>
          </w:p>
        </w:tc>
        <w:tc>
          <w:tcPr>
            <w:tcW w:w="1076"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898" w:type="dxa"/>
            <w:vMerge w:val="continue"/>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3"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338"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74"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时间</w:t>
            </w:r>
          </w:p>
        </w:tc>
        <w:tc>
          <w:tcPr>
            <w:tcW w:w="3208"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日采集任务</w:t>
            </w:r>
          </w:p>
        </w:tc>
        <w:tc>
          <w:tcPr>
            <w:tcW w:w="1076"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898" w:type="dxa"/>
            <w:vMerge w:val="continue"/>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3"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338" w:type="dxa"/>
            <w:vMerge w:val="restart"/>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控制类</w:t>
            </w:r>
          </w:p>
          <w:p>
            <w:pPr>
              <w:widowControl/>
              <w:adjustRightInd w:val="0"/>
              <w:spacing w:line="240" w:lineRule="auto"/>
              <w:jc w:val="center"/>
              <w:rPr>
                <w:rFonts w:hint="eastAsia" w:ascii="Times New Roman" w:hAnsi="Times New Roman" w:eastAsia="宋体" w:cs="Times New Roman"/>
                <w:color w:val="000000"/>
                <w:kern w:val="0"/>
                <w:sz w:val="18"/>
                <w:szCs w:val="21"/>
              </w:rPr>
            </w:pPr>
          </w:p>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74"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时段调控指令</w:t>
            </w:r>
          </w:p>
        </w:tc>
        <w:tc>
          <w:tcPr>
            <w:tcW w:w="3208"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有序充电管理系统控制</w:t>
            </w:r>
          </w:p>
        </w:tc>
        <w:tc>
          <w:tcPr>
            <w:tcW w:w="1076"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898" w:type="dxa"/>
            <w:vMerge w:val="continue"/>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3"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338"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74"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功率调控指令</w:t>
            </w:r>
          </w:p>
        </w:tc>
        <w:tc>
          <w:tcPr>
            <w:tcW w:w="3208"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有序充电管理系统控制</w:t>
            </w:r>
          </w:p>
        </w:tc>
        <w:tc>
          <w:tcPr>
            <w:tcW w:w="1076"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898" w:type="dxa"/>
            <w:vMerge w:val="continue"/>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3"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338" w:type="dxa"/>
            <w:vMerge w:val="restart"/>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事件类</w:t>
            </w:r>
          </w:p>
          <w:p>
            <w:pPr>
              <w:widowControl/>
              <w:adjustRightInd w:val="0"/>
              <w:spacing w:line="240" w:lineRule="auto"/>
              <w:jc w:val="center"/>
              <w:rPr>
                <w:rFonts w:hint="eastAsia" w:ascii="Times New Roman" w:hAnsi="Times New Roman" w:eastAsia="宋体" w:cs="Times New Roman"/>
                <w:color w:val="000000"/>
                <w:kern w:val="0"/>
                <w:sz w:val="18"/>
                <w:szCs w:val="21"/>
              </w:rPr>
            </w:pPr>
          </w:p>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74"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停上电事件</w:t>
            </w:r>
          </w:p>
        </w:tc>
        <w:tc>
          <w:tcPr>
            <w:tcW w:w="3208"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事件采集任务</w:t>
            </w:r>
          </w:p>
        </w:tc>
        <w:tc>
          <w:tcPr>
            <w:tcW w:w="1076"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15分钟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898" w:type="dxa"/>
            <w:vMerge w:val="continue"/>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3"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338"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74"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通信中断事件</w:t>
            </w:r>
          </w:p>
        </w:tc>
        <w:tc>
          <w:tcPr>
            <w:tcW w:w="3208"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事件采集任务</w:t>
            </w:r>
          </w:p>
        </w:tc>
        <w:tc>
          <w:tcPr>
            <w:tcW w:w="1076"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15分钟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2" w:hRule="exact"/>
        </w:trPr>
        <w:tc>
          <w:tcPr>
            <w:tcW w:w="898" w:type="dxa"/>
            <w:vMerge w:val="continue"/>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3"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338"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74"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启停事件</w:t>
            </w:r>
          </w:p>
        </w:tc>
        <w:tc>
          <w:tcPr>
            <w:tcW w:w="3208"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事件采集任务</w:t>
            </w:r>
          </w:p>
        </w:tc>
        <w:tc>
          <w:tcPr>
            <w:tcW w:w="1076"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15分钟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898" w:type="dxa"/>
            <w:vMerge w:val="continue"/>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3"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338" w:type="dxa"/>
            <w:vMerge w:val="restart"/>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参数类</w:t>
            </w:r>
          </w:p>
          <w:p>
            <w:pPr>
              <w:widowControl/>
              <w:adjustRightInd w:val="0"/>
              <w:spacing w:line="240" w:lineRule="auto"/>
              <w:jc w:val="center"/>
              <w:rPr>
                <w:rFonts w:hint="eastAsia" w:ascii="Times New Roman" w:hAnsi="Times New Roman" w:eastAsia="宋体" w:cs="Times New Roman"/>
                <w:color w:val="000000"/>
                <w:kern w:val="0"/>
                <w:sz w:val="18"/>
                <w:szCs w:val="21"/>
              </w:rPr>
            </w:pPr>
          </w:p>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74"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额定功率</w:t>
            </w:r>
          </w:p>
        </w:tc>
        <w:tc>
          <w:tcPr>
            <w:tcW w:w="3208"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有序充电管理系统召测</w:t>
            </w:r>
          </w:p>
        </w:tc>
        <w:tc>
          <w:tcPr>
            <w:tcW w:w="1076"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8" w:hRule="exact"/>
        </w:trPr>
        <w:tc>
          <w:tcPr>
            <w:tcW w:w="898" w:type="dxa"/>
            <w:vMerge w:val="continue"/>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3"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338"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74"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对时</w:t>
            </w:r>
          </w:p>
        </w:tc>
        <w:tc>
          <w:tcPr>
            <w:tcW w:w="3208"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有序充电管理系统设置对时参数</w:t>
            </w:r>
          </w:p>
        </w:tc>
        <w:tc>
          <w:tcPr>
            <w:tcW w:w="1076"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exact"/>
        </w:trPr>
        <w:tc>
          <w:tcPr>
            <w:tcW w:w="898" w:type="dxa"/>
            <w:vMerge w:val="continue"/>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3"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338"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74"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通信地址</w:t>
            </w:r>
          </w:p>
        </w:tc>
        <w:tc>
          <w:tcPr>
            <w:tcW w:w="3208"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有序充电管理系统召测</w:t>
            </w:r>
          </w:p>
        </w:tc>
        <w:tc>
          <w:tcPr>
            <w:tcW w:w="1076"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898" w:type="dxa"/>
            <w:vMerge w:val="continue"/>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3"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338"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74"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生产厂家信息</w:t>
            </w:r>
          </w:p>
        </w:tc>
        <w:tc>
          <w:tcPr>
            <w:tcW w:w="3208"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有序充电管理系统召测</w:t>
            </w:r>
          </w:p>
        </w:tc>
        <w:tc>
          <w:tcPr>
            <w:tcW w:w="1076"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exact"/>
        </w:trPr>
        <w:tc>
          <w:tcPr>
            <w:tcW w:w="898" w:type="dxa"/>
            <w:vMerge w:val="restart"/>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3</w:t>
            </w:r>
          </w:p>
        </w:tc>
        <w:tc>
          <w:tcPr>
            <w:tcW w:w="1613" w:type="dxa"/>
            <w:vMerge w:val="restart"/>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电能表</w:t>
            </w:r>
          </w:p>
        </w:tc>
        <w:tc>
          <w:tcPr>
            <w:tcW w:w="1338" w:type="dxa"/>
            <w:vMerge w:val="restart"/>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变量类</w:t>
            </w:r>
          </w:p>
        </w:tc>
        <w:tc>
          <w:tcPr>
            <w:tcW w:w="1674"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电压</w:t>
            </w:r>
          </w:p>
        </w:tc>
        <w:tc>
          <w:tcPr>
            <w:tcW w:w="3208"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分钟采集任务</w:t>
            </w:r>
          </w:p>
        </w:tc>
        <w:tc>
          <w:tcPr>
            <w:tcW w:w="1076"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15分钟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898" w:type="dxa"/>
            <w:vMerge w:val="continue"/>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3" w:type="dxa"/>
            <w:vMerge w:val="continue"/>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338" w:type="dxa"/>
            <w:vMerge w:val="continue"/>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74"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电流</w:t>
            </w:r>
          </w:p>
        </w:tc>
        <w:tc>
          <w:tcPr>
            <w:tcW w:w="3208"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分钟采集任务</w:t>
            </w:r>
          </w:p>
        </w:tc>
        <w:tc>
          <w:tcPr>
            <w:tcW w:w="1076"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15分钟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898" w:type="dxa"/>
            <w:vMerge w:val="continue"/>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3" w:type="dxa"/>
            <w:vMerge w:val="continue"/>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338" w:type="dxa"/>
            <w:vMerge w:val="continue"/>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74"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有功功率</w:t>
            </w:r>
          </w:p>
        </w:tc>
        <w:tc>
          <w:tcPr>
            <w:tcW w:w="3208"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分钟采集任务</w:t>
            </w:r>
          </w:p>
        </w:tc>
        <w:tc>
          <w:tcPr>
            <w:tcW w:w="1076"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15分钟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898" w:type="dxa"/>
            <w:vMerge w:val="continue"/>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3" w:type="dxa"/>
            <w:vMerge w:val="continue"/>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338" w:type="dxa"/>
            <w:vMerge w:val="continue"/>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74"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有功示值</w:t>
            </w:r>
          </w:p>
        </w:tc>
        <w:tc>
          <w:tcPr>
            <w:tcW w:w="3208"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分钟采集任务</w:t>
            </w:r>
          </w:p>
        </w:tc>
        <w:tc>
          <w:tcPr>
            <w:tcW w:w="1076"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15分钟</w:t>
            </w:r>
          </w:p>
        </w:tc>
      </w:tr>
    </w:tbl>
    <w:p>
      <w:pPr>
        <w:pStyle w:val="2"/>
        <w:widowControl/>
        <w:numPr>
          <w:ilvl w:val="2"/>
          <w:numId w:val="6"/>
        </w:numPr>
        <w:spacing w:before="158" w:beforeLines="50" w:after="158" w:afterLines="50" w:line="240" w:lineRule="auto"/>
        <w:rPr>
          <w:rFonts w:ascii="黑体" w:hAnsi="黑体" w:eastAsia="黑体" w:cs="黑体"/>
          <w:b w:val="0"/>
          <w:bCs/>
          <w:sz w:val="21"/>
          <w:szCs w:val="21"/>
        </w:rPr>
      </w:pPr>
      <w:bookmarkStart w:id="223" w:name="_Toc19234"/>
      <w:bookmarkStart w:id="224" w:name="_Toc10832"/>
      <w:r>
        <w:rPr>
          <w:rFonts w:hint="eastAsia" w:ascii="黑体" w:hAnsi="黑体" w:eastAsia="黑体" w:cs="黑体"/>
          <w:b w:val="0"/>
          <w:bCs/>
          <w:sz w:val="21"/>
          <w:szCs w:val="21"/>
        </w:rPr>
        <w:t>状态监测要求</w:t>
      </w:r>
      <w:bookmarkEnd w:id="223"/>
      <w:bookmarkEnd w:id="224"/>
    </w:p>
    <w:p>
      <w:pPr>
        <w:autoSpaceDE w:val="0"/>
        <w:autoSpaceDN w:val="0"/>
        <w:ind w:firstLine="420" w:firstLineChars="200"/>
        <w:jc w:val="both"/>
        <w:rPr>
          <w:rFonts w:hint="eastAsia" w:ascii="宋体" w:eastAsia="宋体"/>
          <w:sz w:val="21"/>
          <w:lang w:val="en-US" w:eastAsia="zh-CN" w:bidi="ar-SA"/>
        </w:rPr>
      </w:pPr>
      <w:r>
        <w:rPr>
          <w:rFonts w:hint="eastAsia" w:ascii="宋体" w:eastAsia="宋体"/>
          <w:sz w:val="21"/>
          <w:lang w:val="en-US" w:eastAsia="zh-CN" w:bidi="ar-SA"/>
        </w:rPr>
        <w:t>用电信息采集终端应具备有序充电设备的秒级监控功能，实时监控有序充电设备启停和通信异常等多种状态，按15分钟频率冻结充电过程电压、电流、有功功率、有功示值数据。</w:t>
      </w:r>
    </w:p>
    <w:p>
      <w:pPr>
        <w:autoSpaceDE w:val="0"/>
        <w:autoSpaceDN w:val="0"/>
        <w:ind w:firstLine="420" w:firstLineChars="200"/>
        <w:jc w:val="both"/>
        <w:rPr>
          <w:rFonts w:hint="eastAsia" w:ascii="宋体" w:eastAsia="宋体"/>
          <w:sz w:val="21"/>
          <w:lang w:val="en-US" w:eastAsia="zh-CN" w:bidi="ar-SA"/>
        </w:rPr>
      </w:pPr>
      <w:r>
        <w:rPr>
          <w:rFonts w:hint="eastAsia" w:ascii="宋体" w:eastAsia="宋体"/>
          <w:sz w:val="21"/>
          <w:lang w:val="en-US" w:eastAsia="zh-CN" w:bidi="ar-SA"/>
        </w:rPr>
        <w:t>用电信息采集终端应记录有序充电设备充放电过程中的所有关键数据点，确保数据的完整性、一致性和可追溯性。</w:t>
      </w:r>
    </w:p>
    <w:p>
      <w:pPr>
        <w:pStyle w:val="2"/>
        <w:widowControl/>
        <w:numPr>
          <w:ilvl w:val="1"/>
          <w:numId w:val="6"/>
        </w:numPr>
        <w:tabs>
          <w:tab w:val="left" w:pos="0"/>
        </w:tabs>
        <w:spacing w:before="158" w:beforeLines="50" w:after="158" w:afterLines="50" w:line="240" w:lineRule="auto"/>
        <w:rPr>
          <w:rFonts w:ascii="黑体" w:hAnsi="黑体" w:eastAsia="黑体" w:cs="黑体"/>
          <w:b w:val="0"/>
          <w:bCs/>
          <w:sz w:val="21"/>
          <w:szCs w:val="21"/>
        </w:rPr>
      </w:pPr>
      <w:bookmarkStart w:id="225" w:name="_Toc8499_WPSOffice_Level2"/>
      <w:bookmarkStart w:id="226" w:name="_Toc9835_WPSOffice_Level2"/>
      <w:bookmarkStart w:id="227" w:name="_Toc7406"/>
      <w:r>
        <w:rPr>
          <w:rFonts w:hint="eastAsia" w:ascii="黑体" w:hAnsi="黑体" w:eastAsia="黑体" w:cs="黑体"/>
          <w:b w:val="0"/>
          <w:bCs/>
          <w:sz w:val="21"/>
          <w:szCs w:val="21"/>
        </w:rPr>
        <w:t>有序充电边缘自治</w:t>
      </w:r>
      <w:bookmarkEnd w:id="225"/>
      <w:bookmarkEnd w:id="226"/>
      <w:bookmarkEnd w:id="227"/>
    </w:p>
    <w:p>
      <w:pPr>
        <w:autoSpaceDE w:val="0"/>
        <w:autoSpaceDN w:val="0"/>
        <w:ind w:firstLine="420" w:firstLineChars="200"/>
        <w:jc w:val="both"/>
        <w:rPr>
          <w:rFonts w:hint="eastAsia" w:ascii="宋体" w:eastAsia="宋体"/>
          <w:sz w:val="21"/>
          <w:lang w:val="en-US" w:eastAsia="zh-CN" w:bidi="ar-SA"/>
        </w:rPr>
      </w:pPr>
      <w:r>
        <w:rPr>
          <w:rFonts w:hint="eastAsia" w:ascii="宋体" w:eastAsia="宋体"/>
          <w:sz w:val="21"/>
          <w:lang w:val="en-US" w:eastAsia="zh-CN" w:bidi="ar-SA"/>
        </w:rPr>
        <w:t>用电信息采集终端借助于边缘计算技术，可对台区负载率进行测算，在经有序充电管理系统授权后，可以不依靠有序充电管理系统的控制策略，独立实现对有序充电设备的本地控制。</w:t>
      </w:r>
    </w:p>
    <w:p>
      <w:pPr>
        <w:autoSpaceDE w:val="0"/>
        <w:autoSpaceDN w:val="0"/>
        <w:ind w:firstLine="420" w:firstLineChars="200"/>
        <w:jc w:val="both"/>
        <w:rPr>
          <w:rFonts w:hint="eastAsia" w:ascii="宋体" w:eastAsia="宋体"/>
          <w:sz w:val="21"/>
          <w:lang w:val="en-US" w:eastAsia="zh-CN" w:bidi="ar-SA"/>
        </w:rPr>
      </w:pPr>
      <w:r>
        <w:rPr>
          <w:rFonts w:hint="eastAsia" w:ascii="宋体" w:eastAsia="宋体"/>
          <w:sz w:val="21"/>
          <w:lang w:val="en-US" w:eastAsia="zh-CN" w:bidi="ar-SA"/>
        </w:rPr>
        <w:t>用电信息采集终端通过对台区运行状态进行实时判断，达到控制条件后生成有序充电控制指令并下发至有序充电设备，实现本地控制。</w:t>
      </w:r>
    </w:p>
    <w:p>
      <w:pPr>
        <w:pStyle w:val="2"/>
        <w:widowControl/>
        <w:numPr>
          <w:ilvl w:val="1"/>
          <w:numId w:val="6"/>
        </w:numPr>
        <w:tabs>
          <w:tab w:val="left" w:pos="0"/>
        </w:tabs>
        <w:spacing w:before="158" w:beforeLines="50" w:after="158" w:afterLines="50" w:line="240" w:lineRule="auto"/>
        <w:rPr>
          <w:rFonts w:ascii="黑体" w:hAnsi="黑体" w:eastAsia="黑体" w:cs="黑体"/>
          <w:b w:val="0"/>
          <w:bCs/>
          <w:sz w:val="21"/>
          <w:szCs w:val="21"/>
        </w:rPr>
      </w:pPr>
      <w:bookmarkStart w:id="228" w:name="_Toc21001"/>
      <w:bookmarkStart w:id="229" w:name="_Toc1056_WPSOffice_Level2"/>
      <w:bookmarkStart w:id="230" w:name="_Toc4454_WPSOffice_Level2"/>
      <w:r>
        <w:rPr>
          <w:rFonts w:hint="eastAsia" w:ascii="黑体" w:hAnsi="黑体" w:eastAsia="黑体" w:cs="黑体"/>
          <w:b w:val="0"/>
          <w:bCs/>
          <w:sz w:val="21"/>
          <w:szCs w:val="21"/>
        </w:rPr>
        <w:t>信息安全防护要求</w:t>
      </w:r>
      <w:bookmarkEnd w:id="228"/>
      <w:bookmarkEnd w:id="229"/>
      <w:bookmarkEnd w:id="230"/>
    </w:p>
    <w:p>
      <w:pPr>
        <w:pStyle w:val="2"/>
        <w:widowControl/>
        <w:numPr>
          <w:ilvl w:val="2"/>
          <w:numId w:val="6"/>
        </w:numPr>
        <w:spacing w:before="0" w:after="0" w:line="240" w:lineRule="auto"/>
        <w:rPr>
          <w:rFonts w:ascii="宋体" w:hAnsi="宋体" w:cs="宋体"/>
          <w:b w:val="0"/>
          <w:bCs/>
          <w:sz w:val="21"/>
          <w:szCs w:val="21"/>
        </w:rPr>
      </w:pPr>
      <w:bookmarkStart w:id="231" w:name="_Toc1135"/>
      <w:bookmarkStart w:id="232" w:name="_Toc28046"/>
      <w:r>
        <w:rPr>
          <w:rFonts w:hint="eastAsia" w:ascii="宋体" w:hAnsi="宋体" w:cs="宋体"/>
          <w:b w:val="0"/>
          <w:bCs/>
          <w:sz w:val="21"/>
          <w:szCs w:val="21"/>
        </w:rPr>
        <w:t>用电信息采集终端应具备必要的信息安全防护手段，包含但不限于访问控制、口令认证、数据加密（建加密库，通过软加密）等；</w:t>
      </w:r>
      <w:bookmarkEnd w:id="231"/>
      <w:bookmarkEnd w:id="232"/>
    </w:p>
    <w:p>
      <w:pPr>
        <w:pStyle w:val="2"/>
        <w:widowControl/>
        <w:numPr>
          <w:ilvl w:val="2"/>
          <w:numId w:val="6"/>
        </w:numPr>
        <w:spacing w:before="0" w:after="0" w:line="240" w:lineRule="auto"/>
        <w:rPr>
          <w:rFonts w:ascii="宋体" w:hAnsi="宋体" w:cs="宋体"/>
          <w:b w:val="0"/>
          <w:bCs/>
          <w:sz w:val="21"/>
          <w:szCs w:val="21"/>
        </w:rPr>
      </w:pPr>
      <w:bookmarkStart w:id="233" w:name="_Toc22309"/>
      <w:bookmarkStart w:id="234" w:name="_Toc20427"/>
      <w:r>
        <w:rPr>
          <w:rFonts w:hint="eastAsia" w:ascii="宋体" w:hAnsi="宋体" w:cs="宋体"/>
          <w:b w:val="0"/>
          <w:bCs/>
          <w:sz w:val="21"/>
          <w:szCs w:val="21"/>
        </w:rPr>
        <w:t>软加密通信过程：采集终端与有序充电控制单元或有序充电桩通信的交互报文，可使用国网湖南公司认证的加解密算法库进行加解密。</w:t>
      </w:r>
      <w:bookmarkEnd w:id="233"/>
      <w:bookmarkEnd w:id="234"/>
    </w:p>
    <w:p>
      <w:pPr>
        <w:pStyle w:val="2"/>
        <w:widowControl/>
        <w:numPr>
          <w:ilvl w:val="0"/>
          <w:numId w:val="6"/>
        </w:numPr>
        <w:spacing w:before="317" w:beforeLines="100" w:after="317" w:afterLines="100" w:line="240" w:lineRule="auto"/>
        <w:rPr>
          <w:rFonts w:ascii="黑体" w:hAnsi="黑体" w:eastAsia="黑体" w:cs="黑体"/>
          <w:b w:val="0"/>
          <w:bCs/>
          <w:sz w:val="21"/>
          <w:szCs w:val="21"/>
        </w:rPr>
      </w:pPr>
      <w:bookmarkStart w:id="235" w:name="_Toc31177"/>
      <w:bookmarkStart w:id="236" w:name="_Toc6746_WPSOffice_Level1"/>
      <w:r>
        <w:rPr>
          <w:rFonts w:hint="eastAsia" w:ascii="黑体" w:hAnsi="黑体" w:eastAsia="黑体" w:cs="黑体"/>
          <w:b w:val="0"/>
          <w:bCs/>
          <w:sz w:val="21"/>
          <w:szCs w:val="21"/>
        </w:rPr>
        <w:t>有序充电管理系统技术要求</w:t>
      </w:r>
      <w:bookmarkEnd w:id="235"/>
      <w:bookmarkEnd w:id="236"/>
    </w:p>
    <w:p>
      <w:pPr>
        <w:pStyle w:val="2"/>
        <w:widowControl/>
        <w:numPr>
          <w:ilvl w:val="1"/>
          <w:numId w:val="6"/>
        </w:numPr>
        <w:tabs>
          <w:tab w:val="left" w:pos="0"/>
        </w:tabs>
        <w:spacing w:before="158" w:beforeLines="50" w:after="158" w:afterLines="50" w:line="240" w:lineRule="auto"/>
        <w:rPr>
          <w:rFonts w:ascii="黑体" w:hAnsi="黑体" w:eastAsia="黑体" w:cs="黑体"/>
          <w:b w:val="0"/>
          <w:bCs/>
          <w:sz w:val="21"/>
          <w:szCs w:val="21"/>
        </w:rPr>
      </w:pPr>
      <w:bookmarkStart w:id="237" w:name="_Toc24408"/>
      <w:bookmarkStart w:id="238" w:name="_Toc15319_WPSOffice_Level2"/>
      <w:r>
        <w:rPr>
          <w:rFonts w:hint="eastAsia" w:ascii="黑体" w:hAnsi="黑体" w:eastAsia="黑体" w:cs="黑体"/>
          <w:b w:val="0"/>
          <w:bCs/>
          <w:sz w:val="21"/>
          <w:szCs w:val="21"/>
        </w:rPr>
        <w:t>通用要求</w:t>
      </w:r>
      <w:bookmarkEnd w:id="237"/>
      <w:bookmarkEnd w:id="238"/>
    </w:p>
    <w:p>
      <w:pPr>
        <w:pStyle w:val="2"/>
        <w:widowControl/>
        <w:numPr>
          <w:ilvl w:val="2"/>
          <w:numId w:val="6"/>
        </w:numPr>
        <w:spacing w:before="0" w:after="0" w:line="240" w:lineRule="auto"/>
        <w:rPr>
          <w:rFonts w:ascii="宋体" w:hAnsi="宋体" w:cs="宋体"/>
          <w:b w:val="0"/>
          <w:bCs/>
          <w:sz w:val="21"/>
          <w:szCs w:val="21"/>
        </w:rPr>
      </w:pPr>
      <w:bookmarkStart w:id="239" w:name="_Toc19857"/>
      <w:bookmarkStart w:id="240" w:name="_Toc17195"/>
      <w:r>
        <w:rPr>
          <w:rFonts w:hint="eastAsia" w:ascii="宋体" w:hAnsi="宋体" w:cs="宋体"/>
          <w:b w:val="0"/>
          <w:bCs/>
          <w:sz w:val="21"/>
          <w:szCs w:val="21"/>
        </w:rPr>
        <w:t>应具有数据采集、数据处理、数据存储、数据发布等功能；</w:t>
      </w:r>
      <w:bookmarkEnd w:id="239"/>
      <w:bookmarkEnd w:id="240"/>
    </w:p>
    <w:p>
      <w:pPr>
        <w:pStyle w:val="2"/>
        <w:widowControl/>
        <w:numPr>
          <w:ilvl w:val="2"/>
          <w:numId w:val="6"/>
        </w:numPr>
        <w:spacing w:before="0" w:after="0" w:line="240" w:lineRule="auto"/>
        <w:rPr>
          <w:rFonts w:ascii="宋体" w:hAnsi="宋体" w:cs="宋体"/>
          <w:b w:val="0"/>
          <w:bCs/>
          <w:sz w:val="21"/>
          <w:szCs w:val="21"/>
        </w:rPr>
      </w:pPr>
      <w:bookmarkStart w:id="241" w:name="_Toc6233"/>
      <w:bookmarkStart w:id="242" w:name="_Toc9056"/>
      <w:r>
        <w:rPr>
          <w:rFonts w:hint="eastAsia" w:ascii="宋体" w:hAnsi="宋体" w:cs="宋体"/>
          <w:b w:val="0"/>
          <w:bCs/>
          <w:sz w:val="21"/>
          <w:szCs w:val="21"/>
        </w:rPr>
        <w:t>应具有设备管理、实时监控、远程控制等功能；</w:t>
      </w:r>
      <w:bookmarkEnd w:id="241"/>
      <w:bookmarkEnd w:id="242"/>
    </w:p>
    <w:p>
      <w:pPr>
        <w:pStyle w:val="2"/>
        <w:widowControl/>
        <w:numPr>
          <w:ilvl w:val="2"/>
          <w:numId w:val="6"/>
        </w:numPr>
        <w:spacing w:before="0" w:after="0" w:line="240" w:lineRule="auto"/>
        <w:rPr>
          <w:rFonts w:ascii="宋体" w:hAnsi="宋体" w:cs="宋体"/>
          <w:b w:val="0"/>
          <w:bCs/>
          <w:sz w:val="21"/>
          <w:szCs w:val="21"/>
        </w:rPr>
      </w:pPr>
      <w:bookmarkStart w:id="243" w:name="_Toc17445"/>
      <w:bookmarkStart w:id="244" w:name="_Toc9348"/>
      <w:r>
        <w:rPr>
          <w:rFonts w:hint="eastAsia" w:ascii="宋体" w:hAnsi="宋体" w:cs="宋体"/>
          <w:b w:val="0"/>
          <w:bCs/>
          <w:sz w:val="21"/>
          <w:szCs w:val="21"/>
        </w:rPr>
        <w:t>应具有对电网运行需求、电动汽车用户有序充电需求等信息反馈的功能；</w:t>
      </w:r>
      <w:bookmarkEnd w:id="243"/>
      <w:bookmarkEnd w:id="244"/>
    </w:p>
    <w:p>
      <w:pPr>
        <w:pStyle w:val="2"/>
        <w:widowControl/>
        <w:numPr>
          <w:ilvl w:val="2"/>
          <w:numId w:val="6"/>
        </w:numPr>
        <w:spacing w:before="0" w:after="0" w:line="240" w:lineRule="auto"/>
        <w:rPr>
          <w:rFonts w:ascii="宋体" w:hAnsi="宋体" w:cs="宋体"/>
          <w:b w:val="0"/>
          <w:bCs/>
          <w:sz w:val="21"/>
          <w:szCs w:val="21"/>
        </w:rPr>
      </w:pPr>
      <w:bookmarkStart w:id="245" w:name="_Toc7660"/>
      <w:bookmarkStart w:id="246" w:name="_Toc12376"/>
      <w:r>
        <w:rPr>
          <w:rFonts w:hint="eastAsia" w:ascii="宋体" w:hAnsi="宋体" w:cs="宋体"/>
          <w:b w:val="0"/>
          <w:bCs/>
          <w:sz w:val="21"/>
          <w:szCs w:val="21"/>
        </w:rPr>
        <w:t>应具有根据电网功率调节需求或价格信息、充电设备运行信息、充电负荷预测信息等生成有序充电控制策略的功能；</w:t>
      </w:r>
      <w:bookmarkEnd w:id="245"/>
      <w:bookmarkEnd w:id="246"/>
    </w:p>
    <w:p>
      <w:pPr>
        <w:pStyle w:val="2"/>
        <w:widowControl/>
        <w:numPr>
          <w:ilvl w:val="2"/>
          <w:numId w:val="6"/>
        </w:numPr>
        <w:spacing w:before="0" w:after="0" w:line="240" w:lineRule="auto"/>
        <w:rPr>
          <w:rFonts w:ascii="宋体" w:hAnsi="宋体" w:cs="宋体"/>
          <w:b w:val="0"/>
          <w:bCs/>
          <w:sz w:val="21"/>
          <w:szCs w:val="21"/>
        </w:rPr>
      </w:pPr>
      <w:bookmarkStart w:id="247" w:name="_Toc28071"/>
      <w:bookmarkStart w:id="248" w:name="_Toc2092"/>
      <w:r>
        <w:rPr>
          <w:rFonts w:hint="eastAsia" w:ascii="宋体" w:hAnsi="宋体" w:cs="宋体"/>
          <w:b w:val="0"/>
          <w:bCs/>
          <w:sz w:val="21"/>
          <w:szCs w:val="21"/>
        </w:rPr>
        <w:t>应具有对有序充电设备进行远程启停控制和输出功率调整的功能；</w:t>
      </w:r>
      <w:bookmarkEnd w:id="247"/>
      <w:bookmarkEnd w:id="248"/>
    </w:p>
    <w:p>
      <w:pPr>
        <w:pStyle w:val="2"/>
        <w:widowControl/>
        <w:numPr>
          <w:ilvl w:val="2"/>
          <w:numId w:val="6"/>
        </w:numPr>
        <w:spacing w:before="0" w:after="0" w:line="240" w:lineRule="auto"/>
        <w:rPr>
          <w:rFonts w:ascii="宋体" w:hAnsi="宋体" w:cs="宋体"/>
          <w:b w:val="0"/>
          <w:bCs/>
          <w:sz w:val="21"/>
          <w:szCs w:val="21"/>
        </w:rPr>
      </w:pPr>
      <w:bookmarkStart w:id="249" w:name="_Toc18830"/>
      <w:bookmarkStart w:id="250" w:name="_Toc21403"/>
      <w:r>
        <w:rPr>
          <w:rFonts w:hint="eastAsia" w:ascii="宋体" w:hAnsi="宋体" w:cs="宋体"/>
          <w:b w:val="0"/>
          <w:bCs/>
          <w:sz w:val="21"/>
          <w:szCs w:val="21"/>
        </w:rPr>
        <w:t>应具有有序充电控制策略下发和效果评估的功能；</w:t>
      </w:r>
      <w:bookmarkEnd w:id="249"/>
      <w:bookmarkEnd w:id="250"/>
    </w:p>
    <w:p>
      <w:pPr>
        <w:pStyle w:val="2"/>
        <w:widowControl/>
        <w:numPr>
          <w:ilvl w:val="2"/>
          <w:numId w:val="6"/>
        </w:numPr>
        <w:spacing w:before="0" w:after="0" w:line="240" w:lineRule="auto"/>
        <w:rPr>
          <w:rFonts w:ascii="宋体" w:hAnsi="宋体" w:cs="宋体"/>
          <w:b w:val="0"/>
          <w:bCs/>
          <w:sz w:val="21"/>
          <w:szCs w:val="21"/>
        </w:rPr>
      </w:pPr>
      <w:bookmarkStart w:id="251" w:name="_Toc16381"/>
      <w:bookmarkStart w:id="252" w:name="_Toc6085"/>
      <w:r>
        <w:rPr>
          <w:rFonts w:hint="eastAsia" w:ascii="宋体" w:hAnsi="宋体" w:cs="宋体"/>
          <w:b w:val="0"/>
          <w:bCs/>
          <w:sz w:val="21"/>
          <w:szCs w:val="21"/>
        </w:rPr>
        <w:t>应具有实时获取充电负荷、充电电量、充电电流等信息的功能；</w:t>
      </w:r>
      <w:bookmarkEnd w:id="251"/>
      <w:bookmarkEnd w:id="252"/>
    </w:p>
    <w:p>
      <w:pPr>
        <w:pStyle w:val="2"/>
        <w:widowControl/>
        <w:numPr>
          <w:ilvl w:val="2"/>
          <w:numId w:val="6"/>
        </w:numPr>
        <w:spacing w:before="0" w:after="0" w:line="240" w:lineRule="auto"/>
        <w:rPr>
          <w:rFonts w:ascii="宋体" w:hAnsi="宋体" w:cs="宋体"/>
          <w:b w:val="0"/>
          <w:bCs/>
          <w:sz w:val="21"/>
          <w:szCs w:val="21"/>
        </w:rPr>
      </w:pPr>
      <w:bookmarkStart w:id="253" w:name="_Toc30841"/>
      <w:bookmarkStart w:id="254" w:name="_Toc32206"/>
      <w:r>
        <w:rPr>
          <w:rFonts w:hint="eastAsia" w:ascii="宋体" w:hAnsi="宋体" w:cs="宋体"/>
          <w:b w:val="0"/>
          <w:bCs/>
          <w:sz w:val="21"/>
          <w:szCs w:val="21"/>
        </w:rPr>
        <w:t>宜具有对有序充电系统内的设备组网状态、设备运行状态、通信通道状态、通信报文状态等进行实时监控，并记录异常和实施分级告警的功能；</w:t>
      </w:r>
      <w:bookmarkEnd w:id="253"/>
      <w:bookmarkEnd w:id="254"/>
    </w:p>
    <w:p>
      <w:pPr>
        <w:pStyle w:val="2"/>
        <w:widowControl/>
        <w:numPr>
          <w:ilvl w:val="2"/>
          <w:numId w:val="6"/>
        </w:numPr>
        <w:spacing w:before="0" w:after="0" w:line="240" w:lineRule="auto"/>
        <w:rPr>
          <w:rFonts w:ascii="宋体" w:hAnsi="宋体" w:cs="宋体"/>
          <w:b w:val="0"/>
          <w:bCs/>
          <w:sz w:val="21"/>
          <w:szCs w:val="21"/>
        </w:rPr>
      </w:pPr>
      <w:bookmarkStart w:id="255" w:name="_Toc22794"/>
      <w:bookmarkStart w:id="256" w:name="_Toc13910"/>
      <w:r>
        <w:rPr>
          <w:rFonts w:hint="eastAsia" w:ascii="宋体" w:hAnsi="宋体" w:cs="宋体"/>
          <w:b w:val="0"/>
          <w:bCs/>
          <w:sz w:val="21"/>
          <w:szCs w:val="21"/>
        </w:rPr>
        <w:t>宜具有对有序充电系统内的设备实现平台接入、软件远程升级、信息采集频率设置、时钟同步等功能；</w:t>
      </w:r>
      <w:bookmarkEnd w:id="255"/>
      <w:bookmarkEnd w:id="256"/>
    </w:p>
    <w:p>
      <w:pPr>
        <w:pStyle w:val="2"/>
        <w:widowControl/>
        <w:numPr>
          <w:ilvl w:val="2"/>
          <w:numId w:val="6"/>
        </w:numPr>
        <w:spacing w:before="0" w:after="0" w:line="240" w:lineRule="auto"/>
        <w:rPr>
          <w:rFonts w:ascii="宋体" w:hAnsi="宋体" w:cs="宋体"/>
          <w:b w:val="0"/>
          <w:bCs/>
          <w:sz w:val="21"/>
          <w:szCs w:val="21"/>
        </w:rPr>
      </w:pPr>
      <w:bookmarkStart w:id="257" w:name="_Toc30407"/>
      <w:bookmarkStart w:id="258" w:name="_Toc20603"/>
      <w:r>
        <w:rPr>
          <w:rFonts w:hint="eastAsia" w:ascii="宋体" w:hAnsi="宋体" w:cs="宋体"/>
          <w:b w:val="0"/>
          <w:bCs/>
          <w:sz w:val="21"/>
          <w:szCs w:val="21"/>
        </w:rPr>
        <w:t>宜具有与电网调度交易系统、负荷聚合平台等信息系统进行信息交互的功能。</w:t>
      </w:r>
      <w:bookmarkEnd w:id="257"/>
      <w:bookmarkEnd w:id="258"/>
    </w:p>
    <w:p>
      <w:pPr>
        <w:pStyle w:val="2"/>
        <w:widowControl/>
        <w:numPr>
          <w:ilvl w:val="1"/>
          <w:numId w:val="6"/>
        </w:numPr>
        <w:tabs>
          <w:tab w:val="left" w:pos="0"/>
        </w:tabs>
        <w:spacing w:before="158" w:beforeLines="50" w:after="158" w:afterLines="50" w:line="240" w:lineRule="auto"/>
        <w:rPr>
          <w:rFonts w:ascii="黑体" w:hAnsi="黑体" w:eastAsia="黑体" w:cs="黑体"/>
          <w:b w:val="0"/>
          <w:bCs/>
          <w:sz w:val="21"/>
          <w:szCs w:val="21"/>
        </w:rPr>
      </w:pPr>
      <w:bookmarkStart w:id="259" w:name="_Toc14636"/>
      <w:bookmarkStart w:id="260" w:name="_Toc3869_WPSOffice_Level2"/>
      <w:r>
        <w:rPr>
          <w:rFonts w:hint="eastAsia" w:ascii="黑体" w:hAnsi="黑体" w:eastAsia="黑体" w:cs="黑体"/>
          <w:b w:val="0"/>
          <w:bCs/>
          <w:sz w:val="21"/>
          <w:szCs w:val="21"/>
        </w:rPr>
        <w:t>数据要求</w:t>
      </w:r>
      <w:bookmarkEnd w:id="259"/>
      <w:bookmarkEnd w:id="260"/>
    </w:p>
    <w:p>
      <w:pPr>
        <w:autoSpaceDE w:val="0"/>
        <w:autoSpaceDN w:val="0"/>
        <w:ind w:firstLine="420" w:firstLineChars="200"/>
        <w:jc w:val="center"/>
        <w:rPr>
          <w:rFonts w:hint="eastAsia" w:ascii="黑体" w:hAnsi="黑体" w:eastAsia="黑体" w:cs="黑体"/>
          <w:sz w:val="21"/>
          <w:szCs w:val="22"/>
          <w:lang w:val="en-US" w:eastAsia="zh-CN" w:bidi="ar-SA"/>
        </w:rPr>
      </w:pPr>
      <w:r>
        <w:rPr>
          <w:rFonts w:hint="eastAsia" w:ascii="黑体" w:hAnsi="黑体" w:eastAsia="黑体" w:cs="黑体"/>
          <w:sz w:val="21"/>
          <w:szCs w:val="22"/>
          <w:lang w:val="en-US" w:eastAsia="zh-CN" w:bidi="ar-SA"/>
        </w:rPr>
        <w:t>表5 有序充电管理系统数据明细表</w:t>
      </w:r>
    </w:p>
    <w:tbl>
      <w:tblPr>
        <w:tblStyle w:val="38"/>
        <w:tblpPr w:leftFromText="180" w:rightFromText="180" w:vertAnchor="text" w:horzAnchor="page" w:tblpX="1423" w:tblpY="462"/>
        <w:tblOverlap w:val="never"/>
        <w:tblW w:w="96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2"/>
        <w:gridCol w:w="1610"/>
        <w:gridCol w:w="1053"/>
        <w:gridCol w:w="2112"/>
        <w:gridCol w:w="3231"/>
        <w:gridCol w:w="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69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序号</w:t>
            </w:r>
          </w:p>
        </w:tc>
        <w:tc>
          <w:tcPr>
            <w:tcW w:w="1610"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设备类型</w:t>
            </w:r>
          </w:p>
        </w:tc>
        <w:tc>
          <w:tcPr>
            <w:tcW w:w="105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数据类</w:t>
            </w:r>
          </w:p>
        </w:tc>
        <w:tc>
          <w:tcPr>
            <w:tcW w:w="211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数据项</w:t>
            </w:r>
          </w:p>
        </w:tc>
        <w:tc>
          <w:tcPr>
            <w:tcW w:w="3231"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采集方式</w:t>
            </w:r>
          </w:p>
        </w:tc>
        <w:tc>
          <w:tcPr>
            <w:tcW w:w="96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频度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6" w:hRule="exact"/>
        </w:trPr>
        <w:tc>
          <w:tcPr>
            <w:tcW w:w="692" w:type="dxa"/>
            <w:vMerge w:val="restart"/>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1</w:t>
            </w:r>
          </w:p>
        </w:tc>
        <w:tc>
          <w:tcPr>
            <w:tcW w:w="1610" w:type="dxa"/>
            <w:vMerge w:val="restart"/>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用电信息采集终端</w:t>
            </w:r>
          </w:p>
        </w:tc>
        <w:tc>
          <w:tcPr>
            <w:tcW w:w="1053" w:type="dxa"/>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控制类</w:t>
            </w:r>
          </w:p>
        </w:tc>
        <w:tc>
          <w:tcPr>
            <w:tcW w:w="211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边缘自治启动（控制时段、控制阈值）</w:t>
            </w:r>
          </w:p>
        </w:tc>
        <w:tc>
          <w:tcPr>
            <w:tcW w:w="3231"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有序充电管理系统设置</w:t>
            </w:r>
          </w:p>
        </w:tc>
        <w:tc>
          <w:tcPr>
            <w:tcW w:w="96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4" w:hRule="exact"/>
        </w:trPr>
        <w:tc>
          <w:tcPr>
            <w:tcW w:w="692"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0"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053" w:type="dxa"/>
            <w:vMerge w:val="restart"/>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事件类</w:t>
            </w:r>
          </w:p>
        </w:tc>
        <w:tc>
          <w:tcPr>
            <w:tcW w:w="211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充电桩停上电事件</w:t>
            </w:r>
          </w:p>
        </w:tc>
        <w:tc>
          <w:tcPr>
            <w:tcW w:w="3231"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用电信息采集终端主动上报</w:t>
            </w:r>
          </w:p>
        </w:tc>
        <w:tc>
          <w:tcPr>
            <w:tcW w:w="96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4" w:hRule="exact"/>
        </w:trPr>
        <w:tc>
          <w:tcPr>
            <w:tcW w:w="692"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0"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053"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211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充电桩通信中断事件</w:t>
            </w:r>
          </w:p>
        </w:tc>
        <w:tc>
          <w:tcPr>
            <w:tcW w:w="3231"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用电信息采集终端主动上报</w:t>
            </w:r>
          </w:p>
        </w:tc>
        <w:tc>
          <w:tcPr>
            <w:tcW w:w="96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exact"/>
        </w:trPr>
        <w:tc>
          <w:tcPr>
            <w:tcW w:w="692"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0"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053"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211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充电桩启停事件</w:t>
            </w:r>
          </w:p>
        </w:tc>
        <w:tc>
          <w:tcPr>
            <w:tcW w:w="3231"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用电信息采集终端主动上报</w:t>
            </w:r>
          </w:p>
        </w:tc>
        <w:tc>
          <w:tcPr>
            <w:tcW w:w="96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exact"/>
        </w:trPr>
        <w:tc>
          <w:tcPr>
            <w:tcW w:w="692"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0"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053"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211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重过载事件</w:t>
            </w:r>
          </w:p>
        </w:tc>
        <w:tc>
          <w:tcPr>
            <w:tcW w:w="3231"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用电信息采集终端主动上报</w:t>
            </w:r>
          </w:p>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963" w:type="dxa"/>
          </w:tcPr>
          <w:p>
            <w:pPr>
              <w:widowControl/>
              <w:adjustRightInd w:val="0"/>
              <w:spacing w:line="240" w:lineRule="auto"/>
              <w:jc w:val="center"/>
              <w:rPr>
                <w:rFonts w:hint="eastAsia" w:ascii="Times New Roman" w:hAnsi="Times New Roman" w:eastAsia="宋体" w:cs="Times New Roman"/>
                <w:color w:val="000000"/>
                <w:kern w:val="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6" w:hRule="exact"/>
        </w:trPr>
        <w:tc>
          <w:tcPr>
            <w:tcW w:w="692"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0"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053" w:type="dxa"/>
            <w:vMerge w:val="restart"/>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参数类</w:t>
            </w:r>
          </w:p>
        </w:tc>
        <w:tc>
          <w:tcPr>
            <w:tcW w:w="211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充电桩额定功率</w:t>
            </w:r>
          </w:p>
        </w:tc>
        <w:tc>
          <w:tcPr>
            <w:tcW w:w="3231"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有序充电管理系统召测</w:t>
            </w:r>
          </w:p>
        </w:tc>
        <w:tc>
          <w:tcPr>
            <w:tcW w:w="96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exact"/>
        </w:trPr>
        <w:tc>
          <w:tcPr>
            <w:tcW w:w="692"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0"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053"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211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配变容量</w:t>
            </w:r>
          </w:p>
        </w:tc>
        <w:tc>
          <w:tcPr>
            <w:tcW w:w="3231"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有序充电管理系统设置</w:t>
            </w:r>
          </w:p>
        </w:tc>
        <w:tc>
          <w:tcPr>
            <w:tcW w:w="96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5" w:hRule="exact"/>
        </w:trPr>
        <w:tc>
          <w:tcPr>
            <w:tcW w:w="692"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0"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053"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211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重过载阈值</w:t>
            </w:r>
          </w:p>
        </w:tc>
        <w:tc>
          <w:tcPr>
            <w:tcW w:w="3231"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有序充电管理系统设置</w:t>
            </w:r>
          </w:p>
        </w:tc>
        <w:tc>
          <w:tcPr>
            <w:tcW w:w="96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3" w:hRule="exact"/>
        </w:trPr>
        <w:tc>
          <w:tcPr>
            <w:tcW w:w="692"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0"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053" w:type="dxa"/>
            <w:vMerge w:val="restart"/>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变量类</w:t>
            </w:r>
          </w:p>
        </w:tc>
        <w:tc>
          <w:tcPr>
            <w:tcW w:w="211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电表电压</w:t>
            </w:r>
          </w:p>
        </w:tc>
        <w:tc>
          <w:tcPr>
            <w:tcW w:w="3231"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用电信息采集终端主动上报</w:t>
            </w:r>
          </w:p>
        </w:tc>
        <w:tc>
          <w:tcPr>
            <w:tcW w:w="96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15分钟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8" w:hRule="exact"/>
        </w:trPr>
        <w:tc>
          <w:tcPr>
            <w:tcW w:w="692"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0"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053"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211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电表电流</w:t>
            </w:r>
          </w:p>
        </w:tc>
        <w:tc>
          <w:tcPr>
            <w:tcW w:w="3231"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用电信息采集终端主动上报</w:t>
            </w:r>
          </w:p>
        </w:tc>
        <w:tc>
          <w:tcPr>
            <w:tcW w:w="96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15分钟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4" w:hRule="exact"/>
        </w:trPr>
        <w:tc>
          <w:tcPr>
            <w:tcW w:w="692"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0"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053"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211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电表有功功率</w:t>
            </w:r>
          </w:p>
        </w:tc>
        <w:tc>
          <w:tcPr>
            <w:tcW w:w="3231"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用电信息采集终端主动上报</w:t>
            </w:r>
          </w:p>
        </w:tc>
        <w:tc>
          <w:tcPr>
            <w:tcW w:w="96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15分钟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1" w:hRule="exact"/>
        </w:trPr>
        <w:tc>
          <w:tcPr>
            <w:tcW w:w="692"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0"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053"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211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有功示值</w:t>
            </w:r>
          </w:p>
        </w:tc>
        <w:tc>
          <w:tcPr>
            <w:tcW w:w="3231"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分钟采集任务</w:t>
            </w:r>
          </w:p>
        </w:tc>
        <w:tc>
          <w:tcPr>
            <w:tcW w:w="96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15分钟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exact"/>
        </w:trPr>
        <w:tc>
          <w:tcPr>
            <w:tcW w:w="692"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0"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053"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211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台区负载率</w:t>
            </w:r>
          </w:p>
        </w:tc>
        <w:tc>
          <w:tcPr>
            <w:tcW w:w="3231"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用电信息采集终端主动上报</w:t>
            </w:r>
          </w:p>
        </w:tc>
        <w:tc>
          <w:tcPr>
            <w:tcW w:w="96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15分钟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692" w:type="dxa"/>
            <w:vMerge w:val="restart"/>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2</w:t>
            </w:r>
          </w:p>
        </w:tc>
        <w:tc>
          <w:tcPr>
            <w:tcW w:w="1610" w:type="dxa"/>
            <w:vMerge w:val="restart"/>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有序充电桩</w:t>
            </w:r>
          </w:p>
        </w:tc>
        <w:tc>
          <w:tcPr>
            <w:tcW w:w="1053" w:type="dxa"/>
            <w:vMerge w:val="restart"/>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变量类</w:t>
            </w:r>
          </w:p>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211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受控状态</w:t>
            </w:r>
          </w:p>
        </w:tc>
        <w:tc>
          <w:tcPr>
            <w:tcW w:w="3231"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有序充电管理系统召测</w:t>
            </w:r>
          </w:p>
        </w:tc>
        <w:tc>
          <w:tcPr>
            <w:tcW w:w="96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692"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0"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053"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211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时间</w:t>
            </w:r>
          </w:p>
        </w:tc>
        <w:tc>
          <w:tcPr>
            <w:tcW w:w="3231"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日采集任务</w:t>
            </w:r>
          </w:p>
        </w:tc>
        <w:tc>
          <w:tcPr>
            <w:tcW w:w="96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3" w:hRule="exact"/>
        </w:trPr>
        <w:tc>
          <w:tcPr>
            <w:tcW w:w="692"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0"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053" w:type="dxa"/>
            <w:vMerge w:val="restart"/>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控制类</w:t>
            </w:r>
          </w:p>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211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时段调控指令</w:t>
            </w:r>
          </w:p>
        </w:tc>
        <w:tc>
          <w:tcPr>
            <w:tcW w:w="3231"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有序充电管理系统控制</w:t>
            </w:r>
          </w:p>
        </w:tc>
        <w:tc>
          <w:tcPr>
            <w:tcW w:w="96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692"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0"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053"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211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功率调控指令</w:t>
            </w:r>
          </w:p>
        </w:tc>
        <w:tc>
          <w:tcPr>
            <w:tcW w:w="3231"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有序充电管理系统控制</w:t>
            </w:r>
          </w:p>
        </w:tc>
        <w:tc>
          <w:tcPr>
            <w:tcW w:w="96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692"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0"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053" w:type="dxa"/>
            <w:vMerge w:val="restart"/>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事件类</w:t>
            </w:r>
          </w:p>
        </w:tc>
        <w:tc>
          <w:tcPr>
            <w:tcW w:w="211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停上电事件</w:t>
            </w:r>
          </w:p>
        </w:tc>
        <w:tc>
          <w:tcPr>
            <w:tcW w:w="3231"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事件采集任务</w:t>
            </w:r>
          </w:p>
        </w:tc>
        <w:tc>
          <w:tcPr>
            <w:tcW w:w="96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15分钟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692"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0"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053"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211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启停事件</w:t>
            </w:r>
          </w:p>
        </w:tc>
        <w:tc>
          <w:tcPr>
            <w:tcW w:w="3231"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事件采集任务</w:t>
            </w:r>
          </w:p>
        </w:tc>
        <w:tc>
          <w:tcPr>
            <w:tcW w:w="96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15分钟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9" w:hRule="exact"/>
        </w:trPr>
        <w:tc>
          <w:tcPr>
            <w:tcW w:w="692"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0"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053" w:type="dxa"/>
            <w:vMerge w:val="restart"/>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参数类</w:t>
            </w:r>
          </w:p>
        </w:tc>
        <w:tc>
          <w:tcPr>
            <w:tcW w:w="211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额定功率</w:t>
            </w:r>
          </w:p>
        </w:tc>
        <w:tc>
          <w:tcPr>
            <w:tcW w:w="3231"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有序充电管理系统召测</w:t>
            </w:r>
          </w:p>
        </w:tc>
        <w:tc>
          <w:tcPr>
            <w:tcW w:w="96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692"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0"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053"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211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对时</w:t>
            </w:r>
          </w:p>
        </w:tc>
        <w:tc>
          <w:tcPr>
            <w:tcW w:w="3231"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有序充电管理系统设置对时参数</w:t>
            </w:r>
          </w:p>
        </w:tc>
        <w:tc>
          <w:tcPr>
            <w:tcW w:w="96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2" w:hRule="exact"/>
        </w:trPr>
        <w:tc>
          <w:tcPr>
            <w:tcW w:w="692"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0"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053"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211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通信地址</w:t>
            </w:r>
          </w:p>
        </w:tc>
        <w:tc>
          <w:tcPr>
            <w:tcW w:w="3231"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有序充电管理系统召测</w:t>
            </w:r>
          </w:p>
        </w:tc>
        <w:tc>
          <w:tcPr>
            <w:tcW w:w="96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692"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0"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053"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211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生产厂家信息</w:t>
            </w:r>
          </w:p>
        </w:tc>
        <w:tc>
          <w:tcPr>
            <w:tcW w:w="3231"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有序充电管理系统召测</w:t>
            </w:r>
          </w:p>
        </w:tc>
        <w:tc>
          <w:tcPr>
            <w:tcW w:w="96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692" w:type="dxa"/>
            <w:vMerge w:val="restart"/>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3</w:t>
            </w:r>
          </w:p>
        </w:tc>
        <w:tc>
          <w:tcPr>
            <w:tcW w:w="1610" w:type="dxa"/>
            <w:vMerge w:val="restart"/>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有序充电控制单元</w:t>
            </w:r>
          </w:p>
        </w:tc>
        <w:tc>
          <w:tcPr>
            <w:tcW w:w="1053" w:type="dxa"/>
            <w:vMerge w:val="restart"/>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变量类</w:t>
            </w:r>
          </w:p>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211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受控状态</w:t>
            </w:r>
          </w:p>
        </w:tc>
        <w:tc>
          <w:tcPr>
            <w:tcW w:w="3231"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有序充电管理系统召测</w:t>
            </w:r>
          </w:p>
        </w:tc>
        <w:tc>
          <w:tcPr>
            <w:tcW w:w="96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692"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0"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053"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211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时间</w:t>
            </w:r>
          </w:p>
        </w:tc>
        <w:tc>
          <w:tcPr>
            <w:tcW w:w="3231"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日采集任务</w:t>
            </w:r>
          </w:p>
        </w:tc>
        <w:tc>
          <w:tcPr>
            <w:tcW w:w="96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692"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0"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053" w:type="dxa"/>
            <w:vMerge w:val="restart"/>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控制类</w:t>
            </w:r>
          </w:p>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211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时段调控指令</w:t>
            </w:r>
          </w:p>
        </w:tc>
        <w:tc>
          <w:tcPr>
            <w:tcW w:w="3231"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有序充电管理系统控制</w:t>
            </w:r>
          </w:p>
        </w:tc>
        <w:tc>
          <w:tcPr>
            <w:tcW w:w="96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692"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0"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053"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211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功率调控指令</w:t>
            </w:r>
          </w:p>
        </w:tc>
        <w:tc>
          <w:tcPr>
            <w:tcW w:w="3231"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有序充电管理系统控制</w:t>
            </w:r>
          </w:p>
        </w:tc>
        <w:tc>
          <w:tcPr>
            <w:tcW w:w="96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692"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0"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053" w:type="dxa"/>
            <w:vMerge w:val="restart"/>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事件类</w:t>
            </w:r>
          </w:p>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211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停上电事件</w:t>
            </w:r>
          </w:p>
        </w:tc>
        <w:tc>
          <w:tcPr>
            <w:tcW w:w="3231"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事件采集任务</w:t>
            </w:r>
          </w:p>
        </w:tc>
        <w:tc>
          <w:tcPr>
            <w:tcW w:w="96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15分钟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692"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0"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053"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211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通信中断事件</w:t>
            </w:r>
          </w:p>
        </w:tc>
        <w:tc>
          <w:tcPr>
            <w:tcW w:w="3231"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事件采集任务</w:t>
            </w:r>
          </w:p>
        </w:tc>
        <w:tc>
          <w:tcPr>
            <w:tcW w:w="96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15分钟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692"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0"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053"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211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启停事件</w:t>
            </w:r>
          </w:p>
        </w:tc>
        <w:tc>
          <w:tcPr>
            <w:tcW w:w="3231"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事件采集任务</w:t>
            </w:r>
          </w:p>
        </w:tc>
        <w:tc>
          <w:tcPr>
            <w:tcW w:w="96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15分钟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7" w:hRule="exact"/>
        </w:trPr>
        <w:tc>
          <w:tcPr>
            <w:tcW w:w="692"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0"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053" w:type="dxa"/>
            <w:vMerge w:val="restart"/>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参数类</w:t>
            </w:r>
          </w:p>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211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额定功率</w:t>
            </w:r>
          </w:p>
        </w:tc>
        <w:tc>
          <w:tcPr>
            <w:tcW w:w="3231"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有序充电管理系统召测</w:t>
            </w:r>
          </w:p>
        </w:tc>
        <w:tc>
          <w:tcPr>
            <w:tcW w:w="96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9" w:hRule="exact"/>
        </w:trPr>
        <w:tc>
          <w:tcPr>
            <w:tcW w:w="692"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0"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053"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211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对时</w:t>
            </w:r>
          </w:p>
        </w:tc>
        <w:tc>
          <w:tcPr>
            <w:tcW w:w="3231"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有序充电管理系统设置对时参数</w:t>
            </w:r>
          </w:p>
        </w:tc>
        <w:tc>
          <w:tcPr>
            <w:tcW w:w="96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exact"/>
        </w:trPr>
        <w:tc>
          <w:tcPr>
            <w:tcW w:w="692"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0"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053"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211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通信地址</w:t>
            </w:r>
          </w:p>
        </w:tc>
        <w:tc>
          <w:tcPr>
            <w:tcW w:w="3231"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有序充电管理系统召测</w:t>
            </w:r>
          </w:p>
        </w:tc>
        <w:tc>
          <w:tcPr>
            <w:tcW w:w="96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8" w:hRule="exact"/>
        </w:trPr>
        <w:tc>
          <w:tcPr>
            <w:tcW w:w="692"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0"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053" w:type="dxa"/>
            <w:vMerge w:val="continue"/>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211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生产厂家信息</w:t>
            </w:r>
          </w:p>
        </w:tc>
        <w:tc>
          <w:tcPr>
            <w:tcW w:w="3231"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有序充电管理系统召测</w:t>
            </w:r>
          </w:p>
        </w:tc>
        <w:tc>
          <w:tcPr>
            <w:tcW w:w="96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exact"/>
        </w:trPr>
        <w:tc>
          <w:tcPr>
            <w:tcW w:w="692" w:type="dxa"/>
            <w:vMerge w:val="restart"/>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4</w:t>
            </w:r>
          </w:p>
        </w:tc>
        <w:tc>
          <w:tcPr>
            <w:tcW w:w="1610" w:type="dxa"/>
            <w:vMerge w:val="restart"/>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电能表</w:t>
            </w:r>
          </w:p>
        </w:tc>
        <w:tc>
          <w:tcPr>
            <w:tcW w:w="1053" w:type="dxa"/>
            <w:vMerge w:val="restart"/>
            <w:vAlign w:val="center"/>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变量类</w:t>
            </w:r>
          </w:p>
        </w:tc>
        <w:tc>
          <w:tcPr>
            <w:tcW w:w="211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电压</w:t>
            </w:r>
          </w:p>
        </w:tc>
        <w:tc>
          <w:tcPr>
            <w:tcW w:w="3231"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分钟采集任务</w:t>
            </w:r>
          </w:p>
        </w:tc>
        <w:tc>
          <w:tcPr>
            <w:tcW w:w="96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15分钟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692" w:type="dxa"/>
            <w:vMerge w:val="continue"/>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0" w:type="dxa"/>
            <w:vMerge w:val="continue"/>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053" w:type="dxa"/>
            <w:vMerge w:val="continue"/>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211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电流</w:t>
            </w:r>
          </w:p>
        </w:tc>
        <w:tc>
          <w:tcPr>
            <w:tcW w:w="3231"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分钟采集任务</w:t>
            </w:r>
          </w:p>
        </w:tc>
        <w:tc>
          <w:tcPr>
            <w:tcW w:w="96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15分钟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692" w:type="dxa"/>
            <w:vMerge w:val="continue"/>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0" w:type="dxa"/>
            <w:vMerge w:val="continue"/>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053" w:type="dxa"/>
            <w:vMerge w:val="continue"/>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211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有功功率</w:t>
            </w:r>
          </w:p>
        </w:tc>
        <w:tc>
          <w:tcPr>
            <w:tcW w:w="3231"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分钟采集任务</w:t>
            </w:r>
          </w:p>
        </w:tc>
        <w:tc>
          <w:tcPr>
            <w:tcW w:w="96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15分钟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692" w:type="dxa"/>
            <w:vMerge w:val="continue"/>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610" w:type="dxa"/>
            <w:vMerge w:val="continue"/>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1053" w:type="dxa"/>
            <w:vMerge w:val="continue"/>
          </w:tcPr>
          <w:p>
            <w:pPr>
              <w:widowControl/>
              <w:adjustRightInd w:val="0"/>
              <w:spacing w:line="240" w:lineRule="auto"/>
              <w:jc w:val="center"/>
              <w:rPr>
                <w:rFonts w:hint="eastAsia" w:ascii="Times New Roman" w:hAnsi="Times New Roman" w:eastAsia="宋体" w:cs="Times New Roman"/>
                <w:color w:val="000000"/>
                <w:kern w:val="0"/>
                <w:sz w:val="18"/>
                <w:szCs w:val="21"/>
              </w:rPr>
            </w:pPr>
          </w:p>
        </w:tc>
        <w:tc>
          <w:tcPr>
            <w:tcW w:w="211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有功示值</w:t>
            </w:r>
          </w:p>
        </w:tc>
        <w:tc>
          <w:tcPr>
            <w:tcW w:w="3231"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分钟采集任务</w:t>
            </w:r>
          </w:p>
        </w:tc>
        <w:tc>
          <w:tcPr>
            <w:tcW w:w="96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15分钟</w:t>
            </w:r>
          </w:p>
        </w:tc>
      </w:tr>
    </w:tbl>
    <w:p>
      <w:pPr>
        <w:pStyle w:val="2"/>
        <w:widowControl/>
        <w:numPr>
          <w:ilvl w:val="0"/>
          <w:numId w:val="6"/>
        </w:numPr>
        <w:spacing w:before="317" w:beforeLines="100" w:after="317" w:afterLines="100" w:line="240" w:lineRule="auto"/>
        <w:rPr>
          <w:rFonts w:ascii="黑体" w:hAnsi="黑体" w:eastAsia="黑体" w:cs="黑体"/>
          <w:b w:val="0"/>
          <w:bCs/>
          <w:sz w:val="21"/>
          <w:szCs w:val="21"/>
        </w:rPr>
      </w:pPr>
      <w:bookmarkStart w:id="261" w:name="_Toc700"/>
      <w:bookmarkStart w:id="262" w:name="_Toc26248_WPSOffice_Level1"/>
      <w:r>
        <w:rPr>
          <w:rFonts w:hint="eastAsia" w:ascii="黑体" w:hAnsi="黑体" w:eastAsia="黑体" w:cs="黑体"/>
          <w:b w:val="0"/>
          <w:bCs/>
          <w:sz w:val="21"/>
          <w:szCs w:val="21"/>
        </w:rPr>
        <w:t>检测、入网及运行要求</w:t>
      </w:r>
      <w:bookmarkEnd w:id="261"/>
      <w:bookmarkEnd w:id="262"/>
    </w:p>
    <w:p>
      <w:pPr>
        <w:pStyle w:val="2"/>
        <w:widowControl/>
        <w:numPr>
          <w:ilvl w:val="1"/>
          <w:numId w:val="6"/>
        </w:numPr>
        <w:tabs>
          <w:tab w:val="left" w:pos="0"/>
        </w:tabs>
        <w:spacing w:before="158" w:beforeLines="50" w:after="158" w:afterLines="50" w:line="240" w:lineRule="auto"/>
        <w:rPr>
          <w:rFonts w:hint="eastAsia" w:ascii="黑体" w:hAnsi="黑体" w:eastAsia="黑体" w:cs="黑体"/>
          <w:b w:val="0"/>
          <w:bCs/>
          <w:sz w:val="21"/>
          <w:szCs w:val="21"/>
        </w:rPr>
      </w:pPr>
      <w:bookmarkStart w:id="263" w:name="_Toc2322"/>
      <w:bookmarkStart w:id="264" w:name="_Toc7991_WPSOffice_Level2"/>
      <w:r>
        <w:rPr>
          <w:rFonts w:hint="eastAsia" w:ascii="黑体" w:hAnsi="黑体" w:eastAsia="黑体" w:cs="黑体"/>
          <w:b w:val="0"/>
          <w:bCs/>
          <w:sz w:val="21"/>
          <w:szCs w:val="21"/>
        </w:rPr>
        <w:t>检测要求</w:t>
      </w:r>
      <w:bookmarkEnd w:id="263"/>
      <w:bookmarkEnd w:id="264"/>
    </w:p>
    <w:p>
      <w:pPr>
        <w:pStyle w:val="81"/>
        <w:numPr>
          <w:ilvl w:val="0"/>
          <w:numId w:val="0"/>
        </w:numPr>
        <w:ind w:firstLine="420" w:firstLineChars="200"/>
        <w:rPr>
          <w:rFonts w:ascii="黑体" w:hAnsi="黑体" w:eastAsia="黑体"/>
        </w:rPr>
      </w:pPr>
      <w:r>
        <w:rPr>
          <w:rFonts w:hint="eastAsia"/>
        </w:rPr>
        <w:t>有序充电设备报装时，应提供由具备CNAS资质的机构出具的设备厂家该类型号的检测报告，检测内容包括通信协议一致性、通信性能、功率调控等功能检测。</w:t>
      </w:r>
    </w:p>
    <w:p>
      <w:pPr>
        <w:pStyle w:val="2"/>
        <w:widowControl/>
        <w:numPr>
          <w:ilvl w:val="1"/>
          <w:numId w:val="6"/>
        </w:numPr>
        <w:tabs>
          <w:tab w:val="left" w:pos="0"/>
        </w:tabs>
        <w:spacing w:before="158" w:beforeLines="50" w:after="158" w:afterLines="50" w:line="240" w:lineRule="auto"/>
        <w:rPr>
          <w:rFonts w:ascii="黑体" w:hAnsi="黑体" w:eastAsia="黑体" w:cs="黑体"/>
          <w:b w:val="0"/>
          <w:bCs/>
          <w:sz w:val="21"/>
          <w:szCs w:val="21"/>
        </w:rPr>
      </w:pPr>
      <w:bookmarkStart w:id="265" w:name="_Toc9625_WPSOffice_Level2"/>
      <w:bookmarkStart w:id="266" w:name="_Toc17193"/>
      <w:r>
        <w:rPr>
          <w:rFonts w:hint="eastAsia" w:ascii="黑体" w:hAnsi="黑体" w:eastAsia="黑体" w:cs="黑体"/>
          <w:b w:val="0"/>
          <w:bCs/>
          <w:sz w:val="21"/>
          <w:szCs w:val="21"/>
        </w:rPr>
        <w:t>检测项目</w:t>
      </w:r>
      <w:bookmarkEnd w:id="265"/>
      <w:bookmarkEnd w:id="266"/>
    </w:p>
    <w:p>
      <w:pPr>
        <w:pStyle w:val="2"/>
        <w:widowControl/>
        <w:numPr>
          <w:ilvl w:val="2"/>
          <w:numId w:val="6"/>
        </w:numPr>
        <w:spacing w:before="158" w:beforeLines="50" w:after="158" w:afterLines="50" w:line="240" w:lineRule="auto"/>
        <w:rPr>
          <w:rFonts w:ascii="黑体" w:hAnsi="黑体" w:eastAsia="黑体" w:cs="黑体"/>
          <w:b w:val="0"/>
          <w:bCs/>
          <w:sz w:val="21"/>
          <w:szCs w:val="21"/>
        </w:rPr>
      </w:pPr>
      <w:bookmarkStart w:id="267" w:name="_Toc2826"/>
      <w:bookmarkStart w:id="268" w:name="_Toc29528"/>
      <w:r>
        <w:rPr>
          <w:rFonts w:hint="eastAsia" w:ascii="黑体" w:hAnsi="黑体" w:eastAsia="黑体" w:cs="黑体"/>
          <w:b w:val="0"/>
          <w:bCs/>
          <w:sz w:val="21"/>
          <w:szCs w:val="21"/>
        </w:rPr>
        <w:t>通信协议一致性检测</w:t>
      </w:r>
      <w:bookmarkEnd w:id="267"/>
      <w:bookmarkEnd w:id="268"/>
    </w:p>
    <w:p>
      <w:pPr>
        <w:autoSpaceDE w:val="0"/>
        <w:autoSpaceDN w:val="0"/>
        <w:ind w:firstLine="420" w:firstLineChars="200"/>
        <w:jc w:val="both"/>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有序充电设备的通信协议应满足《居民小区有序充电设备与电网交互通信协议》的要求，并通过通信协议的一致性检验测试；有序充电设备应对以下测试内容项目进行正确处理：非法报文不响应，正常报文按服务类别进行正确响应。检测项目见表6</w:t>
      </w:r>
    </w:p>
    <w:p>
      <w:pPr>
        <w:autoSpaceDE w:val="0"/>
        <w:autoSpaceDN w:val="0"/>
        <w:ind w:firstLine="420" w:firstLineChars="200"/>
        <w:jc w:val="center"/>
        <w:rPr>
          <w:rFonts w:hint="eastAsia" w:ascii="宋体" w:hAnsi="Times New Roman" w:eastAsia="宋体" w:cs="Times New Roman"/>
          <w:sz w:val="21"/>
          <w:szCs w:val="22"/>
          <w:lang w:val="en-US" w:eastAsia="zh-CN" w:bidi="ar-SA"/>
        </w:rPr>
      </w:pPr>
      <w:r>
        <w:rPr>
          <w:rFonts w:hint="eastAsia" w:ascii="宋体" w:hAnsi="Times New Roman" w:eastAsia="宋体" w:cs="Times New Roman"/>
          <w:sz w:val="21"/>
          <w:szCs w:val="22"/>
          <w:lang w:val="en-US" w:eastAsia="zh-CN" w:bidi="ar-SA"/>
        </w:rPr>
        <w:t>表6 通信协议一致性检测项目</w:t>
      </w:r>
    </w:p>
    <w:tbl>
      <w:tblPr>
        <w:tblStyle w:val="38"/>
        <w:tblW w:w="7955" w:type="dxa"/>
        <w:tblInd w:w="8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
        <w:gridCol w:w="7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序号</w:t>
            </w:r>
          </w:p>
        </w:tc>
        <w:tc>
          <w:tcPr>
            <w:tcW w:w="707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检验项目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1</w:t>
            </w:r>
          </w:p>
        </w:tc>
        <w:tc>
          <w:tcPr>
            <w:tcW w:w="707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链路层测试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2</w:t>
            </w:r>
          </w:p>
        </w:tc>
        <w:tc>
          <w:tcPr>
            <w:tcW w:w="707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应用层测试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3</w:t>
            </w:r>
          </w:p>
        </w:tc>
        <w:tc>
          <w:tcPr>
            <w:tcW w:w="707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读取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4</w:t>
            </w:r>
          </w:p>
        </w:tc>
        <w:tc>
          <w:tcPr>
            <w:tcW w:w="707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1" w:hRule="atLeast"/>
        </w:trPr>
        <w:tc>
          <w:tcPr>
            <w:tcW w:w="88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5</w:t>
            </w:r>
          </w:p>
        </w:tc>
        <w:tc>
          <w:tcPr>
            <w:tcW w:w="707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6</w:t>
            </w:r>
          </w:p>
        </w:tc>
        <w:tc>
          <w:tcPr>
            <w:tcW w:w="707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变量类对象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7</w:t>
            </w:r>
          </w:p>
        </w:tc>
        <w:tc>
          <w:tcPr>
            <w:tcW w:w="707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事件类对象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8</w:t>
            </w:r>
          </w:p>
        </w:tc>
        <w:tc>
          <w:tcPr>
            <w:tcW w:w="707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参变量对象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9</w:t>
            </w:r>
          </w:p>
        </w:tc>
        <w:tc>
          <w:tcPr>
            <w:tcW w:w="707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控制类对象</w:t>
            </w:r>
          </w:p>
        </w:tc>
      </w:tr>
    </w:tbl>
    <w:p>
      <w:pPr>
        <w:widowControl/>
        <w:ind w:firstLine="420"/>
      </w:pPr>
    </w:p>
    <w:p>
      <w:pPr>
        <w:pStyle w:val="2"/>
        <w:widowControl/>
        <w:numPr>
          <w:ilvl w:val="3"/>
          <w:numId w:val="6"/>
        </w:numPr>
        <w:spacing w:before="158" w:beforeLines="50" w:after="158" w:afterLines="50" w:line="240" w:lineRule="auto"/>
        <w:rPr>
          <w:rFonts w:ascii="黑体" w:hAnsi="黑体" w:eastAsia="黑体" w:cs="黑体"/>
          <w:b w:val="0"/>
          <w:bCs/>
          <w:sz w:val="21"/>
          <w:szCs w:val="21"/>
        </w:rPr>
      </w:pPr>
      <w:bookmarkStart w:id="269" w:name="_Toc30885"/>
      <w:bookmarkStart w:id="270" w:name="_Toc12090"/>
      <w:r>
        <w:rPr>
          <w:rFonts w:hint="eastAsia" w:ascii="黑体" w:hAnsi="黑体" w:eastAsia="黑体" w:cs="黑体"/>
          <w:b w:val="0"/>
          <w:bCs/>
          <w:sz w:val="21"/>
          <w:szCs w:val="21"/>
        </w:rPr>
        <w:t>链路层测试</w:t>
      </w:r>
      <w:bookmarkEnd w:id="269"/>
      <w:bookmarkEnd w:id="270"/>
    </w:p>
    <w:p>
      <w:pPr>
        <w:widowControl/>
        <w:ind w:firstLine="420" w:firstLineChars="200"/>
      </w:pPr>
      <w:r>
        <w:rPr>
          <w:rFonts w:hint="eastAsia" w:ascii="宋体" w:hAnsi="宋体" w:cs="宋体"/>
          <w:szCs w:val="21"/>
        </w:rPr>
        <w:t>对协议的</w:t>
      </w:r>
      <w:r>
        <w:rPr>
          <w:rFonts w:hint="eastAsia" w:ascii="宋体" w:hAnsi="宋体" w:cs="宋体"/>
          <w:szCs w:val="21"/>
          <w:lang w:bidi="ar"/>
        </w:rPr>
        <w:t>起始字符、长度域、控制域、地址域、帧头校验、帧校验、结束字符进行测试；</w:t>
      </w:r>
    </w:p>
    <w:p>
      <w:pPr>
        <w:pStyle w:val="2"/>
        <w:widowControl/>
        <w:numPr>
          <w:ilvl w:val="3"/>
          <w:numId w:val="6"/>
        </w:numPr>
        <w:spacing w:before="158" w:beforeLines="50" w:after="158" w:afterLines="50" w:line="240" w:lineRule="auto"/>
        <w:rPr>
          <w:rFonts w:ascii="黑体" w:hAnsi="黑体" w:eastAsia="黑体" w:cs="黑体"/>
          <w:b w:val="0"/>
          <w:bCs/>
          <w:sz w:val="21"/>
          <w:szCs w:val="21"/>
        </w:rPr>
      </w:pPr>
      <w:bookmarkStart w:id="271" w:name="_Toc10508"/>
      <w:bookmarkStart w:id="272" w:name="_Toc11303"/>
      <w:r>
        <w:rPr>
          <w:rFonts w:hint="eastAsia" w:ascii="黑体" w:hAnsi="黑体" w:eastAsia="黑体" w:cs="黑体"/>
          <w:b w:val="0"/>
          <w:bCs/>
          <w:sz w:val="21"/>
          <w:szCs w:val="21"/>
        </w:rPr>
        <w:t>应用层测试</w:t>
      </w:r>
      <w:bookmarkEnd w:id="271"/>
      <w:bookmarkEnd w:id="272"/>
    </w:p>
    <w:p>
      <w:pPr>
        <w:widowControl/>
        <w:ind w:firstLine="420" w:firstLineChars="200"/>
        <w:rPr>
          <w:rFonts w:ascii="宋体" w:hAnsi="宋体" w:cs="宋体"/>
          <w:szCs w:val="21"/>
          <w:lang w:bidi="ar"/>
        </w:rPr>
      </w:pPr>
      <w:r>
        <w:rPr>
          <w:rFonts w:hint="eastAsia" w:ascii="宋体" w:hAnsi="宋体" w:cs="宋体"/>
          <w:szCs w:val="21"/>
          <w:lang w:bidi="ar"/>
        </w:rPr>
        <w:t>对协议的服务格式、PIID、时间标签、OAD进行测试；</w:t>
      </w:r>
    </w:p>
    <w:p>
      <w:pPr>
        <w:pStyle w:val="2"/>
        <w:widowControl/>
        <w:numPr>
          <w:ilvl w:val="3"/>
          <w:numId w:val="6"/>
        </w:numPr>
        <w:spacing w:before="158" w:beforeLines="50" w:after="158" w:afterLines="50" w:line="240" w:lineRule="auto"/>
        <w:rPr>
          <w:rFonts w:ascii="黑体" w:hAnsi="黑体" w:eastAsia="黑体" w:cs="黑体"/>
          <w:b w:val="0"/>
          <w:bCs/>
          <w:sz w:val="21"/>
          <w:szCs w:val="21"/>
        </w:rPr>
      </w:pPr>
      <w:bookmarkStart w:id="273" w:name="_Toc4449"/>
      <w:bookmarkStart w:id="274" w:name="_Toc29591"/>
      <w:r>
        <w:rPr>
          <w:rFonts w:hint="eastAsia" w:ascii="黑体" w:hAnsi="黑体" w:eastAsia="黑体" w:cs="黑体"/>
          <w:b w:val="0"/>
          <w:bCs/>
          <w:sz w:val="21"/>
          <w:szCs w:val="21"/>
        </w:rPr>
        <w:t>读取</w:t>
      </w:r>
      <w:bookmarkEnd w:id="273"/>
      <w:bookmarkEnd w:id="274"/>
    </w:p>
    <w:p>
      <w:pPr>
        <w:widowControl/>
        <w:ind w:firstLine="420" w:firstLineChars="200"/>
        <w:rPr>
          <w:rFonts w:ascii="宋体" w:hAnsi="宋体" w:cs="宋体"/>
          <w:szCs w:val="21"/>
          <w:lang w:bidi="ar"/>
        </w:rPr>
      </w:pPr>
      <w:r>
        <w:rPr>
          <w:rFonts w:hint="eastAsia" w:ascii="宋体" w:hAnsi="宋体" w:cs="宋体"/>
          <w:szCs w:val="21"/>
          <w:lang w:bidi="ar"/>
        </w:rPr>
        <w:t>对协议的读取一个对象属性请求、读取若干个对象属性请求、读取一个记录型对象属性请求、读取若干个记录型对象属性请求、读取分帧响应的下一个数据块请求进行测试；</w:t>
      </w:r>
    </w:p>
    <w:p>
      <w:pPr>
        <w:pStyle w:val="2"/>
        <w:widowControl/>
        <w:numPr>
          <w:ilvl w:val="3"/>
          <w:numId w:val="6"/>
        </w:numPr>
        <w:spacing w:before="158" w:beforeLines="50" w:after="158" w:afterLines="50" w:line="240" w:lineRule="auto"/>
        <w:rPr>
          <w:rFonts w:ascii="黑体" w:hAnsi="黑体" w:eastAsia="黑体" w:cs="黑体"/>
          <w:b w:val="0"/>
          <w:bCs/>
          <w:sz w:val="21"/>
          <w:szCs w:val="21"/>
        </w:rPr>
      </w:pPr>
      <w:bookmarkStart w:id="275" w:name="_Toc13011"/>
      <w:bookmarkStart w:id="276" w:name="_Toc31797"/>
      <w:r>
        <w:rPr>
          <w:rFonts w:hint="eastAsia" w:ascii="黑体" w:hAnsi="黑体" w:eastAsia="黑体" w:cs="黑体"/>
          <w:b w:val="0"/>
          <w:bCs/>
          <w:sz w:val="21"/>
          <w:szCs w:val="21"/>
        </w:rPr>
        <w:t>设置</w:t>
      </w:r>
      <w:bookmarkEnd w:id="275"/>
      <w:bookmarkEnd w:id="276"/>
    </w:p>
    <w:p>
      <w:pPr>
        <w:widowControl/>
        <w:ind w:firstLine="420" w:firstLineChars="200"/>
        <w:rPr>
          <w:rFonts w:hint="eastAsia" w:ascii="宋体" w:hAnsi="宋体" w:eastAsia="宋体" w:cs="宋体"/>
          <w:b w:val="0"/>
          <w:bCs/>
          <w:kern w:val="44"/>
          <w:sz w:val="21"/>
          <w:szCs w:val="21"/>
          <w:lang w:val="en-US" w:eastAsia="zh-CN" w:bidi="ar-SA"/>
        </w:rPr>
      </w:pPr>
      <w:r>
        <w:rPr>
          <w:rFonts w:hint="eastAsia" w:ascii="宋体" w:hAnsi="宋体" w:eastAsia="宋体" w:cs="宋体"/>
          <w:b w:val="0"/>
          <w:bCs/>
          <w:kern w:val="44"/>
          <w:sz w:val="21"/>
          <w:szCs w:val="21"/>
          <w:lang w:val="en-US" w:eastAsia="zh-CN" w:bidi="ar-SA"/>
        </w:rPr>
        <w:t>对协议的设置一个对象属性请求、设置若干个对象属性请求、设置后读取若干个对象属性请求进行测试；</w:t>
      </w:r>
    </w:p>
    <w:p>
      <w:pPr>
        <w:pStyle w:val="2"/>
        <w:widowControl/>
        <w:numPr>
          <w:ilvl w:val="3"/>
          <w:numId w:val="6"/>
        </w:numPr>
        <w:spacing w:before="158" w:beforeLines="50" w:after="158" w:afterLines="50" w:line="240" w:lineRule="auto"/>
        <w:rPr>
          <w:rFonts w:ascii="黑体" w:hAnsi="黑体" w:eastAsia="黑体" w:cs="黑体"/>
          <w:b w:val="0"/>
          <w:bCs/>
          <w:sz w:val="21"/>
          <w:szCs w:val="21"/>
        </w:rPr>
      </w:pPr>
      <w:bookmarkStart w:id="277" w:name="_Toc1000"/>
      <w:bookmarkStart w:id="278" w:name="_Toc24301"/>
      <w:r>
        <w:rPr>
          <w:rFonts w:hint="eastAsia" w:ascii="黑体" w:hAnsi="黑体" w:eastAsia="黑体" w:cs="黑体"/>
          <w:b w:val="0"/>
          <w:bCs/>
          <w:sz w:val="21"/>
          <w:szCs w:val="21"/>
        </w:rPr>
        <w:t>操作</w:t>
      </w:r>
      <w:bookmarkEnd w:id="277"/>
      <w:bookmarkEnd w:id="278"/>
    </w:p>
    <w:p>
      <w:pPr>
        <w:widowControl/>
        <w:ind w:firstLine="420" w:firstLineChars="200"/>
        <w:rPr>
          <w:rFonts w:ascii="宋体" w:hAnsi="宋体" w:cs="宋体"/>
          <w:szCs w:val="21"/>
          <w:lang w:bidi="ar"/>
        </w:rPr>
      </w:pPr>
      <w:r>
        <w:rPr>
          <w:rFonts w:hint="eastAsia" w:ascii="宋体" w:hAnsi="宋体" w:cs="宋体"/>
          <w:szCs w:val="21"/>
          <w:lang w:bidi="ar"/>
        </w:rPr>
        <w:t>对协议的操作一个对象方法请求、操作若干个对象方法请求进行测试；</w:t>
      </w:r>
    </w:p>
    <w:p>
      <w:pPr>
        <w:pStyle w:val="2"/>
        <w:widowControl/>
        <w:numPr>
          <w:ilvl w:val="3"/>
          <w:numId w:val="6"/>
        </w:numPr>
        <w:spacing w:before="158" w:beforeLines="50" w:after="158" w:afterLines="50" w:line="240" w:lineRule="auto"/>
        <w:rPr>
          <w:rFonts w:ascii="黑体" w:hAnsi="黑体" w:eastAsia="黑体" w:cs="黑体"/>
          <w:b w:val="0"/>
          <w:bCs/>
          <w:sz w:val="21"/>
          <w:szCs w:val="21"/>
        </w:rPr>
      </w:pPr>
      <w:bookmarkStart w:id="279" w:name="_Toc13823"/>
      <w:bookmarkStart w:id="280" w:name="_Toc24859"/>
      <w:r>
        <w:rPr>
          <w:rFonts w:hint="eastAsia" w:ascii="黑体" w:hAnsi="黑体" w:eastAsia="黑体" w:cs="黑体"/>
          <w:b w:val="0"/>
          <w:bCs/>
          <w:sz w:val="21"/>
          <w:szCs w:val="21"/>
        </w:rPr>
        <w:t>变量类对象</w:t>
      </w:r>
      <w:bookmarkEnd w:id="279"/>
      <w:bookmarkEnd w:id="280"/>
    </w:p>
    <w:p>
      <w:pPr>
        <w:widowControl/>
        <w:ind w:firstLine="420" w:firstLineChars="200"/>
        <w:rPr>
          <w:rFonts w:ascii="宋体" w:hAnsi="宋体" w:cs="宋体"/>
          <w:szCs w:val="21"/>
          <w:lang w:bidi="ar"/>
        </w:rPr>
      </w:pPr>
      <w:r>
        <w:rPr>
          <w:rFonts w:hint="eastAsia" w:ascii="宋体" w:hAnsi="宋体" w:cs="宋体"/>
          <w:szCs w:val="21"/>
          <w:lang w:bidi="ar"/>
        </w:rPr>
        <w:t>对受控状态，及时间进行测试；</w:t>
      </w:r>
    </w:p>
    <w:p>
      <w:pPr>
        <w:pStyle w:val="2"/>
        <w:widowControl/>
        <w:numPr>
          <w:ilvl w:val="3"/>
          <w:numId w:val="6"/>
        </w:numPr>
        <w:spacing w:before="158" w:beforeLines="50" w:after="158" w:afterLines="50" w:line="240" w:lineRule="auto"/>
        <w:rPr>
          <w:rFonts w:ascii="黑体" w:hAnsi="黑体" w:eastAsia="黑体" w:cs="黑体"/>
          <w:b w:val="0"/>
          <w:bCs/>
          <w:sz w:val="21"/>
          <w:szCs w:val="21"/>
        </w:rPr>
      </w:pPr>
      <w:bookmarkStart w:id="281" w:name="_Toc31400"/>
      <w:bookmarkStart w:id="282" w:name="_Toc24518"/>
      <w:r>
        <w:rPr>
          <w:rFonts w:hint="eastAsia" w:ascii="黑体" w:hAnsi="黑体" w:eastAsia="黑体" w:cs="黑体"/>
          <w:b w:val="0"/>
          <w:bCs/>
          <w:sz w:val="21"/>
          <w:szCs w:val="21"/>
        </w:rPr>
        <w:t>事件类对象</w:t>
      </w:r>
      <w:bookmarkEnd w:id="281"/>
      <w:bookmarkEnd w:id="282"/>
    </w:p>
    <w:p>
      <w:pPr>
        <w:widowControl/>
        <w:ind w:firstLine="420" w:firstLineChars="200"/>
        <w:rPr>
          <w:rFonts w:ascii="宋体" w:hAnsi="宋体" w:cs="宋体"/>
          <w:szCs w:val="21"/>
          <w:lang w:bidi="ar"/>
        </w:rPr>
      </w:pPr>
      <w:r>
        <w:rPr>
          <w:rFonts w:hint="eastAsia" w:ascii="宋体" w:hAnsi="宋体" w:cs="宋体"/>
          <w:szCs w:val="21"/>
          <w:lang w:bidi="ar"/>
        </w:rPr>
        <w:t>对通信中断事件、停上电事件、启停事件进行测试；</w:t>
      </w:r>
    </w:p>
    <w:p>
      <w:pPr>
        <w:pStyle w:val="2"/>
        <w:widowControl/>
        <w:numPr>
          <w:ilvl w:val="3"/>
          <w:numId w:val="6"/>
        </w:numPr>
        <w:spacing w:before="158" w:beforeLines="50" w:after="158" w:afterLines="50" w:line="240" w:lineRule="auto"/>
        <w:rPr>
          <w:rFonts w:ascii="黑体" w:hAnsi="黑体" w:eastAsia="黑体" w:cs="黑体"/>
          <w:b w:val="0"/>
          <w:bCs/>
          <w:sz w:val="21"/>
          <w:szCs w:val="21"/>
        </w:rPr>
      </w:pPr>
      <w:bookmarkStart w:id="283" w:name="_Toc31506"/>
      <w:bookmarkStart w:id="284" w:name="_Toc1938"/>
      <w:r>
        <w:rPr>
          <w:rFonts w:hint="eastAsia" w:ascii="黑体" w:hAnsi="黑体" w:eastAsia="黑体" w:cs="黑体"/>
          <w:b w:val="0"/>
          <w:bCs/>
          <w:sz w:val="21"/>
          <w:szCs w:val="21"/>
        </w:rPr>
        <w:t>参变量对象</w:t>
      </w:r>
      <w:bookmarkEnd w:id="283"/>
      <w:bookmarkEnd w:id="284"/>
    </w:p>
    <w:p>
      <w:pPr>
        <w:widowControl/>
        <w:ind w:firstLine="420" w:firstLineChars="200"/>
        <w:rPr>
          <w:rFonts w:ascii="宋体" w:hAnsi="宋体" w:cs="宋体"/>
          <w:szCs w:val="21"/>
          <w:lang w:bidi="ar"/>
        </w:rPr>
      </w:pPr>
      <w:r>
        <w:rPr>
          <w:rFonts w:hint="eastAsia" w:ascii="宋体" w:hAnsi="宋体" w:cs="宋体"/>
          <w:szCs w:val="21"/>
          <w:lang w:bidi="ar"/>
        </w:rPr>
        <w:t>对额定功率，对时，通信地址、生产厂家信息进行测试；</w:t>
      </w:r>
    </w:p>
    <w:p>
      <w:pPr>
        <w:pStyle w:val="2"/>
        <w:widowControl/>
        <w:numPr>
          <w:ilvl w:val="3"/>
          <w:numId w:val="6"/>
        </w:numPr>
        <w:spacing w:before="158" w:beforeLines="50" w:after="158" w:afterLines="50" w:line="240" w:lineRule="auto"/>
        <w:rPr>
          <w:rFonts w:ascii="黑体" w:hAnsi="黑体" w:eastAsia="黑体" w:cs="黑体"/>
          <w:b w:val="0"/>
          <w:bCs/>
          <w:sz w:val="21"/>
          <w:szCs w:val="21"/>
        </w:rPr>
      </w:pPr>
      <w:bookmarkStart w:id="285" w:name="_Toc12562"/>
      <w:bookmarkStart w:id="286" w:name="_Toc19062"/>
      <w:r>
        <w:rPr>
          <w:rFonts w:hint="eastAsia" w:ascii="黑体" w:hAnsi="黑体" w:eastAsia="黑体" w:cs="黑体"/>
          <w:b w:val="0"/>
          <w:bCs/>
          <w:sz w:val="21"/>
          <w:szCs w:val="21"/>
        </w:rPr>
        <w:t>控制类对象</w:t>
      </w:r>
      <w:bookmarkEnd w:id="285"/>
      <w:bookmarkEnd w:id="286"/>
    </w:p>
    <w:p>
      <w:pPr>
        <w:widowControl/>
        <w:ind w:firstLine="420" w:firstLineChars="200"/>
        <w:rPr>
          <w:rFonts w:ascii="宋体" w:hAnsi="宋体" w:cs="宋体"/>
          <w:szCs w:val="21"/>
          <w:lang w:bidi="ar"/>
        </w:rPr>
      </w:pPr>
      <w:r>
        <w:rPr>
          <w:rFonts w:hint="eastAsia" w:ascii="宋体" w:hAnsi="宋体" w:cs="宋体"/>
          <w:szCs w:val="21"/>
          <w:lang w:bidi="ar"/>
        </w:rPr>
        <w:t>对时段调控指令，功率调控指令进行测试；</w:t>
      </w:r>
    </w:p>
    <w:p>
      <w:pPr>
        <w:pStyle w:val="2"/>
        <w:widowControl/>
        <w:numPr>
          <w:ilvl w:val="2"/>
          <w:numId w:val="6"/>
        </w:numPr>
        <w:spacing w:before="158" w:beforeLines="50" w:after="158" w:afterLines="50" w:line="240" w:lineRule="auto"/>
        <w:rPr>
          <w:rFonts w:ascii="黑体" w:hAnsi="黑体" w:eastAsia="黑体" w:cs="黑体"/>
          <w:b w:val="0"/>
          <w:bCs/>
          <w:sz w:val="21"/>
          <w:szCs w:val="21"/>
        </w:rPr>
      </w:pPr>
      <w:bookmarkStart w:id="287" w:name="_Toc16902"/>
      <w:bookmarkStart w:id="288" w:name="_Toc8676"/>
      <w:bookmarkStart w:id="289" w:name="_Toc70739289"/>
      <w:bookmarkStart w:id="290" w:name="_Toc399147724"/>
      <w:bookmarkStart w:id="291" w:name="_Toc39587892"/>
      <w:bookmarkStart w:id="292" w:name="_Toc74065551"/>
      <w:bookmarkStart w:id="293" w:name="_Ref80711546"/>
      <w:bookmarkStart w:id="294" w:name="_Toc399148292"/>
      <w:bookmarkStart w:id="295" w:name="_Toc77668610"/>
      <w:bookmarkStart w:id="296" w:name="_Toc398912905"/>
      <w:bookmarkStart w:id="297" w:name="_Toc75752060"/>
      <w:bookmarkStart w:id="298" w:name="_Toc70739291"/>
      <w:bookmarkStart w:id="299" w:name="_Toc70908950"/>
      <w:bookmarkStart w:id="300" w:name="_Toc73844301"/>
      <w:bookmarkStart w:id="301" w:name="_Toc70908952"/>
      <w:bookmarkStart w:id="302" w:name="_Toc70908964"/>
      <w:bookmarkStart w:id="303" w:name="_Toc39587894"/>
      <w:bookmarkStart w:id="304" w:name="_Toc70739303"/>
      <w:bookmarkStart w:id="305" w:name="_Toc76548905"/>
      <w:bookmarkStart w:id="306" w:name="_Toc76548977"/>
      <w:bookmarkStart w:id="307" w:name="_Toc240947886"/>
      <w:bookmarkStart w:id="308" w:name="_Toc39587904"/>
      <w:bookmarkStart w:id="309" w:name="_Ref79043520"/>
      <w:bookmarkStart w:id="310" w:name="_Toc74067331"/>
      <w:r>
        <w:rPr>
          <w:rFonts w:hint="eastAsia" w:ascii="黑体" w:hAnsi="黑体" w:eastAsia="黑体" w:cs="黑体"/>
          <w:b w:val="0"/>
          <w:bCs/>
          <w:sz w:val="21"/>
          <w:szCs w:val="21"/>
        </w:rPr>
        <w:t>充电桩通信单元性能检测</w:t>
      </w:r>
      <w:bookmarkEnd w:id="287"/>
      <w:bookmarkEnd w:id="288"/>
      <w:bookmarkStart w:id="311" w:name="_Toc398721813"/>
    </w:p>
    <w:p>
      <w:pPr>
        <w:widowControl/>
        <w:ind w:firstLine="420" w:firstLineChars="200"/>
        <w:rPr>
          <w:rFonts w:ascii="宋体" w:hAnsi="宋体" w:cs="宋体"/>
          <w:szCs w:val="21"/>
          <w:lang w:bidi="ar"/>
        </w:rPr>
      </w:pPr>
      <w:r>
        <w:rPr>
          <w:rFonts w:hint="eastAsia" w:ascii="宋体" w:hAnsi="宋体" w:cs="宋体"/>
          <w:szCs w:val="21"/>
          <w:lang w:bidi="ar"/>
        </w:rPr>
        <w:t>检测项目见表</w:t>
      </w:r>
      <w:r>
        <w:rPr>
          <w:rFonts w:ascii="宋体" w:hAnsi="宋体" w:cs="宋体"/>
          <w:szCs w:val="21"/>
          <w:lang w:bidi="ar"/>
        </w:rPr>
        <w:t>7，检测指标要求参见</w:t>
      </w:r>
      <w:r>
        <w:rPr>
          <w:rFonts w:hint="eastAsia" w:ascii="宋体" w:hAnsi="宋体" w:cs="宋体"/>
          <w:szCs w:val="21"/>
          <w:lang w:bidi="ar"/>
        </w:rPr>
        <w:t>5</w:t>
      </w:r>
      <w:r>
        <w:rPr>
          <w:rFonts w:ascii="宋体" w:hAnsi="宋体" w:cs="宋体"/>
          <w:szCs w:val="21"/>
          <w:lang w:bidi="ar"/>
        </w:rPr>
        <w:t>.1.3</w:t>
      </w:r>
      <w:r>
        <w:rPr>
          <w:rFonts w:hint="eastAsia" w:ascii="宋体" w:hAnsi="宋体" w:cs="宋体"/>
          <w:szCs w:val="21"/>
          <w:lang w:bidi="ar"/>
        </w:rPr>
        <w:t>。</w:t>
      </w:r>
    </w:p>
    <w:p>
      <w:pPr>
        <w:autoSpaceDE w:val="0"/>
        <w:autoSpaceDN w:val="0"/>
        <w:ind w:firstLine="420" w:firstLineChars="200"/>
        <w:jc w:val="center"/>
        <w:rPr>
          <w:rFonts w:hint="eastAsia" w:ascii="黑体" w:hAnsi="黑体" w:eastAsia="黑体" w:cs="黑体"/>
          <w:sz w:val="21"/>
          <w:szCs w:val="22"/>
          <w:lang w:val="en-US" w:eastAsia="zh-CN" w:bidi="ar-SA"/>
        </w:rPr>
      </w:pPr>
      <w:r>
        <w:rPr>
          <w:rFonts w:hint="eastAsia" w:ascii="黑体" w:hAnsi="黑体" w:eastAsia="黑体" w:cs="黑体"/>
          <w:sz w:val="21"/>
          <w:szCs w:val="22"/>
          <w:lang w:val="en-US" w:eastAsia="zh-CN" w:bidi="ar-SA"/>
        </w:rPr>
        <w:t>表7 双模通信性能检测项目</w:t>
      </w:r>
    </w:p>
    <w:tbl>
      <w:tblPr>
        <w:tblStyle w:val="38"/>
        <w:tblW w:w="7265" w:type="dxa"/>
        <w:tblInd w:w="8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
        <w:gridCol w:w="6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8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序号</w:t>
            </w:r>
          </w:p>
        </w:tc>
        <w:tc>
          <w:tcPr>
            <w:tcW w:w="638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检验项目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90" w:hRule="atLeast"/>
        </w:trPr>
        <w:tc>
          <w:tcPr>
            <w:tcW w:w="88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1</w:t>
            </w:r>
          </w:p>
        </w:tc>
        <w:tc>
          <w:tcPr>
            <w:tcW w:w="638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高速电力线载波通信基本通信性能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8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1.1</w:t>
            </w:r>
          </w:p>
        </w:tc>
        <w:tc>
          <w:tcPr>
            <w:tcW w:w="638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工作频带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8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1.2</w:t>
            </w:r>
          </w:p>
        </w:tc>
        <w:tc>
          <w:tcPr>
            <w:tcW w:w="638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功率频谱密度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2</w:t>
            </w:r>
          </w:p>
        </w:tc>
        <w:tc>
          <w:tcPr>
            <w:tcW w:w="638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高速无线通信基本通信性能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2.1</w:t>
            </w:r>
          </w:p>
        </w:tc>
        <w:tc>
          <w:tcPr>
            <w:tcW w:w="638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工作频带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2.2</w:t>
            </w:r>
          </w:p>
        </w:tc>
        <w:tc>
          <w:tcPr>
            <w:tcW w:w="638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信号带宽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2.3</w:t>
            </w:r>
          </w:p>
        </w:tc>
        <w:tc>
          <w:tcPr>
            <w:tcW w:w="6382"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发送频谱模板</w:t>
            </w:r>
          </w:p>
        </w:tc>
      </w:tr>
    </w:tbl>
    <w:p>
      <w:pPr>
        <w:pStyle w:val="41"/>
      </w:pPr>
    </w:p>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Pr>
        <w:pStyle w:val="2"/>
        <w:widowControl/>
        <w:numPr>
          <w:ilvl w:val="2"/>
          <w:numId w:val="6"/>
        </w:numPr>
        <w:spacing w:before="158" w:beforeLines="50" w:after="158" w:afterLines="50" w:line="240" w:lineRule="auto"/>
        <w:rPr>
          <w:rFonts w:ascii="黑体" w:hAnsi="黑体" w:eastAsia="黑体" w:cs="黑体"/>
          <w:b w:val="0"/>
          <w:bCs/>
          <w:sz w:val="21"/>
          <w:szCs w:val="21"/>
        </w:rPr>
      </w:pPr>
      <w:bookmarkStart w:id="312" w:name="_Toc3705"/>
      <w:bookmarkStart w:id="313" w:name="_Toc11281"/>
      <w:r>
        <w:rPr>
          <w:rFonts w:hint="eastAsia" w:ascii="黑体" w:hAnsi="黑体" w:eastAsia="黑体" w:cs="黑体"/>
          <w:b w:val="0"/>
          <w:bCs/>
          <w:sz w:val="21"/>
          <w:szCs w:val="21"/>
        </w:rPr>
        <w:t>充电桩功能和性能检测</w:t>
      </w:r>
      <w:bookmarkEnd w:id="312"/>
      <w:bookmarkEnd w:id="313"/>
    </w:p>
    <w:p>
      <w:pPr>
        <w:widowControl/>
        <w:ind w:firstLine="420" w:firstLineChars="200"/>
        <w:rPr>
          <w:rFonts w:ascii="宋体" w:hAnsi="宋体" w:cs="宋体"/>
          <w:szCs w:val="21"/>
          <w:lang w:bidi="ar"/>
        </w:rPr>
      </w:pPr>
      <w:r>
        <w:rPr>
          <w:rFonts w:hint="eastAsia" w:ascii="宋体" w:hAnsi="宋体" w:cs="宋体"/>
          <w:szCs w:val="21"/>
          <w:lang w:bidi="ar"/>
        </w:rPr>
        <w:t>检测项目见表</w:t>
      </w:r>
      <w:r>
        <w:rPr>
          <w:rFonts w:ascii="宋体" w:hAnsi="宋体" w:cs="宋体"/>
          <w:szCs w:val="21"/>
          <w:lang w:bidi="ar"/>
        </w:rPr>
        <w:t>8</w:t>
      </w:r>
      <w:r>
        <w:rPr>
          <w:rFonts w:hint="eastAsia" w:ascii="宋体" w:hAnsi="宋体" w:cs="宋体"/>
          <w:szCs w:val="21"/>
          <w:lang w:bidi="ar"/>
        </w:rPr>
        <w:t>。</w:t>
      </w:r>
    </w:p>
    <w:p>
      <w:pPr>
        <w:autoSpaceDE w:val="0"/>
        <w:autoSpaceDN w:val="0"/>
        <w:ind w:firstLine="420" w:firstLineChars="200"/>
        <w:jc w:val="center"/>
        <w:rPr>
          <w:rFonts w:hint="eastAsia" w:ascii="黑体" w:hAnsi="黑体" w:eastAsia="黑体" w:cs="黑体"/>
          <w:sz w:val="21"/>
          <w:szCs w:val="22"/>
          <w:lang w:val="en-US" w:eastAsia="zh-CN" w:bidi="ar-SA"/>
        </w:rPr>
      </w:pPr>
      <w:r>
        <w:rPr>
          <w:rFonts w:hint="eastAsia" w:ascii="黑体" w:hAnsi="黑体" w:eastAsia="黑体" w:cs="黑体"/>
          <w:sz w:val="21"/>
          <w:szCs w:val="22"/>
          <w:lang w:val="en-US" w:eastAsia="zh-CN" w:bidi="ar-SA"/>
        </w:rPr>
        <w:t>表8 充电桩功能和性能检测项目</w:t>
      </w:r>
    </w:p>
    <w:tbl>
      <w:tblPr>
        <w:tblStyle w:val="38"/>
        <w:tblW w:w="7333" w:type="dxa"/>
        <w:tblInd w:w="8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
        <w:gridCol w:w="6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序号</w:t>
            </w:r>
          </w:p>
        </w:tc>
        <w:tc>
          <w:tcPr>
            <w:tcW w:w="6450"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检　验　项　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8" w:hRule="atLeast"/>
        </w:trPr>
        <w:tc>
          <w:tcPr>
            <w:tcW w:w="88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1</w:t>
            </w:r>
          </w:p>
        </w:tc>
        <w:tc>
          <w:tcPr>
            <w:tcW w:w="6450"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实时功率调节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2</w:t>
            </w:r>
          </w:p>
        </w:tc>
        <w:tc>
          <w:tcPr>
            <w:tcW w:w="6450"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时段调控指令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3</w:t>
            </w:r>
          </w:p>
        </w:tc>
        <w:tc>
          <w:tcPr>
            <w:tcW w:w="6450"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对时功能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4</w:t>
            </w:r>
          </w:p>
        </w:tc>
        <w:tc>
          <w:tcPr>
            <w:tcW w:w="6450"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车辆唤醒功能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5</w:t>
            </w:r>
          </w:p>
        </w:tc>
        <w:tc>
          <w:tcPr>
            <w:tcW w:w="6450"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基本功能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1" w:hRule="atLeast"/>
        </w:trPr>
        <w:tc>
          <w:tcPr>
            <w:tcW w:w="88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6</w:t>
            </w:r>
          </w:p>
        </w:tc>
        <w:tc>
          <w:tcPr>
            <w:tcW w:w="6450"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受控状态上报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7</w:t>
            </w:r>
          </w:p>
        </w:tc>
        <w:tc>
          <w:tcPr>
            <w:tcW w:w="6450"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事件上报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8</w:t>
            </w:r>
          </w:p>
        </w:tc>
        <w:tc>
          <w:tcPr>
            <w:tcW w:w="6450"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基本信息上报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3"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9</w:t>
            </w:r>
          </w:p>
        </w:tc>
        <w:tc>
          <w:tcPr>
            <w:tcW w:w="6450" w:type="dxa"/>
          </w:tcPr>
          <w:p>
            <w:pPr>
              <w:widowControl/>
              <w:adjustRightInd w:val="0"/>
              <w:spacing w:line="240" w:lineRule="auto"/>
              <w:jc w:val="center"/>
              <w:rPr>
                <w:rFonts w:hint="eastAsia" w:ascii="Times New Roman" w:hAnsi="Times New Roman" w:eastAsia="宋体" w:cs="Times New Roman"/>
                <w:color w:val="000000"/>
                <w:kern w:val="0"/>
                <w:sz w:val="18"/>
                <w:szCs w:val="21"/>
              </w:rPr>
            </w:pPr>
            <w:r>
              <w:rPr>
                <w:rFonts w:hint="eastAsia" w:ascii="Times New Roman" w:hAnsi="Times New Roman" w:eastAsia="宋体" w:cs="Times New Roman"/>
                <w:color w:val="000000"/>
                <w:kern w:val="0"/>
                <w:sz w:val="18"/>
                <w:szCs w:val="21"/>
              </w:rPr>
              <w:t>充电桩地址</w:t>
            </w:r>
          </w:p>
        </w:tc>
      </w:tr>
    </w:tbl>
    <w:p>
      <w:pPr>
        <w:pStyle w:val="2"/>
        <w:widowControl/>
        <w:numPr>
          <w:ilvl w:val="3"/>
          <w:numId w:val="6"/>
        </w:numPr>
        <w:spacing w:before="158" w:beforeLines="50" w:after="158" w:afterLines="50" w:line="240" w:lineRule="auto"/>
        <w:rPr>
          <w:rFonts w:ascii="黑体" w:hAnsi="黑体" w:eastAsia="黑体" w:cs="黑体"/>
          <w:b w:val="0"/>
          <w:bCs/>
          <w:sz w:val="21"/>
          <w:szCs w:val="21"/>
        </w:rPr>
      </w:pPr>
      <w:bookmarkStart w:id="314" w:name="_Toc13966"/>
      <w:bookmarkStart w:id="315" w:name="_Toc9158"/>
      <w:r>
        <w:rPr>
          <w:rFonts w:hint="eastAsia" w:ascii="黑体" w:hAnsi="黑体" w:eastAsia="黑体" w:cs="黑体"/>
          <w:b w:val="0"/>
          <w:bCs/>
          <w:sz w:val="21"/>
          <w:szCs w:val="21"/>
        </w:rPr>
        <w:t>实时功率调节</w:t>
      </w:r>
      <w:bookmarkEnd w:id="314"/>
      <w:bookmarkEnd w:id="315"/>
    </w:p>
    <w:p>
      <w:pPr>
        <w:pStyle w:val="41"/>
      </w:pPr>
      <w:r>
        <w:rPr>
          <w:rFonts w:hint="eastAsia"/>
        </w:rPr>
        <w:t>（1）交流充电桩</w:t>
      </w:r>
    </w:p>
    <w:p>
      <w:pPr>
        <w:pStyle w:val="85"/>
        <w:widowControl/>
        <w:ind w:left="360" w:firstLine="0" w:firstLineChars="0"/>
      </w:pPr>
      <w:r>
        <w:rPr>
          <w:rFonts w:hint="eastAsia"/>
        </w:rPr>
        <w:t>响应速度：1s内调整PWM信号的占空比。</w:t>
      </w:r>
    </w:p>
    <w:p>
      <w:pPr>
        <w:pStyle w:val="85"/>
        <w:widowControl/>
        <w:ind w:left="360" w:firstLine="0" w:firstLineChars="0"/>
      </w:pPr>
      <w:r>
        <w:rPr>
          <w:rFonts w:hint="eastAsia"/>
        </w:rPr>
        <w:t>响应精度：实际误差≤5%</w:t>
      </w:r>
    </w:p>
    <w:p>
      <w:pPr>
        <w:pStyle w:val="41"/>
      </w:pPr>
      <w:r>
        <w:rPr>
          <w:rFonts w:hint="eastAsia"/>
        </w:rPr>
        <w:t>（2）非车载充电机</w:t>
      </w:r>
    </w:p>
    <w:p>
      <w:pPr>
        <w:widowControl/>
        <w:ind w:firstLine="420" w:firstLineChars="200"/>
      </w:pPr>
      <w:r>
        <w:rPr>
          <w:rFonts w:hint="eastAsia"/>
        </w:rPr>
        <w:t>响应速度： 输出功率下降的响应时间应≤ 3s，输出功率上升的响应时间应 ≤15s。</w:t>
      </w:r>
    </w:p>
    <w:p>
      <w:pPr>
        <w:widowControl/>
        <w:ind w:firstLine="420" w:firstLineChars="200"/>
      </w:pPr>
      <w:r>
        <w:rPr>
          <w:rFonts w:hint="eastAsia"/>
        </w:rPr>
        <w:t>响应精度：实际误差≤5%</w:t>
      </w:r>
    </w:p>
    <w:p>
      <w:pPr>
        <w:pStyle w:val="2"/>
        <w:widowControl/>
        <w:numPr>
          <w:ilvl w:val="3"/>
          <w:numId w:val="6"/>
        </w:numPr>
        <w:spacing w:before="158" w:beforeLines="50" w:after="158" w:afterLines="50" w:line="240" w:lineRule="auto"/>
        <w:rPr>
          <w:rFonts w:ascii="黑体" w:hAnsi="黑体" w:eastAsia="黑体" w:cs="黑体"/>
          <w:b w:val="0"/>
          <w:bCs/>
          <w:sz w:val="21"/>
          <w:szCs w:val="21"/>
        </w:rPr>
      </w:pPr>
      <w:bookmarkStart w:id="316" w:name="_Toc24964"/>
      <w:bookmarkStart w:id="317" w:name="_Toc13066"/>
      <w:r>
        <w:rPr>
          <w:rFonts w:hint="eastAsia" w:ascii="黑体" w:hAnsi="黑体" w:eastAsia="黑体" w:cs="黑体"/>
          <w:b w:val="0"/>
          <w:bCs/>
          <w:sz w:val="21"/>
          <w:szCs w:val="21"/>
        </w:rPr>
        <w:t>时段调控指令</w:t>
      </w:r>
      <w:bookmarkEnd w:id="316"/>
      <w:bookmarkEnd w:id="317"/>
    </w:p>
    <w:p>
      <w:pPr>
        <w:pStyle w:val="85"/>
        <w:widowControl/>
        <w:ind w:left="360" w:firstLine="0" w:firstLineChars="0"/>
      </w:pPr>
      <w:r>
        <w:rPr>
          <w:rFonts w:hint="eastAsia"/>
        </w:rPr>
        <w:t>响应时间误差：响应的时间和有序充电管理终端的时间误差≤ 5s</w:t>
      </w:r>
    </w:p>
    <w:p>
      <w:pPr>
        <w:pStyle w:val="85"/>
        <w:widowControl/>
        <w:ind w:left="360" w:firstLine="0" w:firstLineChars="0"/>
      </w:pPr>
      <w:r>
        <w:rPr>
          <w:rFonts w:hint="eastAsia"/>
        </w:rPr>
        <w:t>响应精度：实际误差≤5%</w:t>
      </w:r>
    </w:p>
    <w:p>
      <w:pPr>
        <w:pStyle w:val="2"/>
        <w:widowControl/>
        <w:numPr>
          <w:ilvl w:val="3"/>
          <w:numId w:val="6"/>
        </w:numPr>
        <w:spacing w:before="158" w:beforeLines="50" w:after="158" w:afterLines="50" w:line="240" w:lineRule="auto"/>
        <w:rPr>
          <w:rFonts w:ascii="黑体" w:hAnsi="黑体" w:eastAsia="黑体" w:cs="黑体"/>
          <w:b w:val="0"/>
          <w:bCs/>
          <w:sz w:val="21"/>
          <w:szCs w:val="21"/>
        </w:rPr>
      </w:pPr>
      <w:bookmarkStart w:id="318" w:name="_Toc12103"/>
      <w:bookmarkStart w:id="319" w:name="_Toc28914"/>
      <w:r>
        <w:rPr>
          <w:rFonts w:hint="eastAsia" w:ascii="黑体" w:hAnsi="黑体" w:eastAsia="黑体" w:cs="黑体"/>
          <w:b w:val="0"/>
          <w:bCs/>
          <w:sz w:val="21"/>
          <w:szCs w:val="21"/>
        </w:rPr>
        <w:t>对时功能</w:t>
      </w:r>
      <w:bookmarkEnd w:id="318"/>
      <w:bookmarkEnd w:id="319"/>
    </w:p>
    <w:p>
      <w:pPr>
        <w:pStyle w:val="85"/>
        <w:widowControl/>
      </w:pPr>
      <w:r>
        <w:rPr>
          <w:rFonts w:hint="eastAsia"/>
        </w:rPr>
        <w:t>时钟上报：充电桩具备向有序充电管理终端上报当前时钟功能</w:t>
      </w:r>
    </w:p>
    <w:p>
      <w:pPr>
        <w:pStyle w:val="85"/>
        <w:widowControl/>
      </w:pPr>
      <w:r>
        <w:rPr>
          <w:rFonts w:hint="eastAsia"/>
        </w:rPr>
        <w:t>对时功能：充电桩收到有序充电管理终端的对时指令后，实际设定的时间和指令要求的时间误差不超过5s；</w:t>
      </w:r>
    </w:p>
    <w:p>
      <w:pPr>
        <w:pStyle w:val="2"/>
        <w:widowControl/>
        <w:numPr>
          <w:ilvl w:val="3"/>
          <w:numId w:val="6"/>
        </w:numPr>
        <w:spacing w:before="158" w:beforeLines="50" w:after="158" w:afterLines="50" w:line="240" w:lineRule="auto"/>
        <w:rPr>
          <w:rFonts w:ascii="黑体" w:hAnsi="黑体" w:eastAsia="黑体" w:cs="黑体"/>
          <w:b w:val="0"/>
          <w:bCs/>
          <w:sz w:val="21"/>
          <w:szCs w:val="21"/>
        </w:rPr>
      </w:pPr>
      <w:bookmarkStart w:id="320" w:name="_Toc21727"/>
      <w:bookmarkStart w:id="321" w:name="_Toc25577"/>
      <w:r>
        <w:rPr>
          <w:rFonts w:hint="eastAsia" w:ascii="黑体" w:hAnsi="黑体" w:eastAsia="黑体" w:cs="黑体"/>
          <w:b w:val="0"/>
          <w:bCs/>
          <w:sz w:val="21"/>
          <w:szCs w:val="21"/>
        </w:rPr>
        <w:t>车辆唤醒功能</w:t>
      </w:r>
      <w:bookmarkEnd w:id="320"/>
      <w:bookmarkEnd w:id="321"/>
    </w:p>
    <w:p>
      <w:pPr>
        <w:widowControl/>
        <w:ind w:firstLine="420" w:firstLineChars="200"/>
      </w:pPr>
      <w:r>
        <w:rPr>
          <w:rFonts w:hint="eastAsia"/>
        </w:rPr>
        <w:t>车辆唤醒：当车辆处于休眠状态时，充电桩应具备：GB/T18487.1-2023《电动汽车传导充电系统第1部分：通用要求》中的车辆唤醒功能</w:t>
      </w:r>
    </w:p>
    <w:p>
      <w:pPr>
        <w:pStyle w:val="2"/>
        <w:widowControl/>
        <w:numPr>
          <w:ilvl w:val="3"/>
          <w:numId w:val="6"/>
        </w:numPr>
        <w:spacing w:before="158" w:beforeLines="50" w:after="158" w:afterLines="50" w:line="240" w:lineRule="auto"/>
        <w:rPr>
          <w:rFonts w:ascii="黑体" w:hAnsi="黑体" w:eastAsia="黑体" w:cs="黑体"/>
          <w:b w:val="0"/>
          <w:bCs/>
          <w:sz w:val="21"/>
          <w:szCs w:val="21"/>
        </w:rPr>
      </w:pPr>
      <w:bookmarkStart w:id="322" w:name="_Toc3036"/>
      <w:bookmarkStart w:id="323" w:name="_Toc28842"/>
      <w:r>
        <w:rPr>
          <w:rFonts w:hint="eastAsia" w:ascii="黑体" w:hAnsi="黑体" w:eastAsia="黑体" w:cs="黑体"/>
          <w:b w:val="0"/>
          <w:bCs/>
          <w:sz w:val="21"/>
          <w:szCs w:val="21"/>
        </w:rPr>
        <w:t>基本功能</w:t>
      </w:r>
      <w:bookmarkEnd w:id="322"/>
      <w:bookmarkEnd w:id="323"/>
    </w:p>
    <w:p>
      <w:pPr>
        <w:pStyle w:val="85"/>
        <w:widowControl/>
      </w:pPr>
      <w:r>
        <w:rPr>
          <w:rFonts w:hint="eastAsia"/>
        </w:rPr>
        <w:t>停电后恢复：充电桩恢复供电后，应能重启并处于待机状态。</w:t>
      </w:r>
    </w:p>
    <w:p>
      <w:pPr>
        <w:pStyle w:val="85"/>
        <w:widowControl/>
      </w:pPr>
      <w:r>
        <w:rPr>
          <w:rFonts w:hint="eastAsia"/>
        </w:rPr>
        <w:t>远程控制：智能非车载充电机应具备在充电过程中根据功率控制指令暂停充电，在接到恢复充电指令后恢复的功能；</w:t>
      </w:r>
    </w:p>
    <w:p>
      <w:pPr>
        <w:pStyle w:val="2"/>
        <w:widowControl/>
        <w:numPr>
          <w:ilvl w:val="3"/>
          <w:numId w:val="6"/>
        </w:numPr>
        <w:spacing w:before="158" w:beforeLines="50" w:after="158" w:afterLines="50" w:line="240" w:lineRule="auto"/>
        <w:rPr>
          <w:rFonts w:ascii="黑体" w:hAnsi="黑体" w:eastAsia="黑体" w:cs="黑体"/>
          <w:b w:val="0"/>
          <w:bCs/>
          <w:sz w:val="21"/>
          <w:szCs w:val="21"/>
        </w:rPr>
      </w:pPr>
      <w:bookmarkStart w:id="324" w:name="_Toc19331"/>
      <w:bookmarkStart w:id="325" w:name="_Toc32041"/>
      <w:r>
        <w:rPr>
          <w:rFonts w:hint="eastAsia" w:ascii="黑体" w:hAnsi="黑体" w:eastAsia="黑体" w:cs="黑体"/>
          <w:b w:val="0"/>
          <w:bCs/>
          <w:sz w:val="21"/>
          <w:szCs w:val="21"/>
        </w:rPr>
        <w:t>受控状态上报</w:t>
      </w:r>
      <w:bookmarkEnd w:id="324"/>
      <w:bookmarkEnd w:id="325"/>
    </w:p>
    <w:p>
      <w:pPr>
        <w:pStyle w:val="85"/>
        <w:widowControl/>
        <w:ind w:left="360" w:firstLine="0" w:firstLineChars="0"/>
      </w:pPr>
      <w:r>
        <w:rPr>
          <w:rFonts w:hint="eastAsia"/>
        </w:rPr>
        <w:t>受控状态上报：充电桩具备向有序充电管理终端上报受控状态功能；</w:t>
      </w:r>
    </w:p>
    <w:p>
      <w:pPr>
        <w:pStyle w:val="2"/>
        <w:widowControl/>
        <w:numPr>
          <w:ilvl w:val="3"/>
          <w:numId w:val="6"/>
        </w:numPr>
        <w:spacing w:before="158" w:beforeLines="50" w:after="158" w:afterLines="50" w:line="240" w:lineRule="auto"/>
        <w:rPr>
          <w:rFonts w:ascii="黑体" w:hAnsi="黑体" w:eastAsia="黑体" w:cs="黑体"/>
          <w:b w:val="0"/>
          <w:bCs/>
          <w:sz w:val="21"/>
          <w:szCs w:val="21"/>
        </w:rPr>
      </w:pPr>
      <w:bookmarkStart w:id="326" w:name="_Toc21593"/>
      <w:bookmarkStart w:id="327" w:name="_Toc2792"/>
      <w:r>
        <w:rPr>
          <w:rFonts w:hint="eastAsia" w:ascii="黑体" w:hAnsi="黑体" w:eastAsia="黑体" w:cs="黑体"/>
          <w:b w:val="0"/>
          <w:bCs/>
          <w:sz w:val="21"/>
          <w:szCs w:val="21"/>
        </w:rPr>
        <w:t>事件上报</w:t>
      </w:r>
      <w:bookmarkEnd w:id="326"/>
      <w:bookmarkEnd w:id="327"/>
    </w:p>
    <w:p>
      <w:pPr>
        <w:widowControl/>
        <w:ind w:firstLine="420" w:firstLineChars="200"/>
      </w:pPr>
      <w:r>
        <w:rPr>
          <w:rFonts w:hint="eastAsia"/>
        </w:rPr>
        <w:t>停上电事件上报：充电桩具备向有序充电管理终端上报停上电的事件；</w:t>
      </w:r>
    </w:p>
    <w:p>
      <w:pPr>
        <w:widowControl/>
      </w:pPr>
      <w:r>
        <w:rPr>
          <w:rFonts w:hint="eastAsia"/>
        </w:rPr>
        <w:t xml:space="preserve">    启停事件上报：充电桩具备向有序充电管理终端上报启停事件的事件；</w:t>
      </w:r>
    </w:p>
    <w:p>
      <w:pPr>
        <w:pStyle w:val="2"/>
        <w:widowControl/>
        <w:numPr>
          <w:ilvl w:val="3"/>
          <w:numId w:val="6"/>
        </w:numPr>
        <w:spacing w:before="158" w:beforeLines="50" w:after="158" w:afterLines="50" w:line="240" w:lineRule="auto"/>
        <w:rPr>
          <w:rFonts w:ascii="黑体" w:hAnsi="黑体" w:eastAsia="黑体" w:cs="黑体"/>
          <w:b w:val="0"/>
          <w:bCs/>
          <w:sz w:val="21"/>
          <w:szCs w:val="21"/>
        </w:rPr>
      </w:pPr>
      <w:bookmarkStart w:id="328" w:name="_Toc3359"/>
      <w:bookmarkStart w:id="329" w:name="_Toc23021"/>
      <w:r>
        <w:rPr>
          <w:rFonts w:hint="eastAsia" w:ascii="黑体" w:hAnsi="黑体" w:eastAsia="黑体" w:cs="黑体"/>
          <w:b w:val="0"/>
          <w:bCs/>
          <w:sz w:val="21"/>
          <w:szCs w:val="21"/>
        </w:rPr>
        <w:t>基本信息上报</w:t>
      </w:r>
      <w:bookmarkEnd w:id="328"/>
      <w:bookmarkEnd w:id="329"/>
    </w:p>
    <w:p>
      <w:pPr>
        <w:widowControl/>
      </w:pPr>
      <w:r>
        <w:rPr>
          <w:rFonts w:hint="eastAsia"/>
        </w:rPr>
        <w:t xml:space="preserve">    上报充电桩额定功率：充电桩具备向有序充电管理终端上报充电桩额定功率；</w:t>
      </w:r>
    </w:p>
    <w:p>
      <w:pPr>
        <w:widowControl/>
        <w:ind w:firstLine="420" w:firstLineChars="200"/>
      </w:pPr>
      <w:r>
        <w:rPr>
          <w:rFonts w:hint="eastAsia"/>
        </w:rPr>
        <w:t>上报生产厂家信息：充电桩具备向有序充电管理终端上报生产厂家信息；</w:t>
      </w:r>
    </w:p>
    <w:p>
      <w:pPr>
        <w:pStyle w:val="2"/>
        <w:widowControl/>
        <w:numPr>
          <w:ilvl w:val="3"/>
          <w:numId w:val="6"/>
        </w:numPr>
        <w:spacing w:before="158" w:beforeLines="50" w:after="158" w:afterLines="50" w:line="240" w:lineRule="auto"/>
        <w:rPr>
          <w:rFonts w:ascii="黑体" w:hAnsi="黑体" w:eastAsia="黑体" w:cs="黑体"/>
          <w:b w:val="0"/>
          <w:bCs/>
          <w:sz w:val="21"/>
          <w:szCs w:val="21"/>
        </w:rPr>
      </w:pPr>
      <w:bookmarkStart w:id="330" w:name="_Toc25654"/>
      <w:bookmarkStart w:id="331" w:name="_Toc21236"/>
      <w:r>
        <w:rPr>
          <w:rFonts w:hint="eastAsia" w:ascii="黑体" w:hAnsi="黑体" w:eastAsia="黑体" w:cs="黑体"/>
          <w:b w:val="0"/>
          <w:bCs/>
          <w:sz w:val="21"/>
          <w:szCs w:val="21"/>
        </w:rPr>
        <w:t>充电桩地址</w:t>
      </w:r>
      <w:bookmarkEnd w:id="330"/>
      <w:bookmarkEnd w:id="331"/>
    </w:p>
    <w:p>
      <w:pPr>
        <w:widowControl/>
        <w:ind w:firstLine="420"/>
      </w:pPr>
      <w:r>
        <w:rPr>
          <w:rFonts w:hint="eastAsia"/>
        </w:rPr>
        <w:t>设定充电桩地址：充电桩具备写入地址的功能</w:t>
      </w:r>
    </w:p>
    <w:p>
      <w:pPr>
        <w:widowControl/>
        <w:ind w:firstLine="420"/>
        <w:rPr>
          <w:rFonts w:ascii="黑体" w:hAnsi="黑体" w:eastAsia="黑体"/>
        </w:rPr>
      </w:pPr>
      <w:r>
        <w:rPr>
          <w:rFonts w:hint="eastAsia"/>
        </w:rPr>
        <w:t>上报充电桩地址：充电桩具备向有序充电管理终端上报充电桩地址。</w:t>
      </w:r>
    </w:p>
    <w:p>
      <w:pPr>
        <w:pStyle w:val="2"/>
        <w:widowControl/>
        <w:numPr>
          <w:ilvl w:val="1"/>
          <w:numId w:val="6"/>
        </w:numPr>
        <w:tabs>
          <w:tab w:val="left" w:pos="0"/>
        </w:tabs>
        <w:spacing w:before="158" w:beforeLines="50" w:after="158" w:afterLines="50" w:line="240" w:lineRule="auto"/>
        <w:rPr>
          <w:rFonts w:ascii="黑体" w:hAnsi="黑体" w:eastAsia="黑体" w:cs="黑体"/>
          <w:b w:val="0"/>
          <w:bCs/>
          <w:sz w:val="21"/>
          <w:szCs w:val="21"/>
        </w:rPr>
      </w:pPr>
      <w:bookmarkStart w:id="332" w:name="_Toc32513"/>
      <w:bookmarkStart w:id="333" w:name="_Toc12560_WPSOffice_Level2"/>
      <w:r>
        <w:rPr>
          <w:rFonts w:hint="eastAsia" w:ascii="黑体" w:hAnsi="黑体" w:eastAsia="黑体" w:cs="黑体"/>
          <w:b w:val="0"/>
          <w:bCs/>
          <w:sz w:val="21"/>
          <w:szCs w:val="21"/>
        </w:rPr>
        <w:t>入网及运行要求</w:t>
      </w:r>
      <w:bookmarkEnd w:id="332"/>
      <w:bookmarkEnd w:id="333"/>
    </w:p>
    <w:p>
      <w:pPr>
        <w:pStyle w:val="2"/>
        <w:widowControl/>
        <w:numPr>
          <w:ilvl w:val="2"/>
          <w:numId w:val="6"/>
        </w:numPr>
        <w:spacing w:before="0" w:after="0" w:line="240" w:lineRule="auto"/>
        <w:rPr>
          <w:rFonts w:ascii="宋体" w:hAnsi="宋体" w:cs="宋体"/>
          <w:b w:val="0"/>
          <w:bCs/>
          <w:sz w:val="21"/>
          <w:szCs w:val="21"/>
        </w:rPr>
      </w:pPr>
      <w:bookmarkStart w:id="334" w:name="_Toc8602"/>
      <w:bookmarkStart w:id="335" w:name="_Toc16477"/>
      <w:r>
        <w:rPr>
          <w:rFonts w:hint="eastAsia" w:ascii="宋体" w:hAnsi="宋体" w:cs="宋体"/>
          <w:b w:val="0"/>
          <w:bCs/>
          <w:sz w:val="21"/>
          <w:szCs w:val="21"/>
        </w:rPr>
        <w:t>有序充电设备接入电网时，应进行通信、数据采集、功率调控方面的现场测试。</w:t>
      </w:r>
      <w:bookmarkEnd w:id="334"/>
    </w:p>
    <w:p>
      <w:pPr>
        <w:pStyle w:val="2"/>
        <w:widowControl/>
        <w:numPr>
          <w:ilvl w:val="2"/>
          <w:numId w:val="6"/>
        </w:numPr>
        <w:spacing w:before="0" w:after="0" w:line="240" w:lineRule="auto"/>
        <w:rPr>
          <w:rFonts w:ascii="宋体" w:hAnsi="宋体" w:cs="宋体"/>
          <w:b w:val="0"/>
          <w:bCs/>
          <w:sz w:val="21"/>
          <w:szCs w:val="21"/>
        </w:rPr>
      </w:pPr>
      <w:bookmarkStart w:id="336" w:name="_Toc16656"/>
      <w:r>
        <w:rPr>
          <w:rFonts w:hint="eastAsia" w:ascii="宋体" w:hAnsi="宋体" w:cs="宋体"/>
          <w:b w:val="0"/>
          <w:bCs/>
          <w:sz w:val="21"/>
          <w:szCs w:val="21"/>
        </w:rPr>
        <w:t>电网公司定期监控有序充电设备与电网交互的技术指标，如不满足技术要求，则需限期整改。</w:t>
      </w:r>
      <w:bookmarkEnd w:id="335"/>
      <w:bookmarkEnd w:id="336"/>
    </w:p>
    <w:p>
      <w:pPr>
        <w:widowControl/>
        <w:rPr>
          <w:rFonts w:hAnsi="黑体"/>
          <w:sz w:val="24"/>
        </w:rPr>
      </w:pPr>
      <w:r>
        <w:rPr>
          <w:rFonts w:hAnsi="黑体"/>
          <w:sz w:val="24"/>
        </w:rPr>
        <w:br w:type="page"/>
      </w:r>
    </w:p>
    <w:p>
      <w:pPr>
        <w:pStyle w:val="43"/>
        <w:numPr>
          <w:ilvl w:val="0"/>
          <w:numId w:val="0"/>
        </w:numPr>
        <w:spacing w:before="850" w:beforeLines="0" w:afterLines="0"/>
        <w:jc w:val="center"/>
        <w:outlineLvl w:val="0"/>
        <w:rPr>
          <w:rFonts w:hint="eastAsia" w:ascii="黑体" w:hAnsi="黑体" w:eastAsia="黑体" w:cs="黑体"/>
          <w:spacing w:val="57"/>
          <w:szCs w:val="21"/>
        </w:rPr>
      </w:pPr>
      <w:bookmarkStart w:id="337" w:name="_Toc27740"/>
      <w:bookmarkStart w:id="338" w:name="_Toc25198_WPSOffice_Level1"/>
      <w:r>
        <w:rPr>
          <w:rFonts w:hint="eastAsia" w:ascii="黑体" w:hAnsi="黑体" w:eastAsia="黑体" w:cs="黑体"/>
          <w:spacing w:val="57"/>
          <w:szCs w:val="21"/>
        </w:rPr>
        <w:t>附录A</w:t>
      </w:r>
      <w:bookmarkEnd w:id="337"/>
      <w:r>
        <w:rPr>
          <w:rFonts w:hint="eastAsia" w:ascii="黑体" w:hAnsi="黑体" w:eastAsia="黑体" w:cs="黑体"/>
          <w:spacing w:val="57"/>
          <w:szCs w:val="21"/>
        </w:rPr>
        <w:t xml:space="preserve"> </w:t>
      </w:r>
    </w:p>
    <w:p>
      <w:pPr>
        <w:pStyle w:val="41"/>
        <w:jc w:val="center"/>
        <w:rPr>
          <w:rFonts w:hint="eastAsia" w:ascii="黑体" w:hAnsi="黑体" w:eastAsia="黑体" w:cs="黑体"/>
        </w:rPr>
      </w:pPr>
      <w:r>
        <w:rPr>
          <w:rFonts w:hint="eastAsia" w:ascii="黑体" w:hAnsi="黑体" w:eastAsia="黑体" w:cs="黑体"/>
        </w:rPr>
        <w:t>（规范性）</w:t>
      </w:r>
    </w:p>
    <w:p>
      <w:pPr>
        <w:pStyle w:val="43"/>
        <w:numPr>
          <w:ilvl w:val="0"/>
          <w:numId w:val="0"/>
        </w:numPr>
        <w:spacing w:beforeLines="0" w:after="283" w:afterLines="0"/>
        <w:jc w:val="center"/>
        <w:outlineLvl w:val="0"/>
        <w:rPr>
          <w:rFonts w:hint="eastAsia" w:ascii="黑体" w:hAnsi="黑体" w:eastAsia="黑体" w:cs="黑体"/>
          <w:szCs w:val="21"/>
        </w:rPr>
      </w:pPr>
      <w:bookmarkStart w:id="339" w:name="_Toc12064"/>
      <w:r>
        <w:rPr>
          <w:rFonts w:hint="eastAsia" w:ascii="黑体" w:hAnsi="黑体" w:eastAsia="黑体" w:cs="黑体"/>
          <w:szCs w:val="21"/>
        </w:rPr>
        <w:t>通信单元</w:t>
      </w:r>
      <w:bookmarkEnd w:id="339"/>
    </w:p>
    <w:p>
      <w:pPr>
        <w:pStyle w:val="2"/>
        <w:widowControl/>
        <w:numPr>
          <w:ilvl w:val="0"/>
          <w:numId w:val="0"/>
        </w:numPr>
        <w:spacing w:before="317" w:beforeLines="100" w:after="317" w:afterLines="100" w:line="240" w:lineRule="auto"/>
        <w:ind w:leftChars="0"/>
        <w:rPr>
          <w:rFonts w:hint="eastAsia" w:ascii="黑体" w:hAnsi="黑体" w:eastAsia="黑体" w:cs="黑体"/>
          <w:b w:val="0"/>
          <w:bCs/>
          <w:sz w:val="21"/>
          <w:szCs w:val="21"/>
        </w:rPr>
      </w:pPr>
      <w:bookmarkStart w:id="340" w:name="_Toc13255"/>
      <w:r>
        <w:rPr>
          <w:rFonts w:hint="eastAsia" w:ascii="黑体" w:hAnsi="黑体" w:eastAsia="黑体" w:cs="黑体"/>
          <w:b w:val="0"/>
          <w:bCs/>
          <w:sz w:val="21"/>
          <w:szCs w:val="21"/>
        </w:rPr>
        <w:t>A.1　通信单元尺寸</w:t>
      </w:r>
      <w:bookmarkEnd w:id="338"/>
      <w:bookmarkEnd w:id="340"/>
    </w:p>
    <w:p>
      <w:pPr>
        <w:pStyle w:val="41"/>
        <w:spacing w:before="0" w:line="240" w:lineRule="auto"/>
      </w:pPr>
      <w:r>
        <w:rPr>
          <w:rFonts w:hint="eastAsia"/>
        </w:rPr>
        <w:t>通信单元的外形尺寸为 70mm（长） ×50mm（宽） ×22.7mm（高）； 通信单元要有厂家名称、 模块名称、 规格型号、 出厂编号等标识； 通信单元材料、 颜色与表盖一致。</w:t>
      </w:r>
    </w:p>
    <w:p>
      <w:pPr>
        <w:pStyle w:val="41"/>
        <w:spacing w:before="0" w:line="240" w:lineRule="auto"/>
      </w:pPr>
      <w:r>
        <w:rPr>
          <w:rFonts w:hint="eastAsia"/>
        </w:rPr>
        <w:t>通信单元尺寸图见图A.1。</w:t>
      </w:r>
    </w:p>
    <w:p>
      <w:pPr>
        <w:pStyle w:val="41"/>
        <w:rPr>
          <w:szCs w:val="21"/>
        </w:rPr>
      </w:pPr>
      <w:r>
        <w:rPr>
          <w:rFonts w:hint="eastAsia"/>
        </w:rPr>
        <w:drawing>
          <wp:inline distT="0" distB="0" distL="0" distR="0">
            <wp:extent cx="4754880" cy="6035040"/>
            <wp:effectExtent l="0" t="0" r="7620" b="3810"/>
            <wp:docPr id="1" name="图片 1" descr="66666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66666_副本"/>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4754880" cy="6035040"/>
                    </a:xfrm>
                    <a:prstGeom prst="rect">
                      <a:avLst/>
                    </a:prstGeom>
                    <a:noFill/>
                    <a:ln>
                      <a:noFill/>
                    </a:ln>
                  </pic:spPr>
                </pic:pic>
              </a:graphicData>
            </a:graphic>
          </wp:inline>
        </w:drawing>
      </w:r>
    </w:p>
    <w:p>
      <w:pPr>
        <w:autoSpaceDE w:val="0"/>
        <w:autoSpaceDN w:val="0"/>
        <w:ind w:firstLine="420" w:firstLineChars="200"/>
        <w:jc w:val="center"/>
        <w:rPr>
          <w:rFonts w:hint="eastAsia" w:ascii="宋体" w:hAnsi="宋体" w:eastAsia="宋体" w:cs="宋体"/>
          <w:sz w:val="21"/>
          <w:lang w:val="en-US" w:eastAsia="zh-CN" w:bidi="ar-SA"/>
        </w:rPr>
      </w:pPr>
      <w:bookmarkStart w:id="341" w:name="_Toc13184_WPSOffice_Level2"/>
      <w:bookmarkStart w:id="342" w:name="_Toc5362"/>
      <w:r>
        <w:rPr>
          <w:rFonts w:hint="eastAsia" w:ascii="宋体" w:hAnsi="宋体" w:eastAsia="宋体" w:cs="宋体"/>
          <w:sz w:val="21"/>
          <w:lang w:val="en-US" w:eastAsia="zh-CN" w:bidi="ar-SA"/>
        </w:rPr>
        <w:t>图A.1　通信单元尺寸图</w:t>
      </w:r>
      <w:bookmarkEnd w:id="341"/>
      <w:bookmarkEnd w:id="342"/>
    </w:p>
    <w:p>
      <w:pPr>
        <w:pStyle w:val="2"/>
        <w:widowControl/>
        <w:numPr>
          <w:ilvl w:val="0"/>
          <w:numId w:val="0"/>
        </w:numPr>
        <w:spacing w:before="317" w:beforeLines="100" w:after="317" w:afterLines="100" w:line="240" w:lineRule="auto"/>
        <w:ind w:leftChars="0"/>
        <w:rPr>
          <w:rFonts w:hint="eastAsia" w:ascii="黑体" w:hAnsi="黑体" w:eastAsia="黑体" w:cs="黑体"/>
          <w:b w:val="0"/>
          <w:bCs/>
          <w:sz w:val="21"/>
          <w:szCs w:val="21"/>
        </w:rPr>
      </w:pPr>
      <w:bookmarkStart w:id="343" w:name="_Toc32489_WPSOffice_Level1"/>
      <w:bookmarkStart w:id="344" w:name="_Toc11819"/>
      <w:r>
        <w:rPr>
          <w:rFonts w:hint="eastAsia" w:ascii="黑体" w:hAnsi="黑体" w:eastAsia="黑体" w:cs="黑体"/>
          <w:b w:val="0"/>
          <w:bCs/>
          <w:sz w:val="21"/>
          <w:szCs w:val="21"/>
        </w:rPr>
        <w:t>A.2　通信单元弱电接口管脚定义</w:t>
      </w:r>
      <w:bookmarkEnd w:id="343"/>
      <w:bookmarkEnd w:id="344"/>
    </w:p>
    <w:p>
      <w:pPr>
        <w:pStyle w:val="41"/>
        <w:spacing w:before="0" w:line="240" w:lineRule="auto"/>
      </w:pPr>
      <w:r>
        <w:rPr>
          <w:rFonts w:hint="eastAsia"/>
        </w:rPr>
        <w:t>通信单元弱电接口采用 2×6 双排插针作为连接件，充电控制设备弱电接口采用 2×6 双排插座作为连接件。</w:t>
      </w:r>
    </w:p>
    <w:p>
      <w:pPr>
        <w:pStyle w:val="41"/>
        <w:spacing w:before="0" w:line="240" w:lineRule="auto"/>
      </w:pPr>
      <w:r>
        <w:rPr>
          <w:rFonts w:hint="eastAsia"/>
        </w:rPr>
        <w:t xml:space="preserve">图 A.2 为充电控制设备侧弱电接口管脚定义示意图（从充电控制设备的正面看）； 充电控制设备与通信单元弱电接口管脚定义见表 </w:t>
      </w:r>
      <w:r>
        <w:t>A</w:t>
      </w:r>
      <w:r>
        <w:rPr>
          <w:rFonts w:hint="eastAsia"/>
        </w:rPr>
        <w:t>.1。</w:t>
      </w:r>
    </w:p>
    <w:p>
      <w:pPr>
        <w:widowControl/>
        <w:tabs>
          <w:tab w:val="left" w:pos="860"/>
          <w:tab w:val="left" w:pos="1002"/>
        </w:tabs>
        <w:jc w:val="center"/>
      </w:pPr>
      <w:r>
        <w:drawing>
          <wp:inline distT="0" distB="0" distL="0" distR="0">
            <wp:extent cx="2319655" cy="2640330"/>
            <wp:effectExtent l="0" t="0" r="12065" b="1143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35" cstate="print"/>
                    <a:stretch>
                      <a:fillRect/>
                    </a:stretch>
                  </pic:blipFill>
                  <pic:spPr>
                    <a:xfrm>
                      <a:off x="0" y="0"/>
                      <a:ext cx="2319361" cy="2639887"/>
                    </a:xfrm>
                    <a:prstGeom prst="rect">
                      <a:avLst/>
                    </a:prstGeom>
                  </pic:spPr>
                </pic:pic>
              </a:graphicData>
            </a:graphic>
          </wp:inline>
        </w:drawing>
      </w:r>
    </w:p>
    <w:p>
      <w:pPr>
        <w:pStyle w:val="41"/>
        <w:autoSpaceDE w:val="0"/>
        <w:autoSpaceDN w:val="0"/>
        <w:ind w:firstLine="420" w:firstLineChars="200"/>
        <w:jc w:val="center"/>
        <w:rPr>
          <w:rFonts w:hint="eastAsia" w:ascii="宋体" w:hAnsi="宋体" w:eastAsia="宋体" w:cs="宋体"/>
          <w:sz w:val="21"/>
          <w:szCs w:val="22"/>
          <w:lang w:val="en-US" w:eastAsia="zh-CN" w:bidi="ar-SA"/>
        </w:rPr>
      </w:pPr>
      <w:bookmarkStart w:id="345" w:name="_Toc27443_WPSOffice_Level2"/>
      <w:r>
        <w:rPr>
          <w:rFonts w:hint="eastAsia" w:ascii="宋体" w:hAnsi="宋体" w:eastAsia="宋体" w:cs="宋体"/>
          <w:sz w:val="21"/>
          <w:szCs w:val="22"/>
          <w:lang w:val="en-US" w:eastAsia="zh-CN" w:bidi="ar-SA"/>
        </w:rPr>
        <w:t>图A.2　充电控制设备侧通信单元弱电接口示意图</w:t>
      </w:r>
      <w:bookmarkEnd w:id="345"/>
    </w:p>
    <w:p>
      <w:pPr>
        <w:pStyle w:val="41"/>
        <w:jc w:val="center"/>
        <w:rPr>
          <w:rFonts w:hint="eastAsia" w:ascii="黑体" w:hAnsi="黑体" w:eastAsia="黑体" w:cs="黑体"/>
        </w:rPr>
      </w:pPr>
      <w:bookmarkStart w:id="346" w:name="_Toc23873_WPSOffice_Level2"/>
      <w:r>
        <w:rPr>
          <w:rFonts w:hint="eastAsia" w:ascii="黑体" w:hAnsi="黑体" w:eastAsia="黑体" w:cs="黑体"/>
        </w:rPr>
        <w:t>表A.1　充电控制设备与通信单元弱电接口管脚定义说明</w:t>
      </w:r>
      <w:bookmarkEnd w:id="346"/>
    </w:p>
    <w:tbl>
      <w:tblPr>
        <w:tblStyle w:val="37"/>
        <w:tblW w:w="896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922"/>
        <w:gridCol w:w="900"/>
        <w:gridCol w:w="1274"/>
        <w:gridCol w:w="5016"/>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9" w:type="dxa"/>
          <w:jc w:val="center"/>
        </w:trPr>
        <w:tc>
          <w:tcPr>
            <w:tcW w:w="847" w:type="dxa"/>
            <w:vAlign w:val="center"/>
          </w:tcPr>
          <w:p>
            <w:pPr>
              <w:pStyle w:val="73"/>
              <w:widowControl/>
              <w:spacing w:beforeLines="0" w:afterLines="0" w:line="240" w:lineRule="auto"/>
              <w:jc w:val="center"/>
              <w:rPr>
                <w:rFonts w:hint="eastAsia" w:ascii="宋体" w:hAnsi="宋体" w:eastAsia="宋体" w:cs="宋体"/>
                <w:b w:val="0"/>
                <w:bCs w:val="0"/>
                <w:sz w:val="18"/>
                <w:szCs w:val="18"/>
              </w:rPr>
            </w:pPr>
            <w:r>
              <w:rPr>
                <w:rFonts w:hint="eastAsia" w:ascii="宋体" w:hAnsi="宋体" w:eastAsia="宋体" w:cs="宋体"/>
                <w:b w:val="0"/>
                <w:bCs w:val="0"/>
                <w:sz w:val="18"/>
                <w:szCs w:val="18"/>
              </w:rPr>
              <w:t>接口管脚编号</w:t>
            </w:r>
          </w:p>
        </w:tc>
        <w:tc>
          <w:tcPr>
            <w:tcW w:w="922" w:type="dxa"/>
            <w:vAlign w:val="center"/>
          </w:tcPr>
          <w:p>
            <w:pPr>
              <w:pStyle w:val="73"/>
              <w:widowControl/>
              <w:spacing w:beforeLines="0" w:afterLines="0" w:line="240" w:lineRule="auto"/>
              <w:jc w:val="center"/>
              <w:rPr>
                <w:rFonts w:hint="eastAsia" w:ascii="宋体" w:hAnsi="宋体" w:eastAsia="宋体" w:cs="宋体"/>
                <w:b w:val="0"/>
                <w:bCs w:val="0"/>
                <w:sz w:val="18"/>
                <w:szCs w:val="18"/>
              </w:rPr>
            </w:pPr>
            <w:r>
              <w:rPr>
                <w:rFonts w:hint="eastAsia" w:ascii="宋体" w:hAnsi="宋体" w:eastAsia="宋体" w:cs="宋体"/>
                <w:b w:val="0"/>
                <w:bCs w:val="0"/>
                <w:sz w:val="18"/>
                <w:szCs w:val="18"/>
              </w:rPr>
              <w:t>信号</w:t>
            </w:r>
          </w:p>
          <w:p>
            <w:pPr>
              <w:pStyle w:val="73"/>
              <w:widowControl/>
              <w:spacing w:beforeLines="0" w:afterLines="0" w:line="240" w:lineRule="auto"/>
              <w:jc w:val="center"/>
              <w:rPr>
                <w:rFonts w:hint="eastAsia" w:ascii="宋体" w:hAnsi="宋体" w:eastAsia="宋体" w:cs="宋体"/>
                <w:b w:val="0"/>
                <w:bCs w:val="0"/>
                <w:sz w:val="18"/>
                <w:szCs w:val="18"/>
              </w:rPr>
            </w:pPr>
            <w:r>
              <w:rPr>
                <w:rFonts w:hint="eastAsia" w:ascii="宋体" w:hAnsi="宋体" w:eastAsia="宋体" w:cs="宋体"/>
                <w:b w:val="0"/>
                <w:bCs w:val="0"/>
                <w:sz w:val="18"/>
                <w:szCs w:val="18"/>
              </w:rPr>
              <w:t>类型</w:t>
            </w:r>
          </w:p>
        </w:tc>
        <w:tc>
          <w:tcPr>
            <w:tcW w:w="900" w:type="dxa"/>
            <w:vAlign w:val="center"/>
          </w:tcPr>
          <w:p>
            <w:pPr>
              <w:pStyle w:val="73"/>
              <w:widowControl/>
              <w:spacing w:beforeLines="0" w:afterLines="0" w:line="240" w:lineRule="auto"/>
              <w:jc w:val="center"/>
              <w:rPr>
                <w:rFonts w:hint="eastAsia" w:ascii="宋体" w:hAnsi="宋体" w:eastAsia="宋体" w:cs="宋体"/>
                <w:b w:val="0"/>
                <w:bCs w:val="0"/>
                <w:sz w:val="18"/>
                <w:szCs w:val="18"/>
              </w:rPr>
            </w:pPr>
            <w:r>
              <w:rPr>
                <w:rFonts w:hint="eastAsia" w:ascii="宋体" w:hAnsi="宋体" w:eastAsia="宋体" w:cs="宋体"/>
                <w:b w:val="0"/>
                <w:bCs w:val="0"/>
                <w:sz w:val="18"/>
                <w:szCs w:val="18"/>
              </w:rPr>
              <w:t>信号</w:t>
            </w:r>
          </w:p>
          <w:p>
            <w:pPr>
              <w:pStyle w:val="73"/>
              <w:widowControl/>
              <w:spacing w:beforeLines="0" w:afterLines="0" w:line="240" w:lineRule="auto"/>
              <w:jc w:val="center"/>
              <w:rPr>
                <w:rFonts w:hint="eastAsia" w:ascii="宋体" w:hAnsi="宋体" w:eastAsia="宋体" w:cs="宋体"/>
                <w:b w:val="0"/>
                <w:bCs w:val="0"/>
                <w:sz w:val="18"/>
                <w:szCs w:val="18"/>
              </w:rPr>
            </w:pPr>
            <w:r>
              <w:rPr>
                <w:rFonts w:hint="eastAsia" w:ascii="宋体" w:hAnsi="宋体" w:eastAsia="宋体" w:cs="宋体"/>
                <w:b w:val="0"/>
                <w:bCs w:val="0"/>
                <w:sz w:val="18"/>
                <w:szCs w:val="18"/>
              </w:rPr>
              <w:t>名称</w:t>
            </w:r>
          </w:p>
        </w:tc>
        <w:tc>
          <w:tcPr>
            <w:tcW w:w="1274" w:type="dxa"/>
            <w:vAlign w:val="center"/>
          </w:tcPr>
          <w:p>
            <w:pPr>
              <w:pStyle w:val="73"/>
              <w:widowControl/>
              <w:spacing w:beforeLines="0" w:afterLines="0" w:line="240" w:lineRule="auto"/>
              <w:jc w:val="center"/>
              <w:rPr>
                <w:rFonts w:hint="eastAsia" w:ascii="宋体" w:hAnsi="宋体" w:eastAsia="宋体" w:cs="宋体"/>
                <w:b w:val="0"/>
                <w:bCs w:val="0"/>
                <w:sz w:val="18"/>
                <w:szCs w:val="18"/>
              </w:rPr>
            </w:pPr>
            <w:r>
              <w:rPr>
                <w:rFonts w:hint="eastAsia" w:ascii="宋体" w:hAnsi="宋体" w:eastAsia="宋体" w:cs="宋体"/>
                <w:b w:val="0"/>
                <w:bCs w:val="0"/>
                <w:sz w:val="18"/>
                <w:szCs w:val="18"/>
              </w:rPr>
              <w:t>信号方向</w:t>
            </w:r>
          </w:p>
          <w:p>
            <w:pPr>
              <w:pStyle w:val="73"/>
              <w:widowControl/>
              <w:spacing w:beforeLines="0" w:afterLines="0" w:line="240" w:lineRule="auto"/>
              <w:jc w:val="center"/>
              <w:rPr>
                <w:rFonts w:hint="eastAsia" w:ascii="宋体" w:hAnsi="宋体" w:eastAsia="宋体" w:cs="宋体"/>
                <w:b w:val="0"/>
                <w:bCs w:val="0"/>
                <w:sz w:val="18"/>
                <w:szCs w:val="18"/>
              </w:rPr>
            </w:pPr>
            <w:r>
              <w:rPr>
                <w:rFonts w:hint="eastAsia" w:ascii="宋体" w:hAnsi="宋体" w:eastAsia="宋体" w:cs="宋体"/>
                <w:b w:val="0"/>
                <w:bCs w:val="0"/>
                <w:sz w:val="18"/>
                <w:szCs w:val="18"/>
              </w:rPr>
              <w:t>（针对充电控制设备）</w:t>
            </w:r>
          </w:p>
        </w:tc>
        <w:tc>
          <w:tcPr>
            <w:tcW w:w="5016" w:type="dxa"/>
            <w:vAlign w:val="center"/>
          </w:tcPr>
          <w:p>
            <w:pPr>
              <w:pStyle w:val="73"/>
              <w:widowControl/>
              <w:spacing w:beforeLines="0" w:afterLines="0" w:line="240" w:lineRule="auto"/>
              <w:jc w:val="center"/>
              <w:rPr>
                <w:rFonts w:hint="eastAsia" w:ascii="宋体" w:hAnsi="宋体" w:eastAsia="宋体" w:cs="宋体"/>
                <w:b w:val="0"/>
                <w:bCs w:val="0"/>
                <w:sz w:val="18"/>
                <w:szCs w:val="18"/>
              </w:rPr>
            </w:pPr>
            <w:r>
              <w:rPr>
                <w:rFonts w:hint="eastAsia" w:ascii="宋体" w:hAnsi="宋体" w:eastAsia="宋体" w:cs="宋体"/>
                <w:b w:val="0"/>
                <w:bCs w:val="0"/>
                <w:sz w:val="18"/>
                <w:szCs w:val="18"/>
              </w:rPr>
              <w:t>说 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9" w:type="dxa"/>
          <w:trHeight w:val="1530" w:hRule="atLeast"/>
          <w:jc w:val="center"/>
        </w:trPr>
        <w:tc>
          <w:tcPr>
            <w:tcW w:w="847" w:type="dxa"/>
            <w:vAlign w:val="center"/>
          </w:tcPr>
          <w:p>
            <w:pPr>
              <w:pStyle w:val="73"/>
              <w:widowControl/>
              <w:spacing w:beforeLines="0" w:afterLines="0" w:line="240" w:lineRule="auto"/>
              <w:jc w:val="center"/>
              <w:rPr>
                <w:rFonts w:hint="eastAsia" w:ascii="宋体" w:hAnsi="宋体" w:eastAsia="宋体" w:cs="宋体"/>
                <w:sz w:val="18"/>
                <w:szCs w:val="18"/>
              </w:rPr>
            </w:pPr>
            <w:r>
              <w:rPr>
                <w:rFonts w:hint="eastAsia" w:ascii="宋体" w:hAnsi="宋体" w:eastAsia="宋体" w:cs="宋体"/>
                <w:sz w:val="18"/>
                <w:szCs w:val="18"/>
              </w:rPr>
              <w:t>1、2</w:t>
            </w:r>
          </w:p>
        </w:tc>
        <w:tc>
          <w:tcPr>
            <w:tcW w:w="922" w:type="dxa"/>
            <w:vAlign w:val="center"/>
          </w:tcPr>
          <w:p>
            <w:pPr>
              <w:pStyle w:val="73"/>
              <w:widowControl/>
              <w:spacing w:beforeLines="0" w:afterLines="0" w:line="240" w:lineRule="auto"/>
              <w:jc w:val="center"/>
              <w:rPr>
                <w:rFonts w:hint="eastAsia" w:ascii="宋体" w:hAnsi="宋体" w:eastAsia="宋体" w:cs="宋体"/>
                <w:sz w:val="18"/>
                <w:szCs w:val="18"/>
              </w:rPr>
            </w:pPr>
            <w:r>
              <w:rPr>
                <w:rFonts w:hint="eastAsia" w:ascii="宋体" w:hAnsi="宋体" w:eastAsia="宋体" w:cs="宋体"/>
                <w:sz w:val="18"/>
                <w:szCs w:val="18"/>
              </w:rPr>
              <w:t>电源</w:t>
            </w:r>
          </w:p>
        </w:tc>
        <w:tc>
          <w:tcPr>
            <w:tcW w:w="900" w:type="dxa"/>
            <w:vAlign w:val="center"/>
          </w:tcPr>
          <w:p>
            <w:pPr>
              <w:pStyle w:val="73"/>
              <w:widowControl/>
              <w:spacing w:beforeLines="0" w:afterLines="0" w:line="240" w:lineRule="auto"/>
              <w:jc w:val="center"/>
              <w:rPr>
                <w:rFonts w:hint="eastAsia" w:ascii="宋体" w:hAnsi="宋体" w:eastAsia="宋体" w:cs="宋体"/>
                <w:sz w:val="18"/>
                <w:szCs w:val="18"/>
              </w:rPr>
            </w:pPr>
            <w:r>
              <w:rPr>
                <w:rFonts w:hint="eastAsia" w:ascii="宋体" w:hAnsi="宋体" w:eastAsia="宋体" w:cs="宋体"/>
                <w:sz w:val="18"/>
                <w:szCs w:val="18"/>
              </w:rPr>
              <w:t>VCC</w:t>
            </w:r>
          </w:p>
        </w:tc>
        <w:tc>
          <w:tcPr>
            <w:tcW w:w="1274" w:type="dxa"/>
            <w:vAlign w:val="center"/>
          </w:tcPr>
          <w:p>
            <w:pPr>
              <w:pStyle w:val="73"/>
              <w:widowControl/>
              <w:spacing w:beforeLines="0" w:afterLines="0" w:line="240" w:lineRule="auto"/>
              <w:jc w:val="center"/>
              <w:rPr>
                <w:rFonts w:hint="eastAsia" w:ascii="宋体" w:hAnsi="宋体" w:eastAsia="宋体" w:cs="宋体"/>
                <w:sz w:val="18"/>
                <w:szCs w:val="18"/>
              </w:rPr>
            </w:pPr>
            <w:r>
              <w:rPr>
                <w:rFonts w:hint="eastAsia" w:ascii="宋体" w:hAnsi="宋体" w:eastAsia="宋体" w:cs="宋体"/>
                <w:sz w:val="18"/>
                <w:szCs w:val="18"/>
              </w:rPr>
              <w:t>O</w:t>
            </w:r>
          </w:p>
        </w:tc>
        <w:tc>
          <w:tcPr>
            <w:tcW w:w="5016" w:type="dxa"/>
            <w:vAlign w:val="center"/>
          </w:tcPr>
          <w:p>
            <w:pPr>
              <w:widowControl/>
              <w:topLinePunct/>
              <w:snapToGrid w:val="0"/>
              <w:jc w:val="left"/>
              <w:rPr>
                <w:rFonts w:hint="eastAsia" w:ascii="宋体" w:hAnsi="宋体" w:eastAsia="宋体" w:cs="宋体"/>
                <w:kern w:val="0"/>
                <w:sz w:val="18"/>
                <w:szCs w:val="18"/>
              </w:rPr>
            </w:pPr>
            <w:r>
              <w:rPr>
                <w:rFonts w:hint="eastAsia" w:ascii="宋体" w:hAnsi="宋体" w:eastAsia="宋体" w:cs="宋体"/>
                <w:kern w:val="0"/>
                <w:sz w:val="18"/>
                <w:szCs w:val="18"/>
              </w:rPr>
              <w:t>通信单元模拟电源，由充电控制设备提供；当设备运行在规定的工作电压范围时，输出电压范围：+12±1V（负载电流0～150mA，最大峰值电流250mA，且持续时间不超过20ms，秒平均电流不超过150mA)。</w:t>
            </w:r>
          </w:p>
          <w:p>
            <w:pPr>
              <w:widowControl/>
              <w:rPr>
                <w:rFonts w:hint="eastAsia" w:ascii="宋体" w:hAnsi="宋体" w:eastAsia="宋体" w:cs="宋体"/>
                <w:sz w:val="18"/>
                <w:szCs w:val="18"/>
              </w:rPr>
            </w:pPr>
            <w:r>
              <w:rPr>
                <w:rFonts w:hint="eastAsia" w:ascii="宋体" w:hAnsi="宋体" w:eastAsia="宋体" w:cs="宋体"/>
                <w:kern w:val="0"/>
                <w:sz w:val="18"/>
                <w:szCs w:val="18"/>
              </w:rPr>
              <w:t>通信单元电源故障或短路时不应影响充电控制设备的基本功能（充电控制设备应采取保护措施）。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9" w:type="dxa"/>
          <w:trHeight w:val="262" w:hRule="atLeast"/>
          <w:jc w:val="center"/>
        </w:trPr>
        <w:tc>
          <w:tcPr>
            <w:tcW w:w="847" w:type="dxa"/>
            <w:vAlign w:val="center"/>
          </w:tcPr>
          <w:p>
            <w:pPr>
              <w:pStyle w:val="73"/>
              <w:widowControl/>
              <w:spacing w:beforeLines="0" w:afterLines="0" w:line="240" w:lineRule="auto"/>
              <w:jc w:val="center"/>
              <w:rPr>
                <w:rFonts w:hint="eastAsia" w:ascii="宋体" w:hAnsi="宋体" w:eastAsia="宋体" w:cs="宋体"/>
                <w:sz w:val="18"/>
                <w:szCs w:val="18"/>
              </w:rPr>
            </w:pPr>
            <w:r>
              <w:rPr>
                <w:rFonts w:hint="eastAsia" w:ascii="宋体" w:hAnsi="宋体" w:eastAsia="宋体" w:cs="宋体"/>
                <w:sz w:val="18"/>
                <w:szCs w:val="18"/>
              </w:rPr>
              <w:t>3、4</w:t>
            </w:r>
          </w:p>
        </w:tc>
        <w:tc>
          <w:tcPr>
            <w:tcW w:w="922" w:type="dxa"/>
            <w:vAlign w:val="center"/>
          </w:tcPr>
          <w:p>
            <w:pPr>
              <w:pStyle w:val="73"/>
              <w:widowControl/>
              <w:spacing w:beforeLines="0" w:afterLines="0" w:line="240" w:lineRule="auto"/>
              <w:jc w:val="center"/>
              <w:rPr>
                <w:rFonts w:hint="eastAsia" w:ascii="宋体" w:hAnsi="宋体" w:eastAsia="宋体" w:cs="宋体"/>
                <w:sz w:val="18"/>
                <w:szCs w:val="18"/>
              </w:rPr>
            </w:pPr>
            <w:r>
              <w:rPr>
                <w:rFonts w:hint="eastAsia" w:ascii="宋体" w:hAnsi="宋体" w:eastAsia="宋体" w:cs="宋体"/>
                <w:sz w:val="18"/>
                <w:szCs w:val="18"/>
              </w:rPr>
              <w:t>电源地</w:t>
            </w:r>
          </w:p>
        </w:tc>
        <w:tc>
          <w:tcPr>
            <w:tcW w:w="900" w:type="dxa"/>
            <w:vAlign w:val="center"/>
          </w:tcPr>
          <w:p>
            <w:pPr>
              <w:pStyle w:val="73"/>
              <w:widowControl/>
              <w:spacing w:beforeLines="0" w:afterLines="0" w:line="240" w:lineRule="auto"/>
              <w:jc w:val="center"/>
              <w:rPr>
                <w:rFonts w:hint="eastAsia" w:ascii="宋体" w:hAnsi="宋体" w:eastAsia="宋体" w:cs="宋体"/>
                <w:sz w:val="18"/>
                <w:szCs w:val="18"/>
              </w:rPr>
            </w:pPr>
            <w:r>
              <w:rPr>
                <w:rFonts w:hint="eastAsia" w:ascii="宋体" w:hAnsi="宋体" w:eastAsia="宋体" w:cs="宋体"/>
                <w:sz w:val="18"/>
                <w:szCs w:val="18"/>
              </w:rPr>
              <w:t>VSS</w:t>
            </w:r>
          </w:p>
        </w:tc>
        <w:tc>
          <w:tcPr>
            <w:tcW w:w="1274" w:type="dxa"/>
            <w:vAlign w:val="center"/>
          </w:tcPr>
          <w:p>
            <w:pPr>
              <w:pStyle w:val="73"/>
              <w:widowControl/>
              <w:spacing w:beforeLines="0" w:afterLines="0" w:line="240" w:lineRule="auto"/>
              <w:jc w:val="center"/>
              <w:rPr>
                <w:rFonts w:hint="eastAsia" w:ascii="宋体" w:hAnsi="宋体" w:eastAsia="宋体" w:cs="宋体"/>
                <w:sz w:val="18"/>
                <w:szCs w:val="18"/>
              </w:rPr>
            </w:pPr>
          </w:p>
        </w:tc>
        <w:tc>
          <w:tcPr>
            <w:tcW w:w="5016" w:type="dxa"/>
            <w:vAlign w:val="center"/>
          </w:tcPr>
          <w:p>
            <w:pPr>
              <w:pStyle w:val="73"/>
              <w:widowControl/>
              <w:spacing w:beforeLines="0" w:afterLines="0" w:line="240" w:lineRule="auto"/>
              <w:jc w:val="left"/>
              <w:rPr>
                <w:rFonts w:hint="eastAsia" w:ascii="宋体" w:hAnsi="宋体" w:eastAsia="宋体" w:cs="宋体"/>
                <w:sz w:val="18"/>
                <w:szCs w:val="18"/>
              </w:rPr>
            </w:pPr>
            <w:r>
              <w:rPr>
                <w:rFonts w:hint="eastAsia" w:ascii="宋体" w:hAnsi="宋体" w:eastAsia="宋体" w:cs="宋体"/>
                <w:sz w:val="18"/>
                <w:szCs w:val="18"/>
              </w:rPr>
              <w:t>通信地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9" w:type="dxa"/>
          <w:jc w:val="center"/>
        </w:trPr>
        <w:tc>
          <w:tcPr>
            <w:tcW w:w="847" w:type="dxa"/>
            <w:vAlign w:val="center"/>
          </w:tcPr>
          <w:p>
            <w:pPr>
              <w:pStyle w:val="73"/>
              <w:widowControl/>
              <w:spacing w:beforeLines="0" w:afterLines="0" w:line="240" w:lineRule="auto"/>
              <w:jc w:val="center"/>
              <w:rPr>
                <w:rFonts w:hint="eastAsia" w:ascii="宋体" w:hAnsi="宋体" w:eastAsia="宋体" w:cs="宋体"/>
                <w:sz w:val="18"/>
                <w:szCs w:val="18"/>
              </w:rPr>
            </w:pPr>
            <w:r>
              <w:rPr>
                <w:rFonts w:hint="eastAsia" w:ascii="宋体" w:hAnsi="宋体" w:eastAsia="宋体" w:cs="宋体"/>
                <w:sz w:val="18"/>
                <w:szCs w:val="18"/>
              </w:rPr>
              <w:t>5</w:t>
            </w:r>
          </w:p>
        </w:tc>
        <w:tc>
          <w:tcPr>
            <w:tcW w:w="922" w:type="dxa"/>
            <w:vAlign w:val="center"/>
          </w:tcPr>
          <w:p>
            <w:pPr>
              <w:pStyle w:val="73"/>
              <w:widowControl/>
              <w:spacing w:beforeLines="0" w:afterLines="0" w:line="240" w:lineRule="auto"/>
              <w:jc w:val="center"/>
              <w:rPr>
                <w:rFonts w:hint="eastAsia" w:ascii="宋体" w:hAnsi="宋体" w:eastAsia="宋体" w:cs="宋体"/>
                <w:sz w:val="18"/>
                <w:szCs w:val="18"/>
              </w:rPr>
            </w:pPr>
            <w:r>
              <w:rPr>
                <w:rFonts w:hint="eastAsia" w:ascii="宋体" w:hAnsi="宋体" w:eastAsia="宋体" w:cs="宋体"/>
                <w:sz w:val="18"/>
                <w:szCs w:val="18"/>
              </w:rPr>
              <w:t>信号</w:t>
            </w:r>
          </w:p>
        </w:tc>
        <w:tc>
          <w:tcPr>
            <w:tcW w:w="900" w:type="dxa"/>
            <w:vAlign w:val="center"/>
          </w:tcPr>
          <w:p>
            <w:pPr>
              <w:pStyle w:val="73"/>
              <w:widowControl/>
              <w:spacing w:beforeLines="0" w:afterLines="0" w:line="240" w:lineRule="auto"/>
              <w:jc w:val="center"/>
              <w:rPr>
                <w:rFonts w:hint="eastAsia" w:ascii="宋体" w:hAnsi="宋体" w:eastAsia="宋体" w:cs="宋体"/>
                <w:sz w:val="18"/>
                <w:szCs w:val="18"/>
              </w:rPr>
            </w:pPr>
            <w:r>
              <w:rPr>
                <w:rFonts w:hint="eastAsia" w:ascii="宋体" w:hAnsi="宋体" w:eastAsia="宋体" w:cs="宋体"/>
                <w:sz w:val="18"/>
                <w:szCs w:val="18"/>
              </w:rPr>
              <w:t>RXD</w:t>
            </w:r>
          </w:p>
        </w:tc>
        <w:tc>
          <w:tcPr>
            <w:tcW w:w="1274" w:type="dxa"/>
            <w:vAlign w:val="center"/>
          </w:tcPr>
          <w:p>
            <w:pPr>
              <w:pStyle w:val="73"/>
              <w:widowControl/>
              <w:spacing w:beforeLines="0" w:afterLines="0" w:line="240" w:lineRule="auto"/>
              <w:jc w:val="center"/>
              <w:rPr>
                <w:rFonts w:hint="eastAsia" w:ascii="宋体" w:hAnsi="宋体" w:eastAsia="宋体" w:cs="宋体"/>
                <w:sz w:val="18"/>
                <w:szCs w:val="18"/>
              </w:rPr>
            </w:pPr>
            <w:r>
              <w:rPr>
                <w:rFonts w:hint="eastAsia" w:ascii="宋体" w:hAnsi="宋体" w:eastAsia="宋体" w:cs="宋体"/>
                <w:sz w:val="18"/>
                <w:szCs w:val="18"/>
              </w:rPr>
              <w:t>I</w:t>
            </w:r>
          </w:p>
        </w:tc>
        <w:tc>
          <w:tcPr>
            <w:tcW w:w="5016" w:type="dxa"/>
            <w:vAlign w:val="center"/>
          </w:tcPr>
          <w:p>
            <w:pPr>
              <w:pStyle w:val="73"/>
              <w:widowControl/>
              <w:spacing w:beforeLines="0" w:afterLines="0" w:line="240" w:lineRule="auto"/>
              <w:jc w:val="left"/>
              <w:rPr>
                <w:rFonts w:hint="eastAsia" w:ascii="宋体" w:hAnsi="宋体" w:eastAsia="宋体" w:cs="宋体"/>
                <w:sz w:val="18"/>
                <w:szCs w:val="18"/>
              </w:rPr>
            </w:pPr>
            <w:r>
              <w:rPr>
                <w:rFonts w:hint="eastAsia" w:ascii="宋体" w:hAnsi="宋体" w:eastAsia="宋体" w:cs="宋体"/>
                <w:sz w:val="18"/>
                <w:szCs w:val="18"/>
              </w:rPr>
              <w:t>通信单元给电充电控制设备发送信号引脚，要求通信单元输出为开漏方式，常态为高阻态。要求通信单元低电平电流驱动能力≥2mA。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9" w:type="dxa"/>
          <w:jc w:val="center"/>
        </w:trPr>
        <w:tc>
          <w:tcPr>
            <w:tcW w:w="847" w:type="dxa"/>
            <w:vAlign w:val="center"/>
          </w:tcPr>
          <w:p>
            <w:pPr>
              <w:pStyle w:val="73"/>
              <w:widowControl/>
              <w:spacing w:beforeLines="0" w:afterLines="0" w:line="240" w:lineRule="auto"/>
              <w:jc w:val="center"/>
              <w:rPr>
                <w:rFonts w:hint="eastAsia" w:ascii="宋体" w:hAnsi="宋体" w:eastAsia="宋体" w:cs="宋体"/>
                <w:sz w:val="18"/>
                <w:szCs w:val="18"/>
              </w:rPr>
            </w:pPr>
            <w:r>
              <w:rPr>
                <w:rFonts w:hint="eastAsia" w:ascii="宋体" w:hAnsi="宋体" w:eastAsia="宋体" w:cs="宋体"/>
                <w:sz w:val="18"/>
                <w:szCs w:val="18"/>
              </w:rPr>
              <w:t>6</w:t>
            </w:r>
          </w:p>
        </w:tc>
        <w:tc>
          <w:tcPr>
            <w:tcW w:w="922" w:type="dxa"/>
            <w:vAlign w:val="center"/>
          </w:tcPr>
          <w:p>
            <w:pPr>
              <w:pStyle w:val="73"/>
              <w:widowControl/>
              <w:spacing w:beforeLines="0" w:afterLines="0" w:line="240" w:lineRule="auto"/>
              <w:jc w:val="center"/>
              <w:rPr>
                <w:rFonts w:hint="eastAsia" w:ascii="宋体" w:hAnsi="宋体" w:eastAsia="宋体" w:cs="宋体"/>
                <w:sz w:val="18"/>
                <w:szCs w:val="18"/>
              </w:rPr>
            </w:pPr>
            <w:r>
              <w:rPr>
                <w:rFonts w:hint="eastAsia" w:ascii="宋体" w:hAnsi="宋体" w:eastAsia="宋体" w:cs="宋体"/>
                <w:sz w:val="18"/>
                <w:szCs w:val="18"/>
              </w:rPr>
              <w:t>预留</w:t>
            </w:r>
          </w:p>
        </w:tc>
        <w:tc>
          <w:tcPr>
            <w:tcW w:w="900" w:type="dxa"/>
            <w:vAlign w:val="center"/>
          </w:tcPr>
          <w:p>
            <w:pPr>
              <w:pStyle w:val="73"/>
              <w:widowControl/>
              <w:spacing w:beforeLines="0" w:afterLines="0" w:line="240" w:lineRule="auto"/>
              <w:jc w:val="center"/>
              <w:rPr>
                <w:rFonts w:hint="eastAsia" w:ascii="宋体" w:hAnsi="宋体" w:eastAsia="宋体" w:cs="宋体"/>
                <w:sz w:val="18"/>
                <w:szCs w:val="18"/>
              </w:rPr>
            </w:pPr>
          </w:p>
        </w:tc>
        <w:tc>
          <w:tcPr>
            <w:tcW w:w="1274" w:type="dxa"/>
            <w:vAlign w:val="center"/>
          </w:tcPr>
          <w:p>
            <w:pPr>
              <w:pStyle w:val="73"/>
              <w:widowControl/>
              <w:spacing w:beforeLines="0" w:afterLines="0" w:line="240" w:lineRule="auto"/>
              <w:jc w:val="center"/>
              <w:rPr>
                <w:rFonts w:hint="eastAsia" w:ascii="宋体" w:hAnsi="宋体" w:eastAsia="宋体" w:cs="宋体"/>
                <w:sz w:val="18"/>
                <w:szCs w:val="18"/>
              </w:rPr>
            </w:pPr>
          </w:p>
        </w:tc>
        <w:tc>
          <w:tcPr>
            <w:tcW w:w="5016" w:type="dxa"/>
            <w:vAlign w:val="center"/>
          </w:tcPr>
          <w:p>
            <w:pPr>
              <w:pStyle w:val="73"/>
              <w:widowControl/>
              <w:spacing w:beforeLines="0" w:afterLines="0" w:line="240" w:lineRule="auto"/>
              <w:jc w:val="left"/>
              <w:rPr>
                <w:rFonts w:hint="eastAsia" w:ascii="宋体" w:hAnsi="宋体" w:eastAsia="宋体" w:cs="宋体"/>
                <w:sz w:val="18"/>
                <w:szCs w:val="18"/>
              </w:rPr>
            </w:pPr>
            <w:r>
              <w:rPr>
                <w:rFonts w:hint="eastAsia" w:ascii="宋体" w:hAnsi="宋体" w:eastAsia="宋体" w:cs="宋体"/>
                <w:sz w:val="18"/>
                <w:szCs w:val="18"/>
              </w:rPr>
              <w:t>预留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9" w:type="dxa"/>
          <w:jc w:val="center"/>
        </w:trPr>
        <w:tc>
          <w:tcPr>
            <w:tcW w:w="847" w:type="dxa"/>
            <w:vAlign w:val="center"/>
          </w:tcPr>
          <w:p>
            <w:pPr>
              <w:pStyle w:val="73"/>
              <w:widowControl/>
              <w:spacing w:beforeLines="0" w:afterLines="0" w:line="240" w:lineRule="auto"/>
              <w:jc w:val="center"/>
              <w:rPr>
                <w:rFonts w:hint="eastAsia" w:ascii="宋体" w:hAnsi="宋体" w:eastAsia="宋体" w:cs="宋体"/>
                <w:sz w:val="18"/>
                <w:szCs w:val="18"/>
              </w:rPr>
            </w:pPr>
            <w:r>
              <w:rPr>
                <w:rFonts w:hint="eastAsia" w:ascii="宋体" w:hAnsi="宋体" w:eastAsia="宋体" w:cs="宋体"/>
                <w:sz w:val="18"/>
                <w:szCs w:val="18"/>
              </w:rPr>
              <w:t>7</w:t>
            </w:r>
          </w:p>
        </w:tc>
        <w:tc>
          <w:tcPr>
            <w:tcW w:w="922" w:type="dxa"/>
            <w:vAlign w:val="center"/>
          </w:tcPr>
          <w:p>
            <w:pPr>
              <w:pStyle w:val="73"/>
              <w:widowControl/>
              <w:spacing w:beforeLines="0" w:afterLines="0" w:line="240" w:lineRule="auto"/>
              <w:jc w:val="center"/>
              <w:rPr>
                <w:rFonts w:hint="eastAsia" w:ascii="宋体" w:hAnsi="宋体" w:eastAsia="宋体" w:cs="宋体"/>
                <w:sz w:val="18"/>
                <w:szCs w:val="18"/>
              </w:rPr>
            </w:pPr>
            <w:r>
              <w:rPr>
                <w:rFonts w:hint="eastAsia" w:ascii="宋体" w:hAnsi="宋体" w:eastAsia="宋体" w:cs="宋体"/>
                <w:sz w:val="18"/>
                <w:szCs w:val="18"/>
              </w:rPr>
              <w:t>信号</w:t>
            </w:r>
          </w:p>
        </w:tc>
        <w:tc>
          <w:tcPr>
            <w:tcW w:w="900" w:type="dxa"/>
            <w:vAlign w:val="center"/>
          </w:tcPr>
          <w:p>
            <w:pPr>
              <w:pStyle w:val="73"/>
              <w:widowControl/>
              <w:spacing w:beforeLines="0" w:afterLines="0" w:line="240" w:lineRule="auto"/>
              <w:jc w:val="center"/>
              <w:rPr>
                <w:rFonts w:hint="eastAsia" w:ascii="宋体" w:hAnsi="宋体" w:eastAsia="宋体" w:cs="宋体"/>
                <w:sz w:val="18"/>
                <w:szCs w:val="18"/>
              </w:rPr>
            </w:pPr>
            <w:r>
              <w:rPr>
                <w:rFonts w:hint="eastAsia" w:ascii="宋体" w:hAnsi="宋体" w:eastAsia="宋体" w:cs="宋体"/>
                <w:sz w:val="18"/>
                <w:szCs w:val="18"/>
              </w:rPr>
              <w:t>/SET</w:t>
            </w:r>
          </w:p>
        </w:tc>
        <w:tc>
          <w:tcPr>
            <w:tcW w:w="1274" w:type="dxa"/>
            <w:vAlign w:val="center"/>
          </w:tcPr>
          <w:p>
            <w:pPr>
              <w:pStyle w:val="73"/>
              <w:widowControl/>
              <w:spacing w:beforeLines="0" w:afterLines="0" w:line="240" w:lineRule="auto"/>
              <w:jc w:val="center"/>
              <w:rPr>
                <w:rFonts w:hint="eastAsia" w:ascii="宋体" w:hAnsi="宋体" w:eastAsia="宋体" w:cs="宋体"/>
                <w:sz w:val="18"/>
                <w:szCs w:val="18"/>
              </w:rPr>
            </w:pPr>
            <w:r>
              <w:rPr>
                <w:rFonts w:hint="eastAsia" w:ascii="宋体" w:hAnsi="宋体" w:eastAsia="宋体" w:cs="宋体"/>
                <w:sz w:val="18"/>
                <w:szCs w:val="18"/>
              </w:rPr>
              <w:t>O</w:t>
            </w:r>
          </w:p>
        </w:tc>
        <w:tc>
          <w:tcPr>
            <w:tcW w:w="5016" w:type="dxa"/>
            <w:vAlign w:val="center"/>
          </w:tcPr>
          <w:p>
            <w:pPr>
              <w:pStyle w:val="73"/>
              <w:widowControl/>
              <w:spacing w:beforeLines="0" w:afterLines="0" w:line="240" w:lineRule="auto"/>
              <w:jc w:val="left"/>
              <w:rPr>
                <w:rFonts w:hint="eastAsia" w:ascii="宋体" w:hAnsi="宋体" w:eastAsia="宋体" w:cs="宋体"/>
                <w:sz w:val="18"/>
                <w:szCs w:val="18"/>
              </w:rPr>
            </w:pPr>
            <w:r>
              <w:rPr>
                <w:rFonts w:hint="eastAsia" w:ascii="宋体" w:hAnsi="宋体" w:eastAsia="宋体" w:cs="宋体"/>
                <w:sz w:val="18"/>
                <w:szCs w:val="18"/>
              </w:rPr>
              <w:t>模块设置使能；低电平时，方可设置通信单元。开漏方式，常态为高阻态。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9" w:type="dxa"/>
          <w:jc w:val="center"/>
        </w:trPr>
        <w:tc>
          <w:tcPr>
            <w:tcW w:w="847" w:type="dxa"/>
            <w:vAlign w:val="center"/>
          </w:tcPr>
          <w:p>
            <w:pPr>
              <w:pStyle w:val="73"/>
              <w:widowControl/>
              <w:spacing w:beforeLines="0" w:afterLines="0" w:line="240" w:lineRule="auto"/>
              <w:jc w:val="center"/>
              <w:rPr>
                <w:rFonts w:hint="eastAsia" w:ascii="宋体" w:hAnsi="宋体" w:eastAsia="宋体" w:cs="宋体"/>
                <w:sz w:val="18"/>
                <w:szCs w:val="18"/>
              </w:rPr>
            </w:pPr>
            <w:r>
              <w:rPr>
                <w:rFonts w:hint="eastAsia" w:ascii="宋体" w:hAnsi="宋体" w:eastAsia="宋体" w:cs="宋体"/>
                <w:sz w:val="18"/>
                <w:szCs w:val="18"/>
              </w:rPr>
              <w:t>8</w:t>
            </w:r>
          </w:p>
        </w:tc>
        <w:tc>
          <w:tcPr>
            <w:tcW w:w="922" w:type="dxa"/>
            <w:vAlign w:val="center"/>
          </w:tcPr>
          <w:p>
            <w:pPr>
              <w:pStyle w:val="73"/>
              <w:widowControl/>
              <w:spacing w:beforeLines="0" w:afterLines="0" w:line="240" w:lineRule="auto"/>
              <w:jc w:val="center"/>
              <w:rPr>
                <w:rFonts w:hint="eastAsia" w:ascii="宋体" w:hAnsi="宋体" w:eastAsia="宋体" w:cs="宋体"/>
                <w:sz w:val="18"/>
                <w:szCs w:val="18"/>
              </w:rPr>
            </w:pPr>
            <w:r>
              <w:rPr>
                <w:rFonts w:hint="eastAsia" w:ascii="宋体" w:hAnsi="宋体" w:eastAsia="宋体" w:cs="宋体"/>
                <w:sz w:val="18"/>
                <w:szCs w:val="18"/>
              </w:rPr>
              <w:t>信号</w:t>
            </w:r>
          </w:p>
        </w:tc>
        <w:tc>
          <w:tcPr>
            <w:tcW w:w="900" w:type="dxa"/>
            <w:vAlign w:val="center"/>
          </w:tcPr>
          <w:p>
            <w:pPr>
              <w:pStyle w:val="73"/>
              <w:widowControl/>
              <w:spacing w:beforeLines="0" w:afterLines="0" w:line="240" w:lineRule="auto"/>
              <w:jc w:val="center"/>
              <w:rPr>
                <w:rFonts w:hint="eastAsia" w:ascii="宋体" w:hAnsi="宋体" w:eastAsia="宋体" w:cs="宋体"/>
                <w:sz w:val="18"/>
                <w:szCs w:val="18"/>
              </w:rPr>
            </w:pPr>
            <w:r>
              <w:rPr>
                <w:rFonts w:hint="eastAsia" w:ascii="宋体" w:hAnsi="宋体" w:eastAsia="宋体" w:cs="宋体"/>
                <w:sz w:val="18"/>
                <w:szCs w:val="18"/>
              </w:rPr>
              <w:t>TXD</w:t>
            </w:r>
          </w:p>
        </w:tc>
        <w:tc>
          <w:tcPr>
            <w:tcW w:w="1274" w:type="dxa"/>
            <w:vAlign w:val="center"/>
          </w:tcPr>
          <w:p>
            <w:pPr>
              <w:pStyle w:val="73"/>
              <w:widowControl/>
              <w:spacing w:beforeLines="0" w:afterLines="0" w:line="240" w:lineRule="auto"/>
              <w:jc w:val="center"/>
              <w:rPr>
                <w:rFonts w:hint="eastAsia" w:ascii="宋体" w:hAnsi="宋体" w:eastAsia="宋体" w:cs="宋体"/>
                <w:sz w:val="18"/>
                <w:szCs w:val="18"/>
              </w:rPr>
            </w:pPr>
            <w:r>
              <w:rPr>
                <w:rFonts w:hint="eastAsia" w:ascii="宋体" w:hAnsi="宋体" w:eastAsia="宋体" w:cs="宋体"/>
                <w:sz w:val="18"/>
                <w:szCs w:val="18"/>
              </w:rPr>
              <w:t>O</w:t>
            </w:r>
          </w:p>
        </w:tc>
        <w:tc>
          <w:tcPr>
            <w:tcW w:w="5016" w:type="dxa"/>
            <w:vAlign w:val="center"/>
          </w:tcPr>
          <w:p>
            <w:pPr>
              <w:pStyle w:val="73"/>
              <w:widowControl/>
              <w:spacing w:beforeLines="0" w:afterLines="0" w:line="240" w:lineRule="auto"/>
              <w:jc w:val="left"/>
              <w:rPr>
                <w:rFonts w:hint="eastAsia" w:ascii="宋体" w:hAnsi="宋体" w:eastAsia="宋体" w:cs="宋体"/>
                <w:sz w:val="18"/>
                <w:szCs w:val="18"/>
              </w:rPr>
            </w:pPr>
            <w:r>
              <w:rPr>
                <w:rFonts w:hint="eastAsia" w:ascii="宋体" w:hAnsi="宋体" w:eastAsia="宋体" w:cs="宋体"/>
                <w:sz w:val="18"/>
                <w:szCs w:val="18"/>
              </w:rPr>
              <w:t>充电控制设备通信信号输出引脚，开漏方式，常态为高阻态。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9" w:type="dxa"/>
          <w:jc w:val="center"/>
        </w:trPr>
        <w:tc>
          <w:tcPr>
            <w:tcW w:w="847" w:type="dxa"/>
            <w:vAlign w:val="center"/>
          </w:tcPr>
          <w:p>
            <w:pPr>
              <w:pStyle w:val="73"/>
              <w:widowControl/>
              <w:spacing w:beforeLines="0" w:afterLines="0" w:line="240" w:lineRule="auto"/>
              <w:jc w:val="center"/>
              <w:rPr>
                <w:rFonts w:hint="eastAsia" w:ascii="宋体" w:hAnsi="宋体" w:eastAsia="宋体" w:cs="宋体"/>
                <w:sz w:val="18"/>
                <w:szCs w:val="18"/>
              </w:rPr>
            </w:pPr>
            <w:r>
              <w:rPr>
                <w:rFonts w:hint="eastAsia" w:ascii="宋体" w:hAnsi="宋体" w:eastAsia="宋体" w:cs="宋体"/>
                <w:sz w:val="18"/>
                <w:szCs w:val="18"/>
              </w:rPr>
              <w:t>9</w:t>
            </w:r>
          </w:p>
        </w:tc>
        <w:tc>
          <w:tcPr>
            <w:tcW w:w="922" w:type="dxa"/>
            <w:vAlign w:val="center"/>
          </w:tcPr>
          <w:p>
            <w:pPr>
              <w:pStyle w:val="73"/>
              <w:widowControl/>
              <w:spacing w:beforeLines="0" w:afterLines="0" w:line="240" w:lineRule="auto"/>
              <w:jc w:val="center"/>
              <w:rPr>
                <w:rFonts w:hint="eastAsia" w:ascii="宋体" w:hAnsi="宋体" w:eastAsia="宋体" w:cs="宋体"/>
                <w:sz w:val="18"/>
                <w:szCs w:val="18"/>
              </w:rPr>
            </w:pPr>
            <w:r>
              <w:rPr>
                <w:rFonts w:hint="eastAsia" w:ascii="宋体" w:hAnsi="宋体" w:eastAsia="宋体" w:cs="宋体"/>
                <w:sz w:val="18"/>
                <w:szCs w:val="18"/>
              </w:rPr>
              <w:t>信号</w:t>
            </w:r>
          </w:p>
        </w:tc>
        <w:tc>
          <w:tcPr>
            <w:tcW w:w="900" w:type="dxa"/>
            <w:vAlign w:val="center"/>
          </w:tcPr>
          <w:p>
            <w:pPr>
              <w:pStyle w:val="73"/>
              <w:widowControl/>
              <w:spacing w:beforeLines="0" w:afterLines="0" w:line="240" w:lineRule="auto"/>
              <w:jc w:val="center"/>
              <w:rPr>
                <w:rFonts w:hint="eastAsia" w:ascii="宋体" w:hAnsi="宋体" w:eastAsia="宋体" w:cs="宋体"/>
                <w:sz w:val="18"/>
                <w:szCs w:val="18"/>
              </w:rPr>
            </w:pPr>
            <w:r>
              <w:rPr>
                <w:rFonts w:hint="eastAsia" w:ascii="宋体" w:hAnsi="宋体" w:eastAsia="宋体" w:cs="宋体"/>
                <w:sz w:val="18"/>
                <w:szCs w:val="18"/>
              </w:rPr>
              <w:t>/RST</w:t>
            </w:r>
          </w:p>
        </w:tc>
        <w:tc>
          <w:tcPr>
            <w:tcW w:w="1274" w:type="dxa"/>
            <w:vAlign w:val="center"/>
          </w:tcPr>
          <w:p>
            <w:pPr>
              <w:pStyle w:val="73"/>
              <w:widowControl/>
              <w:spacing w:beforeLines="0" w:afterLines="0" w:line="240" w:lineRule="auto"/>
              <w:jc w:val="center"/>
              <w:rPr>
                <w:rFonts w:hint="eastAsia" w:ascii="宋体" w:hAnsi="宋体" w:eastAsia="宋体" w:cs="宋体"/>
                <w:sz w:val="18"/>
                <w:szCs w:val="18"/>
              </w:rPr>
            </w:pPr>
            <w:r>
              <w:rPr>
                <w:rFonts w:hint="eastAsia" w:ascii="宋体" w:hAnsi="宋体" w:eastAsia="宋体" w:cs="宋体"/>
                <w:sz w:val="18"/>
                <w:szCs w:val="18"/>
              </w:rPr>
              <w:t>O</w:t>
            </w:r>
          </w:p>
        </w:tc>
        <w:tc>
          <w:tcPr>
            <w:tcW w:w="5016" w:type="dxa"/>
            <w:vAlign w:val="center"/>
          </w:tcPr>
          <w:p>
            <w:pPr>
              <w:pStyle w:val="73"/>
              <w:widowControl/>
              <w:spacing w:beforeLines="0" w:afterLines="0" w:line="240" w:lineRule="auto"/>
              <w:jc w:val="left"/>
              <w:rPr>
                <w:rFonts w:hint="eastAsia" w:ascii="宋体" w:hAnsi="宋体" w:eastAsia="宋体" w:cs="宋体"/>
                <w:sz w:val="18"/>
                <w:szCs w:val="18"/>
              </w:rPr>
            </w:pPr>
            <w:r>
              <w:rPr>
                <w:rFonts w:hint="eastAsia" w:ascii="宋体" w:hAnsi="宋体" w:eastAsia="宋体" w:cs="宋体"/>
                <w:sz w:val="18"/>
                <w:szCs w:val="18"/>
              </w:rPr>
              <w:t>复位输出（低电平有效），开漏方式，常态为高阻态，可用于复位通信单元，复位信号脉宽≥0.2s。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9" w:type="dxa"/>
          <w:jc w:val="center"/>
        </w:trPr>
        <w:tc>
          <w:tcPr>
            <w:tcW w:w="847" w:type="dxa"/>
            <w:vAlign w:val="center"/>
          </w:tcPr>
          <w:p>
            <w:pPr>
              <w:pStyle w:val="73"/>
              <w:widowControl/>
              <w:spacing w:beforeLines="0" w:afterLines="0" w:line="240" w:lineRule="auto"/>
              <w:jc w:val="center"/>
              <w:rPr>
                <w:rFonts w:hint="eastAsia" w:ascii="宋体" w:hAnsi="宋体" w:eastAsia="宋体" w:cs="宋体"/>
                <w:sz w:val="18"/>
                <w:szCs w:val="18"/>
              </w:rPr>
            </w:pPr>
            <w:r>
              <w:rPr>
                <w:rFonts w:hint="eastAsia" w:ascii="宋体" w:hAnsi="宋体" w:eastAsia="宋体" w:cs="宋体"/>
                <w:sz w:val="18"/>
                <w:szCs w:val="18"/>
              </w:rPr>
              <w:t>10</w:t>
            </w:r>
          </w:p>
        </w:tc>
        <w:tc>
          <w:tcPr>
            <w:tcW w:w="922" w:type="dxa"/>
            <w:vAlign w:val="center"/>
          </w:tcPr>
          <w:p>
            <w:pPr>
              <w:pStyle w:val="73"/>
              <w:widowControl/>
              <w:spacing w:beforeLines="0" w:afterLines="0" w:line="240" w:lineRule="auto"/>
              <w:jc w:val="center"/>
              <w:rPr>
                <w:rFonts w:hint="eastAsia" w:ascii="宋体" w:hAnsi="宋体" w:eastAsia="宋体" w:cs="宋体"/>
                <w:sz w:val="18"/>
                <w:szCs w:val="18"/>
              </w:rPr>
            </w:pPr>
            <w:r>
              <w:rPr>
                <w:rFonts w:hint="eastAsia" w:ascii="宋体" w:hAnsi="宋体" w:eastAsia="宋体" w:cs="宋体"/>
                <w:sz w:val="18"/>
                <w:szCs w:val="18"/>
              </w:rPr>
              <w:t>状态</w:t>
            </w:r>
          </w:p>
        </w:tc>
        <w:tc>
          <w:tcPr>
            <w:tcW w:w="900" w:type="dxa"/>
            <w:vAlign w:val="center"/>
          </w:tcPr>
          <w:p>
            <w:pPr>
              <w:pStyle w:val="73"/>
              <w:widowControl/>
              <w:spacing w:beforeLines="0" w:afterLines="0" w:line="240" w:lineRule="auto"/>
              <w:jc w:val="center"/>
              <w:rPr>
                <w:rFonts w:hint="eastAsia" w:ascii="宋体" w:hAnsi="宋体" w:eastAsia="宋体" w:cs="宋体"/>
                <w:sz w:val="18"/>
                <w:szCs w:val="18"/>
              </w:rPr>
            </w:pPr>
            <w:r>
              <w:rPr>
                <w:rFonts w:hint="eastAsia" w:ascii="宋体" w:hAnsi="宋体" w:eastAsia="宋体" w:cs="宋体"/>
                <w:sz w:val="18"/>
                <w:szCs w:val="18"/>
              </w:rPr>
              <w:t>STA</w:t>
            </w:r>
          </w:p>
        </w:tc>
        <w:tc>
          <w:tcPr>
            <w:tcW w:w="1274" w:type="dxa"/>
            <w:vAlign w:val="center"/>
          </w:tcPr>
          <w:p>
            <w:pPr>
              <w:pStyle w:val="73"/>
              <w:widowControl/>
              <w:spacing w:beforeLines="0" w:afterLines="0" w:line="240" w:lineRule="auto"/>
              <w:jc w:val="center"/>
              <w:rPr>
                <w:rFonts w:hint="eastAsia" w:ascii="宋体" w:hAnsi="宋体" w:eastAsia="宋体" w:cs="宋体"/>
                <w:sz w:val="18"/>
                <w:szCs w:val="18"/>
              </w:rPr>
            </w:pPr>
            <w:r>
              <w:rPr>
                <w:rFonts w:hint="eastAsia" w:ascii="宋体" w:hAnsi="宋体" w:eastAsia="宋体" w:cs="宋体"/>
                <w:sz w:val="18"/>
                <w:szCs w:val="18"/>
              </w:rPr>
              <w:t>I</w:t>
            </w:r>
          </w:p>
        </w:tc>
        <w:tc>
          <w:tcPr>
            <w:tcW w:w="5016" w:type="dxa"/>
            <w:vAlign w:val="center"/>
          </w:tcPr>
          <w:p>
            <w:pPr>
              <w:pStyle w:val="73"/>
              <w:widowControl/>
              <w:spacing w:beforeLines="0" w:afterLines="0" w:line="240" w:lineRule="auto"/>
              <w:jc w:val="left"/>
              <w:rPr>
                <w:rFonts w:hint="eastAsia" w:ascii="宋体" w:hAnsi="宋体" w:eastAsia="宋体" w:cs="宋体"/>
                <w:sz w:val="18"/>
                <w:szCs w:val="18"/>
              </w:rPr>
            </w:pPr>
            <w:r>
              <w:rPr>
                <w:rFonts w:hint="eastAsia" w:ascii="宋体" w:hAnsi="宋体" w:eastAsia="宋体" w:cs="宋体"/>
                <w:sz w:val="18"/>
                <w:szCs w:val="18"/>
              </w:rPr>
              <w:t>接收时地址匹配正确模块输出 0.2s 高阻态；通信单元发送过程输出高阻态，充电控制设备内 CPU 判定通信发送时禁止操作继电器。要求通信单元输出为开漏方式，常态为低电平。通信单元低电平电流驱动能力≥2mA。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9" w:type="dxa"/>
          <w:jc w:val="center"/>
        </w:trPr>
        <w:tc>
          <w:tcPr>
            <w:tcW w:w="847" w:type="dxa"/>
            <w:vAlign w:val="center"/>
          </w:tcPr>
          <w:p>
            <w:pPr>
              <w:pStyle w:val="73"/>
              <w:widowControl/>
              <w:spacing w:beforeLines="0" w:afterLines="0" w:line="240" w:lineRule="auto"/>
              <w:jc w:val="center"/>
              <w:rPr>
                <w:rFonts w:hint="eastAsia" w:ascii="宋体" w:hAnsi="宋体" w:eastAsia="宋体" w:cs="宋体"/>
                <w:sz w:val="18"/>
                <w:szCs w:val="18"/>
              </w:rPr>
            </w:pPr>
            <w:r>
              <w:rPr>
                <w:rFonts w:hint="eastAsia" w:ascii="宋体" w:hAnsi="宋体" w:eastAsia="宋体" w:cs="宋体"/>
                <w:sz w:val="18"/>
                <w:szCs w:val="18"/>
              </w:rPr>
              <w:t>11</w:t>
            </w:r>
          </w:p>
        </w:tc>
        <w:tc>
          <w:tcPr>
            <w:tcW w:w="922" w:type="dxa"/>
            <w:vAlign w:val="center"/>
          </w:tcPr>
          <w:p>
            <w:pPr>
              <w:pStyle w:val="73"/>
              <w:widowControl/>
              <w:spacing w:beforeLines="0" w:afterLines="0" w:line="240" w:lineRule="auto"/>
              <w:jc w:val="center"/>
              <w:rPr>
                <w:rFonts w:hint="eastAsia" w:ascii="宋体" w:hAnsi="宋体" w:eastAsia="宋体" w:cs="宋体"/>
                <w:sz w:val="18"/>
                <w:szCs w:val="18"/>
              </w:rPr>
            </w:pPr>
            <w:r>
              <w:rPr>
                <w:rFonts w:hint="eastAsia" w:ascii="宋体" w:hAnsi="宋体" w:eastAsia="宋体" w:cs="宋体"/>
                <w:sz w:val="18"/>
                <w:szCs w:val="18"/>
              </w:rPr>
              <w:t>状态</w:t>
            </w:r>
          </w:p>
        </w:tc>
        <w:tc>
          <w:tcPr>
            <w:tcW w:w="900" w:type="dxa"/>
            <w:vAlign w:val="center"/>
          </w:tcPr>
          <w:p>
            <w:pPr>
              <w:pStyle w:val="73"/>
              <w:widowControl/>
              <w:spacing w:beforeLines="0" w:afterLines="0" w:line="240" w:lineRule="auto"/>
              <w:jc w:val="center"/>
              <w:rPr>
                <w:rFonts w:hint="eastAsia" w:ascii="宋体" w:hAnsi="宋体" w:eastAsia="宋体" w:cs="宋体"/>
                <w:sz w:val="18"/>
                <w:szCs w:val="18"/>
              </w:rPr>
            </w:pPr>
            <w:r>
              <w:rPr>
                <w:rFonts w:hint="eastAsia" w:ascii="宋体" w:hAnsi="宋体" w:eastAsia="宋体" w:cs="宋体"/>
                <w:sz w:val="18"/>
                <w:szCs w:val="18"/>
              </w:rPr>
              <w:t>EVENOUT</w:t>
            </w:r>
          </w:p>
        </w:tc>
        <w:tc>
          <w:tcPr>
            <w:tcW w:w="1274" w:type="dxa"/>
            <w:vAlign w:val="center"/>
          </w:tcPr>
          <w:p>
            <w:pPr>
              <w:pStyle w:val="73"/>
              <w:widowControl/>
              <w:spacing w:beforeLines="0" w:afterLines="0" w:line="240" w:lineRule="auto"/>
              <w:jc w:val="center"/>
              <w:rPr>
                <w:rFonts w:hint="eastAsia" w:ascii="宋体" w:hAnsi="宋体" w:eastAsia="宋体" w:cs="宋体"/>
                <w:sz w:val="18"/>
                <w:szCs w:val="18"/>
              </w:rPr>
            </w:pPr>
            <w:r>
              <w:rPr>
                <w:rFonts w:hint="eastAsia" w:ascii="宋体" w:hAnsi="宋体" w:eastAsia="宋体" w:cs="宋体"/>
                <w:sz w:val="18"/>
                <w:szCs w:val="18"/>
              </w:rPr>
              <w:t>O</w:t>
            </w:r>
          </w:p>
        </w:tc>
        <w:tc>
          <w:tcPr>
            <w:tcW w:w="5016" w:type="dxa"/>
            <w:vAlign w:val="center"/>
          </w:tcPr>
          <w:p>
            <w:pPr>
              <w:pStyle w:val="73"/>
              <w:widowControl/>
              <w:spacing w:beforeLines="0" w:afterLines="0" w:line="240" w:lineRule="auto"/>
              <w:jc w:val="left"/>
              <w:rPr>
                <w:rFonts w:hint="eastAsia" w:ascii="宋体" w:hAnsi="宋体" w:eastAsia="宋体" w:cs="宋体"/>
                <w:sz w:val="18"/>
                <w:szCs w:val="18"/>
              </w:rPr>
            </w:pPr>
            <w:r>
              <w:rPr>
                <w:rFonts w:hint="eastAsia" w:ascii="宋体" w:hAnsi="宋体" w:eastAsia="宋体" w:cs="宋体"/>
                <w:sz w:val="18"/>
                <w:szCs w:val="18"/>
              </w:rPr>
              <w:t>充电控制设备事件状态输出，开漏方式，常态为低电平。当有上报事件发生时，输出高阻态，请求查询上报内容；查询完毕输出低电平。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9" w:type="dxa"/>
          <w:jc w:val="center"/>
        </w:trPr>
        <w:tc>
          <w:tcPr>
            <w:tcW w:w="847" w:type="dxa"/>
            <w:vAlign w:val="center"/>
          </w:tcPr>
          <w:p>
            <w:pPr>
              <w:pStyle w:val="73"/>
              <w:widowControl/>
              <w:spacing w:beforeLines="0" w:afterLines="0" w:line="240" w:lineRule="auto"/>
              <w:jc w:val="center"/>
              <w:rPr>
                <w:rFonts w:hint="eastAsia" w:ascii="宋体" w:hAnsi="宋体" w:eastAsia="宋体" w:cs="宋体"/>
                <w:sz w:val="18"/>
                <w:szCs w:val="18"/>
              </w:rPr>
            </w:pPr>
            <w:r>
              <w:rPr>
                <w:rFonts w:hint="eastAsia" w:ascii="宋体" w:hAnsi="宋体" w:eastAsia="宋体" w:cs="宋体"/>
                <w:sz w:val="18"/>
                <w:szCs w:val="18"/>
              </w:rPr>
              <w:t>12</w:t>
            </w:r>
          </w:p>
        </w:tc>
        <w:tc>
          <w:tcPr>
            <w:tcW w:w="922" w:type="dxa"/>
            <w:vAlign w:val="center"/>
          </w:tcPr>
          <w:p>
            <w:pPr>
              <w:pStyle w:val="73"/>
              <w:widowControl/>
              <w:spacing w:beforeLines="0" w:afterLines="0" w:line="240" w:lineRule="auto"/>
              <w:jc w:val="center"/>
              <w:rPr>
                <w:rFonts w:hint="eastAsia" w:ascii="宋体" w:hAnsi="宋体" w:eastAsia="宋体" w:cs="宋体"/>
                <w:sz w:val="18"/>
                <w:szCs w:val="18"/>
              </w:rPr>
            </w:pPr>
            <w:r>
              <w:rPr>
                <w:rFonts w:hint="eastAsia" w:ascii="宋体" w:hAnsi="宋体" w:eastAsia="宋体" w:cs="宋体"/>
                <w:sz w:val="18"/>
                <w:szCs w:val="18"/>
              </w:rPr>
              <w:t>预留</w:t>
            </w:r>
          </w:p>
        </w:tc>
        <w:tc>
          <w:tcPr>
            <w:tcW w:w="900" w:type="dxa"/>
            <w:vAlign w:val="center"/>
          </w:tcPr>
          <w:p>
            <w:pPr>
              <w:pStyle w:val="73"/>
              <w:widowControl/>
              <w:spacing w:beforeLines="0" w:afterLines="0" w:line="240" w:lineRule="auto"/>
              <w:jc w:val="center"/>
              <w:rPr>
                <w:rFonts w:hint="eastAsia" w:ascii="宋体" w:hAnsi="宋体" w:eastAsia="宋体" w:cs="宋体"/>
                <w:sz w:val="18"/>
                <w:szCs w:val="18"/>
              </w:rPr>
            </w:pPr>
          </w:p>
        </w:tc>
        <w:tc>
          <w:tcPr>
            <w:tcW w:w="1274" w:type="dxa"/>
            <w:vAlign w:val="center"/>
          </w:tcPr>
          <w:p>
            <w:pPr>
              <w:pStyle w:val="73"/>
              <w:widowControl/>
              <w:spacing w:beforeLines="0" w:afterLines="0" w:line="240" w:lineRule="auto"/>
              <w:jc w:val="center"/>
              <w:rPr>
                <w:rFonts w:hint="eastAsia" w:ascii="宋体" w:hAnsi="宋体" w:eastAsia="宋体" w:cs="宋体"/>
                <w:sz w:val="18"/>
                <w:szCs w:val="18"/>
              </w:rPr>
            </w:pPr>
          </w:p>
        </w:tc>
        <w:tc>
          <w:tcPr>
            <w:tcW w:w="5016" w:type="dxa"/>
            <w:vAlign w:val="center"/>
          </w:tcPr>
          <w:p>
            <w:pPr>
              <w:pStyle w:val="73"/>
              <w:widowControl/>
              <w:spacing w:beforeLines="0" w:afterLines="0" w:line="240" w:lineRule="auto"/>
              <w:jc w:val="left"/>
              <w:rPr>
                <w:rFonts w:hint="eastAsia" w:ascii="宋体" w:hAnsi="宋体" w:eastAsia="宋体" w:cs="宋体"/>
                <w:sz w:val="18"/>
                <w:szCs w:val="18"/>
              </w:rPr>
            </w:pPr>
            <w:r>
              <w:rPr>
                <w:rFonts w:hint="eastAsia" w:ascii="宋体" w:hAnsi="宋体" w:eastAsia="宋体" w:cs="宋体"/>
                <w:sz w:val="18"/>
                <w:szCs w:val="18"/>
              </w:rPr>
              <w:t>预留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968" w:type="dxa"/>
            <w:gridSpan w:val="6"/>
            <w:vAlign w:val="center"/>
          </w:tcPr>
          <w:p>
            <w:pPr>
              <w:pStyle w:val="73"/>
              <w:widowControl/>
              <w:spacing w:beforeLines="0" w:afterLines="0" w:line="240" w:lineRule="auto"/>
              <w:jc w:val="left"/>
              <w:rPr>
                <w:rFonts w:hint="eastAsia" w:ascii="宋体" w:hAnsi="宋体" w:eastAsia="宋体" w:cs="宋体"/>
                <w:sz w:val="18"/>
                <w:szCs w:val="18"/>
              </w:rPr>
            </w:pPr>
            <w:r>
              <w:rPr>
                <w:rFonts w:hint="eastAsia" w:ascii="宋体" w:hAnsi="宋体" w:eastAsia="宋体" w:cs="宋体"/>
                <w:sz w:val="18"/>
                <w:szCs w:val="18"/>
              </w:rPr>
              <w:t>注 1：充电控制设备和通信单元的开漏端耐压为 5.5V，所有输出接口的低电平电流驱动能力≥2mA，在驱动 2mA 的负载电流时对地电压应≤0.4V。</w:t>
            </w:r>
          </w:p>
          <w:p>
            <w:pPr>
              <w:pStyle w:val="73"/>
              <w:widowControl/>
              <w:spacing w:beforeLines="0" w:afterLines="0" w:line="240" w:lineRule="auto"/>
              <w:jc w:val="left"/>
              <w:rPr>
                <w:rFonts w:hint="eastAsia" w:ascii="宋体" w:hAnsi="宋体" w:eastAsia="宋体" w:cs="宋体"/>
                <w:sz w:val="18"/>
                <w:szCs w:val="18"/>
              </w:rPr>
            </w:pPr>
            <w:r>
              <w:rPr>
                <w:rFonts w:hint="eastAsia" w:ascii="宋体" w:hAnsi="宋体" w:eastAsia="宋体" w:cs="宋体"/>
                <w:sz w:val="18"/>
                <w:szCs w:val="18"/>
              </w:rPr>
              <w:t>注 2：VCC 电源带载 125mA 情况下，VCC 电源的纹波 Vp-p 应小于 1‰。</w:t>
            </w:r>
          </w:p>
          <w:p>
            <w:pPr>
              <w:pStyle w:val="73"/>
              <w:widowControl/>
              <w:spacing w:beforeLines="0" w:afterLines="0" w:line="240" w:lineRule="auto"/>
              <w:jc w:val="left"/>
              <w:rPr>
                <w:rFonts w:hint="eastAsia" w:ascii="宋体" w:hAnsi="宋体" w:eastAsia="宋体" w:cs="宋体"/>
                <w:sz w:val="18"/>
                <w:szCs w:val="18"/>
              </w:rPr>
            </w:pPr>
            <w:r>
              <w:rPr>
                <w:rFonts w:hint="eastAsia" w:ascii="宋体" w:hAnsi="宋体" w:eastAsia="宋体" w:cs="宋体"/>
                <w:sz w:val="18"/>
                <w:szCs w:val="18"/>
              </w:rPr>
              <w:t>注 3：通信接口必须与强电隔离。</w:t>
            </w:r>
          </w:p>
        </w:tc>
      </w:tr>
    </w:tbl>
    <w:p>
      <w:pPr>
        <w:widowControl/>
        <w:jc w:val="center"/>
        <w:rPr>
          <w:rFonts w:eastAsia="黑体"/>
          <w:kern w:val="0"/>
          <w:szCs w:val="21"/>
        </w:rPr>
      </w:pPr>
    </w:p>
    <w:p>
      <w:pPr>
        <w:pStyle w:val="2"/>
        <w:widowControl/>
        <w:numPr>
          <w:ilvl w:val="0"/>
          <w:numId w:val="0"/>
        </w:numPr>
        <w:spacing w:before="317" w:beforeLines="100" w:after="317" w:afterLines="100" w:line="240" w:lineRule="auto"/>
        <w:ind w:leftChars="0"/>
        <w:rPr>
          <w:rFonts w:hint="eastAsia" w:ascii="黑体" w:hAnsi="黑体" w:eastAsia="黑体" w:cs="黑体"/>
          <w:b w:val="0"/>
          <w:bCs/>
          <w:sz w:val="21"/>
          <w:szCs w:val="21"/>
        </w:rPr>
      </w:pPr>
      <w:bookmarkStart w:id="347" w:name="_Toc6241"/>
      <w:bookmarkStart w:id="348" w:name="_Toc8499_WPSOffice_Level1"/>
      <w:r>
        <w:rPr>
          <w:rFonts w:hint="eastAsia" w:ascii="黑体" w:hAnsi="黑体" w:eastAsia="黑体" w:cs="黑体"/>
          <w:b w:val="0"/>
          <w:bCs/>
          <w:sz w:val="21"/>
          <w:szCs w:val="21"/>
        </w:rPr>
        <w:t>A.3　双模通信单元载波耦合接口定义</w:t>
      </w:r>
      <w:bookmarkEnd w:id="347"/>
      <w:bookmarkEnd w:id="348"/>
    </w:p>
    <w:p>
      <w:pPr>
        <w:widowControl/>
        <w:ind w:firstLine="420" w:firstLineChars="200"/>
        <w:rPr>
          <w:rFonts w:hint="eastAsia" w:ascii="宋体" w:hAnsi="Times New Roman" w:eastAsia="宋体" w:cs="Times New Roman"/>
          <w:kern w:val="0"/>
          <w:sz w:val="21"/>
          <w:szCs w:val="22"/>
          <w:lang w:val="en-US" w:eastAsia="zh-CN" w:bidi="ar-SA"/>
        </w:rPr>
      </w:pPr>
      <w:r>
        <w:rPr>
          <w:rFonts w:hint="eastAsia" w:ascii="宋体" w:hAnsi="Times New Roman" w:eastAsia="宋体" w:cs="Times New Roman"/>
          <w:kern w:val="0"/>
          <w:sz w:val="21"/>
          <w:szCs w:val="22"/>
          <w:lang w:val="en-US" w:eastAsia="zh-CN" w:bidi="ar-SA"/>
        </w:rPr>
        <w:t>通信单元强电接口采用2×4双排插针作为连接件，充电控制设备强电接口采用2×4双排插座作为连接件。</w:t>
      </w:r>
    </w:p>
    <w:p>
      <w:pPr>
        <w:widowControl/>
        <w:ind w:firstLine="420" w:firstLineChars="200"/>
        <w:rPr>
          <w:rFonts w:hint="eastAsia" w:ascii="宋体" w:hAnsi="Times New Roman" w:eastAsia="宋体" w:cs="Times New Roman"/>
          <w:kern w:val="0"/>
          <w:sz w:val="21"/>
          <w:szCs w:val="22"/>
          <w:lang w:val="en-US" w:eastAsia="zh-CN" w:bidi="ar-SA"/>
        </w:rPr>
      </w:pPr>
      <w:r>
        <w:rPr>
          <w:rFonts w:hint="eastAsia" w:ascii="宋体" w:hAnsi="Times New Roman" w:eastAsia="宋体" w:cs="Times New Roman"/>
          <w:kern w:val="0"/>
          <w:sz w:val="21"/>
          <w:szCs w:val="22"/>
          <w:lang w:val="en-US" w:eastAsia="zh-CN" w:bidi="ar-SA"/>
        </w:rPr>
        <w:t>图A.3为充电控制设备侧强电接口管脚定义示意图（从充电控制设备的正面看）；充电控制设备与通信单元强电接口管脚定义见表A.2。</w:t>
      </w:r>
    </w:p>
    <w:p>
      <w:pPr>
        <w:widowControl/>
        <w:topLinePunct/>
        <w:jc w:val="center"/>
      </w:pPr>
    </w:p>
    <w:p>
      <w:pPr>
        <w:widowControl/>
        <w:tabs>
          <w:tab w:val="left" w:pos="860"/>
          <w:tab w:val="left" w:pos="1002"/>
        </w:tabs>
        <w:jc w:val="center"/>
      </w:pPr>
      <w:r>
        <w:drawing>
          <wp:inline distT="0" distB="0" distL="0" distR="0">
            <wp:extent cx="1337310" cy="1513205"/>
            <wp:effectExtent l="0" t="0" r="3810" b="1079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36" cstate="print"/>
                    <a:stretch>
                      <a:fillRect/>
                    </a:stretch>
                  </pic:blipFill>
                  <pic:spPr>
                    <a:xfrm>
                      <a:off x="0" y="0"/>
                      <a:ext cx="1335082" cy="1510586"/>
                    </a:xfrm>
                    <a:prstGeom prst="rect">
                      <a:avLst/>
                    </a:prstGeom>
                  </pic:spPr>
                </pic:pic>
              </a:graphicData>
            </a:graphic>
          </wp:inline>
        </w:drawing>
      </w:r>
    </w:p>
    <w:p>
      <w:pPr>
        <w:autoSpaceDE w:val="0"/>
        <w:autoSpaceDN w:val="0"/>
        <w:ind w:firstLine="420" w:firstLineChars="200"/>
        <w:jc w:val="center"/>
        <w:rPr>
          <w:rFonts w:hint="eastAsia" w:ascii="黑体" w:hAnsi="黑体" w:eastAsia="黑体" w:cs="黑体"/>
          <w:sz w:val="21"/>
          <w:lang w:val="en-US" w:eastAsia="zh-CN" w:bidi="ar-SA"/>
        </w:rPr>
      </w:pPr>
      <w:bookmarkStart w:id="349" w:name="_Toc30548_WPSOffice_Level1"/>
      <w:r>
        <w:rPr>
          <w:rFonts w:hint="eastAsia" w:ascii="黑体" w:hAnsi="黑体" w:eastAsia="黑体" w:cs="黑体"/>
          <w:sz w:val="21"/>
          <w:lang w:val="en-US" w:eastAsia="zh-CN" w:bidi="ar-SA"/>
        </w:rPr>
        <w:t>图A.3　通信单元强电接口示意图</w:t>
      </w:r>
      <w:bookmarkEnd w:id="349"/>
    </w:p>
    <w:p>
      <w:pPr>
        <w:widowControl/>
        <w:topLinePunct/>
        <w:jc w:val="center"/>
        <w:rPr>
          <w:rFonts w:ascii="黑体" w:hAnsi="黑体" w:eastAsia="黑体" w:cs="黑体"/>
          <w:kern w:val="0"/>
          <w:szCs w:val="21"/>
        </w:rPr>
      </w:pPr>
    </w:p>
    <w:p>
      <w:pPr>
        <w:widowControl/>
        <w:jc w:val="center"/>
        <w:rPr>
          <w:rFonts w:ascii="黑体" w:hAnsi="黑体" w:eastAsia="黑体" w:cs="黑体"/>
        </w:rPr>
      </w:pPr>
      <w:bookmarkStart w:id="350" w:name="_Toc4454_WPSOffice_Level1"/>
      <w:r>
        <w:rPr>
          <w:rFonts w:hint="eastAsia" w:ascii="黑体" w:hAnsi="黑体" w:eastAsia="黑体" w:cs="黑体"/>
        </w:rPr>
        <w:t>表A.</w:t>
      </w:r>
      <w:r>
        <w:rPr>
          <w:rFonts w:ascii="黑体" w:hAnsi="黑体" w:eastAsia="黑体" w:cs="黑体"/>
        </w:rPr>
        <w:t>2</w:t>
      </w:r>
      <w:r>
        <w:rPr>
          <w:rFonts w:hint="eastAsia" w:ascii="黑体" w:hAnsi="黑体" w:eastAsia="黑体" w:cs="黑体"/>
        </w:rPr>
        <w:t>　</w:t>
      </w:r>
      <w:r>
        <w:rPr>
          <w:rFonts w:hint="eastAsia" w:ascii="黑体" w:hAnsi="黑体" w:eastAsia="黑体" w:cs="黑体"/>
          <w:kern w:val="0"/>
          <w:szCs w:val="21"/>
        </w:rPr>
        <w:t>充电控制设备</w:t>
      </w:r>
      <w:r>
        <w:rPr>
          <w:rFonts w:hint="eastAsia" w:ascii="黑体" w:hAnsi="黑体" w:eastAsia="黑体" w:cs="黑体"/>
        </w:rPr>
        <w:t>与通信单元强电接口管脚定义说明</w:t>
      </w:r>
      <w:bookmarkEnd w:id="350"/>
    </w:p>
    <w:tbl>
      <w:tblPr>
        <w:tblStyle w:val="37"/>
        <w:tblW w:w="8377"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75"/>
        <w:gridCol w:w="1011"/>
        <w:gridCol w:w="683"/>
        <w:gridCol w:w="672"/>
        <w:gridCol w:w="1332"/>
        <w:gridCol w:w="360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75" w:type="dxa"/>
            <w:vAlign w:val="center"/>
          </w:tcPr>
          <w:p>
            <w:pPr>
              <w:widowControl/>
              <w:jc w:val="center"/>
              <w:rPr>
                <w:rFonts w:ascii="宋体" w:hAnsi="宋体" w:cs="宋体"/>
                <w:kern w:val="0"/>
                <w:sz w:val="18"/>
                <w:szCs w:val="18"/>
              </w:rPr>
            </w:pPr>
            <w:r>
              <w:rPr>
                <w:rFonts w:hint="eastAsia" w:ascii="宋体" w:hAnsi="宋体" w:cs="宋体"/>
                <w:kern w:val="0"/>
                <w:sz w:val="18"/>
                <w:szCs w:val="18"/>
              </w:rPr>
              <w:t>充电控制设备管脚编号</w:t>
            </w:r>
          </w:p>
        </w:tc>
        <w:tc>
          <w:tcPr>
            <w:tcW w:w="1011" w:type="dxa"/>
            <w:vAlign w:val="center"/>
          </w:tcPr>
          <w:p>
            <w:pPr>
              <w:widowControl/>
              <w:jc w:val="center"/>
              <w:rPr>
                <w:rFonts w:ascii="宋体" w:hAnsi="宋体"/>
                <w:sz w:val="18"/>
                <w:szCs w:val="18"/>
              </w:rPr>
            </w:pPr>
            <w:r>
              <w:rPr>
                <w:rFonts w:hint="eastAsia" w:ascii="宋体" w:hAnsi="宋体"/>
                <w:sz w:val="18"/>
                <w:szCs w:val="18"/>
              </w:rPr>
              <w:t>模块对应管脚编号</w:t>
            </w:r>
          </w:p>
        </w:tc>
        <w:tc>
          <w:tcPr>
            <w:tcW w:w="683" w:type="dxa"/>
            <w:vAlign w:val="center"/>
          </w:tcPr>
          <w:p>
            <w:pPr>
              <w:widowControl/>
              <w:jc w:val="center"/>
              <w:rPr>
                <w:rFonts w:ascii="宋体" w:hAnsi="宋体"/>
                <w:sz w:val="18"/>
                <w:szCs w:val="18"/>
              </w:rPr>
            </w:pPr>
            <w:r>
              <w:rPr>
                <w:rFonts w:hint="eastAsia" w:ascii="宋体" w:hAnsi="宋体"/>
                <w:sz w:val="18"/>
                <w:szCs w:val="18"/>
              </w:rPr>
              <w:t>信号类别</w:t>
            </w:r>
          </w:p>
        </w:tc>
        <w:tc>
          <w:tcPr>
            <w:tcW w:w="672" w:type="dxa"/>
            <w:vAlign w:val="center"/>
          </w:tcPr>
          <w:p>
            <w:pPr>
              <w:widowControl/>
              <w:jc w:val="center"/>
              <w:rPr>
                <w:rFonts w:ascii="宋体" w:hAnsi="宋体"/>
                <w:sz w:val="18"/>
                <w:szCs w:val="18"/>
              </w:rPr>
            </w:pPr>
            <w:r>
              <w:rPr>
                <w:rFonts w:hint="eastAsia" w:ascii="宋体" w:hAnsi="宋体"/>
                <w:sz w:val="18"/>
                <w:szCs w:val="18"/>
              </w:rPr>
              <w:t>信号名称</w:t>
            </w:r>
          </w:p>
        </w:tc>
        <w:tc>
          <w:tcPr>
            <w:tcW w:w="1332" w:type="dxa"/>
            <w:vAlign w:val="center"/>
          </w:tcPr>
          <w:p>
            <w:pPr>
              <w:widowControl/>
              <w:jc w:val="center"/>
              <w:rPr>
                <w:rFonts w:ascii="宋体" w:hAnsi="宋体"/>
                <w:sz w:val="18"/>
                <w:szCs w:val="18"/>
              </w:rPr>
            </w:pPr>
            <w:r>
              <w:rPr>
                <w:rFonts w:hint="eastAsia" w:ascii="宋体" w:hAnsi="宋体"/>
                <w:sz w:val="18"/>
                <w:szCs w:val="18"/>
              </w:rPr>
              <w:t>信号方向</w:t>
            </w:r>
          </w:p>
          <w:p>
            <w:pPr>
              <w:widowControl/>
              <w:jc w:val="center"/>
              <w:rPr>
                <w:rFonts w:ascii="宋体" w:hAnsi="宋体"/>
                <w:sz w:val="18"/>
                <w:szCs w:val="18"/>
              </w:rPr>
            </w:pPr>
            <w:r>
              <w:rPr>
                <w:rFonts w:hint="eastAsia" w:ascii="宋体" w:hAnsi="宋体"/>
                <w:sz w:val="18"/>
                <w:szCs w:val="18"/>
              </w:rPr>
              <w:t>（针对模块）</w:t>
            </w:r>
          </w:p>
        </w:tc>
        <w:tc>
          <w:tcPr>
            <w:tcW w:w="3604" w:type="dxa"/>
            <w:vAlign w:val="center"/>
          </w:tcPr>
          <w:p>
            <w:pPr>
              <w:widowControl/>
              <w:jc w:val="center"/>
              <w:rPr>
                <w:rFonts w:ascii="宋体" w:hAnsi="宋体"/>
                <w:sz w:val="18"/>
                <w:szCs w:val="18"/>
              </w:rPr>
            </w:pPr>
            <w:r>
              <w:rPr>
                <w:rFonts w:hint="eastAsia" w:ascii="宋体" w:hAnsi="宋体"/>
                <w:sz w:val="18"/>
                <w:szCs w:val="18"/>
              </w:rPr>
              <w:t>说</w:t>
            </w:r>
            <w:r>
              <w:rPr>
                <w:rFonts w:ascii="宋体" w:hAnsi="宋体"/>
                <w:sz w:val="18"/>
                <w:szCs w:val="18"/>
              </w:rPr>
              <w:t xml:space="preserve"> </w:t>
            </w:r>
            <w:r>
              <w:rPr>
                <w:rFonts w:hint="eastAsia" w:ascii="宋体" w:hAnsi="宋体"/>
                <w:sz w:val="18"/>
                <w:szCs w:val="18"/>
              </w:rPr>
              <w:t>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75" w:type="dxa"/>
            <w:vAlign w:val="center"/>
          </w:tcPr>
          <w:p>
            <w:pPr>
              <w:widowControl/>
              <w:jc w:val="left"/>
              <w:rPr>
                <w:rFonts w:ascii="宋体" w:hAnsi="宋体" w:cs="宋体"/>
                <w:kern w:val="0"/>
                <w:sz w:val="18"/>
                <w:szCs w:val="18"/>
              </w:rPr>
            </w:pPr>
            <w:r>
              <w:rPr>
                <w:rFonts w:ascii="宋体" w:hAnsi="宋体" w:cs="宋体"/>
                <w:kern w:val="0"/>
                <w:sz w:val="18"/>
                <w:szCs w:val="18"/>
              </w:rPr>
              <w:t>1、2</w:t>
            </w:r>
          </w:p>
        </w:tc>
        <w:tc>
          <w:tcPr>
            <w:tcW w:w="1011" w:type="dxa"/>
            <w:vAlign w:val="center"/>
          </w:tcPr>
          <w:p>
            <w:pPr>
              <w:widowControl/>
              <w:jc w:val="left"/>
              <w:rPr>
                <w:rFonts w:ascii="宋体" w:hAnsi="宋体"/>
                <w:sz w:val="18"/>
                <w:szCs w:val="18"/>
              </w:rPr>
            </w:pPr>
            <w:r>
              <w:rPr>
                <w:rFonts w:hint="eastAsia" w:ascii="宋体" w:hAnsi="宋体"/>
                <w:sz w:val="18"/>
                <w:szCs w:val="18"/>
              </w:rPr>
              <w:t>7</w:t>
            </w:r>
            <w:r>
              <w:rPr>
                <w:rFonts w:ascii="宋体" w:hAnsi="宋体"/>
                <w:sz w:val="18"/>
                <w:szCs w:val="18"/>
              </w:rPr>
              <w:t>、</w:t>
            </w:r>
            <w:r>
              <w:rPr>
                <w:rFonts w:hint="eastAsia" w:ascii="宋体" w:hAnsi="宋体"/>
                <w:sz w:val="18"/>
                <w:szCs w:val="18"/>
              </w:rPr>
              <w:t>8</w:t>
            </w:r>
          </w:p>
        </w:tc>
        <w:tc>
          <w:tcPr>
            <w:tcW w:w="683" w:type="dxa"/>
            <w:vAlign w:val="center"/>
          </w:tcPr>
          <w:p>
            <w:pPr>
              <w:widowControl/>
              <w:jc w:val="center"/>
              <w:rPr>
                <w:rFonts w:ascii="宋体" w:hAnsi="宋体"/>
                <w:sz w:val="18"/>
                <w:szCs w:val="18"/>
              </w:rPr>
            </w:pPr>
            <w:r>
              <w:rPr>
                <w:rFonts w:hint="eastAsia" w:ascii="宋体" w:hAnsi="宋体"/>
                <w:sz w:val="18"/>
                <w:szCs w:val="18"/>
              </w:rPr>
              <w:t>载波</w:t>
            </w:r>
          </w:p>
        </w:tc>
        <w:tc>
          <w:tcPr>
            <w:tcW w:w="672" w:type="dxa"/>
            <w:vAlign w:val="center"/>
          </w:tcPr>
          <w:p>
            <w:pPr>
              <w:widowControl/>
              <w:jc w:val="center"/>
              <w:rPr>
                <w:rFonts w:ascii="宋体" w:hAnsi="宋体"/>
                <w:sz w:val="18"/>
                <w:szCs w:val="18"/>
              </w:rPr>
            </w:pPr>
            <w:r>
              <w:rPr>
                <w:rFonts w:hint="eastAsia" w:ascii="宋体" w:hAnsi="宋体"/>
                <w:sz w:val="18"/>
                <w:szCs w:val="18"/>
              </w:rPr>
              <w:t>L</w:t>
            </w:r>
          </w:p>
        </w:tc>
        <w:tc>
          <w:tcPr>
            <w:tcW w:w="1332" w:type="dxa"/>
            <w:vAlign w:val="center"/>
          </w:tcPr>
          <w:p>
            <w:pPr>
              <w:widowControl/>
              <w:jc w:val="center"/>
              <w:rPr>
                <w:rFonts w:ascii="宋体" w:hAnsi="宋体"/>
                <w:sz w:val="18"/>
                <w:szCs w:val="18"/>
              </w:rPr>
            </w:pPr>
            <w:r>
              <w:rPr>
                <w:rFonts w:ascii="宋体" w:hAnsi="宋体"/>
                <w:sz w:val="18"/>
                <w:szCs w:val="18"/>
              </w:rPr>
              <w:t>-</w:t>
            </w:r>
          </w:p>
        </w:tc>
        <w:tc>
          <w:tcPr>
            <w:tcW w:w="3604" w:type="dxa"/>
            <w:vAlign w:val="center"/>
          </w:tcPr>
          <w:p>
            <w:pPr>
              <w:widowControl/>
              <w:rPr>
                <w:rFonts w:ascii="宋体" w:hAnsi="宋体"/>
                <w:sz w:val="18"/>
                <w:szCs w:val="18"/>
              </w:rPr>
            </w:pPr>
            <w:r>
              <w:rPr>
                <w:rFonts w:hint="eastAsia" w:ascii="宋体" w:hAnsi="宋体"/>
                <w:sz w:val="18"/>
                <w:szCs w:val="18"/>
              </w:rPr>
              <w:t>电网相线作为信号耦合接入端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75" w:type="dxa"/>
            <w:vAlign w:val="center"/>
          </w:tcPr>
          <w:p>
            <w:pPr>
              <w:widowControl/>
              <w:jc w:val="left"/>
              <w:rPr>
                <w:rFonts w:ascii="宋体" w:hAnsi="宋体" w:cs="宋体"/>
                <w:kern w:val="0"/>
                <w:sz w:val="18"/>
                <w:szCs w:val="18"/>
              </w:rPr>
            </w:pPr>
            <w:r>
              <w:rPr>
                <w:rFonts w:ascii="宋体" w:hAnsi="宋体" w:cs="宋体"/>
                <w:kern w:val="0"/>
                <w:sz w:val="18"/>
                <w:szCs w:val="18"/>
              </w:rPr>
              <w:t>3、4、5、6</w:t>
            </w:r>
          </w:p>
        </w:tc>
        <w:tc>
          <w:tcPr>
            <w:tcW w:w="1011" w:type="dxa"/>
            <w:vAlign w:val="center"/>
          </w:tcPr>
          <w:p>
            <w:pPr>
              <w:widowControl/>
              <w:jc w:val="left"/>
              <w:rPr>
                <w:rFonts w:ascii="宋体" w:hAnsi="宋体"/>
                <w:sz w:val="18"/>
                <w:szCs w:val="18"/>
              </w:rPr>
            </w:pPr>
            <w:r>
              <w:rPr>
                <w:rFonts w:hint="eastAsia" w:ascii="宋体" w:hAnsi="宋体"/>
                <w:sz w:val="18"/>
                <w:szCs w:val="18"/>
              </w:rPr>
              <w:t>5</w:t>
            </w:r>
            <w:r>
              <w:rPr>
                <w:rFonts w:ascii="宋体" w:hAnsi="宋体"/>
                <w:sz w:val="18"/>
                <w:szCs w:val="18"/>
              </w:rPr>
              <w:t>、</w:t>
            </w:r>
            <w:r>
              <w:rPr>
                <w:rFonts w:hint="eastAsia" w:ascii="宋体" w:hAnsi="宋体"/>
                <w:sz w:val="18"/>
                <w:szCs w:val="18"/>
              </w:rPr>
              <w:t>6</w:t>
            </w:r>
            <w:r>
              <w:rPr>
                <w:rFonts w:ascii="宋体" w:hAnsi="宋体"/>
                <w:sz w:val="18"/>
                <w:szCs w:val="18"/>
              </w:rPr>
              <w:t>、</w:t>
            </w:r>
            <w:r>
              <w:rPr>
                <w:rFonts w:hint="eastAsia" w:ascii="宋体" w:hAnsi="宋体"/>
                <w:sz w:val="18"/>
                <w:szCs w:val="18"/>
              </w:rPr>
              <w:t>3</w:t>
            </w:r>
            <w:r>
              <w:rPr>
                <w:rFonts w:ascii="宋体" w:hAnsi="宋体"/>
                <w:sz w:val="18"/>
                <w:szCs w:val="18"/>
              </w:rPr>
              <w:t>、</w:t>
            </w:r>
            <w:r>
              <w:rPr>
                <w:rFonts w:hint="eastAsia" w:ascii="宋体" w:hAnsi="宋体"/>
                <w:sz w:val="18"/>
                <w:szCs w:val="18"/>
              </w:rPr>
              <w:t>4</w:t>
            </w:r>
          </w:p>
        </w:tc>
        <w:tc>
          <w:tcPr>
            <w:tcW w:w="683" w:type="dxa"/>
            <w:vAlign w:val="center"/>
          </w:tcPr>
          <w:p>
            <w:pPr>
              <w:widowControl/>
              <w:jc w:val="center"/>
              <w:rPr>
                <w:rFonts w:ascii="宋体" w:hAnsi="宋体"/>
                <w:sz w:val="18"/>
                <w:szCs w:val="18"/>
              </w:rPr>
            </w:pPr>
            <w:r>
              <w:rPr>
                <w:rFonts w:hint="eastAsia" w:ascii="宋体" w:hAnsi="宋体"/>
                <w:sz w:val="18"/>
                <w:szCs w:val="18"/>
              </w:rPr>
              <w:t>空</w:t>
            </w:r>
          </w:p>
        </w:tc>
        <w:tc>
          <w:tcPr>
            <w:tcW w:w="672" w:type="dxa"/>
            <w:vAlign w:val="center"/>
          </w:tcPr>
          <w:p>
            <w:pPr>
              <w:widowControl/>
              <w:jc w:val="center"/>
              <w:rPr>
                <w:rFonts w:ascii="宋体" w:hAnsi="宋体"/>
                <w:sz w:val="18"/>
                <w:szCs w:val="18"/>
              </w:rPr>
            </w:pPr>
            <w:r>
              <w:rPr>
                <w:rFonts w:hint="eastAsia" w:ascii="宋体" w:hAnsi="宋体"/>
                <w:sz w:val="18"/>
                <w:szCs w:val="18"/>
              </w:rPr>
              <w:t>空</w:t>
            </w:r>
          </w:p>
        </w:tc>
        <w:tc>
          <w:tcPr>
            <w:tcW w:w="1332" w:type="dxa"/>
            <w:vAlign w:val="center"/>
          </w:tcPr>
          <w:p>
            <w:pPr>
              <w:widowControl/>
              <w:jc w:val="center"/>
              <w:rPr>
                <w:rFonts w:ascii="宋体" w:hAnsi="宋体"/>
                <w:sz w:val="18"/>
                <w:szCs w:val="18"/>
              </w:rPr>
            </w:pPr>
            <w:r>
              <w:rPr>
                <w:rFonts w:ascii="宋体" w:hAnsi="宋体"/>
                <w:sz w:val="18"/>
                <w:szCs w:val="18"/>
              </w:rPr>
              <w:t>-</w:t>
            </w:r>
          </w:p>
        </w:tc>
        <w:tc>
          <w:tcPr>
            <w:tcW w:w="3604" w:type="dxa"/>
            <w:vAlign w:val="center"/>
          </w:tcPr>
          <w:p>
            <w:pPr>
              <w:widowControl/>
              <w:rPr>
                <w:rFonts w:ascii="宋体" w:hAnsi="宋体"/>
                <w:sz w:val="18"/>
                <w:szCs w:val="18"/>
              </w:rPr>
            </w:pPr>
            <w:r>
              <w:rPr>
                <w:rFonts w:hint="eastAsia" w:ascii="宋体" w:hAnsi="宋体"/>
                <w:sz w:val="18"/>
                <w:szCs w:val="18"/>
              </w:rPr>
              <w:t>空引脚，</w:t>
            </w:r>
            <w:r>
              <w:rPr>
                <w:rFonts w:ascii="宋体" w:hAnsi="宋体"/>
                <w:sz w:val="18"/>
                <w:szCs w:val="18"/>
              </w:rPr>
              <w:t>PCB无焊盘设计，连接件对应位置无插针，用于增加安全间距，提高绝缘性能</w:t>
            </w:r>
            <w:r>
              <w:rPr>
                <w:rFonts w:hint="eastAsia" w:ascii="宋体" w:hAnsi="宋体"/>
                <w:sz w:val="18"/>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75" w:type="dxa"/>
            <w:vAlign w:val="center"/>
          </w:tcPr>
          <w:p>
            <w:pPr>
              <w:widowControl/>
              <w:jc w:val="left"/>
              <w:rPr>
                <w:rFonts w:ascii="宋体" w:hAnsi="宋体" w:cs="宋体"/>
                <w:kern w:val="0"/>
                <w:sz w:val="18"/>
                <w:szCs w:val="18"/>
              </w:rPr>
            </w:pPr>
            <w:r>
              <w:rPr>
                <w:rFonts w:hint="eastAsia" w:ascii="宋体" w:hAnsi="宋体" w:cs="宋体"/>
                <w:kern w:val="0"/>
                <w:sz w:val="18"/>
                <w:szCs w:val="18"/>
              </w:rPr>
              <w:t>7</w:t>
            </w:r>
            <w:r>
              <w:rPr>
                <w:rFonts w:ascii="宋体" w:hAnsi="宋体" w:cs="宋体"/>
                <w:kern w:val="0"/>
                <w:sz w:val="18"/>
                <w:szCs w:val="18"/>
              </w:rPr>
              <w:t>、</w:t>
            </w:r>
            <w:r>
              <w:rPr>
                <w:rFonts w:hint="eastAsia" w:ascii="宋体" w:hAnsi="宋体" w:cs="宋体"/>
                <w:kern w:val="0"/>
                <w:sz w:val="18"/>
                <w:szCs w:val="18"/>
              </w:rPr>
              <w:t>8</w:t>
            </w:r>
          </w:p>
        </w:tc>
        <w:tc>
          <w:tcPr>
            <w:tcW w:w="1011" w:type="dxa"/>
            <w:vAlign w:val="center"/>
          </w:tcPr>
          <w:p>
            <w:pPr>
              <w:widowControl/>
              <w:jc w:val="left"/>
              <w:rPr>
                <w:rFonts w:ascii="宋体" w:hAnsi="宋体"/>
                <w:sz w:val="18"/>
                <w:szCs w:val="18"/>
              </w:rPr>
            </w:pPr>
            <w:r>
              <w:rPr>
                <w:rFonts w:ascii="宋体" w:hAnsi="宋体"/>
                <w:sz w:val="18"/>
                <w:szCs w:val="18"/>
              </w:rPr>
              <w:t>1、2</w:t>
            </w:r>
          </w:p>
        </w:tc>
        <w:tc>
          <w:tcPr>
            <w:tcW w:w="683" w:type="dxa"/>
            <w:vAlign w:val="center"/>
          </w:tcPr>
          <w:p>
            <w:pPr>
              <w:widowControl/>
              <w:jc w:val="center"/>
              <w:rPr>
                <w:rFonts w:ascii="宋体" w:hAnsi="宋体"/>
                <w:sz w:val="18"/>
                <w:szCs w:val="18"/>
              </w:rPr>
            </w:pPr>
            <w:r>
              <w:rPr>
                <w:rFonts w:hint="eastAsia" w:ascii="宋体" w:hAnsi="宋体"/>
                <w:sz w:val="18"/>
                <w:szCs w:val="18"/>
              </w:rPr>
              <w:t>载波</w:t>
            </w:r>
          </w:p>
        </w:tc>
        <w:tc>
          <w:tcPr>
            <w:tcW w:w="672" w:type="dxa"/>
            <w:vAlign w:val="center"/>
          </w:tcPr>
          <w:p>
            <w:pPr>
              <w:widowControl/>
              <w:jc w:val="center"/>
              <w:rPr>
                <w:rFonts w:ascii="宋体" w:hAnsi="宋体"/>
                <w:sz w:val="18"/>
                <w:szCs w:val="18"/>
              </w:rPr>
            </w:pPr>
            <w:r>
              <w:rPr>
                <w:rFonts w:ascii="宋体" w:hAnsi="宋体"/>
                <w:sz w:val="18"/>
                <w:szCs w:val="18"/>
              </w:rPr>
              <w:t>N</w:t>
            </w:r>
          </w:p>
        </w:tc>
        <w:tc>
          <w:tcPr>
            <w:tcW w:w="1332" w:type="dxa"/>
            <w:vAlign w:val="center"/>
          </w:tcPr>
          <w:p>
            <w:pPr>
              <w:widowControl/>
              <w:jc w:val="center"/>
              <w:rPr>
                <w:rFonts w:ascii="宋体" w:hAnsi="宋体"/>
                <w:sz w:val="18"/>
                <w:szCs w:val="18"/>
              </w:rPr>
            </w:pPr>
            <w:r>
              <w:rPr>
                <w:rFonts w:ascii="宋体" w:hAnsi="宋体"/>
                <w:sz w:val="18"/>
                <w:szCs w:val="18"/>
              </w:rPr>
              <w:t>-</w:t>
            </w:r>
          </w:p>
        </w:tc>
        <w:tc>
          <w:tcPr>
            <w:tcW w:w="3604" w:type="dxa"/>
            <w:vAlign w:val="center"/>
          </w:tcPr>
          <w:p>
            <w:pPr>
              <w:widowControl/>
              <w:rPr>
                <w:rFonts w:ascii="宋体" w:hAnsi="宋体"/>
                <w:sz w:val="18"/>
                <w:szCs w:val="18"/>
              </w:rPr>
            </w:pPr>
            <w:r>
              <w:rPr>
                <w:rFonts w:hint="eastAsia" w:ascii="宋体" w:hAnsi="宋体"/>
                <w:sz w:val="18"/>
                <w:szCs w:val="18"/>
              </w:rPr>
              <w:t>电网中线作为信号耦合接入端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77" w:type="dxa"/>
            <w:gridSpan w:val="6"/>
            <w:vAlign w:val="center"/>
          </w:tcPr>
          <w:p>
            <w:pPr>
              <w:widowControl/>
              <w:rPr>
                <w:rFonts w:ascii="宋体" w:hAnsi="宋体"/>
                <w:sz w:val="18"/>
                <w:szCs w:val="18"/>
              </w:rPr>
            </w:pPr>
            <w:r>
              <w:rPr>
                <w:rFonts w:hint="eastAsia" w:ascii="宋体" w:hAnsi="宋体"/>
                <w:sz w:val="18"/>
                <w:szCs w:val="18"/>
              </w:rPr>
              <w:t>注：充电控制设备通信应与用采系统本地通信主网络通信互不影响。</w:t>
            </w:r>
          </w:p>
        </w:tc>
      </w:tr>
      <w:bookmarkEnd w:id="94"/>
    </w:tbl>
    <w:p>
      <w:pPr>
        <w:widowControl/>
      </w:pPr>
      <w:r>
        <w:br w:type="page"/>
      </w:r>
    </w:p>
    <w:p>
      <w:pPr>
        <w:pStyle w:val="2"/>
        <w:widowControl/>
        <w:numPr>
          <w:ilvl w:val="0"/>
          <w:numId w:val="0"/>
        </w:numPr>
        <w:spacing w:before="317" w:beforeLines="100" w:after="317" w:afterLines="100" w:line="240" w:lineRule="auto"/>
        <w:ind w:leftChars="0"/>
        <w:rPr>
          <w:rFonts w:hint="eastAsia" w:ascii="黑体" w:hAnsi="黑体" w:eastAsia="黑体" w:cs="黑体"/>
          <w:b w:val="0"/>
          <w:bCs/>
          <w:sz w:val="21"/>
          <w:szCs w:val="21"/>
        </w:rPr>
      </w:pPr>
      <w:bookmarkStart w:id="351" w:name="_Toc13897"/>
      <w:r>
        <w:rPr>
          <w:rFonts w:hint="eastAsia" w:ascii="黑体" w:hAnsi="黑体" w:eastAsia="黑体" w:cs="黑体"/>
          <w:b w:val="0"/>
          <w:bCs/>
          <w:sz w:val="21"/>
          <w:szCs w:val="21"/>
        </w:rPr>
        <w:t>A.4　通信模块性能检测方法</w:t>
      </w:r>
      <w:bookmarkEnd w:id="351"/>
    </w:p>
    <w:p>
      <w:pPr>
        <w:pStyle w:val="2"/>
        <w:widowControl/>
        <w:numPr>
          <w:ilvl w:val="0"/>
          <w:numId w:val="0"/>
        </w:numPr>
        <w:tabs>
          <w:tab w:val="left" w:pos="0"/>
        </w:tabs>
        <w:spacing w:before="158" w:beforeLines="50" w:after="158" w:afterLines="50" w:line="240" w:lineRule="auto"/>
        <w:ind w:leftChars="0"/>
        <w:rPr>
          <w:rFonts w:hint="eastAsia" w:ascii="黑体" w:hAnsi="黑体" w:eastAsia="黑体" w:cs="黑体"/>
          <w:b w:val="0"/>
          <w:bCs/>
          <w:sz w:val="21"/>
          <w:szCs w:val="21"/>
        </w:rPr>
      </w:pPr>
      <w:bookmarkStart w:id="352" w:name="_Toc19688"/>
      <w:r>
        <w:rPr>
          <w:rFonts w:hint="eastAsia" w:ascii="黑体" w:hAnsi="黑体" w:eastAsia="黑体" w:cs="黑体"/>
          <w:b w:val="0"/>
          <w:bCs/>
          <w:sz w:val="21"/>
          <w:szCs w:val="21"/>
        </w:rPr>
        <w:t>A.4.1高速电力线载波通信基本通信性能</w:t>
      </w:r>
      <w:bookmarkEnd w:id="352"/>
    </w:p>
    <w:p>
      <w:pPr>
        <w:autoSpaceDE w:val="0"/>
        <w:autoSpaceDN w:val="0"/>
        <w:ind w:firstLine="420" w:firstLineChars="200"/>
        <w:jc w:val="both"/>
        <w:rPr>
          <w:rFonts w:hint="eastAsia" w:ascii="宋体" w:eastAsia="宋体"/>
          <w:sz w:val="21"/>
          <w:lang w:val="en-US" w:eastAsia="zh-CN" w:bidi="ar-SA"/>
        </w:rPr>
      </w:pPr>
      <w:r>
        <w:t>1）</w:t>
      </w:r>
      <w:r>
        <w:rPr>
          <w:rFonts w:hint="eastAsia" w:ascii="宋体" w:eastAsia="宋体"/>
          <w:sz w:val="21"/>
          <w:lang w:val="en-US" w:eastAsia="zh-CN" w:bidi="ar-SA"/>
        </w:rPr>
        <w:t>工作频段及功率谱密度试验</w:t>
      </w:r>
    </w:p>
    <w:p>
      <w:pPr>
        <w:autoSpaceDE w:val="0"/>
        <w:autoSpaceDN w:val="0"/>
        <w:ind w:firstLine="420" w:firstLineChars="200"/>
        <w:jc w:val="both"/>
        <w:rPr>
          <w:rFonts w:hint="eastAsia" w:ascii="宋体" w:eastAsia="宋体"/>
          <w:sz w:val="21"/>
          <w:lang w:val="en-US" w:eastAsia="zh-CN" w:bidi="ar-SA"/>
        </w:rPr>
      </w:pPr>
      <w:r>
        <w:rPr>
          <w:rFonts w:hint="eastAsia" w:ascii="宋体" w:eastAsia="宋体"/>
          <w:sz w:val="21"/>
          <w:lang w:val="en-US" w:eastAsia="zh-CN" w:bidi="ar-SA"/>
        </w:rPr>
        <w:t>检测平台和透明物理设备发送接收报文。被测充电桩通信模块，插入被测模块位置。按以下步骤测试：</w:t>
      </w:r>
    </w:p>
    <w:p>
      <w:pPr>
        <w:pStyle w:val="41"/>
        <w:spacing w:before="0" w:line="240" w:lineRule="auto"/>
        <w:rPr>
          <w:rFonts w:hint="eastAsia" w:ascii="宋体" w:hAnsi="Times New Roman" w:eastAsia="宋体" w:cs="Times New Roman"/>
          <w:kern w:val="2"/>
          <w:sz w:val="21"/>
          <w:szCs w:val="24"/>
          <w:lang w:val="en-US" w:eastAsia="zh-CN" w:bidi="ar-SA"/>
        </w:rPr>
      </w:pPr>
      <w:r>
        <w:rPr>
          <w:rFonts w:hint="eastAsia" w:ascii="宋体" w:hAnsi="Times New Roman" w:eastAsia="宋体" w:cs="Times New Roman"/>
          <w:kern w:val="2"/>
          <w:sz w:val="21"/>
          <w:szCs w:val="24"/>
          <w:lang w:val="en-US" w:eastAsia="zh-CN" w:bidi="ar-SA"/>
        </w:rPr>
        <w:t xml:space="preserve">a）初始化台体环境，设置默认衰减值，将被测设备上电； </w:t>
      </w:r>
    </w:p>
    <w:p>
      <w:pPr>
        <w:pStyle w:val="41"/>
        <w:spacing w:before="0" w:line="240" w:lineRule="auto"/>
        <w:rPr>
          <w:rFonts w:hint="eastAsia" w:ascii="宋体" w:hAnsi="Times New Roman" w:eastAsia="宋体" w:cs="Times New Roman"/>
          <w:kern w:val="2"/>
          <w:sz w:val="21"/>
          <w:szCs w:val="24"/>
          <w:lang w:val="en-US" w:eastAsia="zh-CN" w:bidi="ar-SA"/>
        </w:rPr>
      </w:pPr>
      <w:r>
        <w:rPr>
          <w:rFonts w:hint="eastAsia" w:ascii="宋体" w:hAnsi="Times New Roman" w:eastAsia="宋体" w:cs="Times New Roman"/>
          <w:kern w:val="2"/>
          <w:sz w:val="21"/>
          <w:szCs w:val="24"/>
          <w:lang w:val="en-US" w:eastAsia="zh-CN" w:bidi="ar-SA"/>
        </w:rPr>
        <w:t>b）检测平台通过透明物理设备发送频段切换命令报文，使被测模块切换到目标测试频段；</w:t>
      </w:r>
    </w:p>
    <w:p>
      <w:pPr>
        <w:pStyle w:val="41"/>
        <w:spacing w:before="0" w:line="240" w:lineRule="auto"/>
        <w:rPr>
          <w:rFonts w:hint="eastAsia" w:ascii="宋体" w:hAnsi="Times New Roman" w:eastAsia="宋体" w:cs="Times New Roman"/>
          <w:kern w:val="2"/>
          <w:sz w:val="21"/>
          <w:szCs w:val="24"/>
          <w:lang w:val="en-US" w:eastAsia="zh-CN" w:bidi="ar-SA"/>
        </w:rPr>
      </w:pPr>
      <w:r>
        <w:rPr>
          <w:rFonts w:hint="eastAsia" w:ascii="宋体" w:hAnsi="Times New Roman" w:eastAsia="宋体" w:cs="Times New Roman"/>
          <w:kern w:val="2"/>
          <w:sz w:val="21"/>
          <w:szCs w:val="24"/>
          <w:lang w:val="en-US" w:eastAsia="zh-CN" w:bidi="ar-SA"/>
        </w:rPr>
        <w:t xml:space="preserve">c）检测平台通过透明物理设备发送测试模式配置报文，使被测模块进入物理层回传测试模式； </w:t>
      </w:r>
    </w:p>
    <w:p>
      <w:pPr>
        <w:pStyle w:val="41"/>
        <w:spacing w:before="0" w:line="240" w:lineRule="auto"/>
        <w:rPr>
          <w:rFonts w:hint="eastAsia" w:ascii="宋体" w:hAnsi="Times New Roman" w:eastAsia="宋体" w:cs="Times New Roman"/>
          <w:kern w:val="2"/>
          <w:sz w:val="21"/>
          <w:szCs w:val="24"/>
          <w:lang w:val="en-US" w:eastAsia="zh-CN" w:bidi="ar-SA"/>
        </w:rPr>
      </w:pPr>
      <w:r>
        <w:rPr>
          <w:rFonts w:hint="eastAsia" w:ascii="宋体" w:hAnsi="Times New Roman" w:eastAsia="宋体" w:cs="Times New Roman"/>
          <w:kern w:val="2"/>
          <w:sz w:val="21"/>
          <w:szCs w:val="24"/>
          <w:lang w:val="en-US" w:eastAsia="zh-CN" w:bidi="ar-SA"/>
        </w:rPr>
        <w:t>d）检测平台设置频谱仪参数，通过透明物理设备向被测设备发送多帧PLC测试报文，被测模块将接收到的PLC报文回传，频谱仪捕捉被测设备回传报文时的发送信号；</w:t>
      </w:r>
    </w:p>
    <w:p>
      <w:pPr>
        <w:pStyle w:val="41"/>
        <w:spacing w:before="0" w:line="240" w:lineRule="auto"/>
        <w:rPr>
          <w:rFonts w:hint="eastAsia" w:ascii="宋体" w:hAnsi="Times New Roman" w:eastAsia="宋体" w:cs="Times New Roman"/>
          <w:kern w:val="2"/>
          <w:sz w:val="21"/>
          <w:szCs w:val="24"/>
          <w:lang w:val="en-US" w:eastAsia="zh-CN" w:bidi="ar-SA"/>
        </w:rPr>
      </w:pPr>
      <w:r>
        <w:rPr>
          <w:rFonts w:hint="eastAsia" w:ascii="宋体" w:hAnsi="Times New Roman" w:eastAsia="宋体" w:cs="Times New Roman"/>
          <w:kern w:val="2"/>
          <w:sz w:val="21"/>
          <w:szCs w:val="24"/>
          <w:lang w:val="en-US" w:eastAsia="zh-CN" w:bidi="ar-SA"/>
        </w:rPr>
        <w:t>e）检测平台获取频谱仪的坐标数值，带内PSD值，通过读取点数，根据频谱仪的上升沿和下降沿拐点得出工作频段；</w:t>
      </w:r>
    </w:p>
    <w:p>
      <w:pPr>
        <w:pStyle w:val="41"/>
        <w:spacing w:before="0" w:line="240" w:lineRule="auto"/>
        <w:rPr>
          <w:rFonts w:hint="eastAsia" w:ascii="宋体" w:hAnsi="Times New Roman" w:eastAsia="宋体" w:cs="Times New Roman"/>
          <w:kern w:val="2"/>
          <w:sz w:val="21"/>
          <w:szCs w:val="24"/>
          <w:lang w:val="en-US" w:eastAsia="zh-CN" w:bidi="ar-SA"/>
        </w:rPr>
      </w:pPr>
      <w:r>
        <w:rPr>
          <w:rFonts w:hint="eastAsia" w:ascii="宋体" w:hAnsi="Times New Roman" w:eastAsia="宋体" w:cs="Times New Roman"/>
          <w:kern w:val="2"/>
          <w:sz w:val="21"/>
          <w:szCs w:val="24"/>
          <w:lang w:val="en-US" w:eastAsia="zh-CN" w:bidi="ar-SA"/>
        </w:rPr>
        <w:t>f）检测平台重新设置频谱仪参数，通过透明物理设备向被测设备发送多帧PLC测试报文，被测模块将接收到的PLC报文回传。频谱仪捕捉被测设备回传报文时的发送信号，检测平台从频谱仪获取带外PSD值。</w:t>
      </w:r>
    </w:p>
    <w:p>
      <w:pPr>
        <w:pStyle w:val="2"/>
        <w:widowControl/>
        <w:numPr>
          <w:ilvl w:val="0"/>
          <w:numId w:val="0"/>
        </w:numPr>
        <w:tabs>
          <w:tab w:val="left" w:pos="0"/>
        </w:tabs>
        <w:spacing w:before="158" w:beforeLines="50" w:after="158" w:afterLines="50" w:line="240" w:lineRule="auto"/>
        <w:ind w:leftChars="0"/>
        <w:rPr>
          <w:rFonts w:hint="eastAsia" w:ascii="黑体" w:hAnsi="黑体" w:eastAsia="黑体" w:cs="黑体"/>
          <w:b w:val="0"/>
          <w:bCs/>
          <w:sz w:val="21"/>
          <w:szCs w:val="21"/>
        </w:rPr>
      </w:pPr>
      <w:bookmarkStart w:id="353" w:name="_Toc26170"/>
      <w:r>
        <w:rPr>
          <w:rFonts w:hint="eastAsia" w:ascii="黑体" w:hAnsi="黑体" w:eastAsia="黑体" w:cs="黑体"/>
          <w:b w:val="0"/>
          <w:bCs/>
          <w:sz w:val="21"/>
          <w:szCs w:val="21"/>
        </w:rPr>
        <w:t>A.4.2高速无线通信基本通信性能</w:t>
      </w:r>
      <w:bookmarkEnd w:id="353"/>
    </w:p>
    <w:p>
      <w:pPr>
        <w:autoSpaceDE w:val="0"/>
        <w:autoSpaceDN w:val="0"/>
        <w:ind w:firstLine="420" w:firstLineChars="200"/>
        <w:jc w:val="both"/>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1）工作频段及功率谱密度试验</w:t>
      </w:r>
    </w:p>
    <w:p>
      <w:pPr>
        <w:autoSpaceDE w:val="0"/>
        <w:autoSpaceDN w:val="0"/>
        <w:ind w:firstLine="420" w:firstLineChars="200"/>
        <w:jc w:val="both"/>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检测平台和透明物理设备发送接收报文。被测充电桩通信模块，插入被测模块位置。按以下步骤测试：</w:t>
      </w:r>
    </w:p>
    <w:p>
      <w:pPr>
        <w:autoSpaceDE w:val="0"/>
        <w:autoSpaceDN w:val="0"/>
        <w:ind w:firstLine="420" w:firstLineChars="200"/>
        <w:jc w:val="both"/>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 xml:space="preserve">a）初始化台体环境，检测平台切换信号通道为被测设备到频谱仪，设置标准设备到被测设备衰减，将被测设备上电； </w:t>
      </w:r>
    </w:p>
    <w:p>
      <w:pPr>
        <w:autoSpaceDE w:val="0"/>
        <w:autoSpaceDN w:val="0"/>
        <w:ind w:firstLine="420" w:firstLineChars="200"/>
        <w:jc w:val="both"/>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b）检测平台通过透明物理设备发送无线信道切换测试命令，让被测设备进入指定信道；</w:t>
      </w:r>
    </w:p>
    <w:p>
      <w:pPr>
        <w:autoSpaceDE w:val="0"/>
        <w:autoSpaceDN w:val="0"/>
        <w:ind w:firstLine="420" w:firstLineChars="200"/>
        <w:jc w:val="both"/>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 xml:space="preserve">c）检测平台通过透明物理设备发送测试模式配置报文，使被测模块进入RF物理层回传测试模式； </w:t>
      </w:r>
    </w:p>
    <w:p>
      <w:pPr>
        <w:autoSpaceDE w:val="0"/>
        <w:autoSpaceDN w:val="0"/>
        <w:ind w:firstLine="420" w:firstLineChars="200"/>
        <w:jc w:val="both"/>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d）检测平台设置频谱仪参数，通过透明物理设备向被测设备发送多帧RF测试报文，被测模块将接收到的报文通过RF回传，频谱仪捕捉被测设备回传报文时的发送信号；</w:t>
      </w:r>
    </w:p>
    <w:p>
      <w:pPr>
        <w:autoSpaceDE w:val="0"/>
        <w:autoSpaceDN w:val="0"/>
        <w:ind w:firstLine="420" w:firstLineChars="200"/>
        <w:jc w:val="both"/>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e）检测平台获取频谱仪的坐标数值，获取频谱仪PSD值为当前信道带内PSD，通过读取点数，根据频谱仪的上升沿和下降沿拐点得出工作频段；</w:t>
      </w:r>
    </w:p>
    <w:p>
      <w:pPr>
        <w:autoSpaceDE w:val="0"/>
        <w:autoSpaceDN w:val="0"/>
        <w:ind w:firstLine="420" w:firstLineChars="200"/>
        <w:jc w:val="both"/>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f）检测平台切换option和信道，重复上述步骤。</w:t>
      </w:r>
    </w:p>
    <w:p>
      <w:pPr>
        <w:autoSpaceDE w:val="0"/>
        <w:autoSpaceDN w:val="0"/>
        <w:ind w:firstLine="420" w:firstLineChars="200"/>
        <w:jc w:val="both"/>
        <w:rPr>
          <w:rFonts w:hint="eastAsia" w:ascii="宋体" w:hAnsi="Times New Roman" w:eastAsia="宋体" w:cs="Times New Roman"/>
          <w:sz w:val="21"/>
          <w:lang w:val="en-US" w:eastAsia="zh-CN" w:bidi="ar-SA"/>
        </w:rPr>
      </w:pPr>
    </w:p>
    <w:p>
      <w:pPr>
        <w:autoSpaceDE w:val="0"/>
        <w:autoSpaceDN w:val="0"/>
        <w:ind w:firstLine="420" w:firstLineChars="200"/>
        <w:jc w:val="both"/>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2）发射频谱模板试验</w:t>
      </w:r>
    </w:p>
    <w:p>
      <w:pPr>
        <w:autoSpaceDE w:val="0"/>
        <w:autoSpaceDN w:val="0"/>
        <w:ind w:firstLine="420" w:firstLineChars="200"/>
        <w:jc w:val="both"/>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检测平台和透明物理设备发送接收报文。被测充电桩通信模块，插入被测模块位置。按以下步骤测试：</w:t>
      </w:r>
    </w:p>
    <w:p>
      <w:pPr>
        <w:autoSpaceDE w:val="0"/>
        <w:autoSpaceDN w:val="0"/>
        <w:ind w:firstLine="420" w:firstLineChars="200"/>
        <w:jc w:val="both"/>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a）初始化台体环境，检测平台切换信号通道为被测设备到频谱仪，设置标准设备到被测设备衰减，将被测设备上电；</w:t>
      </w:r>
    </w:p>
    <w:p>
      <w:pPr>
        <w:autoSpaceDE w:val="0"/>
        <w:autoSpaceDN w:val="0"/>
        <w:ind w:firstLine="420" w:firstLineChars="200"/>
        <w:jc w:val="both"/>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b）检测平台通过透明物理设备发送无线信道切换测试命令，让被测设备进入指定信道；</w:t>
      </w:r>
    </w:p>
    <w:p>
      <w:pPr>
        <w:autoSpaceDE w:val="0"/>
        <w:autoSpaceDN w:val="0"/>
        <w:ind w:firstLine="420" w:firstLineChars="200"/>
        <w:jc w:val="both"/>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 xml:space="preserve">c）检测平台通过透明物理设备发送测试模式配置报文，使被测模块进入RF物理层回传测试模式； </w:t>
      </w:r>
    </w:p>
    <w:p>
      <w:pPr>
        <w:autoSpaceDE w:val="0"/>
        <w:autoSpaceDN w:val="0"/>
        <w:ind w:firstLine="420" w:firstLineChars="200"/>
        <w:jc w:val="both"/>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d）检测平台设置频谱仪参数，通过透明物理设备向被测设备发送多帧RF测试报文，检测平台获取频偏仪曲线点数值，判断数据是否符合当前信道的频谱模板限定；</w:t>
      </w:r>
    </w:p>
    <w:p>
      <w:pPr>
        <w:autoSpaceDE w:val="0"/>
        <w:autoSpaceDN w:val="0"/>
        <w:ind w:firstLine="420" w:firstLineChars="200"/>
        <w:jc w:val="both"/>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e）检测平台切换option和信道，重复上述步骤。</w:t>
      </w:r>
    </w:p>
    <w:p>
      <w:pPr>
        <w:pStyle w:val="41"/>
      </w:pPr>
    </w:p>
    <w:p>
      <w:pPr>
        <w:jc w:val="center"/>
        <w:rPr>
          <w:szCs w:val="21"/>
          <w:u w:val="single"/>
        </w:rPr>
      </w:pPr>
      <w:r>
        <w:rPr>
          <w:rFonts w:hint="eastAsia"/>
          <w:szCs w:val="21"/>
          <w:u w:val="single"/>
        </w:rPr>
        <w:t xml:space="preserve"> </w:t>
      </w:r>
      <w:r>
        <w:rPr>
          <w:szCs w:val="21"/>
          <w:u w:val="single"/>
        </w:rPr>
        <w:t xml:space="preserve">        </w:t>
      </w:r>
    </w:p>
    <w:p>
      <w:pPr>
        <w:widowControl/>
        <w:rPr>
          <w:rFonts w:hAnsi="黑体"/>
          <w:sz w:val="24"/>
        </w:rPr>
      </w:pPr>
    </w:p>
    <w:p>
      <w:pPr>
        <w:widowControl/>
        <w:jc w:val="center"/>
        <w:rPr>
          <w:rFonts w:hAnsi="黑体"/>
          <w:sz w:val="24"/>
        </w:rPr>
        <w:sectPr>
          <w:headerReference r:id="rId21" w:type="first"/>
          <w:footerReference r:id="rId24" w:type="first"/>
          <w:headerReference r:id="rId19" w:type="default"/>
          <w:footerReference r:id="rId22" w:type="default"/>
          <w:headerReference r:id="rId20" w:type="even"/>
          <w:footerReference r:id="rId23" w:type="even"/>
          <w:pgSz w:w="11906" w:h="16838"/>
          <w:pgMar w:top="1440" w:right="1134" w:bottom="1440" w:left="1134" w:header="1417" w:footer="1134" w:gutter="283"/>
          <w:pgNumType w:start="1"/>
          <w:cols w:space="0" w:num="1"/>
          <w:docGrid w:type="lines" w:linePitch="317" w:charSpace="0"/>
        </w:sectPr>
      </w:pPr>
    </w:p>
    <w:p>
      <w:pPr>
        <w:widowControl/>
        <w:rPr>
          <w:rFonts w:hAnsi="黑体"/>
          <w:sz w:val="24"/>
        </w:rPr>
      </w:pPr>
    </w:p>
    <w:p>
      <w:pPr>
        <w:pStyle w:val="41"/>
        <w:sectPr>
          <w:headerReference r:id="rId27" w:type="first"/>
          <w:footerReference r:id="rId30" w:type="first"/>
          <w:headerReference r:id="rId25" w:type="default"/>
          <w:footerReference r:id="rId28" w:type="default"/>
          <w:headerReference r:id="rId26" w:type="even"/>
          <w:footerReference r:id="rId29" w:type="even"/>
          <w:pgSz w:w="11906" w:h="16838"/>
          <w:pgMar w:top="1417" w:right="283" w:bottom="1418" w:left="1440" w:header="851" w:footer="992" w:gutter="0"/>
          <w:pgNumType w:start="1"/>
          <w:cols w:space="425" w:num="1"/>
          <w:titlePg/>
          <w:textDirection w:val="tbRl"/>
          <w:docGrid w:type="lines" w:linePitch="312" w:charSpace="0"/>
        </w:sectPr>
      </w:pPr>
      <w:r>
        <w:rPr>
          <w:rFonts w:hint="eastAsia"/>
        </w:rPr>
        <w:t>DB43/T XXX-XXXX</w:t>
      </w:r>
    </w:p>
    <w:p>
      <w:pPr>
        <w:pStyle w:val="41"/>
        <w:ind w:left="0" w:leftChars="0" w:firstLine="0" w:firstLineChars="0"/>
      </w:pPr>
    </w:p>
    <w:sectPr>
      <w:pgSz w:w="11906" w:h="16838"/>
      <w:pgMar w:top="1417" w:right="283" w:bottom="1418" w:left="1440" w:header="851" w:footer="992" w:gutter="0"/>
      <w:pgNumType w:start="1"/>
      <w:cols w:space="425" w:num="1"/>
      <w:titlePg/>
      <w:textDirection w:val="tbRl"/>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3DE16AA-DD9A-4422-A3B9-4238060A69F8}"/>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Light">
    <w:panose1 w:val="02010600030101010101"/>
    <w:charset w:val="86"/>
    <w:family w:val="auto"/>
    <w:pitch w:val="default"/>
    <w:sig w:usb0="A00002BF" w:usb1="38CF7CFA" w:usb2="00000016" w:usb3="00000000" w:csb0="0004000F" w:csb1="00000000"/>
  </w:font>
  <w:font w:name="方正仿宋_GBK">
    <w:altName w:val="微软雅黑"/>
    <w:panose1 w:val="02000000000000000000"/>
    <w:charset w:val="86"/>
    <w:family w:val="script"/>
    <w:pitch w:val="default"/>
    <w:sig w:usb0="00000000" w:usb1="00000000" w:usb2="00082016" w:usb3="00000000" w:csb0="00040001" w:csb1="00000000"/>
  </w:font>
  <w:font w:name="EU-F1">
    <w:altName w:val="宋体"/>
    <w:panose1 w:val="00000000000000000000"/>
    <w:charset w:val="86"/>
    <w:family w:val="auto"/>
    <w:pitch w:val="default"/>
    <w:sig w:usb0="00000000" w:usb1="00000000" w:usb2="00000010" w:usb3="00000000" w:csb0="00040000" w:csb1="00000000"/>
  </w:font>
  <w:font w:name="E-F1">
    <w:altName w:val="Malgun Gothic"/>
    <w:panose1 w:val="00000000000000000000"/>
    <w:charset w:val="81"/>
    <w:family w:val="roman"/>
    <w:pitch w:val="default"/>
    <w:sig w:usb0="00000000" w:usb1="00000000" w:usb2="00000033" w:usb3="00000000" w:csb0="00080000" w:csb1="00000000"/>
  </w:font>
  <w:font w:name="MS Mincho">
    <w:panose1 w:val="02020609040205080304"/>
    <w:charset w:val="80"/>
    <w:family w:val="roman"/>
    <w:pitch w:val="default"/>
    <w:sig w:usb0="E00002FF" w:usb1="6AC7FDFB" w:usb2="00000012" w:usb3="00000000" w:csb0="4002009F" w:csb1="DFD70000"/>
    <w:embedRegular r:id="rId2" w:fontKey="{B5B44181-8D8D-415E-8AA6-6E3467155C91}"/>
  </w:font>
  <w:font w:name="Malgun Gothic">
    <w:panose1 w:val="020B0503020000020004"/>
    <w:charset w:val="81"/>
    <w:family w:val="auto"/>
    <w:pitch w:val="default"/>
    <w:sig w:usb0="900002AF" w:usb1="01D77CFB" w:usb2="00000012" w:usb3="00000000" w:csb0="00080001"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rPr>
        <w:caps/>
        <w:color w:val="4F81BD" w:themeColor="accent1"/>
        <w14:textFill>
          <w14:solidFill>
            <w14:schemeClr w14:val="accent1"/>
          </w14:solidFill>
        </w14:textFill>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rPr>
        <w:caps/>
        <w:color w:val="4F81BD" w:themeColor="accent1"/>
        <w14:textFill>
          <w14:solidFill>
            <w14:schemeClr w14:val="accent1"/>
          </w14:solidFill>
        </w14:textFill>
      </w:rPr>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56" name="文本框 5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ind w:left="227"/>
                            <w:rPr>
                              <w:rFonts w:ascii="宋体" w:hAnsi="宋体" w:cs="宋体"/>
                            </w:rPr>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DdiyxxEAIAAAkEAAAOAAAAAAAAAAEAIAAA&#10;AB8BAABkcnMvZTJvRG9jLnhtbFBLBQYAAAAABgAGAFkBAAChBQAAAAA=&#10;">
              <v:fill on="f" focussize="0,0"/>
              <v:stroke on="f" weight="0.5pt"/>
              <v:imagedata o:title=""/>
              <o:lock v:ext="edit" aspectratio="f"/>
              <v:textbox inset="0mm,0mm,0mm,0mm" style="mso-fit-shape-to-text:t;">
                <w:txbxContent>
                  <w:p>
                    <w:pPr>
                      <w:pStyle w:val="22"/>
                      <w:ind w:left="227"/>
                      <w:rPr>
                        <w:rFonts w:ascii="宋体" w:hAnsi="宋体" w:cs="宋体"/>
                      </w:rPr>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tabs>
        <w:tab w:val="clear" w:pos="4153"/>
      </w:tabs>
      <w:jc w:val="center"/>
    </w:pPr>
    <w: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59" name="文本框 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ind w:right="227"/>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zSVju0AAAAAUBAAAPAAAAAAAAAAEAIAAAACIA&#10;AABkcnMvZG93bnJldi54bWxQSwECFAAUAAAACACHTuJARwrsBBECAAAJBAAADgAAAAAAAAABACAA&#10;AAAfAQAAZHJzL2Uyb0RvYy54bWxQSwUGAAAAAAYABgBZAQAAogUAAAAA&#10;">
              <v:fill on="f" focussize="0,0"/>
              <v:stroke on="f" weight="0.5pt"/>
              <v:imagedata o:title=""/>
              <o:lock v:ext="edit" aspectratio="f"/>
              <v:textbox inset="0mm,0mm,0mm,0mm" style="mso-fit-shape-to-text:t;">
                <w:txbxContent>
                  <w:p>
                    <w:pPr>
                      <w:pStyle w:val="22"/>
                      <w:ind w:right="227"/>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right"/>
      <w:rPr>
        <w:caps/>
        <w:color w:val="4F81BD" w:themeColor="accent1"/>
        <w14:textFill>
          <w14:solidFill>
            <w14:schemeClr w14:val="accent1"/>
          </w14:solidFill>
        </w14:textFill>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rPr>
        <w:caps/>
        <w:color w:val="4F81BD" w:themeColor="accent1"/>
        <w14:textFill>
          <w14:solidFill>
            <w14:schemeClr w14:val="accent1"/>
          </w14:solidFill>
        </w14:textFill>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tabs>
        <w:tab w:val="clear" w:pos="4153"/>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rPr>
        <w:caps/>
        <w:color w:val="4F81BD" w:themeColor="accent1"/>
        <w14:textFill>
          <w14:solidFill>
            <w14:schemeClr w14:val="accent1"/>
          </w14:solidFill>
        </w14:textFil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rPr>
        <w:caps/>
        <w:color w:val="4F81BD" w:themeColor="accent1"/>
        <w14:textFill>
          <w14:solidFill>
            <w14:schemeClr w14:val="accent1"/>
          </w14:solidFill>
        </w14:textFill>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rPr>
        <w:caps/>
        <w:color w:val="4F81BD" w:themeColor="accent1"/>
        <w14:textFill>
          <w14:solidFill>
            <w14:schemeClr w14:val="accent1"/>
          </w14:solidFill>
        </w14:textFill>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tabs>
        <w:tab w:val="clear" w:pos="4153"/>
      </w:tabs>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right"/>
      <w:rPr>
        <w:caps/>
        <w:color w:val="4F81BD" w:themeColor="accent1"/>
        <w14:textFill>
          <w14:solidFill>
            <w14:schemeClr w14:val="accent1"/>
          </w14:solidFill>
        </w14:textFill>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rPr>
        <w:caps/>
        <w:color w:val="4F81BD" w:themeColor="accent1"/>
        <w14:textFill>
          <w14:solidFill>
            <w14:schemeClr w14:val="accent1"/>
          </w14:solidFill>
        </w14:textFill>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right"/>
      <w:rPr>
        <w:caps/>
        <w:color w:val="4F81BD" w:themeColor="accent1"/>
        <w14:textFill>
          <w14:solidFill>
            <w14:schemeClr w14:val="accent1"/>
          </w14:solidFill>
        </w14:textFill>
      </w:rPr>
    </w:pPr>
    <w: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ind w:right="227"/>
                            <w:rPr>
                              <w:rFonts w:ascii="宋体" w:hAnsi="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ascii="宋体" w:hAnsi="宋体" w:cs="宋体"/>
                            </w:rPr>
                            <w:t>21</w:t>
                          </w:r>
                          <w:r>
                            <w:rPr>
                              <w:rFonts w:hint="eastAsia" w:ascii="宋体" w:hAnsi="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AlXdmxEAIAAAkEAAAOAAAAAAAAAAEAIAAA&#10;AB8BAABkcnMvZTJvRG9jLnhtbFBLBQYAAAAABgAGAFkBAAChBQAAAAA=&#10;">
              <v:fill on="f" focussize="0,0"/>
              <v:stroke on="f" weight="0.5pt"/>
              <v:imagedata o:title=""/>
              <o:lock v:ext="edit" aspectratio="f"/>
              <v:textbox inset="0mm,0mm,0mm,0mm" style="mso-fit-shape-to-text:t;">
                <w:txbxContent>
                  <w:p>
                    <w:pPr>
                      <w:pStyle w:val="22"/>
                      <w:ind w:right="227"/>
                      <w:rPr>
                        <w:rFonts w:ascii="宋体" w:hAnsi="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ascii="宋体" w:hAnsi="宋体" w:cs="宋体"/>
                      </w:rPr>
                      <w:t>21</w:t>
                    </w:r>
                    <w:r>
                      <w:rPr>
                        <w:rFonts w:hint="eastAsia" w:ascii="宋体" w:hAnsi="宋体" w:cs="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right"/>
      <w:rPr>
        <w:sz w:val="21"/>
        <w:szCs w:val="32"/>
      </w:rPr>
    </w:pPr>
    <w:r>
      <w:rPr>
        <w:rFonts w:hint="eastAsia"/>
        <w:sz w:val="21"/>
        <w:szCs w:val="32"/>
      </w:rPr>
      <w:t>DB XX-XXXX</w:t>
    </w:r>
  </w:p>
  <w:p>
    <w:pPr>
      <w:pStyle w:val="23"/>
      <w:jc w:val="right"/>
      <w:rPr>
        <w:sz w:val="21"/>
        <w:szCs w:val="32"/>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left"/>
      <w:rPr>
        <w:rFonts w:ascii="黑体" w:hAnsi="黑体" w:eastAsia="黑体" w:cs="黑体"/>
        <w:sz w:val="21"/>
        <w:szCs w:val="32"/>
      </w:rPr>
    </w:pPr>
    <w:r>
      <w:rPr>
        <w:rFonts w:hint="eastAsia" w:ascii="黑体" w:hAnsi="黑体" w:eastAsia="黑体" w:cs="黑体"/>
        <w:sz w:val="21"/>
        <w:szCs w:val="32"/>
      </w:rPr>
      <w:t>DB43/T XXX-XXXX</w:t>
    </w:r>
  </w:p>
  <w:p>
    <w:pPr>
      <w:pStyle w:val="23"/>
      <w:jc w:val="left"/>
      <w:rPr>
        <w:sz w:val="21"/>
        <w:szCs w:val="3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right"/>
    </w:pPr>
    <w:r>
      <w:rPr>
        <w:rFonts w:hint="eastAsia"/>
        <w:sz w:val="21"/>
        <w:szCs w:val="32"/>
      </w:rPr>
      <w:t>DB43/T XXX-XXXX</w:t>
    </w:r>
  </w:p>
  <w:p>
    <w:pPr>
      <w:pStyle w:val="23"/>
      <w:jc w:val="right"/>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right"/>
      <w:rPr>
        <w:sz w:val="21"/>
        <w:szCs w:val="32"/>
      </w:rPr>
    </w:pPr>
    <w:r>
      <w:rPr>
        <w:rFonts w:hint="eastAsia"/>
        <w:sz w:val="21"/>
        <w:szCs w:val="32"/>
      </w:rPr>
      <w:t>DB43/T XXX-XXXX</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left"/>
      <w:rPr>
        <w:sz w:val="21"/>
        <w:szCs w:val="32"/>
      </w:rPr>
    </w:pPr>
    <w:r>
      <w:rPr>
        <w:rFonts w:hint="eastAsia"/>
        <w:sz w:val="21"/>
        <w:szCs w:val="32"/>
      </w:rPr>
      <w:t>DB43/T XXX-XXXX</w:t>
    </w:r>
  </w:p>
  <w:p>
    <w:pPr>
      <w:pStyle w:val="23"/>
      <w:jc w:val="left"/>
      <w:rPr>
        <w:sz w:val="21"/>
        <w:szCs w:val="32"/>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left"/>
      <w:rPr>
        <w:sz w:val="21"/>
        <w:szCs w:val="32"/>
      </w:rPr>
    </w:pPr>
  </w:p>
  <w:p>
    <w:pPr>
      <w:pStyle w:val="23"/>
      <w:jc w:val="left"/>
      <w:rPr>
        <w:sz w:val="21"/>
        <w:szCs w:val="32"/>
      </w:rPr>
    </w:pPr>
  </w:p>
  <w:p>
    <w:pPr>
      <w:pStyle w:val="23"/>
      <w:jc w:val="right"/>
    </w:pPr>
    <w:r>
      <w:rPr>
        <w:rFonts w:hint="eastAsia"/>
        <w:sz w:val="21"/>
        <w:szCs w:val="32"/>
      </w:rPr>
      <w:t>DB 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right"/>
      <w:rPr>
        <w:sz w:val="21"/>
        <w:szCs w:val="32"/>
      </w:rPr>
    </w:pPr>
    <w:r>
      <w:rPr>
        <w:rFonts w:hint="eastAsia"/>
        <w:sz w:val="21"/>
        <w:szCs w:val="32"/>
      </w:rPr>
      <w:t>DB XX-XXXX</w:t>
    </w:r>
  </w:p>
  <w:p>
    <w:pPr>
      <w:pStyle w:val="23"/>
      <w:jc w:val="right"/>
      <w:rPr>
        <w:sz w:val="21"/>
        <w:szCs w:val="3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left"/>
      <w:rPr>
        <w:sz w:val="21"/>
        <w:szCs w:val="32"/>
      </w:rPr>
    </w:pPr>
  </w:p>
  <w:p>
    <w:pPr>
      <w:pStyle w:val="23"/>
      <w:jc w:val="left"/>
      <w:rPr>
        <w:sz w:val="21"/>
        <w:szCs w:val="32"/>
      </w:rPr>
    </w:pPr>
  </w:p>
  <w:p>
    <w:pPr>
      <w:pStyle w:val="23"/>
      <w:jc w:val="right"/>
    </w:pPr>
    <w:r>
      <w:rPr>
        <w:rFonts w:hint="eastAsia"/>
        <w:sz w:val="21"/>
        <w:szCs w:val="32"/>
      </w:rPr>
      <w:t>DB XX-XXXX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right"/>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right"/>
      <w:rPr>
        <w:sz w:val="21"/>
        <w:szCs w:val="32"/>
      </w:rPr>
    </w:pPr>
  </w:p>
  <w:p>
    <w:pPr>
      <w:pStyle w:val="23"/>
      <w:jc w:val="right"/>
      <w:rPr>
        <w:sz w:val="21"/>
        <w:szCs w:val="3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left"/>
      <w:rPr>
        <w:sz w:val="21"/>
        <w:szCs w:val="32"/>
      </w:rPr>
    </w:pPr>
    <w:r>
      <w:rPr>
        <w:rFonts w:hint="eastAsia"/>
        <w:sz w:val="21"/>
        <w:szCs w:val="32"/>
      </w:rPr>
      <w:t>DB43/T XXX-XXXX</w:t>
    </w:r>
  </w:p>
  <w:p>
    <w:pPr>
      <w:pStyle w:val="23"/>
      <w:jc w:val="left"/>
      <w:rPr>
        <w:sz w:val="21"/>
        <w:szCs w:val="32"/>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right"/>
      <w:rPr>
        <w:sz w:val="21"/>
        <w:szCs w:val="32"/>
      </w:rPr>
    </w:pPr>
    <w:r>
      <w:rPr>
        <w:rFonts w:hint="eastAsia" w:ascii="黑体" w:hAnsi="黑体" w:eastAsia="黑体" w:cs="黑体"/>
        <w:sz w:val="21"/>
        <w:szCs w:val="32"/>
      </w:rPr>
      <w:t>DB43/T 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8E0C7FC"/>
    <w:multiLevelType w:val="multilevel"/>
    <w:tmpl w:val="D8E0C7FC"/>
    <w:lvl w:ilvl="0" w:tentative="0">
      <w:start w:val="1"/>
      <w:numFmt w:val="decimal"/>
      <w:pStyle w:val="2"/>
      <w:lvlText w:val="%1 "/>
      <w:lvlJc w:val="left"/>
      <w:pPr>
        <w:ind w:left="432" w:hanging="432"/>
      </w:pPr>
      <w:rPr>
        <w:rFonts w:hint="default" w:eastAsia="黑体"/>
        <w:sz w:val="24"/>
      </w:rPr>
    </w:lvl>
    <w:lvl w:ilvl="1" w:tentative="0">
      <w:start w:val="1"/>
      <w:numFmt w:val="decimal"/>
      <w:pStyle w:val="3"/>
      <w:lvlText w:val="%1.%2 "/>
      <w:lvlJc w:val="left"/>
      <w:pPr>
        <w:ind w:left="575" w:hanging="575"/>
      </w:pPr>
      <w:rPr>
        <w:rFonts w:hint="default" w:eastAsia="黑体"/>
        <w:sz w:val="21"/>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D8FC9520"/>
    <w:multiLevelType w:val="singleLevel"/>
    <w:tmpl w:val="D8FC9520"/>
    <w:lvl w:ilvl="0" w:tentative="0">
      <w:start w:val="1"/>
      <w:numFmt w:val="lowerLetter"/>
      <w:lvlText w:val="%1)"/>
      <w:lvlJc w:val="left"/>
      <w:pPr>
        <w:tabs>
          <w:tab w:val="left" w:pos="312"/>
        </w:tabs>
      </w:pPr>
    </w:lvl>
  </w:abstractNum>
  <w:abstractNum w:abstractNumId="2">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eastAsia="黑体" w:hAnsiTheme="minorHAnsi"/>
        <w:b w:val="0"/>
        <w:i w:val="0"/>
        <w:sz w:val="21"/>
      </w:rPr>
    </w:lvl>
    <w:lvl w:ilvl="2" w:tentative="0">
      <w:start w:val="1"/>
      <w:numFmt w:val="decimal"/>
      <w:suff w:val="nothing"/>
      <w:lvlText w:val="%10.%2.%3 "/>
      <w:lvlJc w:val="left"/>
      <w:pPr>
        <w:ind w:left="0" w:firstLine="0"/>
      </w:pPr>
      <w:rPr>
        <w:rFonts w:hint="eastAsia" w:ascii="黑体" w:eastAsia="黑体" w:hAnsiTheme="minorHAnsi"/>
        <w:b w:val="0"/>
        <w:i w:val="0"/>
        <w:sz w:val="21"/>
      </w:rPr>
    </w:lvl>
    <w:lvl w:ilvl="3" w:tentative="0">
      <w:start w:val="1"/>
      <w:numFmt w:val="decimal"/>
      <w:suff w:val="nothing"/>
      <w:lvlText w:val="%10.%2.%3.%4 "/>
      <w:lvlJc w:val="left"/>
      <w:pPr>
        <w:ind w:left="0" w:firstLine="0"/>
      </w:pPr>
      <w:rPr>
        <w:rFonts w:hint="eastAsia" w:ascii="黑体" w:eastAsia="黑体" w:hAnsiTheme="minorHAnsi"/>
        <w:b w:val="0"/>
        <w:i w:val="0"/>
        <w:sz w:val="21"/>
      </w:rPr>
    </w:lvl>
    <w:lvl w:ilvl="4" w:tentative="0">
      <w:start w:val="1"/>
      <w:numFmt w:val="decimal"/>
      <w:suff w:val="nothing"/>
      <w:lvlText w:val="%10.%2.%3.%4.%5 "/>
      <w:lvlJc w:val="left"/>
      <w:pPr>
        <w:ind w:left="0" w:firstLine="0"/>
      </w:pPr>
      <w:rPr>
        <w:rFonts w:hint="eastAsia" w:ascii="黑体" w:eastAsia="黑体" w:hAnsiTheme="minorHAnsi"/>
        <w:b w:val="0"/>
        <w:i w:val="0"/>
        <w:sz w:val="21"/>
      </w:rPr>
    </w:lvl>
    <w:lvl w:ilvl="5" w:tentative="0">
      <w:start w:val="1"/>
      <w:numFmt w:val="decimal"/>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1FC91163"/>
    <w:multiLevelType w:val="multilevel"/>
    <w:tmpl w:val="1FC91163"/>
    <w:lvl w:ilvl="0" w:tentative="0">
      <w:start w:val="1"/>
      <w:numFmt w:val="decimal"/>
      <w:pStyle w:val="43"/>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4"/>
      <w:suff w:val="nothing"/>
      <w:lvlText w:val="%1.%2　"/>
      <w:lvlJc w:val="left"/>
      <w:pPr>
        <w:ind w:left="851" w:firstLine="0"/>
      </w:pPr>
      <w:rPr>
        <w:rFonts w:hint="eastAsia" w:ascii="黑体" w:hAnsi="Times New Roman" w:eastAsia="黑体" w:cs="Times New Roman"/>
        <w:b w:val="0"/>
        <w:bCs w:val="0"/>
        <w:i w:val="0"/>
        <w:iCs w:val="0"/>
        <w:caps w:val="0"/>
        <w:strike w:val="0"/>
        <w:dstrike w:val="0"/>
        <w:color w:val="000000"/>
        <w:spacing w:val="0"/>
        <w:kern w:val="0"/>
        <w:position w:val="0"/>
        <w:sz w:val="21"/>
        <w:szCs w:val="21"/>
        <w:u w:val="none"/>
      </w:rPr>
    </w:lvl>
    <w:lvl w:ilvl="2" w:tentative="0">
      <w:start w:val="1"/>
      <w:numFmt w:val="decimal"/>
      <w:pStyle w:val="78"/>
      <w:suff w:val="nothing"/>
      <w:lvlText w:val="%1.%2.%3　"/>
      <w:lvlJc w:val="left"/>
      <w:pPr>
        <w:ind w:left="0" w:firstLine="0"/>
      </w:pPr>
      <w:rPr>
        <w:rFonts w:hint="eastAsia" w:ascii="黑体" w:hAnsi="Times New Roman" w:eastAsia="黑体"/>
        <w:b w:val="0"/>
        <w:i w:val="0"/>
        <w:sz w:val="21"/>
      </w:rPr>
    </w:lvl>
    <w:lvl w:ilvl="3" w:tentative="0">
      <w:start w:val="1"/>
      <w:numFmt w:val="decimal"/>
      <w:pStyle w:val="82"/>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2CDC40DF"/>
    <w:multiLevelType w:val="multilevel"/>
    <w:tmpl w:val="2CDC40DF"/>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325CC28E"/>
    <w:multiLevelType w:val="multilevel"/>
    <w:tmpl w:val="325CC28E"/>
    <w:lvl w:ilvl="0" w:tentative="0">
      <w:start w:val="1"/>
      <w:numFmt w:val="decimal"/>
      <w:suff w:val="space"/>
      <w:lvlText w:val="%1 "/>
      <w:lvlJc w:val="left"/>
      <w:pPr>
        <w:ind w:left="0" w:firstLine="0"/>
      </w:pPr>
      <w:rPr>
        <w:rFonts w:hint="default" w:eastAsia="黑体"/>
        <w:sz w:val="21"/>
        <w:szCs w:val="21"/>
      </w:rPr>
    </w:lvl>
    <w:lvl w:ilvl="1" w:tentative="0">
      <w:start w:val="1"/>
      <w:numFmt w:val="decimal"/>
      <w:suff w:val="space"/>
      <w:lvlText w:val="%1.%2 "/>
      <w:lvlJc w:val="left"/>
      <w:pPr>
        <w:ind w:left="0" w:firstLine="0"/>
      </w:pPr>
      <w:rPr>
        <w:rFonts w:hint="default" w:ascii="黑体" w:hAnsi="黑体" w:eastAsia="黑体" w:cs="黑体"/>
        <w:b w:val="0"/>
        <w:bCs w:val="0"/>
        <w:sz w:val="21"/>
      </w:rPr>
    </w:lvl>
    <w:lvl w:ilvl="2" w:tentative="0">
      <w:start w:val="1"/>
      <w:numFmt w:val="decimal"/>
      <w:suff w:val="space"/>
      <w:lvlText w:val="%1.%2.%3 "/>
      <w:lvlJc w:val="left"/>
      <w:pPr>
        <w:ind w:left="0" w:firstLine="0"/>
      </w:pPr>
      <w:rPr>
        <w:rFonts w:hint="default" w:ascii="黑体" w:hAnsi="黑体" w:eastAsia="黑体" w:cs="黑体"/>
        <w:b w:val="0"/>
        <w:bCs w:val="0"/>
        <w:sz w:val="21"/>
        <w:szCs w:val="21"/>
      </w:rPr>
    </w:lvl>
    <w:lvl w:ilvl="3" w:tentative="0">
      <w:start w:val="1"/>
      <w:numFmt w:val="decimal"/>
      <w:suff w:val="space"/>
      <w:lvlText w:val="%1.%2.%3.%4 "/>
      <w:lvlJc w:val="left"/>
      <w:pPr>
        <w:ind w:left="0" w:firstLine="0"/>
      </w:pPr>
      <w:rPr>
        <w:rFonts w:hint="default" w:ascii="黑体" w:hAnsi="黑体" w:eastAsia="黑体" w:cs="黑体"/>
        <w:b w:val="0"/>
        <w:bCs w:val="0"/>
        <w:sz w:val="21"/>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6">
    <w:nsid w:val="424C152A"/>
    <w:multiLevelType w:val="multilevel"/>
    <w:tmpl w:val="424C152A"/>
    <w:lvl w:ilvl="0" w:tentative="0">
      <w:start w:val="1"/>
      <w:numFmt w:val="lowerLetter"/>
      <w:pStyle w:val="81"/>
      <w:lvlText w:val="%1)"/>
      <w:lvlJc w:val="left"/>
      <w:pPr>
        <w:tabs>
          <w:tab w:val="left" w:pos="420"/>
        </w:tabs>
        <w:ind w:left="41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7">
    <w:nsid w:val="6DBF04F4"/>
    <w:multiLevelType w:val="multilevel"/>
    <w:tmpl w:val="6DBF04F4"/>
    <w:lvl w:ilvl="0" w:tentative="0">
      <w:start w:val="1"/>
      <w:numFmt w:val="none"/>
      <w:pStyle w:val="71"/>
      <w:suff w:val="nothing"/>
      <w:lvlText w:val="%1注："/>
      <w:lvlJc w:val="left"/>
      <w:pPr>
        <w:ind w:left="1214" w:hanging="363"/>
      </w:pPr>
      <w:rPr>
        <w:rFonts w:hint="eastAsia" w:ascii="宋体" w:hAnsi="宋体" w:eastAsia="宋体" w:cs="Times New Roman"/>
        <w:b w:val="0"/>
        <w:i w:val="0"/>
        <w:sz w:val="18"/>
        <w:lang w:val="en-US"/>
      </w:rPr>
    </w:lvl>
    <w:lvl w:ilvl="1" w:tentative="0">
      <w:start w:val="1"/>
      <w:numFmt w:val="lowerLetter"/>
      <w:lvlText w:val="%2)"/>
      <w:lvlJc w:val="left"/>
      <w:pPr>
        <w:tabs>
          <w:tab w:val="left" w:pos="1140"/>
        </w:tabs>
        <w:ind w:left="726" w:hanging="363"/>
      </w:pPr>
      <w:rPr>
        <w:rFonts w:hint="eastAsia" w:cs="Times New Roman"/>
      </w:rPr>
    </w:lvl>
    <w:lvl w:ilvl="2" w:tentative="0">
      <w:start w:val="1"/>
      <w:numFmt w:val="lowerRoman"/>
      <w:lvlText w:val="%3."/>
      <w:lvlJc w:val="right"/>
      <w:pPr>
        <w:tabs>
          <w:tab w:val="left" w:pos="1140"/>
        </w:tabs>
        <w:ind w:left="726" w:hanging="363"/>
      </w:pPr>
      <w:rPr>
        <w:rFonts w:hint="eastAsia" w:cs="Times New Roman"/>
      </w:rPr>
    </w:lvl>
    <w:lvl w:ilvl="3" w:tentative="0">
      <w:start w:val="1"/>
      <w:numFmt w:val="decimal"/>
      <w:lvlText w:val="%4."/>
      <w:lvlJc w:val="left"/>
      <w:pPr>
        <w:tabs>
          <w:tab w:val="left" w:pos="1140"/>
        </w:tabs>
        <w:ind w:left="726" w:hanging="363"/>
      </w:pPr>
      <w:rPr>
        <w:rFonts w:hint="eastAsia" w:cs="Times New Roman"/>
      </w:rPr>
    </w:lvl>
    <w:lvl w:ilvl="4" w:tentative="0">
      <w:start w:val="1"/>
      <w:numFmt w:val="lowerLetter"/>
      <w:lvlText w:val="%5)"/>
      <w:lvlJc w:val="left"/>
      <w:pPr>
        <w:tabs>
          <w:tab w:val="left" w:pos="1140"/>
        </w:tabs>
        <w:ind w:left="726" w:hanging="363"/>
      </w:pPr>
      <w:rPr>
        <w:rFonts w:hint="eastAsia" w:cs="Times New Roman"/>
      </w:rPr>
    </w:lvl>
    <w:lvl w:ilvl="5" w:tentative="0">
      <w:start w:val="1"/>
      <w:numFmt w:val="lowerRoman"/>
      <w:lvlText w:val="%6."/>
      <w:lvlJc w:val="right"/>
      <w:pPr>
        <w:tabs>
          <w:tab w:val="left" w:pos="1140"/>
        </w:tabs>
        <w:ind w:left="726" w:hanging="363"/>
      </w:pPr>
      <w:rPr>
        <w:rFonts w:hint="eastAsia" w:cs="Times New Roman"/>
      </w:rPr>
    </w:lvl>
    <w:lvl w:ilvl="6" w:tentative="0">
      <w:start w:val="1"/>
      <w:numFmt w:val="decimal"/>
      <w:lvlText w:val="%7."/>
      <w:lvlJc w:val="left"/>
      <w:pPr>
        <w:tabs>
          <w:tab w:val="left" w:pos="1140"/>
        </w:tabs>
        <w:ind w:left="726" w:hanging="363"/>
      </w:pPr>
      <w:rPr>
        <w:rFonts w:hint="eastAsia" w:cs="Times New Roman"/>
      </w:rPr>
    </w:lvl>
    <w:lvl w:ilvl="7" w:tentative="0">
      <w:start w:val="1"/>
      <w:numFmt w:val="lowerLetter"/>
      <w:lvlText w:val="%8)"/>
      <w:lvlJc w:val="left"/>
      <w:pPr>
        <w:tabs>
          <w:tab w:val="left" w:pos="1140"/>
        </w:tabs>
        <w:ind w:left="726" w:hanging="363"/>
      </w:pPr>
      <w:rPr>
        <w:rFonts w:hint="eastAsia" w:cs="Times New Roman"/>
      </w:rPr>
    </w:lvl>
    <w:lvl w:ilvl="8" w:tentative="0">
      <w:start w:val="1"/>
      <w:numFmt w:val="lowerRoman"/>
      <w:lvlText w:val="%9."/>
      <w:lvlJc w:val="right"/>
      <w:pPr>
        <w:tabs>
          <w:tab w:val="left" w:pos="1140"/>
        </w:tabs>
        <w:ind w:left="726" w:hanging="363"/>
      </w:pPr>
      <w:rPr>
        <w:rFonts w:hint="eastAsia" w:cs="Times New Roman"/>
      </w:rPr>
    </w:lvl>
  </w:abstractNum>
  <w:abstractNum w:abstractNumId="8">
    <w:nsid w:val="7AF262B7"/>
    <w:multiLevelType w:val="multilevel"/>
    <w:tmpl w:val="7AF262B7"/>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3"/>
  </w:num>
  <w:num w:numId="3">
    <w:abstractNumId w:val="7"/>
  </w:num>
  <w:num w:numId="4">
    <w:abstractNumId w:val="6"/>
  </w:num>
  <w:num w:numId="5">
    <w:abstractNumId w:val="2"/>
  </w:num>
  <w:num w:numId="6">
    <w:abstractNumId w:val="5"/>
  </w:num>
  <w:num w:numId="7">
    <w:abstractNumId w:val="8"/>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val="1"/>
  <w:embedTrueTypeFonts/>
  <w:saveSubsetFonts/>
  <w:bordersDoNotSurroundHeader w:val="1"/>
  <w:bordersDoNotSurroundFooter w:val="1"/>
  <w:documentProtection w:enforcement="0"/>
  <w:defaultTabStop w:val="420"/>
  <w:evenAndOddHeaders w:val="1"/>
  <w:drawingGridHorizontalSpacing w:val="105"/>
  <w:drawingGridVerticalSpacing w:val="159"/>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4NzFjMzQ4NTViYjNlYzQ2ZTZjODc3OTgwY2MyMzkifQ=="/>
  </w:docVars>
  <w:rsids>
    <w:rsidRoot w:val="00644734"/>
    <w:rsid w:val="000007B3"/>
    <w:rsid w:val="00000996"/>
    <w:rsid w:val="00003801"/>
    <w:rsid w:val="000064C0"/>
    <w:rsid w:val="00006D74"/>
    <w:rsid w:val="000121C5"/>
    <w:rsid w:val="00013925"/>
    <w:rsid w:val="00015572"/>
    <w:rsid w:val="000174C7"/>
    <w:rsid w:val="00031ED0"/>
    <w:rsid w:val="000347B8"/>
    <w:rsid w:val="00043CFE"/>
    <w:rsid w:val="00052735"/>
    <w:rsid w:val="00053202"/>
    <w:rsid w:val="000669E1"/>
    <w:rsid w:val="000706CB"/>
    <w:rsid w:val="00073F34"/>
    <w:rsid w:val="00075D1A"/>
    <w:rsid w:val="00080AC4"/>
    <w:rsid w:val="000865F0"/>
    <w:rsid w:val="00091F79"/>
    <w:rsid w:val="00094E65"/>
    <w:rsid w:val="000D055A"/>
    <w:rsid w:val="000D3846"/>
    <w:rsid w:val="000F2F72"/>
    <w:rsid w:val="001044D6"/>
    <w:rsid w:val="00106610"/>
    <w:rsid w:val="001120CB"/>
    <w:rsid w:val="001165D8"/>
    <w:rsid w:val="00122AA3"/>
    <w:rsid w:val="00137EE5"/>
    <w:rsid w:val="00141110"/>
    <w:rsid w:val="00141B66"/>
    <w:rsid w:val="001442B8"/>
    <w:rsid w:val="001556BB"/>
    <w:rsid w:val="00164253"/>
    <w:rsid w:val="00164901"/>
    <w:rsid w:val="001669E9"/>
    <w:rsid w:val="0017210B"/>
    <w:rsid w:val="00183D7B"/>
    <w:rsid w:val="001A78F3"/>
    <w:rsid w:val="001B7761"/>
    <w:rsid w:val="001C05ED"/>
    <w:rsid w:val="001C1AA4"/>
    <w:rsid w:val="001C3232"/>
    <w:rsid w:val="001D2D9C"/>
    <w:rsid w:val="001D7BB6"/>
    <w:rsid w:val="001E32FA"/>
    <w:rsid w:val="001F18BF"/>
    <w:rsid w:val="001F3335"/>
    <w:rsid w:val="00214F59"/>
    <w:rsid w:val="002250F8"/>
    <w:rsid w:val="00225859"/>
    <w:rsid w:val="00230E2D"/>
    <w:rsid w:val="00232FAD"/>
    <w:rsid w:val="00247073"/>
    <w:rsid w:val="002562AF"/>
    <w:rsid w:val="0026021B"/>
    <w:rsid w:val="00275908"/>
    <w:rsid w:val="002826BC"/>
    <w:rsid w:val="00286F32"/>
    <w:rsid w:val="002921F5"/>
    <w:rsid w:val="002C4F36"/>
    <w:rsid w:val="002D1171"/>
    <w:rsid w:val="002D6C13"/>
    <w:rsid w:val="002E688E"/>
    <w:rsid w:val="002F690B"/>
    <w:rsid w:val="00300BDD"/>
    <w:rsid w:val="0030556B"/>
    <w:rsid w:val="0031498B"/>
    <w:rsid w:val="00321DAA"/>
    <w:rsid w:val="00331E3D"/>
    <w:rsid w:val="00337DE8"/>
    <w:rsid w:val="00352DB7"/>
    <w:rsid w:val="00353F6A"/>
    <w:rsid w:val="003545DB"/>
    <w:rsid w:val="003630DD"/>
    <w:rsid w:val="00364CF3"/>
    <w:rsid w:val="00372460"/>
    <w:rsid w:val="0037519A"/>
    <w:rsid w:val="00377C56"/>
    <w:rsid w:val="00397151"/>
    <w:rsid w:val="003A39BD"/>
    <w:rsid w:val="003B1784"/>
    <w:rsid w:val="003B5F69"/>
    <w:rsid w:val="003D02B0"/>
    <w:rsid w:val="003D5596"/>
    <w:rsid w:val="003D7CC6"/>
    <w:rsid w:val="003F0C57"/>
    <w:rsid w:val="003F6945"/>
    <w:rsid w:val="004104DA"/>
    <w:rsid w:val="00411B8B"/>
    <w:rsid w:val="0042646F"/>
    <w:rsid w:val="00427CB2"/>
    <w:rsid w:val="0043240F"/>
    <w:rsid w:val="004324E5"/>
    <w:rsid w:val="00445A81"/>
    <w:rsid w:val="00446DB5"/>
    <w:rsid w:val="00454287"/>
    <w:rsid w:val="004677C3"/>
    <w:rsid w:val="00470F0C"/>
    <w:rsid w:val="00475DA6"/>
    <w:rsid w:val="00477C21"/>
    <w:rsid w:val="0048256D"/>
    <w:rsid w:val="00492CBC"/>
    <w:rsid w:val="00496781"/>
    <w:rsid w:val="004A5A6B"/>
    <w:rsid w:val="004B0BAB"/>
    <w:rsid w:val="004B3F2D"/>
    <w:rsid w:val="004B4405"/>
    <w:rsid w:val="004B6A41"/>
    <w:rsid w:val="004B6F8D"/>
    <w:rsid w:val="004C3B16"/>
    <w:rsid w:val="004C3F2C"/>
    <w:rsid w:val="004D107A"/>
    <w:rsid w:val="004D7F77"/>
    <w:rsid w:val="004E44CB"/>
    <w:rsid w:val="004F40FE"/>
    <w:rsid w:val="005023A3"/>
    <w:rsid w:val="00517211"/>
    <w:rsid w:val="005174E1"/>
    <w:rsid w:val="00520D12"/>
    <w:rsid w:val="0052268A"/>
    <w:rsid w:val="00523614"/>
    <w:rsid w:val="00542D10"/>
    <w:rsid w:val="00542E08"/>
    <w:rsid w:val="00547A68"/>
    <w:rsid w:val="005528F7"/>
    <w:rsid w:val="00552EEA"/>
    <w:rsid w:val="0055636F"/>
    <w:rsid w:val="0055788A"/>
    <w:rsid w:val="00560B53"/>
    <w:rsid w:val="00561B99"/>
    <w:rsid w:val="005733F1"/>
    <w:rsid w:val="0057568C"/>
    <w:rsid w:val="00591A3B"/>
    <w:rsid w:val="005A41E3"/>
    <w:rsid w:val="005A472D"/>
    <w:rsid w:val="005A6541"/>
    <w:rsid w:val="005A6CD3"/>
    <w:rsid w:val="005B1DC8"/>
    <w:rsid w:val="005B1EA5"/>
    <w:rsid w:val="005B7C47"/>
    <w:rsid w:val="005C3B5B"/>
    <w:rsid w:val="005D408B"/>
    <w:rsid w:val="005D6F3E"/>
    <w:rsid w:val="005E0507"/>
    <w:rsid w:val="005E13F5"/>
    <w:rsid w:val="005E374B"/>
    <w:rsid w:val="00607A08"/>
    <w:rsid w:val="00612FD7"/>
    <w:rsid w:val="00615997"/>
    <w:rsid w:val="0061769F"/>
    <w:rsid w:val="00627223"/>
    <w:rsid w:val="006354DA"/>
    <w:rsid w:val="00640675"/>
    <w:rsid w:val="00644734"/>
    <w:rsid w:val="00647C6F"/>
    <w:rsid w:val="00647DEA"/>
    <w:rsid w:val="00655C26"/>
    <w:rsid w:val="00670CB8"/>
    <w:rsid w:val="00673EE1"/>
    <w:rsid w:val="00681F17"/>
    <w:rsid w:val="006823DC"/>
    <w:rsid w:val="006834AB"/>
    <w:rsid w:val="00687E81"/>
    <w:rsid w:val="006A4094"/>
    <w:rsid w:val="006A5345"/>
    <w:rsid w:val="006A7C11"/>
    <w:rsid w:val="006B06DE"/>
    <w:rsid w:val="006D3102"/>
    <w:rsid w:val="006D45AB"/>
    <w:rsid w:val="006E63E1"/>
    <w:rsid w:val="006F0109"/>
    <w:rsid w:val="006F0217"/>
    <w:rsid w:val="006F1653"/>
    <w:rsid w:val="006F4419"/>
    <w:rsid w:val="006F714C"/>
    <w:rsid w:val="007014C7"/>
    <w:rsid w:val="00701E45"/>
    <w:rsid w:val="0070247B"/>
    <w:rsid w:val="00703534"/>
    <w:rsid w:val="0070576A"/>
    <w:rsid w:val="00713836"/>
    <w:rsid w:val="00726677"/>
    <w:rsid w:val="00731DEC"/>
    <w:rsid w:val="00737AE5"/>
    <w:rsid w:val="0074054F"/>
    <w:rsid w:val="00742E4E"/>
    <w:rsid w:val="00747138"/>
    <w:rsid w:val="007641B6"/>
    <w:rsid w:val="007666D7"/>
    <w:rsid w:val="00766A81"/>
    <w:rsid w:val="0079078E"/>
    <w:rsid w:val="00792581"/>
    <w:rsid w:val="00792B99"/>
    <w:rsid w:val="007B1753"/>
    <w:rsid w:val="007B28C0"/>
    <w:rsid w:val="007B30F4"/>
    <w:rsid w:val="007B6C30"/>
    <w:rsid w:val="007C0D32"/>
    <w:rsid w:val="007D0FC2"/>
    <w:rsid w:val="007D1733"/>
    <w:rsid w:val="007E34F4"/>
    <w:rsid w:val="007F03DB"/>
    <w:rsid w:val="007F09F2"/>
    <w:rsid w:val="007F3D76"/>
    <w:rsid w:val="008015E6"/>
    <w:rsid w:val="00802927"/>
    <w:rsid w:val="00805BD1"/>
    <w:rsid w:val="008168ED"/>
    <w:rsid w:val="008236C4"/>
    <w:rsid w:val="00826472"/>
    <w:rsid w:val="00831119"/>
    <w:rsid w:val="00836795"/>
    <w:rsid w:val="00837A00"/>
    <w:rsid w:val="008557AB"/>
    <w:rsid w:val="00862F4C"/>
    <w:rsid w:val="00865435"/>
    <w:rsid w:val="00870BFA"/>
    <w:rsid w:val="00872986"/>
    <w:rsid w:val="008830CB"/>
    <w:rsid w:val="008833B0"/>
    <w:rsid w:val="008867F9"/>
    <w:rsid w:val="00886DA0"/>
    <w:rsid w:val="00892784"/>
    <w:rsid w:val="00893337"/>
    <w:rsid w:val="008A3879"/>
    <w:rsid w:val="008B085B"/>
    <w:rsid w:val="008B3B2B"/>
    <w:rsid w:val="008E1558"/>
    <w:rsid w:val="008E64C4"/>
    <w:rsid w:val="008F23F7"/>
    <w:rsid w:val="008F3D1F"/>
    <w:rsid w:val="00913099"/>
    <w:rsid w:val="0091636E"/>
    <w:rsid w:val="00935AF0"/>
    <w:rsid w:val="00936BB0"/>
    <w:rsid w:val="00936FDE"/>
    <w:rsid w:val="00956137"/>
    <w:rsid w:val="00961B8A"/>
    <w:rsid w:val="00981A4D"/>
    <w:rsid w:val="00982D96"/>
    <w:rsid w:val="00995D46"/>
    <w:rsid w:val="009A1721"/>
    <w:rsid w:val="009A2D17"/>
    <w:rsid w:val="009A2D82"/>
    <w:rsid w:val="009A2EF0"/>
    <w:rsid w:val="009A5E42"/>
    <w:rsid w:val="009C3ABE"/>
    <w:rsid w:val="009D1C82"/>
    <w:rsid w:val="009D5301"/>
    <w:rsid w:val="009D652B"/>
    <w:rsid w:val="009D6B61"/>
    <w:rsid w:val="009E2492"/>
    <w:rsid w:val="009E5F2C"/>
    <w:rsid w:val="009E5F5C"/>
    <w:rsid w:val="009F11F8"/>
    <w:rsid w:val="00A21C2E"/>
    <w:rsid w:val="00A319F7"/>
    <w:rsid w:val="00A36AA6"/>
    <w:rsid w:val="00A54AC6"/>
    <w:rsid w:val="00A60E53"/>
    <w:rsid w:val="00A62AFB"/>
    <w:rsid w:val="00A71201"/>
    <w:rsid w:val="00A713B0"/>
    <w:rsid w:val="00A80C6E"/>
    <w:rsid w:val="00A825C3"/>
    <w:rsid w:val="00A83299"/>
    <w:rsid w:val="00A84789"/>
    <w:rsid w:val="00A87042"/>
    <w:rsid w:val="00A87A3A"/>
    <w:rsid w:val="00A94DB7"/>
    <w:rsid w:val="00A97A9E"/>
    <w:rsid w:val="00AA4AB6"/>
    <w:rsid w:val="00AB24F4"/>
    <w:rsid w:val="00AB683D"/>
    <w:rsid w:val="00AB6F1F"/>
    <w:rsid w:val="00AC1C8D"/>
    <w:rsid w:val="00AC222D"/>
    <w:rsid w:val="00AC24DF"/>
    <w:rsid w:val="00AD4DBC"/>
    <w:rsid w:val="00AD5EA7"/>
    <w:rsid w:val="00AD7CE5"/>
    <w:rsid w:val="00AE163E"/>
    <w:rsid w:val="00AF5C99"/>
    <w:rsid w:val="00B013A7"/>
    <w:rsid w:val="00B05B5F"/>
    <w:rsid w:val="00B062D2"/>
    <w:rsid w:val="00B109CB"/>
    <w:rsid w:val="00B14DE9"/>
    <w:rsid w:val="00B14DFA"/>
    <w:rsid w:val="00B24AA2"/>
    <w:rsid w:val="00B34ACA"/>
    <w:rsid w:val="00B402AA"/>
    <w:rsid w:val="00B402DA"/>
    <w:rsid w:val="00B40656"/>
    <w:rsid w:val="00B41347"/>
    <w:rsid w:val="00B50A52"/>
    <w:rsid w:val="00B7357F"/>
    <w:rsid w:val="00B75EAD"/>
    <w:rsid w:val="00B77A09"/>
    <w:rsid w:val="00B878B5"/>
    <w:rsid w:val="00B90825"/>
    <w:rsid w:val="00BB2916"/>
    <w:rsid w:val="00BD4772"/>
    <w:rsid w:val="00BE2C72"/>
    <w:rsid w:val="00C006D7"/>
    <w:rsid w:val="00C15026"/>
    <w:rsid w:val="00C167C6"/>
    <w:rsid w:val="00C257ED"/>
    <w:rsid w:val="00C3097A"/>
    <w:rsid w:val="00C420D8"/>
    <w:rsid w:val="00C47E05"/>
    <w:rsid w:val="00C520B8"/>
    <w:rsid w:val="00C56002"/>
    <w:rsid w:val="00C631C2"/>
    <w:rsid w:val="00C65E15"/>
    <w:rsid w:val="00C72588"/>
    <w:rsid w:val="00C76A5F"/>
    <w:rsid w:val="00C8618B"/>
    <w:rsid w:val="00C86EF4"/>
    <w:rsid w:val="00C93058"/>
    <w:rsid w:val="00C95725"/>
    <w:rsid w:val="00CA6BE7"/>
    <w:rsid w:val="00CB2AD4"/>
    <w:rsid w:val="00CC3D5E"/>
    <w:rsid w:val="00CC574D"/>
    <w:rsid w:val="00D077D1"/>
    <w:rsid w:val="00D14582"/>
    <w:rsid w:val="00D14D3E"/>
    <w:rsid w:val="00D170AF"/>
    <w:rsid w:val="00D32659"/>
    <w:rsid w:val="00D33654"/>
    <w:rsid w:val="00D33D83"/>
    <w:rsid w:val="00D36590"/>
    <w:rsid w:val="00D37E32"/>
    <w:rsid w:val="00D45CC1"/>
    <w:rsid w:val="00D5143C"/>
    <w:rsid w:val="00D62A83"/>
    <w:rsid w:val="00D64872"/>
    <w:rsid w:val="00D72D2F"/>
    <w:rsid w:val="00D8605F"/>
    <w:rsid w:val="00D908D9"/>
    <w:rsid w:val="00D923CB"/>
    <w:rsid w:val="00DA0B0F"/>
    <w:rsid w:val="00DB57EC"/>
    <w:rsid w:val="00DC2A77"/>
    <w:rsid w:val="00DC3DB9"/>
    <w:rsid w:val="00DD61E2"/>
    <w:rsid w:val="00DE4F04"/>
    <w:rsid w:val="00DF2CCA"/>
    <w:rsid w:val="00DF5802"/>
    <w:rsid w:val="00E035A1"/>
    <w:rsid w:val="00E04992"/>
    <w:rsid w:val="00E11314"/>
    <w:rsid w:val="00E21D9A"/>
    <w:rsid w:val="00E235F6"/>
    <w:rsid w:val="00E2722E"/>
    <w:rsid w:val="00E42FA4"/>
    <w:rsid w:val="00E4330C"/>
    <w:rsid w:val="00E4614A"/>
    <w:rsid w:val="00E636F4"/>
    <w:rsid w:val="00E702C5"/>
    <w:rsid w:val="00E77242"/>
    <w:rsid w:val="00E86229"/>
    <w:rsid w:val="00E9171F"/>
    <w:rsid w:val="00E92962"/>
    <w:rsid w:val="00E95310"/>
    <w:rsid w:val="00E97ACB"/>
    <w:rsid w:val="00EB4E64"/>
    <w:rsid w:val="00EC19B5"/>
    <w:rsid w:val="00EC23A1"/>
    <w:rsid w:val="00EF1758"/>
    <w:rsid w:val="00F03CAE"/>
    <w:rsid w:val="00F14595"/>
    <w:rsid w:val="00F160CC"/>
    <w:rsid w:val="00F21EA1"/>
    <w:rsid w:val="00F22950"/>
    <w:rsid w:val="00F2591B"/>
    <w:rsid w:val="00F33486"/>
    <w:rsid w:val="00F411A2"/>
    <w:rsid w:val="00F41476"/>
    <w:rsid w:val="00F4682D"/>
    <w:rsid w:val="00F51D6D"/>
    <w:rsid w:val="00F525BA"/>
    <w:rsid w:val="00F5338F"/>
    <w:rsid w:val="00F545D6"/>
    <w:rsid w:val="00F6336C"/>
    <w:rsid w:val="00F67A91"/>
    <w:rsid w:val="00F72FF1"/>
    <w:rsid w:val="00F8513B"/>
    <w:rsid w:val="00F970F3"/>
    <w:rsid w:val="00FA741A"/>
    <w:rsid w:val="00FB1A47"/>
    <w:rsid w:val="00FB2A46"/>
    <w:rsid w:val="00FB36DC"/>
    <w:rsid w:val="00FB4718"/>
    <w:rsid w:val="00FC2518"/>
    <w:rsid w:val="00FD040D"/>
    <w:rsid w:val="00FD78EB"/>
    <w:rsid w:val="00FE788A"/>
    <w:rsid w:val="00FF1FCD"/>
    <w:rsid w:val="018765AC"/>
    <w:rsid w:val="02745930"/>
    <w:rsid w:val="02AF70EC"/>
    <w:rsid w:val="02B33A18"/>
    <w:rsid w:val="02DD57D7"/>
    <w:rsid w:val="032F2286"/>
    <w:rsid w:val="037D178A"/>
    <w:rsid w:val="041E4445"/>
    <w:rsid w:val="047B1E2D"/>
    <w:rsid w:val="050276CE"/>
    <w:rsid w:val="05197BE6"/>
    <w:rsid w:val="05925C44"/>
    <w:rsid w:val="05CE0FC7"/>
    <w:rsid w:val="05D36CF2"/>
    <w:rsid w:val="05D72F23"/>
    <w:rsid w:val="05EC52C3"/>
    <w:rsid w:val="05F402B8"/>
    <w:rsid w:val="065B01DC"/>
    <w:rsid w:val="06776D33"/>
    <w:rsid w:val="06896B15"/>
    <w:rsid w:val="0735446E"/>
    <w:rsid w:val="07472A60"/>
    <w:rsid w:val="079203DA"/>
    <w:rsid w:val="07FD5F6B"/>
    <w:rsid w:val="08976F0C"/>
    <w:rsid w:val="08992D5C"/>
    <w:rsid w:val="0914143D"/>
    <w:rsid w:val="09666246"/>
    <w:rsid w:val="09C01FBF"/>
    <w:rsid w:val="0A4E55E8"/>
    <w:rsid w:val="0AD00231"/>
    <w:rsid w:val="0B542FDE"/>
    <w:rsid w:val="0C694E0D"/>
    <w:rsid w:val="0CA20293"/>
    <w:rsid w:val="0CBC29E1"/>
    <w:rsid w:val="0CC85AFB"/>
    <w:rsid w:val="0D0B3D64"/>
    <w:rsid w:val="0E700019"/>
    <w:rsid w:val="0E726B67"/>
    <w:rsid w:val="0EB3434E"/>
    <w:rsid w:val="0EB71278"/>
    <w:rsid w:val="0EF63F74"/>
    <w:rsid w:val="0F671838"/>
    <w:rsid w:val="0F7200CA"/>
    <w:rsid w:val="10464E92"/>
    <w:rsid w:val="105C2FDC"/>
    <w:rsid w:val="10D153F3"/>
    <w:rsid w:val="112424FF"/>
    <w:rsid w:val="12823991"/>
    <w:rsid w:val="12D670EC"/>
    <w:rsid w:val="12E40085"/>
    <w:rsid w:val="12EA4F0F"/>
    <w:rsid w:val="13164C08"/>
    <w:rsid w:val="133F4DBE"/>
    <w:rsid w:val="13455E07"/>
    <w:rsid w:val="139F1F76"/>
    <w:rsid w:val="142371FD"/>
    <w:rsid w:val="1459375A"/>
    <w:rsid w:val="14B7032D"/>
    <w:rsid w:val="15160A46"/>
    <w:rsid w:val="157E3EF7"/>
    <w:rsid w:val="15A64B65"/>
    <w:rsid w:val="15B80AE4"/>
    <w:rsid w:val="15D96641"/>
    <w:rsid w:val="16157479"/>
    <w:rsid w:val="162437A1"/>
    <w:rsid w:val="16326BBB"/>
    <w:rsid w:val="170535D2"/>
    <w:rsid w:val="177F5166"/>
    <w:rsid w:val="17ED1175"/>
    <w:rsid w:val="17F30C0D"/>
    <w:rsid w:val="18B45463"/>
    <w:rsid w:val="18C70C1D"/>
    <w:rsid w:val="18DD6FC3"/>
    <w:rsid w:val="192D32A6"/>
    <w:rsid w:val="192F2B88"/>
    <w:rsid w:val="196F4FEF"/>
    <w:rsid w:val="19797AAD"/>
    <w:rsid w:val="197E13DE"/>
    <w:rsid w:val="19DA584F"/>
    <w:rsid w:val="19DF5BD6"/>
    <w:rsid w:val="1A0911F3"/>
    <w:rsid w:val="1A131239"/>
    <w:rsid w:val="1A143E05"/>
    <w:rsid w:val="1A4B3D59"/>
    <w:rsid w:val="1A613F2E"/>
    <w:rsid w:val="1A7D3400"/>
    <w:rsid w:val="1AA0197E"/>
    <w:rsid w:val="1AA358F2"/>
    <w:rsid w:val="1AA41033"/>
    <w:rsid w:val="1ACA42F1"/>
    <w:rsid w:val="1B087599"/>
    <w:rsid w:val="1B4B4B47"/>
    <w:rsid w:val="1B822333"/>
    <w:rsid w:val="1BDA3ED9"/>
    <w:rsid w:val="1BEE12BF"/>
    <w:rsid w:val="1C250A51"/>
    <w:rsid w:val="1C6F7275"/>
    <w:rsid w:val="1C8774F1"/>
    <w:rsid w:val="1CE72A80"/>
    <w:rsid w:val="1D1D0F4A"/>
    <w:rsid w:val="1D3E746D"/>
    <w:rsid w:val="1D547D06"/>
    <w:rsid w:val="1E836D00"/>
    <w:rsid w:val="1F0B3750"/>
    <w:rsid w:val="1FA4315F"/>
    <w:rsid w:val="1FCD04EB"/>
    <w:rsid w:val="20624CEC"/>
    <w:rsid w:val="20C17933"/>
    <w:rsid w:val="21892BDC"/>
    <w:rsid w:val="21C8351B"/>
    <w:rsid w:val="21EF5B2F"/>
    <w:rsid w:val="227120EF"/>
    <w:rsid w:val="22862C8F"/>
    <w:rsid w:val="22A46179"/>
    <w:rsid w:val="22B72401"/>
    <w:rsid w:val="22CD1BFB"/>
    <w:rsid w:val="22D87DED"/>
    <w:rsid w:val="23403BE4"/>
    <w:rsid w:val="23860A7A"/>
    <w:rsid w:val="23D56118"/>
    <w:rsid w:val="23FE2C82"/>
    <w:rsid w:val="24250EF9"/>
    <w:rsid w:val="249B37C8"/>
    <w:rsid w:val="24BB4614"/>
    <w:rsid w:val="24C30622"/>
    <w:rsid w:val="24DE177C"/>
    <w:rsid w:val="25426026"/>
    <w:rsid w:val="254717E9"/>
    <w:rsid w:val="25ED0E84"/>
    <w:rsid w:val="26532AF6"/>
    <w:rsid w:val="267C6969"/>
    <w:rsid w:val="26912E79"/>
    <w:rsid w:val="26D02F70"/>
    <w:rsid w:val="26FE1071"/>
    <w:rsid w:val="28577A06"/>
    <w:rsid w:val="285F64DB"/>
    <w:rsid w:val="28DD70F6"/>
    <w:rsid w:val="28FE79B0"/>
    <w:rsid w:val="29346A55"/>
    <w:rsid w:val="29524C2A"/>
    <w:rsid w:val="296553CB"/>
    <w:rsid w:val="298E0913"/>
    <w:rsid w:val="29A47DC9"/>
    <w:rsid w:val="2AEF12E7"/>
    <w:rsid w:val="2AFF7DF3"/>
    <w:rsid w:val="2B342280"/>
    <w:rsid w:val="2B590E5E"/>
    <w:rsid w:val="2BBD342A"/>
    <w:rsid w:val="2BDC3B73"/>
    <w:rsid w:val="2C830590"/>
    <w:rsid w:val="2CB729C6"/>
    <w:rsid w:val="2CBB3546"/>
    <w:rsid w:val="2CD962FD"/>
    <w:rsid w:val="2D095D92"/>
    <w:rsid w:val="2D0B392C"/>
    <w:rsid w:val="2D776454"/>
    <w:rsid w:val="2E3A5383"/>
    <w:rsid w:val="2E8114B6"/>
    <w:rsid w:val="2EA015E3"/>
    <w:rsid w:val="2F0C7582"/>
    <w:rsid w:val="2F14383E"/>
    <w:rsid w:val="300D5326"/>
    <w:rsid w:val="30A81DFB"/>
    <w:rsid w:val="31442E27"/>
    <w:rsid w:val="31595545"/>
    <w:rsid w:val="3190706C"/>
    <w:rsid w:val="321A757A"/>
    <w:rsid w:val="3236257F"/>
    <w:rsid w:val="32A51D81"/>
    <w:rsid w:val="32CE4D68"/>
    <w:rsid w:val="33161549"/>
    <w:rsid w:val="334D0FAC"/>
    <w:rsid w:val="3375117B"/>
    <w:rsid w:val="33FC72B0"/>
    <w:rsid w:val="34034EE6"/>
    <w:rsid w:val="345C0152"/>
    <w:rsid w:val="35326E0A"/>
    <w:rsid w:val="35470F7B"/>
    <w:rsid w:val="357B2C04"/>
    <w:rsid w:val="371C5968"/>
    <w:rsid w:val="374D44BF"/>
    <w:rsid w:val="380059CF"/>
    <w:rsid w:val="38625D9E"/>
    <w:rsid w:val="38773FCD"/>
    <w:rsid w:val="387F4BD7"/>
    <w:rsid w:val="394E45BA"/>
    <w:rsid w:val="39862FEC"/>
    <w:rsid w:val="39CE1AF2"/>
    <w:rsid w:val="39DE54D9"/>
    <w:rsid w:val="39F552D0"/>
    <w:rsid w:val="3A474881"/>
    <w:rsid w:val="3A8F636E"/>
    <w:rsid w:val="3AC25D44"/>
    <w:rsid w:val="3ADE323B"/>
    <w:rsid w:val="3B4474A0"/>
    <w:rsid w:val="3C2C5E92"/>
    <w:rsid w:val="3C442EB7"/>
    <w:rsid w:val="3C7F17FC"/>
    <w:rsid w:val="3CBA4519"/>
    <w:rsid w:val="3D873286"/>
    <w:rsid w:val="3E120E2B"/>
    <w:rsid w:val="3E2835B8"/>
    <w:rsid w:val="3E585E2E"/>
    <w:rsid w:val="3E60228D"/>
    <w:rsid w:val="3E6D75B9"/>
    <w:rsid w:val="3E6F1F36"/>
    <w:rsid w:val="3F234142"/>
    <w:rsid w:val="3F541764"/>
    <w:rsid w:val="3F7275D7"/>
    <w:rsid w:val="3F7D4E51"/>
    <w:rsid w:val="3F856C74"/>
    <w:rsid w:val="40703903"/>
    <w:rsid w:val="40CB4C29"/>
    <w:rsid w:val="40D773FE"/>
    <w:rsid w:val="412169AB"/>
    <w:rsid w:val="413C334D"/>
    <w:rsid w:val="414C1A22"/>
    <w:rsid w:val="414C3A28"/>
    <w:rsid w:val="41A92A51"/>
    <w:rsid w:val="41FF4D51"/>
    <w:rsid w:val="42000C7A"/>
    <w:rsid w:val="42064FBB"/>
    <w:rsid w:val="423170C2"/>
    <w:rsid w:val="42A41243"/>
    <w:rsid w:val="43093884"/>
    <w:rsid w:val="431C38CE"/>
    <w:rsid w:val="43E724F9"/>
    <w:rsid w:val="442134E3"/>
    <w:rsid w:val="44814913"/>
    <w:rsid w:val="44C93116"/>
    <w:rsid w:val="44FF33F5"/>
    <w:rsid w:val="45EC57D9"/>
    <w:rsid w:val="46015641"/>
    <w:rsid w:val="466748FF"/>
    <w:rsid w:val="467361A6"/>
    <w:rsid w:val="4699057F"/>
    <w:rsid w:val="46BD0699"/>
    <w:rsid w:val="46F7143E"/>
    <w:rsid w:val="47151E48"/>
    <w:rsid w:val="477E30E1"/>
    <w:rsid w:val="477F2D5D"/>
    <w:rsid w:val="480271B0"/>
    <w:rsid w:val="4870427D"/>
    <w:rsid w:val="49251828"/>
    <w:rsid w:val="4A037D4C"/>
    <w:rsid w:val="4AB9081B"/>
    <w:rsid w:val="4B2D6CD9"/>
    <w:rsid w:val="4B5157FD"/>
    <w:rsid w:val="4BC82845"/>
    <w:rsid w:val="4BEB208F"/>
    <w:rsid w:val="4C5C4CF9"/>
    <w:rsid w:val="4D080446"/>
    <w:rsid w:val="4D2A444B"/>
    <w:rsid w:val="4D430E37"/>
    <w:rsid w:val="4DA71847"/>
    <w:rsid w:val="4E2E3A5A"/>
    <w:rsid w:val="4E521CA6"/>
    <w:rsid w:val="4E8F5B91"/>
    <w:rsid w:val="4E9A049C"/>
    <w:rsid w:val="4F4307C8"/>
    <w:rsid w:val="4F9D6478"/>
    <w:rsid w:val="4FAE6A93"/>
    <w:rsid w:val="502F5AA9"/>
    <w:rsid w:val="507D0945"/>
    <w:rsid w:val="51021206"/>
    <w:rsid w:val="5166445B"/>
    <w:rsid w:val="51AE29A6"/>
    <w:rsid w:val="51E211D8"/>
    <w:rsid w:val="525779FB"/>
    <w:rsid w:val="52631787"/>
    <w:rsid w:val="52A42F98"/>
    <w:rsid w:val="52AF59B4"/>
    <w:rsid w:val="52DF0D6E"/>
    <w:rsid w:val="534E7547"/>
    <w:rsid w:val="537E1A3B"/>
    <w:rsid w:val="54196DC8"/>
    <w:rsid w:val="541D5B04"/>
    <w:rsid w:val="542E7ED5"/>
    <w:rsid w:val="543B0C59"/>
    <w:rsid w:val="54E742CF"/>
    <w:rsid w:val="55B11D47"/>
    <w:rsid w:val="56637D64"/>
    <w:rsid w:val="56653497"/>
    <w:rsid w:val="566A237D"/>
    <w:rsid w:val="57334269"/>
    <w:rsid w:val="58B2640F"/>
    <w:rsid w:val="58DD0927"/>
    <w:rsid w:val="5924281A"/>
    <w:rsid w:val="5A1321C4"/>
    <w:rsid w:val="5A1D3D5C"/>
    <w:rsid w:val="5A224578"/>
    <w:rsid w:val="5AB04BD0"/>
    <w:rsid w:val="5B27753B"/>
    <w:rsid w:val="5B2D4472"/>
    <w:rsid w:val="5B57562F"/>
    <w:rsid w:val="5C742D50"/>
    <w:rsid w:val="5C772973"/>
    <w:rsid w:val="5CCB7A9F"/>
    <w:rsid w:val="5D1A16E7"/>
    <w:rsid w:val="5D213E13"/>
    <w:rsid w:val="5DBD6FD1"/>
    <w:rsid w:val="5DEF7705"/>
    <w:rsid w:val="5E264496"/>
    <w:rsid w:val="5EAA2B23"/>
    <w:rsid w:val="5EE94B54"/>
    <w:rsid w:val="5F592EAE"/>
    <w:rsid w:val="5F967538"/>
    <w:rsid w:val="5FC257A5"/>
    <w:rsid w:val="600D217D"/>
    <w:rsid w:val="60582086"/>
    <w:rsid w:val="60F73C9B"/>
    <w:rsid w:val="613320B7"/>
    <w:rsid w:val="6182240A"/>
    <w:rsid w:val="61E17D65"/>
    <w:rsid w:val="62344338"/>
    <w:rsid w:val="629A544F"/>
    <w:rsid w:val="639373B0"/>
    <w:rsid w:val="639D3FF7"/>
    <w:rsid w:val="63AB687C"/>
    <w:rsid w:val="63F35B2D"/>
    <w:rsid w:val="63F619A3"/>
    <w:rsid w:val="647E189B"/>
    <w:rsid w:val="64EA33D4"/>
    <w:rsid w:val="65544717"/>
    <w:rsid w:val="65C9215C"/>
    <w:rsid w:val="65FB4B31"/>
    <w:rsid w:val="664D7777"/>
    <w:rsid w:val="66C02283"/>
    <w:rsid w:val="671D1F15"/>
    <w:rsid w:val="67381BDA"/>
    <w:rsid w:val="675D7258"/>
    <w:rsid w:val="677867AC"/>
    <w:rsid w:val="67FB360C"/>
    <w:rsid w:val="67FF6283"/>
    <w:rsid w:val="68212C69"/>
    <w:rsid w:val="6839568B"/>
    <w:rsid w:val="68594AF9"/>
    <w:rsid w:val="68A70F3B"/>
    <w:rsid w:val="699D46B6"/>
    <w:rsid w:val="69C24293"/>
    <w:rsid w:val="69EF245D"/>
    <w:rsid w:val="6A2D2718"/>
    <w:rsid w:val="6A460E1F"/>
    <w:rsid w:val="6A581B55"/>
    <w:rsid w:val="6A6A5C45"/>
    <w:rsid w:val="6AC038BE"/>
    <w:rsid w:val="6B180F64"/>
    <w:rsid w:val="6B2F6DE6"/>
    <w:rsid w:val="6B4F3CDC"/>
    <w:rsid w:val="6C1F0271"/>
    <w:rsid w:val="6C833A12"/>
    <w:rsid w:val="6C904861"/>
    <w:rsid w:val="6C951E77"/>
    <w:rsid w:val="6D16256E"/>
    <w:rsid w:val="6D2C27DC"/>
    <w:rsid w:val="6D321474"/>
    <w:rsid w:val="6D440821"/>
    <w:rsid w:val="6D59139C"/>
    <w:rsid w:val="6DC9627D"/>
    <w:rsid w:val="6E010CF2"/>
    <w:rsid w:val="6E774C4A"/>
    <w:rsid w:val="6E7837FF"/>
    <w:rsid w:val="6E863865"/>
    <w:rsid w:val="6EF47C5F"/>
    <w:rsid w:val="6F165398"/>
    <w:rsid w:val="6F482A3B"/>
    <w:rsid w:val="6F912DCA"/>
    <w:rsid w:val="6F9227F0"/>
    <w:rsid w:val="6FCD0C0F"/>
    <w:rsid w:val="701A0005"/>
    <w:rsid w:val="70252689"/>
    <w:rsid w:val="70433998"/>
    <w:rsid w:val="706A5451"/>
    <w:rsid w:val="70C033FF"/>
    <w:rsid w:val="721970A7"/>
    <w:rsid w:val="722E181C"/>
    <w:rsid w:val="72972E5D"/>
    <w:rsid w:val="73706C6F"/>
    <w:rsid w:val="73863D67"/>
    <w:rsid w:val="73AE6B2C"/>
    <w:rsid w:val="73CE3E28"/>
    <w:rsid w:val="73DE5EB2"/>
    <w:rsid w:val="73EB2CA7"/>
    <w:rsid w:val="745E5D1F"/>
    <w:rsid w:val="748051BB"/>
    <w:rsid w:val="74895A91"/>
    <w:rsid w:val="74A80EFC"/>
    <w:rsid w:val="74C2612D"/>
    <w:rsid w:val="75155095"/>
    <w:rsid w:val="75371D1E"/>
    <w:rsid w:val="756A4566"/>
    <w:rsid w:val="7590142E"/>
    <w:rsid w:val="75B96358"/>
    <w:rsid w:val="75DE488F"/>
    <w:rsid w:val="76D51394"/>
    <w:rsid w:val="77AF64E3"/>
    <w:rsid w:val="77CF443B"/>
    <w:rsid w:val="77E4394D"/>
    <w:rsid w:val="77E5483E"/>
    <w:rsid w:val="78362AFF"/>
    <w:rsid w:val="78632E2A"/>
    <w:rsid w:val="787B608A"/>
    <w:rsid w:val="787C3EEC"/>
    <w:rsid w:val="7880578A"/>
    <w:rsid w:val="78A044E4"/>
    <w:rsid w:val="78FC3087"/>
    <w:rsid w:val="7908577F"/>
    <w:rsid w:val="79C75D02"/>
    <w:rsid w:val="7A2F3C10"/>
    <w:rsid w:val="7AD16854"/>
    <w:rsid w:val="7AD26045"/>
    <w:rsid w:val="7AE52708"/>
    <w:rsid w:val="7B1304CF"/>
    <w:rsid w:val="7BB309E9"/>
    <w:rsid w:val="7C1A70CE"/>
    <w:rsid w:val="7C7F292F"/>
    <w:rsid w:val="7CD04A64"/>
    <w:rsid w:val="7D0D793B"/>
    <w:rsid w:val="7D8201F6"/>
    <w:rsid w:val="7D937D0D"/>
    <w:rsid w:val="7DE639FE"/>
    <w:rsid w:val="7DE84806"/>
    <w:rsid w:val="7E1100C3"/>
    <w:rsid w:val="7E17089B"/>
    <w:rsid w:val="7E8F0F18"/>
    <w:rsid w:val="7E9B42F0"/>
    <w:rsid w:val="7EAB3063"/>
    <w:rsid w:val="7EBA2E27"/>
    <w:rsid w:val="7F113142"/>
    <w:rsid w:val="7F485A8B"/>
    <w:rsid w:val="7F63504E"/>
    <w:rsid w:val="7F8A69E7"/>
    <w:rsid w:val="7F8E483E"/>
    <w:rsid w:val="7F8F2756"/>
    <w:rsid w:val="7FD374A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iPriority="99"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6" w:lineRule="auto"/>
      <w:outlineLvl w:val="0"/>
    </w:pPr>
    <w:rPr>
      <w:b/>
      <w:kern w:val="44"/>
      <w:sz w:val="44"/>
    </w:rPr>
  </w:style>
  <w:style w:type="paragraph" w:styleId="3">
    <w:name w:val="heading 2"/>
    <w:basedOn w:val="1"/>
    <w:next w:val="1"/>
    <w:unhideWhenUsed/>
    <w:qFormat/>
    <w:uiPriority w:val="0"/>
    <w:pPr>
      <w:widowControl/>
      <w:numPr>
        <w:ilvl w:val="1"/>
        <w:numId w:val="1"/>
      </w:numPr>
      <w:spacing w:before="100" w:beforeAutospacing="1" w:after="100" w:afterAutospacing="1"/>
      <w:jc w:val="left"/>
      <w:outlineLvl w:val="1"/>
    </w:pPr>
    <w:rPr>
      <w:rFonts w:ascii="宋体" w:hAnsi="宋体" w:cs="宋体"/>
      <w:b/>
      <w:bCs/>
      <w:kern w:val="0"/>
      <w:sz w:val="36"/>
      <w:szCs w:val="36"/>
    </w:rPr>
  </w:style>
  <w:style w:type="paragraph" w:styleId="4">
    <w:name w:val="heading 3"/>
    <w:basedOn w:val="1"/>
    <w:next w:val="1"/>
    <w:unhideWhenUsed/>
    <w:qFormat/>
    <w:uiPriority w:val="0"/>
    <w:pPr>
      <w:keepNext/>
      <w:keepLines/>
      <w:numPr>
        <w:ilvl w:val="2"/>
        <w:numId w:val="1"/>
      </w:numPr>
      <w:spacing w:before="260" w:after="260" w:line="413" w:lineRule="auto"/>
      <w:outlineLvl w:val="2"/>
    </w:pPr>
    <w:rPr>
      <w:b/>
      <w:sz w:val="32"/>
    </w:rPr>
  </w:style>
  <w:style w:type="paragraph" w:styleId="5">
    <w:name w:val="heading 4"/>
    <w:basedOn w:val="1"/>
    <w:next w:val="1"/>
    <w:link w:val="48"/>
    <w:qFormat/>
    <w:uiPriority w:val="0"/>
    <w:pPr>
      <w:keepNext/>
      <w:keepLines/>
      <w:numPr>
        <w:ilvl w:val="3"/>
        <w:numId w:val="1"/>
      </w:numPr>
      <w:spacing w:before="280" w:after="290" w:line="376" w:lineRule="auto"/>
      <w:outlineLvl w:val="3"/>
    </w:pPr>
    <w:rPr>
      <w:rFonts w:ascii="等线 Light" w:hAnsi="等线 Light" w:eastAsia="等线 Light"/>
      <w:b/>
      <w:bCs/>
      <w:sz w:val="28"/>
      <w:szCs w:val="28"/>
    </w:rPr>
  </w:style>
  <w:style w:type="paragraph" w:styleId="6">
    <w:name w:val="heading 5"/>
    <w:basedOn w:val="1"/>
    <w:next w:val="1"/>
    <w:link w:val="47"/>
    <w:qFormat/>
    <w:uiPriority w:val="0"/>
    <w:pPr>
      <w:keepNext/>
      <w:keepLines/>
      <w:numPr>
        <w:ilvl w:val="4"/>
        <w:numId w:val="1"/>
      </w:numPr>
      <w:spacing w:before="280" w:after="290" w:line="376" w:lineRule="auto"/>
      <w:outlineLvl w:val="4"/>
    </w:pPr>
    <w:rPr>
      <w:rFonts w:ascii="方正仿宋_GBK" w:hAnsi="方正仿宋_GBK" w:eastAsia="方正仿宋_GBK"/>
      <w:b/>
      <w:bCs/>
      <w:sz w:val="28"/>
      <w:szCs w:val="28"/>
    </w:rPr>
  </w:style>
  <w:style w:type="paragraph" w:styleId="7">
    <w:name w:val="heading 6"/>
    <w:basedOn w:val="1"/>
    <w:next w:val="1"/>
    <w:unhideWhenUsed/>
    <w:qFormat/>
    <w:uiPriority w:val="0"/>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0"/>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0"/>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0"/>
    <w:pPr>
      <w:keepNext/>
      <w:keepLines/>
      <w:numPr>
        <w:ilvl w:val="8"/>
        <w:numId w:val="1"/>
      </w:numPr>
      <w:spacing w:before="240" w:after="64" w:line="317" w:lineRule="auto"/>
      <w:outlineLvl w:val="8"/>
    </w:pPr>
    <w:rPr>
      <w:rFonts w:ascii="Arial" w:hAnsi="Arial" w:eastAsia="黑体"/>
    </w:rPr>
  </w:style>
  <w:style w:type="character" w:default="1" w:styleId="32">
    <w:name w:val="Default Paragraph Font"/>
    <w:unhideWhenUsed/>
    <w:qFormat/>
    <w:uiPriority w:val="1"/>
  </w:style>
  <w:style w:type="table" w:default="1" w:styleId="37">
    <w:name w:val="Normal Table"/>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50"/>
    <w:qFormat/>
    <w:uiPriority w:val="0"/>
    <w:rPr>
      <w:b/>
      <w:bCs/>
    </w:rPr>
  </w:style>
  <w:style w:type="paragraph" w:styleId="12">
    <w:name w:val="annotation text"/>
    <w:basedOn w:val="1"/>
    <w:link w:val="49"/>
    <w:qFormat/>
    <w:uiPriority w:val="0"/>
    <w:pPr>
      <w:jc w:val="left"/>
    </w:pPr>
  </w:style>
  <w:style w:type="paragraph" w:styleId="13">
    <w:name w:val="toc 7"/>
    <w:basedOn w:val="1"/>
    <w:next w:val="1"/>
    <w:qFormat/>
    <w:uiPriority w:val="0"/>
    <w:pPr>
      <w:ind w:left="1260"/>
      <w:jc w:val="left"/>
    </w:pPr>
    <w:rPr>
      <w:rFonts w:asciiTheme="minorHAnsi" w:hAnsiTheme="minorHAnsi" w:cstheme="minorHAnsi"/>
      <w:sz w:val="18"/>
      <w:szCs w:val="18"/>
    </w:rPr>
  </w:style>
  <w:style w:type="paragraph" w:styleId="14">
    <w:name w:val="caption"/>
    <w:basedOn w:val="1"/>
    <w:next w:val="1"/>
    <w:qFormat/>
    <w:uiPriority w:val="0"/>
    <w:pPr>
      <w:spacing w:before="152" w:after="160"/>
    </w:pPr>
    <w:rPr>
      <w:rFonts w:ascii="Arial" w:hAnsi="Arial" w:eastAsia="黑体" w:cs="Arial"/>
      <w:sz w:val="20"/>
      <w:szCs w:val="20"/>
    </w:rPr>
  </w:style>
  <w:style w:type="paragraph" w:styleId="15">
    <w:name w:val="Document Map"/>
    <w:basedOn w:val="1"/>
    <w:link w:val="46"/>
    <w:qFormat/>
    <w:uiPriority w:val="0"/>
    <w:rPr>
      <w:rFonts w:ascii="宋体"/>
      <w:sz w:val="18"/>
      <w:szCs w:val="18"/>
    </w:rPr>
  </w:style>
  <w:style w:type="paragraph" w:styleId="16">
    <w:name w:val="Body Text"/>
    <w:basedOn w:val="1"/>
    <w:qFormat/>
    <w:uiPriority w:val="1"/>
    <w:pPr>
      <w:autoSpaceDE w:val="0"/>
      <w:autoSpaceDN w:val="0"/>
      <w:jc w:val="left"/>
    </w:pPr>
    <w:rPr>
      <w:rFonts w:ascii="宋体" w:hAnsi="宋体" w:cs="宋体"/>
      <w:kern w:val="0"/>
      <w:szCs w:val="21"/>
      <w:lang w:eastAsia="en-US"/>
    </w:rPr>
  </w:style>
  <w:style w:type="paragraph" w:styleId="17">
    <w:name w:val="toc 5"/>
    <w:basedOn w:val="1"/>
    <w:next w:val="1"/>
    <w:qFormat/>
    <w:uiPriority w:val="0"/>
    <w:pPr>
      <w:ind w:left="840"/>
      <w:jc w:val="left"/>
    </w:pPr>
    <w:rPr>
      <w:rFonts w:asciiTheme="minorHAnsi" w:hAnsiTheme="minorHAnsi" w:cstheme="minorHAnsi"/>
      <w:sz w:val="18"/>
      <w:szCs w:val="18"/>
    </w:rPr>
  </w:style>
  <w:style w:type="paragraph" w:styleId="18">
    <w:name w:val="toc 3"/>
    <w:basedOn w:val="1"/>
    <w:next w:val="1"/>
    <w:qFormat/>
    <w:uiPriority w:val="39"/>
    <w:pPr>
      <w:ind w:left="420"/>
      <w:jc w:val="left"/>
    </w:pPr>
    <w:rPr>
      <w:rFonts w:asciiTheme="minorHAnsi" w:hAnsiTheme="minorHAnsi" w:cstheme="minorHAnsi"/>
      <w:i/>
      <w:iCs/>
      <w:sz w:val="20"/>
      <w:szCs w:val="20"/>
    </w:rPr>
  </w:style>
  <w:style w:type="paragraph" w:styleId="19">
    <w:name w:val="toc 8"/>
    <w:basedOn w:val="1"/>
    <w:next w:val="1"/>
    <w:qFormat/>
    <w:uiPriority w:val="0"/>
    <w:pPr>
      <w:ind w:left="1470"/>
      <w:jc w:val="left"/>
    </w:pPr>
    <w:rPr>
      <w:rFonts w:asciiTheme="minorHAnsi" w:hAnsiTheme="minorHAnsi" w:cstheme="minorHAnsi"/>
      <w:sz w:val="18"/>
      <w:szCs w:val="18"/>
    </w:rPr>
  </w:style>
  <w:style w:type="paragraph" w:styleId="20">
    <w:name w:val="Date"/>
    <w:basedOn w:val="1"/>
    <w:next w:val="1"/>
    <w:link w:val="45"/>
    <w:qFormat/>
    <w:uiPriority w:val="0"/>
    <w:pPr>
      <w:ind w:left="100" w:leftChars="2500"/>
    </w:pPr>
  </w:style>
  <w:style w:type="paragraph" w:styleId="21">
    <w:name w:val="Balloon Text"/>
    <w:basedOn w:val="1"/>
    <w:link w:val="39"/>
    <w:qFormat/>
    <w:uiPriority w:val="0"/>
    <w:rPr>
      <w:sz w:val="18"/>
      <w:szCs w:val="18"/>
    </w:rPr>
  </w:style>
  <w:style w:type="paragraph" w:styleId="22">
    <w:name w:val="footer"/>
    <w:basedOn w:val="1"/>
    <w:link w:val="58"/>
    <w:qFormat/>
    <w:uiPriority w:val="99"/>
    <w:pPr>
      <w:tabs>
        <w:tab w:val="center" w:pos="4153"/>
        <w:tab w:val="right" w:pos="8306"/>
      </w:tabs>
      <w:snapToGrid w:val="0"/>
      <w:jc w:val="left"/>
    </w:pPr>
    <w:rPr>
      <w:sz w:val="18"/>
    </w:rPr>
  </w:style>
  <w:style w:type="paragraph" w:styleId="2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24">
    <w:name w:val="toc 1"/>
    <w:basedOn w:val="1"/>
    <w:next w:val="1"/>
    <w:unhideWhenUsed/>
    <w:qFormat/>
    <w:uiPriority w:val="39"/>
    <w:pPr>
      <w:spacing w:before="120" w:after="120"/>
      <w:jc w:val="left"/>
    </w:pPr>
    <w:rPr>
      <w:rFonts w:asciiTheme="minorHAnsi" w:hAnsiTheme="minorHAnsi" w:cstheme="minorHAnsi"/>
      <w:b/>
      <w:bCs/>
      <w:caps/>
      <w:sz w:val="20"/>
      <w:szCs w:val="20"/>
    </w:rPr>
  </w:style>
  <w:style w:type="paragraph" w:styleId="25">
    <w:name w:val="toc 4"/>
    <w:basedOn w:val="1"/>
    <w:next w:val="1"/>
    <w:qFormat/>
    <w:uiPriority w:val="0"/>
    <w:pPr>
      <w:ind w:left="630"/>
      <w:jc w:val="left"/>
    </w:pPr>
    <w:rPr>
      <w:rFonts w:asciiTheme="minorHAnsi" w:hAnsiTheme="minorHAnsi" w:cstheme="minorHAnsi"/>
      <w:sz w:val="18"/>
      <w:szCs w:val="18"/>
    </w:rPr>
  </w:style>
  <w:style w:type="paragraph" w:styleId="26">
    <w:name w:val="footnote text"/>
    <w:basedOn w:val="1"/>
    <w:unhideWhenUsed/>
    <w:qFormat/>
    <w:uiPriority w:val="99"/>
    <w:pPr>
      <w:snapToGrid w:val="0"/>
      <w:jc w:val="left"/>
    </w:pPr>
    <w:rPr>
      <w:sz w:val="18"/>
      <w:szCs w:val="18"/>
    </w:rPr>
  </w:style>
  <w:style w:type="paragraph" w:styleId="27">
    <w:name w:val="toc 6"/>
    <w:basedOn w:val="1"/>
    <w:next w:val="1"/>
    <w:qFormat/>
    <w:uiPriority w:val="0"/>
    <w:pPr>
      <w:ind w:left="1050"/>
      <w:jc w:val="left"/>
    </w:pPr>
    <w:rPr>
      <w:rFonts w:asciiTheme="minorHAnsi" w:hAnsiTheme="minorHAnsi" w:cstheme="minorHAnsi"/>
      <w:sz w:val="18"/>
      <w:szCs w:val="18"/>
    </w:rPr>
  </w:style>
  <w:style w:type="paragraph" w:styleId="28">
    <w:name w:val="toc 2"/>
    <w:basedOn w:val="1"/>
    <w:next w:val="1"/>
    <w:qFormat/>
    <w:uiPriority w:val="39"/>
    <w:pPr>
      <w:ind w:left="210"/>
      <w:jc w:val="left"/>
    </w:pPr>
    <w:rPr>
      <w:rFonts w:asciiTheme="minorHAnsi" w:hAnsiTheme="minorHAnsi" w:cstheme="minorHAnsi"/>
      <w:smallCaps/>
      <w:sz w:val="20"/>
      <w:szCs w:val="20"/>
    </w:rPr>
  </w:style>
  <w:style w:type="paragraph" w:styleId="29">
    <w:name w:val="toc 9"/>
    <w:basedOn w:val="1"/>
    <w:next w:val="1"/>
    <w:qFormat/>
    <w:uiPriority w:val="0"/>
    <w:pPr>
      <w:ind w:left="1680"/>
      <w:jc w:val="left"/>
    </w:pPr>
    <w:rPr>
      <w:rFonts w:asciiTheme="minorHAnsi" w:hAnsiTheme="minorHAnsi" w:cstheme="minorHAnsi"/>
      <w:sz w:val="18"/>
      <w:szCs w:val="18"/>
    </w:rPr>
  </w:style>
  <w:style w:type="paragraph" w:styleId="30">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31">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33">
    <w:name w:val="Strong"/>
    <w:basedOn w:val="32"/>
    <w:qFormat/>
    <w:uiPriority w:val="0"/>
    <w:rPr>
      <w:b/>
    </w:rPr>
  </w:style>
  <w:style w:type="character" w:styleId="34">
    <w:name w:val="Hyperlink"/>
    <w:basedOn w:val="32"/>
    <w:unhideWhenUsed/>
    <w:qFormat/>
    <w:uiPriority w:val="99"/>
    <w:rPr>
      <w:color w:val="0000FF"/>
      <w:u w:val="single"/>
    </w:rPr>
  </w:style>
  <w:style w:type="character" w:styleId="35">
    <w:name w:val="annotation reference"/>
    <w:basedOn w:val="32"/>
    <w:qFormat/>
    <w:uiPriority w:val="0"/>
    <w:rPr>
      <w:sz w:val="21"/>
      <w:szCs w:val="21"/>
    </w:rPr>
  </w:style>
  <w:style w:type="character" w:styleId="36">
    <w:name w:val="footnote reference"/>
    <w:basedOn w:val="32"/>
    <w:unhideWhenUsed/>
    <w:qFormat/>
    <w:uiPriority w:val="99"/>
    <w:rPr>
      <w:vertAlign w:val="superscript"/>
    </w:rPr>
  </w:style>
  <w:style w:type="table" w:styleId="38">
    <w:name w:val="Table Grid"/>
    <w:basedOn w:val="3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9">
    <w:name w:val="批注框文本 Char"/>
    <w:basedOn w:val="32"/>
    <w:link w:val="21"/>
    <w:qFormat/>
    <w:uiPriority w:val="0"/>
    <w:rPr>
      <w:kern w:val="2"/>
      <w:sz w:val="18"/>
      <w:szCs w:val="18"/>
    </w:rPr>
  </w:style>
  <w:style w:type="paragraph" w:customStyle="1" w:styleId="40">
    <w:name w:val="前言、引言标题"/>
    <w:next w:val="1"/>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41">
    <w:name w:val="段"/>
    <w:link w:val="87"/>
    <w:qFormat/>
    <w:uiPriority w:val="0"/>
    <w:pPr>
      <w:tabs>
        <w:tab w:val="center" w:pos="4201"/>
        <w:tab w:val="right" w:leader="dot" w:pos="9298"/>
      </w:tabs>
      <w:autoSpaceDE w:val="0"/>
      <w:autoSpaceDN w:val="0"/>
      <w:spacing w:before="158" w:line="360" w:lineRule="auto"/>
      <w:ind w:left="210" w:leftChars="100" w:right="210" w:rightChars="100"/>
      <w:pPrChange w:id="0" w:author="sx15073123403@outlook.com" w:date="2024-04-25T21:37:00Z">
        <w:pPr>
          <w:autoSpaceDE w:val="0"/>
          <w:autoSpaceDN w:val="0"/>
          <w:ind w:firstLine="420" w:firstLineChars="200"/>
          <w:jc w:val="both"/>
        </w:pPr>
      </w:pPrChange>
    </w:pPr>
    <w:rPr>
      <w:rFonts w:cs="Times New Roman" w:asciiTheme="minorEastAsia" w:hAnsiTheme="minorEastAsia" w:eastAsiaTheme="minorEastAsia"/>
      <w:sz w:val="21"/>
      <w:lang w:val="en-US" w:eastAsia="zh-CN" w:bidi="ar-SA"/>
      <w:rPrChange w:id="1" w:author="sx15073123403@outlook.com" w:date="2024-04-25T21:37:00Z">
        <w:rPr>
          <w:rFonts w:ascii="宋体" w:eastAsia="宋体"/>
          <w:sz w:val="21"/>
          <w:lang w:val="en-US" w:eastAsia="zh-CN" w:bidi="ar-SA"/>
        </w:rPr>
      </w:rPrChange>
    </w:rPr>
  </w:style>
  <w:style w:type="paragraph" w:customStyle="1" w:styleId="42">
    <w:name w:val="目次、标准名称标题"/>
    <w:basedOn w:val="40"/>
    <w:next w:val="41"/>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43">
    <w:name w:val="章标题"/>
    <w:next w:val="41"/>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44">
    <w:name w:val="一级条标题"/>
    <w:next w:val="41"/>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character" w:customStyle="1" w:styleId="45">
    <w:name w:val="日期 Char"/>
    <w:basedOn w:val="32"/>
    <w:link w:val="20"/>
    <w:qFormat/>
    <w:uiPriority w:val="0"/>
    <w:rPr>
      <w:kern w:val="2"/>
      <w:sz w:val="21"/>
      <w:szCs w:val="24"/>
    </w:rPr>
  </w:style>
  <w:style w:type="character" w:customStyle="1" w:styleId="46">
    <w:name w:val="文档结构图 Char"/>
    <w:basedOn w:val="32"/>
    <w:link w:val="15"/>
    <w:qFormat/>
    <w:uiPriority w:val="0"/>
    <w:rPr>
      <w:rFonts w:ascii="宋体"/>
      <w:kern w:val="2"/>
      <w:sz w:val="18"/>
      <w:szCs w:val="18"/>
    </w:rPr>
  </w:style>
  <w:style w:type="character" w:customStyle="1" w:styleId="47">
    <w:name w:val="标题 5 Char"/>
    <w:basedOn w:val="32"/>
    <w:link w:val="6"/>
    <w:qFormat/>
    <w:uiPriority w:val="0"/>
    <w:rPr>
      <w:rFonts w:ascii="方正仿宋_GBK" w:hAnsi="方正仿宋_GBK" w:eastAsia="方正仿宋_GBK"/>
      <w:b/>
      <w:bCs/>
      <w:kern w:val="2"/>
      <w:sz w:val="28"/>
      <w:szCs w:val="28"/>
    </w:rPr>
  </w:style>
  <w:style w:type="character" w:customStyle="1" w:styleId="48">
    <w:name w:val="标题 4 Char"/>
    <w:basedOn w:val="32"/>
    <w:link w:val="5"/>
    <w:qFormat/>
    <w:uiPriority w:val="0"/>
    <w:rPr>
      <w:rFonts w:ascii="等线 Light" w:hAnsi="等线 Light" w:eastAsia="等线 Light"/>
      <w:b/>
      <w:bCs/>
      <w:kern w:val="2"/>
      <w:sz w:val="28"/>
      <w:szCs w:val="28"/>
    </w:rPr>
  </w:style>
  <w:style w:type="character" w:customStyle="1" w:styleId="49">
    <w:name w:val="批注文字 Char"/>
    <w:basedOn w:val="32"/>
    <w:link w:val="12"/>
    <w:qFormat/>
    <w:uiPriority w:val="0"/>
    <w:rPr>
      <w:kern w:val="2"/>
      <w:sz w:val="21"/>
      <w:szCs w:val="24"/>
    </w:rPr>
  </w:style>
  <w:style w:type="character" w:customStyle="1" w:styleId="50">
    <w:name w:val="批注主题 Char"/>
    <w:basedOn w:val="49"/>
    <w:link w:val="11"/>
    <w:qFormat/>
    <w:uiPriority w:val="0"/>
    <w:rPr>
      <w:b/>
      <w:bCs/>
      <w:kern w:val="2"/>
      <w:sz w:val="21"/>
      <w:szCs w:val="24"/>
    </w:rPr>
  </w:style>
  <w:style w:type="paragraph" w:customStyle="1" w:styleId="51">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52">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53">
    <w:name w:val="三级无"/>
    <w:basedOn w:val="1"/>
    <w:qFormat/>
    <w:uiPriority w:val="99"/>
    <w:pPr>
      <w:widowControl/>
      <w:ind w:left="3600" w:hanging="360"/>
      <w:jc w:val="left"/>
      <w:outlineLvl w:val="4"/>
    </w:pPr>
    <w:rPr>
      <w:rFonts w:ascii="宋体"/>
      <w:kern w:val="0"/>
      <w:szCs w:val="21"/>
    </w:rPr>
  </w:style>
  <w:style w:type="paragraph" w:customStyle="1" w:styleId="54">
    <w:name w:val="四级无"/>
    <w:basedOn w:val="1"/>
    <w:qFormat/>
    <w:uiPriority w:val="99"/>
    <w:pPr>
      <w:widowControl/>
      <w:ind w:left="4320" w:hanging="360"/>
      <w:jc w:val="left"/>
      <w:outlineLvl w:val="5"/>
    </w:pPr>
    <w:rPr>
      <w:rFonts w:ascii="宋体"/>
      <w:kern w:val="0"/>
      <w:szCs w:val="21"/>
    </w:rPr>
  </w:style>
  <w:style w:type="paragraph" w:customStyle="1" w:styleId="55">
    <w:name w:val="样式2"/>
    <w:basedOn w:val="31"/>
    <w:link w:val="56"/>
    <w:qFormat/>
    <w:uiPriority w:val="0"/>
    <w:pPr>
      <w:topLinePunct/>
      <w:spacing w:before="0" w:beforeAutospacing="0" w:after="0" w:afterAutospacing="0" w:line="312" w:lineRule="exact"/>
      <w:jc w:val="both"/>
    </w:pPr>
    <w:rPr>
      <w:rFonts w:ascii="EU-F1" w:eastAsia="黑体" w:cs="Times New Roman"/>
      <w:kern w:val="21"/>
      <w:sz w:val="21"/>
      <w:szCs w:val="21"/>
    </w:rPr>
  </w:style>
  <w:style w:type="character" w:customStyle="1" w:styleId="56">
    <w:name w:val="样式2 Char"/>
    <w:link w:val="55"/>
    <w:qFormat/>
    <w:uiPriority w:val="0"/>
    <w:rPr>
      <w:rFonts w:ascii="EU-F1" w:hAnsi="宋体" w:eastAsia="黑体"/>
      <w:kern w:val="21"/>
      <w:sz w:val="21"/>
      <w:szCs w:val="21"/>
    </w:rPr>
  </w:style>
  <w:style w:type="character" w:customStyle="1" w:styleId="57">
    <w:name w:val="未处理的提及1"/>
    <w:basedOn w:val="32"/>
    <w:unhideWhenUsed/>
    <w:qFormat/>
    <w:uiPriority w:val="99"/>
    <w:rPr>
      <w:color w:val="605E5C"/>
      <w:shd w:val="clear" w:color="auto" w:fill="E1DFDD"/>
    </w:rPr>
  </w:style>
  <w:style w:type="character" w:customStyle="1" w:styleId="58">
    <w:name w:val="页脚 Char"/>
    <w:basedOn w:val="32"/>
    <w:link w:val="22"/>
    <w:qFormat/>
    <w:uiPriority w:val="99"/>
    <w:rPr>
      <w:kern w:val="2"/>
      <w:sz w:val="18"/>
      <w:szCs w:val="24"/>
    </w:rPr>
  </w:style>
  <w:style w:type="paragraph" w:customStyle="1" w:styleId="59">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character" w:customStyle="1" w:styleId="60">
    <w:name w:val="发布"/>
    <w:qFormat/>
    <w:uiPriority w:val="0"/>
    <w:rPr>
      <w:rFonts w:ascii="黑体" w:eastAsia="黑体"/>
      <w:spacing w:val="85"/>
      <w:w w:val="100"/>
      <w:position w:val="3"/>
      <w:sz w:val="28"/>
      <w:szCs w:val="28"/>
    </w:rPr>
  </w:style>
  <w:style w:type="paragraph" w:customStyle="1" w:styleId="61">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62">
    <w:name w:val="封面标准英文名称"/>
    <w:basedOn w:val="1"/>
    <w:qFormat/>
    <w:uiPriority w:val="0"/>
    <w:pPr>
      <w:framePr w:w="9639" w:h="6917" w:hRule="exact" w:wrap="around" w:vAnchor="page" w:hAnchor="page" w:xAlign="center" w:y="6408" w:anchorLock="1"/>
      <w:spacing w:before="370" w:line="400" w:lineRule="exact"/>
      <w:jc w:val="center"/>
      <w:textAlignment w:val="center"/>
    </w:pPr>
    <w:rPr>
      <w:rFonts w:eastAsia="黑体"/>
      <w:kern w:val="0"/>
      <w:sz w:val="28"/>
      <w:szCs w:val="28"/>
    </w:rPr>
  </w:style>
  <w:style w:type="paragraph" w:customStyle="1" w:styleId="63">
    <w:name w:val="封面标准文稿类别"/>
    <w:basedOn w:val="1"/>
    <w:qFormat/>
    <w:uiPriority w:val="0"/>
    <w:pPr>
      <w:framePr w:w="9639" w:h="6917" w:hRule="exact" w:wrap="around" w:vAnchor="page" w:hAnchor="page" w:xAlign="center" w:y="6408" w:anchorLock="1"/>
      <w:spacing w:before="440" w:after="160"/>
      <w:jc w:val="center"/>
      <w:textAlignment w:val="center"/>
    </w:pPr>
    <w:rPr>
      <w:rFonts w:ascii="宋体"/>
      <w:kern w:val="0"/>
      <w:sz w:val="24"/>
      <w:szCs w:val="28"/>
    </w:rPr>
  </w:style>
  <w:style w:type="paragraph" w:customStyle="1" w:styleId="64">
    <w:name w:val="封面标准文稿编辑信息"/>
    <w:basedOn w:val="63"/>
    <w:qFormat/>
    <w:uiPriority w:val="0"/>
    <w:pPr>
      <w:spacing w:before="180" w:line="180" w:lineRule="exact"/>
    </w:pPr>
    <w:rPr>
      <w:sz w:val="21"/>
    </w:rPr>
  </w:style>
  <w:style w:type="paragraph" w:customStyle="1" w:styleId="65">
    <w:name w:val="其他标准标志"/>
    <w:basedOn w:val="1"/>
    <w:qFormat/>
    <w:uiPriority w:val="0"/>
    <w:pPr>
      <w:framePr w:w="6101" w:h="1389" w:hRule="exact" w:hSpace="181" w:vSpace="181" w:wrap="around" w:vAnchor="page" w:hAnchor="page" w:x="4673" w:y="942" w:anchorLock="1"/>
      <w:widowControl/>
      <w:shd w:val="solid" w:color="FFFFFF" w:fill="FFFFFF"/>
      <w:spacing w:line="0" w:lineRule="atLeast"/>
      <w:jc w:val="right"/>
    </w:pPr>
    <w:rPr>
      <w:b/>
      <w:w w:val="130"/>
      <w:kern w:val="0"/>
      <w:sz w:val="96"/>
      <w:szCs w:val="96"/>
    </w:rPr>
  </w:style>
  <w:style w:type="paragraph" w:customStyle="1" w:styleId="66">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67">
    <w:name w:val="其他发布部门"/>
    <w:basedOn w:val="1"/>
    <w:qFormat/>
    <w:uiPriority w:val="0"/>
    <w:pPr>
      <w:framePr w:w="7938" w:h="1134" w:hRule="exact" w:hSpace="125" w:vSpace="181" w:wrap="around" w:vAnchor="page" w:hAnchor="page" w:x="2150" w:y="15310" w:anchorLock="1"/>
      <w:widowControl/>
      <w:spacing w:line="0" w:lineRule="atLeast"/>
      <w:jc w:val="center"/>
    </w:pPr>
    <w:rPr>
      <w:rFonts w:ascii="黑体" w:eastAsia="黑体"/>
      <w:spacing w:val="20"/>
      <w:w w:val="135"/>
      <w:kern w:val="0"/>
      <w:sz w:val="28"/>
      <w:szCs w:val="20"/>
    </w:rPr>
  </w:style>
  <w:style w:type="paragraph" w:customStyle="1" w:styleId="68">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69">
    <w:name w:val="其他发布日期"/>
    <w:basedOn w:val="1"/>
    <w:qFormat/>
    <w:uiPriority w:val="0"/>
    <w:pPr>
      <w:framePr w:w="3997" w:h="471" w:hRule="exact" w:vSpace="181" w:wrap="around" w:vAnchor="page" w:hAnchor="text" w:x="1419" w:y="14097" w:anchorLock="1"/>
      <w:widowControl/>
      <w:jc w:val="left"/>
    </w:pPr>
    <w:rPr>
      <w:rFonts w:eastAsia="黑体"/>
      <w:kern w:val="0"/>
      <w:sz w:val="28"/>
      <w:szCs w:val="20"/>
    </w:rPr>
  </w:style>
  <w:style w:type="paragraph" w:customStyle="1" w:styleId="70">
    <w:name w:val="其他实施日期"/>
    <w:basedOn w:val="1"/>
    <w:qFormat/>
    <w:uiPriority w:val="0"/>
    <w:pPr>
      <w:framePr w:w="3997" w:h="471" w:hRule="exact" w:vSpace="181" w:wrap="around" w:vAnchor="page" w:hAnchor="text" w:x="7089" w:y="14097" w:anchorLock="1"/>
      <w:widowControl/>
      <w:jc w:val="right"/>
    </w:pPr>
    <w:rPr>
      <w:rFonts w:eastAsia="黑体"/>
      <w:kern w:val="0"/>
      <w:sz w:val="28"/>
      <w:szCs w:val="20"/>
    </w:rPr>
  </w:style>
  <w:style w:type="paragraph" w:customStyle="1" w:styleId="71">
    <w:name w:val="附录标识"/>
    <w:basedOn w:val="1"/>
    <w:next w:val="41"/>
    <w:qFormat/>
    <w:uiPriority w:val="99"/>
    <w:pPr>
      <w:keepNext/>
      <w:pageBreakBefore/>
      <w:widowControl/>
      <w:numPr>
        <w:ilvl w:val="0"/>
        <w:numId w:val="3"/>
      </w:numPr>
      <w:shd w:val="clear" w:color="FFFFFF" w:fill="FFFFFF"/>
      <w:tabs>
        <w:tab w:val="left" w:pos="6405"/>
      </w:tabs>
      <w:spacing w:before="640" w:after="280"/>
      <w:jc w:val="center"/>
      <w:outlineLvl w:val="0"/>
    </w:pPr>
    <w:rPr>
      <w:rFonts w:ascii="黑体" w:hAnsi="Calibri" w:eastAsia="黑体" w:cstheme="minorBidi"/>
    </w:rPr>
  </w:style>
  <w:style w:type="character" w:customStyle="1" w:styleId="72">
    <w:name w:val="fontstyle01"/>
    <w:basedOn w:val="32"/>
    <w:qFormat/>
    <w:uiPriority w:val="0"/>
    <w:rPr>
      <w:rFonts w:hint="eastAsia" w:ascii="宋体" w:hAnsi="宋体" w:eastAsia="宋体"/>
      <w:color w:val="000000"/>
      <w:sz w:val="22"/>
      <w:szCs w:val="22"/>
    </w:rPr>
  </w:style>
  <w:style w:type="paragraph" w:customStyle="1" w:styleId="73">
    <w:name w:val="表格内文字"/>
    <w:basedOn w:val="1"/>
    <w:qFormat/>
    <w:uiPriority w:val="0"/>
    <w:pPr>
      <w:spacing w:beforeLines="10" w:afterLines="10" w:line="300" w:lineRule="auto"/>
    </w:pPr>
    <w:rPr>
      <w:kern w:val="0"/>
      <w:sz w:val="18"/>
      <w:szCs w:val="21"/>
    </w:rPr>
  </w:style>
  <w:style w:type="paragraph" w:customStyle="1" w:styleId="74">
    <w:name w:val="WPSOffice手动目录 1"/>
    <w:qFormat/>
    <w:uiPriority w:val="0"/>
    <w:rPr>
      <w:rFonts w:asciiTheme="minorHAnsi" w:hAnsiTheme="minorHAnsi" w:eastAsiaTheme="minorEastAsia" w:cstheme="minorBidi"/>
      <w:lang w:val="en-US" w:eastAsia="zh-CN" w:bidi="ar-SA"/>
    </w:rPr>
  </w:style>
  <w:style w:type="paragraph" w:customStyle="1" w:styleId="75">
    <w:name w:val="WPSOffice手动目录 2"/>
    <w:qFormat/>
    <w:uiPriority w:val="0"/>
    <w:pPr>
      <w:ind w:left="200" w:leftChars="200"/>
    </w:pPr>
    <w:rPr>
      <w:rFonts w:asciiTheme="minorHAnsi" w:hAnsiTheme="minorHAnsi" w:eastAsiaTheme="minorEastAsia" w:cstheme="minorBidi"/>
      <w:lang w:val="en-US" w:eastAsia="zh-CN" w:bidi="ar-SA"/>
    </w:rPr>
  </w:style>
  <w:style w:type="paragraph" w:customStyle="1" w:styleId="76">
    <w:name w:val="p17"/>
    <w:qFormat/>
    <w:uiPriority w:val="0"/>
    <w:pPr>
      <w:topLinePunct/>
      <w:spacing w:before="160" w:after="60" w:line="300" w:lineRule="atLeast"/>
      <w:jc w:val="both"/>
    </w:pPr>
    <w:rPr>
      <w:rFonts w:ascii="Times New Roman" w:hAnsi="Times New Roman" w:eastAsia="宋体" w:cs="Times New Roman"/>
      <w:sz w:val="21"/>
      <w:szCs w:val="21"/>
      <w:lang w:val="en-US" w:eastAsia="zh-CN" w:bidi="ar-SA"/>
    </w:rPr>
  </w:style>
  <w:style w:type="paragraph" w:customStyle="1" w:styleId="77">
    <w:name w:val="p19"/>
    <w:qFormat/>
    <w:uiPriority w:val="0"/>
    <w:pPr>
      <w:spacing w:line="276" w:lineRule="auto"/>
      <w:jc w:val="both"/>
    </w:pPr>
    <w:rPr>
      <w:rFonts w:ascii="Arial" w:hAnsi="Arial" w:eastAsia="宋体" w:cs="Arial"/>
      <w:sz w:val="21"/>
      <w:szCs w:val="21"/>
      <w:lang w:val="en-US" w:eastAsia="zh-CN" w:bidi="ar-SA"/>
    </w:rPr>
  </w:style>
  <w:style w:type="paragraph" w:customStyle="1" w:styleId="78">
    <w:name w:val="二级条标题"/>
    <w:basedOn w:val="44"/>
    <w:next w:val="41"/>
    <w:qFormat/>
    <w:uiPriority w:val="0"/>
    <w:pPr>
      <w:numPr>
        <w:ilvl w:val="2"/>
      </w:numPr>
      <w:spacing w:before="50" w:after="50"/>
      <w:outlineLvl w:val="3"/>
    </w:pPr>
  </w:style>
  <w:style w:type="paragraph" w:customStyle="1" w:styleId="79">
    <w:name w:val="修订3"/>
    <w:hidden/>
    <w:semiHidden/>
    <w:qFormat/>
    <w:uiPriority w:val="99"/>
    <w:rPr>
      <w:rFonts w:ascii="Times New Roman" w:hAnsi="Times New Roman" w:eastAsia="宋体" w:cs="Times New Roman"/>
      <w:kern w:val="2"/>
      <w:sz w:val="21"/>
      <w:szCs w:val="24"/>
      <w:lang w:val="en-US" w:eastAsia="zh-CN" w:bidi="ar-SA"/>
    </w:rPr>
  </w:style>
  <w:style w:type="paragraph" w:customStyle="1" w:styleId="80">
    <w:name w:val="附录一"/>
    <w:basedOn w:val="1"/>
    <w:qFormat/>
    <w:uiPriority w:val="0"/>
    <w:pPr>
      <w:spacing w:line="480" w:lineRule="auto"/>
    </w:pPr>
    <w:rPr>
      <w:rFonts w:ascii="E-F1" w:eastAsia="黑体"/>
      <w:szCs w:val="21"/>
    </w:rPr>
  </w:style>
  <w:style w:type="paragraph" w:customStyle="1" w:styleId="81">
    <w:name w:val="字母编号列项（一级）"/>
    <w:qFormat/>
    <w:uiPriority w:val="0"/>
    <w:pPr>
      <w:numPr>
        <w:ilvl w:val="0"/>
        <w:numId w:val="4"/>
      </w:numPr>
      <w:jc w:val="both"/>
    </w:pPr>
    <w:rPr>
      <w:rFonts w:ascii="宋体" w:hAnsi="Times New Roman" w:eastAsia="宋体" w:cs="Times New Roman"/>
      <w:sz w:val="21"/>
      <w:lang w:val="en-US" w:eastAsia="zh-CN" w:bidi="ar-SA"/>
    </w:rPr>
  </w:style>
  <w:style w:type="paragraph" w:customStyle="1" w:styleId="82">
    <w:name w:val="三级条标题"/>
    <w:basedOn w:val="78"/>
    <w:next w:val="41"/>
    <w:qFormat/>
    <w:uiPriority w:val="0"/>
    <w:pPr>
      <w:numPr>
        <w:ilvl w:val="3"/>
      </w:numPr>
      <w:outlineLvl w:val="4"/>
    </w:pPr>
  </w:style>
  <w:style w:type="paragraph" w:customStyle="1" w:styleId="83">
    <w:name w:val="表格文本"/>
    <w:qFormat/>
    <w:uiPriority w:val="0"/>
    <w:pPr>
      <w:tabs>
        <w:tab w:val="decimal" w:pos="0"/>
      </w:tabs>
      <w:jc w:val="center"/>
    </w:pPr>
    <w:rPr>
      <w:rFonts w:ascii="宋体" w:hAnsi="宋体" w:eastAsia="宋体" w:cs="Times New Roman"/>
      <w:sz w:val="21"/>
      <w:szCs w:val="21"/>
      <w:lang w:val="en-US" w:eastAsia="zh-CN" w:bidi="ar-SA"/>
    </w:rPr>
  </w:style>
  <w:style w:type="paragraph" w:customStyle="1" w:styleId="84">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85">
    <w:name w:val="List Paragraph"/>
    <w:basedOn w:val="1"/>
    <w:qFormat/>
    <w:uiPriority w:val="34"/>
    <w:pPr>
      <w:ind w:firstLine="420" w:firstLineChars="200"/>
    </w:pPr>
  </w:style>
  <w:style w:type="character" w:customStyle="1" w:styleId="86">
    <w:name w:val="text_h038s"/>
    <w:qFormat/>
    <w:uiPriority w:val="0"/>
  </w:style>
  <w:style w:type="character" w:customStyle="1" w:styleId="87">
    <w:name w:val="段 Char"/>
    <w:link w:val="41"/>
    <w:qFormat/>
    <w:uiPriority w:val="0"/>
    <w:rPr>
      <w:rFonts w:asciiTheme="minorEastAsia" w:hAnsiTheme="minorEastAsia" w:eastAsiaTheme="minorEastAsia"/>
      <w:sz w:val="21"/>
    </w:rPr>
  </w:style>
  <w:style w:type="paragraph" w:customStyle="1" w:styleId="88">
    <w:name w:val="四级条标题"/>
    <w:basedOn w:val="82"/>
    <w:next w:val="41"/>
    <w:qFormat/>
    <w:uiPriority w:val="0"/>
    <w:pPr>
      <w:numPr>
        <w:ilvl w:val="0"/>
        <w:numId w:val="0"/>
      </w:numPr>
      <w:tabs>
        <w:tab w:val="left" w:pos="1418"/>
      </w:tabs>
      <w:spacing w:beforeLines="0" w:afterLines="0"/>
      <w:jc w:val="both"/>
      <w:outlineLvl w:val="5"/>
    </w:pPr>
    <w:rPr>
      <w:rFonts w:hAnsi="Calibri"/>
      <w:szCs w:val="20"/>
    </w:rPr>
  </w:style>
  <w:style w:type="paragraph" w:customStyle="1" w:styleId="89">
    <w:name w:val="五级条标题"/>
    <w:basedOn w:val="88"/>
    <w:next w:val="41"/>
    <w:qFormat/>
    <w:uiPriority w:val="0"/>
    <w:pPr>
      <w:outlineLvl w:val="6"/>
    </w:pPr>
  </w:style>
  <w:style w:type="paragraph" w:customStyle="1" w:styleId="90">
    <w:name w:val="样式1正文（首行缩进两字） Char"/>
    <w:basedOn w:val="1"/>
    <w:next w:val="1"/>
    <w:qFormat/>
    <w:uiPriority w:val="0"/>
    <w:pPr>
      <w:tabs>
        <w:tab w:val="left" w:pos="3585"/>
      </w:tabs>
      <w:snapToGrid w:val="0"/>
      <w:spacing w:line="360" w:lineRule="auto"/>
      <w:ind w:firstLine="210" w:firstLineChars="100"/>
    </w:pPr>
    <w:rPr>
      <w:rFonts w:ascii="宋体" w:hAnsi="宋体" w:cs="宋体"/>
      <w:szCs w:val="21"/>
    </w:rPr>
  </w:style>
  <w:style w:type="paragraph" w:customStyle="1" w:styleId="91">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92">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93">
    <w:name w:val="标准文件_前言、引言标题"/>
    <w:next w:val="1"/>
    <w:qFormat/>
    <w:uiPriority w:val="0"/>
    <w:pPr>
      <w:numPr>
        <w:ilvl w:val="0"/>
        <w:numId w:val="5"/>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4">
    <w:name w:val="术语定义一级条标题"/>
    <w:basedOn w:val="44"/>
    <w:next w:val="41"/>
    <w:qFormat/>
    <w:uiPriority w:val="0"/>
    <w:pPr>
      <w:spacing w:beforeLines="0" w:afterLines="0"/>
      <w:outlineLvl w:val="9"/>
    </w:pPr>
  </w:style>
  <w:style w:type="paragraph" w:customStyle="1" w:styleId="95">
    <w:name w:val="二级无"/>
    <w:basedOn w:val="78"/>
    <w:qFormat/>
    <w:uiPriority w:val="0"/>
    <w:pPr>
      <w:spacing w:before="0" w:beforeLines="0" w:after="0" w:afterLines="0"/>
    </w:pPr>
    <w:rPr>
      <w:rFonts w:ascii="宋体" w:eastAsia="宋体"/>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1" Type="http://schemas.openxmlformats.org/officeDocument/2006/relationships/glossaryDocument" Target="glossary/document.xml"/><Relationship Id="rId40" Type="http://schemas.openxmlformats.org/officeDocument/2006/relationships/fontTable" Target="fontTable.xml"/><Relationship Id="rId4" Type="http://schemas.openxmlformats.org/officeDocument/2006/relationships/header" Target="header2.xml"/><Relationship Id="rId39" Type="http://schemas.openxmlformats.org/officeDocument/2006/relationships/customXml" Target="../customXml/item2.xml"/><Relationship Id="rId38" Type="http://schemas.openxmlformats.org/officeDocument/2006/relationships/numbering" Target="numbering.xml"/><Relationship Id="rId37" Type="http://schemas.openxmlformats.org/officeDocument/2006/relationships/customXml" Target="../customXml/item1.xml"/><Relationship Id="rId36" Type="http://schemas.openxmlformats.org/officeDocument/2006/relationships/image" Target="media/image4.png"/><Relationship Id="rId35" Type="http://schemas.openxmlformats.org/officeDocument/2006/relationships/image" Target="media/image3.png"/><Relationship Id="rId34" Type="http://schemas.openxmlformats.org/officeDocument/2006/relationships/image" Target="media/image2.png"/><Relationship Id="rId33" Type="http://schemas.openxmlformats.org/officeDocument/2006/relationships/image" Target="media/image1.emf"/><Relationship Id="rId32" Type="http://schemas.openxmlformats.org/officeDocument/2006/relationships/oleObject" Target="embeddings/oleObject1.bin"/><Relationship Id="rId31" Type="http://schemas.openxmlformats.org/officeDocument/2006/relationships/theme" Target="theme/theme1.xml"/><Relationship Id="rId30" Type="http://schemas.openxmlformats.org/officeDocument/2006/relationships/footer" Target="footer14.xml"/><Relationship Id="rId3" Type="http://schemas.openxmlformats.org/officeDocument/2006/relationships/header" Target="header1.xml"/><Relationship Id="rId29" Type="http://schemas.openxmlformats.org/officeDocument/2006/relationships/footer" Target="footer13.xml"/><Relationship Id="rId28" Type="http://schemas.openxmlformats.org/officeDocument/2006/relationships/footer" Target="footer12.xml"/><Relationship Id="rId27" Type="http://schemas.openxmlformats.org/officeDocument/2006/relationships/header" Target="header14.xml"/><Relationship Id="rId26" Type="http://schemas.openxmlformats.org/officeDocument/2006/relationships/header" Target="header13.xml"/><Relationship Id="rId25" Type="http://schemas.openxmlformats.org/officeDocument/2006/relationships/header" Target="header12.xml"/><Relationship Id="rId24" Type="http://schemas.openxmlformats.org/officeDocument/2006/relationships/footer" Target="footer11.xml"/><Relationship Id="rId23" Type="http://schemas.openxmlformats.org/officeDocument/2006/relationships/footer" Target="footer10.xml"/><Relationship Id="rId22" Type="http://schemas.openxmlformats.org/officeDocument/2006/relationships/footer" Target="footer9.xml"/><Relationship Id="rId21" Type="http://schemas.openxmlformats.org/officeDocument/2006/relationships/header" Target="header1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df31ae6-912f-4147-85b6-063d3e44e673}"/>
        <w:style w:val=""/>
        <w:category>
          <w:name w:val="常规"/>
          <w:gallery w:val="placeholder"/>
        </w:category>
        <w:types>
          <w:type w:val="bbPlcHdr"/>
        </w:types>
        <w:behaviors>
          <w:behavior w:val="content"/>
        </w:behaviors>
        <w:description w:val=""/>
        <w:guid w:val="{3df31ae6-912f-4147-85b6-063d3e44e673}"/>
      </w:docPartPr>
      <w:docPartBody>
        <w:p>
          <w:r>
            <w:rPr>
              <w:color w:val="808080"/>
            </w:rPr>
            <w:t>单击此处输入文字。</w:t>
          </w:r>
        </w:p>
      </w:docPartBody>
    </w:docPart>
    <w:docPart>
      <w:docPartPr>
        <w:name w:val="{f144ac4c-84c0-4a16-9c9b-e3ec9a9c26c6}"/>
        <w:style w:val=""/>
        <w:category>
          <w:name w:val="常规"/>
          <w:gallery w:val="placeholder"/>
        </w:category>
        <w:types>
          <w:type w:val="bbPlcHdr"/>
        </w:types>
        <w:behaviors>
          <w:behavior w:val="content"/>
        </w:behaviors>
        <w:description w:val=""/>
        <w:guid w:val="{f144ac4c-84c0-4a16-9c9b-e3ec9a9c26c6}"/>
      </w:docPartPr>
      <w:docPartBody>
        <w:p>
          <w:r>
            <w:rPr>
              <w:color w:val="808080"/>
            </w:rPr>
            <w:t>单击此处输入文字。</w:t>
          </w:r>
        </w:p>
      </w:docPartBody>
    </w:docPart>
    <w:docPart>
      <w:docPartPr>
        <w:name w:val="{3f4e9b96-decb-4bda-885c-e94428695a84}"/>
        <w:style w:val=""/>
        <w:category>
          <w:name w:val="常规"/>
          <w:gallery w:val="placeholder"/>
        </w:category>
        <w:types>
          <w:type w:val="bbPlcHdr"/>
        </w:types>
        <w:behaviors>
          <w:behavior w:val="content"/>
        </w:behaviors>
        <w:description w:val=""/>
        <w:guid w:val="{3f4e9b96-decb-4bda-885c-e94428695a84}"/>
      </w:docPartPr>
      <w:docPartBody>
        <w:p>
          <w:r>
            <w:rPr>
              <w:color w:val="808080"/>
            </w:rPr>
            <w:t>单击此处输入文字。</w:t>
          </w:r>
        </w:p>
      </w:docPartBody>
    </w:docPart>
    <w:docPart>
      <w:docPartPr>
        <w:name w:val="{bf83d181-35c2-417b-8dcb-ba15c7aad471}"/>
        <w:style w:val=""/>
        <w:category>
          <w:name w:val="常规"/>
          <w:gallery w:val="placeholder"/>
        </w:category>
        <w:types>
          <w:type w:val="bbPlcHdr"/>
        </w:types>
        <w:behaviors>
          <w:behavior w:val="content"/>
        </w:behaviors>
        <w:description w:val=""/>
        <w:guid w:val="{bf83d181-35c2-417b-8dcb-ba15c7aad471}"/>
      </w:docPartPr>
      <w:docPartBody>
        <w:p>
          <w:r>
            <w:rPr>
              <w:color w:val="808080"/>
            </w:rPr>
            <w:t>单击此处输入文字。</w:t>
          </w:r>
        </w:p>
      </w:docPartBody>
    </w:docPart>
    <w:docPart>
      <w:docPartPr>
        <w:name w:val="{6c09a55e-264d-4304-a3bf-1981d19692e9}"/>
        <w:style w:val=""/>
        <w:category>
          <w:name w:val="常规"/>
          <w:gallery w:val="placeholder"/>
        </w:category>
        <w:types>
          <w:type w:val="bbPlcHdr"/>
        </w:types>
        <w:behaviors>
          <w:behavior w:val="content"/>
        </w:behaviors>
        <w:description w:val=""/>
        <w:guid w:val="{6c09a55e-264d-4304-a3bf-1981d19692e9}"/>
      </w:docPartPr>
      <w:docPartBody>
        <w:p>
          <w:r>
            <w:rPr>
              <w:color w:val="808080"/>
            </w:rPr>
            <w:t>单击此处输入文字。</w:t>
          </w:r>
        </w:p>
      </w:docPartBody>
    </w:docPart>
    <w:docPart>
      <w:docPartPr>
        <w:name w:val="{c887993f-42c7-46e0-9763-b92ec5add371}"/>
        <w:style w:val=""/>
        <w:category>
          <w:name w:val="常规"/>
          <w:gallery w:val="placeholder"/>
        </w:category>
        <w:types>
          <w:type w:val="bbPlcHdr"/>
        </w:types>
        <w:behaviors>
          <w:behavior w:val="content"/>
        </w:behaviors>
        <w:description w:val=""/>
        <w:guid w:val="{c887993f-42c7-46e0-9763-b92ec5add371}"/>
      </w:docPartPr>
      <w:docPartBody>
        <w:p>
          <w:r>
            <w:rPr>
              <w:color w:val="808080"/>
            </w:rPr>
            <w:t>单击此处输入文字。</w:t>
          </w:r>
        </w:p>
      </w:docPartBody>
    </w:docPart>
    <w:docPart>
      <w:docPartPr>
        <w:name w:val="{df624c48-150a-495a-b300-a77a9337c3bf}"/>
        <w:style w:val=""/>
        <w:category>
          <w:name w:val="常规"/>
          <w:gallery w:val="placeholder"/>
        </w:category>
        <w:types>
          <w:type w:val="bbPlcHdr"/>
        </w:types>
        <w:behaviors>
          <w:behavior w:val="content"/>
        </w:behaviors>
        <w:description w:val=""/>
        <w:guid w:val="{df624c48-150a-495a-b300-a77a9337c3bf}"/>
      </w:docPartPr>
      <w:docPartBody>
        <w:p>
          <w:r>
            <w:rPr>
              <w:color w:val="808080"/>
            </w:rPr>
            <w:t>单击此处输入文字。</w:t>
          </w:r>
        </w:p>
      </w:docPartBody>
    </w:docPart>
    <w:docPart>
      <w:docPartPr>
        <w:name w:val="{263cf033-8a3f-47bd-92e7-28eda6c58d2a}"/>
        <w:style w:val=""/>
        <w:category>
          <w:name w:val="常规"/>
          <w:gallery w:val="placeholder"/>
        </w:category>
        <w:types>
          <w:type w:val="bbPlcHdr"/>
        </w:types>
        <w:behaviors>
          <w:behavior w:val="content"/>
        </w:behaviors>
        <w:description w:val=""/>
        <w:guid w:val="{263cf033-8a3f-47bd-92e7-28eda6c58d2a}"/>
      </w:docPartPr>
      <w:docPartBody>
        <w:p>
          <w:r>
            <w:rPr>
              <w:color w:val="808080"/>
            </w:rPr>
            <w:t>单击此处输入文字。</w:t>
          </w:r>
        </w:p>
      </w:docPartBody>
    </w:docPart>
    <w:docPart>
      <w:docPartPr>
        <w:name w:val="{948cb00b-3dad-47b8-9064-7055b3668139}"/>
        <w:style w:val=""/>
        <w:category>
          <w:name w:val="常规"/>
          <w:gallery w:val="placeholder"/>
        </w:category>
        <w:types>
          <w:type w:val="bbPlcHdr"/>
        </w:types>
        <w:behaviors>
          <w:behavior w:val="content"/>
        </w:behaviors>
        <w:description w:val=""/>
        <w:guid w:val="{948cb00b-3dad-47b8-9064-7055b3668139}"/>
      </w:docPartPr>
      <w:docPartBody>
        <w:p>
          <w:r>
            <w:rPr>
              <w:color w:val="808080"/>
            </w:rPr>
            <w:t>单击此处输入文字。</w:t>
          </w:r>
        </w:p>
      </w:docPartBody>
    </w:docPart>
    <w:docPart>
      <w:docPartPr>
        <w:name w:val="{0edff4a1-d99d-4661-84da-1160725c4865}"/>
        <w:style w:val=""/>
        <w:category>
          <w:name w:val="常规"/>
          <w:gallery w:val="placeholder"/>
        </w:category>
        <w:types>
          <w:type w:val="bbPlcHdr"/>
        </w:types>
        <w:behaviors>
          <w:behavior w:val="content"/>
        </w:behaviors>
        <w:description w:val=""/>
        <w:guid w:val="{0edff4a1-d99d-4661-84da-1160725c4865}"/>
      </w:docPartPr>
      <w:docPartBody>
        <w:p>
          <w:r>
            <w:rPr>
              <w:color w:val="808080"/>
            </w:rPr>
            <w:t>单击此处输入文字。</w:t>
          </w:r>
        </w:p>
      </w:docPartBody>
    </w:docPart>
    <w:docPart>
      <w:docPartPr>
        <w:name w:val="{2ddcfbc7-693e-4691-9cd9-77b4a390aaa6}"/>
        <w:style w:val=""/>
        <w:category>
          <w:name w:val="常规"/>
          <w:gallery w:val="placeholder"/>
        </w:category>
        <w:types>
          <w:type w:val="bbPlcHdr"/>
        </w:types>
        <w:behaviors>
          <w:behavior w:val="content"/>
        </w:behaviors>
        <w:description w:val=""/>
        <w:guid w:val="{2ddcfbc7-693e-4691-9cd9-77b4a390aaa6}"/>
      </w:docPartPr>
      <w:docPartBody>
        <w:p>
          <w:r>
            <w:rPr>
              <w:color w:val="808080"/>
            </w:rPr>
            <w:t>单击此处输入文字。</w:t>
          </w:r>
        </w:p>
      </w:docPartBody>
    </w:docPart>
    <w:docPart>
      <w:docPartPr>
        <w:name w:val="{5ae8ae4f-32a4-43ba-8717-e3bee00e80e8}"/>
        <w:style w:val=""/>
        <w:category>
          <w:name w:val="常规"/>
          <w:gallery w:val="placeholder"/>
        </w:category>
        <w:types>
          <w:type w:val="bbPlcHdr"/>
        </w:types>
        <w:behaviors>
          <w:behavior w:val="content"/>
        </w:behaviors>
        <w:description w:val=""/>
        <w:guid w:val="{5ae8ae4f-32a4-43ba-8717-e3bee00e80e8}"/>
      </w:docPartPr>
      <w:docPartBody>
        <w:p>
          <w:r>
            <w:rPr>
              <w:color w:val="808080"/>
            </w:rPr>
            <w:t>单击此处输入文字。</w:t>
          </w:r>
        </w:p>
      </w:docPartBody>
    </w:docPart>
    <w:docPart>
      <w:docPartPr>
        <w:name w:val="{c3198f22-70ae-4417-8758-f919f6c1a89f}"/>
        <w:style w:val=""/>
        <w:category>
          <w:name w:val="常规"/>
          <w:gallery w:val="placeholder"/>
        </w:category>
        <w:types>
          <w:type w:val="bbPlcHdr"/>
        </w:types>
        <w:behaviors>
          <w:behavior w:val="content"/>
        </w:behaviors>
        <w:description w:val=""/>
        <w:guid w:val="{c3198f22-70ae-4417-8758-f919f6c1a89f}"/>
      </w:docPartPr>
      <w:docPartBody>
        <w:p>
          <w:r>
            <w:rPr>
              <w:color w:val="808080"/>
            </w:rPr>
            <w:t>单击此处输入文字。</w:t>
          </w:r>
        </w:p>
      </w:docPartBody>
    </w:docPart>
    <w:docPart>
      <w:docPartPr>
        <w:name w:val="{fcae7cfb-65eb-4732-9248-a59644ec70e9}"/>
        <w:style w:val=""/>
        <w:category>
          <w:name w:val="常规"/>
          <w:gallery w:val="placeholder"/>
        </w:category>
        <w:types>
          <w:type w:val="bbPlcHdr"/>
        </w:types>
        <w:behaviors>
          <w:behavior w:val="content"/>
        </w:behaviors>
        <w:description w:val=""/>
        <w:guid w:val="{fcae7cfb-65eb-4732-9248-a59644ec70e9}"/>
      </w:docPartPr>
      <w:docPartBody>
        <w:p>
          <w:r>
            <w:rPr>
              <w:color w:val="808080"/>
            </w:rPr>
            <w:t>单击此处输入文字。</w:t>
          </w:r>
        </w:p>
      </w:docPartBody>
    </w:docPart>
    <w:docPart>
      <w:docPartPr>
        <w:name w:val="{35b44d38-a4d9-49c7-a179-ec7e55928e49}"/>
        <w:style w:val=""/>
        <w:category>
          <w:name w:val="常规"/>
          <w:gallery w:val="placeholder"/>
        </w:category>
        <w:types>
          <w:type w:val="bbPlcHdr"/>
        </w:types>
        <w:behaviors>
          <w:behavior w:val="content"/>
        </w:behaviors>
        <w:description w:val=""/>
        <w:guid w:val="{35b44d38-a4d9-49c7-a179-ec7e55928e49}"/>
      </w:docPartPr>
      <w:docPartBody>
        <w:p>
          <w:r>
            <w:rPr>
              <w:color w:val="808080"/>
            </w:rPr>
            <w:t>单击此处输入文字。</w:t>
          </w:r>
        </w:p>
      </w:docPartBody>
    </w:docPart>
    <w:docPart>
      <w:docPartPr>
        <w:name w:val="{48381eea-869b-4423-b027-c644ce50bb69}"/>
        <w:style w:val=""/>
        <w:category>
          <w:name w:val="常规"/>
          <w:gallery w:val="placeholder"/>
        </w:category>
        <w:types>
          <w:type w:val="bbPlcHdr"/>
        </w:types>
        <w:behaviors>
          <w:behavior w:val="content"/>
        </w:behaviors>
        <w:description w:val=""/>
        <w:guid w:val="{48381eea-869b-4423-b027-c644ce50bb69}"/>
      </w:docPartPr>
      <w:docPartBody>
        <w:p>
          <w:r>
            <w:rPr>
              <w:color w:val="808080"/>
            </w:rPr>
            <w:t>单击此处输入文字。</w:t>
          </w:r>
        </w:p>
      </w:docPartBody>
    </w:docPart>
    <w:docPart>
      <w:docPartPr>
        <w:name w:val="{712c6024-ce13-48c3-9fb8-c4bd580d136e}"/>
        <w:style w:val=""/>
        <w:category>
          <w:name w:val="常规"/>
          <w:gallery w:val="placeholder"/>
        </w:category>
        <w:types>
          <w:type w:val="bbPlcHdr"/>
        </w:types>
        <w:behaviors>
          <w:behavior w:val="content"/>
        </w:behaviors>
        <w:description w:val=""/>
        <w:guid w:val="{712c6024-ce13-48c3-9fb8-c4bd580d136e}"/>
      </w:docPartPr>
      <w:docPartBody>
        <w:p>
          <w:r>
            <w:rPr>
              <w:color w:val="808080"/>
            </w:rPr>
            <w:t>单击此处输入文字。</w:t>
          </w:r>
        </w:p>
      </w:docPartBody>
    </w:docPart>
    <w:docPart>
      <w:docPartPr>
        <w:name w:val="{49748dff-ca86-46e9-bfdf-cd8dcd9e3c9e}"/>
        <w:style w:val=""/>
        <w:category>
          <w:name w:val="常规"/>
          <w:gallery w:val="placeholder"/>
        </w:category>
        <w:types>
          <w:type w:val="bbPlcHdr"/>
        </w:types>
        <w:behaviors>
          <w:behavior w:val="content"/>
        </w:behaviors>
        <w:description w:val=""/>
        <w:guid w:val="{49748dff-ca86-46e9-bfdf-cd8dcd9e3c9e}"/>
      </w:docPartPr>
      <w:docPartBody>
        <w:p>
          <w:r>
            <w:rPr>
              <w:color w:val="808080"/>
            </w:rPr>
            <w:t>单击此处输入文字。</w:t>
          </w:r>
        </w:p>
      </w:docPartBody>
    </w:docPart>
    <w:docPart>
      <w:docPartPr>
        <w:name w:val="{ce23e67a-4a6d-4c47-beee-60698e3fbd1c}"/>
        <w:style w:val=""/>
        <w:category>
          <w:name w:val="常规"/>
          <w:gallery w:val="placeholder"/>
        </w:category>
        <w:types>
          <w:type w:val="bbPlcHdr"/>
        </w:types>
        <w:behaviors>
          <w:behavior w:val="content"/>
        </w:behaviors>
        <w:description w:val=""/>
        <w:guid w:val="{ce23e67a-4a6d-4c47-beee-60698e3fbd1c}"/>
      </w:docPartPr>
      <w:docPartBody>
        <w:p>
          <w:r>
            <w:rPr>
              <w:color w:val="808080"/>
            </w:rPr>
            <w:t>单击此处输入文字。</w:t>
          </w:r>
        </w:p>
      </w:docPartBody>
    </w:docPart>
    <w:docPart>
      <w:docPartPr>
        <w:name w:val="{a6c49811-5f15-484e-a021-2d2fdd0b0571}"/>
        <w:style w:val=""/>
        <w:category>
          <w:name w:val="常规"/>
          <w:gallery w:val="placeholder"/>
        </w:category>
        <w:types>
          <w:type w:val="bbPlcHdr"/>
        </w:types>
        <w:behaviors>
          <w:behavior w:val="content"/>
        </w:behaviors>
        <w:description w:val=""/>
        <w:guid w:val="{a6c49811-5f15-484e-a021-2d2fdd0b0571}"/>
      </w:docPartPr>
      <w:docPartBody>
        <w:p>
          <w:r>
            <w:rPr>
              <w:color w:val="808080"/>
            </w:rPr>
            <w:t>单击此处输入文字。</w:t>
          </w:r>
        </w:p>
      </w:docPartBody>
    </w:docPart>
    <w:docPart>
      <w:docPartPr>
        <w:name w:val="{65ed9f36-3232-46f9-95fc-64a21cc4b506}"/>
        <w:style w:val=""/>
        <w:category>
          <w:name w:val="常规"/>
          <w:gallery w:val="placeholder"/>
        </w:category>
        <w:types>
          <w:type w:val="bbPlcHdr"/>
        </w:types>
        <w:behaviors>
          <w:behavior w:val="content"/>
        </w:behaviors>
        <w:description w:val=""/>
        <w:guid w:val="{65ed9f36-3232-46f9-95fc-64a21cc4b506}"/>
      </w:docPartPr>
      <w:docPartBody>
        <w:p>
          <w:r>
            <w:rPr>
              <w:color w:val="808080"/>
            </w:rPr>
            <w:t>单击此处输入文字。</w:t>
          </w:r>
        </w:p>
      </w:docPartBody>
    </w:docPart>
    <w:docPart>
      <w:docPartPr>
        <w:name w:val="{8aaa3b67-eeea-4647-83b2-872fc50c5a7c}"/>
        <w:style w:val=""/>
        <w:category>
          <w:name w:val="常规"/>
          <w:gallery w:val="placeholder"/>
        </w:category>
        <w:types>
          <w:type w:val="bbPlcHdr"/>
        </w:types>
        <w:behaviors>
          <w:behavior w:val="content"/>
        </w:behaviors>
        <w:description w:val=""/>
        <w:guid w:val="{8aaa3b67-eeea-4647-83b2-872fc50c5a7c}"/>
      </w:docPartPr>
      <w:docPartBody>
        <w:p>
          <w:r>
            <w:rPr>
              <w:color w:val="808080"/>
            </w:rPr>
            <w:t>单击此处输入文字。</w:t>
          </w:r>
        </w:p>
      </w:docPartBody>
    </w:docPart>
    <w:docPart>
      <w:docPartPr>
        <w:name w:val="{a3337df4-135b-473d-b821-2cfb4daf1b77}"/>
        <w:style w:val=""/>
        <w:category>
          <w:name w:val="常规"/>
          <w:gallery w:val="placeholder"/>
        </w:category>
        <w:types>
          <w:type w:val="bbPlcHdr"/>
        </w:types>
        <w:behaviors>
          <w:behavior w:val="content"/>
        </w:behaviors>
        <w:description w:val=""/>
        <w:guid w:val="{a3337df4-135b-473d-b821-2cfb4daf1b77}"/>
      </w:docPartPr>
      <w:docPartBody>
        <w:p>
          <w:r>
            <w:rPr>
              <w:color w:val="808080"/>
            </w:rPr>
            <w:t>单击此处输入文字。</w:t>
          </w:r>
        </w:p>
      </w:docPartBody>
    </w:docPart>
    <w:docPart>
      <w:docPartPr>
        <w:name w:val="{95ec952a-8aba-49bc-b49e-e0aa24bd8611}"/>
        <w:style w:val=""/>
        <w:category>
          <w:name w:val="常规"/>
          <w:gallery w:val="placeholder"/>
        </w:category>
        <w:types>
          <w:type w:val="bbPlcHdr"/>
        </w:types>
        <w:behaviors>
          <w:behavior w:val="content"/>
        </w:behaviors>
        <w:description w:val=""/>
        <w:guid w:val="{95ec952a-8aba-49bc-b49e-e0aa24bd8611}"/>
      </w:docPartPr>
      <w:docPartBody>
        <w:p>
          <w:r>
            <w:rPr>
              <w:color w:val="808080"/>
            </w:rPr>
            <w:t>单击此处输入文字。</w:t>
          </w:r>
        </w:p>
      </w:docPartBody>
    </w:docPart>
    <w:docPart>
      <w:docPartPr>
        <w:name w:val="{c36c9c01-3545-430d-8537-7e36f31bed9d}"/>
        <w:style w:val=""/>
        <w:category>
          <w:name w:val="常规"/>
          <w:gallery w:val="placeholder"/>
        </w:category>
        <w:types>
          <w:type w:val="bbPlcHdr"/>
        </w:types>
        <w:behaviors>
          <w:behavior w:val="content"/>
        </w:behaviors>
        <w:description w:val=""/>
        <w:guid w:val="{c36c9c01-3545-430d-8537-7e36f31bed9d}"/>
      </w:docPartPr>
      <w:docPartBody>
        <w:p>
          <w:r>
            <w:rPr>
              <w:color w:val="808080"/>
            </w:rPr>
            <w:t>单击此处输入文字。</w:t>
          </w:r>
        </w:p>
      </w:docPartBody>
    </w:docPart>
    <w:docPart>
      <w:docPartPr>
        <w:name w:val="{6604057e-5467-414d-88e3-6c1844e717c3}"/>
        <w:style w:val=""/>
        <w:category>
          <w:name w:val="常规"/>
          <w:gallery w:val="placeholder"/>
        </w:category>
        <w:types>
          <w:type w:val="bbPlcHdr"/>
        </w:types>
        <w:behaviors>
          <w:behavior w:val="content"/>
        </w:behaviors>
        <w:description w:val=""/>
        <w:guid w:val="{6604057e-5467-414d-88e3-6c1844e717c3}"/>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iPriority="1" w:semiHidden="0" w:name="Default Paragraph Font"/>
  </w:latentStyles>
  <w:style w:type="character" w:default="1" w:styleId="1">
    <w:name w:val="Default Paragraph Font"/>
    <w:unhideWhenUsed/>
    <w:qFormat/>
    <w:uiPriority w:val="1"/>
  </w:style>
  <w:style w:type="paragraph" w:customStyle="1" w:styleId="2">
    <w:name w:val="D95E017324F14E408360C0285A4847E9"/>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customStyle="1" w:styleId="3">
    <w:name w:val="Placeholder Text"/>
    <w:basedOn w:val="1"/>
    <w:semiHidden/>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AC52F2-07E1-4ACE-89B5-59448144B74F}">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29</Pages>
  <Words>3543</Words>
  <Characters>4321</Characters>
  <Lines>101</Lines>
  <Paragraphs>28</Paragraphs>
  <TotalTime>0</TotalTime>
  <ScaleCrop>false</ScaleCrop>
  <LinksUpToDate>false</LinksUpToDate>
  <CharactersWithSpaces>4508</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2024-05-19T16:55:00Z</dcterms:created>
  <dc:creator>user</dc:creator>
  <cp:lastModifiedBy>段向阳</cp:lastModifiedBy>
  <cp:lastPrinted>2024-09-19T06:55:00Z</cp:lastPrinted>
  <dcterms:modified xsi:type="dcterms:W3CDTF">2024-11-13T01:49:45Z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SaveFontToCloudKey">
    <vt:lpwstr>0_btnclosed</vt:lpwstr>
  </property>
  <property fmtid="{D5CDD505-2E9C-101B-9397-08002B2CF9AE}" pid="3" name="KSOProductBuildVer">
    <vt:lpwstr>2052-10.8.0.6423</vt:lpwstr>
  </property>
  <property fmtid="{D5CDD505-2E9C-101B-9397-08002B2CF9AE}" pid="4" name="ICV">
    <vt:lpwstr>6392AAE2C0274303B1D3FC3FCF3E4C70_13</vt:lpwstr>
  </property>
</Properties>
</file>