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14BF5">
      <w:pPr>
        <w:pStyle w:val="15"/>
        <w:framePr w:w="1923" w:h="573" w:hRule="exact" w:hSpace="181" w:vSpace="181" w:wrap="around" w:vAnchor="page" w:hAnchor="page" w:x="1790" w:y="1431"/>
        <w:rPr>
          <w:rFonts w:ascii="Times New Roman"/>
        </w:rPr>
      </w:pPr>
      <w:r>
        <w:rPr>
          <w:rFonts w:ascii="Times New Roman"/>
        </w:rPr>
        <w:t xml:space="preserve">ICS  </w:t>
      </w:r>
    </w:p>
    <w:p w14:paraId="7D1BE69E">
      <w:pPr>
        <w:pStyle w:val="15"/>
        <w:framePr w:w="1923" w:h="573" w:hRule="exact" w:hSpace="181" w:vSpace="181" w:wrap="around" w:vAnchor="page" w:hAnchor="page" w:x="1790" w:y="1431"/>
        <w:rPr>
          <w:rFonts w:ascii="Times New Roman"/>
        </w:rPr>
      </w:pPr>
      <w:r>
        <w:rPr>
          <w:rFonts w:ascii="Times New Roman"/>
        </w:rPr>
        <w:t xml:space="preserve">Z  </w:t>
      </w:r>
    </w:p>
    <w:p w14:paraId="326B3BD4">
      <w:pPr>
        <w:pStyle w:val="15"/>
        <w:framePr w:w="1923" w:h="573" w:hRule="exact" w:hSpace="181" w:vSpace="181" w:wrap="around" w:vAnchor="page" w:hAnchor="page" w:x="1790" w:y="1431"/>
        <w:rPr>
          <w:rFonts w:ascii="Times New Roman"/>
        </w:rPr>
      </w:pPr>
      <w:r>
        <w:rPr>
          <w:rFonts w:ascii="Times New Roman"/>
        </w:rPr>
        <w:t>Z 60</w:t>
      </w:r>
    </w:p>
    <w:p w14:paraId="56E2F461">
      <w:pPr>
        <w:pStyle w:val="16"/>
        <w:framePr w:h="947" w:hRule="exact" w:hSpace="0" w:vSpace="0" w:wrap="around" w:x="4041" w:y="1431"/>
      </w:pPr>
      <w:r>
        <w:t>DBXX</w:t>
      </w:r>
    </w:p>
    <w:p w14:paraId="5BC60833">
      <w:pPr>
        <w:pStyle w:val="17"/>
        <w:framePr w:w="8290" w:hSpace="0" w:vSpace="0" w:wrap="around" w:x="1841" w:y="2661"/>
        <w:spacing w:line="510" w:lineRule="atLeast"/>
        <w:jc w:val="left"/>
        <w:rPr>
          <w:rFonts w:hint="eastAsia" w:hAnsi="黑体"/>
          <w:sz w:val="52"/>
        </w:rPr>
      </w:pPr>
      <w:r>
        <w:rPr>
          <w:rFonts w:ascii="Times New Roman" w:hAnsi="Times New Roman"/>
          <w:sz w:val="52"/>
        </w:rPr>
        <w:t xml:space="preserve"> </w:t>
      </w:r>
      <w:r>
        <w:rPr>
          <w:rFonts w:hAnsi="黑体"/>
          <w:spacing w:val="368"/>
          <w:kern w:val="0"/>
          <w:sz w:val="52"/>
          <w:szCs w:val="24"/>
          <w:fitText w:val="8060" w:id="-1154415104"/>
        </w:rPr>
        <w:t>湖北省地方标</w:t>
      </w:r>
      <w:r>
        <w:rPr>
          <w:rFonts w:hAnsi="黑体"/>
          <w:spacing w:val="2"/>
          <w:kern w:val="0"/>
          <w:sz w:val="52"/>
          <w:szCs w:val="24"/>
          <w:fitText w:val="8060" w:id="-1154415104"/>
        </w:rPr>
        <w:t>准</w:t>
      </w:r>
      <w:r>
        <w:rPr>
          <w:rFonts w:hAnsi="黑体"/>
          <w:sz w:val="52"/>
        </w:rPr>
        <w:t xml:space="preserve"> </w:t>
      </w:r>
    </w:p>
    <w:p w14:paraId="573579FF">
      <w:pPr>
        <w:pStyle w:val="18"/>
        <w:framePr w:w="8342" w:wrap="around" w:x="1945" w:y="3682"/>
        <w:spacing w:before="0" w:line="0" w:lineRule="atLeast"/>
        <w:ind w:right="284"/>
        <w:rPr>
          <w:rFonts w:ascii="Times New Roman"/>
          <w:u w:val="single"/>
        </w:rPr>
      </w:pPr>
      <w:r>
        <w:rPr>
          <w:rFonts w:ascii="Times New Roman"/>
          <w:b/>
        </w:rPr>
        <w:t>DB</w:t>
      </w:r>
      <w:r>
        <w:rPr>
          <w:rFonts w:ascii="Times New Roman"/>
        </w:rPr>
        <w:t xml:space="preserve"> XX/XXXX—XXXX</w:t>
      </w:r>
    </w:p>
    <w:p w14:paraId="399613F0">
      <w:pPr>
        <w:pStyle w:val="20"/>
        <w:framePr w:w="8311" w:wrap="around" w:x="1881" w:y="5631"/>
        <w:spacing w:line="240" w:lineRule="auto"/>
        <w:rPr>
          <w:rFonts w:hint="eastAsia" w:hAnsi="黑体"/>
        </w:rPr>
      </w:pPr>
      <w:r>
        <w:rPr>
          <w:rFonts w:hint="eastAsia" w:hAnsi="黑体"/>
        </w:rPr>
        <w:t>生活垃圾焚烧</w:t>
      </w:r>
      <w:r>
        <w:rPr>
          <w:rFonts w:hAnsi="黑体"/>
        </w:rPr>
        <w:t>大气污染物排放标准</w:t>
      </w:r>
    </w:p>
    <w:p w14:paraId="4D87B208">
      <w:pPr>
        <w:pStyle w:val="19"/>
        <w:framePr w:w="8311" w:wrap="around" w:x="1881" w:y="5631"/>
        <w:spacing w:line="567" w:lineRule="exact"/>
      </w:pPr>
      <w:r>
        <w:t>Emission</w:t>
      </w:r>
      <w:r>
        <w:rPr>
          <w:rFonts w:eastAsia="宋体"/>
        </w:rPr>
        <w:t xml:space="preserve"> </w:t>
      </w:r>
      <w:r>
        <w:t>Standard</w:t>
      </w:r>
      <w:r>
        <w:rPr>
          <w:rFonts w:eastAsia="宋体"/>
        </w:rPr>
        <w:t xml:space="preserve"> </w:t>
      </w:r>
      <w:r>
        <w:rPr>
          <w:rFonts w:hint="eastAsia"/>
        </w:rPr>
        <w:t>o</w:t>
      </w:r>
      <w:r>
        <w:t>f</w:t>
      </w:r>
      <w:r>
        <w:rPr>
          <w:rFonts w:eastAsia="宋体"/>
        </w:rPr>
        <w:t xml:space="preserve"> </w:t>
      </w:r>
      <w:r>
        <w:t>Air</w:t>
      </w:r>
      <w:r>
        <w:rPr>
          <w:rFonts w:eastAsia="宋体"/>
        </w:rPr>
        <w:t xml:space="preserve"> </w:t>
      </w:r>
      <w:r>
        <w:t>Pollutants</w:t>
      </w:r>
      <w:r>
        <w:rPr>
          <w:rFonts w:eastAsia="宋体"/>
        </w:rPr>
        <w:t xml:space="preserve"> </w:t>
      </w:r>
      <w:r>
        <w:t>for</w:t>
      </w:r>
      <w:r>
        <w:rPr>
          <w:rFonts w:eastAsia="宋体"/>
        </w:rPr>
        <w:t xml:space="preserve"> </w:t>
      </w:r>
      <w:r>
        <w:t>M</w:t>
      </w:r>
      <w:r>
        <w:rPr>
          <w:rFonts w:hint="eastAsia"/>
        </w:rPr>
        <w:t>unicipal</w:t>
      </w:r>
      <w:r>
        <w:t xml:space="preserve"> S</w:t>
      </w:r>
      <w:r>
        <w:rPr>
          <w:rFonts w:hint="eastAsia"/>
        </w:rPr>
        <w:t>olid</w:t>
      </w:r>
      <w:r>
        <w:t xml:space="preserve"> W</w:t>
      </w:r>
      <w:r>
        <w:rPr>
          <w:rFonts w:hint="eastAsia"/>
        </w:rPr>
        <w:t>aste</w:t>
      </w:r>
      <w:r>
        <w:t xml:space="preserve"> I</w:t>
      </w:r>
      <w:r>
        <w:rPr>
          <w:rFonts w:hint="eastAsia"/>
        </w:rPr>
        <w:t>ncineration</w:t>
      </w:r>
    </w:p>
    <w:p w14:paraId="69C5C08F">
      <w:pPr>
        <w:pStyle w:val="19"/>
        <w:framePr w:w="8311" w:wrap="around" w:x="1881" w:y="5631"/>
        <w:spacing w:before="0" w:line="240" w:lineRule="auto"/>
        <w:rPr>
          <w:rFonts w:hint="eastAsia" w:ascii="黑体" w:hAnsi="黑体"/>
          <w:sz w:val="48"/>
          <w:szCs w:val="48"/>
        </w:rPr>
      </w:pPr>
      <w:bookmarkStart w:id="129" w:name="_GoBack"/>
      <w:r>
        <w:rPr>
          <w:rFonts w:ascii="黑体" w:hAnsi="黑体"/>
          <w:sz w:val="48"/>
          <w:szCs w:val="48"/>
        </w:rPr>
        <w:t>(</w:t>
      </w:r>
      <w:r>
        <w:rPr>
          <w:rFonts w:hint="eastAsia" w:ascii="黑体" w:hAnsi="黑体"/>
          <w:sz w:val="48"/>
          <w:szCs w:val="48"/>
        </w:rPr>
        <w:t>征求意见稿)</w:t>
      </w:r>
    </w:p>
    <w:bookmarkEnd w:id="129"/>
    <w:p w14:paraId="62791E1D">
      <w:pPr>
        <w:pStyle w:val="19"/>
        <w:framePr w:w="8311" w:wrap="around" w:x="1881" w:y="5631"/>
      </w:pPr>
    </w:p>
    <w:p w14:paraId="5B853B84">
      <w:pPr>
        <w:pStyle w:val="19"/>
        <w:framePr w:w="8311" w:wrap="around" w:x="1881" w:y="5631"/>
        <w:rPr>
          <w:b/>
        </w:rPr>
      </w:pPr>
    </w:p>
    <w:p w14:paraId="21490FE5">
      <w:pPr>
        <w:pStyle w:val="21"/>
        <w:framePr w:wrap="around" w:hAnchor="page" w:x="1731" w:y="13771"/>
      </w:pPr>
      <w:r>
        <w:t>20XX-XX-XX发布</w:t>
      </w:r>
      <w:r>
        <mc:AlternateContent>
          <mc:Choice Requires="wps">
            <w:drawing>
              <wp:anchor distT="0" distB="0" distL="114300" distR="114300" simplePos="0" relativeHeight="251659264" behindDoc="0" locked="1" layoutInCell="1" allowOverlap="1">
                <wp:simplePos x="0" y="0"/>
                <wp:positionH relativeFrom="page">
                  <wp:posOffset>900430</wp:posOffset>
                </wp:positionH>
                <wp:positionV relativeFrom="page">
                  <wp:posOffset>9251950</wp:posOffset>
                </wp:positionV>
                <wp:extent cx="6120130" cy="0"/>
                <wp:effectExtent l="5080" t="12700" r="8890" b="6350"/>
                <wp:wrapNone/>
                <wp:docPr id="5"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9pt;margin-top:728.5pt;height:0pt;width:481.9pt;mso-position-horizontal-relative:page;mso-position-vertical-relative:page;z-index:251659264;mso-width-relative:page;mso-height-relative:page;" filled="f" stroked="t" coordsize="21600,21600" o:gfxdata="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HlPwzXAAAADgEA&#10;AA8AAAAAAAAAAQAgAAAAIgAAAGRycy9kb3ducmV2LnhtbFBLAQIUABQAAAAIAIdO4kApNqMc4gEA&#10;AKoDAAAOAAAAAAAAAAEAIAAAACYBAABkcnMvZTJvRG9jLnhtbFBLBQYAAAAABgAGAFkBAAB6BQAA&#10;AAA=&#10;">
                <v:fill on="f" focussize="0,0"/>
                <v:stroke color="#000000" joinstyle="round"/>
                <v:imagedata o:title=""/>
                <o:lock v:ext="edit" aspectratio="f"/>
                <w10:anchorlock/>
              </v:line>
            </w:pict>
          </mc:Fallback>
        </mc:AlternateContent>
      </w:r>
    </w:p>
    <w:p w14:paraId="0AF38EF9">
      <w:pPr>
        <w:pStyle w:val="21"/>
        <w:framePr w:wrap="around" w:hAnchor="page" w:x="6091" w:y="13801"/>
        <w:jc w:val="right"/>
      </w:pPr>
      <w:r>
        <w:t>20XX-XX-XX实施</w:t>
      </w:r>
    </w:p>
    <w:p w14:paraId="3CC0A493">
      <w:pPr>
        <w:pStyle w:val="22"/>
        <w:framePr w:wrap="around" w:hAnchor="page" w:x="6091" w:y="13801"/>
        <w:jc w:val="left"/>
      </w:pPr>
      <w:r>
        <w:t>实施</w:t>
      </w:r>
    </w:p>
    <w:p w14:paraId="45766522">
      <w:pPr>
        <w:pStyle w:val="23"/>
        <w:framePr w:w="4258" w:h="686" w:hRule="exact" w:hSpace="0" w:vSpace="0" w:wrap="around" w:x="3781" w:y="14681"/>
        <w:shd w:val="solid" w:color="FFFFFF" w:fill="FFFFFF"/>
        <w:ind w:right="53" w:rightChars="25"/>
        <w:jc w:val="distribute"/>
        <w:rPr>
          <w:rFonts w:ascii="Times New Roman"/>
        </w:rPr>
      </w:pPr>
      <w:r>
        <w:rPr>
          <w:rFonts w:ascii="Times New Roman"/>
        </w:rPr>
        <w:t>湖北省生态环境厅</w:t>
      </w:r>
    </w:p>
    <w:p w14:paraId="6A129900">
      <w:pPr>
        <w:pStyle w:val="23"/>
        <w:framePr w:w="4258" w:h="686" w:hRule="exact" w:hSpace="0" w:vSpace="0" w:wrap="around" w:x="3781" w:y="14681"/>
        <w:shd w:val="solid" w:color="FFFFFF" w:fill="FFFFFF"/>
        <w:ind w:right="53" w:rightChars="25"/>
        <w:jc w:val="distribute"/>
        <w:rPr>
          <w:rFonts w:ascii="Times New Roman"/>
        </w:rPr>
      </w:pPr>
      <w:r>
        <w:rPr>
          <w:rFonts w:ascii="Times New Roman"/>
        </w:rPr>
        <w:t>湖北省市场监督管理局</w:t>
      </w:r>
    </w:p>
    <w:p w14:paraId="6684720F">
      <w:pPr>
        <w:pStyle w:val="23"/>
        <w:framePr w:w="1597" w:h="451" w:hRule="exact" w:wrap="around" w:x="7746" w:y="14771"/>
        <w:spacing w:line="240" w:lineRule="auto"/>
        <w:ind w:left="567"/>
        <w:jc w:val="left"/>
        <w:rPr>
          <w:rFonts w:ascii="Times New Roman"/>
          <w:spacing w:val="85"/>
        </w:rPr>
      </w:pPr>
      <w:r>
        <w:rPr>
          <w:rFonts w:ascii="Times New Roman"/>
          <w:spacing w:val="85"/>
          <w:w w:val="100"/>
        </w:rPr>
        <mc:AlternateContent>
          <mc:Choice Requires="wps">
            <w:drawing>
              <wp:anchor distT="0" distB="0" distL="114300" distR="114300" simplePos="0" relativeHeight="251660288" behindDoc="1" locked="0" layoutInCell="1" allowOverlap="1">
                <wp:simplePos x="0" y="0"/>
                <wp:positionH relativeFrom="column">
                  <wp:posOffset>4413885</wp:posOffset>
                </wp:positionH>
                <wp:positionV relativeFrom="paragraph">
                  <wp:posOffset>-7435215</wp:posOffset>
                </wp:positionV>
                <wp:extent cx="1143000" cy="228600"/>
                <wp:effectExtent l="4445" t="0" r="0" b="2540"/>
                <wp:wrapNone/>
                <wp:docPr id="3" name="矩形 2"/>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2" o:spid="_x0000_s1026" o:spt="1" style="position:absolute;left:0pt;margin-left:347.55pt;margin-top:-585.45pt;height:18pt;width:90pt;z-index:-251656192;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fyYoR2gAAAA8B&#10;AAAPAAAAAAAAAAEAIAAAACIAAABkcnMvZG93bnJldi54bWxQSwECFAAUAAAACACHTuJALjghaRkC&#10;AAAmBAAADgAAAAAAAAABACAAAAApAQAAZHJzL2Uyb0RvYy54bWxQSwUGAAAAAAYABgBZAQAAtAUA&#10;AAAA&#10;">
                <v:fill on="t" focussize="0,0"/>
                <v:stroke on="f"/>
                <v:imagedata o:title=""/>
                <o:lock v:ext="edit" aspectratio="f"/>
              </v:rect>
            </w:pict>
          </mc:Fallback>
        </mc:AlternateContent>
      </w:r>
      <w:r>
        <w:rPr>
          <w:rFonts w:ascii="Times New Roman"/>
          <w:spacing w:val="85"/>
          <w:w w:val="100"/>
        </w:rPr>
        <w:t>发布</w:t>
      </w:r>
    </w:p>
    <w:p w14:paraId="02189A38">
      <w:pPr>
        <w:rPr>
          <w:rFonts w:hint="eastAsia"/>
        </w:rPr>
      </w:pPr>
    </w:p>
    <w:p w14:paraId="04E117FC">
      <w:pPr>
        <w:rPr>
          <w:rFonts w:hint="eastAsia"/>
        </w:rPr>
      </w:pPr>
    </w:p>
    <w:p w14:paraId="19E342BC">
      <w:pPr>
        <w:pStyle w:val="24"/>
        <w:spacing w:before="567" w:after="680" w:line="0" w:lineRule="atLeast"/>
        <w:rPr>
          <w:rFonts w:ascii="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upperRoman" w:start="1"/>
          <w:cols w:space="425" w:num="1"/>
          <w:docGrid w:type="lines" w:linePitch="312" w:charSpace="0"/>
        </w:sectPr>
      </w:pPr>
      <w:bookmarkStart w:id="0" w:name="_Toc535861166"/>
      <w:bookmarkStart w:id="1" w:name="_Toc72917387"/>
      <w:bookmarkStart w:id="2" w:name="_Toc72917445"/>
      <w:bookmarkStart w:id="3" w:name="_Hlk150136298"/>
    </w:p>
    <w:p w14:paraId="266F9116">
      <w:pPr>
        <w:pStyle w:val="24"/>
        <w:spacing w:before="567" w:after="680" w:line="0" w:lineRule="atLeast"/>
      </w:pPr>
      <w:bookmarkStart w:id="4" w:name="_Toc172651336"/>
      <w:r>
        <w:rPr>
          <w:rFonts w:ascii="Times New Roman"/>
        </w:rPr>
        <w:t>目</w:t>
      </w:r>
      <w:bookmarkStart w:id="5" w:name="BKML"/>
      <w:r>
        <w:rPr>
          <w:rFonts w:ascii="Times New Roman"/>
        </w:rPr>
        <w:t xml:space="preserve">  </w:t>
      </w:r>
      <w:bookmarkEnd w:id="0"/>
      <w:bookmarkEnd w:id="1"/>
      <w:bookmarkEnd w:id="2"/>
      <w:bookmarkEnd w:id="5"/>
      <w:r>
        <w:rPr>
          <w:rFonts w:hint="eastAsia" w:ascii="Times New Roman"/>
        </w:rPr>
        <w:t>录</w:t>
      </w:r>
      <w:bookmarkEnd w:id="4"/>
      <w:r>
        <w:rPr>
          <w:rFonts w:ascii="Times New Roman" w:eastAsia="宋体"/>
          <w:sz w:val="21"/>
          <w:szCs w:val="21"/>
        </w:rPr>
        <w:fldChar w:fldCharType="begin"/>
      </w:r>
      <w:r>
        <w:rPr>
          <w:rFonts w:ascii="Times New Roman" w:eastAsia="宋体"/>
          <w:sz w:val="21"/>
          <w:szCs w:val="21"/>
        </w:rPr>
        <w:instrText xml:space="preserve"> TOC \o "1-3" \h \z \u </w:instrText>
      </w:r>
      <w:r>
        <w:rPr>
          <w:rFonts w:ascii="Times New Roman" w:eastAsia="宋体"/>
          <w:sz w:val="21"/>
          <w:szCs w:val="21"/>
        </w:rPr>
        <w:fldChar w:fldCharType="separate"/>
      </w:r>
    </w:p>
    <w:p w14:paraId="211DCF50">
      <w:pPr>
        <w:pStyle w:val="6"/>
        <w:rPr>
          <w:rFonts w:ascii="Times New Roman" w:hAnsi="Times New Roman"/>
          <w:b/>
          <w:bCs/>
          <w:szCs w:val="22"/>
          <w14:ligatures w14:val="standardContextual"/>
        </w:rPr>
      </w:pPr>
      <w:r>
        <w:fldChar w:fldCharType="begin"/>
      </w:r>
      <w:r>
        <w:instrText xml:space="preserve"> HYPERLINK \l "_Toc172651337" </w:instrText>
      </w:r>
      <w:r>
        <w:fldChar w:fldCharType="separate"/>
      </w:r>
      <w:r>
        <w:rPr>
          <w:rStyle w:val="13"/>
          <w:rFonts w:ascii="Times New Roman" w:hAnsi="Times New Roman"/>
          <w:b/>
          <w:bCs/>
        </w:rPr>
        <w:t>前  言</w:t>
      </w:r>
      <w:r>
        <w:rPr>
          <w:rFonts w:ascii="Times New Roman" w:hAnsi="Times New Roman"/>
          <w:b/>
          <w:bCs/>
        </w:rPr>
        <w:tab/>
      </w:r>
      <w:r>
        <w:rPr>
          <w:rFonts w:ascii="Times New Roman" w:hAnsi="Times New Roman"/>
          <w:b/>
          <w:bCs/>
        </w:rPr>
        <w:fldChar w:fldCharType="begin"/>
      </w:r>
      <w:r>
        <w:rPr>
          <w:rFonts w:ascii="Times New Roman" w:hAnsi="Times New Roman"/>
          <w:b/>
          <w:bCs/>
        </w:rPr>
        <w:instrText xml:space="preserve"> PAGEREF _Toc172651337 \h </w:instrText>
      </w:r>
      <w:r>
        <w:rPr>
          <w:rFonts w:ascii="Times New Roman" w:hAnsi="Times New Roman"/>
          <w:b/>
          <w:bCs/>
        </w:rPr>
        <w:fldChar w:fldCharType="separate"/>
      </w:r>
      <w:r>
        <w:rPr>
          <w:rFonts w:ascii="Times New Roman" w:hAnsi="Times New Roman"/>
          <w:b/>
          <w:bCs/>
        </w:rPr>
        <w:t>II</w:t>
      </w:r>
      <w:r>
        <w:rPr>
          <w:rFonts w:ascii="Times New Roman" w:hAnsi="Times New Roman"/>
          <w:b/>
          <w:bCs/>
        </w:rPr>
        <w:fldChar w:fldCharType="end"/>
      </w:r>
      <w:r>
        <w:rPr>
          <w:rFonts w:ascii="Times New Roman" w:hAnsi="Times New Roman"/>
          <w:b/>
          <w:bCs/>
        </w:rPr>
        <w:fldChar w:fldCharType="end"/>
      </w:r>
    </w:p>
    <w:p w14:paraId="0FA6ED22">
      <w:pPr>
        <w:pStyle w:val="7"/>
        <w:rPr>
          <w:rFonts w:ascii="Times New Roman"/>
          <w:b/>
          <w:bCs/>
          <w:szCs w:val="22"/>
          <w14:ligatures w14:val="standardContextual"/>
        </w:rPr>
      </w:pPr>
      <w:r>
        <w:fldChar w:fldCharType="begin"/>
      </w:r>
      <w:r>
        <w:instrText xml:space="preserve"> HYPERLINK \l "_Toc172651338" </w:instrText>
      </w:r>
      <w:r>
        <w:fldChar w:fldCharType="separate"/>
      </w:r>
      <w:r>
        <w:rPr>
          <w:rStyle w:val="13"/>
          <w:rFonts w:ascii="Times New Roman"/>
          <w:b/>
          <w:bCs/>
        </w:rPr>
        <w:t>1  适用范围</w:t>
      </w:r>
      <w:r>
        <w:rPr>
          <w:rFonts w:ascii="Times New Roman"/>
          <w:b/>
          <w:bCs/>
        </w:rPr>
        <w:tab/>
      </w:r>
      <w:r>
        <w:rPr>
          <w:rFonts w:ascii="Times New Roman"/>
          <w:b/>
          <w:bCs/>
        </w:rPr>
        <w:fldChar w:fldCharType="begin"/>
      </w:r>
      <w:r>
        <w:rPr>
          <w:rFonts w:ascii="Times New Roman"/>
          <w:b/>
          <w:bCs/>
        </w:rPr>
        <w:instrText xml:space="preserve"> PAGEREF _Toc172651338 \h </w:instrText>
      </w:r>
      <w:r>
        <w:rPr>
          <w:rFonts w:ascii="Times New Roman"/>
          <w:b/>
          <w:bCs/>
        </w:rPr>
        <w:fldChar w:fldCharType="separate"/>
      </w:r>
      <w:r>
        <w:rPr>
          <w:rFonts w:ascii="Times New Roman"/>
          <w:b/>
          <w:bCs/>
        </w:rPr>
        <w:t>1</w:t>
      </w:r>
      <w:r>
        <w:rPr>
          <w:rFonts w:ascii="Times New Roman"/>
          <w:b/>
          <w:bCs/>
        </w:rPr>
        <w:fldChar w:fldCharType="end"/>
      </w:r>
      <w:r>
        <w:rPr>
          <w:rFonts w:ascii="Times New Roman"/>
          <w:b/>
          <w:bCs/>
        </w:rPr>
        <w:fldChar w:fldCharType="end"/>
      </w:r>
    </w:p>
    <w:p w14:paraId="11E3E641">
      <w:pPr>
        <w:pStyle w:val="7"/>
        <w:rPr>
          <w:rFonts w:ascii="Times New Roman"/>
          <w:b/>
          <w:bCs/>
          <w:szCs w:val="22"/>
          <w14:ligatures w14:val="standardContextual"/>
        </w:rPr>
      </w:pPr>
      <w:r>
        <w:fldChar w:fldCharType="begin"/>
      </w:r>
      <w:r>
        <w:instrText xml:space="preserve"> HYPERLINK \l "_Toc172651339" </w:instrText>
      </w:r>
      <w:r>
        <w:fldChar w:fldCharType="separate"/>
      </w:r>
      <w:r>
        <w:rPr>
          <w:rStyle w:val="13"/>
          <w:rFonts w:ascii="Times New Roman"/>
          <w:b/>
          <w:bCs/>
        </w:rPr>
        <w:t>2  规范性引用文件</w:t>
      </w:r>
      <w:r>
        <w:rPr>
          <w:rFonts w:ascii="Times New Roman"/>
          <w:b/>
          <w:bCs/>
        </w:rPr>
        <w:tab/>
      </w:r>
      <w:r>
        <w:rPr>
          <w:rFonts w:ascii="Times New Roman"/>
          <w:b/>
          <w:bCs/>
        </w:rPr>
        <w:fldChar w:fldCharType="begin"/>
      </w:r>
      <w:r>
        <w:rPr>
          <w:rFonts w:ascii="Times New Roman"/>
          <w:b/>
          <w:bCs/>
        </w:rPr>
        <w:instrText xml:space="preserve"> PAGEREF _Toc172651339 \h </w:instrText>
      </w:r>
      <w:r>
        <w:rPr>
          <w:rFonts w:ascii="Times New Roman"/>
          <w:b/>
          <w:bCs/>
        </w:rPr>
        <w:fldChar w:fldCharType="separate"/>
      </w:r>
      <w:r>
        <w:rPr>
          <w:rFonts w:ascii="Times New Roman"/>
          <w:b/>
          <w:bCs/>
        </w:rPr>
        <w:t>1</w:t>
      </w:r>
      <w:r>
        <w:rPr>
          <w:rFonts w:ascii="Times New Roman"/>
          <w:b/>
          <w:bCs/>
        </w:rPr>
        <w:fldChar w:fldCharType="end"/>
      </w:r>
      <w:r>
        <w:rPr>
          <w:rFonts w:ascii="Times New Roman"/>
          <w:b/>
          <w:bCs/>
        </w:rPr>
        <w:fldChar w:fldCharType="end"/>
      </w:r>
    </w:p>
    <w:p w14:paraId="6F05083A">
      <w:pPr>
        <w:pStyle w:val="7"/>
        <w:rPr>
          <w:rFonts w:ascii="Times New Roman"/>
          <w:b/>
          <w:bCs/>
          <w:szCs w:val="22"/>
          <w14:ligatures w14:val="standardContextual"/>
        </w:rPr>
      </w:pPr>
      <w:r>
        <w:fldChar w:fldCharType="begin"/>
      </w:r>
      <w:r>
        <w:instrText xml:space="preserve"> HYPERLINK \l "_Toc172651340" </w:instrText>
      </w:r>
      <w:r>
        <w:fldChar w:fldCharType="separate"/>
      </w:r>
      <w:r>
        <w:rPr>
          <w:rStyle w:val="13"/>
          <w:rFonts w:ascii="Times New Roman"/>
          <w:b/>
          <w:bCs/>
        </w:rPr>
        <w:t>3  术语和定义</w:t>
      </w:r>
      <w:r>
        <w:rPr>
          <w:rFonts w:ascii="Times New Roman"/>
          <w:b/>
          <w:bCs/>
        </w:rPr>
        <w:tab/>
      </w:r>
      <w:r>
        <w:rPr>
          <w:rFonts w:ascii="Times New Roman"/>
          <w:b/>
          <w:bCs/>
        </w:rPr>
        <w:fldChar w:fldCharType="begin"/>
      </w:r>
      <w:r>
        <w:rPr>
          <w:rFonts w:ascii="Times New Roman"/>
          <w:b/>
          <w:bCs/>
        </w:rPr>
        <w:instrText xml:space="preserve"> PAGEREF _Toc172651340 \h </w:instrText>
      </w:r>
      <w:r>
        <w:rPr>
          <w:rFonts w:ascii="Times New Roman"/>
          <w:b/>
          <w:bCs/>
        </w:rPr>
        <w:fldChar w:fldCharType="separate"/>
      </w:r>
      <w:r>
        <w:rPr>
          <w:rFonts w:ascii="Times New Roman"/>
          <w:b/>
          <w:bCs/>
        </w:rPr>
        <w:t>2</w:t>
      </w:r>
      <w:r>
        <w:rPr>
          <w:rFonts w:ascii="Times New Roman"/>
          <w:b/>
          <w:bCs/>
        </w:rPr>
        <w:fldChar w:fldCharType="end"/>
      </w:r>
      <w:r>
        <w:rPr>
          <w:rFonts w:ascii="Times New Roman"/>
          <w:b/>
          <w:bCs/>
        </w:rPr>
        <w:fldChar w:fldCharType="end"/>
      </w:r>
    </w:p>
    <w:p w14:paraId="2F199740">
      <w:pPr>
        <w:pStyle w:val="7"/>
        <w:rPr>
          <w:rFonts w:ascii="Times New Roman"/>
          <w:b/>
          <w:bCs/>
          <w:szCs w:val="22"/>
          <w14:ligatures w14:val="standardContextual"/>
        </w:rPr>
      </w:pPr>
      <w:r>
        <w:fldChar w:fldCharType="begin"/>
      </w:r>
      <w:r>
        <w:instrText xml:space="preserve"> HYPERLINK \l "_Toc172651352" </w:instrText>
      </w:r>
      <w:r>
        <w:fldChar w:fldCharType="separate"/>
      </w:r>
      <w:r>
        <w:rPr>
          <w:rStyle w:val="13"/>
          <w:rFonts w:ascii="Times New Roman"/>
          <w:b/>
          <w:bCs/>
        </w:rPr>
        <w:t>4  大气污染物排放控制要求</w:t>
      </w:r>
      <w:r>
        <w:rPr>
          <w:rFonts w:ascii="Times New Roman"/>
          <w:b/>
          <w:bCs/>
        </w:rPr>
        <w:tab/>
      </w:r>
      <w:r>
        <w:rPr>
          <w:rFonts w:ascii="Times New Roman"/>
          <w:b/>
          <w:bCs/>
        </w:rPr>
        <w:fldChar w:fldCharType="begin"/>
      </w:r>
      <w:r>
        <w:rPr>
          <w:rFonts w:ascii="Times New Roman"/>
          <w:b/>
          <w:bCs/>
        </w:rPr>
        <w:instrText xml:space="preserve"> PAGEREF _Toc172651352 \h </w:instrText>
      </w:r>
      <w:r>
        <w:rPr>
          <w:rFonts w:ascii="Times New Roman"/>
          <w:b/>
          <w:bCs/>
        </w:rPr>
        <w:fldChar w:fldCharType="separate"/>
      </w:r>
      <w:r>
        <w:rPr>
          <w:rFonts w:ascii="Times New Roman"/>
          <w:b/>
          <w:bCs/>
        </w:rPr>
        <w:t>3</w:t>
      </w:r>
      <w:r>
        <w:rPr>
          <w:rFonts w:ascii="Times New Roman"/>
          <w:b/>
          <w:bCs/>
        </w:rPr>
        <w:fldChar w:fldCharType="end"/>
      </w:r>
      <w:r>
        <w:rPr>
          <w:rFonts w:ascii="Times New Roman"/>
          <w:b/>
          <w:bCs/>
        </w:rPr>
        <w:fldChar w:fldCharType="end"/>
      </w:r>
    </w:p>
    <w:p w14:paraId="03CC4799">
      <w:pPr>
        <w:pStyle w:val="7"/>
        <w:rPr>
          <w:rFonts w:ascii="Times New Roman"/>
          <w:b/>
          <w:bCs/>
          <w:szCs w:val="22"/>
          <w14:ligatures w14:val="standardContextual"/>
        </w:rPr>
      </w:pPr>
      <w:r>
        <w:fldChar w:fldCharType="begin"/>
      </w:r>
      <w:r>
        <w:instrText xml:space="preserve"> HYPERLINK \l "_Toc172651355" </w:instrText>
      </w:r>
      <w:r>
        <w:fldChar w:fldCharType="separate"/>
      </w:r>
      <w:r>
        <w:rPr>
          <w:rStyle w:val="13"/>
          <w:rFonts w:ascii="Times New Roman"/>
          <w:b/>
          <w:bCs/>
        </w:rPr>
        <w:t>5  大气污染物监测要求</w:t>
      </w:r>
      <w:r>
        <w:rPr>
          <w:rFonts w:ascii="Times New Roman"/>
          <w:b/>
          <w:bCs/>
        </w:rPr>
        <w:tab/>
      </w:r>
      <w:r>
        <w:rPr>
          <w:rFonts w:ascii="Times New Roman"/>
          <w:b/>
          <w:bCs/>
        </w:rPr>
        <w:fldChar w:fldCharType="begin"/>
      </w:r>
      <w:r>
        <w:rPr>
          <w:rFonts w:ascii="Times New Roman"/>
          <w:b/>
          <w:bCs/>
        </w:rPr>
        <w:instrText xml:space="preserve"> PAGEREF _Toc172651355 \h </w:instrText>
      </w:r>
      <w:r>
        <w:rPr>
          <w:rFonts w:ascii="Times New Roman"/>
          <w:b/>
          <w:bCs/>
        </w:rPr>
        <w:fldChar w:fldCharType="separate"/>
      </w:r>
      <w:r>
        <w:rPr>
          <w:rFonts w:ascii="Times New Roman"/>
          <w:b/>
          <w:bCs/>
        </w:rPr>
        <w:t>4</w:t>
      </w:r>
      <w:r>
        <w:rPr>
          <w:rFonts w:ascii="Times New Roman"/>
          <w:b/>
          <w:bCs/>
        </w:rPr>
        <w:fldChar w:fldCharType="end"/>
      </w:r>
      <w:r>
        <w:rPr>
          <w:rFonts w:ascii="Times New Roman"/>
          <w:b/>
          <w:bCs/>
        </w:rPr>
        <w:fldChar w:fldCharType="end"/>
      </w:r>
    </w:p>
    <w:p w14:paraId="4EE367C9">
      <w:pPr>
        <w:pStyle w:val="7"/>
        <w:rPr>
          <w:rFonts w:ascii="Times New Roman"/>
          <w:b/>
          <w:bCs/>
          <w:szCs w:val="22"/>
          <w14:ligatures w14:val="standardContextual"/>
        </w:rPr>
      </w:pPr>
      <w:r>
        <w:fldChar w:fldCharType="begin"/>
      </w:r>
      <w:r>
        <w:instrText xml:space="preserve"> HYPERLINK \l "_Toc172651357" </w:instrText>
      </w:r>
      <w:r>
        <w:fldChar w:fldCharType="separate"/>
      </w:r>
      <w:r>
        <w:rPr>
          <w:rStyle w:val="13"/>
          <w:rFonts w:ascii="Times New Roman"/>
          <w:b/>
          <w:bCs/>
        </w:rPr>
        <w:t>6  达标判定</w:t>
      </w:r>
      <w:r>
        <w:rPr>
          <w:rFonts w:ascii="Times New Roman"/>
          <w:b/>
          <w:bCs/>
        </w:rPr>
        <w:tab/>
      </w:r>
      <w:r>
        <w:rPr>
          <w:rFonts w:ascii="Times New Roman"/>
          <w:b/>
          <w:bCs/>
        </w:rPr>
        <w:fldChar w:fldCharType="begin"/>
      </w:r>
      <w:r>
        <w:rPr>
          <w:rFonts w:ascii="Times New Roman"/>
          <w:b/>
          <w:bCs/>
        </w:rPr>
        <w:instrText xml:space="preserve"> PAGEREF _Toc172651357 \h </w:instrText>
      </w:r>
      <w:r>
        <w:rPr>
          <w:rFonts w:ascii="Times New Roman"/>
          <w:b/>
          <w:bCs/>
        </w:rPr>
        <w:fldChar w:fldCharType="separate"/>
      </w:r>
      <w:r>
        <w:rPr>
          <w:rFonts w:ascii="Times New Roman"/>
          <w:b/>
          <w:bCs/>
        </w:rPr>
        <w:t>6</w:t>
      </w:r>
      <w:r>
        <w:rPr>
          <w:rFonts w:ascii="Times New Roman"/>
          <w:b/>
          <w:bCs/>
        </w:rPr>
        <w:fldChar w:fldCharType="end"/>
      </w:r>
      <w:r>
        <w:rPr>
          <w:rFonts w:ascii="Times New Roman"/>
          <w:b/>
          <w:bCs/>
        </w:rPr>
        <w:fldChar w:fldCharType="end"/>
      </w:r>
    </w:p>
    <w:p w14:paraId="0511747F">
      <w:pPr>
        <w:pStyle w:val="7"/>
        <w:rPr>
          <w:rFonts w:ascii="Times New Roman"/>
          <w:b/>
          <w:bCs/>
          <w:szCs w:val="22"/>
          <w14:ligatures w14:val="standardContextual"/>
        </w:rPr>
      </w:pPr>
      <w:r>
        <w:fldChar w:fldCharType="begin"/>
      </w:r>
      <w:r>
        <w:instrText xml:space="preserve"> HYPERLINK \l "_Toc172651358" </w:instrText>
      </w:r>
      <w:r>
        <w:fldChar w:fldCharType="separate"/>
      </w:r>
      <w:r>
        <w:rPr>
          <w:rStyle w:val="13"/>
          <w:rFonts w:ascii="Times New Roman"/>
          <w:b/>
          <w:bCs/>
        </w:rPr>
        <w:t>7  标准实施与监督</w:t>
      </w:r>
      <w:r>
        <w:rPr>
          <w:rFonts w:ascii="Times New Roman"/>
          <w:b/>
          <w:bCs/>
        </w:rPr>
        <w:tab/>
      </w:r>
      <w:r>
        <w:rPr>
          <w:rFonts w:ascii="Times New Roman"/>
          <w:b/>
          <w:bCs/>
        </w:rPr>
        <w:fldChar w:fldCharType="begin"/>
      </w:r>
      <w:r>
        <w:rPr>
          <w:rFonts w:ascii="Times New Roman"/>
          <w:b/>
          <w:bCs/>
        </w:rPr>
        <w:instrText xml:space="preserve"> PAGEREF _Toc172651358 \h </w:instrText>
      </w:r>
      <w:r>
        <w:rPr>
          <w:rFonts w:ascii="Times New Roman"/>
          <w:b/>
          <w:bCs/>
        </w:rPr>
        <w:fldChar w:fldCharType="separate"/>
      </w:r>
      <w:r>
        <w:rPr>
          <w:rFonts w:ascii="Times New Roman"/>
          <w:b/>
          <w:bCs/>
        </w:rPr>
        <w:t>6</w:t>
      </w:r>
      <w:r>
        <w:rPr>
          <w:rFonts w:ascii="Times New Roman"/>
          <w:b/>
          <w:bCs/>
        </w:rPr>
        <w:fldChar w:fldCharType="end"/>
      </w:r>
      <w:r>
        <w:rPr>
          <w:rFonts w:ascii="Times New Roman"/>
          <w:b/>
          <w:bCs/>
        </w:rPr>
        <w:fldChar w:fldCharType="end"/>
      </w:r>
    </w:p>
    <w:p w14:paraId="408AC1D0">
      <w:pPr>
        <w:rPr>
          <w:rFonts w:hint="eastAsia"/>
        </w:rPr>
        <w:sectPr>
          <w:footerReference r:id="rId9"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szCs w:val="21"/>
        </w:rPr>
        <w:fldChar w:fldCharType="end"/>
      </w:r>
      <w:bookmarkEnd w:id="3"/>
    </w:p>
    <w:p w14:paraId="15693457">
      <w:pPr>
        <w:pStyle w:val="31"/>
        <w:tabs>
          <w:tab w:val="center" w:pos="4677"/>
          <w:tab w:val="left" w:pos="5805"/>
        </w:tabs>
        <w:overflowPunct w:val="0"/>
        <w:topLinePunct/>
        <w:spacing w:before="567" w:after="680" w:line="0" w:lineRule="atLeast"/>
        <w:rPr>
          <w:rFonts w:ascii="Times New Roman"/>
        </w:rPr>
      </w:pPr>
      <w:bookmarkStart w:id="6" w:name="_Toc72917388"/>
      <w:bookmarkStart w:id="7" w:name="_Toc535861167"/>
      <w:bookmarkStart w:id="8" w:name="_Toc503879134"/>
      <w:bookmarkStart w:id="9" w:name="_Toc172651337"/>
      <w:r>
        <w:rPr>
          <w:rFonts w:ascii="Times New Roman"/>
        </w:rPr>
        <w:t>前  言</w:t>
      </w:r>
      <w:bookmarkEnd w:id="6"/>
      <w:bookmarkEnd w:id="7"/>
      <w:bookmarkEnd w:id="8"/>
      <w:bookmarkEnd w:id="9"/>
    </w:p>
    <w:p w14:paraId="00099BEA">
      <w:pPr>
        <w:pStyle w:val="27"/>
        <w:widowControl w:val="0"/>
        <w:overflowPunct w:val="0"/>
        <w:topLinePunct/>
        <w:autoSpaceDE/>
        <w:autoSpaceDN/>
        <w:snapToGrid w:val="0"/>
        <w:spacing w:line="360" w:lineRule="auto"/>
        <w:rPr>
          <w:rFonts w:ascii="Times New Roman" w:hAnsi="Times New Roman" w:eastAsia="宋体" w:cs="Times New Roman"/>
          <w:szCs w:val="21"/>
        </w:rPr>
      </w:pPr>
      <w:bookmarkStart w:id="10" w:name="_Hlk172501286"/>
      <w:r>
        <w:rPr>
          <w:rFonts w:ascii="Times New Roman" w:hAnsi="Times New Roman" w:eastAsia="宋体" w:cs="Times New Roman"/>
          <w:szCs w:val="21"/>
        </w:rPr>
        <w:t>为贯彻《中华人民共和国环境保护法》、《中华人民共和国大气污染防治法》和《湖北省大气污染防治条例》等法律、法规，加强对生活垃圾焚烧大气污染物的排放控制，持续改善环境质量，结合湖北省实际情况制定本标准。</w:t>
      </w:r>
    </w:p>
    <w:p w14:paraId="0BAF1D3A">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本标准规定了生活垃圾焚烧大气污染物的排放控制要求、监测和监督管理等要求。</w:t>
      </w:r>
    </w:p>
    <w:p w14:paraId="5800FCE8">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按照有关法律规定，本标准具有强制执行的效力。</w:t>
      </w:r>
    </w:p>
    <w:p w14:paraId="38F338AD">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本标准按照GB/T 1.1-2020给出的规则起草。</w:t>
      </w:r>
    </w:p>
    <w:p w14:paraId="65D217CB">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实施后，国务院生态环境主管部门制定的环境监测新标准适用性满足要求的，可用于本标准相应污染物的测定；环境监测新标准及其发布文件明确规定在污染物排放监测中停止执行本标准表2所列大气污染物监测方法的，原方法不再作为本标准的规范性引用文件实施。</w:t>
      </w:r>
    </w:p>
    <w:bookmarkEnd w:id="10"/>
    <w:p w14:paraId="47E7A382">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本标准由湖北省生态环境厅提出并归口。</w:t>
      </w:r>
    </w:p>
    <w:p w14:paraId="1C78871F">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本标准起草单位：湖北省生态环境科学研究院（省生态环境工程评估中心）</w:t>
      </w:r>
      <w:r>
        <w:rPr>
          <w:rFonts w:hint="eastAsia" w:ascii="Times New Roman" w:hAnsi="Times New Roman" w:eastAsia="宋体" w:cs="Times New Roman"/>
          <w:szCs w:val="21"/>
        </w:rPr>
        <w:t>、华中科技大学、湖北省标准化与质量研究院、湖北工业大学。</w:t>
      </w:r>
    </w:p>
    <w:p w14:paraId="56E48262">
      <w:pPr>
        <w:pStyle w:val="27"/>
        <w:widowControl w:val="0"/>
        <w:overflowPunct w:val="0"/>
        <w:topLinePunct/>
        <w:autoSpaceDE/>
        <w:autoSpaceDN/>
        <w:snapToGrid w:val="0"/>
        <w:spacing w:line="360" w:lineRule="auto"/>
        <w:rPr>
          <w:rFonts w:ascii="Times New Roman" w:hAnsi="Times New Roman" w:eastAsia="宋体" w:cs="Times New Roman"/>
          <w:szCs w:val="21"/>
          <w:highlight w:val="yellow"/>
        </w:rPr>
      </w:pPr>
      <w:r>
        <w:rPr>
          <w:rFonts w:ascii="Times New Roman" w:hAnsi="Times New Roman" w:eastAsia="宋体" w:cs="Times New Roman"/>
          <w:szCs w:val="21"/>
        </w:rPr>
        <w:t>本标准主要起草人：丁峰、冯韵恺、</w:t>
      </w:r>
      <w:r>
        <w:rPr>
          <w:rFonts w:hint="eastAsia" w:ascii="Times New Roman" w:hAnsi="Times New Roman" w:eastAsia="宋体" w:cs="Times New Roman"/>
          <w:szCs w:val="21"/>
        </w:rPr>
        <w:t>赵永椿、黄荣、张涛、</w:t>
      </w:r>
      <w:r>
        <w:rPr>
          <w:rFonts w:ascii="Times New Roman" w:hAnsi="Times New Roman" w:eastAsia="宋体" w:cs="Times New Roman"/>
          <w:szCs w:val="21"/>
        </w:rPr>
        <w:t>向晨辉、刘巍、王盼。</w:t>
      </w:r>
    </w:p>
    <w:p w14:paraId="176AC671">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本标准由湖北省人民政府20XX年XX月XX日批准。</w:t>
      </w:r>
      <w:bookmarkStart w:id="11" w:name="StandardName"/>
      <w:bookmarkStart w:id="12" w:name="_Toc474312252"/>
      <w:bookmarkStart w:id="13" w:name="_Toc461957722"/>
    </w:p>
    <w:p w14:paraId="764B928C">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本标准自20XX年XX月XX日实施。</w:t>
      </w:r>
    </w:p>
    <w:p w14:paraId="49DADFBE">
      <w:pPr>
        <w:pStyle w:val="27"/>
        <w:widowControl w:val="0"/>
        <w:overflowPunct w:val="0"/>
        <w:topLinePunct/>
        <w:autoSpaceDE/>
        <w:autoSpaceDN/>
        <w:snapToGrid w:val="0"/>
        <w:spacing w:line="360" w:lineRule="auto"/>
        <w:rPr>
          <w:rFonts w:ascii="Times New Roman" w:hAnsi="Times New Roman" w:eastAsia="宋体" w:cs="Times New Roman"/>
          <w:szCs w:val="21"/>
        </w:rPr>
        <w:sectPr>
          <w:footerReference r:id="rId10" w:type="default"/>
          <w:pgSz w:w="11906" w:h="16838"/>
          <w:pgMar w:top="1440" w:right="1800" w:bottom="1440" w:left="1800" w:header="1418" w:footer="1134" w:gutter="0"/>
          <w:pgNumType w:fmt="upperRoman" w:start="2"/>
          <w:cols w:space="720" w:num="1"/>
          <w:formProt w:val="0"/>
          <w:docGrid w:type="lines" w:linePitch="312" w:charSpace="0"/>
        </w:sectPr>
      </w:pPr>
      <w:r>
        <w:rPr>
          <w:rFonts w:ascii="Times New Roman" w:hAnsi="Times New Roman" w:eastAsia="宋体" w:cs="Times New Roman"/>
          <w:szCs w:val="21"/>
        </w:rPr>
        <w:t>本标准由湖北省生态环境厅负责解释。</w:t>
      </w:r>
    </w:p>
    <w:bookmarkEnd w:id="11"/>
    <w:bookmarkEnd w:id="12"/>
    <w:bookmarkEnd w:id="13"/>
    <w:p w14:paraId="1A02DCFF">
      <w:pPr>
        <w:overflowPunct w:val="0"/>
        <w:topLinePunct/>
        <w:spacing w:before="567" w:after="680" w:line="0" w:lineRule="atLeast"/>
        <w:jc w:val="center"/>
        <w:rPr>
          <w:rFonts w:hint="eastAsia" w:eastAsia="黑体"/>
          <w:sz w:val="32"/>
          <w:szCs w:val="32"/>
        </w:rPr>
      </w:pPr>
      <w:r>
        <w:rPr>
          <w:rFonts w:hint="eastAsia" w:eastAsia="黑体"/>
          <w:sz w:val="32"/>
          <w:szCs w:val="32"/>
        </w:rPr>
        <w:t>生活垃圾焚烧</w:t>
      </w:r>
      <w:r>
        <w:rPr>
          <w:rFonts w:eastAsia="黑体"/>
          <w:sz w:val="32"/>
          <w:szCs w:val="32"/>
        </w:rPr>
        <w:t>大气污染物排放标准</w:t>
      </w:r>
    </w:p>
    <w:p w14:paraId="7AE4DB94">
      <w:pPr>
        <w:pStyle w:val="28"/>
        <w:numPr>
          <w:ilvl w:val="0"/>
          <w:numId w:val="0"/>
        </w:numPr>
        <w:overflowPunct w:val="0"/>
        <w:topLinePunct/>
        <w:spacing w:before="0" w:beforeLines="0"/>
        <w:rPr>
          <w:rFonts w:ascii="Times New Roman"/>
          <w:b/>
          <w:bCs/>
        </w:rPr>
      </w:pPr>
      <w:bookmarkStart w:id="14" w:name="_Toc72917389"/>
      <w:bookmarkStart w:id="15" w:name="_Toc172651338"/>
      <w:bookmarkStart w:id="16" w:name="_Toc535861168"/>
      <w:r>
        <w:rPr>
          <w:rFonts w:hint="eastAsia" w:ascii="Times New Roman"/>
          <w:b/>
          <w:bCs/>
        </w:rPr>
        <w:t>1</w:t>
      </w:r>
      <w:r>
        <w:rPr>
          <w:rFonts w:ascii="Times New Roman"/>
          <w:b/>
          <w:bCs/>
        </w:rPr>
        <w:t xml:space="preserve">  </w:t>
      </w:r>
      <w:r>
        <w:rPr>
          <w:rFonts w:hint="eastAsia" w:ascii="Times New Roman"/>
          <w:b/>
          <w:bCs/>
        </w:rPr>
        <w:t>适用</w:t>
      </w:r>
      <w:r>
        <w:rPr>
          <w:rFonts w:ascii="Times New Roman"/>
          <w:b/>
          <w:bCs/>
        </w:rPr>
        <w:t>范围</w:t>
      </w:r>
      <w:bookmarkEnd w:id="14"/>
      <w:bookmarkEnd w:id="15"/>
      <w:bookmarkEnd w:id="16"/>
    </w:p>
    <w:p w14:paraId="38C8BEC4">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本文件规定了湖北省生活垃圾焚烧厂的大气污染物排放控制要求、监测要求以及标准的实施与监督等内容。</w:t>
      </w:r>
    </w:p>
    <w:p w14:paraId="084B44BE">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本文件适用于湖北省现有生活垃圾焚烧厂的大气污染物排放管理，以及新建、改建、扩建生活垃圾焚烧厂的环境影响评价、环境保护设施设计、环境保护设施验收、排污许可及投产后的大气污染物排放管理。</w:t>
      </w:r>
    </w:p>
    <w:p w14:paraId="4A98D0D7">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本标准不适用于处理量50吨/日及以下的村镇生活垃圾小型热解焚烧装置，相关设施执行GB 18485和有关技术规范的相关规定。</w:t>
      </w:r>
    </w:p>
    <w:p w14:paraId="63909B33">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掺加生活垃圾质量超过入炉（</w:t>
      </w:r>
      <w:r>
        <w:rPr>
          <w:rFonts w:ascii="Times New Roman" w:hAnsi="Times New Roman" w:eastAsia="宋体" w:cs="Times New Roman"/>
          <w:szCs w:val="21"/>
        </w:rPr>
        <w:t>窑）物料总质量30%的协同处置</w:t>
      </w:r>
      <w:r>
        <w:rPr>
          <w:rFonts w:hint="eastAsia" w:ascii="Times New Roman" w:hAnsi="Times New Roman" w:eastAsia="宋体" w:cs="Times New Roman"/>
          <w:szCs w:val="21"/>
        </w:rPr>
        <w:t>工业炉窑</w:t>
      </w:r>
      <w:r>
        <w:rPr>
          <w:rFonts w:ascii="Times New Roman" w:hAnsi="Times New Roman" w:eastAsia="宋体" w:cs="Times New Roman"/>
          <w:szCs w:val="21"/>
        </w:rPr>
        <w:t>的污染控制参照本标准执行</w:t>
      </w:r>
      <w:r>
        <w:rPr>
          <w:rFonts w:hint="eastAsia" w:ascii="Times New Roman" w:hAnsi="Times New Roman" w:eastAsia="宋体" w:cs="Times New Roman"/>
          <w:szCs w:val="21"/>
        </w:rPr>
        <w:t>。</w:t>
      </w:r>
    </w:p>
    <w:p w14:paraId="3D9EDE3A">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生活垃圾焚烧厂的选址要求、工艺要求、入炉废物要求、运行要求等未做规定的内容按照GB 18485和有关技术规范的相关规定执行</w:t>
      </w:r>
      <w:r>
        <w:rPr>
          <w:rFonts w:ascii="Times New Roman" w:hAnsi="Times New Roman" w:eastAsia="宋体" w:cs="Times New Roman"/>
          <w:szCs w:val="21"/>
        </w:rPr>
        <w:t>。</w:t>
      </w:r>
    </w:p>
    <w:p w14:paraId="12C023BA">
      <w:pPr>
        <w:pStyle w:val="28"/>
        <w:numPr>
          <w:ilvl w:val="0"/>
          <w:numId w:val="0"/>
        </w:numPr>
        <w:overflowPunct w:val="0"/>
        <w:topLinePunct/>
        <w:rPr>
          <w:rFonts w:ascii="Times New Roman"/>
          <w:b/>
          <w:bCs/>
        </w:rPr>
      </w:pPr>
      <w:bookmarkStart w:id="17" w:name="_Toc172651339"/>
      <w:bookmarkStart w:id="18" w:name="_Toc72917390"/>
      <w:bookmarkStart w:id="19" w:name="_Toc535861169"/>
      <w:r>
        <w:rPr>
          <w:rFonts w:hint="eastAsia" w:ascii="Times New Roman"/>
          <w:b/>
          <w:bCs/>
        </w:rPr>
        <w:t>2</w:t>
      </w:r>
      <w:r>
        <w:rPr>
          <w:rFonts w:ascii="Times New Roman"/>
          <w:b/>
          <w:bCs/>
        </w:rPr>
        <w:t xml:space="preserve">  规范性引用文件</w:t>
      </w:r>
      <w:bookmarkEnd w:id="17"/>
      <w:bookmarkEnd w:id="18"/>
      <w:bookmarkEnd w:id="19"/>
    </w:p>
    <w:p w14:paraId="70274313">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本标准内容</w:t>
      </w:r>
      <w:r>
        <w:rPr>
          <w:rFonts w:ascii="Times New Roman" w:hAnsi="Times New Roman" w:eastAsia="宋体" w:cs="Times New Roman"/>
          <w:szCs w:val="21"/>
        </w:rPr>
        <w:t>引用了下列文件或其中的条款。凡是</w:t>
      </w:r>
      <w:r>
        <w:rPr>
          <w:rFonts w:hint="eastAsia" w:ascii="Times New Roman" w:hAnsi="Times New Roman" w:eastAsia="宋体" w:cs="Times New Roman"/>
          <w:szCs w:val="21"/>
        </w:rPr>
        <w:t>未注明日期</w:t>
      </w:r>
      <w:r>
        <w:rPr>
          <w:rFonts w:ascii="Times New Roman" w:hAnsi="Times New Roman" w:eastAsia="宋体" w:cs="Times New Roman"/>
          <w:szCs w:val="21"/>
        </w:rPr>
        <w:t>的引用文件，其最新版本（包括所有的修改单）适用于本文件。</w:t>
      </w:r>
    </w:p>
    <w:p w14:paraId="2D452C0F">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GB 14554 恶臭污染物排放标准</w:t>
      </w:r>
    </w:p>
    <w:p w14:paraId="6C8AC311">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GB</w:t>
      </w:r>
      <w:r>
        <w:rPr>
          <w:rFonts w:ascii="Times New Roman" w:hAnsi="Times New Roman" w:eastAsia="宋体" w:cs="Times New Roman"/>
          <w:szCs w:val="21"/>
        </w:rPr>
        <w:t xml:space="preserve"> </w:t>
      </w:r>
      <w:r>
        <w:rPr>
          <w:rFonts w:hint="eastAsia" w:ascii="Times New Roman" w:hAnsi="Times New Roman" w:eastAsia="宋体" w:cs="Times New Roman"/>
          <w:szCs w:val="21"/>
        </w:rPr>
        <w:t>18485 生活垃圾焚烧污染控制标准</w:t>
      </w:r>
    </w:p>
    <w:p w14:paraId="0E65BCC9">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GB 16297 大气污染物综合排放标准</w:t>
      </w:r>
    </w:p>
    <w:p w14:paraId="6717C8F9">
      <w:pPr>
        <w:pStyle w:val="27"/>
        <w:widowControl w:val="0"/>
        <w:overflowPunct w:val="0"/>
        <w:topLinePunct/>
        <w:autoSpaceDE/>
        <w:autoSpaceDN/>
        <w:snapToGrid w:val="0"/>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HJ 212 污染物在线监控（监测）系统数据传输标准</w:t>
      </w:r>
    </w:p>
    <w:p w14:paraId="6F3009F6">
      <w:pPr>
        <w:pStyle w:val="27"/>
        <w:widowControl w:val="0"/>
        <w:overflowPunct w:val="0"/>
        <w:topLinePunct/>
        <w:autoSpaceDE/>
        <w:autoSpaceDN/>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HJ 819 </w:t>
      </w:r>
      <w:r>
        <w:rPr>
          <w:rFonts w:hint="eastAsia" w:ascii="Times New Roman" w:hAnsi="Times New Roman" w:eastAsia="宋体" w:cs="Times New Roman"/>
          <w:color w:val="auto"/>
          <w:szCs w:val="21"/>
        </w:rPr>
        <w:t>排污单位自行监测技术指南总则</w:t>
      </w:r>
    </w:p>
    <w:p w14:paraId="4E3DE950">
      <w:pPr>
        <w:pStyle w:val="27"/>
        <w:widowControl w:val="0"/>
        <w:overflowPunct w:val="0"/>
        <w:topLinePunct/>
        <w:autoSpaceDE/>
        <w:autoSpaceDN/>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HJ 1039 </w:t>
      </w:r>
      <w:r>
        <w:rPr>
          <w:rFonts w:hint="eastAsia" w:ascii="Times New Roman" w:hAnsi="Times New Roman" w:eastAsia="宋体" w:cs="Times New Roman"/>
          <w:color w:val="auto"/>
          <w:szCs w:val="21"/>
        </w:rPr>
        <w:t>排污许可证申请与核发技术规范</w:t>
      </w:r>
      <w:r>
        <w:rPr>
          <w:rFonts w:ascii="Times New Roman" w:hAnsi="Times New Roman" w:eastAsia="宋体" w:cs="Times New Roman"/>
          <w:color w:val="auto"/>
          <w:szCs w:val="21"/>
        </w:rPr>
        <w:t xml:space="preserve"> </w:t>
      </w:r>
      <w:r>
        <w:rPr>
          <w:rFonts w:hint="eastAsia" w:ascii="Times New Roman" w:hAnsi="Times New Roman" w:eastAsia="宋体" w:cs="Times New Roman"/>
          <w:color w:val="auto"/>
          <w:szCs w:val="21"/>
        </w:rPr>
        <w:t>生活垃圾焚烧</w:t>
      </w:r>
    </w:p>
    <w:p w14:paraId="1B86CD1D">
      <w:pPr>
        <w:pStyle w:val="27"/>
        <w:widowControl w:val="0"/>
        <w:overflowPunct w:val="0"/>
        <w:topLinePunct/>
        <w:autoSpaceDE/>
        <w:autoSpaceDN/>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HJ 916</w:t>
      </w:r>
      <w:r>
        <w:rPr>
          <w:rFonts w:hint="eastAsia" w:ascii="Times New Roman" w:hAnsi="Times New Roman" w:eastAsia="宋体" w:cs="Times New Roman"/>
          <w:color w:val="auto"/>
          <w:szCs w:val="21"/>
        </w:rPr>
        <w:t>环境二噁英类监测技术规范</w:t>
      </w:r>
    </w:p>
    <w:p w14:paraId="2CFAECDF">
      <w:pPr>
        <w:pStyle w:val="27"/>
        <w:widowControl w:val="0"/>
        <w:overflowPunct w:val="0"/>
        <w:topLinePunct/>
        <w:autoSpaceDE/>
        <w:autoSpaceDN/>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HJ 75</w:t>
      </w:r>
      <w:r>
        <w:rPr>
          <w:rFonts w:hint="eastAsia" w:ascii="Times New Roman" w:hAnsi="Times New Roman" w:eastAsia="宋体" w:cs="Times New Roman"/>
          <w:color w:val="auto"/>
          <w:szCs w:val="21"/>
        </w:rPr>
        <w:t>固定污染源烟气</w:t>
      </w:r>
      <w:r>
        <w:rPr>
          <w:rFonts w:ascii="Times New Roman" w:hAnsi="Times New Roman" w:eastAsia="宋体" w:cs="Times New Roman"/>
          <w:color w:val="auto"/>
          <w:szCs w:val="21"/>
        </w:rPr>
        <w:t>(SO</w:t>
      </w:r>
      <w:r>
        <w:rPr>
          <w:rFonts w:ascii="Times New Roman" w:hAnsi="Times New Roman" w:eastAsia="宋体" w:cs="Times New Roman"/>
          <w:color w:val="auto"/>
          <w:szCs w:val="21"/>
          <w:vertAlign w:val="subscript"/>
        </w:rPr>
        <w:t>2</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NO</w:t>
      </w:r>
      <w:r>
        <w:rPr>
          <w:rFonts w:ascii="Times New Roman" w:hAnsi="Times New Roman" w:eastAsia="宋体" w:cs="Times New Roman"/>
          <w:color w:val="auto"/>
          <w:szCs w:val="21"/>
          <w:vertAlign w:val="subscript"/>
        </w:rPr>
        <w:t>x</w:t>
      </w:r>
      <w:r>
        <w:rPr>
          <w:rFonts w:hint="eastAsia" w:ascii="Times New Roman" w:hAnsi="Times New Roman" w:eastAsia="宋体" w:cs="Times New Roman"/>
          <w:color w:val="auto"/>
          <w:szCs w:val="21"/>
        </w:rPr>
        <w:t>、颗粒物）排放连续监测技术规范</w:t>
      </w:r>
    </w:p>
    <w:p w14:paraId="315DE295">
      <w:pPr>
        <w:pStyle w:val="27"/>
        <w:widowControl w:val="0"/>
        <w:overflowPunct w:val="0"/>
        <w:topLinePunct/>
        <w:autoSpaceDE/>
        <w:autoSpaceDN/>
        <w:snapToGrid w:val="0"/>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HJ/T 397</w:t>
      </w:r>
      <w:r>
        <w:rPr>
          <w:rFonts w:hint="eastAsia" w:ascii="Times New Roman" w:hAnsi="Times New Roman" w:eastAsia="宋体" w:cs="Times New Roman"/>
          <w:color w:val="auto"/>
          <w:szCs w:val="21"/>
        </w:rPr>
        <w:t>固定源废气监测技术规范</w:t>
      </w:r>
    </w:p>
    <w:p w14:paraId="7041157E">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GB/T 16157 固定污染源排气中颗粒物测定与气态污染物采样方法</w:t>
      </w:r>
    </w:p>
    <w:p w14:paraId="463DA334">
      <w:pPr>
        <w:pStyle w:val="27"/>
        <w:widowControl w:val="0"/>
        <w:overflowPunct w:val="0"/>
        <w:topLinePunct/>
        <w:autoSpaceDE/>
        <w:autoSpaceDN/>
        <w:snapToGrid w:val="0"/>
        <w:spacing w:line="360" w:lineRule="auto"/>
        <w:ind w:firstLine="420"/>
        <w:rPr>
          <w:rFonts w:ascii="Times New Roman" w:hAnsi="Times New Roman" w:eastAsia="宋体" w:cs="Times New Roman"/>
          <w:szCs w:val="21"/>
        </w:rPr>
      </w:pPr>
      <w:r>
        <w:rPr>
          <w:rFonts w:hint="eastAsia" w:ascii="Times New Roman" w:hAnsi="Times New Roman" w:eastAsia="宋体" w:cs="Times New Roman"/>
          <w:sz w:val="21"/>
          <w:szCs w:val="21"/>
        </w:rPr>
        <w:t>HJ/T 56 固定污染源排气中二氧化硫的测定 碘量法</w:t>
      </w:r>
    </w:p>
    <w:p w14:paraId="61602A56">
      <w:pPr>
        <w:pStyle w:val="27"/>
        <w:widowControl w:val="0"/>
        <w:overflowPunct w:val="0"/>
        <w:topLinePunct/>
        <w:autoSpaceDE/>
        <w:autoSpaceDN/>
        <w:snapToGrid w:val="0"/>
        <w:spacing w:line="360" w:lineRule="auto"/>
        <w:ind w:firstLine="420"/>
        <w:rPr>
          <w:rFonts w:ascii="Times New Roman" w:hAnsi="Times New Roman" w:eastAsia="宋体" w:cs="Times New Roman"/>
          <w:szCs w:val="21"/>
        </w:rPr>
      </w:pPr>
      <w:r>
        <w:rPr>
          <w:rFonts w:hint="eastAsia" w:ascii="Times New Roman" w:hAnsi="Times New Roman" w:eastAsia="宋体" w:cs="Times New Roman"/>
          <w:sz w:val="21"/>
          <w:szCs w:val="21"/>
        </w:rPr>
        <w:t>HJ/T 57 固定污染源排气 二氧化硫的测定 定电位电解法</w:t>
      </w:r>
    </w:p>
    <w:p w14:paraId="5439F0C3">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629 固定污染源废气 二氧化硫的测定 非分散红外吸收法</w:t>
      </w:r>
    </w:p>
    <w:p w14:paraId="19A7315B">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HJ/T 42 固定污染源排气中氮氧化物的测定 紫外分光光度法</w:t>
      </w:r>
    </w:p>
    <w:p w14:paraId="39B830F6">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HJ/T 43 固定污染源排气中氮氧化物的测定 盐酸萘乙二胺分光光度法</w:t>
      </w:r>
    </w:p>
    <w:p w14:paraId="1F392E78">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692 固定污染源废气 氮氧化物的测定 非分散红外吸收法</w:t>
      </w:r>
    </w:p>
    <w:p w14:paraId="2DFECE6E">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693 固定污染源废气氮氧化物的测定 定电位电解法</w:t>
      </w:r>
    </w:p>
    <w:p w14:paraId="42E698EF">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HJ/T 27 固定污染源排气中氯化氢的测定 硫氰酸汞分光光度法</w:t>
      </w:r>
    </w:p>
    <w:p w14:paraId="5A5AB288">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548 固定污染源排气 氯化氢的测定 硝酸银容量法</w:t>
      </w:r>
    </w:p>
    <w:p w14:paraId="74FE6557">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549 环境空气和废气 氯化氢的测定 离子色谱法</w:t>
      </w:r>
    </w:p>
    <w:p w14:paraId="4674D416">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HJ/T 44 固定污染源排气中一氧化碳的测定 非色散红外吸收法</w:t>
      </w:r>
    </w:p>
    <w:p w14:paraId="0E4AB5A7">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543 固定污染源废气 汞的测定 冷原子吸收分光光度法</w:t>
      </w:r>
    </w:p>
    <w:p w14:paraId="57585774">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657空气和废气 颗粒物中铅等金属元素的测定 电感耦合等离子体质谱法</w:t>
      </w:r>
    </w:p>
    <w:p w14:paraId="7531C275">
      <w:pPr>
        <w:pStyle w:val="27"/>
        <w:widowControl w:val="0"/>
        <w:overflowPunct w:val="0"/>
        <w:topLinePunct/>
        <w:autoSpaceDE/>
        <w:autoSpaceDN/>
        <w:snapToGrid w:val="0"/>
        <w:spacing w:line="360" w:lineRule="auto"/>
        <w:ind w:firstLine="42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HJ 77.2 环境空气和废气 二噁英类的测定 同位素稀释高分辨气相色谱-高分辨质谱法</w:t>
      </w:r>
    </w:p>
    <w:p w14:paraId="6C2B770A">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 w:val="21"/>
          <w:szCs w:val="21"/>
        </w:rPr>
        <w:t xml:space="preserve">HJ 533 </w:t>
      </w:r>
      <w:r>
        <w:rPr>
          <w:rFonts w:hint="eastAsia" w:ascii="Times New Roman" w:hAnsi="Times New Roman" w:eastAsia="宋体" w:cs="Times New Roman"/>
          <w:szCs w:val="21"/>
        </w:rPr>
        <w:t>环境空气和废气 氨的测定 纳氏试剂分光光度法</w:t>
      </w:r>
    </w:p>
    <w:p w14:paraId="52331A59">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《环境监测管理办法》（总局令第39号）</w:t>
      </w:r>
    </w:p>
    <w:p w14:paraId="3D9A8C67">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《生活垃圾焚烧发电厂自动监测数据应用管理规定》</w:t>
      </w:r>
      <w:r>
        <w:rPr>
          <w:rFonts w:hint="eastAsia" w:ascii="Times New Roman" w:hAnsi="Times New Roman" w:eastAsia="宋体" w:cs="Times New Roman"/>
          <w:szCs w:val="21"/>
        </w:rPr>
        <w:t>（</w:t>
      </w:r>
      <w:r>
        <w:rPr>
          <w:rFonts w:ascii="Times New Roman" w:hAnsi="Times New Roman" w:eastAsia="宋体" w:cs="Times New Roman"/>
          <w:szCs w:val="21"/>
        </w:rPr>
        <w:t>部令</w:t>
      </w:r>
      <w:r>
        <w:rPr>
          <w:rFonts w:hint="eastAsia" w:ascii="Times New Roman" w:hAnsi="Times New Roman" w:eastAsia="宋体" w:cs="Times New Roman"/>
          <w:szCs w:val="21"/>
        </w:rPr>
        <w:t xml:space="preserve"> </w:t>
      </w:r>
      <w:r>
        <w:rPr>
          <w:rFonts w:ascii="Times New Roman" w:hAnsi="Times New Roman" w:eastAsia="宋体" w:cs="Times New Roman"/>
          <w:szCs w:val="21"/>
        </w:rPr>
        <w:t>第10号</w:t>
      </w:r>
      <w:r>
        <w:rPr>
          <w:rFonts w:hint="eastAsia" w:ascii="Times New Roman" w:hAnsi="Times New Roman" w:eastAsia="宋体" w:cs="Times New Roman"/>
          <w:szCs w:val="21"/>
        </w:rPr>
        <w:t>）</w:t>
      </w:r>
    </w:p>
    <w:p w14:paraId="5FECB424">
      <w:pPr>
        <w:pStyle w:val="28"/>
        <w:numPr>
          <w:ilvl w:val="0"/>
          <w:numId w:val="0"/>
        </w:numPr>
        <w:overflowPunct w:val="0"/>
        <w:topLinePunct/>
        <w:rPr>
          <w:rFonts w:ascii="Times New Roman"/>
          <w:b/>
          <w:bCs/>
        </w:rPr>
      </w:pPr>
      <w:bookmarkStart w:id="20" w:name="_Toc72917391"/>
      <w:bookmarkStart w:id="21" w:name="_Toc535861170"/>
      <w:bookmarkStart w:id="22" w:name="_Toc497320506"/>
      <w:bookmarkStart w:id="23" w:name="_Toc491625273"/>
      <w:bookmarkStart w:id="24" w:name="_Toc495411639"/>
      <w:bookmarkStart w:id="25" w:name="_Toc172651340"/>
      <w:bookmarkStart w:id="26" w:name="_Toc491085725"/>
      <w:bookmarkStart w:id="27" w:name="_Toc503879021"/>
      <w:bookmarkStart w:id="28" w:name="_Toc499887145"/>
      <w:bookmarkStart w:id="29" w:name="_Toc23373"/>
      <w:bookmarkStart w:id="30" w:name="_Toc490836519"/>
      <w:bookmarkStart w:id="31" w:name="_Toc503879136"/>
      <w:bookmarkStart w:id="32" w:name="_Toc499886907"/>
      <w:bookmarkStart w:id="33" w:name="_Toc497320461"/>
      <w:bookmarkStart w:id="34" w:name="_Toc499887027"/>
      <w:r>
        <w:rPr>
          <w:rFonts w:hint="eastAsia" w:ascii="Times New Roman"/>
          <w:b/>
          <w:bCs/>
        </w:rPr>
        <w:t>3</w:t>
      </w:r>
      <w:r>
        <w:rPr>
          <w:rFonts w:ascii="Times New Roman"/>
          <w:b/>
          <w:bCs/>
        </w:rPr>
        <w:t xml:space="preserve">  术语和定义</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6C7B3C7">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下列术语和定义适用于本文件。</w:t>
      </w:r>
    </w:p>
    <w:p w14:paraId="0648A5F3">
      <w:pPr>
        <w:pStyle w:val="30"/>
        <w:overflowPunct w:val="0"/>
        <w:topLinePunct/>
        <w:spacing w:before="0" w:beforeLines="0" w:after="0" w:afterLines="0" w:line="360" w:lineRule="auto"/>
        <w:ind w:left="0"/>
        <w:jc w:val="both"/>
        <w:rPr>
          <w:rFonts w:ascii="Times New Roman" w:eastAsia="宋体"/>
          <w:b/>
          <w:bCs/>
        </w:rPr>
      </w:pPr>
      <w:bookmarkStart w:id="35" w:name="_Toc474312256"/>
      <w:bookmarkEnd w:id="35"/>
      <w:bookmarkStart w:id="36" w:name="_Toc503879022"/>
      <w:bookmarkEnd w:id="36"/>
      <w:bookmarkStart w:id="37" w:name="_Toc461957726"/>
      <w:bookmarkEnd w:id="37"/>
      <w:bookmarkStart w:id="38" w:name="_Toc474312138"/>
      <w:bookmarkEnd w:id="38"/>
      <w:bookmarkStart w:id="39" w:name="_Toc535861171"/>
      <w:bookmarkEnd w:id="39"/>
      <w:bookmarkStart w:id="40" w:name="_Toc521500989"/>
      <w:bookmarkEnd w:id="40"/>
      <w:bookmarkStart w:id="41" w:name="_Toc461957727"/>
      <w:bookmarkStart w:id="42" w:name="_Toc474312139"/>
      <w:bookmarkStart w:id="43" w:name="_Toc521500990"/>
      <w:bookmarkStart w:id="44" w:name="_Toc72917450"/>
      <w:bookmarkStart w:id="45" w:name="_Toc535861172"/>
      <w:bookmarkStart w:id="46" w:name="_Toc474312257"/>
      <w:bookmarkStart w:id="47" w:name="_Toc72917392"/>
      <w:bookmarkStart w:id="48" w:name="_Toc172651341"/>
      <w:r>
        <w:rPr>
          <w:rFonts w:hint="eastAsia" w:ascii="Times New Roman"/>
          <w:b/>
          <w:bCs/>
        </w:rPr>
        <w:t xml:space="preserve">3.1 </w:t>
      </w:r>
      <w:r>
        <w:rPr>
          <w:rFonts w:ascii="Times New Roman"/>
          <w:b/>
          <w:bCs/>
        </w:rPr>
        <w:t xml:space="preserve"> </w:t>
      </w:r>
      <w:r>
        <w:rPr>
          <w:rFonts w:hint="eastAsia" w:ascii="Times New Roman"/>
          <w:b/>
          <w:bCs/>
        </w:rPr>
        <w:t>生活垃圾</w:t>
      </w:r>
      <w:bookmarkEnd w:id="41"/>
      <w:bookmarkEnd w:id="42"/>
      <w:bookmarkEnd w:id="43"/>
      <w:bookmarkEnd w:id="44"/>
      <w:bookmarkEnd w:id="45"/>
      <w:bookmarkEnd w:id="46"/>
      <w:bookmarkEnd w:id="47"/>
      <w:r>
        <w:rPr>
          <w:rFonts w:hint="eastAsia" w:ascii="Times New Roman"/>
          <w:b/>
          <w:bCs/>
        </w:rPr>
        <w:t xml:space="preserve"> municipal</w:t>
      </w:r>
      <w:r>
        <w:rPr>
          <w:rFonts w:ascii="Times New Roman"/>
          <w:b/>
          <w:bCs/>
        </w:rPr>
        <w:t xml:space="preserve"> </w:t>
      </w:r>
      <w:r>
        <w:rPr>
          <w:rFonts w:hint="eastAsia" w:ascii="Times New Roman"/>
          <w:b/>
          <w:bCs/>
        </w:rPr>
        <w:t>solid</w:t>
      </w:r>
      <w:r>
        <w:rPr>
          <w:rFonts w:ascii="Times New Roman"/>
          <w:b/>
          <w:bCs/>
        </w:rPr>
        <w:t xml:space="preserve"> </w:t>
      </w:r>
      <w:r>
        <w:rPr>
          <w:rFonts w:hint="eastAsia" w:ascii="Times New Roman"/>
          <w:b/>
          <w:bCs/>
        </w:rPr>
        <w:t>waste</w:t>
      </w:r>
      <w:bookmarkEnd w:id="48"/>
    </w:p>
    <w:p w14:paraId="2C1307C9">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在日常生活中或者为日常生活提供服务的活动中产生的固体废物，以及法律、行政法规规定视为生活垃圾的固体废物</w:t>
      </w:r>
      <w:r>
        <w:rPr>
          <w:rFonts w:ascii="Times New Roman" w:hAnsi="Times New Roman" w:eastAsia="宋体" w:cs="Times New Roman"/>
          <w:szCs w:val="21"/>
        </w:rPr>
        <w:t>。</w:t>
      </w:r>
    </w:p>
    <w:p w14:paraId="711E7FCF">
      <w:pPr>
        <w:pStyle w:val="30"/>
        <w:overflowPunct w:val="0"/>
        <w:topLinePunct/>
        <w:spacing w:before="0" w:beforeLines="0" w:after="0" w:afterLines="0" w:line="360" w:lineRule="auto"/>
        <w:ind w:left="0"/>
        <w:jc w:val="both"/>
        <w:rPr>
          <w:rFonts w:ascii="Times New Roman"/>
          <w:b/>
          <w:bCs/>
        </w:rPr>
      </w:pPr>
      <w:bookmarkStart w:id="49" w:name="_Toc535861173"/>
      <w:bookmarkEnd w:id="49"/>
      <w:bookmarkStart w:id="50" w:name="_Toc521500991"/>
      <w:bookmarkEnd w:id="50"/>
      <w:bookmarkStart w:id="51" w:name="_Toc474312140"/>
      <w:bookmarkEnd w:id="51"/>
      <w:bookmarkStart w:id="52" w:name="_Toc461957728"/>
      <w:bookmarkEnd w:id="52"/>
      <w:bookmarkStart w:id="53" w:name="_Toc474312258"/>
      <w:bookmarkEnd w:id="53"/>
      <w:bookmarkStart w:id="54" w:name="_Toc521500992"/>
      <w:bookmarkStart w:id="55" w:name="_Toc461957729"/>
      <w:bookmarkStart w:id="56" w:name="_Toc72917393"/>
      <w:bookmarkStart w:id="57" w:name="_Toc535861174"/>
      <w:bookmarkStart w:id="58" w:name="_Toc474312141"/>
      <w:bookmarkStart w:id="59" w:name="_Toc474312259"/>
      <w:bookmarkStart w:id="60" w:name="_Toc72917451"/>
      <w:bookmarkStart w:id="61" w:name="_Toc172651342"/>
      <w:r>
        <w:rPr>
          <w:rFonts w:hint="eastAsia" w:ascii="Times New Roman"/>
          <w:b/>
          <w:bCs/>
        </w:rPr>
        <w:t xml:space="preserve">3.2 </w:t>
      </w:r>
      <w:r>
        <w:rPr>
          <w:rFonts w:ascii="Times New Roman"/>
          <w:b/>
          <w:bCs/>
        </w:rPr>
        <w:t xml:space="preserve"> </w:t>
      </w:r>
      <w:r>
        <w:rPr>
          <w:rFonts w:hint="eastAsia" w:ascii="Times New Roman"/>
          <w:b/>
          <w:bCs/>
        </w:rPr>
        <w:t>焚烧炉</w:t>
      </w:r>
      <w:bookmarkEnd w:id="54"/>
      <w:bookmarkEnd w:id="55"/>
      <w:bookmarkEnd w:id="56"/>
      <w:bookmarkEnd w:id="57"/>
      <w:bookmarkEnd w:id="58"/>
      <w:bookmarkEnd w:id="59"/>
      <w:bookmarkEnd w:id="60"/>
      <w:r>
        <w:rPr>
          <w:rFonts w:hint="eastAsia" w:ascii="Times New Roman"/>
          <w:b/>
          <w:bCs/>
        </w:rPr>
        <w:t xml:space="preserve"> incinerator</w:t>
      </w:r>
      <w:bookmarkEnd w:id="61"/>
    </w:p>
    <w:p w14:paraId="3A1A2794">
      <w:pPr>
        <w:pStyle w:val="27"/>
        <w:widowControl w:val="0"/>
        <w:overflowPunct w:val="0"/>
        <w:topLinePunct/>
        <w:autoSpaceDE/>
        <w:autoSpaceDN/>
        <w:snapToGrid w:val="0"/>
        <w:spacing w:line="360" w:lineRule="auto"/>
        <w:rPr>
          <w:rFonts w:ascii="Times New Roman" w:hAnsi="Times New Roman" w:eastAsia="宋体" w:cs="Times New Roman"/>
          <w:szCs w:val="21"/>
        </w:rPr>
      </w:pPr>
      <w:bookmarkStart w:id="62" w:name="_Toc474312260"/>
      <w:bookmarkEnd w:id="62"/>
      <w:bookmarkStart w:id="63" w:name="_Toc474312142"/>
      <w:bookmarkEnd w:id="63"/>
      <w:bookmarkStart w:id="64" w:name="_Toc461957730"/>
      <w:bookmarkEnd w:id="64"/>
      <w:bookmarkStart w:id="65" w:name="_Toc535861175"/>
      <w:bookmarkEnd w:id="65"/>
      <w:bookmarkStart w:id="66" w:name="_Toc521500993"/>
      <w:bookmarkEnd w:id="66"/>
      <w:bookmarkStart w:id="67" w:name="_Toc72917394"/>
      <w:bookmarkStart w:id="68" w:name="_Toc535861176"/>
      <w:bookmarkStart w:id="69" w:name="_Toc474312261"/>
      <w:bookmarkStart w:id="70" w:name="_Toc72917452"/>
      <w:bookmarkStart w:id="71" w:name="_Toc521500994"/>
      <w:bookmarkStart w:id="72" w:name="_Toc461957731"/>
      <w:bookmarkStart w:id="73" w:name="_Toc474312143"/>
      <w:r>
        <w:rPr>
          <w:rFonts w:hint="eastAsia" w:ascii="Times New Roman" w:hAnsi="Times New Roman" w:eastAsia="宋体" w:cs="Times New Roman"/>
          <w:szCs w:val="21"/>
        </w:rPr>
        <w:t>指利用高温氧化作用处理生活垃圾的装置。</w:t>
      </w:r>
    </w:p>
    <w:p w14:paraId="186D2A84">
      <w:pPr>
        <w:pStyle w:val="30"/>
        <w:overflowPunct w:val="0"/>
        <w:topLinePunct/>
        <w:spacing w:before="0" w:beforeLines="0" w:after="0" w:afterLines="0" w:line="360" w:lineRule="auto"/>
        <w:ind w:left="0"/>
        <w:jc w:val="both"/>
        <w:rPr>
          <w:rFonts w:ascii="Times New Roman"/>
          <w:b/>
          <w:bCs/>
        </w:rPr>
      </w:pPr>
      <w:bookmarkStart w:id="74" w:name="_Toc172651343"/>
      <w:r>
        <w:rPr>
          <w:rFonts w:hint="eastAsia" w:ascii="Times New Roman"/>
          <w:b/>
          <w:bCs/>
        </w:rPr>
        <w:t xml:space="preserve">3.3 </w:t>
      </w:r>
      <w:bookmarkStart w:id="75" w:name="_Hlk150134656"/>
      <w:r>
        <w:rPr>
          <w:rFonts w:ascii="Times New Roman"/>
          <w:b/>
          <w:bCs/>
        </w:rPr>
        <w:t xml:space="preserve"> </w:t>
      </w:r>
      <w:r>
        <w:rPr>
          <w:rFonts w:hint="eastAsia" w:ascii="Times New Roman"/>
          <w:b/>
          <w:bCs/>
        </w:rPr>
        <w:t>二噁英</w:t>
      </w:r>
      <w:bookmarkEnd w:id="75"/>
      <w:r>
        <w:rPr>
          <w:rFonts w:hint="eastAsia" w:ascii="Times New Roman"/>
          <w:b/>
          <w:bCs/>
        </w:rPr>
        <w:t>类</w:t>
      </w:r>
      <w:bookmarkEnd w:id="67"/>
      <w:bookmarkEnd w:id="68"/>
      <w:bookmarkEnd w:id="69"/>
      <w:bookmarkEnd w:id="70"/>
      <w:bookmarkEnd w:id="71"/>
      <w:bookmarkEnd w:id="72"/>
      <w:bookmarkEnd w:id="73"/>
      <w:r>
        <w:rPr>
          <w:rFonts w:hint="eastAsia" w:ascii="Times New Roman"/>
          <w:b/>
          <w:bCs/>
        </w:rPr>
        <w:t xml:space="preserve"> dioxins</w:t>
      </w:r>
      <w:bookmarkEnd w:id="74"/>
    </w:p>
    <w:p w14:paraId="2F04C3F3">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指多氯代二苯并-对</w:t>
      </w:r>
      <w:r>
        <w:rPr>
          <w:rFonts w:ascii="Times New Roman" w:hAnsi="Times New Roman" w:eastAsia="宋体" w:cs="Times New Roman"/>
          <w:szCs w:val="21"/>
        </w:rPr>
        <w:t>-</w:t>
      </w:r>
      <w:r>
        <w:rPr>
          <w:rFonts w:hint="eastAsia" w:ascii="Times New Roman" w:hAnsi="Times New Roman" w:eastAsia="宋体" w:cs="Times New Roman"/>
          <w:szCs w:val="21"/>
        </w:rPr>
        <w:t>二噁英（P</w:t>
      </w:r>
      <w:r>
        <w:rPr>
          <w:rFonts w:ascii="Times New Roman" w:hAnsi="Times New Roman" w:eastAsia="宋体" w:cs="Times New Roman"/>
          <w:szCs w:val="21"/>
        </w:rPr>
        <w:t>CDD</w:t>
      </w:r>
      <w:r>
        <w:rPr>
          <w:rFonts w:hint="eastAsia" w:ascii="Times New Roman" w:hAnsi="Times New Roman" w:eastAsia="宋体" w:cs="Times New Roman"/>
          <w:szCs w:val="21"/>
        </w:rPr>
        <w:t>s）和氯代二苯并呋喃（P</w:t>
      </w:r>
      <w:r>
        <w:rPr>
          <w:rFonts w:ascii="Times New Roman" w:hAnsi="Times New Roman" w:eastAsia="宋体" w:cs="Times New Roman"/>
          <w:szCs w:val="21"/>
        </w:rPr>
        <w:t>CDF</w:t>
      </w:r>
      <w:r>
        <w:rPr>
          <w:rFonts w:hint="eastAsia" w:ascii="Times New Roman" w:hAnsi="Times New Roman" w:eastAsia="宋体" w:cs="Times New Roman"/>
          <w:szCs w:val="21"/>
        </w:rPr>
        <w:t>s）的总称</w:t>
      </w:r>
    </w:p>
    <w:p w14:paraId="64DE0B61">
      <w:pPr>
        <w:pStyle w:val="30"/>
        <w:overflowPunct w:val="0"/>
        <w:topLinePunct/>
        <w:spacing w:before="0" w:beforeLines="0" w:after="0" w:afterLines="0" w:line="360" w:lineRule="auto"/>
        <w:ind w:left="0"/>
        <w:jc w:val="both"/>
        <w:rPr>
          <w:rFonts w:ascii="Times New Roman"/>
          <w:b/>
          <w:bCs/>
        </w:rPr>
      </w:pPr>
      <w:bookmarkStart w:id="76" w:name="_Toc172651344"/>
      <w:r>
        <w:rPr>
          <w:rFonts w:hint="eastAsia" w:ascii="Times New Roman"/>
          <w:b/>
          <w:bCs/>
        </w:rPr>
        <w:t xml:space="preserve">3.4 </w:t>
      </w:r>
      <w:r>
        <w:rPr>
          <w:rFonts w:ascii="Times New Roman"/>
          <w:b/>
          <w:bCs/>
        </w:rPr>
        <w:t xml:space="preserve"> </w:t>
      </w:r>
      <w:r>
        <w:rPr>
          <w:rFonts w:hint="eastAsia" w:ascii="Times New Roman"/>
          <w:b/>
          <w:bCs/>
        </w:rPr>
        <w:t>现有生活垃圾焚烧炉 existing</w:t>
      </w:r>
      <w:r>
        <w:rPr>
          <w:rFonts w:ascii="Times New Roman"/>
          <w:b/>
          <w:bCs/>
        </w:rPr>
        <w:t xml:space="preserve"> </w:t>
      </w:r>
      <w:r>
        <w:rPr>
          <w:rFonts w:hint="eastAsia" w:ascii="Times New Roman"/>
          <w:b/>
          <w:bCs/>
        </w:rPr>
        <w:t>municipal</w:t>
      </w:r>
      <w:r>
        <w:rPr>
          <w:rFonts w:ascii="Times New Roman"/>
          <w:b/>
          <w:bCs/>
        </w:rPr>
        <w:t xml:space="preserve"> </w:t>
      </w:r>
      <w:r>
        <w:rPr>
          <w:rFonts w:hint="eastAsia" w:ascii="Times New Roman"/>
          <w:b/>
          <w:bCs/>
        </w:rPr>
        <w:t>solid</w:t>
      </w:r>
      <w:r>
        <w:rPr>
          <w:rFonts w:ascii="Times New Roman"/>
          <w:b/>
          <w:bCs/>
        </w:rPr>
        <w:t xml:space="preserve"> </w:t>
      </w:r>
      <w:r>
        <w:rPr>
          <w:rFonts w:hint="eastAsia" w:ascii="Times New Roman"/>
          <w:b/>
          <w:bCs/>
        </w:rPr>
        <w:t>waster</w:t>
      </w:r>
      <w:r>
        <w:rPr>
          <w:rFonts w:ascii="Times New Roman"/>
          <w:b/>
          <w:bCs/>
        </w:rPr>
        <w:t xml:space="preserve"> </w:t>
      </w:r>
      <w:r>
        <w:rPr>
          <w:rFonts w:hint="eastAsia" w:ascii="Times New Roman"/>
          <w:b/>
          <w:bCs/>
        </w:rPr>
        <w:t>incinerator</w:t>
      </w:r>
      <w:bookmarkEnd w:id="76"/>
    </w:p>
    <w:p w14:paraId="35677ABB">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指本标准实施之日前，已建成投产或环境影响评价文件已通过审批、审核和备案的生活垃圾焚烧炉</w:t>
      </w:r>
      <w:r>
        <w:rPr>
          <w:rFonts w:ascii="Times New Roman" w:hAnsi="Times New Roman" w:eastAsia="宋体" w:cs="Times New Roman"/>
          <w:szCs w:val="21"/>
        </w:rPr>
        <w:t>。</w:t>
      </w:r>
    </w:p>
    <w:p w14:paraId="5DDC2063">
      <w:pPr>
        <w:pStyle w:val="30"/>
        <w:overflowPunct w:val="0"/>
        <w:topLinePunct/>
        <w:spacing w:before="0" w:beforeLines="0" w:after="0" w:afterLines="0" w:line="360" w:lineRule="auto"/>
        <w:ind w:left="0"/>
        <w:jc w:val="both"/>
        <w:rPr>
          <w:rFonts w:ascii="Times New Roman"/>
          <w:b/>
          <w:bCs/>
        </w:rPr>
      </w:pPr>
      <w:bookmarkStart w:id="77" w:name="_Toc172651345"/>
      <w:r>
        <w:rPr>
          <w:rFonts w:ascii="Times New Roman"/>
          <w:b/>
          <w:bCs/>
        </w:rPr>
        <w:t xml:space="preserve">3.5  </w:t>
      </w:r>
      <w:r>
        <w:rPr>
          <w:rFonts w:hint="eastAsia" w:ascii="Times New Roman"/>
          <w:b/>
          <w:bCs/>
        </w:rPr>
        <w:t>新建生活垃圾焚烧炉 new</w:t>
      </w:r>
      <w:r>
        <w:rPr>
          <w:rFonts w:ascii="Times New Roman"/>
          <w:b/>
          <w:bCs/>
        </w:rPr>
        <w:t xml:space="preserve"> </w:t>
      </w:r>
      <w:r>
        <w:rPr>
          <w:rFonts w:hint="eastAsia" w:ascii="Times New Roman"/>
          <w:b/>
          <w:bCs/>
        </w:rPr>
        <w:t>municipal</w:t>
      </w:r>
      <w:r>
        <w:rPr>
          <w:rFonts w:ascii="Times New Roman"/>
          <w:b/>
          <w:bCs/>
        </w:rPr>
        <w:t xml:space="preserve"> </w:t>
      </w:r>
      <w:r>
        <w:rPr>
          <w:rFonts w:hint="eastAsia" w:ascii="Times New Roman"/>
          <w:b/>
          <w:bCs/>
        </w:rPr>
        <w:t>solid</w:t>
      </w:r>
      <w:r>
        <w:rPr>
          <w:rFonts w:ascii="Times New Roman"/>
          <w:b/>
          <w:bCs/>
        </w:rPr>
        <w:t xml:space="preserve"> </w:t>
      </w:r>
      <w:r>
        <w:rPr>
          <w:rFonts w:hint="eastAsia" w:ascii="Times New Roman"/>
          <w:b/>
          <w:bCs/>
        </w:rPr>
        <w:t>waster</w:t>
      </w:r>
      <w:r>
        <w:rPr>
          <w:rFonts w:ascii="Times New Roman"/>
          <w:b/>
          <w:bCs/>
        </w:rPr>
        <w:t xml:space="preserve"> </w:t>
      </w:r>
      <w:r>
        <w:rPr>
          <w:rFonts w:hint="eastAsia" w:ascii="Times New Roman"/>
          <w:b/>
          <w:bCs/>
        </w:rPr>
        <w:t>incinerator</w:t>
      </w:r>
      <w:bookmarkEnd w:id="77"/>
    </w:p>
    <w:p w14:paraId="60D3689A">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指本标准实施之日前，环境影响评价文件通过审批、审核或者备案的新建、改建、扩建生活垃圾焚烧炉</w:t>
      </w:r>
      <w:r>
        <w:rPr>
          <w:rFonts w:ascii="Times New Roman" w:hAnsi="Times New Roman" w:eastAsia="宋体" w:cs="Times New Roman"/>
          <w:szCs w:val="21"/>
        </w:rPr>
        <w:t>。</w:t>
      </w:r>
    </w:p>
    <w:p w14:paraId="2960D8B4">
      <w:pPr>
        <w:pStyle w:val="30"/>
        <w:overflowPunct w:val="0"/>
        <w:topLinePunct/>
        <w:spacing w:before="0" w:beforeLines="0" w:after="0" w:afterLines="0" w:line="360" w:lineRule="auto"/>
        <w:ind w:left="0"/>
        <w:jc w:val="both"/>
        <w:rPr>
          <w:rFonts w:ascii="Times New Roman"/>
          <w:b/>
          <w:bCs/>
        </w:rPr>
      </w:pPr>
      <w:bookmarkStart w:id="78" w:name="_Toc172651346"/>
      <w:r>
        <w:rPr>
          <w:rFonts w:hint="eastAsia" w:ascii="Times New Roman"/>
          <w:b/>
          <w:bCs/>
        </w:rPr>
        <w:t>3.6</w:t>
      </w:r>
      <w:r>
        <w:rPr>
          <w:rFonts w:ascii="Times New Roman"/>
          <w:b/>
          <w:bCs/>
        </w:rPr>
        <w:t xml:space="preserve">  </w:t>
      </w:r>
      <w:r>
        <w:rPr>
          <w:rFonts w:hint="eastAsia" w:ascii="Times New Roman"/>
          <w:b/>
          <w:bCs/>
        </w:rPr>
        <w:t>标准状态 standard</w:t>
      </w:r>
      <w:r>
        <w:rPr>
          <w:rFonts w:ascii="Times New Roman"/>
          <w:b/>
          <w:bCs/>
        </w:rPr>
        <w:t xml:space="preserve"> </w:t>
      </w:r>
      <w:r>
        <w:rPr>
          <w:rFonts w:hint="eastAsia" w:ascii="Times New Roman"/>
          <w:b/>
          <w:bCs/>
        </w:rPr>
        <w:t>conditions</w:t>
      </w:r>
      <w:bookmarkEnd w:id="78"/>
    </w:p>
    <w:p w14:paraId="0366356E">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指温度在273.15</w:t>
      </w:r>
      <w:r>
        <w:rPr>
          <w:rFonts w:ascii="Times New Roman" w:hAnsi="Times New Roman" w:eastAsia="宋体" w:cs="Times New Roman"/>
          <w:szCs w:val="21"/>
        </w:rPr>
        <w:t xml:space="preserve"> </w:t>
      </w:r>
      <w:r>
        <w:rPr>
          <w:rFonts w:hint="eastAsia" w:ascii="Times New Roman" w:hAnsi="Times New Roman" w:eastAsia="宋体" w:cs="Times New Roman"/>
          <w:szCs w:val="21"/>
        </w:rPr>
        <w:t>K，压力在101.325 Pa时的状态，简称“标态”。本标准规定的大气污染物排放浓度均指标准状态下干烟气中的数值。</w:t>
      </w:r>
    </w:p>
    <w:p w14:paraId="031C6DBE">
      <w:pPr>
        <w:pStyle w:val="30"/>
        <w:overflowPunct w:val="0"/>
        <w:topLinePunct/>
        <w:spacing w:before="0" w:beforeLines="0" w:after="0" w:afterLines="0" w:line="360" w:lineRule="auto"/>
        <w:ind w:left="0"/>
        <w:jc w:val="both"/>
        <w:rPr>
          <w:rFonts w:ascii="Times New Roman"/>
          <w:b/>
          <w:bCs/>
        </w:rPr>
      </w:pPr>
      <w:bookmarkStart w:id="79" w:name="_Toc521500995"/>
      <w:bookmarkEnd w:id="79"/>
      <w:bookmarkStart w:id="80" w:name="_Toc474312262"/>
      <w:bookmarkEnd w:id="80"/>
      <w:bookmarkStart w:id="81" w:name="_Toc535861177"/>
      <w:bookmarkEnd w:id="81"/>
      <w:bookmarkStart w:id="82" w:name="_Toc474312144"/>
      <w:bookmarkEnd w:id="82"/>
      <w:bookmarkStart w:id="83" w:name="_Toc461957732"/>
      <w:bookmarkEnd w:id="83"/>
      <w:bookmarkStart w:id="84" w:name="_Toc72917396"/>
      <w:bookmarkStart w:id="85" w:name="_Toc72917454"/>
      <w:bookmarkStart w:id="86" w:name="_Toc172651347"/>
      <w:r>
        <w:rPr>
          <w:rFonts w:hint="eastAsia" w:ascii="Times New Roman"/>
          <w:b/>
          <w:bCs/>
        </w:rPr>
        <w:t>3.</w:t>
      </w:r>
      <w:r>
        <w:rPr>
          <w:rFonts w:ascii="Times New Roman"/>
          <w:b/>
          <w:bCs/>
        </w:rPr>
        <w:t xml:space="preserve">7 </w:t>
      </w:r>
      <w:bookmarkEnd w:id="84"/>
      <w:bookmarkEnd w:id="85"/>
      <w:r>
        <w:rPr>
          <w:rFonts w:ascii="Times New Roman"/>
          <w:b/>
          <w:bCs/>
        </w:rPr>
        <w:t xml:space="preserve"> </w:t>
      </w:r>
      <w:r>
        <w:rPr>
          <w:rFonts w:hint="eastAsia" w:ascii="Times New Roman"/>
          <w:b/>
          <w:bCs/>
        </w:rPr>
        <w:t>测定均值</w:t>
      </w:r>
      <w:bookmarkEnd w:id="86"/>
      <w:r>
        <w:rPr>
          <w:rFonts w:hint="eastAsia" w:ascii="Times New Roman"/>
          <w:b/>
          <w:bCs/>
        </w:rPr>
        <w:t xml:space="preserve"> average</w:t>
      </w:r>
      <w:r>
        <w:rPr>
          <w:rFonts w:ascii="Times New Roman"/>
          <w:b/>
          <w:bCs/>
        </w:rPr>
        <w:t xml:space="preserve"> </w:t>
      </w:r>
      <w:r>
        <w:rPr>
          <w:rFonts w:hint="eastAsia" w:ascii="Times New Roman"/>
          <w:b/>
          <w:bCs/>
        </w:rPr>
        <w:t>value</w:t>
      </w:r>
    </w:p>
    <w:p w14:paraId="74AACF03">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在一定时间内采集的一定数量样品中污染物浓度测试值的算术平均值。对于二噁英类的监测，应在6-12个小时内完成不少于3个样品的采集；对于重金属类污染物的监测，应在0.5-8个小时内完成不少于3个样品的采集。</w:t>
      </w:r>
    </w:p>
    <w:p w14:paraId="57D4A0C0">
      <w:pPr>
        <w:pStyle w:val="30"/>
        <w:overflowPunct w:val="0"/>
        <w:topLinePunct/>
        <w:spacing w:before="0" w:beforeLines="0" w:after="0" w:afterLines="0" w:line="360" w:lineRule="auto"/>
        <w:ind w:left="0"/>
        <w:jc w:val="both"/>
        <w:rPr>
          <w:rFonts w:ascii="Times New Roman"/>
          <w:b/>
          <w:bCs/>
        </w:rPr>
      </w:pPr>
      <w:bookmarkStart w:id="87" w:name="_Toc72917455"/>
      <w:bookmarkStart w:id="88" w:name="_Toc72917397"/>
      <w:bookmarkStart w:id="89" w:name="_Toc172651348"/>
      <w:r>
        <w:rPr>
          <w:rFonts w:hint="eastAsia" w:ascii="Times New Roman"/>
          <w:b/>
          <w:bCs/>
        </w:rPr>
        <w:t>3.</w:t>
      </w:r>
      <w:r>
        <w:rPr>
          <w:rFonts w:ascii="Times New Roman"/>
          <w:b/>
          <w:bCs/>
        </w:rPr>
        <w:t>8</w:t>
      </w:r>
      <w:r>
        <w:rPr>
          <w:rFonts w:hint="eastAsia" w:ascii="Times New Roman"/>
          <w:b/>
          <w:bCs/>
        </w:rPr>
        <w:t xml:space="preserve"> </w:t>
      </w:r>
      <w:bookmarkEnd w:id="87"/>
      <w:bookmarkEnd w:id="88"/>
      <w:r>
        <w:rPr>
          <w:rFonts w:ascii="Times New Roman"/>
          <w:b/>
          <w:bCs/>
        </w:rPr>
        <w:t xml:space="preserve"> </w:t>
      </w:r>
      <w:r>
        <w:rPr>
          <w:rFonts w:hint="eastAsia" w:ascii="Times New Roman"/>
          <w:b/>
          <w:bCs/>
        </w:rPr>
        <w:t>1小时均值</w:t>
      </w:r>
      <w:bookmarkEnd w:id="89"/>
      <w:r>
        <w:rPr>
          <w:rFonts w:hint="eastAsia" w:ascii="Times New Roman"/>
          <w:b/>
          <w:bCs/>
        </w:rPr>
        <w:t xml:space="preserve"> </w:t>
      </w:r>
      <w:r>
        <w:rPr>
          <w:rFonts w:ascii="Times New Roman"/>
          <w:b/>
          <w:bCs/>
        </w:rPr>
        <w:t>1-</w:t>
      </w:r>
      <w:r>
        <w:rPr>
          <w:rFonts w:hint="eastAsia" w:ascii="Times New Roman"/>
          <w:b/>
          <w:bCs/>
        </w:rPr>
        <w:t>hour</w:t>
      </w:r>
      <w:r>
        <w:rPr>
          <w:rFonts w:ascii="Times New Roman"/>
          <w:b/>
          <w:bCs/>
        </w:rPr>
        <w:t xml:space="preserve"> </w:t>
      </w:r>
      <w:r>
        <w:rPr>
          <w:rFonts w:hint="eastAsia" w:ascii="Times New Roman"/>
          <w:b/>
          <w:bCs/>
        </w:rPr>
        <w:t>average</w:t>
      </w:r>
      <w:r>
        <w:rPr>
          <w:rFonts w:ascii="Times New Roman"/>
          <w:b/>
          <w:bCs/>
        </w:rPr>
        <w:t xml:space="preserve"> </w:t>
      </w:r>
      <w:r>
        <w:rPr>
          <w:rFonts w:hint="eastAsia" w:ascii="Times New Roman"/>
          <w:b/>
          <w:bCs/>
        </w:rPr>
        <w:t>value</w:t>
      </w:r>
    </w:p>
    <w:p w14:paraId="1327BD7E">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指任何1小时污染物浓度的算术平均值；或在1小时内，以等时间间隔采集4个样品测试值的算术平均值。</w:t>
      </w:r>
    </w:p>
    <w:p w14:paraId="769D5925">
      <w:pPr>
        <w:pStyle w:val="30"/>
        <w:overflowPunct w:val="0"/>
        <w:topLinePunct/>
        <w:spacing w:before="0" w:beforeLines="0" w:after="0" w:afterLines="0" w:line="360" w:lineRule="auto"/>
        <w:ind w:left="0"/>
        <w:jc w:val="both"/>
        <w:rPr>
          <w:rFonts w:ascii="Times New Roman"/>
          <w:b/>
          <w:bCs/>
        </w:rPr>
      </w:pPr>
      <w:bookmarkStart w:id="90" w:name="_Toc72917456"/>
      <w:bookmarkStart w:id="91" w:name="_Toc72917398"/>
      <w:bookmarkStart w:id="92" w:name="_Toc172651349"/>
      <w:r>
        <w:rPr>
          <w:rFonts w:hint="eastAsia" w:ascii="Times New Roman"/>
          <w:b/>
          <w:bCs/>
        </w:rPr>
        <w:t>3.</w:t>
      </w:r>
      <w:r>
        <w:rPr>
          <w:rFonts w:ascii="Times New Roman"/>
          <w:b/>
          <w:bCs/>
        </w:rPr>
        <w:t>9</w:t>
      </w:r>
      <w:r>
        <w:rPr>
          <w:rFonts w:hint="eastAsia" w:ascii="Times New Roman"/>
          <w:b/>
          <w:bCs/>
        </w:rPr>
        <w:t xml:space="preserve"> </w:t>
      </w:r>
      <w:bookmarkEnd w:id="90"/>
      <w:bookmarkEnd w:id="91"/>
      <w:r>
        <w:rPr>
          <w:rFonts w:ascii="Times New Roman"/>
          <w:b/>
          <w:bCs/>
        </w:rPr>
        <w:t xml:space="preserve"> </w:t>
      </w:r>
      <w:r>
        <w:rPr>
          <w:rFonts w:hint="eastAsia" w:ascii="Times New Roman"/>
          <w:b/>
          <w:bCs/>
        </w:rPr>
        <w:t>2</w:t>
      </w:r>
      <w:r>
        <w:rPr>
          <w:rFonts w:ascii="Times New Roman"/>
          <w:b/>
          <w:bCs/>
        </w:rPr>
        <w:t>4</w:t>
      </w:r>
      <w:r>
        <w:rPr>
          <w:rFonts w:hint="eastAsia" w:ascii="Times New Roman"/>
          <w:b/>
          <w:bCs/>
        </w:rPr>
        <w:t>小时均值</w:t>
      </w:r>
      <w:bookmarkEnd w:id="92"/>
      <w:r>
        <w:rPr>
          <w:rFonts w:hint="eastAsia" w:ascii="Times New Roman"/>
          <w:b/>
          <w:bCs/>
        </w:rPr>
        <w:t xml:space="preserve"> </w:t>
      </w:r>
      <w:r>
        <w:rPr>
          <w:rFonts w:ascii="Times New Roman"/>
          <w:b/>
          <w:bCs/>
        </w:rPr>
        <w:t>24-</w:t>
      </w:r>
      <w:r>
        <w:rPr>
          <w:rFonts w:hint="eastAsia" w:ascii="Times New Roman"/>
          <w:b/>
          <w:bCs/>
        </w:rPr>
        <w:t>hour</w:t>
      </w:r>
      <w:r>
        <w:rPr>
          <w:rFonts w:ascii="Times New Roman"/>
          <w:b/>
          <w:bCs/>
        </w:rPr>
        <w:t xml:space="preserve"> </w:t>
      </w:r>
      <w:r>
        <w:rPr>
          <w:rFonts w:hint="eastAsia" w:ascii="Times New Roman"/>
          <w:b/>
          <w:bCs/>
        </w:rPr>
        <w:t>average</w:t>
      </w:r>
      <w:r>
        <w:rPr>
          <w:rFonts w:ascii="Times New Roman"/>
          <w:b/>
          <w:bCs/>
        </w:rPr>
        <w:t xml:space="preserve"> </w:t>
      </w:r>
      <w:r>
        <w:rPr>
          <w:rFonts w:hint="eastAsia" w:ascii="Times New Roman"/>
          <w:b/>
          <w:bCs/>
        </w:rPr>
        <w:t>value</w:t>
      </w:r>
    </w:p>
    <w:p w14:paraId="0D71E07F">
      <w:pPr>
        <w:pStyle w:val="27"/>
        <w:widowControl w:val="0"/>
        <w:overflowPunct w:val="0"/>
        <w:topLinePunct/>
        <w:autoSpaceDE/>
        <w:autoSpaceDN/>
        <w:snapToGrid w:val="0"/>
        <w:spacing w:line="360" w:lineRule="auto"/>
        <w:rPr>
          <w:rFonts w:ascii="Times New Roman" w:hAnsi="Times New Roman" w:eastAsia="宋体" w:cs="Times New Roman"/>
          <w:szCs w:val="21"/>
        </w:rPr>
      </w:pPr>
      <w:bookmarkStart w:id="93" w:name="_Toc72917457"/>
      <w:bookmarkStart w:id="94" w:name="_Toc72917399"/>
      <w:r>
        <w:rPr>
          <w:rFonts w:hint="eastAsia" w:ascii="Times New Roman" w:hAnsi="Times New Roman" w:eastAsia="宋体" w:cs="Times New Roman"/>
          <w:szCs w:val="21"/>
        </w:rPr>
        <w:t>指连续24小时内的1小时均值的算术平均值。</w:t>
      </w:r>
    </w:p>
    <w:p w14:paraId="64BE2BF2">
      <w:pPr>
        <w:pStyle w:val="30"/>
        <w:overflowPunct w:val="0"/>
        <w:topLinePunct/>
        <w:spacing w:before="0" w:beforeLines="0" w:after="0" w:afterLines="0" w:line="360" w:lineRule="auto"/>
        <w:ind w:left="0"/>
        <w:jc w:val="both"/>
        <w:rPr>
          <w:rFonts w:ascii="Times New Roman"/>
          <w:b/>
          <w:bCs/>
        </w:rPr>
      </w:pPr>
      <w:bookmarkStart w:id="95" w:name="_Toc172651350"/>
      <w:r>
        <w:rPr>
          <w:rFonts w:hint="eastAsia" w:ascii="Times New Roman"/>
          <w:b/>
          <w:bCs/>
        </w:rPr>
        <w:t>3.</w:t>
      </w:r>
      <w:r>
        <w:rPr>
          <w:rFonts w:ascii="Times New Roman"/>
          <w:b/>
          <w:bCs/>
        </w:rPr>
        <w:t>10</w:t>
      </w:r>
      <w:bookmarkEnd w:id="93"/>
      <w:bookmarkEnd w:id="94"/>
      <w:r>
        <w:rPr>
          <w:rFonts w:ascii="Times New Roman"/>
          <w:b/>
          <w:bCs/>
        </w:rPr>
        <w:t xml:space="preserve">  </w:t>
      </w:r>
      <w:r>
        <w:rPr>
          <w:rFonts w:hint="eastAsia" w:ascii="Times New Roman"/>
          <w:b/>
          <w:bCs/>
        </w:rPr>
        <w:t>日均值</w:t>
      </w:r>
      <w:bookmarkEnd w:id="95"/>
      <w:r>
        <w:rPr>
          <w:rFonts w:hint="eastAsia" w:ascii="Times New Roman"/>
          <w:b/>
          <w:bCs/>
        </w:rPr>
        <w:t xml:space="preserve"> daily</w:t>
      </w:r>
      <w:r>
        <w:rPr>
          <w:rFonts w:ascii="Times New Roman"/>
          <w:b/>
          <w:bCs/>
        </w:rPr>
        <w:t xml:space="preserve"> </w:t>
      </w:r>
      <w:r>
        <w:rPr>
          <w:rFonts w:hint="eastAsia" w:ascii="Times New Roman"/>
          <w:b/>
          <w:bCs/>
        </w:rPr>
        <w:t>average</w:t>
      </w:r>
      <w:r>
        <w:rPr>
          <w:rFonts w:ascii="Times New Roman"/>
          <w:b/>
          <w:bCs/>
        </w:rPr>
        <w:t xml:space="preserve"> </w:t>
      </w:r>
      <w:r>
        <w:rPr>
          <w:rFonts w:hint="eastAsia" w:ascii="Times New Roman"/>
          <w:b/>
          <w:bCs/>
        </w:rPr>
        <w:t>value</w:t>
      </w:r>
    </w:p>
    <w:p w14:paraId="6EA8CB83">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利用烟气排放连续监测系统（CEMS）测量的1小时均值，按照HJ 212规定方法换算得到的污染物日均质量浓度。</w:t>
      </w:r>
    </w:p>
    <w:p w14:paraId="5C94504E">
      <w:pPr>
        <w:pStyle w:val="30"/>
        <w:overflowPunct w:val="0"/>
        <w:topLinePunct/>
        <w:spacing w:before="0" w:beforeLines="0" w:after="0" w:afterLines="0" w:line="360" w:lineRule="auto"/>
        <w:ind w:left="0"/>
        <w:jc w:val="both"/>
        <w:rPr>
          <w:rFonts w:ascii="Times New Roman"/>
          <w:b/>
          <w:bCs/>
        </w:rPr>
      </w:pPr>
      <w:bookmarkStart w:id="96" w:name="_Toc172651351"/>
      <w:r>
        <w:rPr>
          <w:rFonts w:hint="eastAsia" w:ascii="Times New Roman"/>
          <w:b/>
          <w:bCs/>
        </w:rPr>
        <w:t>3.</w:t>
      </w:r>
      <w:r>
        <w:rPr>
          <w:rFonts w:ascii="Times New Roman"/>
          <w:b/>
          <w:bCs/>
        </w:rPr>
        <w:t>11</w:t>
      </w:r>
      <w:r>
        <w:rPr>
          <w:rFonts w:hint="eastAsia" w:ascii="Times New Roman"/>
          <w:b/>
          <w:bCs/>
        </w:rPr>
        <w:t xml:space="preserve"> </w:t>
      </w:r>
      <w:r>
        <w:rPr>
          <w:rFonts w:ascii="Times New Roman"/>
          <w:b/>
          <w:bCs/>
        </w:rPr>
        <w:t xml:space="preserve"> </w:t>
      </w:r>
      <w:r>
        <w:rPr>
          <w:rFonts w:hint="eastAsia" w:ascii="Times New Roman"/>
          <w:b/>
          <w:bCs/>
        </w:rPr>
        <w:t>氧含量</w:t>
      </w:r>
      <w:bookmarkEnd w:id="96"/>
      <w:r>
        <w:rPr>
          <w:rFonts w:hint="eastAsia" w:ascii="Times New Roman"/>
          <w:b/>
          <w:bCs/>
        </w:rPr>
        <w:t xml:space="preserve"> oxygen</w:t>
      </w:r>
      <w:r>
        <w:rPr>
          <w:rFonts w:ascii="Times New Roman"/>
          <w:b/>
          <w:bCs/>
        </w:rPr>
        <w:t xml:space="preserve"> </w:t>
      </w:r>
      <w:r>
        <w:rPr>
          <w:rFonts w:hint="eastAsia" w:ascii="Times New Roman"/>
          <w:b/>
          <w:bCs/>
        </w:rPr>
        <w:t>content</w:t>
      </w:r>
    </w:p>
    <w:p w14:paraId="40D9B9F2">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燃料燃烧时，烟气中含有多余的自由氧，通常以干基容积百分数来表示</w:t>
      </w:r>
      <w:r>
        <w:rPr>
          <w:rFonts w:ascii="Times New Roman" w:hAnsi="Times New Roman" w:eastAsia="宋体" w:cs="Times New Roman"/>
          <w:szCs w:val="21"/>
        </w:rPr>
        <w:t>。</w:t>
      </w:r>
    </w:p>
    <w:p w14:paraId="7BBF4B2F">
      <w:pPr>
        <w:pStyle w:val="28"/>
        <w:numPr>
          <w:ilvl w:val="0"/>
          <w:numId w:val="0"/>
        </w:numPr>
        <w:overflowPunct w:val="0"/>
        <w:topLinePunct/>
        <w:rPr>
          <w:rFonts w:ascii="Times New Roman"/>
          <w:b/>
          <w:bCs/>
        </w:rPr>
      </w:pPr>
      <w:bookmarkStart w:id="97" w:name="_Toc521500997"/>
      <w:bookmarkEnd w:id="97"/>
      <w:bookmarkStart w:id="98" w:name="_Toc474312264"/>
      <w:bookmarkEnd w:id="98"/>
      <w:bookmarkStart w:id="99" w:name="_Toc474312146"/>
      <w:bookmarkEnd w:id="99"/>
      <w:bookmarkStart w:id="100" w:name="_Toc535861179"/>
      <w:bookmarkEnd w:id="100"/>
      <w:bookmarkStart w:id="101" w:name="_Toc172651352"/>
      <w:bookmarkStart w:id="102" w:name="_Toc72917400"/>
      <w:bookmarkStart w:id="103" w:name="_Toc535861181"/>
      <w:r>
        <w:rPr>
          <w:rFonts w:hint="eastAsia" w:ascii="Times New Roman"/>
          <w:b/>
          <w:bCs/>
        </w:rPr>
        <w:t>4</w:t>
      </w:r>
      <w:r>
        <w:rPr>
          <w:rFonts w:ascii="Times New Roman"/>
          <w:b/>
          <w:bCs/>
        </w:rPr>
        <w:t xml:space="preserve">  大气污染物排放控制要求</w:t>
      </w:r>
      <w:bookmarkEnd w:id="101"/>
      <w:bookmarkEnd w:id="102"/>
      <w:bookmarkEnd w:id="103"/>
    </w:p>
    <w:p w14:paraId="74B434D8">
      <w:pPr>
        <w:pStyle w:val="30"/>
        <w:overflowPunct w:val="0"/>
        <w:topLinePunct/>
        <w:spacing w:before="0" w:beforeLines="0" w:after="0" w:afterLines="0" w:line="360" w:lineRule="auto"/>
        <w:ind w:left="0"/>
        <w:rPr>
          <w:rFonts w:hint="eastAsia" w:ascii="宋体" w:hAnsi="宋体" w:eastAsia="宋体"/>
        </w:rPr>
      </w:pPr>
      <w:bookmarkStart w:id="104" w:name="_Toc535861182"/>
      <w:bookmarkStart w:id="105" w:name="_Toc461957749"/>
      <w:bookmarkStart w:id="106" w:name="_Toc72917459"/>
      <w:bookmarkStart w:id="107" w:name="_Toc474312282"/>
      <w:bookmarkStart w:id="108" w:name="_Toc72917401"/>
      <w:bookmarkStart w:id="109" w:name="_Toc474312164"/>
      <w:bookmarkStart w:id="110" w:name="_Toc521501013"/>
      <w:bookmarkStart w:id="111" w:name="_Toc172651353"/>
      <w:r>
        <w:rPr>
          <w:rFonts w:ascii="Times New Roman"/>
          <w:b/>
          <w:bCs/>
        </w:rPr>
        <w:t>4.1</w:t>
      </w:r>
      <w:bookmarkEnd w:id="104"/>
      <w:bookmarkEnd w:id="105"/>
      <w:bookmarkEnd w:id="106"/>
      <w:bookmarkEnd w:id="107"/>
      <w:bookmarkEnd w:id="108"/>
      <w:bookmarkEnd w:id="109"/>
      <w:bookmarkEnd w:id="110"/>
      <w:r>
        <w:rPr>
          <w:rFonts w:ascii="Times New Roman"/>
          <w:b/>
          <w:bCs/>
        </w:rPr>
        <w:t xml:space="preserve">  </w:t>
      </w:r>
      <w:r>
        <w:rPr>
          <w:rFonts w:ascii="Times New Roman" w:eastAsia="宋体"/>
        </w:rPr>
        <w:t>自本标准实施之日起，新建生活垃圾焚烧炉烟气中污染物浓度执行表1规定的限值</w:t>
      </w:r>
      <w:r>
        <w:rPr>
          <w:rFonts w:hint="eastAsia" w:ascii="Times New Roman" w:eastAsia="宋体"/>
        </w:rPr>
        <w:t>。</w:t>
      </w:r>
      <w:bookmarkEnd w:id="111"/>
    </w:p>
    <w:p w14:paraId="4B3D2637">
      <w:pPr>
        <w:pStyle w:val="27"/>
        <w:ind w:firstLine="0" w:firstLineChars="0"/>
        <w:rPr>
          <w:rFonts w:hint="eastAsia"/>
        </w:rPr>
      </w:pPr>
      <w:bookmarkStart w:id="112" w:name="_Toc172651354"/>
      <w:r>
        <w:rPr>
          <w:rFonts w:hint="eastAsia" w:ascii="Times New Roman"/>
          <w:b/>
          <w:bCs/>
        </w:rPr>
        <w:t>4</w:t>
      </w:r>
      <w:r>
        <w:rPr>
          <w:rFonts w:ascii="Times New Roman"/>
          <w:b/>
          <w:bCs/>
        </w:rPr>
        <w:t xml:space="preserve">.2  </w:t>
      </w:r>
      <w:r>
        <w:rPr>
          <w:rFonts w:ascii="Times New Roman" w:eastAsia="宋体"/>
        </w:rPr>
        <w:t>自2028年1月1日起，现有生活垃圾焚烧炉烟气中污染物浓度执行表1规定的限值</w:t>
      </w:r>
      <w:r>
        <w:rPr>
          <w:rFonts w:hint="eastAsia" w:ascii="Times New Roman" w:eastAsia="宋体"/>
        </w:rPr>
        <w:t>。</w:t>
      </w:r>
      <w:bookmarkEnd w:id="112"/>
    </w:p>
    <w:p w14:paraId="2D8ADCD6">
      <w:pPr>
        <w:pStyle w:val="27"/>
        <w:widowControl w:val="0"/>
        <w:overflowPunct w:val="0"/>
        <w:topLinePunct/>
        <w:autoSpaceDE/>
        <w:autoSpaceDN/>
        <w:snapToGrid w:val="0"/>
        <w:spacing w:before="156" w:beforeLines="50" w:after="0" w:afterLines="-2147483648"/>
        <w:ind w:firstLine="0" w:firstLineChars="0"/>
        <w:jc w:val="center"/>
        <w:rPr>
          <w:rFonts w:ascii="Times New Roman" w:hAnsi="Times New Roman" w:eastAsia="宋体" w:cs="Times New Roman"/>
          <w:b/>
          <w:bCs/>
          <w:szCs w:val="21"/>
        </w:rPr>
      </w:pPr>
      <w:r>
        <w:rPr>
          <w:rFonts w:hint="eastAsia" w:ascii="Times New Roman" w:hAnsi="Times New Roman" w:eastAsia="宋体" w:cs="Times New Roman"/>
          <w:b/>
          <w:bCs/>
          <w:szCs w:val="21"/>
        </w:rPr>
        <w:t>表</w:t>
      </w:r>
      <w:r>
        <w:rPr>
          <w:rFonts w:ascii="Times New Roman" w:hAnsi="Times New Roman" w:eastAsia="宋体" w:cs="Times New Roman"/>
          <w:b/>
          <w:bCs/>
          <w:szCs w:val="21"/>
        </w:rPr>
        <w:t xml:space="preserve">1  </w:t>
      </w:r>
      <w:r>
        <w:rPr>
          <w:rFonts w:hint="eastAsia" w:ascii="Times New Roman" w:hAnsi="Times New Roman" w:eastAsia="宋体" w:cs="Times New Roman"/>
          <w:b/>
          <w:bCs/>
          <w:szCs w:val="21"/>
        </w:rPr>
        <w:t>生活垃圾焚烧炉烟气中污染物排放浓度限值</w:t>
      </w:r>
    </w:p>
    <w:p w14:paraId="4346D6C2">
      <w:pPr>
        <w:pStyle w:val="27"/>
        <w:widowControl w:val="0"/>
        <w:overflowPunct w:val="0"/>
        <w:topLinePunct/>
        <w:autoSpaceDE/>
        <w:autoSpaceDN/>
        <w:snapToGrid w:val="0"/>
        <w:ind w:firstLine="0" w:firstLineChars="0"/>
        <w:jc w:val="right"/>
        <w:rPr>
          <w:rFonts w:ascii="Times New Roman" w:hAnsi="Times New Roman" w:eastAsia="宋体" w:cs="Times New Roman"/>
          <w:sz w:val="18"/>
          <w:szCs w:val="18"/>
        </w:rPr>
      </w:pPr>
      <w:r>
        <w:rPr>
          <w:rFonts w:hint="eastAsia" w:ascii="Times New Roman" w:hAnsi="Times New Roman" w:eastAsia="宋体" w:cs="Times New Roman"/>
          <w:sz w:val="18"/>
          <w:szCs w:val="18"/>
        </w:rPr>
        <w:t>单位：</w:t>
      </w:r>
      <w:r>
        <w:rPr>
          <w:rFonts w:ascii="Times New Roman" w:hAnsi="Times New Roman" w:eastAsia="宋体" w:cs="Times New Roman"/>
          <w:sz w:val="18"/>
          <w:szCs w:val="18"/>
        </w:rPr>
        <w:t>mg/m</w:t>
      </w:r>
      <w:r>
        <w:rPr>
          <w:rFonts w:ascii="Times New Roman" w:hAnsi="Times New Roman" w:eastAsia="宋体" w:cs="Times New Roman"/>
          <w:sz w:val="18"/>
          <w:szCs w:val="18"/>
          <w:vertAlign w:val="superscript"/>
        </w:rPr>
        <w:t>3</w:t>
      </w:r>
      <w:r>
        <w:rPr>
          <w:rFonts w:hint="eastAsia" w:ascii="Times New Roman" w:hAnsi="Times New Roman" w:eastAsia="宋体" w:cs="Times New Roman"/>
          <w:sz w:val="18"/>
          <w:szCs w:val="18"/>
        </w:rPr>
        <w:t>（</w:t>
      </w:r>
      <w:r>
        <w:rPr>
          <w:rFonts w:ascii="Times New Roman" w:hAnsi="Times New Roman" w:eastAsia="宋体" w:cs="Times New Roman"/>
          <w:sz w:val="18"/>
          <w:szCs w:val="18"/>
        </w:rPr>
        <w:t>二</w:t>
      </w:r>
      <w:r>
        <w:rPr>
          <w:rFonts w:hint="eastAsia" w:ascii="Times New Roman" w:hAnsi="Times New Roman" w:eastAsia="宋体" w:cs="Times New Roman"/>
          <w:sz w:val="18"/>
          <w:szCs w:val="18"/>
        </w:rPr>
        <w:t>噁</w:t>
      </w:r>
      <w:r>
        <w:rPr>
          <w:rFonts w:ascii="Times New Roman" w:hAnsi="Times New Roman" w:eastAsia="宋体" w:cs="Times New Roman"/>
          <w:sz w:val="18"/>
          <w:szCs w:val="18"/>
        </w:rPr>
        <w:t>英类除外</w:t>
      </w:r>
      <w:r>
        <w:rPr>
          <w:rFonts w:hint="eastAsia" w:ascii="Times New Roman" w:hAnsi="Times New Roman" w:eastAsia="宋体" w:cs="Times New Roman"/>
          <w:sz w:val="18"/>
          <w:szCs w:val="18"/>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961"/>
        <w:gridCol w:w="1276"/>
        <w:gridCol w:w="1355"/>
      </w:tblGrid>
      <w:tr w14:paraId="6C26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4" w:type="dxa"/>
            <w:vAlign w:val="center"/>
          </w:tcPr>
          <w:p w14:paraId="0FA9A23A">
            <w:pPr>
              <w:pStyle w:val="27"/>
              <w:widowControl w:val="0"/>
              <w:overflowPunct w:val="0"/>
              <w:topLinePunct/>
              <w:autoSpaceDE/>
              <w:autoSpaceDN/>
              <w:snapToGrid w:val="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序号</w:t>
            </w:r>
          </w:p>
        </w:tc>
        <w:tc>
          <w:tcPr>
            <w:tcW w:w="4961" w:type="dxa"/>
            <w:vAlign w:val="center"/>
          </w:tcPr>
          <w:p w14:paraId="79C14510">
            <w:pPr>
              <w:pStyle w:val="27"/>
              <w:widowControl w:val="0"/>
              <w:overflowPunct w:val="0"/>
              <w:topLinePunct/>
              <w:autoSpaceDE/>
              <w:autoSpaceDN/>
              <w:snapToGrid w:val="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污染物项目</w:t>
            </w:r>
          </w:p>
        </w:tc>
        <w:tc>
          <w:tcPr>
            <w:tcW w:w="1276" w:type="dxa"/>
            <w:vAlign w:val="center"/>
          </w:tcPr>
          <w:p w14:paraId="06836749">
            <w:pPr>
              <w:pStyle w:val="27"/>
              <w:widowControl w:val="0"/>
              <w:overflowPunct w:val="0"/>
              <w:topLinePunct/>
              <w:autoSpaceDE/>
              <w:autoSpaceDN/>
              <w:snapToGrid w:val="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限值</w:t>
            </w:r>
          </w:p>
        </w:tc>
        <w:tc>
          <w:tcPr>
            <w:tcW w:w="1355" w:type="dxa"/>
            <w:vAlign w:val="center"/>
          </w:tcPr>
          <w:p w14:paraId="7A1E015B">
            <w:pPr>
              <w:pStyle w:val="27"/>
              <w:widowControl w:val="0"/>
              <w:overflowPunct w:val="0"/>
              <w:topLinePunct/>
              <w:autoSpaceDE/>
              <w:autoSpaceDN/>
              <w:snapToGrid w:val="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限制含义</w:t>
            </w:r>
          </w:p>
        </w:tc>
      </w:tr>
      <w:tr w14:paraId="05F86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2DB24DFD">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4961" w:type="dxa"/>
            <w:vMerge w:val="restart"/>
            <w:vAlign w:val="center"/>
          </w:tcPr>
          <w:p w14:paraId="2C66B9C1">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颗粒物</w:t>
            </w:r>
          </w:p>
        </w:tc>
        <w:tc>
          <w:tcPr>
            <w:tcW w:w="1276" w:type="dxa"/>
            <w:vAlign w:val="center"/>
          </w:tcPr>
          <w:p w14:paraId="7BF0E897">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1355" w:type="dxa"/>
            <w:vAlign w:val="center"/>
          </w:tcPr>
          <w:p w14:paraId="6417F3FF">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628BD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2506E090">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4961" w:type="dxa"/>
            <w:vMerge w:val="continue"/>
            <w:vAlign w:val="center"/>
          </w:tcPr>
          <w:p w14:paraId="13E1A864">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1276" w:type="dxa"/>
            <w:vAlign w:val="center"/>
          </w:tcPr>
          <w:p w14:paraId="5305C105">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1355" w:type="dxa"/>
            <w:vAlign w:val="center"/>
          </w:tcPr>
          <w:p w14:paraId="1ECABB9A">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24小时均值</w:t>
            </w:r>
          </w:p>
        </w:tc>
      </w:tr>
      <w:tr w14:paraId="62A8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29574B91">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4961" w:type="dxa"/>
            <w:vMerge w:val="restart"/>
            <w:vAlign w:val="center"/>
          </w:tcPr>
          <w:p w14:paraId="14FABA44">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氮氧化物</w:t>
            </w:r>
          </w:p>
        </w:tc>
        <w:tc>
          <w:tcPr>
            <w:tcW w:w="1276" w:type="dxa"/>
            <w:vAlign w:val="center"/>
          </w:tcPr>
          <w:p w14:paraId="71C88C34">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120</w:t>
            </w:r>
          </w:p>
        </w:tc>
        <w:tc>
          <w:tcPr>
            <w:tcW w:w="1355" w:type="dxa"/>
            <w:vAlign w:val="center"/>
          </w:tcPr>
          <w:p w14:paraId="35B7AE5D">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34DA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04F9961E">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4961" w:type="dxa"/>
            <w:vMerge w:val="continue"/>
            <w:vAlign w:val="center"/>
          </w:tcPr>
          <w:p w14:paraId="7600A2BC">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1276" w:type="dxa"/>
            <w:vAlign w:val="center"/>
          </w:tcPr>
          <w:p w14:paraId="116FFC1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1355" w:type="dxa"/>
            <w:vAlign w:val="center"/>
          </w:tcPr>
          <w:p w14:paraId="1026A027">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24小时均值</w:t>
            </w:r>
          </w:p>
        </w:tc>
      </w:tr>
      <w:tr w14:paraId="589F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4381CFEA">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4961" w:type="dxa"/>
            <w:vMerge w:val="restart"/>
            <w:vAlign w:val="center"/>
          </w:tcPr>
          <w:p w14:paraId="66122CE8">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二氧化硫</w:t>
            </w:r>
          </w:p>
        </w:tc>
        <w:tc>
          <w:tcPr>
            <w:tcW w:w="1276" w:type="dxa"/>
            <w:vAlign w:val="center"/>
          </w:tcPr>
          <w:p w14:paraId="6251A582">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40</w:t>
            </w:r>
          </w:p>
        </w:tc>
        <w:tc>
          <w:tcPr>
            <w:tcW w:w="1355" w:type="dxa"/>
            <w:vAlign w:val="center"/>
          </w:tcPr>
          <w:p w14:paraId="7147554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37A0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730A1519">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4961" w:type="dxa"/>
            <w:vMerge w:val="continue"/>
            <w:vAlign w:val="center"/>
          </w:tcPr>
          <w:p w14:paraId="64D85AF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1276" w:type="dxa"/>
            <w:vAlign w:val="center"/>
          </w:tcPr>
          <w:p w14:paraId="5B268B5F">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1355" w:type="dxa"/>
            <w:vAlign w:val="center"/>
          </w:tcPr>
          <w:p w14:paraId="70BDACF3">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24小时均值</w:t>
            </w:r>
          </w:p>
        </w:tc>
      </w:tr>
      <w:tr w14:paraId="009B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32BC8E2C">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4961" w:type="dxa"/>
            <w:vMerge w:val="restart"/>
            <w:vAlign w:val="center"/>
          </w:tcPr>
          <w:p w14:paraId="06A7061B">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一氧化碳</w:t>
            </w:r>
          </w:p>
        </w:tc>
        <w:tc>
          <w:tcPr>
            <w:tcW w:w="1276" w:type="dxa"/>
            <w:vAlign w:val="center"/>
          </w:tcPr>
          <w:p w14:paraId="50A1DE4C">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100</w:t>
            </w:r>
          </w:p>
        </w:tc>
        <w:tc>
          <w:tcPr>
            <w:tcW w:w="1355" w:type="dxa"/>
            <w:vAlign w:val="center"/>
          </w:tcPr>
          <w:p w14:paraId="6CD9F50E">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0F69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56443D8C">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4961" w:type="dxa"/>
            <w:vMerge w:val="continue"/>
            <w:vAlign w:val="center"/>
          </w:tcPr>
          <w:p w14:paraId="12FA045F">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1276" w:type="dxa"/>
            <w:vAlign w:val="center"/>
          </w:tcPr>
          <w:p w14:paraId="1C866DA8">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80</w:t>
            </w:r>
          </w:p>
        </w:tc>
        <w:tc>
          <w:tcPr>
            <w:tcW w:w="1355" w:type="dxa"/>
            <w:vAlign w:val="center"/>
          </w:tcPr>
          <w:p w14:paraId="6C2981E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24小时均值</w:t>
            </w:r>
          </w:p>
        </w:tc>
      </w:tr>
      <w:tr w14:paraId="0D794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restart"/>
            <w:vAlign w:val="center"/>
          </w:tcPr>
          <w:p w14:paraId="51E641D9">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4961" w:type="dxa"/>
            <w:vMerge w:val="restart"/>
            <w:vAlign w:val="center"/>
          </w:tcPr>
          <w:p w14:paraId="09790198">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氯化氢</w:t>
            </w:r>
          </w:p>
        </w:tc>
        <w:tc>
          <w:tcPr>
            <w:tcW w:w="1276" w:type="dxa"/>
            <w:vAlign w:val="center"/>
          </w:tcPr>
          <w:p w14:paraId="023EDCF2">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1355" w:type="dxa"/>
            <w:vAlign w:val="center"/>
          </w:tcPr>
          <w:p w14:paraId="40AED049">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438C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vAlign w:val="center"/>
          </w:tcPr>
          <w:p w14:paraId="007E8747">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4961" w:type="dxa"/>
            <w:vMerge w:val="continue"/>
            <w:vAlign w:val="center"/>
          </w:tcPr>
          <w:p w14:paraId="1118612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p>
        </w:tc>
        <w:tc>
          <w:tcPr>
            <w:tcW w:w="1276" w:type="dxa"/>
            <w:vAlign w:val="center"/>
          </w:tcPr>
          <w:p w14:paraId="6F53A4AD">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1355" w:type="dxa"/>
            <w:vAlign w:val="center"/>
          </w:tcPr>
          <w:p w14:paraId="76E17D30">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24小时均值</w:t>
            </w:r>
          </w:p>
        </w:tc>
      </w:tr>
      <w:tr w14:paraId="509B8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04" w:type="dxa"/>
            <w:vAlign w:val="center"/>
          </w:tcPr>
          <w:p w14:paraId="03B39BBA">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4961" w:type="dxa"/>
            <w:vAlign w:val="center"/>
          </w:tcPr>
          <w:p w14:paraId="1C69DB3B">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汞及其化合物（以Hg计）</w:t>
            </w:r>
          </w:p>
        </w:tc>
        <w:tc>
          <w:tcPr>
            <w:tcW w:w="1276" w:type="dxa"/>
            <w:vAlign w:val="center"/>
          </w:tcPr>
          <w:p w14:paraId="240C23CD">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0.02</w:t>
            </w:r>
          </w:p>
        </w:tc>
        <w:tc>
          <w:tcPr>
            <w:tcW w:w="1355" w:type="dxa"/>
            <w:vAlign w:val="center"/>
          </w:tcPr>
          <w:p w14:paraId="00C64040">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测定均值</w:t>
            </w:r>
          </w:p>
        </w:tc>
      </w:tr>
      <w:tr w14:paraId="7D1E4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04" w:type="dxa"/>
            <w:vAlign w:val="center"/>
          </w:tcPr>
          <w:p w14:paraId="790C1FEA">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4961" w:type="dxa"/>
            <w:vAlign w:val="center"/>
          </w:tcPr>
          <w:p w14:paraId="61314D17">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镉、铊及其化合物（以Cd+Tl计）</w:t>
            </w:r>
          </w:p>
        </w:tc>
        <w:tc>
          <w:tcPr>
            <w:tcW w:w="1276" w:type="dxa"/>
            <w:vAlign w:val="center"/>
          </w:tcPr>
          <w:p w14:paraId="3B675993">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0.03</w:t>
            </w:r>
          </w:p>
        </w:tc>
        <w:tc>
          <w:tcPr>
            <w:tcW w:w="1355" w:type="dxa"/>
            <w:vAlign w:val="center"/>
          </w:tcPr>
          <w:p w14:paraId="06E43DAA">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测定均值</w:t>
            </w:r>
          </w:p>
        </w:tc>
      </w:tr>
      <w:tr w14:paraId="6B75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04" w:type="dxa"/>
            <w:vAlign w:val="center"/>
          </w:tcPr>
          <w:p w14:paraId="0E8BDCBC">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4961" w:type="dxa"/>
            <w:vAlign w:val="center"/>
          </w:tcPr>
          <w:p w14:paraId="269FBEE3">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锑、砷、铅、铬、钴、铜、锰、镍及其化合物</w:t>
            </w:r>
          </w:p>
          <w:p w14:paraId="596AD2D8">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（以Sb+As+Pb+Cr+Co+Cu+Mn+Ni计）</w:t>
            </w:r>
          </w:p>
        </w:tc>
        <w:tc>
          <w:tcPr>
            <w:tcW w:w="1276" w:type="dxa"/>
            <w:vAlign w:val="center"/>
          </w:tcPr>
          <w:p w14:paraId="72279423">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c>
          <w:tcPr>
            <w:tcW w:w="1355" w:type="dxa"/>
            <w:vAlign w:val="center"/>
          </w:tcPr>
          <w:p w14:paraId="736B0397">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测定均值</w:t>
            </w:r>
          </w:p>
        </w:tc>
      </w:tr>
      <w:tr w14:paraId="0964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04" w:type="dxa"/>
            <w:vAlign w:val="center"/>
          </w:tcPr>
          <w:p w14:paraId="1AD00F7B">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9</w:t>
            </w:r>
          </w:p>
        </w:tc>
        <w:tc>
          <w:tcPr>
            <w:tcW w:w="4961" w:type="dxa"/>
            <w:vAlign w:val="center"/>
          </w:tcPr>
          <w:p w14:paraId="3AEE93F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二噁英类(ng TEQ/m</w:t>
            </w:r>
            <w:r>
              <w:rPr>
                <w:rFonts w:ascii="Times New Roman" w:hAnsi="Times New Roman" w:eastAsia="宋体" w:cs="Times New Roman"/>
                <w:sz w:val="18"/>
                <w:szCs w:val="18"/>
                <w:vertAlign w:val="superscript"/>
              </w:rPr>
              <w:t>3</w:t>
            </w:r>
            <w:r>
              <w:rPr>
                <w:rFonts w:ascii="Times New Roman" w:hAnsi="Times New Roman" w:eastAsia="宋体" w:cs="Times New Roman"/>
                <w:sz w:val="18"/>
                <w:szCs w:val="18"/>
              </w:rPr>
              <w:t>)</w:t>
            </w:r>
          </w:p>
        </w:tc>
        <w:tc>
          <w:tcPr>
            <w:tcW w:w="1276" w:type="dxa"/>
            <w:vAlign w:val="center"/>
          </w:tcPr>
          <w:p w14:paraId="6DAF19A2">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c>
          <w:tcPr>
            <w:tcW w:w="1355" w:type="dxa"/>
            <w:vAlign w:val="center"/>
          </w:tcPr>
          <w:p w14:paraId="717750D0">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测定均值</w:t>
            </w:r>
          </w:p>
        </w:tc>
      </w:tr>
      <w:tr w14:paraId="676A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704" w:type="dxa"/>
            <w:vAlign w:val="center"/>
          </w:tcPr>
          <w:p w14:paraId="62B4FE36">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4961" w:type="dxa"/>
            <w:vAlign w:val="center"/>
          </w:tcPr>
          <w:p w14:paraId="54894338">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氨</w:t>
            </w:r>
          </w:p>
        </w:tc>
        <w:tc>
          <w:tcPr>
            <w:tcW w:w="1276" w:type="dxa"/>
            <w:vAlign w:val="center"/>
          </w:tcPr>
          <w:p w14:paraId="30E4A0DF">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8</w:t>
            </w:r>
            <w:r>
              <w:rPr>
                <w:rFonts w:ascii="Times New Roman" w:hAnsi="Times New Roman" w:eastAsia="宋体" w:cs="Times New Roman"/>
                <w:sz w:val="18"/>
                <w:szCs w:val="18"/>
                <w:vertAlign w:val="superscript"/>
              </w:rPr>
              <w:t>a</w:t>
            </w:r>
          </w:p>
        </w:tc>
        <w:tc>
          <w:tcPr>
            <w:tcW w:w="1355" w:type="dxa"/>
            <w:vAlign w:val="center"/>
          </w:tcPr>
          <w:p w14:paraId="4DFC6992">
            <w:pPr>
              <w:pStyle w:val="27"/>
              <w:widowControl w:val="0"/>
              <w:overflowPunct w:val="0"/>
              <w:topLinePunct/>
              <w:autoSpaceDE/>
              <w:autoSpaceDN/>
              <w:snapToGrid w:val="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1小时均值</w:t>
            </w:r>
          </w:p>
        </w:tc>
      </w:tr>
      <w:tr w14:paraId="325B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8296" w:type="dxa"/>
            <w:gridSpan w:val="4"/>
            <w:vAlign w:val="center"/>
          </w:tcPr>
          <w:p w14:paraId="0B6EBD27">
            <w:pPr>
              <w:pStyle w:val="27"/>
              <w:widowControl w:val="0"/>
              <w:overflowPunct w:val="0"/>
              <w:topLinePunct/>
              <w:autoSpaceDE/>
              <w:autoSpaceDN/>
              <w:snapToGrid w:val="0"/>
              <w:ind w:firstLine="0" w:firstLineChars="0"/>
              <w:jc w:val="left"/>
              <w:rPr>
                <w:rFonts w:ascii="Times New Roman" w:hAnsi="Times New Roman" w:eastAsia="宋体" w:cs="Times New Roman"/>
                <w:sz w:val="18"/>
                <w:szCs w:val="18"/>
              </w:rPr>
            </w:pPr>
            <w:r>
              <w:rPr>
                <w:rFonts w:ascii="Times New Roman" w:hAnsi="Times New Roman" w:eastAsia="宋体" w:cs="Times New Roman"/>
                <w:sz w:val="18"/>
                <w:szCs w:val="18"/>
                <w:vertAlign w:val="superscript"/>
              </w:rPr>
              <w:t>a</w:t>
            </w:r>
            <w:r>
              <w:rPr>
                <w:rFonts w:ascii="Times New Roman" w:hAnsi="Times New Roman" w:eastAsia="宋体" w:cs="Times New Roman"/>
                <w:sz w:val="18"/>
                <w:szCs w:val="18"/>
              </w:rPr>
              <w:t>适用于使用氨水、尿素、液氨等含氨物质作为还原剂去除烟气中氮氧化物的情形</w:t>
            </w:r>
          </w:p>
        </w:tc>
      </w:tr>
    </w:tbl>
    <w:p w14:paraId="71CB5AEB">
      <w:pPr>
        <w:pStyle w:val="27"/>
        <w:widowControl w:val="0"/>
        <w:overflowPunct w:val="0"/>
        <w:topLinePunct/>
        <w:autoSpaceDE/>
        <w:autoSpaceDN/>
        <w:snapToGrid w:val="0"/>
        <w:spacing w:before="312" w:beforeLines="100" w:line="360" w:lineRule="auto"/>
        <w:ind w:firstLine="0" w:firstLineChars="0"/>
        <w:rPr>
          <w:rFonts w:ascii="Times New Roman" w:hAnsi="Times New Roman" w:eastAsia="宋体" w:cs="Times New Roman"/>
          <w:szCs w:val="21"/>
          <w:highlight w:val="none"/>
        </w:rPr>
      </w:pPr>
      <w:r>
        <w:rPr>
          <w:rFonts w:ascii="Times New Roman" w:hAnsi="Times New Roman" w:eastAsia="黑体" w:cs="Times New Roman"/>
          <w:b/>
          <w:bCs/>
          <w:kern w:val="0"/>
          <w:szCs w:val="21"/>
          <w:highlight w:val="none"/>
        </w:rPr>
        <w:t xml:space="preserve">4.3  </w:t>
      </w:r>
      <w:r>
        <w:rPr>
          <w:rFonts w:hint="eastAsia" w:ascii="Times New Roman" w:hAnsi="Times New Roman" w:eastAsia="宋体" w:cs="Times New Roman"/>
          <w:szCs w:val="21"/>
          <w:highlight w:val="none"/>
        </w:rPr>
        <w:t>焚烧炉在启炉、停炉、故障或事故时间内，所获得的监测数据不作为评价是否达到本标准排放限值的依据，但此期间内烟气中颗粒物的</w:t>
      </w:r>
      <w:r>
        <w:rPr>
          <w:rFonts w:ascii="Times New Roman" w:hAnsi="Times New Roman" w:eastAsia="宋体" w:cs="Times New Roman"/>
          <w:szCs w:val="21"/>
          <w:highlight w:val="none"/>
        </w:rPr>
        <w:t>1</w:t>
      </w:r>
      <w:r>
        <w:rPr>
          <w:rFonts w:hint="eastAsia" w:ascii="Times New Roman" w:hAnsi="Times New Roman" w:eastAsia="宋体" w:cs="Times New Roman"/>
          <w:szCs w:val="21"/>
          <w:highlight w:val="none"/>
        </w:rPr>
        <w:t>小时均值浓度不得大于</w:t>
      </w:r>
      <w:r>
        <w:rPr>
          <w:rFonts w:ascii="Times New Roman" w:hAnsi="Times New Roman" w:eastAsia="宋体" w:cs="Times New Roman"/>
          <w:szCs w:val="21"/>
          <w:highlight w:val="none"/>
        </w:rPr>
        <w:t>150 mg/m</w:t>
      </w:r>
      <w:r>
        <w:rPr>
          <w:rFonts w:ascii="Times New Roman" w:hAnsi="Times New Roman" w:eastAsia="宋体" w:cs="Times New Roman"/>
          <w:szCs w:val="21"/>
          <w:highlight w:val="none"/>
          <w:vertAlign w:val="superscript"/>
        </w:rPr>
        <w:t>3</w:t>
      </w:r>
      <w:r>
        <w:rPr>
          <w:rFonts w:hint="eastAsia" w:ascii="Times New Roman" w:hAnsi="Times New Roman" w:eastAsia="宋体" w:cs="Times New Roman"/>
          <w:szCs w:val="21"/>
          <w:highlight w:val="none"/>
        </w:rPr>
        <w:t>。</w:t>
      </w:r>
    </w:p>
    <w:p w14:paraId="216BE1EF">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4.4  </w:t>
      </w:r>
      <w:r>
        <w:rPr>
          <w:rFonts w:ascii="Times New Roman" w:hAnsi="Times New Roman" w:eastAsia="宋体" w:cs="Times New Roman"/>
          <w:szCs w:val="21"/>
        </w:rPr>
        <w:t>生活垃圾焚烧厂恶臭污染控制应符合GB 14554、GB 18485的要求。</w:t>
      </w:r>
    </w:p>
    <w:p w14:paraId="5A90126C">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4.5  </w:t>
      </w:r>
      <w:r>
        <w:rPr>
          <w:rFonts w:ascii="Times New Roman" w:hAnsi="Times New Roman" w:eastAsia="宋体" w:cs="Times New Roman"/>
          <w:szCs w:val="21"/>
        </w:rPr>
        <w:t>生活垃圾焚烧厂厂界无组织颗粒物排放监测点浓度限值执行GB 16297的规定限值，</w:t>
      </w:r>
      <w:r>
        <w:rPr>
          <w:rFonts w:hint="eastAsia" w:ascii="Times New Roman" w:hAnsi="Times New Roman" w:eastAsia="宋体" w:cs="Times New Roman"/>
          <w:szCs w:val="21"/>
        </w:rPr>
        <w:t>臭气浓度、</w:t>
      </w:r>
      <w:r>
        <w:rPr>
          <w:rFonts w:ascii="Times New Roman" w:hAnsi="Times New Roman" w:eastAsia="宋体" w:cs="Times New Roman"/>
          <w:szCs w:val="21"/>
        </w:rPr>
        <w:t>硫化氢、氨排放监测点浓度限值执行GB 14554的规定限值。</w:t>
      </w:r>
    </w:p>
    <w:p w14:paraId="72A22750">
      <w:pPr>
        <w:pStyle w:val="28"/>
        <w:numPr>
          <w:ilvl w:val="0"/>
          <w:numId w:val="0"/>
        </w:numPr>
        <w:overflowPunct w:val="0"/>
        <w:topLinePunct/>
        <w:rPr>
          <w:rFonts w:ascii="Times New Roman"/>
          <w:b/>
          <w:bCs/>
        </w:rPr>
      </w:pPr>
      <w:bookmarkStart w:id="113" w:name="_Toc172651355"/>
      <w:r>
        <w:rPr>
          <w:rFonts w:ascii="Times New Roman"/>
          <w:b/>
          <w:bCs/>
        </w:rPr>
        <w:t>5  大气污染物监测要求</w:t>
      </w:r>
      <w:bookmarkEnd w:id="113"/>
    </w:p>
    <w:p w14:paraId="51CB18AE">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5.1</w:t>
      </w:r>
      <w:r>
        <w:rPr>
          <w:rFonts w:hint="eastAsia" w:ascii="Times New Roman" w:hAnsi="Times New Roman" w:eastAsia="黑体" w:cs="Times New Roman"/>
          <w:b/>
          <w:bCs/>
          <w:kern w:val="0"/>
          <w:szCs w:val="21"/>
        </w:rPr>
        <w:t xml:space="preserve"> </w:t>
      </w:r>
      <w:r>
        <w:rPr>
          <w:rFonts w:ascii="Times New Roman" w:hAnsi="Times New Roman" w:eastAsia="黑体" w:cs="Times New Roman"/>
          <w:b/>
          <w:bCs/>
          <w:kern w:val="0"/>
          <w:szCs w:val="21"/>
        </w:rPr>
        <w:t xml:space="preserve"> </w:t>
      </w:r>
      <w:bookmarkStart w:id="114" w:name="_Hlk183054901"/>
      <w:r>
        <w:rPr>
          <w:rFonts w:ascii="Times New Roman" w:hAnsi="Times New Roman" w:eastAsia="宋体" w:cs="Times New Roman"/>
          <w:szCs w:val="21"/>
        </w:rPr>
        <w:t>生活垃圾焚烧厂应按照有关法律和《环境监测管理办法》（总局令第39号）等规定，建立企业监测制度，制定监测方案，</w:t>
      </w:r>
      <w:bookmarkStart w:id="115" w:name="_Hlk183007038"/>
      <w:r>
        <w:rPr>
          <w:rFonts w:hint="eastAsia" w:ascii="Times New Roman" w:hAnsi="Times New Roman" w:eastAsia="宋体" w:cs="Times New Roman"/>
          <w:szCs w:val="21"/>
        </w:rPr>
        <w:t>并向当地生态环境主管部门和行业行政主管部门备案。</w:t>
      </w:r>
      <w:bookmarkEnd w:id="115"/>
      <w:r>
        <w:rPr>
          <w:rFonts w:ascii="Times New Roman" w:hAnsi="Times New Roman" w:eastAsia="宋体" w:cs="Times New Roman"/>
          <w:szCs w:val="21"/>
        </w:rPr>
        <w:t>对污染物排放状况及其对周边环境质量的影响开展自行监测，保存原始监测记录，并公布监测结果。自行监测方案的制定、监测质量保证和质量控制等应符合HJ 819和HJ 1039等相关标准的要求。</w:t>
      </w:r>
      <w:bookmarkEnd w:id="114"/>
    </w:p>
    <w:p w14:paraId="777EA559">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5.2  </w:t>
      </w:r>
      <w:bookmarkStart w:id="116" w:name="_Hlk183054910"/>
      <w:r>
        <w:rPr>
          <w:rFonts w:ascii="Times New Roman" w:hAnsi="Times New Roman" w:eastAsia="宋体" w:cs="Times New Roman"/>
          <w:szCs w:val="21"/>
        </w:rPr>
        <w:t>生活垃圾焚烧厂应按照环境监测管理规定和技术规范的要求，设计、建设、维护永久采样口、采样测试平台和排污口标志</w:t>
      </w:r>
      <w:bookmarkEnd w:id="116"/>
      <w:r>
        <w:rPr>
          <w:rFonts w:ascii="Times New Roman" w:hAnsi="Times New Roman" w:eastAsia="宋体" w:cs="Times New Roman"/>
          <w:szCs w:val="21"/>
        </w:rPr>
        <w:t>。</w:t>
      </w:r>
    </w:p>
    <w:p w14:paraId="509A34E0">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5.3  </w:t>
      </w:r>
      <w:bookmarkStart w:id="117" w:name="_Hlk183054934"/>
      <w:r>
        <w:rPr>
          <w:rFonts w:ascii="Times New Roman" w:hAnsi="Times New Roman" w:eastAsia="宋体" w:cs="Times New Roman"/>
          <w:szCs w:val="21"/>
        </w:rPr>
        <w:t>对生活垃圾焚烧厂排放废气的采样，应根据监测污染物的种类，在规定的污染物排放监控位置进行。烟气中二</w:t>
      </w:r>
      <w:r>
        <w:rPr>
          <w:rFonts w:hint="eastAsia" w:ascii="Times New Roman" w:hAnsi="Times New Roman" w:eastAsia="宋体" w:cs="Times New Roman"/>
          <w:szCs w:val="21"/>
        </w:rPr>
        <w:t>噁</w:t>
      </w:r>
      <w:r>
        <w:rPr>
          <w:rFonts w:ascii="Times New Roman" w:hAnsi="Times New Roman" w:eastAsia="宋体" w:cs="Times New Roman"/>
          <w:szCs w:val="21"/>
        </w:rPr>
        <w:t>英类监测的采样按HJ 77.2、HJ 916的有关规定执行</w:t>
      </w:r>
      <w:r>
        <w:rPr>
          <w:rFonts w:hint="eastAsia" w:ascii="Times New Roman" w:hAnsi="Times New Roman" w:eastAsia="宋体" w:cs="Times New Roman"/>
          <w:szCs w:val="21"/>
        </w:rPr>
        <w:t>；</w:t>
      </w:r>
      <w:r>
        <w:rPr>
          <w:rFonts w:ascii="Times New Roman" w:hAnsi="Times New Roman" w:eastAsia="宋体" w:cs="Times New Roman"/>
          <w:szCs w:val="21"/>
        </w:rPr>
        <w:t>其他污染物监测的采样按GB/T 16157、HJ/T 397和HJ 75等相关规定执行</w:t>
      </w:r>
      <w:bookmarkEnd w:id="117"/>
      <w:r>
        <w:rPr>
          <w:rFonts w:ascii="Times New Roman" w:hAnsi="Times New Roman" w:eastAsia="宋体" w:cs="Times New Roman"/>
          <w:szCs w:val="21"/>
        </w:rPr>
        <w:t>。</w:t>
      </w:r>
    </w:p>
    <w:p w14:paraId="46EB64CB">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5.4  </w:t>
      </w:r>
      <w:bookmarkStart w:id="118" w:name="_Hlk183054951"/>
      <w:r>
        <w:rPr>
          <w:rFonts w:ascii="Times New Roman" w:hAnsi="Times New Roman" w:eastAsia="宋体" w:cs="Times New Roman"/>
          <w:szCs w:val="21"/>
        </w:rPr>
        <w:t>生活垃圾焚烧厂对烟气中氨、重金属类污染物的监测应当每月至少开展1次</w:t>
      </w:r>
      <w:r>
        <w:rPr>
          <w:rFonts w:hint="eastAsia" w:ascii="Times New Roman" w:hAnsi="Times New Roman" w:eastAsia="宋体" w:cs="Times New Roman"/>
          <w:szCs w:val="21"/>
        </w:rPr>
        <w:t>；对焚烧炉渣热灼减率的监测应每周至少开展1次；</w:t>
      </w:r>
      <w:r>
        <w:rPr>
          <w:rFonts w:ascii="Times New Roman" w:hAnsi="Times New Roman" w:eastAsia="宋体" w:cs="Times New Roman"/>
          <w:szCs w:val="21"/>
        </w:rPr>
        <w:t>对烟气中二</w:t>
      </w:r>
      <w:r>
        <w:rPr>
          <w:rFonts w:hint="eastAsia" w:ascii="Times New Roman" w:hAnsi="Times New Roman" w:eastAsia="宋体" w:cs="Times New Roman"/>
          <w:szCs w:val="21"/>
        </w:rPr>
        <w:t>噁</w:t>
      </w:r>
      <w:r>
        <w:rPr>
          <w:rFonts w:ascii="Times New Roman" w:hAnsi="Times New Roman" w:eastAsia="宋体" w:cs="Times New Roman"/>
          <w:szCs w:val="21"/>
        </w:rPr>
        <w:t>英类的监测应当每年至少开展2次</w:t>
      </w:r>
      <w:r>
        <w:rPr>
          <w:rFonts w:hint="eastAsia" w:ascii="Times New Roman" w:hAnsi="Times New Roman" w:eastAsia="宋体" w:cs="Times New Roman"/>
          <w:szCs w:val="21"/>
        </w:rPr>
        <w:t>；</w:t>
      </w:r>
      <w:r>
        <w:rPr>
          <w:rFonts w:ascii="Times New Roman" w:hAnsi="Times New Roman" w:eastAsia="宋体" w:cs="Times New Roman"/>
          <w:szCs w:val="21"/>
        </w:rPr>
        <w:t>厂界无组织废气中颗粒物监测每季度至少开展1次</w:t>
      </w:r>
      <w:r>
        <w:rPr>
          <w:rFonts w:hint="eastAsia" w:ascii="Times New Roman" w:hAnsi="Times New Roman" w:eastAsia="宋体" w:cs="Times New Roman"/>
          <w:szCs w:val="21"/>
        </w:rPr>
        <w:t>。</w:t>
      </w:r>
      <w:r>
        <w:rPr>
          <w:rFonts w:ascii="Times New Roman" w:hAnsi="Times New Roman" w:eastAsia="宋体" w:cs="Times New Roman"/>
          <w:szCs w:val="21"/>
        </w:rPr>
        <w:t>对其他大气污染物排放情况监测的频次、采样时间等要求，按有关环境监测管理规定和技术规范的要求执行</w:t>
      </w:r>
      <w:bookmarkEnd w:id="118"/>
      <w:r>
        <w:rPr>
          <w:rFonts w:ascii="Times New Roman" w:hAnsi="Times New Roman" w:eastAsia="宋体" w:cs="Times New Roman"/>
          <w:szCs w:val="21"/>
        </w:rPr>
        <w:t>。</w:t>
      </w:r>
    </w:p>
    <w:p w14:paraId="4F869D68">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5.5  </w:t>
      </w:r>
      <w:bookmarkStart w:id="119" w:name="_Hlk183054999"/>
      <w:r>
        <w:rPr>
          <w:rFonts w:hint="eastAsia" w:ascii="Times New Roman" w:hAnsi="Times New Roman" w:eastAsia="宋体" w:cs="Times New Roman"/>
          <w:kern w:val="2"/>
          <w:szCs w:val="21"/>
        </w:rPr>
        <w:t>生活垃圾焚烧厂应设置焚烧炉运行性能指标在线监测装置，监测结果应采用电子显示板进行公示并与当地生态环境主管部门和行业</w:t>
      </w:r>
      <w:r>
        <w:rPr>
          <w:rFonts w:hint="eastAsia" w:ascii="Times New Roman" w:hAnsi="Times New Roman" w:eastAsia="宋体" w:cs="Times New Roman"/>
          <w:szCs w:val="21"/>
        </w:rPr>
        <w:t>行政</w:t>
      </w:r>
      <w:r>
        <w:rPr>
          <w:rFonts w:hint="eastAsia" w:ascii="Times New Roman" w:hAnsi="Times New Roman" w:eastAsia="宋体" w:cs="Times New Roman"/>
          <w:kern w:val="2"/>
          <w:szCs w:val="21"/>
        </w:rPr>
        <w:t>主管部门监控中心联网。焚烧炉运行性能指标在线监测指标应至少包括烟气中一氧化碳浓度、炉膛内焚烧温度和氧含量</w:t>
      </w:r>
      <w:bookmarkEnd w:id="119"/>
      <w:r>
        <w:rPr>
          <w:rFonts w:ascii="Times New Roman" w:hAnsi="Times New Roman" w:eastAsia="宋体" w:cs="Times New Roman"/>
          <w:szCs w:val="21"/>
        </w:rPr>
        <w:t>。</w:t>
      </w:r>
    </w:p>
    <w:p w14:paraId="21AC00B6">
      <w:pPr>
        <w:pStyle w:val="27"/>
        <w:widowControl w:val="0"/>
        <w:overflowPunct w:val="0"/>
        <w:topLinePunct/>
        <w:autoSpaceDE/>
        <w:autoSpaceDN/>
        <w:snapToGrid w:val="0"/>
        <w:spacing w:line="360" w:lineRule="auto"/>
        <w:ind w:firstLine="0" w:firstLineChars="0"/>
        <w:rPr>
          <w:rFonts w:hint="eastAsia" w:ascii="Times New Roman" w:hAnsi="Times New Roman" w:eastAsia="宋体" w:cs="Times New Roman"/>
          <w:szCs w:val="21"/>
        </w:rPr>
      </w:pPr>
      <w:r>
        <w:rPr>
          <w:rFonts w:ascii="Times New Roman" w:hAnsi="Times New Roman" w:eastAsia="黑体" w:cs="Times New Roman"/>
          <w:b/>
          <w:bCs/>
          <w:kern w:val="0"/>
          <w:szCs w:val="21"/>
        </w:rPr>
        <w:t>5.</w:t>
      </w:r>
      <w:r>
        <w:rPr>
          <w:rFonts w:hint="eastAsia" w:ascii="Times New Roman" w:hAnsi="Times New Roman" w:eastAsia="黑体" w:cs="Times New Roman"/>
          <w:b/>
          <w:bCs/>
          <w:kern w:val="0"/>
          <w:szCs w:val="21"/>
        </w:rPr>
        <w:t>6</w:t>
      </w:r>
      <w:r>
        <w:rPr>
          <w:rFonts w:ascii="Times New Roman" w:hAnsi="Times New Roman" w:eastAsia="黑体" w:cs="Times New Roman"/>
          <w:b/>
          <w:bCs/>
          <w:kern w:val="0"/>
          <w:szCs w:val="21"/>
        </w:rPr>
        <w:t xml:space="preserve">  </w:t>
      </w:r>
      <w:bookmarkStart w:id="120" w:name="_Hlk183055015"/>
      <w:r>
        <w:rPr>
          <w:rFonts w:ascii="Times New Roman" w:hAnsi="Times New Roman" w:eastAsia="宋体" w:cs="Times New Roman"/>
          <w:szCs w:val="21"/>
        </w:rPr>
        <w:t>生活垃圾焚烧厂自动监控设备的安装、运行管理、定期校对应按《污染源自动监控管理办法》</w:t>
      </w:r>
      <w:r>
        <w:rPr>
          <w:rFonts w:hint="eastAsia" w:ascii="Times New Roman" w:hAnsi="Times New Roman" w:eastAsia="宋体" w:cs="Times New Roman"/>
          <w:szCs w:val="21"/>
        </w:rPr>
        <w:t>和HJ 75</w:t>
      </w:r>
      <w:r>
        <w:rPr>
          <w:rFonts w:ascii="Times New Roman" w:hAnsi="Times New Roman" w:eastAsia="宋体" w:cs="Times New Roman"/>
          <w:szCs w:val="21"/>
        </w:rPr>
        <w:t>等规定执行。在线监测结果应采用电子显示板进行动态公示</w:t>
      </w:r>
      <w:r>
        <w:rPr>
          <w:rFonts w:hint="eastAsia" w:ascii="Times New Roman" w:hAnsi="Times New Roman" w:eastAsia="宋体" w:cs="Times New Roman"/>
          <w:szCs w:val="21"/>
        </w:rPr>
        <w:t>并与当地生态环境主管部门和行业行政主管部门监控中心联网。烟</w:t>
      </w:r>
      <w:r>
        <w:rPr>
          <w:rFonts w:ascii="Times New Roman" w:hAnsi="Times New Roman" w:eastAsia="宋体" w:cs="Times New Roman"/>
          <w:szCs w:val="21"/>
        </w:rPr>
        <w:t>气在线监测指标至少包括颗粒物、氮氧化物、二氧化硫、一氧化碳、氯化氢等</w:t>
      </w:r>
      <w:bookmarkEnd w:id="120"/>
      <w:r>
        <w:rPr>
          <w:rFonts w:ascii="Times New Roman" w:hAnsi="Times New Roman" w:eastAsia="宋体" w:cs="Times New Roman"/>
          <w:szCs w:val="21"/>
        </w:rPr>
        <w:t>。</w:t>
      </w:r>
    </w:p>
    <w:p w14:paraId="19EE526D">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5.</w:t>
      </w:r>
      <w:r>
        <w:rPr>
          <w:rFonts w:hint="eastAsia" w:ascii="Times New Roman" w:hAnsi="Times New Roman" w:eastAsia="黑体" w:cs="Times New Roman"/>
          <w:b/>
          <w:bCs/>
          <w:kern w:val="0"/>
          <w:szCs w:val="21"/>
        </w:rPr>
        <w:t>7</w:t>
      </w:r>
      <w:r>
        <w:rPr>
          <w:rFonts w:ascii="Times New Roman" w:hAnsi="Times New Roman" w:eastAsia="黑体" w:cs="Times New Roman"/>
          <w:b/>
          <w:bCs/>
          <w:kern w:val="0"/>
          <w:szCs w:val="21"/>
        </w:rPr>
        <w:t xml:space="preserve">  </w:t>
      </w:r>
      <w:bookmarkStart w:id="121" w:name="_Hlk183055025"/>
      <w:r>
        <w:rPr>
          <w:rFonts w:hint="eastAsia" w:ascii="Times New Roman" w:hAnsi="Times New Roman" w:eastAsia="宋体" w:cs="Times New Roman"/>
          <w:b w:val="0"/>
          <w:bCs w:val="0"/>
          <w:kern w:val="2"/>
          <w:szCs w:val="21"/>
        </w:rPr>
        <w:t>生活垃圾焚烧炉大气污染物浓度监测时的污染物浓度测定方法采用表2所列的方法标准。本标准实施后国家发布的污染物监测方法标准，如适用性满足要求，同样适用于本标准相应污染物的测定</w:t>
      </w:r>
      <w:bookmarkEnd w:id="121"/>
      <w:r>
        <w:rPr>
          <w:rFonts w:hint="eastAsia" w:ascii="Times New Roman" w:hAnsi="Times New Roman" w:eastAsia="宋体" w:cs="Times New Roman"/>
          <w:b w:val="0"/>
          <w:bCs w:val="0"/>
          <w:kern w:val="2"/>
          <w:szCs w:val="21"/>
        </w:rPr>
        <w:t>。</w:t>
      </w:r>
    </w:p>
    <w:p w14:paraId="22D7FA13">
      <w:pPr>
        <w:pStyle w:val="27"/>
        <w:widowControl w:val="0"/>
        <w:overflowPunct w:val="0"/>
        <w:topLinePunct/>
        <w:autoSpaceDE/>
        <w:autoSpaceDN/>
        <w:snapToGrid w:val="0"/>
        <w:spacing w:after="156" w:afterLines="50"/>
        <w:ind w:firstLine="0" w:firstLineChars="0"/>
        <w:jc w:val="center"/>
        <w:rPr>
          <w:rFonts w:ascii="Times New Roman" w:hAnsi="Times New Roman" w:eastAsia="宋体" w:cs="Times New Roman"/>
          <w:b/>
          <w:bCs/>
          <w:szCs w:val="21"/>
        </w:rPr>
      </w:pPr>
      <w:r>
        <w:rPr>
          <w:rFonts w:hint="eastAsia" w:ascii="Times New Roman" w:hAnsi="Times New Roman" w:eastAsia="宋体" w:cs="Times New Roman"/>
          <w:b/>
          <w:bCs/>
          <w:szCs w:val="21"/>
        </w:rPr>
        <w:t>表</w:t>
      </w:r>
      <w:r>
        <w:rPr>
          <w:rFonts w:ascii="Times New Roman" w:hAnsi="Times New Roman" w:eastAsia="宋体" w:cs="Times New Roman"/>
          <w:b/>
          <w:bCs/>
          <w:szCs w:val="21"/>
        </w:rPr>
        <w:t>2 监测分析方法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843"/>
        <w:gridCol w:w="4536"/>
        <w:gridCol w:w="1213"/>
      </w:tblGrid>
      <w:tr w14:paraId="2E7F8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4" w:type="dxa"/>
            <w:vAlign w:val="center"/>
          </w:tcPr>
          <w:p w14:paraId="52A165DF">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bookmarkStart w:id="122" w:name="_Hlk183002669"/>
            <w:r>
              <w:rPr>
                <w:rFonts w:ascii="Times New Roman" w:hAnsi="Times New Roman" w:eastAsia="宋体" w:cs="Times New Roman"/>
                <w:sz w:val="18"/>
                <w:szCs w:val="18"/>
              </w:rPr>
              <w:t>序号</w:t>
            </w:r>
          </w:p>
        </w:tc>
        <w:tc>
          <w:tcPr>
            <w:tcW w:w="1843" w:type="dxa"/>
            <w:vAlign w:val="center"/>
          </w:tcPr>
          <w:p w14:paraId="14CDF3FB">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污染物项目</w:t>
            </w:r>
          </w:p>
        </w:tc>
        <w:tc>
          <w:tcPr>
            <w:tcW w:w="4536" w:type="dxa"/>
            <w:vAlign w:val="center"/>
          </w:tcPr>
          <w:p w14:paraId="3C15A11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方法标准名称</w:t>
            </w:r>
          </w:p>
        </w:tc>
        <w:tc>
          <w:tcPr>
            <w:tcW w:w="1213" w:type="dxa"/>
            <w:vAlign w:val="center"/>
          </w:tcPr>
          <w:p w14:paraId="24D22FC6">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标准编号</w:t>
            </w:r>
          </w:p>
        </w:tc>
      </w:tr>
      <w:tr w14:paraId="3700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6CEFB372">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1</w:t>
            </w:r>
          </w:p>
        </w:tc>
        <w:tc>
          <w:tcPr>
            <w:tcW w:w="1843" w:type="dxa"/>
            <w:vAlign w:val="center"/>
          </w:tcPr>
          <w:p w14:paraId="42C41F2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颗粒物</w:t>
            </w:r>
          </w:p>
        </w:tc>
        <w:tc>
          <w:tcPr>
            <w:tcW w:w="4536" w:type="dxa"/>
            <w:vAlign w:val="center"/>
          </w:tcPr>
          <w:p w14:paraId="78EC66BF">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固定污染源排气中颗粒物测定与气态污染物采样方法</w:t>
            </w:r>
          </w:p>
        </w:tc>
        <w:tc>
          <w:tcPr>
            <w:tcW w:w="1213" w:type="dxa"/>
            <w:vAlign w:val="center"/>
          </w:tcPr>
          <w:p w14:paraId="202E9B16">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GB/T 16157</w:t>
            </w:r>
          </w:p>
        </w:tc>
      </w:tr>
      <w:tr w14:paraId="7FDA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215C2871">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2</w:t>
            </w:r>
          </w:p>
        </w:tc>
        <w:tc>
          <w:tcPr>
            <w:tcW w:w="1843" w:type="dxa"/>
            <w:vMerge w:val="restart"/>
            <w:vAlign w:val="center"/>
          </w:tcPr>
          <w:p w14:paraId="6788357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SO</w:t>
            </w:r>
            <w:r>
              <w:rPr>
                <w:rFonts w:ascii="Times New Roman" w:hAnsi="Times New Roman" w:eastAsia="宋体" w:cs="Times New Roman"/>
                <w:sz w:val="18"/>
                <w:szCs w:val="18"/>
                <w:vertAlign w:val="subscript"/>
              </w:rPr>
              <w:t>2</w:t>
            </w:r>
          </w:p>
        </w:tc>
        <w:tc>
          <w:tcPr>
            <w:tcW w:w="4536" w:type="dxa"/>
            <w:vAlign w:val="center"/>
          </w:tcPr>
          <w:p w14:paraId="6F77FBD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固定污染源排气中二氧化硫的测定 碘量法</w:t>
            </w:r>
          </w:p>
        </w:tc>
        <w:tc>
          <w:tcPr>
            <w:tcW w:w="1213" w:type="dxa"/>
            <w:vAlign w:val="center"/>
          </w:tcPr>
          <w:p w14:paraId="6904FFE8">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56</w:t>
            </w:r>
          </w:p>
        </w:tc>
      </w:tr>
      <w:tr w14:paraId="32BE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73B90BA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1D010A5E">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4BF7860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二氧化硫的测定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定电位电解法</w:t>
            </w:r>
          </w:p>
        </w:tc>
        <w:tc>
          <w:tcPr>
            <w:tcW w:w="1213" w:type="dxa"/>
            <w:vAlign w:val="center"/>
          </w:tcPr>
          <w:p w14:paraId="71DC7D4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57</w:t>
            </w:r>
          </w:p>
        </w:tc>
      </w:tr>
      <w:tr w14:paraId="1BA0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5BE59D2C">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12CB8E1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2616811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固定污染源废气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二氧化硫的测定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非分散红外吸收法</w:t>
            </w:r>
          </w:p>
        </w:tc>
        <w:tc>
          <w:tcPr>
            <w:tcW w:w="1213" w:type="dxa"/>
            <w:vAlign w:val="center"/>
          </w:tcPr>
          <w:p w14:paraId="48631171">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629</w:t>
            </w:r>
          </w:p>
        </w:tc>
      </w:tr>
      <w:tr w14:paraId="2548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0A36AFCC">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3</w:t>
            </w:r>
          </w:p>
        </w:tc>
        <w:tc>
          <w:tcPr>
            <w:tcW w:w="1843" w:type="dxa"/>
            <w:vMerge w:val="restart"/>
            <w:vAlign w:val="center"/>
          </w:tcPr>
          <w:p w14:paraId="6F02C94C">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NO</w:t>
            </w:r>
            <w:r>
              <w:rPr>
                <w:rFonts w:ascii="Times New Roman" w:hAnsi="Times New Roman" w:eastAsia="宋体" w:cs="Times New Roman"/>
                <w:sz w:val="18"/>
                <w:szCs w:val="18"/>
                <w:vertAlign w:val="subscript"/>
              </w:rPr>
              <w:t>x</w:t>
            </w:r>
          </w:p>
        </w:tc>
        <w:tc>
          <w:tcPr>
            <w:tcW w:w="4536" w:type="dxa"/>
            <w:vAlign w:val="center"/>
          </w:tcPr>
          <w:p w14:paraId="58F15E8C">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固定污染源排气中氮氧化物的测定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紫外分光光度法</w:t>
            </w:r>
          </w:p>
        </w:tc>
        <w:tc>
          <w:tcPr>
            <w:tcW w:w="1213" w:type="dxa"/>
            <w:vAlign w:val="center"/>
          </w:tcPr>
          <w:p w14:paraId="3EC4F71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42</w:t>
            </w:r>
          </w:p>
        </w:tc>
      </w:tr>
      <w:tr w14:paraId="3B05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Merge w:val="continue"/>
            <w:vAlign w:val="center"/>
          </w:tcPr>
          <w:p w14:paraId="68ECAFA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5B1BEF5D">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6750F53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固定污染源排气中氮氧化物的测定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盐酸萘乙二胺分光光度法</w:t>
            </w:r>
          </w:p>
        </w:tc>
        <w:tc>
          <w:tcPr>
            <w:tcW w:w="1213" w:type="dxa"/>
            <w:vAlign w:val="center"/>
          </w:tcPr>
          <w:p w14:paraId="27DBEC5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43</w:t>
            </w:r>
          </w:p>
        </w:tc>
      </w:tr>
      <w:tr w14:paraId="14B2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704" w:type="dxa"/>
            <w:vMerge w:val="continue"/>
            <w:vAlign w:val="center"/>
          </w:tcPr>
          <w:p w14:paraId="5B40583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4E85208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643DC01F">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固定污染源废气 氮氧化物的测定 非分散红外吸收法</w:t>
            </w:r>
          </w:p>
        </w:tc>
        <w:tc>
          <w:tcPr>
            <w:tcW w:w="1213" w:type="dxa"/>
            <w:vAlign w:val="center"/>
          </w:tcPr>
          <w:p w14:paraId="3000406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HJ 69</w:t>
            </w:r>
            <w:r>
              <w:rPr>
                <w:rFonts w:hint="eastAsia" w:ascii="Times New Roman" w:hAnsi="Times New Roman" w:eastAsia="宋体" w:cs="Times New Roman"/>
                <w:sz w:val="18"/>
                <w:szCs w:val="18"/>
              </w:rPr>
              <w:t>2</w:t>
            </w:r>
          </w:p>
        </w:tc>
      </w:tr>
      <w:tr w14:paraId="0B70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5F4360B3">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36E1AF42">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0B0D56F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固定污染源废气氮氧化物的测定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定电位电解法</w:t>
            </w:r>
          </w:p>
        </w:tc>
        <w:tc>
          <w:tcPr>
            <w:tcW w:w="1213" w:type="dxa"/>
            <w:vAlign w:val="center"/>
          </w:tcPr>
          <w:p w14:paraId="19CDE8FF">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693</w:t>
            </w:r>
          </w:p>
        </w:tc>
      </w:tr>
      <w:tr w14:paraId="38C4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6B47C84F">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4</w:t>
            </w:r>
          </w:p>
        </w:tc>
        <w:tc>
          <w:tcPr>
            <w:tcW w:w="1843" w:type="dxa"/>
            <w:vMerge w:val="restart"/>
            <w:vAlign w:val="center"/>
          </w:tcPr>
          <w:p w14:paraId="3BDC5C96">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HCl</w:t>
            </w:r>
          </w:p>
        </w:tc>
        <w:tc>
          <w:tcPr>
            <w:tcW w:w="4536" w:type="dxa"/>
            <w:vAlign w:val="center"/>
          </w:tcPr>
          <w:p w14:paraId="0FD8B0E6">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固定污染源排气中氯化氢的测定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硫氰酸汞分光光度法</w:t>
            </w:r>
          </w:p>
        </w:tc>
        <w:tc>
          <w:tcPr>
            <w:tcW w:w="1213" w:type="dxa"/>
            <w:vAlign w:val="center"/>
          </w:tcPr>
          <w:p w14:paraId="07072932">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27</w:t>
            </w:r>
          </w:p>
        </w:tc>
      </w:tr>
      <w:tr w14:paraId="556F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5651DB7D">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1D5E391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71B940B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氯化氢的测定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硝酸银容量法</w:t>
            </w:r>
          </w:p>
        </w:tc>
        <w:tc>
          <w:tcPr>
            <w:tcW w:w="1213" w:type="dxa"/>
            <w:vAlign w:val="center"/>
          </w:tcPr>
          <w:p w14:paraId="6AF50938">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548</w:t>
            </w:r>
          </w:p>
        </w:tc>
      </w:tr>
      <w:tr w14:paraId="7179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32B4EC1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1843" w:type="dxa"/>
            <w:vMerge w:val="continue"/>
            <w:vAlign w:val="center"/>
          </w:tcPr>
          <w:p w14:paraId="61D0F116">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p>
        </w:tc>
        <w:tc>
          <w:tcPr>
            <w:tcW w:w="4536" w:type="dxa"/>
            <w:vAlign w:val="center"/>
          </w:tcPr>
          <w:p w14:paraId="27BDB994">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环境空气和废气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氯化氢的测定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离子色谱法</w:t>
            </w:r>
          </w:p>
        </w:tc>
        <w:tc>
          <w:tcPr>
            <w:tcW w:w="1213" w:type="dxa"/>
            <w:vAlign w:val="center"/>
          </w:tcPr>
          <w:p w14:paraId="34851B6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549</w:t>
            </w:r>
          </w:p>
        </w:tc>
      </w:tr>
      <w:tr w14:paraId="1850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5AFB5402">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5</w:t>
            </w:r>
          </w:p>
        </w:tc>
        <w:tc>
          <w:tcPr>
            <w:tcW w:w="1843" w:type="dxa"/>
            <w:vAlign w:val="center"/>
          </w:tcPr>
          <w:p w14:paraId="76D2B8F3">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CO</w:t>
            </w:r>
          </w:p>
        </w:tc>
        <w:tc>
          <w:tcPr>
            <w:tcW w:w="4536" w:type="dxa"/>
            <w:vAlign w:val="center"/>
          </w:tcPr>
          <w:p w14:paraId="0D0E358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固定污染源排气中一氧化碳的测定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非色散红外吸收法</w:t>
            </w:r>
          </w:p>
        </w:tc>
        <w:tc>
          <w:tcPr>
            <w:tcW w:w="1213" w:type="dxa"/>
            <w:vAlign w:val="center"/>
          </w:tcPr>
          <w:p w14:paraId="7527F0E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HJ/T 44</w:t>
            </w:r>
          </w:p>
        </w:tc>
      </w:tr>
      <w:tr w14:paraId="649A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6CC040DA">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6</w:t>
            </w:r>
          </w:p>
        </w:tc>
        <w:tc>
          <w:tcPr>
            <w:tcW w:w="1843" w:type="dxa"/>
            <w:vAlign w:val="center"/>
          </w:tcPr>
          <w:p w14:paraId="2684E76E">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汞</w:t>
            </w:r>
          </w:p>
        </w:tc>
        <w:tc>
          <w:tcPr>
            <w:tcW w:w="4536" w:type="dxa"/>
            <w:vAlign w:val="center"/>
          </w:tcPr>
          <w:p w14:paraId="0087818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固定污染源废气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汞的测定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冷原子吸收分光光度法</w:t>
            </w:r>
          </w:p>
        </w:tc>
        <w:tc>
          <w:tcPr>
            <w:tcW w:w="1213" w:type="dxa"/>
            <w:vAlign w:val="center"/>
          </w:tcPr>
          <w:p w14:paraId="697FBDA0">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543</w:t>
            </w:r>
          </w:p>
        </w:tc>
      </w:tr>
      <w:tr w14:paraId="725D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704" w:type="dxa"/>
            <w:vAlign w:val="center"/>
          </w:tcPr>
          <w:p w14:paraId="18B2AA99">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7</w:t>
            </w:r>
          </w:p>
        </w:tc>
        <w:tc>
          <w:tcPr>
            <w:tcW w:w="1843" w:type="dxa"/>
            <w:vAlign w:val="center"/>
          </w:tcPr>
          <w:p w14:paraId="19476F0D">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镉、铊、砷、铅、铬、锰、镍、锡、锑、铜、钴</w:t>
            </w:r>
          </w:p>
        </w:tc>
        <w:tc>
          <w:tcPr>
            <w:tcW w:w="4536" w:type="dxa"/>
            <w:vAlign w:val="center"/>
          </w:tcPr>
          <w:p w14:paraId="02369529">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空气和废气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颗粒物中铅等金属元素的测定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电感耦合等离子体质谱法</w:t>
            </w:r>
          </w:p>
        </w:tc>
        <w:tc>
          <w:tcPr>
            <w:tcW w:w="1213" w:type="dxa"/>
            <w:vAlign w:val="center"/>
          </w:tcPr>
          <w:p w14:paraId="03050357">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657</w:t>
            </w:r>
          </w:p>
        </w:tc>
      </w:tr>
      <w:tr w14:paraId="57FD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144D95EC">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8</w:t>
            </w:r>
          </w:p>
        </w:tc>
        <w:tc>
          <w:tcPr>
            <w:tcW w:w="1843" w:type="dxa"/>
            <w:vAlign w:val="center"/>
          </w:tcPr>
          <w:p w14:paraId="7F7D47C9">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二噁英类</w:t>
            </w:r>
          </w:p>
        </w:tc>
        <w:tc>
          <w:tcPr>
            <w:tcW w:w="4536" w:type="dxa"/>
            <w:vAlign w:val="center"/>
          </w:tcPr>
          <w:p w14:paraId="70B3F7EE">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环境空气和废气</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二</w:t>
            </w:r>
            <w:r>
              <w:rPr>
                <w:rFonts w:hint="eastAsia" w:ascii="Times New Roman" w:hAnsi="Times New Roman" w:eastAsia="宋体" w:cs="Times New Roman"/>
                <w:sz w:val="18"/>
                <w:szCs w:val="18"/>
              </w:rPr>
              <w:t>噁</w:t>
            </w:r>
            <w:r>
              <w:rPr>
                <w:rFonts w:ascii="Times New Roman" w:hAnsi="Times New Roman" w:eastAsia="宋体" w:cs="Times New Roman"/>
                <w:sz w:val="18"/>
                <w:szCs w:val="18"/>
              </w:rPr>
              <w:t>英类的测定</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同位素稀释高分辨气相色谱-高分辨质谱法</w:t>
            </w:r>
          </w:p>
        </w:tc>
        <w:tc>
          <w:tcPr>
            <w:tcW w:w="1213" w:type="dxa"/>
            <w:vAlign w:val="center"/>
          </w:tcPr>
          <w:p w14:paraId="433B60CB">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b/>
                <w:bCs/>
                <w:sz w:val="18"/>
                <w:szCs w:val="18"/>
              </w:rPr>
            </w:pPr>
            <w:r>
              <w:rPr>
                <w:rFonts w:ascii="Times New Roman" w:hAnsi="Times New Roman" w:eastAsia="宋体" w:cs="Times New Roman"/>
                <w:sz w:val="18"/>
                <w:szCs w:val="18"/>
              </w:rPr>
              <w:t>HJ 77.2</w:t>
            </w:r>
          </w:p>
        </w:tc>
      </w:tr>
      <w:tr w14:paraId="1913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2580BE33">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w:t>
            </w:r>
          </w:p>
        </w:tc>
        <w:tc>
          <w:tcPr>
            <w:tcW w:w="1843" w:type="dxa"/>
            <w:vAlign w:val="center"/>
          </w:tcPr>
          <w:p w14:paraId="570D7E8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氨</w:t>
            </w:r>
          </w:p>
        </w:tc>
        <w:tc>
          <w:tcPr>
            <w:tcW w:w="4536" w:type="dxa"/>
            <w:vAlign w:val="center"/>
          </w:tcPr>
          <w:p w14:paraId="3BBBA5E9">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环境空气和废气 氨的测定 纳氏试剂分光光度法</w:t>
            </w:r>
          </w:p>
        </w:tc>
        <w:tc>
          <w:tcPr>
            <w:tcW w:w="1213" w:type="dxa"/>
            <w:vAlign w:val="center"/>
          </w:tcPr>
          <w:p w14:paraId="28D89D35">
            <w:pPr>
              <w:pStyle w:val="27"/>
              <w:widowControl w:val="0"/>
              <w:overflowPunct w:val="0"/>
              <w:topLinePunct/>
              <w:autoSpaceDE/>
              <w:autoSpaceDN/>
              <w:snapToGrid w:val="0"/>
              <w:spacing w:before="156" w:beforeLines="50" w:after="156" w:afterLines="50"/>
              <w:ind w:firstLine="0" w:firstLineChars="0"/>
              <w:jc w:val="center"/>
              <w:rPr>
                <w:rFonts w:ascii="Times New Roman" w:hAnsi="Times New Roman" w:eastAsia="宋体" w:cs="Times New Roman"/>
                <w:sz w:val="18"/>
                <w:szCs w:val="18"/>
              </w:rPr>
            </w:pPr>
            <w:r>
              <w:rPr>
                <w:rFonts w:ascii="Times New Roman" w:hAnsi="Times New Roman" w:eastAsia="宋体" w:cs="Times New Roman"/>
                <w:sz w:val="18"/>
                <w:szCs w:val="18"/>
              </w:rPr>
              <w:t>HJ 533</w:t>
            </w:r>
          </w:p>
        </w:tc>
      </w:tr>
      <w:bookmarkEnd w:id="122"/>
    </w:tbl>
    <w:p w14:paraId="28D02554">
      <w:pPr>
        <w:pStyle w:val="30"/>
        <w:overflowPunct w:val="0"/>
        <w:topLinePunct/>
        <w:spacing w:before="0" w:beforeLines="0" w:after="0" w:afterLines="0" w:line="360" w:lineRule="auto"/>
        <w:ind w:left="0"/>
        <w:jc w:val="both"/>
        <w:rPr>
          <w:rFonts w:ascii="Times New Roman"/>
          <w:b/>
          <w:bCs/>
        </w:rPr>
      </w:pPr>
      <w:bookmarkStart w:id="123" w:name="_Toc172651356"/>
      <w:r>
        <w:rPr>
          <w:rFonts w:ascii="Times New Roman"/>
          <w:b/>
          <w:bCs/>
        </w:rPr>
        <w:t>5.</w:t>
      </w:r>
      <w:r>
        <w:rPr>
          <w:rFonts w:hint="eastAsia" w:ascii="Times New Roman"/>
          <w:b/>
          <w:bCs/>
        </w:rPr>
        <w:t>8</w:t>
      </w:r>
      <w:r>
        <w:rPr>
          <w:rFonts w:ascii="Times New Roman"/>
          <w:b/>
          <w:bCs/>
        </w:rPr>
        <w:t xml:space="preserve">  大气污染物基准氧含量浓度折算方法</w:t>
      </w:r>
      <w:bookmarkEnd w:id="123"/>
    </w:p>
    <w:p w14:paraId="78F454AA">
      <w:pPr>
        <w:pStyle w:val="27"/>
        <w:widowControl w:val="0"/>
        <w:overflowPunct w:val="0"/>
        <w:topLinePunct/>
        <w:autoSpaceDE/>
        <w:autoSpaceDN/>
        <w:snapToGrid w:val="0"/>
        <w:spacing w:line="360" w:lineRule="auto"/>
        <w:rPr>
          <w:rFonts w:ascii="Times New Roman" w:hAnsi="Times New Roman" w:eastAsia="宋体" w:cs="Times New Roman"/>
          <w:szCs w:val="21"/>
        </w:rPr>
      </w:pPr>
      <w:bookmarkStart w:id="124" w:name="_Hlk183055166"/>
      <w:r>
        <w:rPr>
          <w:rFonts w:hint="eastAsia" w:ascii="Times New Roman" w:hAnsi="Times New Roman" w:eastAsia="宋体" w:cs="Times New Roman"/>
          <w:szCs w:val="21"/>
        </w:rPr>
        <w:t>本标准规定的各项污染物浓度的排放限值，均指在标准状态下以</w:t>
      </w:r>
      <w:r>
        <w:rPr>
          <w:rFonts w:ascii="Times New Roman" w:hAnsi="Times New Roman" w:eastAsia="宋体" w:cs="Times New Roman"/>
          <w:szCs w:val="21"/>
        </w:rPr>
        <w:t>11%</w:t>
      </w:r>
      <w:r>
        <w:rPr>
          <w:rFonts w:hint="eastAsia" w:ascii="Times New Roman" w:hAnsi="Times New Roman" w:eastAsia="宋体" w:cs="Times New Roman"/>
          <w:szCs w:val="21"/>
        </w:rPr>
        <w:t>（</w:t>
      </w:r>
      <w:r>
        <w:rPr>
          <w:rFonts w:ascii="Times New Roman" w:hAnsi="Times New Roman" w:eastAsia="宋体" w:cs="Times New Roman"/>
          <w:szCs w:val="21"/>
        </w:rPr>
        <w:t>V/V%</w:t>
      </w:r>
      <w:r>
        <w:rPr>
          <w:rFonts w:hint="eastAsia" w:ascii="Times New Roman" w:hAnsi="Times New Roman" w:eastAsia="宋体" w:cs="Times New Roman"/>
          <w:szCs w:val="21"/>
        </w:rPr>
        <w:t>）</w:t>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hint="eastAsia" w:ascii="Times New Roman" w:hAnsi="Times New Roman" w:eastAsia="宋体" w:cs="Times New Roman"/>
          <w:szCs w:val="21"/>
        </w:rPr>
        <w:t>（</w:t>
      </w:r>
      <w:r>
        <w:rPr>
          <w:rFonts w:ascii="Times New Roman" w:hAnsi="Times New Roman" w:eastAsia="宋体" w:cs="Times New Roman"/>
          <w:szCs w:val="21"/>
        </w:rPr>
        <w:t>干烟气</w:t>
      </w:r>
      <w:r>
        <w:rPr>
          <w:rFonts w:hint="eastAsia" w:ascii="Times New Roman" w:hAnsi="Times New Roman" w:eastAsia="宋体" w:cs="Times New Roman"/>
          <w:szCs w:val="21"/>
        </w:rPr>
        <w:t>）</w:t>
      </w:r>
      <w:r>
        <w:rPr>
          <w:rFonts w:ascii="Times New Roman" w:hAnsi="Times New Roman" w:eastAsia="宋体" w:cs="Times New Roman"/>
          <w:szCs w:val="21"/>
        </w:rPr>
        <w:t>作为换算基准换算后的基准氧含量排放浓度</w:t>
      </w:r>
      <w:r>
        <w:rPr>
          <w:rFonts w:hint="eastAsia" w:ascii="Times New Roman" w:hAnsi="Times New Roman" w:eastAsia="宋体" w:cs="Times New Roman"/>
          <w:szCs w:val="21"/>
        </w:rPr>
        <w:t>，按下式进行换算：</w:t>
      </w:r>
    </w:p>
    <w:p w14:paraId="081E5B1E">
      <w:pPr>
        <w:pStyle w:val="27"/>
        <w:widowControl w:val="0"/>
        <w:overflowPunct w:val="0"/>
        <w:topLinePunct/>
        <w:autoSpaceDE/>
        <w:autoSpaceDN/>
        <w:snapToGrid w:val="0"/>
        <w:spacing w:line="360" w:lineRule="auto"/>
        <w:ind w:firstLine="420" w:firstLineChars="200"/>
        <w:rPr>
          <w:rFonts w:ascii="Times New Roman" w:hAnsi="Times New Roman" w:eastAsia="宋体" w:cs="Times New Roman"/>
          <w:szCs w:val="21"/>
        </w:rPr>
      </w:pPr>
      <m:oMathPara>
        <m:oMath>
          <m:r>
            <m:rPr/>
            <w:rPr>
              <w:rFonts w:hint="eastAsia" w:ascii="Cambria Math" w:hAnsi="Cambria Math" w:eastAsia="宋体" w:cs="Times New Roman"/>
              <w:szCs w:val="21"/>
            </w:rPr>
            <m:t>c</m:t>
          </m:r>
          <m:r>
            <m:rPr>
              <m:sty m:val="p"/>
            </m:rPr>
            <w:rPr>
              <w:rFonts w:ascii="Cambria Math" w:hAnsi="Cambria Math" w:eastAsia="宋体" w:cs="Times New Roman"/>
              <w:szCs w:val="21"/>
            </w:rPr>
            <m:t>=</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m:sty m:val="p"/>
                </m:rPr>
                <w:rPr>
                  <w:rFonts w:ascii="Cambria Math" w:hAnsi="Cambria Math" w:eastAsia="宋体" w:cs="Times New Roman"/>
                  <w:szCs w:val="21"/>
                </w:rPr>
                <m:t>'</m:t>
              </m:r>
              <m:ctrlPr>
                <w:rPr>
                  <w:rFonts w:ascii="Cambria Math" w:hAnsi="Cambria Math" w:eastAsia="宋体" w:cs="Times New Roman"/>
                  <w:szCs w:val="21"/>
                </w:rPr>
              </m:ctrlPr>
            </m:sup>
          </m:sSup>
          <m:r>
            <m:rPr>
              <m:sty m:val="p"/>
            </m:rPr>
            <w:rPr>
              <w:rFonts w:ascii="Cambria Math" w:hAnsi="Cambria Math" w:eastAsia="宋体" w:cs="Times New Roman"/>
              <w:szCs w:val="21"/>
            </w:rPr>
            <m:t>×</m:t>
          </m:r>
          <m:f>
            <m:fPr>
              <m:ctrlPr>
                <w:rPr>
                  <w:rFonts w:ascii="Cambria Math" w:hAnsi="Cambria Math" w:eastAsia="宋体" w:cs="Times New Roman"/>
                  <w:szCs w:val="21"/>
                </w:rPr>
              </m:ctrlPr>
            </m:fPr>
            <m:num>
              <m:r>
                <m:rPr>
                  <m:sty m:val="p"/>
                </m:rPr>
                <w:rPr>
                  <w:rFonts w:ascii="Cambria Math" w:hAnsi="Cambria Math" w:eastAsia="宋体" w:cs="Times New Roman"/>
                  <w:szCs w:val="21"/>
                </w:rPr>
                <m:t>21−11</m:t>
              </m:r>
              <m:ctrlPr>
                <w:rPr>
                  <w:rFonts w:ascii="Cambria Math" w:hAnsi="Cambria Math" w:eastAsia="宋体" w:cs="Times New Roman"/>
                  <w:szCs w:val="21"/>
                </w:rPr>
              </m:ctrlPr>
            </m:num>
            <m:den>
              <m:sSub>
                <m:sSubPr>
                  <m:ctrlPr>
                    <w:rPr>
                      <w:rFonts w:ascii="Cambria Math" w:hAnsi="Cambria Math" w:eastAsia="宋体" w:cs="Times New Roman"/>
                      <w:szCs w:val="21"/>
                    </w:rPr>
                  </m:ctrlPr>
                </m:sSubPr>
                <m:e>
                  <m:r>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Sub>
              <m:r>
                <m:rPr>
                  <m:sty m:val="p"/>
                </m:rPr>
                <w:rPr>
                  <w:rFonts w:ascii="Cambria Math" w:hAnsi="Cambria Math" w:eastAsia="宋体" w:cs="Times New Roman"/>
                  <w:szCs w:val="21"/>
                </w:rPr>
                <m:t>−</m:t>
              </m:r>
              <m:sSubSup>
                <m:sSubSupPr>
                  <m:ctrlPr>
                    <w:rPr>
                      <w:rFonts w:ascii="Cambria Math" w:hAnsi="Cambria Math" w:eastAsia="宋体" w:cs="Times New Roman"/>
                      <w:szCs w:val="21"/>
                    </w:rPr>
                  </m:ctrlPr>
                </m:sSubSupPr>
                <m:e>
                  <m:r>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2</m:t>
                  </m:r>
                  <m:ctrlPr>
                    <w:rPr>
                      <w:rFonts w:ascii="Cambria Math" w:hAnsi="Cambria Math" w:eastAsia="宋体" w:cs="Times New Roman"/>
                      <w:szCs w:val="21"/>
                    </w:rPr>
                  </m:ctrlPr>
                </m:sub>
                <m:sup>
                  <m:r>
                    <m:rPr>
                      <m:sty m:val="p"/>
                    </m:rPr>
                    <w:rPr>
                      <w:rFonts w:ascii="Cambria Math" w:hAnsi="Cambria Math" w:eastAsia="宋体" w:cs="Times New Roman"/>
                      <w:szCs w:val="21"/>
                    </w:rPr>
                    <m:t>'</m:t>
                  </m:r>
                  <m:ctrlPr>
                    <w:rPr>
                      <w:rFonts w:ascii="Cambria Math" w:hAnsi="Cambria Math" w:eastAsia="宋体" w:cs="Times New Roman"/>
                      <w:szCs w:val="21"/>
                    </w:rPr>
                  </m:ctrlPr>
                </m:sup>
              </m:sSubSup>
              <m:ctrlPr>
                <w:rPr>
                  <w:rFonts w:ascii="Cambria Math" w:hAnsi="Cambria Math" w:eastAsia="宋体" w:cs="Times New Roman"/>
                  <w:szCs w:val="21"/>
                </w:rPr>
              </m:ctrlPr>
            </m:den>
          </m:f>
        </m:oMath>
      </m:oMathPara>
    </w:p>
    <w:p w14:paraId="0F9A4F50">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hint="eastAsia" w:ascii="Times New Roman" w:hAnsi="Times New Roman" w:eastAsia="宋体" w:cs="Times New Roman"/>
          <w:szCs w:val="21"/>
        </w:rPr>
        <w:t>式中：</w:t>
      </w:r>
    </w:p>
    <w:p w14:paraId="2DE1797E">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i/>
          <w:iCs/>
          <w:szCs w:val="21"/>
        </w:rPr>
        <w:t>c</w:t>
      </w:r>
      <w:r>
        <w:rPr>
          <w:rFonts w:ascii="Times New Roman" w:hAnsi="Times New Roman" w:eastAsia="宋体" w:cs="Times New Roman"/>
          <w:szCs w:val="21"/>
        </w:rPr>
        <w:t>——大气污染物基准氧含量排放浓度</w:t>
      </w:r>
      <w:r>
        <w:rPr>
          <w:rFonts w:hint="eastAsia" w:ascii="Times New Roman" w:hAnsi="Times New Roman" w:eastAsia="宋体" w:cs="Times New Roman"/>
          <w:szCs w:val="21"/>
        </w:rPr>
        <w:t>，</w:t>
      </w:r>
      <w:r>
        <w:rPr>
          <w:rFonts w:ascii="Times New Roman" w:hAnsi="Times New Roman" w:eastAsia="宋体" w:cs="Times New Roman"/>
          <w:szCs w:val="21"/>
        </w:rPr>
        <w:t>mg/m</w:t>
      </w:r>
      <w:r>
        <w:rPr>
          <w:rFonts w:ascii="Times New Roman" w:hAnsi="Times New Roman" w:eastAsia="宋体" w:cs="Times New Roman"/>
          <w:szCs w:val="21"/>
          <w:vertAlign w:val="superscript"/>
        </w:rPr>
        <w:t>3</w:t>
      </w:r>
      <w:r>
        <w:rPr>
          <w:rFonts w:hint="eastAsia" w:ascii="Times New Roman" w:hAnsi="Times New Roman" w:eastAsia="宋体" w:cs="Times New Roman"/>
          <w:szCs w:val="21"/>
        </w:rPr>
        <w:t>；</w:t>
      </w:r>
    </w:p>
    <w:p w14:paraId="3DFEB0EA">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i/>
          <w:iCs/>
          <w:szCs w:val="21"/>
        </w:rPr>
        <w:t>c'</w:t>
      </w:r>
      <w:r>
        <w:rPr>
          <w:rFonts w:ascii="Times New Roman" w:hAnsi="Times New Roman" w:eastAsia="宋体" w:cs="Times New Roman"/>
          <w:szCs w:val="21"/>
        </w:rPr>
        <w:t>——实测的大气污染物排放浓度</w:t>
      </w:r>
      <w:r>
        <w:rPr>
          <w:rFonts w:hint="eastAsia" w:ascii="Times New Roman" w:hAnsi="Times New Roman" w:eastAsia="宋体" w:cs="Times New Roman"/>
          <w:szCs w:val="21"/>
        </w:rPr>
        <w:t>，</w:t>
      </w:r>
      <w:r>
        <w:rPr>
          <w:rFonts w:ascii="Times New Roman" w:hAnsi="Times New Roman" w:eastAsia="宋体" w:cs="Times New Roman"/>
          <w:szCs w:val="21"/>
        </w:rPr>
        <w:t>mg/m</w:t>
      </w:r>
      <w:r>
        <w:rPr>
          <w:rFonts w:ascii="Times New Roman" w:hAnsi="Times New Roman" w:eastAsia="宋体" w:cs="Times New Roman"/>
          <w:szCs w:val="21"/>
          <w:vertAlign w:val="superscript"/>
        </w:rPr>
        <w:t>3</w:t>
      </w:r>
      <w:r>
        <w:rPr>
          <w:rFonts w:hint="eastAsia" w:ascii="Times New Roman" w:hAnsi="Times New Roman" w:eastAsia="宋体" w:cs="Times New Roman"/>
          <w:szCs w:val="21"/>
        </w:rPr>
        <w:t>；</w:t>
      </w:r>
    </w:p>
    <w:p w14:paraId="6ED5C830">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i/>
          <w:iCs/>
          <w:szCs w:val="21"/>
        </w:rPr>
        <w:t>O</w:t>
      </w:r>
      <w:r>
        <w:rPr>
          <w:rFonts w:ascii="Times New Roman" w:hAnsi="Times New Roman" w:eastAsia="宋体" w:cs="Times New Roman"/>
          <w:i/>
          <w:iCs/>
          <w:szCs w:val="21"/>
          <w:vertAlign w:val="subscript"/>
        </w:rPr>
        <w:t>2</w:t>
      </w:r>
      <w:r>
        <w:rPr>
          <w:rFonts w:ascii="Times New Roman" w:hAnsi="Times New Roman" w:eastAsia="宋体" w:cs="Times New Roman"/>
          <w:szCs w:val="21"/>
        </w:rPr>
        <w:t>——</w:t>
      </w:r>
      <w:r>
        <w:rPr>
          <w:rFonts w:hint="eastAsia" w:ascii="Times New Roman" w:hAnsi="Times New Roman" w:eastAsia="宋体" w:cs="Times New Roman"/>
          <w:szCs w:val="21"/>
        </w:rPr>
        <w:t>助燃空气初始含氧量，</w:t>
      </w:r>
      <w:r>
        <w:rPr>
          <w:rFonts w:ascii="Times New Roman" w:hAnsi="Times New Roman" w:eastAsia="宋体" w:cs="Times New Roman"/>
          <w:szCs w:val="21"/>
        </w:rPr>
        <w:t>%</w:t>
      </w:r>
      <w:r>
        <w:rPr>
          <w:rFonts w:hint="eastAsia" w:ascii="Times New Roman" w:hAnsi="Times New Roman" w:eastAsia="宋体" w:cs="Times New Roman"/>
          <w:szCs w:val="21"/>
        </w:rPr>
        <w:t>，以空气助燃时取21；</w:t>
      </w:r>
    </w:p>
    <w:p w14:paraId="1A6DC8B5">
      <w:pPr>
        <w:pStyle w:val="27"/>
        <w:widowControl w:val="0"/>
        <w:overflowPunct w:val="0"/>
        <w:topLinePunct/>
        <w:autoSpaceDE/>
        <w:autoSpaceDN/>
        <w:snapToGrid w:val="0"/>
        <w:spacing w:line="360" w:lineRule="auto"/>
        <w:rPr>
          <w:rFonts w:ascii="Times New Roman" w:hAnsi="Times New Roman" w:eastAsia="宋体" w:cs="Times New Roman"/>
          <w:szCs w:val="21"/>
        </w:rPr>
      </w:pPr>
      <w:r>
        <w:rPr>
          <w:rFonts w:ascii="Times New Roman" w:hAnsi="Times New Roman" w:eastAsia="宋体" w:cs="Times New Roman"/>
          <w:i/>
          <w:iCs/>
          <w:szCs w:val="21"/>
        </w:rPr>
        <w:t>O</w:t>
      </w:r>
      <w:r>
        <w:rPr>
          <w:rFonts w:ascii="Times New Roman" w:hAnsi="Times New Roman" w:eastAsia="宋体" w:cs="Times New Roman"/>
          <w:i/>
          <w:iCs/>
          <w:szCs w:val="21"/>
          <w:vertAlign w:val="subscript"/>
        </w:rPr>
        <w:t>2</w:t>
      </w:r>
      <w:r>
        <w:rPr>
          <w:rFonts w:ascii="Times New Roman" w:hAnsi="Times New Roman" w:eastAsia="宋体" w:cs="Times New Roman"/>
          <w:i/>
          <w:iCs/>
          <w:szCs w:val="21"/>
        </w:rPr>
        <w:t>'</w:t>
      </w:r>
      <w:r>
        <w:rPr>
          <w:rFonts w:ascii="Times New Roman" w:hAnsi="Times New Roman" w:eastAsia="宋体" w:cs="Times New Roman"/>
          <w:szCs w:val="21"/>
        </w:rPr>
        <w:t>——实测的氧含量，%。</w:t>
      </w:r>
      <w:bookmarkEnd w:id="124"/>
    </w:p>
    <w:p w14:paraId="00B9978F">
      <w:pPr>
        <w:pStyle w:val="28"/>
        <w:numPr>
          <w:ilvl w:val="0"/>
          <w:numId w:val="0"/>
        </w:numPr>
        <w:overflowPunct w:val="0"/>
        <w:topLinePunct/>
        <w:rPr>
          <w:rFonts w:ascii="Times New Roman"/>
          <w:b/>
          <w:bCs/>
        </w:rPr>
      </w:pPr>
      <w:bookmarkStart w:id="125" w:name="_Toc172651357"/>
      <w:r>
        <w:rPr>
          <w:rFonts w:ascii="Times New Roman"/>
          <w:b/>
          <w:bCs/>
        </w:rPr>
        <w:t>6  达标判定</w:t>
      </w:r>
      <w:bookmarkEnd w:id="125"/>
    </w:p>
    <w:p w14:paraId="6AF7E738">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6.1</w:t>
      </w:r>
      <w:r>
        <w:rPr>
          <w:rFonts w:hint="eastAsia" w:ascii="Times New Roman" w:hAnsi="Times New Roman" w:eastAsia="黑体" w:cs="Times New Roman"/>
          <w:b/>
          <w:bCs/>
          <w:kern w:val="0"/>
          <w:szCs w:val="21"/>
        </w:rPr>
        <w:t xml:space="preserve"> </w:t>
      </w:r>
      <w:r>
        <w:rPr>
          <w:rFonts w:ascii="Times New Roman" w:hAnsi="Times New Roman" w:eastAsia="黑体" w:cs="Times New Roman"/>
          <w:b/>
          <w:bCs/>
          <w:kern w:val="0"/>
          <w:szCs w:val="21"/>
        </w:rPr>
        <w:t xml:space="preserve"> </w:t>
      </w:r>
      <w:bookmarkStart w:id="126" w:name="_Hlk183055225"/>
      <w:r>
        <w:rPr>
          <w:rFonts w:ascii="Times New Roman" w:hAnsi="Times New Roman" w:eastAsia="宋体" w:cs="Times New Roman"/>
          <w:szCs w:val="21"/>
        </w:rPr>
        <w:t>各级生态环境部门按照相关手工监测技术规范获取的任意</w:t>
      </w:r>
      <w:r>
        <w:rPr>
          <w:rFonts w:ascii="Times New Roman" w:hAnsi="Times New Roman" w:eastAsia="宋体" w:cs="Times New Roman"/>
          <w:szCs w:val="21"/>
          <w:highlight w:val="none"/>
        </w:rPr>
        <w:t>1</w:t>
      </w:r>
      <w:r>
        <w:rPr>
          <w:rFonts w:hint="eastAsia" w:ascii="Times New Roman" w:hAnsi="Times New Roman" w:eastAsia="宋体" w:cs="Times New Roman"/>
          <w:szCs w:val="21"/>
          <w:highlight w:val="none"/>
        </w:rPr>
        <w:t>小时均值浓度、</w:t>
      </w:r>
      <w:r>
        <w:rPr>
          <w:rFonts w:ascii="Times New Roman" w:hAnsi="Times New Roman" w:eastAsia="宋体" w:cs="Times New Roman"/>
          <w:szCs w:val="21"/>
          <w:highlight w:val="none"/>
        </w:rPr>
        <w:t>24</w:t>
      </w:r>
      <w:r>
        <w:rPr>
          <w:rFonts w:hint="eastAsia" w:ascii="Times New Roman" w:hAnsi="Times New Roman" w:eastAsia="宋体" w:cs="Times New Roman"/>
          <w:szCs w:val="21"/>
          <w:highlight w:val="none"/>
        </w:rPr>
        <w:t>小时均值浓度、测定均值浓度超过本标准排放浓度限值的，判定为排放</w:t>
      </w:r>
      <w:r>
        <w:rPr>
          <w:rFonts w:ascii="Times New Roman" w:hAnsi="Times New Roman" w:eastAsia="宋体" w:cs="Times New Roman"/>
          <w:szCs w:val="21"/>
        </w:rPr>
        <w:t>超标。</w:t>
      </w:r>
      <w:bookmarkEnd w:id="126"/>
    </w:p>
    <w:p w14:paraId="76623402">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6.</w:t>
      </w:r>
      <w:r>
        <w:rPr>
          <w:rFonts w:hint="eastAsia" w:ascii="Times New Roman" w:hAnsi="Times New Roman" w:eastAsia="黑体" w:cs="Times New Roman"/>
          <w:b/>
          <w:bCs/>
          <w:kern w:val="0"/>
          <w:szCs w:val="21"/>
        </w:rPr>
        <w:t>2</w:t>
      </w:r>
      <w:r>
        <w:rPr>
          <w:rFonts w:ascii="Times New Roman" w:hAnsi="Times New Roman" w:eastAsia="黑体" w:cs="Times New Roman"/>
          <w:b/>
          <w:bCs/>
          <w:kern w:val="0"/>
          <w:szCs w:val="21"/>
        </w:rPr>
        <w:t xml:space="preserve">  </w:t>
      </w:r>
      <w:r>
        <w:rPr>
          <w:rFonts w:ascii="Times New Roman" w:hAnsi="Times New Roman" w:eastAsia="宋体" w:cs="Times New Roman"/>
          <w:szCs w:val="21"/>
        </w:rPr>
        <w:t>按照《生活垃圾焚烧发电厂自动监测数据应用管理规定》</w:t>
      </w:r>
      <w:r>
        <w:rPr>
          <w:rFonts w:hint="eastAsia" w:ascii="Times New Roman" w:hAnsi="Times New Roman" w:eastAsia="宋体" w:cs="Times New Roman"/>
          <w:szCs w:val="21"/>
        </w:rPr>
        <w:t>（</w:t>
      </w:r>
      <w:r>
        <w:rPr>
          <w:rFonts w:ascii="Times New Roman" w:hAnsi="Times New Roman" w:eastAsia="宋体" w:cs="Times New Roman"/>
          <w:szCs w:val="21"/>
        </w:rPr>
        <w:t>部令</w:t>
      </w:r>
      <w:r>
        <w:rPr>
          <w:rFonts w:hint="eastAsia" w:ascii="Times New Roman" w:hAnsi="Times New Roman" w:eastAsia="宋体" w:cs="Times New Roman"/>
          <w:szCs w:val="21"/>
        </w:rPr>
        <w:t xml:space="preserve"> </w:t>
      </w:r>
      <w:r>
        <w:rPr>
          <w:rFonts w:ascii="Times New Roman" w:hAnsi="Times New Roman" w:eastAsia="宋体" w:cs="Times New Roman"/>
          <w:szCs w:val="21"/>
        </w:rPr>
        <w:t>第10号</w:t>
      </w:r>
      <w:r>
        <w:rPr>
          <w:rFonts w:hint="eastAsia" w:ascii="Times New Roman" w:hAnsi="Times New Roman" w:eastAsia="宋体" w:cs="Times New Roman"/>
          <w:szCs w:val="21"/>
        </w:rPr>
        <w:t>）</w:t>
      </w:r>
      <w:r>
        <w:rPr>
          <w:rFonts w:ascii="Times New Roman" w:hAnsi="Times New Roman" w:eastAsia="宋体" w:cs="Times New Roman"/>
          <w:szCs w:val="21"/>
        </w:rPr>
        <w:t>，一个自然日内，生活垃圾焚烧厂任一焚烧炉排放烟气中颗粒物、氮氧化物、二氧化硫、氯化氢、一氧化碳等污染物的自动监测日均值数据，有一项或者一项以上超过本标准规定的相应污染物24小时均值限值的，判定为排放超标。</w:t>
      </w:r>
    </w:p>
    <w:p w14:paraId="3072344D">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6.</w:t>
      </w:r>
      <w:r>
        <w:rPr>
          <w:rFonts w:hint="eastAsia" w:ascii="Times New Roman" w:hAnsi="Times New Roman" w:eastAsia="黑体" w:cs="Times New Roman"/>
          <w:b/>
          <w:bCs/>
          <w:kern w:val="0"/>
          <w:szCs w:val="21"/>
        </w:rPr>
        <w:t>3</w:t>
      </w:r>
      <w:r>
        <w:rPr>
          <w:rFonts w:ascii="Times New Roman" w:hAnsi="Times New Roman" w:eastAsia="黑体" w:cs="Times New Roman"/>
          <w:b/>
          <w:bCs/>
          <w:kern w:val="0"/>
          <w:szCs w:val="21"/>
        </w:rPr>
        <w:t xml:space="preserve">  </w:t>
      </w:r>
      <w:r>
        <w:rPr>
          <w:rFonts w:ascii="Times New Roman" w:hAnsi="Times New Roman" w:eastAsia="宋体" w:cs="Times New Roman"/>
          <w:szCs w:val="21"/>
        </w:rPr>
        <w:t>国家对达标判定另有规定的</w:t>
      </w:r>
      <w:r>
        <w:rPr>
          <w:rFonts w:hint="eastAsia" w:ascii="Times New Roman" w:hAnsi="Times New Roman" w:eastAsia="宋体" w:cs="Times New Roman"/>
          <w:szCs w:val="21"/>
        </w:rPr>
        <w:t>，</w:t>
      </w:r>
      <w:r>
        <w:rPr>
          <w:rFonts w:ascii="Times New Roman" w:hAnsi="Times New Roman" w:eastAsia="宋体" w:cs="Times New Roman"/>
          <w:szCs w:val="21"/>
        </w:rPr>
        <w:t>从其规定。</w:t>
      </w:r>
    </w:p>
    <w:p w14:paraId="284D4651">
      <w:pPr>
        <w:pStyle w:val="28"/>
        <w:numPr>
          <w:ilvl w:val="0"/>
          <w:numId w:val="0"/>
        </w:numPr>
        <w:overflowPunct w:val="0"/>
        <w:topLinePunct/>
        <w:rPr>
          <w:rFonts w:ascii="Times New Roman"/>
          <w:b/>
          <w:bCs/>
        </w:rPr>
      </w:pPr>
      <w:bookmarkStart w:id="127" w:name="_Toc172651358"/>
      <w:r>
        <w:rPr>
          <w:rFonts w:ascii="Times New Roman"/>
          <w:b/>
          <w:bCs/>
        </w:rPr>
        <w:t>7  标准实施与监督</w:t>
      </w:r>
      <w:bookmarkEnd w:id="127"/>
    </w:p>
    <w:p w14:paraId="378F4AD2">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7.1  </w:t>
      </w:r>
      <w:r>
        <w:rPr>
          <w:rFonts w:ascii="Times New Roman" w:hAnsi="Times New Roman" w:eastAsia="宋体" w:cs="Times New Roman"/>
          <w:szCs w:val="21"/>
        </w:rPr>
        <w:t>本标准由县级以上生态环境主管部门</w:t>
      </w:r>
      <w:r>
        <w:rPr>
          <w:rFonts w:hint="eastAsia" w:ascii="Times New Roman" w:hAnsi="Times New Roman" w:eastAsia="宋体" w:cs="Times New Roman"/>
          <w:szCs w:val="21"/>
        </w:rPr>
        <w:t>和行业行政主管部门</w:t>
      </w:r>
      <w:r>
        <w:rPr>
          <w:rFonts w:ascii="Times New Roman" w:hAnsi="Times New Roman" w:eastAsia="宋体" w:cs="Times New Roman"/>
          <w:szCs w:val="21"/>
        </w:rPr>
        <w:t>负责监督实施。</w:t>
      </w:r>
    </w:p>
    <w:p w14:paraId="0F363960">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7.2  </w:t>
      </w:r>
      <w:r>
        <w:rPr>
          <w:rFonts w:ascii="Times New Roman" w:hAnsi="Times New Roman" w:eastAsia="宋体" w:cs="Times New Roman"/>
          <w:szCs w:val="21"/>
        </w:rPr>
        <w:t>生活垃圾焚烧厂均应遵守本标准的污染物排放控制要求，采取必要措施保证污染防治设施正常运行。</w:t>
      </w:r>
    </w:p>
    <w:p w14:paraId="2E43DE9C">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 xml:space="preserve">7.3  </w:t>
      </w:r>
      <w:bookmarkStart w:id="128" w:name="_Hlk183055248"/>
      <w:r>
        <w:rPr>
          <w:rFonts w:hint="eastAsia" w:ascii="Times New Roman" w:hAnsi="Times New Roman" w:eastAsia="宋体" w:cs="Times New Roman"/>
          <w:szCs w:val="21"/>
        </w:rPr>
        <w:t>各级生态环境部门在对生活垃圾焚烧厂进行监督检查时，可以现场即时采样，监测结果可以作为判定排污行为是否符合排放标准以及实施相关环境保护管理措施的依据</w:t>
      </w:r>
      <w:bookmarkEnd w:id="128"/>
      <w:r>
        <w:rPr>
          <w:rFonts w:hint="eastAsia" w:ascii="Times New Roman" w:hAnsi="Times New Roman" w:eastAsia="宋体" w:cs="Times New Roman"/>
          <w:b w:val="0"/>
          <w:bCs w:val="0"/>
          <w:kern w:val="2"/>
          <w:szCs w:val="21"/>
        </w:rPr>
        <w:t>。</w:t>
      </w:r>
    </w:p>
    <w:p w14:paraId="79FF1118">
      <w:pPr>
        <w:pStyle w:val="27"/>
        <w:widowControl w:val="0"/>
        <w:overflowPunct w:val="0"/>
        <w:topLinePunct/>
        <w:autoSpaceDE/>
        <w:autoSpaceDN/>
        <w:snapToGrid w:val="0"/>
        <w:spacing w:line="360" w:lineRule="auto"/>
        <w:ind w:firstLine="0" w:firstLineChars="0"/>
        <w:rPr>
          <w:rFonts w:ascii="Times New Roman" w:hAnsi="Times New Roman" w:eastAsia="宋体" w:cs="Times New Roman"/>
          <w:szCs w:val="21"/>
        </w:rPr>
      </w:pPr>
      <w:r>
        <w:rPr>
          <w:rFonts w:ascii="Times New Roman" w:hAnsi="Times New Roman" w:eastAsia="黑体" w:cs="Times New Roman"/>
          <w:b/>
          <w:bCs/>
          <w:kern w:val="0"/>
          <w:szCs w:val="21"/>
        </w:rPr>
        <w:t>7.</w:t>
      </w:r>
      <w:r>
        <w:rPr>
          <w:rFonts w:hint="eastAsia" w:ascii="Times New Roman" w:hAnsi="Times New Roman" w:eastAsia="黑体" w:cs="Times New Roman"/>
          <w:b/>
          <w:bCs/>
          <w:kern w:val="0"/>
          <w:szCs w:val="21"/>
        </w:rPr>
        <w:t>4</w:t>
      </w:r>
      <w:r>
        <w:rPr>
          <w:rFonts w:ascii="Times New Roman" w:hAnsi="Times New Roman" w:eastAsia="黑体" w:cs="Times New Roman"/>
          <w:b/>
          <w:bCs/>
          <w:kern w:val="0"/>
          <w:szCs w:val="21"/>
        </w:rPr>
        <w:t xml:space="preserve">  </w:t>
      </w:r>
      <w:r>
        <w:rPr>
          <w:rFonts w:hint="eastAsia" w:ascii="Times New Roman" w:hAnsi="Times New Roman" w:eastAsia="宋体" w:cs="Times New Roman"/>
          <w:szCs w:val="21"/>
        </w:rPr>
        <w:t>本标准实施后，新制定或新修订的国家或地方排放标准中，排放限值严于本标准的，按照相应排放标准限值执行。</w:t>
      </w:r>
    </w:p>
    <w:p w14:paraId="5EF14F61">
      <w:pPr>
        <w:pStyle w:val="27"/>
        <w:widowControl w:val="0"/>
        <w:overflowPunct w:val="0"/>
        <w:topLinePunct/>
        <w:autoSpaceDE/>
        <w:autoSpaceDN/>
        <w:snapToGrid w:val="0"/>
        <w:spacing w:line="360" w:lineRule="auto"/>
        <w:ind w:firstLine="0" w:firstLineChars="0"/>
        <w:rPr>
          <w:rFonts w:hint="eastAsia" w:ascii="Times New Roman" w:hAnsi="Times New Roman" w:eastAsia="宋体" w:cs="Times New Roman"/>
          <w:szCs w:val="21"/>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9F16">
    <w:pPr>
      <w:pStyle w:val="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F557E">
    <w:pPr>
      <w:pStyle w:val="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25754">
    <w:pPr>
      <w:pStyle w:val="4"/>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1ED7">
    <w:pPr>
      <w:pStyle w:val="4"/>
      <w:ind w:right="0" w:rightChars="0"/>
      <w:jc w:val="center"/>
      <w:rPr>
        <w:rFonts w:hint="eastAsia"/>
      </w:rPr>
    </w:pPr>
    <w:r>
      <w:rPr>
        <w:rFonts w:eastAsiaTheme="minorHAnsi"/>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65231">
    <w:pPr>
      <w:pStyle w:val="4"/>
      <w:ind w:right="0" w:rightChars="0"/>
      <w:jc w:val="center"/>
      <w:rPr>
        <w:rFonts w:hint="eastAsia"/>
      </w:rPr>
    </w:pPr>
    <w:r>
      <w:rPr>
        <w:rFonts w:eastAsiaTheme="minorHAnsi"/>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8C2FA">
    <w:pPr>
      <w:pStyle w:val="4"/>
      <w:ind w:right="0" w:rightChars="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633DE">
    <w:pPr>
      <w:pStyle w:val="5"/>
      <w:pBdr>
        <w:bottom w:val="none" w:color="auto" w:sz="0" w:space="0"/>
      </w:pBdr>
      <w:jc w:val="right"/>
      <w:rPr>
        <w:rFonts w:hint="eastAsia"/>
      </w:rPr>
    </w:pPr>
    <w:r>
      <w:rPr>
        <w:rFonts w:hint="eastAsia"/>
      </w:rPr>
      <w:t>D</w:t>
    </w:r>
    <w:r>
      <w:t>B XX/XXXX-XXXX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8670C">
    <w:pPr>
      <w:pStyle w:val="5"/>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D0960">
    <w:pPr>
      <w:pStyle w:val="5"/>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198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84" w:firstLine="0"/>
      </w:pPr>
      <w:rPr>
        <w:rFonts w:hint="eastAsia" w:ascii="宋体" w:hAnsi="宋体" w:eastAsia="宋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8C0"/>
    <w:rsid w:val="000600C9"/>
    <w:rsid w:val="00067411"/>
    <w:rsid w:val="00085A03"/>
    <w:rsid w:val="00095ACE"/>
    <w:rsid w:val="000A4D3F"/>
    <w:rsid w:val="001148F5"/>
    <w:rsid w:val="0015717F"/>
    <w:rsid w:val="0020557A"/>
    <w:rsid w:val="00205CA9"/>
    <w:rsid w:val="00220BA9"/>
    <w:rsid w:val="002A51E6"/>
    <w:rsid w:val="002C56CE"/>
    <w:rsid w:val="002D7B37"/>
    <w:rsid w:val="002F0584"/>
    <w:rsid w:val="0030449A"/>
    <w:rsid w:val="00364B3C"/>
    <w:rsid w:val="00364BAC"/>
    <w:rsid w:val="003E685E"/>
    <w:rsid w:val="00417B37"/>
    <w:rsid w:val="00473F13"/>
    <w:rsid w:val="00477889"/>
    <w:rsid w:val="004D1185"/>
    <w:rsid w:val="004D24B8"/>
    <w:rsid w:val="00501E12"/>
    <w:rsid w:val="005162E2"/>
    <w:rsid w:val="00572856"/>
    <w:rsid w:val="005968C0"/>
    <w:rsid w:val="005D62E9"/>
    <w:rsid w:val="005F53FA"/>
    <w:rsid w:val="006123AD"/>
    <w:rsid w:val="00614443"/>
    <w:rsid w:val="00672FD0"/>
    <w:rsid w:val="00737E59"/>
    <w:rsid w:val="00767EBA"/>
    <w:rsid w:val="00790F9E"/>
    <w:rsid w:val="007A2DED"/>
    <w:rsid w:val="007D00DF"/>
    <w:rsid w:val="008B1D9E"/>
    <w:rsid w:val="00901FC6"/>
    <w:rsid w:val="009072F7"/>
    <w:rsid w:val="00933A2C"/>
    <w:rsid w:val="0093573F"/>
    <w:rsid w:val="00942EA2"/>
    <w:rsid w:val="00955516"/>
    <w:rsid w:val="00966DDA"/>
    <w:rsid w:val="009B1CED"/>
    <w:rsid w:val="00AC4CC9"/>
    <w:rsid w:val="00B0557D"/>
    <w:rsid w:val="00B06BB9"/>
    <w:rsid w:val="00B24C61"/>
    <w:rsid w:val="00BB351E"/>
    <w:rsid w:val="00BD0A94"/>
    <w:rsid w:val="00BF0966"/>
    <w:rsid w:val="00C12215"/>
    <w:rsid w:val="00C14D94"/>
    <w:rsid w:val="00C509C0"/>
    <w:rsid w:val="00C917A6"/>
    <w:rsid w:val="00C97D0E"/>
    <w:rsid w:val="00CA060C"/>
    <w:rsid w:val="00CD27A4"/>
    <w:rsid w:val="00D4200E"/>
    <w:rsid w:val="00DC6665"/>
    <w:rsid w:val="00E30543"/>
    <w:rsid w:val="00EE7640"/>
    <w:rsid w:val="00FB289A"/>
    <w:rsid w:val="013B759B"/>
    <w:rsid w:val="05025C7E"/>
    <w:rsid w:val="05443F79"/>
    <w:rsid w:val="057743B8"/>
    <w:rsid w:val="11405FA6"/>
    <w:rsid w:val="1431113D"/>
    <w:rsid w:val="1D4209B0"/>
    <w:rsid w:val="1E805C34"/>
    <w:rsid w:val="3F1723BC"/>
    <w:rsid w:val="512833BA"/>
    <w:rsid w:val="557D6DA1"/>
    <w:rsid w:val="57FF5C1F"/>
    <w:rsid w:val="599A5D75"/>
    <w:rsid w:val="726E0966"/>
    <w:rsid w:val="746E0A10"/>
    <w:rsid w:val="7A232871"/>
    <w:rsid w:val="7C070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36"/>
    <w:unhideWhenUsed/>
    <w:qFormat/>
    <w:uiPriority w:val="99"/>
    <w:pPr>
      <w:jc w:val="left"/>
    </w:pPr>
  </w:style>
  <w:style w:type="paragraph" w:styleId="3">
    <w:name w:val="toc 3"/>
    <w:basedOn w:val="1"/>
    <w:next w:val="1"/>
    <w:autoRedefine/>
    <w:unhideWhenUsed/>
    <w:qFormat/>
    <w:uiPriority w:val="39"/>
    <w:pPr>
      <w:ind w:left="840" w:leftChars="400"/>
    </w:pPr>
  </w:style>
  <w:style w:type="paragraph" w:styleId="4">
    <w:name w:val="footer"/>
    <w:basedOn w:val="1"/>
    <w:link w:val="25"/>
    <w:qFormat/>
    <w:uiPriority w:val="99"/>
    <w:pPr>
      <w:snapToGrid w:val="0"/>
      <w:ind w:right="210" w:rightChars="100"/>
      <w:jc w:val="right"/>
    </w:pPr>
    <w:rPr>
      <w:sz w:val="18"/>
      <w:szCs w:val="18"/>
    </w:rPr>
  </w:style>
  <w:style w:type="paragraph" w:styleId="5">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tabs>
        <w:tab w:val="right" w:leader="dot" w:pos="9242"/>
      </w:tabs>
      <w:spacing w:before="85" w:after="68"/>
      <w:jc w:val="center"/>
    </w:pPr>
    <w:rPr>
      <w:rFonts w:ascii="宋体" w:hAnsi="宋体" w:eastAsia="宋体" w:cs="Times New Roman"/>
      <w:szCs w:val="32"/>
    </w:rPr>
  </w:style>
  <w:style w:type="paragraph" w:styleId="7">
    <w:name w:val="toc 2"/>
    <w:basedOn w:val="1"/>
    <w:next w:val="1"/>
    <w:qFormat/>
    <w:uiPriority w:val="39"/>
    <w:pPr>
      <w:tabs>
        <w:tab w:val="right" w:leader="dot" w:pos="9242"/>
      </w:tabs>
      <w:spacing w:line="360" w:lineRule="auto"/>
    </w:pPr>
    <w:rPr>
      <w:rFonts w:ascii="宋体" w:hAnsi="Times New Roman" w:eastAsia="宋体" w:cs="Times New Roman"/>
      <w:szCs w:val="21"/>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2"/>
    <w:next w:val="2"/>
    <w:link w:val="37"/>
    <w:semiHidden/>
    <w:unhideWhenUsed/>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spacing w:val="0"/>
      <w:w w:val="100"/>
      <w:szCs w:val="21"/>
      <w:u w:val="single"/>
      <w:lang w:val="en-US" w:eastAsia="zh-CN"/>
    </w:rPr>
  </w:style>
  <w:style w:type="character" w:styleId="14">
    <w:name w:val="annotation reference"/>
    <w:basedOn w:val="12"/>
    <w:semiHidden/>
    <w:unhideWhenUsed/>
    <w:qFormat/>
    <w:uiPriority w:val="99"/>
    <w:rPr>
      <w:sz w:val="21"/>
      <w:szCs w:val="21"/>
    </w:rPr>
  </w:style>
  <w:style w:type="paragraph" w:customStyle="1" w:styleId="1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9">
    <w:name w:val="封面标准英文名称"/>
    <w:basedOn w:val="20"/>
    <w:qFormat/>
    <w:uiPriority w:val="0"/>
    <w:pPr>
      <w:framePr w:wrap="around"/>
      <w:spacing w:before="370" w:line="400" w:lineRule="exact"/>
    </w:pPr>
    <w:rPr>
      <w:rFonts w:ascii="Times New Roman"/>
      <w:sz w:val="28"/>
      <w:szCs w:val="28"/>
    </w:rPr>
  </w:style>
  <w:style w:type="paragraph" w:customStyle="1" w:styleId="2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其他发布日期"/>
    <w:basedOn w:val="1"/>
    <w:qFormat/>
    <w:uiPriority w:val="0"/>
    <w:pPr>
      <w:framePr w:w="3997" w:h="471" w:hRule="exact" w:vSpace="181" w:wrap="around" w:vAnchor="page" w:hAnchor="text" w:x="1419" w:y="14097" w:anchorLock="1"/>
      <w:widowControl/>
      <w:jc w:val="left"/>
    </w:pPr>
    <w:rPr>
      <w:rFonts w:ascii="Times New Roman" w:hAnsi="Times New Roman" w:eastAsia="黑体" w:cs="Times New Roman"/>
      <w:kern w:val="0"/>
      <w:sz w:val="28"/>
      <w:szCs w:val="20"/>
    </w:rPr>
  </w:style>
  <w:style w:type="paragraph" w:customStyle="1" w:styleId="22">
    <w:name w:val="其他实施日期"/>
    <w:basedOn w:val="1"/>
    <w:qFormat/>
    <w:uiPriority w:val="0"/>
    <w:pPr>
      <w:framePr w:w="3997" w:h="471" w:hRule="exact" w:vSpace="181" w:wrap="around" w:vAnchor="page" w:hAnchor="text" w:x="7089" w:y="14097" w:anchorLock="1"/>
      <w:widowControl/>
      <w:jc w:val="right"/>
    </w:pPr>
    <w:rPr>
      <w:rFonts w:ascii="Times New Roman" w:hAnsi="Times New Roman" w:eastAsia="黑体" w:cs="Times New Roman"/>
      <w:kern w:val="0"/>
      <w:sz w:val="28"/>
      <w:szCs w:val="20"/>
    </w:rPr>
  </w:style>
  <w:style w:type="paragraph" w:customStyle="1" w:styleId="23">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 w:val="28"/>
      <w:szCs w:val="20"/>
    </w:rPr>
  </w:style>
  <w:style w:type="paragraph" w:customStyle="1" w:styleId="24">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character" w:customStyle="1" w:styleId="25">
    <w:name w:val="页脚 字符"/>
    <w:link w:val="4"/>
    <w:qFormat/>
    <w:uiPriority w:val="99"/>
    <w:rPr>
      <w:sz w:val="18"/>
      <w:szCs w:val="18"/>
    </w:rPr>
  </w:style>
  <w:style w:type="character" w:customStyle="1" w:styleId="26">
    <w:name w:val="段 Char"/>
    <w:link w:val="27"/>
    <w:qFormat/>
    <w:uiPriority w:val="0"/>
    <w:rPr>
      <w:rFonts w:ascii="宋体"/>
    </w:rPr>
  </w:style>
  <w:style w:type="paragraph" w:customStyle="1" w:styleId="27">
    <w:name w:val="段"/>
    <w:link w:val="26"/>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8">
    <w:name w:val="章标题"/>
    <w:next w:val="27"/>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9">
    <w:name w:val="页脚 字符1"/>
    <w:basedOn w:val="12"/>
    <w:semiHidden/>
    <w:qFormat/>
    <w:uiPriority w:val="99"/>
    <w:rPr>
      <w:sz w:val="18"/>
      <w:szCs w:val="18"/>
    </w:rPr>
  </w:style>
  <w:style w:type="paragraph" w:customStyle="1" w:styleId="30">
    <w:name w:val="一级条标题"/>
    <w:next w:val="27"/>
    <w:qFormat/>
    <w:uiPriority w:val="0"/>
    <w:pPr>
      <w:spacing w:before="156" w:beforeLines="50" w:after="156" w:afterLines="50"/>
      <w:ind w:left="142"/>
      <w:outlineLvl w:val="2"/>
    </w:pPr>
    <w:rPr>
      <w:rFonts w:ascii="黑体" w:hAnsi="Times New Roman" w:eastAsia="黑体" w:cs="Times New Roman"/>
      <w:sz w:val="21"/>
      <w:szCs w:val="21"/>
      <w:lang w:val="en-US" w:eastAsia="zh-CN" w:bidi="ar-SA"/>
    </w:rPr>
  </w:style>
  <w:style w:type="paragraph" w:customStyle="1" w:styleId="31">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styleId="32">
    <w:name w:val="Placeholder Text"/>
    <w:basedOn w:val="12"/>
    <w:semiHidden/>
    <w:qFormat/>
    <w:uiPriority w:val="99"/>
    <w:rPr>
      <w:color w:val="808080"/>
    </w:rPr>
  </w:style>
  <w:style w:type="character" w:customStyle="1" w:styleId="33">
    <w:name w:val="页眉 字符"/>
    <w:basedOn w:val="12"/>
    <w:link w:val="5"/>
    <w:qFormat/>
    <w:uiPriority w:val="99"/>
    <w:rPr>
      <w:sz w:val="18"/>
      <w:szCs w:val="18"/>
    </w:rPr>
  </w:style>
  <w:style w:type="paragraph" w:customStyle="1" w:styleId="34">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5">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6">
    <w:name w:val="批注文字 字符"/>
    <w:basedOn w:val="12"/>
    <w:link w:val="2"/>
    <w:qFormat/>
    <w:uiPriority w:val="99"/>
    <w:rPr>
      <w:kern w:val="2"/>
      <w:sz w:val="21"/>
      <w:szCs w:val="22"/>
    </w:rPr>
  </w:style>
  <w:style w:type="character" w:customStyle="1" w:styleId="37">
    <w:name w:val="批注主题 字符"/>
    <w:basedOn w:val="36"/>
    <w:link w:val="9"/>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4533</Words>
  <Characters>5267</Characters>
  <Lines>57</Lines>
  <Paragraphs>16</Paragraphs>
  <TotalTime>296</TotalTime>
  <ScaleCrop>false</ScaleCrop>
  <LinksUpToDate>false</LinksUpToDate>
  <CharactersWithSpaces>5554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2024-11-03T17:00:00Z</dcterms:created>
  <dc:creator>韵恺 冯</dc:creator>
  <cp:lastModifiedBy>峰</cp:lastModifiedBy>
  <cp:lastPrinted>2024-11-03T17:01:00Z</cp:lastPrinted>
  <dcterms:modified xsi:type="dcterms:W3CDTF">2024-11-21T03:23:45Z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DABCBFC21845407FA6B25FF36ABAD527_13</vt:lpwstr>
  </property>
</Properties>
</file>