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BC26A">
      <w:pPr>
        <w:widowControl/>
        <w:ind w:firstLine="560"/>
        <w:rPr>
          <w:rFonts w:hint="eastAsia"/>
        </w:rPr>
      </w:pPr>
    </w:p>
    <w:p w14:paraId="45DE26FD">
      <w:pPr>
        <w:widowControl/>
        <w:ind w:firstLine="560"/>
      </w:pPr>
    </w:p>
    <w:p w14:paraId="768A8083">
      <w:pPr>
        <w:widowControl/>
        <w:ind w:firstLine="560"/>
      </w:pPr>
    </w:p>
    <w:p w14:paraId="3A71222B">
      <w:pPr>
        <w:widowControl/>
        <w:ind w:firstLine="0" w:firstLineChars="0"/>
        <w:jc w:val="center"/>
        <w:rPr>
          <w:rFonts w:ascii="黑体" w:hAnsi="黑体" w:eastAsia="黑体"/>
          <w:sz w:val="40"/>
          <w:szCs w:val="40"/>
        </w:rPr>
      </w:pPr>
      <w:r>
        <w:rPr>
          <w:rFonts w:hint="eastAsia" w:ascii="黑体" w:hAnsi="黑体" w:eastAsia="黑体"/>
          <w:sz w:val="40"/>
          <w:szCs w:val="40"/>
        </w:rPr>
        <w:t>《湖北省生活垃圾焚烧</w:t>
      </w:r>
      <w:r>
        <w:rPr>
          <w:rFonts w:ascii="黑体" w:hAnsi="黑体" w:eastAsia="黑体"/>
          <w:sz w:val="40"/>
          <w:szCs w:val="40"/>
        </w:rPr>
        <w:t>大气污染物排放</w:t>
      </w:r>
      <w:r>
        <w:rPr>
          <w:rFonts w:hint="eastAsia" w:ascii="黑体" w:hAnsi="黑体" w:eastAsia="黑体"/>
          <w:sz w:val="40"/>
          <w:szCs w:val="40"/>
        </w:rPr>
        <w:t>标准》</w:t>
      </w:r>
    </w:p>
    <w:p w14:paraId="213899C6">
      <w:pPr>
        <w:widowControl/>
        <w:ind w:firstLine="0" w:firstLineChars="0"/>
        <w:jc w:val="center"/>
        <w:rPr>
          <w:rFonts w:ascii="黑体" w:hAnsi="黑体" w:eastAsia="黑体"/>
          <w:sz w:val="40"/>
          <w:szCs w:val="40"/>
        </w:rPr>
      </w:pPr>
      <w:bookmarkStart w:id="58" w:name="_GoBack"/>
      <w:bookmarkEnd w:id="58"/>
      <w:r>
        <w:rPr>
          <w:rFonts w:hint="eastAsia" w:ascii="黑体" w:hAnsi="黑体" w:eastAsia="黑体"/>
          <w:sz w:val="40"/>
          <w:szCs w:val="40"/>
        </w:rPr>
        <w:t>编制</w:t>
      </w:r>
      <w:r>
        <w:rPr>
          <w:rFonts w:ascii="黑体" w:hAnsi="黑体" w:eastAsia="黑体"/>
          <w:sz w:val="40"/>
          <w:szCs w:val="40"/>
        </w:rPr>
        <w:t>说明</w:t>
      </w:r>
    </w:p>
    <w:p w14:paraId="137005B8">
      <w:pPr>
        <w:widowControl/>
        <w:ind w:firstLine="0" w:firstLineChars="0"/>
        <w:jc w:val="center"/>
        <w:rPr>
          <w:rFonts w:ascii="黑体" w:hAnsi="黑体" w:eastAsia="黑体"/>
          <w:sz w:val="44"/>
          <w:szCs w:val="44"/>
        </w:rPr>
      </w:pPr>
    </w:p>
    <w:p w14:paraId="4B980D94">
      <w:pPr>
        <w:widowControl/>
        <w:ind w:firstLine="0" w:firstLineChars="0"/>
        <w:jc w:val="center"/>
        <w:rPr>
          <w:rFonts w:ascii="黑体" w:hAnsi="黑体" w:eastAsia="黑体"/>
          <w:sz w:val="44"/>
          <w:szCs w:val="44"/>
        </w:rPr>
      </w:pPr>
    </w:p>
    <w:p w14:paraId="234DC746">
      <w:pPr>
        <w:widowControl/>
        <w:ind w:firstLine="0" w:firstLineChars="0"/>
        <w:jc w:val="center"/>
        <w:rPr>
          <w:rFonts w:cs="Times New Roman"/>
          <w:sz w:val="36"/>
          <w:szCs w:val="36"/>
        </w:rPr>
      </w:pPr>
      <w:r>
        <w:rPr>
          <w:rFonts w:cs="Times New Roman"/>
          <w:sz w:val="36"/>
          <w:szCs w:val="36"/>
        </w:rPr>
        <w:t>（</w:t>
      </w:r>
      <w:r>
        <w:rPr>
          <w:rFonts w:hint="eastAsia" w:cs="Times New Roman"/>
          <w:sz w:val="36"/>
          <w:szCs w:val="36"/>
        </w:rPr>
        <w:t>征求</w:t>
      </w:r>
      <w:r>
        <w:rPr>
          <w:rFonts w:cs="Times New Roman"/>
          <w:sz w:val="36"/>
          <w:szCs w:val="36"/>
        </w:rPr>
        <w:t>意见稿）</w:t>
      </w:r>
    </w:p>
    <w:p w14:paraId="79E2A078">
      <w:pPr>
        <w:widowControl/>
        <w:ind w:firstLine="0" w:firstLineChars="0"/>
        <w:jc w:val="center"/>
        <w:rPr>
          <w:rFonts w:cs="Times New Roman"/>
          <w:sz w:val="44"/>
          <w:szCs w:val="44"/>
        </w:rPr>
      </w:pPr>
    </w:p>
    <w:p w14:paraId="063305D9">
      <w:pPr>
        <w:widowControl/>
        <w:ind w:firstLine="0" w:firstLineChars="0"/>
        <w:jc w:val="center"/>
        <w:rPr>
          <w:rFonts w:cs="Times New Roman"/>
          <w:sz w:val="44"/>
          <w:szCs w:val="44"/>
        </w:rPr>
      </w:pPr>
    </w:p>
    <w:p w14:paraId="6E73F8D2">
      <w:pPr>
        <w:widowControl/>
        <w:ind w:firstLine="0" w:firstLineChars="0"/>
        <w:jc w:val="center"/>
        <w:rPr>
          <w:rFonts w:cs="Times New Roman"/>
          <w:sz w:val="44"/>
          <w:szCs w:val="44"/>
        </w:rPr>
      </w:pPr>
    </w:p>
    <w:p w14:paraId="721D89D2">
      <w:pPr>
        <w:widowControl/>
        <w:ind w:firstLine="0" w:firstLineChars="0"/>
        <w:jc w:val="center"/>
        <w:rPr>
          <w:rFonts w:cs="Times New Roman"/>
          <w:sz w:val="44"/>
          <w:szCs w:val="44"/>
        </w:rPr>
      </w:pPr>
    </w:p>
    <w:p w14:paraId="723D2F1A">
      <w:pPr>
        <w:widowControl/>
        <w:ind w:firstLine="0" w:firstLineChars="0"/>
        <w:jc w:val="center"/>
        <w:rPr>
          <w:rFonts w:cs="Times New Roman"/>
          <w:sz w:val="44"/>
          <w:szCs w:val="44"/>
        </w:rPr>
      </w:pPr>
    </w:p>
    <w:p w14:paraId="3044F55A">
      <w:pPr>
        <w:widowControl/>
        <w:ind w:firstLine="0" w:firstLineChars="0"/>
        <w:jc w:val="center"/>
        <w:rPr>
          <w:rFonts w:cs="Times New Roman"/>
          <w:sz w:val="44"/>
          <w:szCs w:val="44"/>
        </w:rPr>
      </w:pPr>
    </w:p>
    <w:p w14:paraId="60854FBD">
      <w:pPr>
        <w:widowControl/>
        <w:ind w:firstLine="0" w:firstLineChars="0"/>
        <w:jc w:val="center"/>
        <w:rPr>
          <w:rFonts w:cs="Times New Roman"/>
          <w:sz w:val="44"/>
          <w:szCs w:val="44"/>
        </w:rPr>
      </w:pPr>
    </w:p>
    <w:p w14:paraId="755101E3">
      <w:pPr>
        <w:widowControl/>
        <w:ind w:firstLine="0" w:firstLineChars="0"/>
        <w:jc w:val="center"/>
        <w:rPr>
          <w:rFonts w:cs="Times New Roman"/>
          <w:sz w:val="44"/>
          <w:szCs w:val="44"/>
        </w:rPr>
      </w:pPr>
    </w:p>
    <w:p w14:paraId="3FC267D0">
      <w:pPr>
        <w:widowControl/>
        <w:ind w:firstLine="0" w:firstLineChars="0"/>
        <w:jc w:val="center"/>
        <w:rPr>
          <w:rFonts w:cs="Times New Roman"/>
          <w:sz w:val="44"/>
          <w:szCs w:val="44"/>
        </w:rPr>
      </w:pPr>
    </w:p>
    <w:p w14:paraId="20156444">
      <w:pPr>
        <w:widowControl/>
        <w:ind w:firstLine="0" w:firstLineChars="0"/>
        <w:jc w:val="center"/>
        <w:rPr>
          <w:rFonts w:ascii="黑体" w:hAnsi="黑体" w:eastAsia="黑体" w:cs="Times New Roman"/>
          <w:szCs w:val="28"/>
        </w:rPr>
      </w:pPr>
      <w:r>
        <w:rPr>
          <w:rFonts w:hint="eastAsia" w:ascii="黑体" w:hAnsi="黑体" w:eastAsia="黑体" w:cs="Times New Roman"/>
          <w:szCs w:val="28"/>
        </w:rPr>
        <w:t>《湖北省生活垃圾焚烧大气污染物排放标准》编制组</w:t>
      </w:r>
    </w:p>
    <w:p w14:paraId="6FB4460A">
      <w:pPr>
        <w:widowControl/>
        <w:ind w:firstLine="0" w:firstLineChars="0"/>
        <w:jc w:val="center"/>
        <w:rPr>
          <w:rFonts w:ascii="黑体" w:hAnsi="黑体" w:eastAsia="黑体" w:cs="Times New Roman"/>
          <w:szCs w:val="28"/>
        </w:rPr>
      </w:pPr>
      <w:r>
        <w:rPr>
          <w:rFonts w:hint="eastAsia" w:ascii="黑体" w:hAnsi="黑体" w:eastAsia="黑体" w:cs="Times New Roman"/>
          <w:szCs w:val="28"/>
        </w:rPr>
        <w:t>二</w:t>
      </w:r>
      <w:r>
        <w:rPr>
          <w:rFonts w:ascii="黑体" w:hAnsi="黑体" w:eastAsia="黑体" w:cs="Times New Roman"/>
          <w:szCs w:val="28"/>
        </w:rPr>
        <w:t>〇二</w:t>
      </w:r>
      <w:r>
        <w:rPr>
          <w:rFonts w:hint="eastAsia" w:ascii="黑体" w:hAnsi="黑体" w:eastAsia="黑体" w:cs="Times New Roman"/>
          <w:szCs w:val="28"/>
        </w:rPr>
        <w:t>四</w:t>
      </w:r>
      <w:r>
        <w:rPr>
          <w:rFonts w:ascii="黑体" w:hAnsi="黑体" w:eastAsia="黑体" w:cs="Times New Roman"/>
          <w:szCs w:val="28"/>
        </w:rPr>
        <w:t>年</w:t>
      </w:r>
      <w:r>
        <w:rPr>
          <w:rFonts w:hint="eastAsia" w:ascii="黑体" w:hAnsi="黑体" w:eastAsia="黑体" w:cs="Times New Roman"/>
          <w:szCs w:val="28"/>
        </w:rPr>
        <w:t>十一</w:t>
      </w:r>
      <w:r>
        <w:rPr>
          <w:rFonts w:ascii="黑体" w:hAnsi="黑体" w:eastAsia="黑体" w:cs="Times New Roman"/>
          <w:szCs w:val="28"/>
        </w:rPr>
        <w:t>月</w:t>
      </w:r>
    </w:p>
    <w:p w14:paraId="0AEF3880">
      <w:pPr>
        <w:widowControl/>
        <w:ind w:firstLine="0" w:firstLineChars="0"/>
        <w:jc w:val="center"/>
        <w:rPr>
          <w:rFonts w:ascii="黑体" w:hAnsi="黑体" w:eastAsia="黑体" w:cs="Times New Roman"/>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190324D7">
      <w:pPr>
        <w:widowControl/>
        <w:ind w:firstLine="560"/>
        <w:rPr>
          <w:rFonts w:ascii="黑体" w:hAnsi="黑体" w:eastAsia="黑体"/>
        </w:rPr>
      </w:pPr>
      <w:r>
        <w:rPr>
          <w:rFonts w:hint="eastAsia" w:ascii="黑体" w:hAnsi="黑体" w:eastAsia="黑体"/>
        </w:rPr>
        <w:t>项目</w:t>
      </w:r>
      <w:r>
        <w:rPr>
          <w:rFonts w:ascii="黑体" w:hAnsi="黑体" w:eastAsia="黑体"/>
        </w:rPr>
        <w:t>名称：</w:t>
      </w:r>
      <w:r>
        <w:t>湖北省</w:t>
      </w:r>
      <w:r>
        <w:rPr>
          <w:rFonts w:hint="eastAsia"/>
        </w:rPr>
        <w:t>生活垃圾焚烧大气</w:t>
      </w:r>
      <w:r>
        <w:t>污染物排放标准研究</w:t>
      </w:r>
    </w:p>
    <w:p w14:paraId="28A919F5">
      <w:pPr>
        <w:widowControl/>
        <w:ind w:firstLine="560"/>
        <w:rPr>
          <w:rFonts w:ascii="黑体" w:hAnsi="黑体" w:eastAsia="黑体"/>
        </w:rPr>
      </w:pPr>
      <w:r>
        <w:rPr>
          <w:rFonts w:hint="eastAsia" w:ascii="黑体" w:hAnsi="黑体" w:eastAsia="黑体"/>
        </w:rPr>
        <w:t>项目</w:t>
      </w:r>
      <w:r>
        <w:rPr>
          <w:rFonts w:ascii="黑体" w:hAnsi="黑体" w:eastAsia="黑体"/>
        </w:rPr>
        <w:t>提出、归口单位：</w:t>
      </w:r>
      <w:r>
        <w:t>湖北省生态环境厅</w:t>
      </w:r>
    </w:p>
    <w:p w14:paraId="7A559B46">
      <w:pPr>
        <w:widowControl/>
        <w:ind w:firstLine="560"/>
        <w:rPr>
          <w:rFonts w:ascii="黑体" w:hAnsi="黑体" w:eastAsia="黑体"/>
        </w:rPr>
      </w:pPr>
      <w:r>
        <w:rPr>
          <w:rFonts w:hint="eastAsia" w:ascii="黑体" w:hAnsi="黑体" w:eastAsia="黑体"/>
        </w:rPr>
        <w:t>项目</w:t>
      </w:r>
      <w:r>
        <w:rPr>
          <w:rFonts w:ascii="黑体" w:hAnsi="黑体" w:eastAsia="黑体"/>
        </w:rPr>
        <w:t>承担单位：</w:t>
      </w:r>
      <w:r>
        <w:t>湖北省生态环境科学研究院（省生态环境工程评估中心）</w:t>
      </w:r>
      <w:r>
        <w:rPr>
          <w:rFonts w:hint="eastAsia"/>
        </w:rPr>
        <w:t>、华中科技大学、湖北省标准化与质量研究院、湖</w:t>
      </w:r>
      <w:r>
        <w:rPr>
          <w:rFonts w:hint="eastAsia"/>
          <w:szCs w:val="21"/>
        </w:rPr>
        <w:t>北工业大学。</w:t>
      </w:r>
    </w:p>
    <w:p w14:paraId="4132D360">
      <w:pPr>
        <w:widowControl/>
        <w:ind w:firstLine="560"/>
      </w:pPr>
      <w:r>
        <w:rPr>
          <w:rFonts w:hint="eastAsia" w:ascii="黑体" w:hAnsi="黑体" w:eastAsia="黑体"/>
        </w:rPr>
        <w:t>编制组</w:t>
      </w:r>
      <w:r>
        <w:rPr>
          <w:rFonts w:ascii="黑体" w:hAnsi="黑体" w:eastAsia="黑体"/>
        </w:rPr>
        <w:t>主要成</w:t>
      </w:r>
      <w:r>
        <w:rPr>
          <w:rFonts w:hint="eastAsia" w:ascii="黑体" w:hAnsi="黑体" w:eastAsia="黑体"/>
        </w:rPr>
        <w:t>员</w:t>
      </w:r>
      <w:r>
        <w:rPr>
          <w:rFonts w:ascii="黑体" w:hAnsi="黑体" w:eastAsia="黑体"/>
        </w:rPr>
        <w:t>：</w:t>
      </w:r>
      <w:r>
        <w:t>丁峰、冯韵恺、</w:t>
      </w:r>
      <w:r>
        <w:rPr>
          <w:rFonts w:hint="eastAsia"/>
        </w:rPr>
        <w:t>赵永椿、黄荣、张涛、</w:t>
      </w:r>
      <w:r>
        <w:t>向晨辉、刘巍、王盼。</w:t>
      </w:r>
    </w:p>
    <w:p w14:paraId="1CB3F936">
      <w:pPr>
        <w:widowControl/>
        <w:spacing w:line="276" w:lineRule="auto"/>
        <w:ind w:firstLine="560"/>
        <w:jc w:val="center"/>
        <w:rPr>
          <w:rFonts w:eastAsia="黑体"/>
          <w:kern w:val="0"/>
          <w:szCs w:val="32"/>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cols w:space="720" w:num="1"/>
          <w:docGrid w:type="lines" w:linePitch="312" w:charSpace="0"/>
        </w:sectPr>
      </w:pPr>
    </w:p>
    <w:p w14:paraId="236CEC1A">
      <w:pPr>
        <w:widowControl/>
        <w:ind w:firstLine="0" w:firstLineChars="0"/>
        <w:jc w:val="center"/>
        <w:rPr>
          <w:rFonts w:eastAsia="黑体"/>
          <w:kern w:val="0"/>
          <w:sz w:val="32"/>
          <w:szCs w:val="32"/>
        </w:rPr>
      </w:pPr>
      <w:r>
        <w:rPr>
          <w:rFonts w:hint="eastAsia" w:eastAsia="黑体"/>
          <w:kern w:val="0"/>
          <w:sz w:val="32"/>
          <w:szCs w:val="32"/>
        </w:rPr>
        <w:t xml:space="preserve">目 </w:t>
      </w:r>
      <w:r>
        <w:rPr>
          <w:rFonts w:eastAsia="黑体"/>
          <w:kern w:val="0"/>
          <w:sz w:val="32"/>
          <w:szCs w:val="32"/>
        </w:rPr>
        <w:t xml:space="preserve"> </w:t>
      </w:r>
      <w:r>
        <w:rPr>
          <w:rFonts w:hint="eastAsia" w:eastAsia="黑体"/>
          <w:kern w:val="0"/>
          <w:sz w:val="32"/>
          <w:szCs w:val="32"/>
        </w:rPr>
        <w:t>录</w:t>
      </w:r>
    </w:p>
    <w:sdt>
      <w:sdtPr>
        <w:rPr>
          <w:rFonts w:ascii="Times New Roman" w:hAnsi="Times New Roman" w:eastAsia="仿宋_GB2312" w:cstheme="minorBidi"/>
          <w:color w:val="auto"/>
          <w:kern w:val="2"/>
          <w:sz w:val="28"/>
          <w:szCs w:val="24"/>
          <w:lang w:val="zh-CN"/>
        </w:rPr>
        <w:id w:val="-784118291"/>
        <w:docPartObj>
          <w:docPartGallery w:val="Table of Contents"/>
          <w:docPartUnique/>
        </w:docPartObj>
      </w:sdtPr>
      <w:sdtEndPr>
        <w:rPr>
          <w:rFonts w:ascii="Times New Roman" w:hAnsi="Times New Roman" w:eastAsia="仿宋_GB2312" w:cstheme="minorBidi"/>
          <w:b/>
          <w:bCs/>
          <w:color w:val="auto"/>
          <w:kern w:val="2"/>
          <w:sz w:val="28"/>
          <w:szCs w:val="24"/>
          <w:lang w:val="zh-CN"/>
        </w:rPr>
      </w:sdtEndPr>
      <w:sdtContent>
        <w:p w14:paraId="24AA66E8">
          <w:pPr>
            <w:pStyle w:val="32"/>
            <w:spacing w:line="360" w:lineRule="auto"/>
            <w:rPr>
              <w:sz w:val="22"/>
              <w:szCs w:val="22"/>
            </w:rPr>
          </w:pPr>
        </w:p>
        <w:p w14:paraId="5902AF32">
          <w:pPr>
            <w:pStyle w:val="12"/>
            <w:tabs>
              <w:tab w:val="right" w:leader="dot" w:pos="8296"/>
            </w:tabs>
            <w:ind w:firstLine="480"/>
            <w:rPr>
              <w:rFonts w:asciiTheme="minorHAnsi" w:hAnsiTheme="minorHAnsi" w:eastAsiaTheme="minorEastAsia"/>
              <w:sz w:val="21"/>
              <w:szCs w:val="22"/>
              <w14:ligatures w14:val="standardContextual"/>
            </w:rPr>
          </w:pPr>
          <w:r>
            <w:rPr>
              <w:sz w:val="24"/>
            </w:rPr>
            <w:fldChar w:fldCharType="begin"/>
          </w:r>
          <w:r>
            <w:rPr>
              <w:sz w:val="24"/>
            </w:rPr>
            <w:instrText xml:space="preserve"> TOC \o "1-3" \h \z \u </w:instrText>
          </w:r>
          <w:r>
            <w:rPr>
              <w:sz w:val="24"/>
            </w:rPr>
            <w:fldChar w:fldCharType="separate"/>
          </w:r>
          <w:r>
            <w:fldChar w:fldCharType="begin"/>
          </w:r>
          <w:r>
            <w:instrText xml:space="preserve"> HYPERLINK \l "_Toc183055351" </w:instrText>
          </w:r>
          <w:r>
            <w:fldChar w:fldCharType="separate"/>
          </w:r>
          <w:r>
            <w:rPr>
              <w:rStyle w:val="21"/>
              <w:sz w:val="24"/>
              <w:szCs w:val="22"/>
            </w:rPr>
            <w:t xml:space="preserve">1 </w:t>
          </w:r>
          <w:r>
            <w:rPr>
              <w:rStyle w:val="21"/>
              <w:rFonts w:hint="eastAsia"/>
              <w:sz w:val="24"/>
              <w:szCs w:val="22"/>
            </w:rPr>
            <w:t>项目背景</w:t>
          </w:r>
          <w:r>
            <w:rPr>
              <w:sz w:val="24"/>
              <w:szCs w:val="22"/>
            </w:rPr>
            <w:tab/>
          </w:r>
          <w:r>
            <w:rPr>
              <w:rFonts w:hint="eastAsia"/>
              <w:sz w:val="24"/>
              <w:szCs w:val="22"/>
            </w:rPr>
            <w:fldChar w:fldCharType="begin"/>
          </w:r>
          <w:r>
            <w:rPr>
              <w:sz w:val="24"/>
              <w:szCs w:val="22"/>
            </w:rPr>
            <w:instrText xml:space="preserve"> PAGEREF _Toc183055351 \h </w:instrText>
          </w:r>
          <w:r>
            <w:rPr>
              <w:rFonts w:hint="eastAsia"/>
              <w:sz w:val="24"/>
              <w:szCs w:val="22"/>
            </w:rPr>
            <w:fldChar w:fldCharType="separate"/>
          </w:r>
          <w:r>
            <w:rPr>
              <w:sz w:val="24"/>
              <w:szCs w:val="22"/>
            </w:rPr>
            <w:t>6</w:t>
          </w:r>
          <w:r>
            <w:rPr>
              <w:rFonts w:hint="eastAsia"/>
              <w:sz w:val="24"/>
              <w:szCs w:val="22"/>
            </w:rPr>
            <w:fldChar w:fldCharType="end"/>
          </w:r>
          <w:r>
            <w:rPr>
              <w:rFonts w:hint="eastAsia"/>
              <w:sz w:val="24"/>
              <w:szCs w:val="22"/>
            </w:rPr>
            <w:fldChar w:fldCharType="end"/>
          </w:r>
        </w:p>
        <w:p w14:paraId="570809DF">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"_Toc183055352" </w:instrText>
          </w:r>
          <w:r>
            <w:fldChar w:fldCharType="separate"/>
          </w:r>
          <w:r>
            <w:rPr>
              <w:rStyle w:val="21"/>
              <w:sz w:val="24"/>
              <w:szCs w:val="22"/>
            </w:rPr>
            <w:t xml:space="preserve">1.1 </w:t>
          </w:r>
          <w:r>
            <w:rPr>
              <w:rStyle w:val="21"/>
              <w:rFonts w:hint="eastAsia"/>
              <w:sz w:val="24"/>
              <w:szCs w:val="22"/>
            </w:rPr>
            <w:t>任务来源</w:t>
          </w:r>
          <w:r>
            <w:rPr>
              <w:sz w:val="24"/>
              <w:szCs w:val="22"/>
            </w:rPr>
            <w:tab/>
          </w:r>
          <w:r>
            <w:rPr>
              <w:rFonts w:hint="eastAsia"/>
              <w:sz w:val="24"/>
              <w:szCs w:val="22"/>
            </w:rPr>
            <w:fldChar w:fldCharType="begin"/>
          </w:r>
          <w:r>
            <w:rPr>
              <w:sz w:val="24"/>
              <w:szCs w:val="22"/>
            </w:rPr>
            <w:instrText xml:space="preserve"> PAGEREF _Toc183055352 \h </w:instrText>
          </w:r>
          <w:r>
            <w:rPr>
              <w:rFonts w:hint="eastAsia"/>
              <w:sz w:val="24"/>
              <w:szCs w:val="22"/>
            </w:rPr>
            <w:fldChar w:fldCharType="separate"/>
          </w:r>
          <w:r>
            <w:rPr>
              <w:sz w:val="24"/>
              <w:szCs w:val="22"/>
            </w:rPr>
            <w:t>6</w:t>
          </w:r>
          <w:r>
            <w:rPr>
              <w:rFonts w:hint="eastAsia"/>
              <w:sz w:val="24"/>
              <w:szCs w:val="22"/>
            </w:rPr>
            <w:fldChar w:fldCharType="end"/>
          </w:r>
          <w:r>
            <w:rPr>
              <w:rFonts w:hint="eastAsia"/>
              <w:sz w:val="24"/>
              <w:szCs w:val="22"/>
            </w:rPr>
            <w:fldChar w:fldCharType="end"/>
          </w:r>
        </w:p>
        <w:p w14:paraId="6A6FA1C0">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"_Toc183055353" </w:instrText>
          </w:r>
          <w:r>
            <w:fldChar w:fldCharType="separate"/>
          </w:r>
          <w:r>
            <w:rPr>
              <w:rStyle w:val="21"/>
              <w:sz w:val="24"/>
              <w:szCs w:val="22"/>
            </w:rPr>
            <w:t xml:space="preserve">1.2 </w:t>
          </w:r>
          <w:r>
            <w:rPr>
              <w:rStyle w:val="21"/>
              <w:rFonts w:hint="eastAsia"/>
              <w:sz w:val="24"/>
              <w:szCs w:val="22"/>
            </w:rPr>
            <w:t>研究意义</w:t>
          </w:r>
          <w:r>
            <w:rPr>
              <w:sz w:val="24"/>
              <w:szCs w:val="22"/>
            </w:rPr>
            <w:tab/>
          </w:r>
          <w:r>
            <w:rPr>
              <w:rFonts w:hint="eastAsia"/>
              <w:sz w:val="24"/>
              <w:szCs w:val="22"/>
            </w:rPr>
            <w:fldChar w:fldCharType="begin"/>
          </w:r>
          <w:r>
            <w:rPr>
              <w:sz w:val="24"/>
              <w:szCs w:val="22"/>
            </w:rPr>
            <w:instrText xml:space="preserve"> PAGEREF _Toc183055353 \h </w:instrText>
          </w:r>
          <w:r>
            <w:rPr>
              <w:rFonts w:hint="eastAsia"/>
              <w:sz w:val="24"/>
              <w:szCs w:val="22"/>
            </w:rPr>
            <w:fldChar w:fldCharType="separate"/>
          </w:r>
          <w:r>
            <w:rPr>
              <w:sz w:val="24"/>
              <w:szCs w:val="22"/>
            </w:rPr>
            <w:t>6</w:t>
          </w:r>
          <w:r>
            <w:rPr>
              <w:rFonts w:hint="eastAsia"/>
              <w:sz w:val="24"/>
              <w:szCs w:val="22"/>
            </w:rPr>
            <w:fldChar w:fldCharType="end"/>
          </w:r>
          <w:r>
            <w:rPr>
              <w:rFonts w:hint="eastAsia"/>
              <w:sz w:val="24"/>
              <w:szCs w:val="22"/>
            </w:rPr>
            <w:fldChar w:fldCharType="end"/>
          </w:r>
        </w:p>
        <w:p w14:paraId="579D389C">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"_Toc183055354" </w:instrText>
          </w:r>
          <w:r>
            <w:fldChar w:fldCharType="separate"/>
          </w:r>
          <w:r>
            <w:rPr>
              <w:rStyle w:val="21"/>
              <w:sz w:val="24"/>
              <w:szCs w:val="22"/>
            </w:rPr>
            <w:t xml:space="preserve">1.2.1 </w:t>
          </w:r>
          <w:r>
            <w:rPr>
              <w:rStyle w:val="21"/>
              <w:rFonts w:hint="eastAsia"/>
              <w:sz w:val="24"/>
              <w:szCs w:val="22"/>
            </w:rPr>
            <w:t>区域大气环境质量改善的迫切需要</w:t>
          </w:r>
          <w:r>
            <w:rPr>
              <w:sz w:val="24"/>
              <w:szCs w:val="22"/>
            </w:rPr>
            <w:tab/>
          </w:r>
          <w:r>
            <w:rPr>
              <w:rFonts w:hint="eastAsia"/>
              <w:sz w:val="24"/>
              <w:szCs w:val="22"/>
            </w:rPr>
            <w:fldChar w:fldCharType="begin"/>
          </w:r>
          <w:r>
            <w:rPr>
              <w:sz w:val="24"/>
              <w:szCs w:val="22"/>
            </w:rPr>
            <w:instrText xml:space="preserve"> PAGEREF _Toc183055354 \h </w:instrText>
          </w:r>
          <w:r>
            <w:rPr>
              <w:rFonts w:hint="eastAsia"/>
              <w:sz w:val="24"/>
              <w:szCs w:val="22"/>
            </w:rPr>
            <w:fldChar w:fldCharType="separate"/>
          </w:r>
          <w:r>
            <w:rPr>
              <w:sz w:val="24"/>
              <w:szCs w:val="22"/>
            </w:rPr>
            <w:t>6</w:t>
          </w:r>
          <w:r>
            <w:rPr>
              <w:rFonts w:hint="eastAsia"/>
              <w:sz w:val="24"/>
              <w:szCs w:val="22"/>
            </w:rPr>
            <w:fldChar w:fldCharType="end"/>
          </w:r>
          <w:r>
            <w:rPr>
              <w:rFonts w:hint="eastAsia"/>
              <w:sz w:val="24"/>
              <w:szCs w:val="22"/>
            </w:rPr>
            <w:fldChar w:fldCharType="end"/>
          </w:r>
        </w:p>
        <w:p w14:paraId="4591AE29">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"_Toc183055355" </w:instrText>
          </w:r>
          <w:r>
            <w:fldChar w:fldCharType="separate"/>
          </w:r>
          <w:r>
            <w:rPr>
              <w:rStyle w:val="21"/>
              <w:sz w:val="24"/>
              <w:szCs w:val="22"/>
            </w:rPr>
            <w:t xml:space="preserve">1.2.2 </w:t>
          </w:r>
          <w:r>
            <w:rPr>
              <w:rStyle w:val="21"/>
              <w:rFonts w:hint="eastAsia"/>
              <w:sz w:val="24"/>
              <w:szCs w:val="22"/>
            </w:rPr>
            <w:t>污染物减排压力的需要</w:t>
          </w:r>
          <w:r>
            <w:rPr>
              <w:sz w:val="24"/>
              <w:szCs w:val="22"/>
            </w:rPr>
            <w:tab/>
          </w:r>
          <w:r>
            <w:rPr>
              <w:rFonts w:hint="eastAsia"/>
              <w:sz w:val="24"/>
              <w:szCs w:val="22"/>
            </w:rPr>
            <w:fldChar w:fldCharType="begin"/>
          </w:r>
          <w:r>
            <w:rPr>
              <w:sz w:val="24"/>
              <w:szCs w:val="22"/>
            </w:rPr>
            <w:instrText xml:space="preserve"> PAGEREF _Toc183055355 \h </w:instrText>
          </w:r>
          <w:r>
            <w:rPr>
              <w:rFonts w:hint="eastAsia"/>
              <w:sz w:val="24"/>
              <w:szCs w:val="22"/>
            </w:rPr>
            <w:fldChar w:fldCharType="separate"/>
          </w:r>
          <w:r>
            <w:rPr>
              <w:sz w:val="24"/>
              <w:szCs w:val="22"/>
            </w:rPr>
            <w:t>8</w:t>
          </w:r>
          <w:r>
            <w:rPr>
              <w:rFonts w:hint="eastAsia"/>
              <w:sz w:val="24"/>
              <w:szCs w:val="22"/>
            </w:rPr>
            <w:fldChar w:fldCharType="end"/>
          </w:r>
          <w:r>
            <w:rPr>
              <w:rFonts w:hint="eastAsia"/>
              <w:sz w:val="24"/>
              <w:szCs w:val="22"/>
            </w:rPr>
            <w:fldChar w:fldCharType="end"/>
          </w:r>
        </w:p>
        <w:p w14:paraId="00D32D8B">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"_Toc183055356" </w:instrText>
          </w:r>
          <w:r>
            <w:fldChar w:fldCharType="separate"/>
          </w:r>
          <w:r>
            <w:rPr>
              <w:rStyle w:val="21"/>
              <w:sz w:val="24"/>
              <w:szCs w:val="22"/>
            </w:rPr>
            <w:t xml:space="preserve">1.2.3 </w:t>
          </w:r>
          <w:r>
            <w:rPr>
              <w:rStyle w:val="21"/>
              <w:rFonts w:hint="eastAsia"/>
              <w:sz w:val="24"/>
              <w:szCs w:val="22"/>
            </w:rPr>
            <w:t>行业绿色、健康和持续发展的需要</w:t>
          </w:r>
          <w:r>
            <w:rPr>
              <w:sz w:val="24"/>
              <w:szCs w:val="22"/>
            </w:rPr>
            <w:tab/>
          </w:r>
          <w:r>
            <w:rPr>
              <w:rFonts w:hint="eastAsia"/>
              <w:sz w:val="24"/>
              <w:szCs w:val="22"/>
            </w:rPr>
            <w:fldChar w:fldCharType="begin"/>
          </w:r>
          <w:r>
            <w:rPr>
              <w:sz w:val="24"/>
              <w:szCs w:val="22"/>
            </w:rPr>
            <w:instrText xml:space="preserve"> PAGEREF _Toc183055356 \h </w:instrText>
          </w:r>
          <w:r>
            <w:rPr>
              <w:rFonts w:hint="eastAsia"/>
              <w:sz w:val="24"/>
              <w:szCs w:val="22"/>
            </w:rPr>
            <w:fldChar w:fldCharType="separate"/>
          </w:r>
          <w:r>
            <w:rPr>
              <w:sz w:val="24"/>
              <w:szCs w:val="22"/>
            </w:rPr>
            <w:t>8</w:t>
          </w:r>
          <w:r>
            <w:rPr>
              <w:rFonts w:hint="eastAsia"/>
              <w:sz w:val="24"/>
              <w:szCs w:val="22"/>
            </w:rPr>
            <w:fldChar w:fldCharType="end"/>
          </w:r>
          <w:r>
            <w:rPr>
              <w:rFonts w:hint="eastAsia"/>
              <w:sz w:val="24"/>
              <w:szCs w:val="22"/>
            </w:rPr>
            <w:fldChar w:fldCharType="end"/>
          </w:r>
        </w:p>
        <w:p w14:paraId="4086EE62">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"_Toc183055357" </w:instrText>
          </w:r>
          <w:r>
            <w:fldChar w:fldCharType="separate"/>
          </w:r>
          <w:r>
            <w:rPr>
              <w:rStyle w:val="21"/>
              <w:sz w:val="24"/>
              <w:szCs w:val="22"/>
            </w:rPr>
            <w:t xml:space="preserve">1.3 </w:t>
          </w:r>
          <w:r>
            <w:rPr>
              <w:rStyle w:val="21"/>
              <w:rFonts w:hint="eastAsia"/>
              <w:sz w:val="24"/>
              <w:szCs w:val="22"/>
            </w:rPr>
            <w:t>工作过程</w:t>
          </w:r>
          <w:r>
            <w:rPr>
              <w:sz w:val="24"/>
              <w:szCs w:val="22"/>
            </w:rPr>
            <w:tab/>
          </w:r>
          <w:r>
            <w:rPr>
              <w:rFonts w:hint="eastAsia"/>
              <w:sz w:val="24"/>
              <w:szCs w:val="22"/>
            </w:rPr>
            <w:fldChar w:fldCharType="begin"/>
          </w:r>
          <w:r>
            <w:rPr>
              <w:sz w:val="24"/>
              <w:szCs w:val="22"/>
            </w:rPr>
            <w:instrText xml:space="preserve"> PAGEREF _Toc183055357 \h </w:instrText>
          </w:r>
          <w:r>
            <w:rPr>
              <w:rFonts w:hint="eastAsia"/>
              <w:sz w:val="24"/>
              <w:szCs w:val="22"/>
            </w:rPr>
            <w:fldChar w:fldCharType="separate"/>
          </w:r>
          <w:r>
            <w:rPr>
              <w:sz w:val="24"/>
              <w:szCs w:val="22"/>
            </w:rPr>
            <w:t>8</w:t>
          </w:r>
          <w:r>
            <w:rPr>
              <w:rFonts w:hint="eastAsia"/>
              <w:sz w:val="24"/>
              <w:szCs w:val="22"/>
            </w:rPr>
            <w:fldChar w:fldCharType="end"/>
          </w:r>
          <w:r>
            <w:rPr>
              <w:rFonts w:hint="eastAsia"/>
              <w:sz w:val="24"/>
              <w:szCs w:val="22"/>
            </w:rPr>
            <w:fldChar w:fldCharType="end"/>
          </w:r>
        </w:p>
        <w:p w14:paraId="13740AFC">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"_Toc183055358" </w:instrText>
          </w:r>
          <w:r>
            <w:fldChar w:fldCharType="separate"/>
          </w:r>
          <w:r>
            <w:rPr>
              <w:rStyle w:val="21"/>
              <w:sz w:val="24"/>
              <w:szCs w:val="22"/>
            </w:rPr>
            <w:t xml:space="preserve">1.4 </w:t>
          </w:r>
          <w:r>
            <w:rPr>
              <w:rStyle w:val="21"/>
              <w:rFonts w:hint="eastAsia"/>
              <w:sz w:val="24"/>
              <w:szCs w:val="22"/>
            </w:rPr>
            <w:t>技术路线</w:t>
          </w:r>
          <w:r>
            <w:rPr>
              <w:sz w:val="24"/>
              <w:szCs w:val="22"/>
            </w:rPr>
            <w:tab/>
          </w:r>
          <w:r>
            <w:rPr>
              <w:rFonts w:hint="eastAsia"/>
              <w:sz w:val="24"/>
              <w:szCs w:val="22"/>
            </w:rPr>
            <w:fldChar w:fldCharType="begin"/>
          </w:r>
          <w:r>
            <w:rPr>
              <w:sz w:val="24"/>
              <w:szCs w:val="22"/>
            </w:rPr>
            <w:instrText xml:space="preserve"> PAGEREF _Toc183055358 \h </w:instrText>
          </w:r>
          <w:r>
            <w:rPr>
              <w:rFonts w:hint="eastAsia"/>
              <w:sz w:val="24"/>
              <w:szCs w:val="22"/>
            </w:rPr>
            <w:fldChar w:fldCharType="separate"/>
          </w:r>
          <w:r>
            <w:rPr>
              <w:sz w:val="24"/>
              <w:szCs w:val="22"/>
            </w:rPr>
            <w:t>10</w:t>
          </w:r>
          <w:r>
            <w:rPr>
              <w:rFonts w:hint="eastAsia"/>
              <w:sz w:val="24"/>
              <w:szCs w:val="22"/>
            </w:rPr>
            <w:fldChar w:fldCharType="end"/>
          </w:r>
          <w:r>
            <w:rPr>
              <w:rFonts w:hint="eastAsia"/>
              <w:sz w:val="24"/>
              <w:szCs w:val="22"/>
            </w:rPr>
            <w:fldChar w:fldCharType="end"/>
          </w:r>
        </w:p>
        <w:p w14:paraId="65D61B45">
          <w:pPr>
            <w:pStyle w:val="12"/>
            <w:tabs>
              <w:tab w:val="right" w:leader="dot" w:pos="8296"/>
            </w:tabs>
            <w:ind w:firstLine="480"/>
            <w:rPr>
              <w:rFonts w:asciiTheme="minorHAnsi" w:hAnsiTheme="minorHAnsi" w:eastAsiaTheme="minorEastAsia"/>
              <w:sz w:val="21"/>
              <w:szCs w:val="22"/>
              <w14:ligatures w14:val="standardContextual"/>
            </w:rPr>
          </w:pPr>
          <w:r>
            <w:fldChar w:fldCharType="begin"/>
          </w:r>
          <w:r>
            <w:instrText xml:space="preserve"> HYPERLINK \l "_Toc183055359" </w:instrText>
          </w:r>
          <w:r>
            <w:fldChar w:fldCharType="separate"/>
          </w:r>
          <w:r>
            <w:rPr>
              <w:rStyle w:val="21"/>
              <w:sz w:val="24"/>
              <w:szCs w:val="22"/>
            </w:rPr>
            <w:t xml:space="preserve">2 </w:t>
          </w:r>
          <w:r>
            <w:rPr>
              <w:rStyle w:val="21"/>
              <w:rFonts w:hint="eastAsia"/>
              <w:sz w:val="24"/>
              <w:szCs w:val="22"/>
            </w:rPr>
            <w:t>行业基本情况</w:t>
          </w:r>
          <w:r>
            <w:rPr>
              <w:sz w:val="24"/>
              <w:szCs w:val="22"/>
            </w:rPr>
            <w:tab/>
          </w:r>
          <w:r>
            <w:rPr>
              <w:rFonts w:hint="eastAsia"/>
              <w:sz w:val="24"/>
              <w:szCs w:val="22"/>
            </w:rPr>
            <w:fldChar w:fldCharType="begin"/>
          </w:r>
          <w:r>
            <w:rPr>
              <w:sz w:val="24"/>
              <w:szCs w:val="22"/>
            </w:rPr>
            <w:instrText xml:space="preserve"> PAGEREF _Toc183055359 \h </w:instrText>
          </w:r>
          <w:r>
            <w:rPr>
              <w:rFonts w:hint="eastAsia"/>
              <w:sz w:val="24"/>
              <w:szCs w:val="22"/>
            </w:rPr>
            <w:fldChar w:fldCharType="separate"/>
          </w:r>
          <w:r>
            <w:rPr>
              <w:sz w:val="24"/>
              <w:szCs w:val="22"/>
            </w:rPr>
            <w:t>11</w:t>
          </w:r>
          <w:r>
            <w:rPr>
              <w:rFonts w:hint="eastAsia"/>
              <w:sz w:val="24"/>
              <w:szCs w:val="22"/>
            </w:rPr>
            <w:fldChar w:fldCharType="end"/>
          </w:r>
          <w:r>
            <w:rPr>
              <w:rFonts w:hint="eastAsia"/>
              <w:sz w:val="24"/>
              <w:szCs w:val="22"/>
            </w:rPr>
            <w:fldChar w:fldCharType="end"/>
          </w:r>
        </w:p>
        <w:p w14:paraId="61E108F8">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"_Toc183055360" </w:instrText>
          </w:r>
          <w:r>
            <w:fldChar w:fldCharType="separate"/>
          </w:r>
          <w:r>
            <w:rPr>
              <w:rStyle w:val="21"/>
              <w:sz w:val="24"/>
              <w:szCs w:val="22"/>
            </w:rPr>
            <w:t xml:space="preserve">2.1 </w:t>
          </w:r>
          <w:r>
            <w:rPr>
              <w:rStyle w:val="21"/>
              <w:rFonts w:hint="eastAsia"/>
              <w:sz w:val="24"/>
              <w:szCs w:val="22"/>
            </w:rPr>
            <w:t>相关政策文件</w:t>
          </w:r>
          <w:r>
            <w:rPr>
              <w:sz w:val="24"/>
              <w:szCs w:val="22"/>
            </w:rPr>
            <w:tab/>
          </w:r>
          <w:r>
            <w:rPr>
              <w:rFonts w:hint="eastAsia"/>
              <w:sz w:val="24"/>
              <w:szCs w:val="22"/>
            </w:rPr>
            <w:fldChar w:fldCharType="begin"/>
          </w:r>
          <w:r>
            <w:rPr>
              <w:sz w:val="24"/>
              <w:szCs w:val="22"/>
            </w:rPr>
            <w:instrText xml:space="preserve"> PAGEREF _Toc183055360 \h </w:instrText>
          </w:r>
          <w:r>
            <w:rPr>
              <w:rFonts w:hint="eastAsia"/>
              <w:sz w:val="24"/>
              <w:szCs w:val="22"/>
            </w:rPr>
            <w:fldChar w:fldCharType="separate"/>
          </w:r>
          <w:r>
            <w:rPr>
              <w:sz w:val="24"/>
              <w:szCs w:val="22"/>
            </w:rPr>
            <w:t>11</w:t>
          </w:r>
          <w:r>
            <w:rPr>
              <w:rFonts w:hint="eastAsia"/>
              <w:sz w:val="24"/>
              <w:szCs w:val="22"/>
            </w:rPr>
            <w:fldChar w:fldCharType="end"/>
          </w:r>
          <w:r>
            <w:rPr>
              <w:rFonts w:hint="eastAsia"/>
              <w:sz w:val="24"/>
              <w:szCs w:val="22"/>
            </w:rPr>
            <w:fldChar w:fldCharType="end"/>
          </w:r>
        </w:p>
        <w:p w14:paraId="1122094F">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"_Toc183055361" </w:instrText>
          </w:r>
          <w:r>
            <w:fldChar w:fldCharType="separate"/>
          </w:r>
          <w:r>
            <w:rPr>
              <w:rStyle w:val="21"/>
              <w:sz w:val="24"/>
              <w:szCs w:val="22"/>
            </w:rPr>
            <w:t xml:space="preserve">2.2 </w:t>
          </w:r>
          <w:r>
            <w:rPr>
              <w:rStyle w:val="21"/>
              <w:rFonts w:hint="eastAsia"/>
              <w:sz w:val="24"/>
              <w:szCs w:val="22"/>
            </w:rPr>
            <w:t>省内行业发展现状</w:t>
          </w:r>
          <w:r>
            <w:rPr>
              <w:sz w:val="24"/>
              <w:szCs w:val="22"/>
            </w:rPr>
            <w:tab/>
          </w:r>
          <w:r>
            <w:rPr>
              <w:rFonts w:hint="eastAsia"/>
              <w:sz w:val="24"/>
              <w:szCs w:val="22"/>
            </w:rPr>
            <w:fldChar w:fldCharType="begin"/>
          </w:r>
          <w:r>
            <w:rPr>
              <w:sz w:val="24"/>
              <w:szCs w:val="22"/>
            </w:rPr>
            <w:instrText xml:space="preserve"> PAGEREF _Toc183055361 \h </w:instrText>
          </w:r>
          <w:r>
            <w:rPr>
              <w:rFonts w:hint="eastAsia"/>
              <w:sz w:val="24"/>
              <w:szCs w:val="22"/>
            </w:rPr>
            <w:fldChar w:fldCharType="separate"/>
          </w:r>
          <w:r>
            <w:rPr>
              <w:sz w:val="24"/>
              <w:szCs w:val="22"/>
            </w:rPr>
            <w:t>12</w:t>
          </w:r>
          <w:r>
            <w:rPr>
              <w:rFonts w:hint="eastAsia"/>
              <w:sz w:val="24"/>
              <w:szCs w:val="22"/>
            </w:rPr>
            <w:fldChar w:fldCharType="end"/>
          </w:r>
          <w:r>
            <w:rPr>
              <w:rFonts w:hint="eastAsia"/>
              <w:sz w:val="24"/>
              <w:szCs w:val="22"/>
            </w:rPr>
            <w:fldChar w:fldCharType="end"/>
          </w:r>
        </w:p>
        <w:p w14:paraId="61CBCECC">
          <w:pPr>
            <w:pStyle w:val="12"/>
            <w:tabs>
              <w:tab w:val="right" w:leader="dot" w:pos="8296"/>
            </w:tabs>
            <w:ind w:firstLine="480"/>
            <w:rPr>
              <w:rFonts w:asciiTheme="minorHAnsi" w:hAnsiTheme="minorHAnsi" w:eastAsiaTheme="minorEastAsia"/>
              <w:sz w:val="21"/>
              <w:szCs w:val="22"/>
              <w14:ligatures w14:val="standardContextual"/>
            </w:rPr>
          </w:pPr>
          <w:r>
            <w:fldChar w:fldCharType="begin"/>
          </w:r>
          <w:r>
            <w:instrText xml:space="preserve"> HYPERLINK \l "_Toc183055362" </w:instrText>
          </w:r>
          <w:r>
            <w:fldChar w:fldCharType="separate"/>
          </w:r>
          <w:r>
            <w:rPr>
              <w:rStyle w:val="21"/>
              <w:sz w:val="24"/>
              <w:szCs w:val="22"/>
            </w:rPr>
            <w:t xml:space="preserve">3 </w:t>
          </w:r>
          <w:r>
            <w:rPr>
              <w:rStyle w:val="21"/>
              <w:rFonts w:hint="eastAsia"/>
              <w:sz w:val="24"/>
              <w:szCs w:val="22"/>
            </w:rPr>
            <w:t>产排污情况及污染控制技术分析</w:t>
          </w:r>
          <w:r>
            <w:rPr>
              <w:sz w:val="24"/>
              <w:szCs w:val="22"/>
            </w:rPr>
            <w:tab/>
          </w:r>
          <w:r>
            <w:rPr>
              <w:rFonts w:hint="eastAsia"/>
              <w:sz w:val="24"/>
              <w:szCs w:val="22"/>
            </w:rPr>
            <w:fldChar w:fldCharType="begin"/>
          </w:r>
          <w:r>
            <w:rPr>
              <w:sz w:val="24"/>
              <w:szCs w:val="22"/>
            </w:rPr>
            <w:instrText xml:space="preserve"> PAGEREF _Toc183055362 \h </w:instrText>
          </w:r>
          <w:r>
            <w:rPr>
              <w:rFonts w:hint="eastAsia"/>
              <w:sz w:val="24"/>
              <w:szCs w:val="22"/>
            </w:rPr>
            <w:fldChar w:fldCharType="separate"/>
          </w:r>
          <w:r>
            <w:rPr>
              <w:sz w:val="24"/>
              <w:szCs w:val="22"/>
            </w:rPr>
            <w:t>13</w:t>
          </w:r>
          <w:r>
            <w:rPr>
              <w:rFonts w:hint="eastAsia"/>
              <w:sz w:val="24"/>
              <w:szCs w:val="22"/>
            </w:rPr>
            <w:fldChar w:fldCharType="end"/>
          </w:r>
          <w:r>
            <w:rPr>
              <w:rFonts w:hint="eastAsia"/>
              <w:sz w:val="24"/>
              <w:szCs w:val="22"/>
            </w:rPr>
            <w:fldChar w:fldCharType="end"/>
          </w:r>
        </w:p>
        <w:p w14:paraId="62C963AA">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"_Toc183055363" </w:instrText>
          </w:r>
          <w:r>
            <w:fldChar w:fldCharType="separate"/>
          </w:r>
          <w:r>
            <w:rPr>
              <w:rStyle w:val="21"/>
              <w:sz w:val="24"/>
              <w:szCs w:val="22"/>
            </w:rPr>
            <w:t xml:space="preserve">3.1 </w:t>
          </w:r>
          <w:r>
            <w:rPr>
              <w:rStyle w:val="21"/>
              <w:rFonts w:hint="eastAsia"/>
              <w:sz w:val="24"/>
              <w:szCs w:val="22"/>
            </w:rPr>
            <w:t>焚烧炉炉型</w:t>
          </w:r>
          <w:r>
            <w:rPr>
              <w:sz w:val="24"/>
              <w:szCs w:val="22"/>
            </w:rPr>
            <w:tab/>
          </w:r>
          <w:r>
            <w:rPr>
              <w:rFonts w:hint="eastAsia"/>
              <w:sz w:val="24"/>
              <w:szCs w:val="22"/>
            </w:rPr>
            <w:fldChar w:fldCharType="begin"/>
          </w:r>
          <w:r>
            <w:rPr>
              <w:sz w:val="24"/>
              <w:szCs w:val="22"/>
            </w:rPr>
            <w:instrText xml:space="preserve"> PAGEREF _Toc183055363 \h </w:instrText>
          </w:r>
          <w:r>
            <w:rPr>
              <w:rFonts w:hint="eastAsia"/>
              <w:sz w:val="24"/>
              <w:szCs w:val="22"/>
            </w:rPr>
            <w:fldChar w:fldCharType="separate"/>
          </w:r>
          <w:r>
            <w:rPr>
              <w:sz w:val="24"/>
              <w:szCs w:val="22"/>
            </w:rPr>
            <w:t>13</w:t>
          </w:r>
          <w:r>
            <w:rPr>
              <w:rFonts w:hint="eastAsia"/>
              <w:sz w:val="24"/>
              <w:szCs w:val="22"/>
            </w:rPr>
            <w:fldChar w:fldCharType="end"/>
          </w:r>
          <w:r>
            <w:rPr>
              <w:rFonts w:hint="eastAsia"/>
              <w:sz w:val="24"/>
              <w:szCs w:val="22"/>
            </w:rPr>
            <w:fldChar w:fldCharType="end"/>
          </w:r>
        </w:p>
        <w:p w14:paraId="63015EC0">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"_Toc183055364" </w:instrText>
          </w:r>
          <w:r>
            <w:fldChar w:fldCharType="separate"/>
          </w:r>
          <w:r>
            <w:rPr>
              <w:rStyle w:val="21"/>
              <w:sz w:val="24"/>
              <w:szCs w:val="22"/>
            </w:rPr>
            <w:t xml:space="preserve">3.2 </w:t>
          </w:r>
          <w:r>
            <w:rPr>
              <w:rStyle w:val="21"/>
              <w:rFonts w:hint="eastAsia"/>
              <w:sz w:val="24"/>
              <w:szCs w:val="22"/>
            </w:rPr>
            <w:t>污染物产生情况</w:t>
          </w:r>
          <w:r>
            <w:rPr>
              <w:sz w:val="24"/>
              <w:szCs w:val="22"/>
            </w:rPr>
            <w:tab/>
          </w:r>
          <w:r>
            <w:rPr>
              <w:rFonts w:hint="eastAsia"/>
              <w:sz w:val="24"/>
              <w:szCs w:val="22"/>
            </w:rPr>
            <w:fldChar w:fldCharType="begin"/>
          </w:r>
          <w:r>
            <w:rPr>
              <w:sz w:val="24"/>
              <w:szCs w:val="22"/>
            </w:rPr>
            <w:instrText xml:space="preserve"> PAGEREF _Toc183055364 \h </w:instrText>
          </w:r>
          <w:r>
            <w:rPr>
              <w:rFonts w:hint="eastAsia"/>
              <w:sz w:val="24"/>
              <w:szCs w:val="22"/>
            </w:rPr>
            <w:fldChar w:fldCharType="separate"/>
          </w:r>
          <w:r>
            <w:rPr>
              <w:sz w:val="24"/>
              <w:szCs w:val="22"/>
            </w:rPr>
            <w:t>15</w:t>
          </w:r>
          <w:r>
            <w:rPr>
              <w:rFonts w:hint="eastAsia"/>
              <w:sz w:val="24"/>
              <w:szCs w:val="22"/>
            </w:rPr>
            <w:fldChar w:fldCharType="end"/>
          </w:r>
          <w:r>
            <w:rPr>
              <w:rFonts w:hint="eastAsia"/>
              <w:sz w:val="24"/>
              <w:szCs w:val="22"/>
            </w:rPr>
            <w:fldChar w:fldCharType="end"/>
          </w:r>
        </w:p>
        <w:p w14:paraId="469CDE77">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"_Toc183055365" </w:instrText>
          </w:r>
          <w:r>
            <w:fldChar w:fldCharType="separate"/>
          </w:r>
          <w:r>
            <w:rPr>
              <w:rStyle w:val="21"/>
              <w:sz w:val="24"/>
              <w:szCs w:val="22"/>
            </w:rPr>
            <w:t xml:space="preserve">3.3 </w:t>
          </w:r>
          <w:r>
            <w:rPr>
              <w:rStyle w:val="21"/>
              <w:rFonts w:hint="eastAsia"/>
              <w:sz w:val="24"/>
              <w:szCs w:val="22"/>
            </w:rPr>
            <w:t>污染控制技术</w:t>
          </w:r>
          <w:r>
            <w:rPr>
              <w:sz w:val="24"/>
              <w:szCs w:val="22"/>
            </w:rPr>
            <w:tab/>
          </w:r>
          <w:r>
            <w:rPr>
              <w:rFonts w:hint="eastAsia"/>
              <w:sz w:val="24"/>
              <w:szCs w:val="22"/>
            </w:rPr>
            <w:fldChar w:fldCharType="begin"/>
          </w:r>
          <w:r>
            <w:rPr>
              <w:sz w:val="24"/>
              <w:szCs w:val="22"/>
            </w:rPr>
            <w:instrText xml:space="preserve"> PAGEREF _Toc183055365 \h </w:instrText>
          </w:r>
          <w:r>
            <w:rPr>
              <w:rFonts w:hint="eastAsia"/>
              <w:sz w:val="24"/>
              <w:szCs w:val="22"/>
            </w:rPr>
            <w:fldChar w:fldCharType="separate"/>
          </w:r>
          <w:r>
            <w:rPr>
              <w:sz w:val="24"/>
              <w:szCs w:val="22"/>
            </w:rPr>
            <w:t>16</w:t>
          </w:r>
          <w:r>
            <w:rPr>
              <w:rFonts w:hint="eastAsia"/>
              <w:sz w:val="24"/>
              <w:szCs w:val="22"/>
            </w:rPr>
            <w:fldChar w:fldCharType="end"/>
          </w:r>
          <w:r>
            <w:rPr>
              <w:rFonts w:hint="eastAsia"/>
              <w:sz w:val="24"/>
              <w:szCs w:val="22"/>
            </w:rPr>
            <w:fldChar w:fldCharType="end"/>
          </w:r>
        </w:p>
        <w:p w14:paraId="0B0F5898">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"_Toc183055366" </w:instrText>
          </w:r>
          <w:r>
            <w:fldChar w:fldCharType="separate"/>
          </w:r>
          <w:r>
            <w:rPr>
              <w:rStyle w:val="21"/>
              <w:sz w:val="24"/>
              <w:szCs w:val="22"/>
            </w:rPr>
            <w:t xml:space="preserve">3.3.1 </w:t>
          </w:r>
          <w:r>
            <w:rPr>
              <w:rStyle w:val="21"/>
              <w:rFonts w:hint="eastAsia"/>
              <w:sz w:val="24"/>
              <w:szCs w:val="22"/>
            </w:rPr>
            <w:t>颗粒物控制技术</w:t>
          </w:r>
          <w:r>
            <w:rPr>
              <w:sz w:val="24"/>
              <w:szCs w:val="22"/>
            </w:rPr>
            <w:tab/>
          </w:r>
          <w:r>
            <w:rPr>
              <w:rFonts w:hint="eastAsia"/>
              <w:sz w:val="24"/>
              <w:szCs w:val="22"/>
            </w:rPr>
            <w:fldChar w:fldCharType="begin"/>
          </w:r>
          <w:r>
            <w:rPr>
              <w:sz w:val="24"/>
              <w:szCs w:val="22"/>
            </w:rPr>
            <w:instrText xml:space="preserve"> PAGEREF _Toc183055366 \h </w:instrText>
          </w:r>
          <w:r>
            <w:rPr>
              <w:rFonts w:hint="eastAsia"/>
              <w:sz w:val="24"/>
              <w:szCs w:val="22"/>
            </w:rPr>
            <w:fldChar w:fldCharType="separate"/>
          </w:r>
          <w:r>
            <w:rPr>
              <w:sz w:val="24"/>
              <w:szCs w:val="22"/>
            </w:rPr>
            <w:t>17</w:t>
          </w:r>
          <w:r>
            <w:rPr>
              <w:rFonts w:hint="eastAsia"/>
              <w:sz w:val="24"/>
              <w:szCs w:val="22"/>
            </w:rPr>
            <w:fldChar w:fldCharType="end"/>
          </w:r>
          <w:r>
            <w:rPr>
              <w:rFonts w:hint="eastAsia"/>
              <w:sz w:val="24"/>
              <w:szCs w:val="22"/>
            </w:rPr>
            <w:fldChar w:fldCharType="end"/>
          </w:r>
        </w:p>
        <w:p w14:paraId="66C67F21">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"_Toc183055367" </w:instrText>
          </w:r>
          <w:r>
            <w:fldChar w:fldCharType="separate"/>
          </w:r>
          <w:r>
            <w:rPr>
              <w:rStyle w:val="21"/>
              <w:sz w:val="24"/>
              <w:szCs w:val="22"/>
            </w:rPr>
            <w:t xml:space="preserve">3.3.2 </w:t>
          </w:r>
          <w:r>
            <w:rPr>
              <w:rStyle w:val="21"/>
              <w:rFonts w:hint="eastAsia"/>
              <w:sz w:val="24"/>
              <w:szCs w:val="22"/>
            </w:rPr>
            <w:t>酸性气体控制技术</w:t>
          </w:r>
          <w:r>
            <w:rPr>
              <w:sz w:val="24"/>
              <w:szCs w:val="22"/>
            </w:rPr>
            <w:tab/>
          </w:r>
          <w:r>
            <w:rPr>
              <w:rFonts w:hint="eastAsia"/>
              <w:sz w:val="24"/>
              <w:szCs w:val="22"/>
            </w:rPr>
            <w:fldChar w:fldCharType="begin"/>
          </w:r>
          <w:r>
            <w:rPr>
              <w:sz w:val="24"/>
              <w:szCs w:val="22"/>
            </w:rPr>
            <w:instrText xml:space="preserve"> PAGEREF _Toc183055367 \h </w:instrText>
          </w:r>
          <w:r>
            <w:rPr>
              <w:rFonts w:hint="eastAsia"/>
              <w:sz w:val="24"/>
              <w:szCs w:val="22"/>
            </w:rPr>
            <w:fldChar w:fldCharType="separate"/>
          </w:r>
          <w:r>
            <w:rPr>
              <w:sz w:val="24"/>
              <w:szCs w:val="22"/>
            </w:rPr>
            <w:t>18</w:t>
          </w:r>
          <w:r>
            <w:rPr>
              <w:rFonts w:hint="eastAsia"/>
              <w:sz w:val="24"/>
              <w:szCs w:val="22"/>
            </w:rPr>
            <w:fldChar w:fldCharType="end"/>
          </w:r>
          <w:r>
            <w:rPr>
              <w:rFonts w:hint="eastAsia"/>
              <w:sz w:val="24"/>
              <w:szCs w:val="22"/>
            </w:rPr>
            <w:fldChar w:fldCharType="end"/>
          </w:r>
        </w:p>
        <w:p w14:paraId="680812DE">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"_Toc183055368" </w:instrText>
          </w:r>
          <w:r>
            <w:fldChar w:fldCharType="separate"/>
          </w:r>
          <w:r>
            <w:rPr>
              <w:rStyle w:val="21"/>
              <w:sz w:val="24"/>
              <w:szCs w:val="22"/>
            </w:rPr>
            <w:t xml:space="preserve">3.3.3 </w:t>
          </w:r>
          <w:r>
            <w:rPr>
              <w:rStyle w:val="21"/>
              <w:rFonts w:hint="eastAsia"/>
              <w:sz w:val="24"/>
              <w:szCs w:val="22"/>
            </w:rPr>
            <w:t>氮氧化物控制技术</w:t>
          </w:r>
          <w:r>
            <w:rPr>
              <w:sz w:val="24"/>
              <w:szCs w:val="22"/>
            </w:rPr>
            <w:tab/>
          </w:r>
          <w:r>
            <w:rPr>
              <w:rFonts w:hint="eastAsia"/>
              <w:sz w:val="24"/>
              <w:szCs w:val="22"/>
            </w:rPr>
            <w:fldChar w:fldCharType="begin"/>
          </w:r>
          <w:r>
            <w:rPr>
              <w:sz w:val="24"/>
              <w:szCs w:val="22"/>
            </w:rPr>
            <w:instrText xml:space="preserve"> PAGEREF _Toc183055368 \h </w:instrText>
          </w:r>
          <w:r>
            <w:rPr>
              <w:rFonts w:hint="eastAsia"/>
              <w:sz w:val="24"/>
              <w:szCs w:val="22"/>
            </w:rPr>
            <w:fldChar w:fldCharType="separate"/>
          </w:r>
          <w:r>
            <w:rPr>
              <w:sz w:val="24"/>
              <w:szCs w:val="22"/>
            </w:rPr>
            <w:t>20</w:t>
          </w:r>
          <w:r>
            <w:rPr>
              <w:rFonts w:hint="eastAsia"/>
              <w:sz w:val="24"/>
              <w:szCs w:val="22"/>
            </w:rPr>
            <w:fldChar w:fldCharType="end"/>
          </w:r>
          <w:r>
            <w:rPr>
              <w:rFonts w:hint="eastAsia"/>
              <w:sz w:val="24"/>
              <w:szCs w:val="22"/>
            </w:rPr>
            <w:fldChar w:fldCharType="end"/>
          </w:r>
        </w:p>
        <w:p w14:paraId="18C8AE7C">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"_Toc183055369" </w:instrText>
          </w:r>
          <w:r>
            <w:fldChar w:fldCharType="separate"/>
          </w:r>
          <w:r>
            <w:rPr>
              <w:rStyle w:val="21"/>
              <w:sz w:val="24"/>
              <w:szCs w:val="22"/>
            </w:rPr>
            <w:t xml:space="preserve">3.3.4 </w:t>
          </w:r>
          <w:r>
            <w:rPr>
              <w:rStyle w:val="21"/>
              <w:rFonts w:hint="eastAsia"/>
              <w:sz w:val="24"/>
              <w:szCs w:val="22"/>
            </w:rPr>
            <w:t>重金属控制技术</w:t>
          </w:r>
          <w:r>
            <w:rPr>
              <w:sz w:val="24"/>
              <w:szCs w:val="22"/>
            </w:rPr>
            <w:tab/>
          </w:r>
          <w:r>
            <w:rPr>
              <w:rFonts w:hint="eastAsia"/>
              <w:sz w:val="24"/>
              <w:szCs w:val="22"/>
            </w:rPr>
            <w:fldChar w:fldCharType="begin"/>
          </w:r>
          <w:r>
            <w:rPr>
              <w:sz w:val="24"/>
              <w:szCs w:val="22"/>
            </w:rPr>
            <w:instrText xml:space="preserve"> PAGEREF _Toc183055369 \h </w:instrText>
          </w:r>
          <w:r>
            <w:rPr>
              <w:rFonts w:hint="eastAsia"/>
              <w:sz w:val="24"/>
              <w:szCs w:val="22"/>
            </w:rPr>
            <w:fldChar w:fldCharType="separate"/>
          </w:r>
          <w:r>
            <w:rPr>
              <w:sz w:val="24"/>
              <w:szCs w:val="22"/>
            </w:rPr>
            <w:t>22</w:t>
          </w:r>
          <w:r>
            <w:rPr>
              <w:rFonts w:hint="eastAsia"/>
              <w:sz w:val="24"/>
              <w:szCs w:val="22"/>
            </w:rPr>
            <w:fldChar w:fldCharType="end"/>
          </w:r>
          <w:r>
            <w:rPr>
              <w:rFonts w:hint="eastAsia"/>
              <w:sz w:val="24"/>
              <w:szCs w:val="22"/>
            </w:rPr>
            <w:fldChar w:fldCharType="end"/>
          </w:r>
        </w:p>
        <w:p w14:paraId="65DA8ABC">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"_Toc183055370" </w:instrText>
          </w:r>
          <w:r>
            <w:fldChar w:fldCharType="separate"/>
          </w:r>
          <w:r>
            <w:rPr>
              <w:rStyle w:val="21"/>
              <w:sz w:val="24"/>
              <w:szCs w:val="22"/>
            </w:rPr>
            <w:t xml:space="preserve">3.3.5 </w:t>
          </w:r>
          <w:r>
            <w:rPr>
              <w:rStyle w:val="21"/>
              <w:rFonts w:hint="eastAsia"/>
              <w:sz w:val="24"/>
              <w:szCs w:val="22"/>
            </w:rPr>
            <w:t>二</w:t>
          </w:r>
          <w:r>
            <w:rPr>
              <w:rStyle w:val="21"/>
              <w:rFonts w:hint="eastAsia" w:ascii="仿宋" w:hAnsi="仿宋" w:eastAsia="仿宋"/>
              <w:sz w:val="24"/>
              <w:szCs w:val="22"/>
            </w:rPr>
            <w:t>噁</w:t>
          </w:r>
          <w:r>
            <w:rPr>
              <w:rStyle w:val="21"/>
              <w:rFonts w:hint="eastAsia"/>
              <w:sz w:val="24"/>
              <w:szCs w:val="22"/>
            </w:rPr>
            <w:t>英控制技术</w:t>
          </w:r>
          <w:r>
            <w:rPr>
              <w:sz w:val="24"/>
              <w:szCs w:val="22"/>
            </w:rPr>
            <w:tab/>
          </w:r>
          <w:r>
            <w:rPr>
              <w:rFonts w:hint="eastAsia"/>
              <w:sz w:val="24"/>
              <w:szCs w:val="22"/>
            </w:rPr>
            <w:fldChar w:fldCharType="begin"/>
          </w:r>
          <w:r>
            <w:rPr>
              <w:sz w:val="24"/>
              <w:szCs w:val="22"/>
            </w:rPr>
            <w:instrText xml:space="preserve"> PAGEREF _Toc183055370 \h </w:instrText>
          </w:r>
          <w:r>
            <w:rPr>
              <w:rFonts w:hint="eastAsia"/>
              <w:sz w:val="24"/>
              <w:szCs w:val="22"/>
            </w:rPr>
            <w:fldChar w:fldCharType="separate"/>
          </w:r>
          <w:r>
            <w:rPr>
              <w:sz w:val="24"/>
              <w:szCs w:val="22"/>
            </w:rPr>
            <w:t>22</w:t>
          </w:r>
          <w:r>
            <w:rPr>
              <w:rFonts w:hint="eastAsia"/>
              <w:sz w:val="24"/>
              <w:szCs w:val="22"/>
            </w:rPr>
            <w:fldChar w:fldCharType="end"/>
          </w:r>
          <w:r>
            <w:rPr>
              <w:rFonts w:hint="eastAsia"/>
              <w:sz w:val="24"/>
              <w:szCs w:val="22"/>
            </w:rPr>
            <w:fldChar w:fldCharType="end"/>
          </w:r>
        </w:p>
        <w:p w14:paraId="0C093746">
          <w:pPr>
            <w:pStyle w:val="12"/>
            <w:tabs>
              <w:tab w:val="right" w:leader="dot" w:pos="8296"/>
            </w:tabs>
            <w:ind w:firstLine="480"/>
            <w:rPr>
              <w:rFonts w:asciiTheme="minorHAnsi" w:hAnsiTheme="minorHAnsi" w:eastAsiaTheme="minorEastAsia"/>
              <w:sz w:val="21"/>
              <w:szCs w:val="22"/>
              <w14:ligatures w14:val="standardContextual"/>
            </w:rPr>
          </w:pPr>
          <w:r>
            <w:fldChar w:fldCharType="begin"/>
          </w:r>
          <w:r>
            <w:instrText xml:space="preserve"> HYPERLINK \l "_Toc183055371" </w:instrText>
          </w:r>
          <w:r>
            <w:fldChar w:fldCharType="separate"/>
          </w:r>
          <w:r>
            <w:rPr>
              <w:rStyle w:val="21"/>
              <w:sz w:val="24"/>
              <w:szCs w:val="22"/>
            </w:rPr>
            <w:t xml:space="preserve">4 </w:t>
          </w:r>
          <w:r>
            <w:rPr>
              <w:rStyle w:val="21"/>
              <w:rFonts w:hint="eastAsia"/>
              <w:sz w:val="24"/>
              <w:szCs w:val="22"/>
            </w:rPr>
            <w:t>国内外标准研究现状</w:t>
          </w:r>
          <w:r>
            <w:rPr>
              <w:sz w:val="24"/>
              <w:szCs w:val="22"/>
            </w:rPr>
            <w:tab/>
          </w:r>
          <w:r>
            <w:rPr>
              <w:rFonts w:hint="eastAsia"/>
              <w:sz w:val="24"/>
              <w:szCs w:val="22"/>
            </w:rPr>
            <w:fldChar w:fldCharType="begin"/>
          </w:r>
          <w:r>
            <w:rPr>
              <w:sz w:val="24"/>
              <w:szCs w:val="22"/>
            </w:rPr>
            <w:instrText xml:space="preserve"> PAGEREF _Toc183055371 \h </w:instrText>
          </w:r>
          <w:r>
            <w:rPr>
              <w:rFonts w:hint="eastAsia"/>
              <w:sz w:val="24"/>
              <w:szCs w:val="22"/>
            </w:rPr>
            <w:fldChar w:fldCharType="separate"/>
          </w:r>
          <w:r>
            <w:rPr>
              <w:sz w:val="24"/>
              <w:szCs w:val="22"/>
            </w:rPr>
            <w:t>24</w:t>
          </w:r>
          <w:r>
            <w:rPr>
              <w:rFonts w:hint="eastAsia"/>
              <w:sz w:val="24"/>
              <w:szCs w:val="22"/>
            </w:rPr>
            <w:fldChar w:fldCharType="end"/>
          </w:r>
          <w:r>
            <w:rPr>
              <w:rFonts w:hint="eastAsia"/>
              <w:sz w:val="24"/>
              <w:szCs w:val="22"/>
            </w:rPr>
            <w:fldChar w:fldCharType="end"/>
          </w:r>
        </w:p>
        <w:p w14:paraId="589A3E43">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"_Toc183055372" </w:instrText>
          </w:r>
          <w:r>
            <w:fldChar w:fldCharType="separate"/>
          </w:r>
          <w:r>
            <w:rPr>
              <w:rStyle w:val="21"/>
              <w:sz w:val="24"/>
              <w:szCs w:val="22"/>
            </w:rPr>
            <w:t xml:space="preserve">4.1 </w:t>
          </w:r>
          <w:r>
            <w:rPr>
              <w:rStyle w:val="21"/>
              <w:rFonts w:hint="eastAsia"/>
              <w:sz w:val="24"/>
              <w:szCs w:val="22"/>
            </w:rPr>
            <w:t>国外相关标准</w:t>
          </w:r>
          <w:r>
            <w:rPr>
              <w:sz w:val="24"/>
              <w:szCs w:val="22"/>
            </w:rPr>
            <w:tab/>
          </w:r>
          <w:r>
            <w:rPr>
              <w:rFonts w:hint="eastAsia"/>
              <w:sz w:val="24"/>
              <w:szCs w:val="22"/>
            </w:rPr>
            <w:fldChar w:fldCharType="begin"/>
          </w:r>
          <w:r>
            <w:rPr>
              <w:sz w:val="24"/>
              <w:szCs w:val="22"/>
            </w:rPr>
            <w:instrText xml:space="preserve"> PAGEREF _Toc183055372 \h </w:instrText>
          </w:r>
          <w:r>
            <w:rPr>
              <w:rFonts w:hint="eastAsia"/>
              <w:sz w:val="24"/>
              <w:szCs w:val="22"/>
            </w:rPr>
            <w:fldChar w:fldCharType="separate"/>
          </w:r>
          <w:r>
            <w:rPr>
              <w:sz w:val="24"/>
              <w:szCs w:val="22"/>
            </w:rPr>
            <w:t>24</w:t>
          </w:r>
          <w:r>
            <w:rPr>
              <w:rFonts w:hint="eastAsia"/>
              <w:sz w:val="24"/>
              <w:szCs w:val="22"/>
            </w:rPr>
            <w:fldChar w:fldCharType="end"/>
          </w:r>
          <w:r>
            <w:rPr>
              <w:rFonts w:hint="eastAsia"/>
              <w:sz w:val="24"/>
              <w:szCs w:val="22"/>
            </w:rPr>
            <w:fldChar w:fldCharType="end"/>
          </w:r>
        </w:p>
        <w:p w14:paraId="30537545">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"_Toc183055373" </w:instrText>
          </w:r>
          <w:r>
            <w:fldChar w:fldCharType="separate"/>
          </w:r>
          <w:r>
            <w:rPr>
              <w:rStyle w:val="21"/>
              <w:sz w:val="24"/>
              <w:szCs w:val="22"/>
            </w:rPr>
            <w:t xml:space="preserve">4.2 </w:t>
          </w:r>
          <w:r>
            <w:rPr>
              <w:rStyle w:val="21"/>
              <w:rFonts w:hint="eastAsia"/>
              <w:sz w:val="24"/>
              <w:szCs w:val="22"/>
            </w:rPr>
            <w:t>国内相关标准</w:t>
          </w:r>
          <w:r>
            <w:rPr>
              <w:sz w:val="24"/>
              <w:szCs w:val="22"/>
            </w:rPr>
            <w:tab/>
          </w:r>
          <w:r>
            <w:rPr>
              <w:rFonts w:hint="eastAsia"/>
              <w:sz w:val="24"/>
              <w:szCs w:val="22"/>
            </w:rPr>
            <w:fldChar w:fldCharType="begin"/>
          </w:r>
          <w:r>
            <w:rPr>
              <w:sz w:val="24"/>
              <w:szCs w:val="22"/>
            </w:rPr>
            <w:instrText xml:space="preserve"> PAGEREF _Toc183055373 \h </w:instrText>
          </w:r>
          <w:r>
            <w:rPr>
              <w:rFonts w:hint="eastAsia"/>
              <w:sz w:val="24"/>
              <w:szCs w:val="22"/>
            </w:rPr>
            <w:fldChar w:fldCharType="separate"/>
          </w:r>
          <w:r>
            <w:rPr>
              <w:sz w:val="24"/>
              <w:szCs w:val="22"/>
            </w:rPr>
            <w:t>26</w:t>
          </w:r>
          <w:r>
            <w:rPr>
              <w:rFonts w:hint="eastAsia"/>
              <w:sz w:val="24"/>
              <w:szCs w:val="22"/>
            </w:rPr>
            <w:fldChar w:fldCharType="end"/>
          </w:r>
          <w:r>
            <w:rPr>
              <w:rFonts w:hint="eastAsia"/>
              <w:sz w:val="24"/>
              <w:szCs w:val="22"/>
            </w:rPr>
            <w:fldChar w:fldCharType="end"/>
          </w:r>
        </w:p>
        <w:p w14:paraId="0CC6A53F">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"_Toc183055374" </w:instrText>
          </w:r>
          <w:r>
            <w:fldChar w:fldCharType="separate"/>
          </w:r>
          <w:r>
            <w:rPr>
              <w:rStyle w:val="21"/>
              <w:sz w:val="24"/>
              <w:szCs w:val="22"/>
            </w:rPr>
            <w:t xml:space="preserve">4.3 </w:t>
          </w:r>
          <w:r>
            <w:rPr>
              <w:rStyle w:val="21"/>
              <w:rFonts w:hint="eastAsia"/>
              <w:sz w:val="24"/>
              <w:szCs w:val="22"/>
            </w:rPr>
            <w:t>其他省份标准</w:t>
          </w:r>
          <w:r>
            <w:rPr>
              <w:sz w:val="24"/>
              <w:szCs w:val="22"/>
            </w:rPr>
            <w:tab/>
          </w:r>
          <w:r>
            <w:rPr>
              <w:rFonts w:hint="eastAsia"/>
              <w:sz w:val="24"/>
              <w:szCs w:val="22"/>
            </w:rPr>
            <w:fldChar w:fldCharType="begin"/>
          </w:r>
          <w:r>
            <w:rPr>
              <w:sz w:val="24"/>
              <w:szCs w:val="22"/>
            </w:rPr>
            <w:instrText xml:space="preserve"> PAGEREF _Toc183055374 \h </w:instrText>
          </w:r>
          <w:r>
            <w:rPr>
              <w:rFonts w:hint="eastAsia"/>
              <w:sz w:val="24"/>
              <w:szCs w:val="22"/>
            </w:rPr>
            <w:fldChar w:fldCharType="separate"/>
          </w:r>
          <w:r>
            <w:rPr>
              <w:sz w:val="24"/>
              <w:szCs w:val="22"/>
            </w:rPr>
            <w:t>27</w:t>
          </w:r>
          <w:r>
            <w:rPr>
              <w:rFonts w:hint="eastAsia"/>
              <w:sz w:val="24"/>
              <w:szCs w:val="22"/>
            </w:rPr>
            <w:fldChar w:fldCharType="end"/>
          </w:r>
          <w:r>
            <w:rPr>
              <w:rFonts w:hint="eastAsia"/>
              <w:sz w:val="24"/>
              <w:szCs w:val="22"/>
            </w:rPr>
            <w:fldChar w:fldCharType="end"/>
          </w:r>
        </w:p>
        <w:p w14:paraId="3BBE18CF">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"_Toc183055375" </w:instrText>
          </w:r>
          <w:r>
            <w:fldChar w:fldCharType="separate"/>
          </w:r>
          <w:r>
            <w:rPr>
              <w:rStyle w:val="21"/>
              <w:sz w:val="24"/>
              <w:szCs w:val="22"/>
            </w:rPr>
            <w:t xml:space="preserve">4.4 </w:t>
          </w:r>
          <w:r>
            <w:rPr>
              <w:rStyle w:val="21"/>
              <w:rFonts w:hint="eastAsia"/>
              <w:sz w:val="24"/>
              <w:szCs w:val="22"/>
            </w:rPr>
            <w:t>本标准与国家、其他省份标准对比情况</w:t>
          </w:r>
          <w:r>
            <w:rPr>
              <w:sz w:val="24"/>
              <w:szCs w:val="22"/>
            </w:rPr>
            <w:tab/>
          </w:r>
          <w:r>
            <w:rPr>
              <w:rFonts w:hint="eastAsia"/>
              <w:sz w:val="24"/>
              <w:szCs w:val="22"/>
            </w:rPr>
            <w:fldChar w:fldCharType="begin"/>
          </w:r>
          <w:r>
            <w:rPr>
              <w:sz w:val="24"/>
              <w:szCs w:val="22"/>
            </w:rPr>
            <w:instrText xml:space="preserve"> PAGEREF _Toc183055375 \h </w:instrText>
          </w:r>
          <w:r>
            <w:rPr>
              <w:rFonts w:hint="eastAsia"/>
              <w:sz w:val="24"/>
              <w:szCs w:val="22"/>
            </w:rPr>
            <w:fldChar w:fldCharType="separate"/>
          </w:r>
          <w:r>
            <w:rPr>
              <w:sz w:val="24"/>
              <w:szCs w:val="22"/>
            </w:rPr>
            <w:t>27</w:t>
          </w:r>
          <w:r>
            <w:rPr>
              <w:rFonts w:hint="eastAsia"/>
              <w:sz w:val="24"/>
              <w:szCs w:val="22"/>
            </w:rPr>
            <w:fldChar w:fldCharType="end"/>
          </w:r>
          <w:r>
            <w:rPr>
              <w:rFonts w:hint="eastAsia"/>
              <w:sz w:val="24"/>
              <w:szCs w:val="22"/>
            </w:rPr>
            <w:fldChar w:fldCharType="end"/>
          </w:r>
        </w:p>
        <w:p w14:paraId="06CA9C83">
          <w:pPr>
            <w:pStyle w:val="12"/>
            <w:tabs>
              <w:tab w:val="right" w:leader="dot" w:pos="8296"/>
            </w:tabs>
            <w:ind w:firstLine="480"/>
            <w:rPr>
              <w:rFonts w:asciiTheme="minorHAnsi" w:hAnsiTheme="minorHAnsi" w:eastAsiaTheme="minorEastAsia"/>
              <w:sz w:val="21"/>
              <w:szCs w:val="22"/>
              <w14:ligatures w14:val="standardContextual"/>
            </w:rPr>
          </w:pPr>
          <w:r>
            <w:fldChar w:fldCharType="begin"/>
          </w:r>
          <w:r>
            <w:instrText xml:space="preserve"> HYPERLINK \l "_Toc183055376" </w:instrText>
          </w:r>
          <w:r>
            <w:fldChar w:fldCharType="separate"/>
          </w:r>
          <w:r>
            <w:rPr>
              <w:rStyle w:val="21"/>
              <w:sz w:val="24"/>
              <w:szCs w:val="22"/>
            </w:rPr>
            <w:t xml:space="preserve">5 </w:t>
          </w:r>
          <w:r>
            <w:rPr>
              <w:rStyle w:val="21"/>
              <w:rFonts w:hint="eastAsia"/>
              <w:sz w:val="24"/>
              <w:szCs w:val="22"/>
            </w:rPr>
            <w:t>生活垃圾焚烧厂调研及污染物排放现状</w:t>
          </w:r>
          <w:r>
            <w:rPr>
              <w:sz w:val="24"/>
              <w:szCs w:val="22"/>
            </w:rPr>
            <w:tab/>
          </w:r>
          <w:r>
            <w:rPr>
              <w:rFonts w:hint="eastAsia"/>
              <w:sz w:val="24"/>
              <w:szCs w:val="22"/>
            </w:rPr>
            <w:fldChar w:fldCharType="begin"/>
          </w:r>
          <w:r>
            <w:rPr>
              <w:sz w:val="24"/>
              <w:szCs w:val="22"/>
            </w:rPr>
            <w:instrText xml:space="preserve"> PAGEREF _Toc183055376 \h </w:instrText>
          </w:r>
          <w:r>
            <w:rPr>
              <w:rFonts w:hint="eastAsia"/>
              <w:sz w:val="24"/>
              <w:szCs w:val="22"/>
            </w:rPr>
            <w:fldChar w:fldCharType="separate"/>
          </w:r>
          <w:r>
            <w:rPr>
              <w:sz w:val="24"/>
              <w:szCs w:val="22"/>
            </w:rPr>
            <w:t>30</w:t>
          </w:r>
          <w:r>
            <w:rPr>
              <w:rFonts w:hint="eastAsia"/>
              <w:sz w:val="24"/>
              <w:szCs w:val="22"/>
            </w:rPr>
            <w:fldChar w:fldCharType="end"/>
          </w:r>
          <w:r>
            <w:rPr>
              <w:rFonts w:hint="eastAsia"/>
              <w:sz w:val="24"/>
              <w:szCs w:val="22"/>
            </w:rPr>
            <w:fldChar w:fldCharType="end"/>
          </w:r>
        </w:p>
        <w:p w14:paraId="25E302DE">
          <w:pPr>
            <w:pStyle w:val="12"/>
            <w:tabs>
              <w:tab w:val="right" w:leader="dot" w:pos="8296"/>
            </w:tabs>
            <w:ind w:firstLine="480"/>
            <w:rPr>
              <w:rFonts w:asciiTheme="minorHAnsi" w:hAnsiTheme="minorHAnsi" w:eastAsiaTheme="minorEastAsia"/>
              <w:sz w:val="21"/>
              <w:szCs w:val="22"/>
              <w14:ligatures w14:val="standardContextual"/>
            </w:rPr>
          </w:pPr>
          <w:r>
            <w:fldChar w:fldCharType="begin"/>
          </w:r>
          <w:r>
            <w:instrText xml:space="preserve"> HYPERLINK \l "_Toc183055377" </w:instrText>
          </w:r>
          <w:r>
            <w:fldChar w:fldCharType="separate"/>
          </w:r>
          <w:r>
            <w:rPr>
              <w:rStyle w:val="21"/>
              <w:sz w:val="24"/>
              <w:szCs w:val="22"/>
            </w:rPr>
            <w:t xml:space="preserve">6 </w:t>
          </w:r>
          <w:r>
            <w:rPr>
              <w:rStyle w:val="21"/>
              <w:rFonts w:hint="eastAsia"/>
              <w:sz w:val="24"/>
              <w:szCs w:val="22"/>
            </w:rPr>
            <w:t>标准制定主要内容说明</w:t>
          </w:r>
          <w:r>
            <w:rPr>
              <w:sz w:val="24"/>
              <w:szCs w:val="22"/>
            </w:rPr>
            <w:tab/>
          </w:r>
          <w:r>
            <w:rPr>
              <w:rFonts w:hint="eastAsia"/>
              <w:sz w:val="24"/>
              <w:szCs w:val="22"/>
            </w:rPr>
            <w:fldChar w:fldCharType="begin"/>
          </w:r>
          <w:r>
            <w:rPr>
              <w:sz w:val="24"/>
              <w:szCs w:val="22"/>
            </w:rPr>
            <w:instrText xml:space="preserve"> PAGEREF _Toc183055377 \h </w:instrText>
          </w:r>
          <w:r>
            <w:rPr>
              <w:rFonts w:hint="eastAsia"/>
              <w:sz w:val="24"/>
              <w:szCs w:val="22"/>
            </w:rPr>
            <w:fldChar w:fldCharType="separate"/>
          </w:r>
          <w:r>
            <w:rPr>
              <w:sz w:val="24"/>
              <w:szCs w:val="22"/>
            </w:rPr>
            <w:t>32</w:t>
          </w:r>
          <w:r>
            <w:rPr>
              <w:rFonts w:hint="eastAsia"/>
              <w:sz w:val="24"/>
              <w:szCs w:val="22"/>
            </w:rPr>
            <w:fldChar w:fldCharType="end"/>
          </w:r>
          <w:r>
            <w:rPr>
              <w:rFonts w:hint="eastAsia"/>
              <w:sz w:val="24"/>
              <w:szCs w:val="22"/>
            </w:rPr>
            <w:fldChar w:fldCharType="end"/>
          </w:r>
        </w:p>
        <w:p w14:paraId="10F1B7BF">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"_Toc183055378" </w:instrText>
          </w:r>
          <w:r>
            <w:fldChar w:fldCharType="separate"/>
          </w:r>
          <w:r>
            <w:rPr>
              <w:rStyle w:val="21"/>
              <w:sz w:val="24"/>
              <w:szCs w:val="22"/>
            </w:rPr>
            <w:t xml:space="preserve">6.1 </w:t>
          </w:r>
          <w:r>
            <w:rPr>
              <w:rStyle w:val="21"/>
              <w:rFonts w:hint="eastAsia"/>
              <w:sz w:val="24"/>
              <w:szCs w:val="22"/>
            </w:rPr>
            <w:t>标准范围</w:t>
          </w:r>
          <w:r>
            <w:rPr>
              <w:sz w:val="24"/>
              <w:szCs w:val="22"/>
            </w:rPr>
            <w:tab/>
          </w:r>
          <w:r>
            <w:rPr>
              <w:rFonts w:hint="eastAsia"/>
              <w:sz w:val="24"/>
              <w:szCs w:val="22"/>
            </w:rPr>
            <w:fldChar w:fldCharType="begin"/>
          </w:r>
          <w:r>
            <w:rPr>
              <w:sz w:val="24"/>
              <w:szCs w:val="22"/>
            </w:rPr>
            <w:instrText xml:space="preserve"> PAGEREF _Toc183055378 \h </w:instrText>
          </w:r>
          <w:r>
            <w:rPr>
              <w:rFonts w:hint="eastAsia"/>
              <w:sz w:val="24"/>
              <w:szCs w:val="22"/>
            </w:rPr>
            <w:fldChar w:fldCharType="separate"/>
          </w:r>
          <w:r>
            <w:rPr>
              <w:sz w:val="24"/>
              <w:szCs w:val="22"/>
            </w:rPr>
            <w:t>32</w:t>
          </w:r>
          <w:r>
            <w:rPr>
              <w:rFonts w:hint="eastAsia"/>
              <w:sz w:val="24"/>
              <w:szCs w:val="22"/>
            </w:rPr>
            <w:fldChar w:fldCharType="end"/>
          </w:r>
          <w:r>
            <w:rPr>
              <w:rFonts w:hint="eastAsia"/>
              <w:sz w:val="24"/>
              <w:szCs w:val="22"/>
            </w:rPr>
            <w:fldChar w:fldCharType="end"/>
          </w:r>
        </w:p>
        <w:p w14:paraId="2422DD99">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"_Toc183055379" </w:instrText>
          </w:r>
          <w:r>
            <w:fldChar w:fldCharType="separate"/>
          </w:r>
          <w:r>
            <w:rPr>
              <w:rStyle w:val="21"/>
              <w:sz w:val="24"/>
              <w:szCs w:val="22"/>
            </w:rPr>
            <w:t xml:space="preserve">6.2 </w:t>
          </w:r>
          <w:r>
            <w:rPr>
              <w:rStyle w:val="21"/>
              <w:rFonts w:hint="eastAsia"/>
              <w:sz w:val="24"/>
              <w:szCs w:val="22"/>
            </w:rPr>
            <w:t>术语和定义</w:t>
          </w:r>
          <w:r>
            <w:rPr>
              <w:sz w:val="24"/>
              <w:szCs w:val="22"/>
            </w:rPr>
            <w:tab/>
          </w:r>
          <w:r>
            <w:rPr>
              <w:rFonts w:hint="eastAsia"/>
              <w:sz w:val="24"/>
              <w:szCs w:val="22"/>
            </w:rPr>
            <w:fldChar w:fldCharType="begin"/>
          </w:r>
          <w:r>
            <w:rPr>
              <w:sz w:val="24"/>
              <w:szCs w:val="22"/>
            </w:rPr>
            <w:instrText xml:space="preserve"> PAGEREF _Toc183055379 \h </w:instrText>
          </w:r>
          <w:r>
            <w:rPr>
              <w:rFonts w:hint="eastAsia"/>
              <w:sz w:val="24"/>
              <w:szCs w:val="22"/>
            </w:rPr>
            <w:fldChar w:fldCharType="separate"/>
          </w:r>
          <w:r>
            <w:rPr>
              <w:sz w:val="24"/>
              <w:szCs w:val="22"/>
            </w:rPr>
            <w:t>33</w:t>
          </w:r>
          <w:r>
            <w:rPr>
              <w:rFonts w:hint="eastAsia"/>
              <w:sz w:val="24"/>
              <w:szCs w:val="22"/>
            </w:rPr>
            <w:fldChar w:fldCharType="end"/>
          </w:r>
          <w:r>
            <w:rPr>
              <w:rFonts w:hint="eastAsia"/>
              <w:sz w:val="24"/>
              <w:szCs w:val="22"/>
            </w:rPr>
            <w:fldChar w:fldCharType="end"/>
          </w:r>
        </w:p>
        <w:p w14:paraId="689C0DCC">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"_Toc183055380" </w:instrText>
          </w:r>
          <w:r>
            <w:fldChar w:fldCharType="separate"/>
          </w:r>
          <w:r>
            <w:rPr>
              <w:rStyle w:val="21"/>
              <w:sz w:val="24"/>
              <w:szCs w:val="22"/>
            </w:rPr>
            <w:t xml:space="preserve">6.3 </w:t>
          </w:r>
          <w:r>
            <w:rPr>
              <w:rStyle w:val="21"/>
              <w:rFonts w:hint="eastAsia"/>
              <w:sz w:val="24"/>
              <w:szCs w:val="22"/>
            </w:rPr>
            <w:t>大气污染物排放控制要求</w:t>
          </w:r>
          <w:r>
            <w:rPr>
              <w:sz w:val="24"/>
              <w:szCs w:val="22"/>
            </w:rPr>
            <w:tab/>
          </w:r>
          <w:r>
            <w:rPr>
              <w:rFonts w:hint="eastAsia"/>
              <w:sz w:val="24"/>
              <w:szCs w:val="22"/>
            </w:rPr>
            <w:fldChar w:fldCharType="begin"/>
          </w:r>
          <w:r>
            <w:rPr>
              <w:sz w:val="24"/>
              <w:szCs w:val="22"/>
            </w:rPr>
            <w:instrText xml:space="preserve"> PAGEREF _Toc183055380 \h </w:instrText>
          </w:r>
          <w:r>
            <w:rPr>
              <w:rFonts w:hint="eastAsia"/>
              <w:sz w:val="24"/>
              <w:szCs w:val="22"/>
            </w:rPr>
            <w:fldChar w:fldCharType="separate"/>
          </w:r>
          <w:r>
            <w:rPr>
              <w:sz w:val="24"/>
              <w:szCs w:val="22"/>
            </w:rPr>
            <w:t>33</w:t>
          </w:r>
          <w:r>
            <w:rPr>
              <w:rFonts w:hint="eastAsia"/>
              <w:sz w:val="24"/>
              <w:szCs w:val="22"/>
            </w:rPr>
            <w:fldChar w:fldCharType="end"/>
          </w:r>
          <w:r>
            <w:rPr>
              <w:rFonts w:hint="eastAsia"/>
              <w:sz w:val="24"/>
              <w:szCs w:val="22"/>
            </w:rPr>
            <w:fldChar w:fldCharType="end"/>
          </w:r>
        </w:p>
        <w:p w14:paraId="45CA356F">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"_Toc183055381" </w:instrText>
          </w:r>
          <w:r>
            <w:fldChar w:fldCharType="separate"/>
          </w:r>
          <w:r>
            <w:rPr>
              <w:rStyle w:val="21"/>
              <w:sz w:val="24"/>
              <w:szCs w:val="22"/>
            </w:rPr>
            <w:t xml:space="preserve">6.3.1 </w:t>
          </w:r>
          <w:r>
            <w:rPr>
              <w:rStyle w:val="21"/>
              <w:rFonts w:hint="eastAsia"/>
              <w:sz w:val="24"/>
              <w:szCs w:val="22"/>
            </w:rPr>
            <w:t>控制因子的选取</w:t>
          </w:r>
          <w:r>
            <w:rPr>
              <w:sz w:val="24"/>
              <w:szCs w:val="22"/>
            </w:rPr>
            <w:tab/>
          </w:r>
          <w:r>
            <w:rPr>
              <w:rFonts w:hint="eastAsia"/>
              <w:sz w:val="24"/>
              <w:szCs w:val="22"/>
            </w:rPr>
            <w:fldChar w:fldCharType="begin"/>
          </w:r>
          <w:r>
            <w:rPr>
              <w:sz w:val="24"/>
              <w:szCs w:val="22"/>
            </w:rPr>
            <w:instrText xml:space="preserve"> PAGEREF _Toc183055381 \h </w:instrText>
          </w:r>
          <w:r>
            <w:rPr>
              <w:rFonts w:hint="eastAsia"/>
              <w:sz w:val="24"/>
              <w:szCs w:val="22"/>
            </w:rPr>
            <w:fldChar w:fldCharType="separate"/>
          </w:r>
          <w:r>
            <w:rPr>
              <w:sz w:val="24"/>
              <w:szCs w:val="22"/>
            </w:rPr>
            <w:t>33</w:t>
          </w:r>
          <w:r>
            <w:rPr>
              <w:rFonts w:hint="eastAsia"/>
              <w:sz w:val="24"/>
              <w:szCs w:val="22"/>
            </w:rPr>
            <w:fldChar w:fldCharType="end"/>
          </w:r>
          <w:r>
            <w:rPr>
              <w:rFonts w:hint="eastAsia"/>
              <w:sz w:val="24"/>
              <w:szCs w:val="22"/>
            </w:rPr>
            <w:fldChar w:fldCharType="end"/>
          </w:r>
        </w:p>
        <w:p w14:paraId="7970B37F">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"_Toc183055382" </w:instrText>
          </w:r>
          <w:r>
            <w:fldChar w:fldCharType="separate"/>
          </w:r>
          <w:r>
            <w:rPr>
              <w:rStyle w:val="21"/>
              <w:sz w:val="24"/>
              <w:szCs w:val="22"/>
            </w:rPr>
            <w:t xml:space="preserve">6.3.2 </w:t>
          </w:r>
          <w:r>
            <w:rPr>
              <w:rStyle w:val="21"/>
              <w:rFonts w:hint="eastAsia"/>
              <w:sz w:val="24"/>
              <w:szCs w:val="22"/>
            </w:rPr>
            <w:t>排放限值的确定</w:t>
          </w:r>
          <w:r>
            <w:rPr>
              <w:sz w:val="24"/>
              <w:szCs w:val="22"/>
            </w:rPr>
            <w:tab/>
          </w:r>
          <w:r>
            <w:rPr>
              <w:rFonts w:hint="eastAsia"/>
              <w:sz w:val="24"/>
              <w:szCs w:val="22"/>
            </w:rPr>
            <w:fldChar w:fldCharType="begin"/>
          </w:r>
          <w:r>
            <w:rPr>
              <w:sz w:val="24"/>
              <w:szCs w:val="22"/>
            </w:rPr>
            <w:instrText xml:space="preserve"> PAGEREF _Toc183055382 \h </w:instrText>
          </w:r>
          <w:r>
            <w:rPr>
              <w:rFonts w:hint="eastAsia"/>
              <w:sz w:val="24"/>
              <w:szCs w:val="22"/>
            </w:rPr>
            <w:fldChar w:fldCharType="separate"/>
          </w:r>
          <w:r>
            <w:rPr>
              <w:sz w:val="24"/>
              <w:szCs w:val="22"/>
            </w:rPr>
            <w:t>34</w:t>
          </w:r>
          <w:r>
            <w:rPr>
              <w:rFonts w:hint="eastAsia"/>
              <w:sz w:val="24"/>
              <w:szCs w:val="22"/>
            </w:rPr>
            <w:fldChar w:fldCharType="end"/>
          </w:r>
          <w:r>
            <w:rPr>
              <w:rFonts w:hint="eastAsia"/>
              <w:sz w:val="24"/>
              <w:szCs w:val="22"/>
            </w:rPr>
            <w:fldChar w:fldCharType="end"/>
          </w:r>
        </w:p>
        <w:p w14:paraId="73A2F69C">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"_Toc183055383" </w:instrText>
          </w:r>
          <w:r>
            <w:fldChar w:fldCharType="separate"/>
          </w:r>
          <w:r>
            <w:rPr>
              <w:rStyle w:val="21"/>
              <w:sz w:val="24"/>
              <w:szCs w:val="22"/>
            </w:rPr>
            <w:t xml:space="preserve">6.3.3 </w:t>
          </w:r>
          <w:r>
            <w:rPr>
              <w:rStyle w:val="21"/>
              <w:rFonts w:hint="eastAsia"/>
              <w:sz w:val="24"/>
              <w:szCs w:val="22"/>
            </w:rPr>
            <w:t>排放限值执行时段的要求</w:t>
          </w:r>
          <w:r>
            <w:rPr>
              <w:sz w:val="24"/>
              <w:szCs w:val="22"/>
            </w:rPr>
            <w:tab/>
          </w:r>
          <w:r>
            <w:rPr>
              <w:rFonts w:hint="eastAsia"/>
              <w:sz w:val="24"/>
              <w:szCs w:val="22"/>
            </w:rPr>
            <w:fldChar w:fldCharType="begin"/>
          </w:r>
          <w:r>
            <w:rPr>
              <w:sz w:val="24"/>
              <w:szCs w:val="22"/>
            </w:rPr>
            <w:instrText xml:space="preserve"> PAGEREF _Toc183055383 \h </w:instrText>
          </w:r>
          <w:r>
            <w:rPr>
              <w:rFonts w:hint="eastAsia"/>
              <w:sz w:val="24"/>
              <w:szCs w:val="22"/>
            </w:rPr>
            <w:fldChar w:fldCharType="separate"/>
          </w:r>
          <w:r>
            <w:rPr>
              <w:sz w:val="24"/>
              <w:szCs w:val="22"/>
            </w:rPr>
            <w:t>38</w:t>
          </w:r>
          <w:r>
            <w:rPr>
              <w:rFonts w:hint="eastAsia"/>
              <w:sz w:val="24"/>
              <w:szCs w:val="22"/>
            </w:rPr>
            <w:fldChar w:fldCharType="end"/>
          </w:r>
          <w:r>
            <w:rPr>
              <w:rFonts w:hint="eastAsia"/>
              <w:sz w:val="24"/>
              <w:szCs w:val="22"/>
            </w:rPr>
            <w:fldChar w:fldCharType="end"/>
          </w:r>
        </w:p>
        <w:p w14:paraId="4DDBB907">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"_Toc183055384" </w:instrText>
          </w:r>
          <w:r>
            <w:fldChar w:fldCharType="separate"/>
          </w:r>
          <w:r>
            <w:rPr>
              <w:rStyle w:val="21"/>
              <w:sz w:val="24"/>
              <w:szCs w:val="22"/>
            </w:rPr>
            <w:t xml:space="preserve">6.3.4 </w:t>
          </w:r>
          <w:r>
            <w:rPr>
              <w:rStyle w:val="21"/>
              <w:rFonts w:hint="eastAsia"/>
              <w:sz w:val="24"/>
              <w:szCs w:val="22"/>
            </w:rPr>
            <w:t>其他要求</w:t>
          </w:r>
          <w:r>
            <w:rPr>
              <w:sz w:val="24"/>
              <w:szCs w:val="22"/>
            </w:rPr>
            <w:tab/>
          </w:r>
          <w:r>
            <w:rPr>
              <w:rFonts w:hint="eastAsia"/>
              <w:sz w:val="24"/>
              <w:szCs w:val="22"/>
            </w:rPr>
            <w:fldChar w:fldCharType="begin"/>
          </w:r>
          <w:r>
            <w:rPr>
              <w:sz w:val="24"/>
              <w:szCs w:val="22"/>
            </w:rPr>
            <w:instrText xml:space="preserve"> PAGEREF _Toc183055384 \h </w:instrText>
          </w:r>
          <w:r>
            <w:rPr>
              <w:rFonts w:hint="eastAsia"/>
              <w:sz w:val="24"/>
              <w:szCs w:val="22"/>
            </w:rPr>
            <w:fldChar w:fldCharType="separate"/>
          </w:r>
          <w:r>
            <w:rPr>
              <w:sz w:val="24"/>
              <w:szCs w:val="22"/>
            </w:rPr>
            <w:t>38</w:t>
          </w:r>
          <w:r>
            <w:rPr>
              <w:rFonts w:hint="eastAsia"/>
              <w:sz w:val="24"/>
              <w:szCs w:val="22"/>
            </w:rPr>
            <w:fldChar w:fldCharType="end"/>
          </w:r>
          <w:r>
            <w:rPr>
              <w:rFonts w:hint="eastAsia"/>
              <w:sz w:val="24"/>
              <w:szCs w:val="22"/>
            </w:rPr>
            <w:fldChar w:fldCharType="end"/>
          </w:r>
        </w:p>
        <w:p w14:paraId="01563337">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"_Toc183055385" </w:instrText>
          </w:r>
          <w:r>
            <w:fldChar w:fldCharType="separate"/>
          </w:r>
          <w:r>
            <w:rPr>
              <w:rStyle w:val="21"/>
              <w:sz w:val="24"/>
              <w:szCs w:val="22"/>
            </w:rPr>
            <w:t xml:space="preserve">6.3.5 </w:t>
          </w:r>
          <w:r>
            <w:rPr>
              <w:rStyle w:val="21"/>
              <w:rFonts w:hint="eastAsia"/>
              <w:sz w:val="24"/>
              <w:szCs w:val="22"/>
            </w:rPr>
            <w:t>监测要求</w:t>
          </w:r>
          <w:r>
            <w:rPr>
              <w:sz w:val="24"/>
              <w:szCs w:val="22"/>
            </w:rPr>
            <w:tab/>
          </w:r>
          <w:r>
            <w:rPr>
              <w:rFonts w:hint="eastAsia"/>
              <w:sz w:val="24"/>
              <w:szCs w:val="22"/>
            </w:rPr>
            <w:fldChar w:fldCharType="begin"/>
          </w:r>
          <w:r>
            <w:rPr>
              <w:sz w:val="24"/>
              <w:szCs w:val="22"/>
            </w:rPr>
            <w:instrText xml:space="preserve"> PAGEREF _Toc183055385 \h </w:instrText>
          </w:r>
          <w:r>
            <w:rPr>
              <w:rFonts w:hint="eastAsia"/>
              <w:sz w:val="24"/>
              <w:szCs w:val="22"/>
            </w:rPr>
            <w:fldChar w:fldCharType="separate"/>
          </w:r>
          <w:r>
            <w:rPr>
              <w:sz w:val="24"/>
              <w:szCs w:val="22"/>
            </w:rPr>
            <w:t>39</w:t>
          </w:r>
          <w:r>
            <w:rPr>
              <w:rFonts w:hint="eastAsia"/>
              <w:sz w:val="24"/>
              <w:szCs w:val="22"/>
            </w:rPr>
            <w:fldChar w:fldCharType="end"/>
          </w:r>
          <w:r>
            <w:rPr>
              <w:rFonts w:hint="eastAsia"/>
              <w:sz w:val="24"/>
              <w:szCs w:val="22"/>
            </w:rPr>
            <w:fldChar w:fldCharType="end"/>
          </w:r>
        </w:p>
        <w:p w14:paraId="62F76725">
          <w:pPr>
            <w:pStyle w:val="9"/>
            <w:tabs>
              <w:tab w:val="right" w:leader="dot" w:pos="8296"/>
            </w:tabs>
            <w:ind w:left="1120" w:firstLine="480"/>
            <w:rPr>
              <w:rFonts w:asciiTheme="minorHAnsi" w:hAnsiTheme="minorHAnsi" w:eastAsiaTheme="minorEastAsia"/>
              <w:sz w:val="21"/>
              <w:szCs w:val="22"/>
              <w14:ligatures w14:val="standardContextual"/>
            </w:rPr>
          </w:pPr>
          <w:r>
            <w:fldChar w:fldCharType="begin"/>
          </w:r>
          <w:r>
            <w:instrText xml:space="preserve"> HYPERLINK \l "_Toc183055386" </w:instrText>
          </w:r>
          <w:r>
            <w:fldChar w:fldCharType="separate"/>
          </w:r>
          <w:r>
            <w:rPr>
              <w:rStyle w:val="21"/>
              <w:sz w:val="24"/>
              <w:szCs w:val="22"/>
            </w:rPr>
            <w:t xml:space="preserve">6.3.6 </w:t>
          </w:r>
          <w:r>
            <w:rPr>
              <w:rStyle w:val="21"/>
              <w:rFonts w:hint="eastAsia"/>
              <w:sz w:val="24"/>
              <w:szCs w:val="22"/>
            </w:rPr>
            <w:t>达标判定</w:t>
          </w:r>
          <w:r>
            <w:rPr>
              <w:sz w:val="24"/>
              <w:szCs w:val="22"/>
            </w:rPr>
            <w:tab/>
          </w:r>
          <w:r>
            <w:rPr>
              <w:rFonts w:hint="eastAsia"/>
              <w:sz w:val="24"/>
              <w:szCs w:val="22"/>
            </w:rPr>
            <w:fldChar w:fldCharType="begin"/>
          </w:r>
          <w:r>
            <w:rPr>
              <w:sz w:val="24"/>
              <w:szCs w:val="22"/>
            </w:rPr>
            <w:instrText xml:space="preserve"> PAGEREF _Toc183055386 \h </w:instrText>
          </w:r>
          <w:r>
            <w:rPr>
              <w:rFonts w:hint="eastAsia"/>
              <w:sz w:val="24"/>
              <w:szCs w:val="22"/>
            </w:rPr>
            <w:fldChar w:fldCharType="separate"/>
          </w:r>
          <w:r>
            <w:rPr>
              <w:sz w:val="24"/>
              <w:szCs w:val="22"/>
            </w:rPr>
            <w:t>41</w:t>
          </w:r>
          <w:r>
            <w:rPr>
              <w:rFonts w:hint="eastAsia"/>
              <w:sz w:val="24"/>
              <w:szCs w:val="22"/>
            </w:rPr>
            <w:fldChar w:fldCharType="end"/>
          </w:r>
          <w:r>
            <w:rPr>
              <w:rFonts w:hint="eastAsia"/>
              <w:sz w:val="24"/>
              <w:szCs w:val="22"/>
            </w:rPr>
            <w:fldChar w:fldCharType="end"/>
          </w:r>
        </w:p>
        <w:p w14:paraId="483CF00D">
          <w:pPr>
            <w:pStyle w:val="12"/>
            <w:tabs>
              <w:tab w:val="right" w:leader="dot" w:pos="8296"/>
            </w:tabs>
            <w:ind w:firstLine="480"/>
            <w:rPr>
              <w:rFonts w:asciiTheme="minorHAnsi" w:hAnsiTheme="minorHAnsi" w:eastAsiaTheme="minorEastAsia"/>
              <w:sz w:val="21"/>
              <w:szCs w:val="22"/>
              <w14:ligatures w14:val="standardContextual"/>
            </w:rPr>
          </w:pPr>
          <w:r>
            <w:fldChar w:fldCharType="begin"/>
          </w:r>
          <w:r>
            <w:instrText xml:space="preserve"> HYPERLINK \l "_Toc183055387" </w:instrText>
          </w:r>
          <w:r>
            <w:fldChar w:fldCharType="separate"/>
          </w:r>
          <w:r>
            <w:rPr>
              <w:rStyle w:val="21"/>
              <w:sz w:val="24"/>
              <w:szCs w:val="22"/>
            </w:rPr>
            <w:t xml:space="preserve">7 </w:t>
          </w:r>
          <w:r>
            <w:rPr>
              <w:rStyle w:val="21"/>
              <w:rFonts w:hint="eastAsia"/>
              <w:sz w:val="24"/>
              <w:szCs w:val="22"/>
            </w:rPr>
            <w:t>标准实施环境和社会效益分析</w:t>
          </w:r>
          <w:r>
            <w:rPr>
              <w:sz w:val="24"/>
              <w:szCs w:val="22"/>
            </w:rPr>
            <w:tab/>
          </w:r>
          <w:r>
            <w:rPr>
              <w:rFonts w:hint="eastAsia"/>
              <w:sz w:val="24"/>
              <w:szCs w:val="22"/>
            </w:rPr>
            <w:fldChar w:fldCharType="begin"/>
          </w:r>
          <w:r>
            <w:rPr>
              <w:sz w:val="24"/>
              <w:szCs w:val="22"/>
            </w:rPr>
            <w:instrText xml:space="preserve"> PAGEREF _Toc183055387 \h </w:instrText>
          </w:r>
          <w:r>
            <w:rPr>
              <w:rFonts w:hint="eastAsia"/>
              <w:sz w:val="24"/>
              <w:szCs w:val="22"/>
            </w:rPr>
            <w:fldChar w:fldCharType="separate"/>
          </w:r>
          <w:r>
            <w:rPr>
              <w:sz w:val="24"/>
              <w:szCs w:val="22"/>
            </w:rPr>
            <w:t>43</w:t>
          </w:r>
          <w:r>
            <w:rPr>
              <w:rFonts w:hint="eastAsia"/>
              <w:sz w:val="24"/>
              <w:szCs w:val="22"/>
            </w:rPr>
            <w:fldChar w:fldCharType="end"/>
          </w:r>
          <w:r>
            <w:rPr>
              <w:rFonts w:hint="eastAsia"/>
              <w:sz w:val="24"/>
              <w:szCs w:val="22"/>
            </w:rPr>
            <w:fldChar w:fldCharType="end"/>
          </w:r>
        </w:p>
        <w:p w14:paraId="64D20075">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"_Toc183055388" </w:instrText>
          </w:r>
          <w:r>
            <w:fldChar w:fldCharType="separate"/>
          </w:r>
          <w:r>
            <w:rPr>
              <w:rStyle w:val="21"/>
              <w:sz w:val="24"/>
              <w:szCs w:val="22"/>
            </w:rPr>
            <w:t>7.1</w:t>
          </w:r>
          <w:r>
            <w:rPr>
              <w:rStyle w:val="21"/>
              <w:rFonts w:hint="eastAsia"/>
              <w:sz w:val="24"/>
              <w:szCs w:val="22"/>
            </w:rPr>
            <w:t>环境效益</w:t>
          </w:r>
          <w:r>
            <w:rPr>
              <w:sz w:val="24"/>
              <w:szCs w:val="22"/>
            </w:rPr>
            <w:tab/>
          </w:r>
          <w:r>
            <w:rPr>
              <w:rFonts w:hint="eastAsia"/>
              <w:sz w:val="24"/>
              <w:szCs w:val="22"/>
            </w:rPr>
            <w:fldChar w:fldCharType="begin"/>
          </w:r>
          <w:r>
            <w:rPr>
              <w:sz w:val="24"/>
              <w:szCs w:val="22"/>
            </w:rPr>
            <w:instrText xml:space="preserve"> PAGEREF _Toc183055388 \h </w:instrText>
          </w:r>
          <w:r>
            <w:rPr>
              <w:rFonts w:hint="eastAsia"/>
              <w:sz w:val="24"/>
              <w:szCs w:val="22"/>
            </w:rPr>
            <w:fldChar w:fldCharType="separate"/>
          </w:r>
          <w:r>
            <w:rPr>
              <w:sz w:val="24"/>
              <w:szCs w:val="22"/>
            </w:rPr>
            <w:t>43</w:t>
          </w:r>
          <w:r>
            <w:rPr>
              <w:rFonts w:hint="eastAsia"/>
              <w:sz w:val="24"/>
              <w:szCs w:val="22"/>
            </w:rPr>
            <w:fldChar w:fldCharType="end"/>
          </w:r>
          <w:r>
            <w:rPr>
              <w:rFonts w:hint="eastAsia"/>
              <w:sz w:val="24"/>
              <w:szCs w:val="22"/>
            </w:rPr>
            <w:fldChar w:fldCharType="end"/>
          </w:r>
        </w:p>
        <w:p w14:paraId="67686B42">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"_Toc183055389" </w:instrText>
          </w:r>
          <w:r>
            <w:fldChar w:fldCharType="separate"/>
          </w:r>
          <w:r>
            <w:rPr>
              <w:rStyle w:val="21"/>
              <w:sz w:val="24"/>
              <w:szCs w:val="22"/>
            </w:rPr>
            <w:t xml:space="preserve">7.2 </w:t>
          </w:r>
          <w:r>
            <w:rPr>
              <w:rStyle w:val="21"/>
              <w:rFonts w:hint="eastAsia"/>
              <w:sz w:val="24"/>
              <w:szCs w:val="22"/>
            </w:rPr>
            <w:t>经济社会效益</w:t>
          </w:r>
          <w:r>
            <w:rPr>
              <w:sz w:val="24"/>
              <w:szCs w:val="22"/>
            </w:rPr>
            <w:tab/>
          </w:r>
          <w:r>
            <w:rPr>
              <w:rFonts w:hint="eastAsia"/>
              <w:sz w:val="24"/>
              <w:szCs w:val="22"/>
            </w:rPr>
            <w:fldChar w:fldCharType="begin"/>
          </w:r>
          <w:r>
            <w:rPr>
              <w:sz w:val="24"/>
              <w:szCs w:val="22"/>
            </w:rPr>
            <w:instrText xml:space="preserve"> PAGEREF _Toc183055389 \h </w:instrText>
          </w:r>
          <w:r>
            <w:rPr>
              <w:rFonts w:hint="eastAsia"/>
              <w:sz w:val="24"/>
              <w:szCs w:val="22"/>
            </w:rPr>
            <w:fldChar w:fldCharType="separate"/>
          </w:r>
          <w:r>
            <w:rPr>
              <w:sz w:val="24"/>
              <w:szCs w:val="22"/>
            </w:rPr>
            <w:t>43</w:t>
          </w:r>
          <w:r>
            <w:rPr>
              <w:rFonts w:hint="eastAsia"/>
              <w:sz w:val="24"/>
              <w:szCs w:val="22"/>
            </w:rPr>
            <w:fldChar w:fldCharType="end"/>
          </w:r>
          <w:r>
            <w:rPr>
              <w:rFonts w:hint="eastAsia"/>
              <w:sz w:val="24"/>
              <w:szCs w:val="22"/>
            </w:rPr>
            <w:fldChar w:fldCharType="end"/>
          </w:r>
        </w:p>
        <w:p w14:paraId="2BE7AC41">
          <w:pPr>
            <w:pStyle w:val="12"/>
            <w:tabs>
              <w:tab w:val="right" w:leader="dot" w:pos="8296"/>
            </w:tabs>
            <w:ind w:firstLine="480"/>
            <w:rPr>
              <w:rFonts w:asciiTheme="minorHAnsi" w:hAnsiTheme="minorHAnsi" w:eastAsiaTheme="minorEastAsia"/>
              <w:sz w:val="21"/>
              <w:szCs w:val="22"/>
              <w14:ligatures w14:val="standardContextual"/>
            </w:rPr>
          </w:pPr>
          <w:r>
            <w:fldChar w:fldCharType="begin"/>
          </w:r>
          <w:r>
            <w:instrText xml:space="preserve"> HYPERLINK \l "_Toc183055390" </w:instrText>
          </w:r>
          <w:r>
            <w:fldChar w:fldCharType="separate"/>
          </w:r>
          <w:r>
            <w:rPr>
              <w:rStyle w:val="21"/>
              <w:sz w:val="24"/>
              <w:szCs w:val="22"/>
            </w:rPr>
            <w:t xml:space="preserve">8 </w:t>
          </w:r>
          <w:r>
            <w:rPr>
              <w:rStyle w:val="21"/>
              <w:rFonts w:hint="eastAsia"/>
              <w:sz w:val="24"/>
              <w:szCs w:val="22"/>
            </w:rPr>
            <w:t>标准实施风险评估</w:t>
          </w:r>
          <w:r>
            <w:rPr>
              <w:sz w:val="24"/>
              <w:szCs w:val="22"/>
            </w:rPr>
            <w:tab/>
          </w:r>
          <w:r>
            <w:rPr>
              <w:rFonts w:hint="eastAsia"/>
              <w:sz w:val="24"/>
              <w:szCs w:val="22"/>
            </w:rPr>
            <w:fldChar w:fldCharType="begin"/>
          </w:r>
          <w:r>
            <w:rPr>
              <w:sz w:val="24"/>
              <w:szCs w:val="22"/>
            </w:rPr>
            <w:instrText xml:space="preserve"> PAGEREF _Toc183055390 \h </w:instrText>
          </w:r>
          <w:r>
            <w:rPr>
              <w:rFonts w:hint="eastAsia"/>
              <w:sz w:val="24"/>
              <w:szCs w:val="22"/>
            </w:rPr>
            <w:fldChar w:fldCharType="separate"/>
          </w:r>
          <w:r>
            <w:rPr>
              <w:sz w:val="24"/>
              <w:szCs w:val="22"/>
            </w:rPr>
            <w:t>44</w:t>
          </w:r>
          <w:r>
            <w:rPr>
              <w:rFonts w:hint="eastAsia"/>
              <w:sz w:val="24"/>
              <w:szCs w:val="22"/>
            </w:rPr>
            <w:fldChar w:fldCharType="end"/>
          </w:r>
          <w:r>
            <w:rPr>
              <w:rFonts w:hint="eastAsia"/>
              <w:sz w:val="24"/>
              <w:szCs w:val="22"/>
            </w:rPr>
            <w:fldChar w:fldCharType="end"/>
          </w:r>
        </w:p>
        <w:p w14:paraId="71C7F4F4">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"_Toc183055391" </w:instrText>
          </w:r>
          <w:r>
            <w:fldChar w:fldCharType="separate"/>
          </w:r>
          <w:r>
            <w:rPr>
              <w:rStyle w:val="21"/>
              <w:sz w:val="24"/>
              <w:szCs w:val="22"/>
            </w:rPr>
            <w:t xml:space="preserve">8.1 </w:t>
          </w:r>
          <w:r>
            <w:rPr>
              <w:rStyle w:val="21"/>
              <w:rFonts w:hint="eastAsia"/>
              <w:sz w:val="24"/>
              <w:szCs w:val="22"/>
            </w:rPr>
            <w:t>技术风险分析</w:t>
          </w:r>
          <w:r>
            <w:rPr>
              <w:sz w:val="24"/>
              <w:szCs w:val="22"/>
            </w:rPr>
            <w:tab/>
          </w:r>
          <w:r>
            <w:rPr>
              <w:rFonts w:hint="eastAsia"/>
              <w:sz w:val="24"/>
              <w:szCs w:val="22"/>
            </w:rPr>
            <w:fldChar w:fldCharType="begin"/>
          </w:r>
          <w:r>
            <w:rPr>
              <w:sz w:val="24"/>
              <w:szCs w:val="22"/>
            </w:rPr>
            <w:instrText xml:space="preserve"> PAGEREF _Toc183055391 \h </w:instrText>
          </w:r>
          <w:r>
            <w:rPr>
              <w:rFonts w:hint="eastAsia"/>
              <w:sz w:val="24"/>
              <w:szCs w:val="22"/>
            </w:rPr>
            <w:fldChar w:fldCharType="separate"/>
          </w:r>
          <w:r>
            <w:rPr>
              <w:sz w:val="24"/>
              <w:szCs w:val="22"/>
            </w:rPr>
            <w:t>44</w:t>
          </w:r>
          <w:r>
            <w:rPr>
              <w:rFonts w:hint="eastAsia"/>
              <w:sz w:val="24"/>
              <w:szCs w:val="22"/>
            </w:rPr>
            <w:fldChar w:fldCharType="end"/>
          </w:r>
          <w:r>
            <w:rPr>
              <w:rFonts w:hint="eastAsia"/>
              <w:sz w:val="24"/>
              <w:szCs w:val="22"/>
            </w:rPr>
            <w:fldChar w:fldCharType="end"/>
          </w:r>
        </w:p>
        <w:p w14:paraId="1F0D2F73">
          <w:pPr>
            <w:pStyle w:val="15"/>
            <w:ind w:firstLine="480"/>
            <w:rPr>
              <w:rFonts w:asciiTheme="minorHAnsi" w:hAnsiTheme="minorHAnsi" w:eastAsiaTheme="minorEastAsia"/>
              <w:sz w:val="21"/>
              <w:szCs w:val="22"/>
              <w14:ligatures w14:val="standardContextual"/>
            </w:rPr>
          </w:pPr>
          <w:r>
            <w:fldChar w:fldCharType="begin"/>
          </w:r>
          <w:r>
            <w:instrText xml:space="preserve"> HYPERLINK \l "_Toc183055392" </w:instrText>
          </w:r>
          <w:r>
            <w:fldChar w:fldCharType="separate"/>
          </w:r>
          <w:r>
            <w:rPr>
              <w:rStyle w:val="21"/>
              <w:sz w:val="24"/>
              <w:szCs w:val="22"/>
            </w:rPr>
            <w:t xml:space="preserve">8.2 </w:t>
          </w:r>
          <w:r>
            <w:rPr>
              <w:rStyle w:val="21"/>
              <w:rFonts w:hint="eastAsia"/>
              <w:sz w:val="24"/>
              <w:szCs w:val="22"/>
            </w:rPr>
            <w:t>管理风险分析</w:t>
          </w:r>
          <w:r>
            <w:rPr>
              <w:sz w:val="24"/>
              <w:szCs w:val="22"/>
            </w:rPr>
            <w:tab/>
          </w:r>
          <w:r>
            <w:rPr>
              <w:rFonts w:hint="eastAsia"/>
              <w:sz w:val="24"/>
              <w:szCs w:val="22"/>
            </w:rPr>
            <w:fldChar w:fldCharType="begin"/>
          </w:r>
          <w:r>
            <w:rPr>
              <w:sz w:val="24"/>
              <w:szCs w:val="22"/>
            </w:rPr>
            <w:instrText xml:space="preserve"> PAGEREF _Toc183055392 \h </w:instrText>
          </w:r>
          <w:r>
            <w:rPr>
              <w:rFonts w:hint="eastAsia"/>
              <w:sz w:val="24"/>
              <w:szCs w:val="22"/>
            </w:rPr>
            <w:fldChar w:fldCharType="separate"/>
          </w:r>
          <w:r>
            <w:rPr>
              <w:sz w:val="24"/>
              <w:szCs w:val="22"/>
            </w:rPr>
            <w:t>44</w:t>
          </w:r>
          <w:r>
            <w:rPr>
              <w:rFonts w:hint="eastAsia"/>
              <w:sz w:val="24"/>
              <w:szCs w:val="22"/>
            </w:rPr>
            <w:fldChar w:fldCharType="end"/>
          </w:r>
          <w:r>
            <w:rPr>
              <w:rFonts w:hint="eastAsia"/>
              <w:sz w:val="24"/>
              <w:szCs w:val="22"/>
            </w:rPr>
            <w:fldChar w:fldCharType="end"/>
          </w:r>
        </w:p>
        <w:p w14:paraId="57E21D87">
          <w:pPr>
            <w:pStyle w:val="12"/>
            <w:tabs>
              <w:tab w:val="right" w:leader="dot" w:pos="8296"/>
            </w:tabs>
            <w:ind w:firstLine="480"/>
            <w:rPr>
              <w:rFonts w:asciiTheme="minorHAnsi" w:hAnsiTheme="minorHAnsi" w:eastAsiaTheme="minorEastAsia"/>
              <w:sz w:val="22"/>
              <w14:ligatures w14:val="standardContextual"/>
            </w:rPr>
          </w:pPr>
          <w:r>
            <w:fldChar w:fldCharType="begin"/>
          </w:r>
          <w:r>
            <w:instrText xml:space="preserve"> HYPERLINK \l "_Toc183055393" </w:instrText>
          </w:r>
          <w:r>
            <w:fldChar w:fldCharType="separate"/>
          </w:r>
          <w:r>
            <w:rPr>
              <w:rStyle w:val="21"/>
              <w:sz w:val="24"/>
              <w:szCs w:val="22"/>
            </w:rPr>
            <w:t xml:space="preserve">9 </w:t>
          </w:r>
          <w:r>
            <w:rPr>
              <w:rStyle w:val="21"/>
              <w:rFonts w:hint="eastAsia"/>
              <w:sz w:val="24"/>
              <w:szCs w:val="22"/>
            </w:rPr>
            <w:t>贯彻标准的措施建议</w:t>
          </w:r>
          <w:r>
            <w:rPr>
              <w:sz w:val="24"/>
              <w:szCs w:val="22"/>
            </w:rPr>
            <w:tab/>
          </w:r>
          <w:r>
            <w:rPr>
              <w:rFonts w:hint="eastAsia"/>
              <w:sz w:val="24"/>
              <w:szCs w:val="22"/>
            </w:rPr>
            <w:fldChar w:fldCharType="begin"/>
          </w:r>
          <w:r>
            <w:rPr>
              <w:sz w:val="24"/>
              <w:szCs w:val="22"/>
            </w:rPr>
            <w:instrText xml:space="preserve"> PAGEREF _Toc183055393 \h </w:instrText>
          </w:r>
          <w:r>
            <w:rPr>
              <w:rFonts w:hint="eastAsia"/>
              <w:sz w:val="24"/>
              <w:szCs w:val="22"/>
            </w:rPr>
            <w:fldChar w:fldCharType="separate"/>
          </w:r>
          <w:r>
            <w:rPr>
              <w:sz w:val="24"/>
              <w:szCs w:val="22"/>
            </w:rPr>
            <w:t>45</w:t>
          </w:r>
          <w:r>
            <w:rPr>
              <w:rFonts w:hint="eastAsia"/>
              <w:sz w:val="24"/>
              <w:szCs w:val="22"/>
            </w:rPr>
            <w:fldChar w:fldCharType="end"/>
          </w:r>
          <w:r>
            <w:rPr>
              <w:rFonts w:hint="eastAsia"/>
              <w:sz w:val="24"/>
              <w:szCs w:val="22"/>
            </w:rPr>
            <w:fldChar w:fldCharType="end"/>
          </w:r>
        </w:p>
        <w:p w14:paraId="54468460">
          <w:pPr>
            <w:ind w:firstLine="482"/>
          </w:pPr>
          <w:r>
            <w:rPr>
              <w:b/>
              <w:bCs/>
              <w:sz w:val="24"/>
              <w:lang w:val="zh-CN"/>
            </w:rPr>
            <w:fldChar w:fldCharType="end"/>
          </w:r>
        </w:p>
      </w:sdtContent>
    </w:sdt>
    <w:p w14:paraId="2EAF5E22">
      <w:pPr>
        <w:widowControl/>
        <w:ind w:firstLine="0" w:firstLineChars="0"/>
        <w:jc w:val="center"/>
        <w:rPr>
          <w:rFonts w:eastAsia="黑体"/>
          <w:kern w:val="0"/>
          <w:sz w:val="32"/>
          <w:szCs w:val="32"/>
        </w:rPr>
        <w:sectPr>
          <w:pgSz w:w="11906" w:h="16838"/>
          <w:pgMar w:top="1440" w:right="1800" w:bottom="1440" w:left="1800" w:header="851" w:footer="992" w:gutter="0"/>
          <w:cols w:space="720" w:num="1"/>
          <w:docGrid w:type="lines" w:linePitch="312" w:charSpace="0"/>
        </w:sectPr>
      </w:pPr>
    </w:p>
    <w:p w14:paraId="35B28F0F">
      <w:pPr>
        <w:pStyle w:val="2"/>
        <w:widowControl/>
      </w:pPr>
      <w:bookmarkStart w:id="0" w:name="_Toc183055351"/>
      <w:bookmarkStart w:id="1" w:name="_Toc151508340"/>
      <w:bookmarkStart w:id="2" w:name="_Toc115181855"/>
      <w:r>
        <w:rPr>
          <w:rFonts w:hint="eastAsia"/>
        </w:rPr>
        <w:t xml:space="preserve">1 </w:t>
      </w:r>
      <w:r>
        <w:t>项目背景</w:t>
      </w:r>
      <w:bookmarkEnd w:id="0"/>
      <w:bookmarkEnd w:id="1"/>
    </w:p>
    <w:p w14:paraId="1E270253">
      <w:pPr>
        <w:pStyle w:val="4"/>
      </w:pPr>
      <w:bookmarkStart w:id="3" w:name="_Toc151508341"/>
      <w:bookmarkStart w:id="4" w:name="_Toc183055352"/>
      <w:bookmarkStart w:id="5" w:name="_Toc76032924"/>
      <w:r>
        <w:t>1.1 任务来源</w:t>
      </w:r>
      <w:bookmarkEnd w:id="3"/>
      <w:bookmarkEnd w:id="4"/>
      <w:bookmarkEnd w:id="5"/>
    </w:p>
    <w:p w14:paraId="5990F5C1">
      <w:pPr>
        <w:ind w:firstLine="560"/>
        <w:rPr>
          <w:szCs w:val="28"/>
          <w:lang w:bidi="ar"/>
        </w:rPr>
      </w:pPr>
      <w:r>
        <w:rPr>
          <w:rFonts w:hint="eastAsia"/>
        </w:rPr>
        <w:t>随着我国经济的发展，城镇化进程步伐加快，人口的增加造成城市生活垃圾的不断增长。在收集、运输和处理处置过程中，生活垃圾含有和产生的有害成份会对大气、土壤、水体等造成污染，不仅严重影响城市市容市貌和环境卫生质量，同时也威胁着人民的身体健康。</w:t>
      </w:r>
      <w:r>
        <w:rPr>
          <w:rFonts w:hint="eastAsia"/>
          <w:szCs w:val="28"/>
          <w:lang w:bidi="ar"/>
        </w:rPr>
        <w:t>为贯彻落实《中华人民共和国环境保护法》《中华人民共和国大气污染防治法》等法律法规，加强生活垃圾和危险废物焚烧大气污染防控，持续改善全省环境空气质量，促进行业绿色健康发展，湖北省生态环境厅提出《湖北省生活垃圾焚烧大气污染物排放标准》的制定计划，由湖北省生态环境科学研究院承担编制任务。</w:t>
      </w:r>
    </w:p>
    <w:p w14:paraId="2930D185">
      <w:pPr>
        <w:pStyle w:val="4"/>
      </w:pPr>
      <w:bookmarkStart w:id="6" w:name="_Toc183055353"/>
      <w:bookmarkStart w:id="7" w:name="_Toc151508342"/>
      <w:r>
        <w:rPr>
          <w:rFonts w:hint="eastAsia"/>
        </w:rPr>
        <w:t>1.</w:t>
      </w:r>
      <w:r>
        <w:t>2</w:t>
      </w:r>
      <w:r>
        <w:rPr>
          <w:rFonts w:hint="eastAsia"/>
        </w:rPr>
        <w:t xml:space="preserve"> 研究意义</w:t>
      </w:r>
      <w:bookmarkEnd w:id="6"/>
    </w:p>
    <w:p w14:paraId="50E29E14">
      <w:pPr>
        <w:pStyle w:val="5"/>
      </w:pPr>
      <w:bookmarkStart w:id="8" w:name="_Toc183055354"/>
      <w:r>
        <w:rPr>
          <w:rFonts w:hint="eastAsia"/>
        </w:rPr>
        <w:t>1</w:t>
      </w:r>
      <w:r>
        <w:t xml:space="preserve">.2.1 </w:t>
      </w:r>
      <w:r>
        <w:rPr>
          <w:rFonts w:hint="eastAsia"/>
        </w:rPr>
        <w:t>区域大气环境质量改善的迫切需要</w:t>
      </w:r>
      <w:bookmarkEnd w:id="8"/>
    </w:p>
    <w:p w14:paraId="20D7390A">
      <w:pPr>
        <w:ind w:firstLine="560"/>
      </w:pPr>
      <w:r>
        <w:rPr>
          <w:rFonts w:cs="Times New Roman"/>
        </w:rPr>
        <w:t>2018年，生态环境部印发了《生活垃圾焚烧发电建设项目环境准入条件（试行）》（环办环评〔2018〕20号），文件要求生活垃圾焚烧发电项目应采取高效废气污染控措施，鼓励制定构建</w:t>
      </w:r>
      <w:r>
        <w:rPr>
          <w:rFonts w:hint="eastAsia" w:cs="Times New Roman"/>
        </w:rPr>
        <w:t>“</w:t>
      </w:r>
      <w:r>
        <w:rPr>
          <w:rFonts w:cs="Times New Roman"/>
        </w:rPr>
        <w:t>邻利型</w:t>
      </w:r>
      <w:r>
        <w:rPr>
          <w:rFonts w:hint="eastAsia" w:cs="Times New Roman"/>
        </w:rPr>
        <w:t>”</w:t>
      </w:r>
      <w:r>
        <w:rPr>
          <w:rFonts w:cs="Times New Roman"/>
        </w:rPr>
        <w:t>服务设施计划，努力让生活垃圾焚烧设施与居民、社区形成利益共同体。2023年2月，国家发展改革委联合住房和城乡建设部印发了《关于加快补齐县级地区生活垃圾焚烧处理设施短板弱项的实施方案的通知》（发改环资〔2022〕1863号），方案要求加快补齐县级地区（</w:t>
      </w:r>
      <w:r>
        <w:rPr>
          <w:rFonts w:hint="eastAsia"/>
        </w:rPr>
        <w:t>含县级市）生活垃圾焚烧处理设施短板弱项，全面提升县级地区生活垃圾焚烧处理能力，改善生态环境质量，提升人民生活品质，推动形成与县级地区经济社会发展相适应的生活垃圾处理体系。</w:t>
      </w:r>
    </w:p>
    <w:p w14:paraId="7BB3EAF4">
      <w:pPr>
        <w:ind w:firstLine="560"/>
      </w:pPr>
      <w:bookmarkStart w:id="9" w:name="_Hlk150911607"/>
      <w:r>
        <w:rPr>
          <w:rFonts w:hint="eastAsia"/>
        </w:rPr>
        <w:t>垃圾处理的原则是无害化、减量化、资源化，</w:t>
      </w:r>
      <w:r>
        <w:t>利用焚烧法处置城市生活垃圾</w:t>
      </w:r>
      <w:r>
        <w:rPr>
          <w:rFonts w:hint="eastAsia"/>
        </w:rPr>
        <w:t>可有效解决垃圾围城困境和垃圾减量化。结合疫情期间涉疫生活垃圾处置增加等特点，我省制订了《湖北省生活垃圾焚烧发电中长期专项规划（2020-2030年）》，规划新增生活垃圾焚烧设</w:t>
      </w:r>
      <w:r>
        <w:rPr>
          <w:rFonts w:cs="Times New Roman"/>
        </w:rPr>
        <w:t>施55个，到2025年底，全省总处理能力达到4.72万吨/日。截至2022年底，湖北省共有生活垃圾焚烧处理设施34座，总处理能力3.03万吨/日。</w:t>
      </w:r>
      <w:bookmarkEnd w:id="9"/>
    </w:p>
    <w:p w14:paraId="404986EE">
      <w:pPr>
        <w:ind w:firstLine="560"/>
      </w:pPr>
      <w:r>
        <w:rPr>
          <w:rFonts w:hint="eastAsia"/>
        </w:rPr>
        <w:t>生活垃圾焚烧会产生大量的氮氧化物等有毒有害大气污染物，影响我省环境空气质量全面改善。当前国家《生活垃圾焚烧污染控制标准》（GB</w:t>
      </w:r>
      <w:r>
        <w:t xml:space="preserve"> </w:t>
      </w:r>
      <w:r>
        <w:rPr>
          <w:rFonts w:hint="eastAsia"/>
        </w:rPr>
        <w:t>18485-2014）及修改单中明确“对本标准已作规定的污染物控制项目，可以制定严于本标准的地方污染物排放标准”。考虑到国家标准现有限值中NO</w:t>
      </w:r>
      <w:r>
        <w:rPr>
          <w:vertAlign w:val="subscript"/>
        </w:rPr>
        <w:t>x</w:t>
      </w:r>
      <w:r>
        <w:rPr>
          <w:rFonts w:hint="eastAsia"/>
        </w:rPr>
        <w:t>、SO</w:t>
      </w:r>
      <w:r>
        <w:rPr>
          <w:rFonts w:hint="eastAsia"/>
          <w:vertAlign w:val="subscript"/>
        </w:rPr>
        <w:t>2</w:t>
      </w:r>
      <w:r>
        <w:rPr>
          <w:rFonts w:hint="eastAsia"/>
        </w:rPr>
        <w:t>、HCl等主要指标限值均高于欧盟和日本等地，“十四五”期间我省新建生活垃圾焚烧项目多且排放新增量大，其高架源排放对周边区域环境空气质量影响较大，给区域污染物排放带来较大压力。目前，国内上海、深圳、河北、福建、海南等地均已制订地方标准，我省生活垃圾焚烧企业仍执行2014年发布的《生活垃圾焚烧污染控制标准》(GB</w:t>
      </w:r>
      <w:r>
        <w:t xml:space="preserve"> </w:t>
      </w:r>
      <w:r>
        <w:rPr>
          <w:rFonts w:hint="eastAsia"/>
        </w:rPr>
        <w:t>18485-2014)，相较于火力发电行业而言也过于宽松，这与我省的环境空气质量改善目标和减排压力不相适应，在生活垃圾焚烧行业进一步收严污染物排放浓度限值，开展适合我省省情的标准制订工作，将可进一步挖掘和释放减排空间，有利于环境空气质量改善，为环境污染防治和环境执法提供依据。</w:t>
      </w:r>
    </w:p>
    <w:p w14:paraId="5FCA2EB4">
      <w:pPr>
        <w:pStyle w:val="5"/>
      </w:pPr>
      <w:bookmarkStart w:id="10" w:name="_Toc183055355"/>
      <w:r>
        <w:t xml:space="preserve">1.2.2 </w:t>
      </w:r>
      <w:r>
        <w:rPr>
          <w:rFonts w:hint="eastAsia"/>
        </w:rPr>
        <w:t>污染物减排压力的需要</w:t>
      </w:r>
      <w:bookmarkEnd w:id="10"/>
    </w:p>
    <w:p w14:paraId="6A6E8BDA">
      <w:pPr>
        <w:ind w:firstLine="560"/>
        <w:rPr>
          <w:highlight w:val="yellow"/>
        </w:rPr>
      </w:pPr>
      <w:r>
        <w:rPr>
          <w:rFonts w:hint="eastAsia"/>
        </w:rPr>
        <w:t>《中华人民共和国大气污染防治法》明确要求“对颗粒物、二氧化硫、氮氧化物、挥发性有机物、氨等大气污染物和温室气体实施协同控制”。一方面，作为PM</w:t>
      </w:r>
      <w:r>
        <w:rPr>
          <w:rFonts w:hint="eastAsia"/>
          <w:vertAlign w:val="subscript"/>
        </w:rPr>
        <w:t>2.5</w:t>
      </w:r>
      <w:r>
        <w:rPr>
          <w:rFonts w:hint="eastAsia"/>
        </w:rPr>
        <w:t>和臭氧生成的重要前体物，氨的控制受到越来越多的重视，《湖北省“十四五”生态环境保护规划》要求推进大气氨排放控制。另一方面，现行标准中缺少对氨有组织排放的控制要求，生活垃圾焚烧企业在脱硝过程中，普遍采用尿素、氨水、液氨等含氨物质作为还原剂，单纯控制氮氧化物，而不控制氨的有组织排放，可能导致氨的过量使用和逃逸，顾此失彼。</w:t>
      </w:r>
    </w:p>
    <w:p w14:paraId="2DF80995">
      <w:pPr>
        <w:ind w:firstLine="560"/>
      </w:pPr>
      <w:r>
        <w:rPr>
          <w:rFonts w:hint="eastAsia"/>
        </w:rPr>
        <w:t>通过制定地方生活垃圾焚烧大气污染物排放标准，严格控制重点污染物排放，有利于改善环境空气质量，因此，湖北省生活垃圾焚烧污染排放标准的出台将有利于改善我省大气环境质量、也可为我省重大项目落地腾出容量空间。</w:t>
      </w:r>
    </w:p>
    <w:p w14:paraId="1F945560">
      <w:pPr>
        <w:pStyle w:val="5"/>
      </w:pPr>
      <w:bookmarkStart w:id="11" w:name="_Toc183055356"/>
      <w:r>
        <w:rPr>
          <w:rFonts w:hint="eastAsia"/>
        </w:rPr>
        <w:t>1</w:t>
      </w:r>
      <w:r>
        <w:t>.2.3</w:t>
      </w:r>
      <w:r>
        <w:rPr>
          <w:rFonts w:hint="eastAsia"/>
        </w:rPr>
        <w:t xml:space="preserve"> 行业绿色、健康和持续发展的需要</w:t>
      </w:r>
      <w:bookmarkEnd w:id="11"/>
    </w:p>
    <w:p w14:paraId="189BF8DA">
      <w:pPr>
        <w:ind w:firstLine="560"/>
      </w:pPr>
      <w:r>
        <w:rPr>
          <w:rFonts w:hint="eastAsia"/>
        </w:rPr>
        <w:t>全省现有生活垃圾焚烧厂采用的焚烧工艺、污染治理技术和运行管理水平参差不齐。通过收严排放标准，可倒逼行业提升污染治理技术、装备配备和运行管理水平。同时，标准的制定可引导企业提前制定方案，选用先进适用技术，进行科学管理，变“邻避效应”为“邻利效应”，引导生活垃圾焚烧行业绿色、健康和持续发展。</w:t>
      </w:r>
    </w:p>
    <w:p w14:paraId="32A686C8">
      <w:pPr>
        <w:pStyle w:val="4"/>
      </w:pPr>
      <w:bookmarkStart w:id="12" w:name="_Toc183055357"/>
      <w:r>
        <w:rPr>
          <w:rFonts w:hint="eastAsia"/>
        </w:rPr>
        <w:t>1.</w:t>
      </w:r>
      <w:r>
        <w:t>3</w:t>
      </w:r>
      <w:r>
        <w:rPr>
          <w:rFonts w:hint="eastAsia"/>
        </w:rPr>
        <w:t xml:space="preserve"> 工作过程</w:t>
      </w:r>
      <w:bookmarkEnd w:id="7"/>
      <w:bookmarkEnd w:id="12"/>
    </w:p>
    <w:p w14:paraId="398D7A5A">
      <w:pPr>
        <w:ind w:firstLine="560"/>
        <w:rPr>
          <w:kern w:val="0"/>
          <w:szCs w:val="28"/>
          <w:lang w:bidi="ar"/>
        </w:rPr>
      </w:pPr>
      <w:bookmarkStart w:id="13" w:name="_Hlk150911299"/>
      <w:r>
        <w:rPr>
          <w:rFonts w:hint="eastAsia"/>
          <w:kern w:val="0"/>
          <w:szCs w:val="28"/>
          <w:lang w:bidi="ar"/>
        </w:rPr>
        <w:t>标准编制组对国家以及河南、河北、山东、福建等地方标准进行了研究，制定了标准文本和编制说明大纲。经过开题论证后，编制组制订了详细的工作计划，明确了各阶段的任务与目标，确定了标准制订的方法与技术路线，经过大量的实地调研、现场监测、资料收集和文献查阅等工作，编制本标准的主要工作过程如下：</w:t>
      </w:r>
    </w:p>
    <w:p w14:paraId="039BA46B">
      <w:pPr>
        <w:ind w:firstLine="560"/>
        <w:rPr>
          <w:kern w:val="0"/>
          <w:szCs w:val="28"/>
          <w:lang w:bidi="ar"/>
        </w:rPr>
      </w:pPr>
      <w:r>
        <w:rPr>
          <w:rFonts w:hint="eastAsia"/>
          <w:kern w:val="0"/>
          <w:szCs w:val="28"/>
          <w:lang w:bidi="ar"/>
        </w:rPr>
        <w:t>前期调研阶段：编制组对生活垃圾焚烧企业进行现场考察，实地调研了焚烧能力</w:t>
      </w:r>
      <w:r>
        <w:rPr>
          <w:kern w:val="0"/>
          <w:szCs w:val="28"/>
          <w:lang w:bidi="ar"/>
        </w:rPr>
        <w:t>、</w:t>
      </w:r>
      <w:r>
        <w:rPr>
          <w:rFonts w:hint="eastAsia"/>
          <w:kern w:val="0"/>
          <w:szCs w:val="28"/>
          <w:lang w:bidi="ar"/>
        </w:rPr>
        <w:t>焚烧炉型等，了解生活垃圾焚烧企业大气污染物的产生、治理、排放情况、治理设施投资及运行费用。编制组较为全面地收集了河北省、河南省、山东省、上海市、天津市、福建省等地方生活垃圾焚烧大气污染物排放标准及编制说明，同时收集了有关生活垃圾焚烧污染控制的期刊文献，对现行《生活垃圾焚烧污染控制标准》(GB 18485-2014)污染物排放标准进行梳理和分析，总结制定湖北省生活垃圾焚烧污染大气污染物排放标准的必要性和可行性。</w:t>
      </w:r>
    </w:p>
    <w:p w14:paraId="04FF488F">
      <w:pPr>
        <w:ind w:firstLine="560"/>
        <w:rPr>
          <w:kern w:val="0"/>
          <w:szCs w:val="28"/>
          <w:lang w:bidi="ar"/>
        </w:rPr>
      </w:pPr>
      <w:r>
        <w:rPr>
          <w:rFonts w:hint="eastAsia"/>
          <w:kern w:val="0"/>
          <w:szCs w:val="28"/>
          <w:lang w:bidi="ar"/>
        </w:rPr>
        <w:t>研究报告编制阶段：通过研究湖北省环境空气质量变化情况，结合前期资料以及实地监测分析梳理了湖北省生活垃圾焚烧污染现状，总结湖北省生活垃圾焚烧污染企业分布情况、排放控制现状和大气污染物排放特征，进一步分析标准研究的可行性，确定标准制定的技术内容，开展标准实施的效益和可行性分析，形成研究报告。</w:t>
      </w:r>
    </w:p>
    <w:p w14:paraId="508F4574">
      <w:pPr>
        <w:ind w:firstLine="560"/>
        <w:rPr>
          <w:kern w:val="0"/>
          <w:szCs w:val="28"/>
          <w:lang w:bidi="ar"/>
        </w:rPr>
      </w:pPr>
      <w:r>
        <w:rPr>
          <w:rFonts w:hint="eastAsia"/>
          <w:kern w:val="0"/>
          <w:szCs w:val="28"/>
          <w:lang w:bidi="ar"/>
        </w:rPr>
        <w:t>标准研究阶段：以标准控制因子的确定、大气污染物排放标准限值的确定为重点，对标准框架、控制因子、限值、大气污染物监测要求、达标判定以及实施与监督等标准主要技术内容进行深入研究，形成标准草案。</w:t>
      </w:r>
    </w:p>
    <w:p w14:paraId="23685320">
      <w:pPr>
        <w:ind w:firstLine="560"/>
        <w:rPr>
          <w:kern w:val="0"/>
          <w:szCs w:val="28"/>
          <w:lang w:bidi="ar"/>
        </w:rPr>
      </w:pPr>
      <w:r>
        <w:rPr>
          <w:rFonts w:hint="eastAsia"/>
          <w:kern w:val="0"/>
          <w:szCs w:val="28"/>
          <w:lang w:bidi="ar"/>
        </w:rPr>
        <w:t>标准立项阶段：经标准查新、报送立项材料，进行立项答辩后， 2024年8月6日省市场监督管理局下达了本标准立项通知。</w:t>
      </w:r>
    </w:p>
    <w:p w14:paraId="7449C03F">
      <w:pPr>
        <w:ind w:firstLine="560"/>
        <w:rPr>
          <w:kern w:val="0"/>
          <w:szCs w:val="28"/>
          <w:lang w:bidi="ar"/>
        </w:rPr>
      </w:pPr>
      <w:r>
        <w:rPr>
          <w:rFonts w:hint="eastAsia"/>
          <w:kern w:val="0"/>
          <w:szCs w:val="28"/>
          <w:lang w:bidi="ar"/>
        </w:rPr>
        <w:t>编制说明阶段：结合研究报告、草案基本内容对标准制定的过程、必要性、污染控制技术可行性、制定原则、标准对比、标准实施技术分析和风险评估以及标准实施的措施建议等开展说明，形成编制说明。</w:t>
      </w:r>
    </w:p>
    <w:bookmarkEnd w:id="13"/>
    <w:p w14:paraId="4C6137FB">
      <w:pPr>
        <w:pStyle w:val="4"/>
      </w:pPr>
      <w:bookmarkStart w:id="14" w:name="_Toc183055358"/>
      <w:bookmarkStart w:id="15" w:name="_Toc151508343"/>
      <w:r>
        <w:rPr>
          <w:rFonts w:hint="eastAsia"/>
        </w:rPr>
        <w:t>1.</w:t>
      </w:r>
      <w:r>
        <w:t>4</w:t>
      </w:r>
      <w:r>
        <w:rPr>
          <w:rFonts w:hint="eastAsia"/>
        </w:rPr>
        <w:t xml:space="preserve"> 技术路线</w:t>
      </w:r>
      <w:bookmarkEnd w:id="14"/>
      <w:bookmarkEnd w:id="15"/>
    </w:p>
    <w:p w14:paraId="48AD8534">
      <w:pPr>
        <w:widowControl/>
        <w:ind w:firstLine="560"/>
        <w:rPr>
          <w:rFonts w:cs="Times New Roman"/>
          <w:szCs w:val="28"/>
        </w:rPr>
      </w:pPr>
      <w:r>
        <w:rPr>
          <w:rFonts w:hint="eastAsia" w:cs="Times New Roman"/>
          <w:szCs w:val="28"/>
        </w:rPr>
        <w:t>项目首先是通过全面系统的调研，初步掌握湖北省生活垃圾焚烧行业生产工艺及大气污染物的产生、排放和治理现状等情况，通过文献调研、资料收集、实地调查、现场监测、研讨会等多种方式，多维度准确、详细的掌握我省生活垃圾焚烧行业的基本概况（包括企业分布、数量、类型等）、大气污染物排放情况、污染防治技术、污染治理成本及现状等相关行业资料。</w:t>
      </w:r>
    </w:p>
    <w:p w14:paraId="43DC00BF">
      <w:pPr>
        <w:widowControl/>
        <w:ind w:firstLine="560"/>
        <w:rPr>
          <w:rFonts w:cs="Times New Roman"/>
          <w:szCs w:val="28"/>
        </w:rPr>
      </w:pPr>
      <w:r>
        <w:rPr>
          <w:rFonts w:hint="eastAsia" w:cs="Times New Roman"/>
          <w:szCs w:val="28"/>
        </w:rPr>
        <w:t>其次是在调研基础上，分析我省生活垃圾焚烧行业污染治理技术及其排放控制水平，选取代表性企业开展采样监测，开展全省生活垃圾焚烧行业污染治理经济技术评估。</w:t>
      </w:r>
    </w:p>
    <w:p w14:paraId="6A156598">
      <w:pPr>
        <w:widowControl/>
        <w:ind w:firstLine="560"/>
      </w:pPr>
      <w:r>
        <w:rPr>
          <w:rFonts w:hint="eastAsia" w:cs="Times New Roman"/>
          <w:szCs w:val="28"/>
        </w:rPr>
        <w:t>最后是参照国内污染控制经验和技术，结合我省经济发展水平、产业布局、能源结构布局和环境管理要求，在符合我国相关法律和法规的基础上，吸收借鉴美国、欧盟、日本及国内其他省份制定生活垃圾焚烧行业排放标准的经验，确定生活垃圾焚烧行业排放浓度限值，并对标准实施的可行性进行分析。</w:t>
      </w:r>
    </w:p>
    <w:bookmarkEnd w:id="2"/>
    <w:p w14:paraId="51E759A0">
      <w:pPr>
        <w:pStyle w:val="2"/>
      </w:pPr>
      <w:bookmarkStart w:id="16" w:name="_Toc183055359"/>
      <w:r>
        <w:t>2</w:t>
      </w:r>
      <w:r>
        <w:rPr>
          <w:rFonts w:hint="eastAsia"/>
        </w:rPr>
        <w:t xml:space="preserve"> 行业基本情况</w:t>
      </w:r>
      <w:bookmarkEnd w:id="16"/>
    </w:p>
    <w:p w14:paraId="33662E0F">
      <w:pPr>
        <w:pStyle w:val="4"/>
      </w:pPr>
      <w:bookmarkStart w:id="17" w:name="_Toc183055360"/>
      <w:r>
        <w:rPr>
          <w:rFonts w:hint="eastAsia"/>
        </w:rPr>
        <w:t>2</w:t>
      </w:r>
      <w:r>
        <w:t>.1</w:t>
      </w:r>
      <w:r>
        <w:rPr>
          <w:rFonts w:hint="eastAsia"/>
        </w:rPr>
        <w:t xml:space="preserve"> 相关政策文件</w:t>
      </w:r>
      <w:bookmarkEnd w:id="17"/>
    </w:p>
    <w:p w14:paraId="7201D49B">
      <w:pPr>
        <w:ind w:firstLine="560"/>
      </w:pPr>
      <w:r>
        <w:rPr>
          <w:rFonts w:hint="eastAsia"/>
        </w:rPr>
        <w:t>2</w:t>
      </w:r>
      <w:r>
        <w:t>023</w:t>
      </w:r>
      <w:r>
        <w:rPr>
          <w:rFonts w:hint="eastAsia"/>
        </w:rPr>
        <w:t>年2月2</w:t>
      </w:r>
      <w:r>
        <w:t>7</w:t>
      </w:r>
      <w:r>
        <w:rPr>
          <w:rFonts w:hint="eastAsia"/>
        </w:rPr>
        <w:t>日，湖北省生态环境厅发布《湖北省深入打好长江保护修复攻坚战三年实施方案》，方案要求加强生活垃圾分类处理体系建设，全面提升生活垃圾焚烧处理能力。全省生活垃圾焚烧处理能力占比（含水泥窑协同）达到80%，县城生活垃圾无害化处理率达到99%以上。</w:t>
      </w:r>
    </w:p>
    <w:p w14:paraId="4B46325F">
      <w:pPr>
        <w:ind w:firstLine="560"/>
      </w:pPr>
      <w:r>
        <w:rPr>
          <w:rFonts w:hint="eastAsia"/>
        </w:rPr>
        <w:t>2</w:t>
      </w:r>
      <w:r>
        <w:t>023</w:t>
      </w:r>
      <w:r>
        <w:rPr>
          <w:rFonts w:hint="eastAsia"/>
        </w:rPr>
        <w:t>年</w:t>
      </w:r>
      <w:r>
        <w:t>4</w:t>
      </w:r>
      <w:r>
        <w:rPr>
          <w:rFonts w:hint="eastAsia"/>
        </w:rPr>
        <w:t>月</w:t>
      </w:r>
      <w:r>
        <w:t>26</w:t>
      </w:r>
      <w:r>
        <w:rPr>
          <w:rFonts w:hint="eastAsia"/>
        </w:rPr>
        <w:t>日，湖北省生态环境厅发布《湖北省大气污染防治“三大”治理攻坚战役和“六大”专项提升行动计划》，行动计划要求推动出台工业炉窑、生物质锅炉、生活垃圾焚烧大气污染物排放和家具、有机化工行业挥发性有机物排放等地方标准。</w:t>
      </w:r>
    </w:p>
    <w:p w14:paraId="5F074E49">
      <w:pPr>
        <w:ind w:firstLine="560"/>
      </w:pPr>
      <w:r>
        <w:rPr>
          <w:rFonts w:hint="eastAsia"/>
        </w:rPr>
        <w:t>2</w:t>
      </w:r>
      <w:r>
        <w:t>023</w:t>
      </w:r>
      <w:r>
        <w:rPr>
          <w:rFonts w:hint="eastAsia"/>
        </w:rPr>
        <w:t>年</w:t>
      </w:r>
      <w:r>
        <w:t>5</w:t>
      </w:r>
      <w:r>
        <w:rPr>
          <w:rFonts w:hint="eastAsia"/>
        </w:rPr>
        <w:t>月</w:t>
      </w:r>
      <w:r>
        <w:t>12</w:t>
      </w:r>
      <w:r>
        <w:rPr>
          <w:rFonts w:hint="eastAsia"/>
        </w:rPr>
        <w:t>日，湖北省生态环境厅发布《关于印发湖北省“无废城市”建设三年行动方案的通知》，通知要求全面提升垃圾焚烧处理能力，开展既有焚烧处理设施提标改造，减少生活垃圾填埋处理。到2025年，全省城市生活垃圾无害化处理率达到100%，生活垃圾焚烧（含水泥窑）占比达到80%以上。发挥环境基础设施协同处置功能，稳步推进与生活垃圾分类相衔接的厨余垃圾处理设施建设，推动市政污泥处置与垃圾焚烧有效衔接。推进建筑垃圾资源化利用设施建设，采取固定与移动相结合的建筑垃圾资源化利用处理设施建设模式，实现就地就近综合回收利用。</w:t>
      </w:r>
    </w:p>
    <w:p w14:paraId="36533650">
      <w:pPr>
        <w:pStyle w:val="4"/>
      </w:pPr>
      <w:bookmarkStart w:id="18" w:name="_Toc183055361"/>
      <w:r>
        <w:t xml:space="preserve">2.2 </w:t>
      </w:r>
      <w:r>
        <w:rPr>
          <w:rFonts w:hint="eastAsia"/>
        </w:rPr>
        <w:t>省内行业发展现状</w:t>
      </w:r>
      <w:bookmarkEnd w:id="18"/>
    </w:p>
    <w:p w14:paraId="31577534">
      <w:pPr>
        <w:ind w:firstLine="560"/>
        <w:rPr>
          <w:rFonts w:cs="Times New Roman"/>
          <w:szCs w:val="28"/>
          <w:highlight w:val="yellow"/>
        </w:rPr>
      </w:pPr>
      <w:r>
        <w:rPr>
          <w:rFonts w:hint="eastAsia"/>
        </w:rPr>
        <w:t>随着我省经济社会快速发展和城镇化进展加快，生活垃圾的产生量也逐渐增加，根据统计结果，2</w:t>
      </w:r>
      <w:r>
        <w:t>022</w:t>
      </w:r>
      <w:r>
        <w:rPr>
          <w:rFonts w:hint="eastAsia"/>
        </w:rPr>
        <w:t>年湖北省生活垃圾清运量达</w:t>
      </w:r>
      <w:r>
        <w:t>1032.62</w:t>
      </w:r>
      <w:r>
        <w:rPr>
          <w:rFonts w:hint="eastAsia"/>
        </w:rPr>
        <w:t>万吨，是2</w:t>
      </w:r>
      <w:r>
        <w:t>011</w:t>
      </w:r>
      <w:r>
        <w:rPr>
          <w:rFonts w:hint="eastAsia"/>
        </w:rPr>
        <w:t>年1</w:t>
      </w:r>
      <w:r>
        <w:t>.40</w:t>
      </w:r>
      <w:r>
        <w:rPr>
          <w:rFonts w:hint="eastAsia"/>
        </w:rPr>
        <w:t>倍（</w:t>
      </w:r>
      <w:r>
        <w:t>736.27</w:t>
      </w:r>
      <w:r>
        <w:rPr>
          <w:rFonts w:hint="eastAsia"/>
        </w:rPr>
        <w:t>万吨）。受土地资源紧张的影响，垃圾焚烧已成为当下生活垃圾处理的主要方式，按照《湖北省生活垃圾焚烧发电中长期专项规划（2020-2030年）》，预计到2025年，全省城市生活垃圾焚烧处理率达到70%以上，到2030年，达到80%以上。</w:t>
      </w:r>
    </w:p>
    <w:p w14:paraId="03381314">
      <w:pPr>
        <w:ind w:firstLine="560"/>
        <w:rPr>
          <w:rFonts w:cs="Times New Roman"/>
        </w:rPr>
      </w:pPr>
      <w:r>
        <w:rPr>
          <w:rFonts w:hint="eastAsia" w:cs="Times New Roman"/>
        </w:rPr>
        <w:t>截至2</w:t>
      </w:r>
      <w:r>
        <w:rPr>
          <w:rFonts w:cs="Times New Roman"/>
        </w:rPr>
        <w:t>022</w:t>
      </w:r>
      <w:r>
        <w:rPr>
          <w:rFonts w:hint="eastAsia" w:cs="Times New Roman"/>
        </w:rPr>
        <w:t>年底，湖北省生活垃圾焚烧处理能力为</w:t>
      </w:r>
      <w:r>
        <w:rPr>
          <w:rFonts w:cs="Times New Roman"/>
        </w:rPr>
        <w:t>3.03</w:t>
      </w:r>
      <w:r>
        <w:rPr>
          <w:rFonts w:hint="eastAsia" w:cs="Times New Roman"/>
        </w:rPr>
        <w:t>万吨/日，全省共有卫生填埋处理厂</w:t>
      </w:r>
      <w:r>
        <w:rPr>
          <w:rFonts w:cs="Times New Roman"/>
        </w:rPr>
        <w:t>21</w:t>
      </w:r>
      <w:r>
        <w:rPr>
          <w:rFonts w:hint="eastAsia" w:cs="Times New Roman"/>
        </w:rPr>
        <w:t>座，焚烧发电厂</w:t>
      </w:r>
      <w:r>
        <w:rPr>
          <w:rFonts w:cs="Times New Roman"/>
        </w:rPr>
        <w:t>34</w:t>
      </w:r>
      <w:r>
        <w:rPr>
          <w:rFonts w:hint="eastAsia" w:cs="Times New Roman"/>
        </w:rPr>
        <w:t>座，其他1</w:t>
      </w:r>
      <w:r>
        <w:rPr>
          <w:rFonts w:cs="Times New Roman"/>
        </w:rPr>
        <w:t>2</w:t>
      </w:r>
      <w:r>
        <w:rPr>
          <w:rFonts w:hint="eastAsia" w:cs="Times New Roman"/>
        </w:rPr>
        <w:t>座；无害化处理量1</w:t>
      </w:r>
      <w:r>
        <w:rPr>
          <w:rFonts w:cs="Times New Roman"/>
        </w:rPr>
        <w:t>032.62</w:t>
      </w:r>
      <w:r>
        <w:rPr>
          <w:rFonts w:hint="eastAsia" w:cs="Times New Roman"/>
        </w:rPr>
        <w:t>万吨，其中卫生填埋</w:t>
      </w:r>
      <w:r>
        <w:rPr>
          <w:rFonts w:cs="Times New Roman"/>
        </w:rPr>
        <w:t>179.3</w:t>
      </w:r>
      <w:r>
        <w:rPr>
          <w:rFonts w:hint="eastAsia" w:cs="Times New Roman"/>
        </w:rPr>
        <w:t>万吨和焚烧</w:t>
      </w:r>
      <w:r>
        <w:rPr>
          <w:rFonts w:cs="Times New Roman"/>
        </w:rPr>
        <w:t>791.0</w:t>
      </w:r>
      <w:r>
        <w:rPr>
          <w:rFonts w:hint="eastAsia" w:cs="Times New Roman"/>
        </w:rPr>
        <w:t>万吨。</w:t>
      </w:r>
    </w:p>
    <w:p w14:paraId="194088CF">
      <w:pPr>
        <w:pStyle w:val="13"/>
        <w:rPr>
          <w:rFonts w:ascii="仿宋_GB2312" w:hAnsi="仿宋_GB2312" w:cs="仿宋_GB2312"/>
        </w:rPr>
      </w:pPr>
      <w:r>
        <w:drawing>
          <wp:inline distT="0" distB="0" distL="0" distR="0">
            <wp:extent cx="5274310" cy="3634740"/>
            <wp:effectExtent l="0" t="0" r="2540" b="3810"/>
            <wp:docPr id="1586483179" name="图片 2"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483179" name="图片 2" descr="图表, 条形图&#10;&#10;描述已自动生成"/>
                    <pic:cNvPicPr>
                      <a:picLocks noChangeAspect="1"/>
                    </pic:cNvPicPr>
                  </pic:nvPicPr>
                  <pic:blipFill>
                    <a:blip r:embed="rId21"/>
                    <a:stretch>
                      <a:fillRect/>
                    </a:stretch>
                  </pic:blipFill>
                  <pic:spPr>
                    <a:xfrm>
                      <a:off x="0" y="0"/>
                      <a:ext cx="5274310" cy="3634740"/>
                    </a:xfrm>
                    <a:prstGeom prst="rect">
                      <a:avLst/>
                    </a:prstGeom>
                  </pic:spPr>
                </pic:pic>
              </a:graphicData>
            </a:graphic>
          </wp:inline>
        </w:drawing>
      </w:r>
    </w:p>
    <w:p w14:paraId="5BCD3CED">
      <w:pPr>
        <w:pStyle w:val="13"/>
      </w:pPr>
      <w:r>
        <w:t>图2.2-1 2011-2022年湖北省生活垃圾无害化处理能力(t/d)</w:t>
      </w:r>
    </w:p>
    <w:p w14:paraId="6BA724C4">
      <w:pPr>
        <w:pStyle w:val="13"/>
        <w:rPr>
          <w:rFonts w:ascii="仿宋_GB2312" w:hAnsi="仿宋_GB2312" w:cs="仿宋_GB2312"/>
        </w:rPr>
      </w:pPr>
      <w:r>
        <w:drawing>
          <wp:inline distT="0" distB="0" distL="0" distR="0">
            <wp:extent cx="5274310" cy="3373755"/>
            <wp:effectExtent l="0" t="0" r="2540" b="0"/>
            <wp:docPr id="926836852" name="图片 3"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836852" name="图片 3" descr="图表, 条形图&#10;&#10;描述已自动生成"/>
                    <pic:cNvPicPr>
                      <a:picLocks noChangeAspect="1"/>
                    </pic:cNvPicPr>
                  </pic:nvPicPr>
                  <pic:blipFill>
                    <a:blip r:embed="rId22"/>
                    <a:stretch>
                      <a:fillRect/>
                    </a:stretch>
                  </pic:blipFill>
                  <pic:spPr>
                    <a:xfrm>
                      <a:off x="0" y="0"/>
                      <a:ext cx="5274310" cy="3373755"/>
                    </a:xfrm>
                    <a:prstGeom prst="rect">
                      <a:avLst/>
                    </a:prstGeom>
                  </pic:spPr>
                </pic:pic>
              </a:graphicData>
            </a:graphic>
          </wp:inline>
        </w:drawing>
      </w:r>
    </w:p>
    <w:p w14:paraId="063A56C9">
      <w:pPr>
        <w:pStyle w:val="13"/>
      </w:pPr>
      <w:r>
        <w:t>图2.2-2 2011-2022年湖北省生活垃圾</w:t>
      </w:r>
      <w:r>
        <w:rPr>
          <w:rFonts w:hint="eastAsia"/>
        </w:rPr>
        <w:t>无害化处理厂（场）数（座）</w:t>
      </w:r>
    </w:p>
    <w:p w14:paraId="07201FEF">
      <w:pPr>
        <w:pStyle w:val="2"/>
      </w:pPr>
      <w:bookmarkStart w:id="19" w:name="_Toc183055362"/>
      <w:r>
        <w:rPr>
          <w:rFonts w:hint="eastAsia"/>
        </w:rPr>
        <w:t>3 产排污情况及污染控制技术分析</w:t>
      </w:r>
      <w:bookmarkEnd w:id="19"/>
    </w:p>
    <w:p w14:paraId="7675CF2A">
      <w:pPr>
        <w:pStyle w:val="4"/>
      </w:pPr>
      <w:bookmarkStart w:id="20" w:name="_Toc183055363"/>
      <w:r>
        <w:t>3.1</w:t>
      </w:r>
      <w:r>
        <w:rPr>
          <w:rFonts w:hint="eastAsia"/>
        </w:rPr>
        <w:t xml:space="preserve"> 焚烧炉炉型</w:t>
      </w:r>
      <w:bookmarkEnd w:id="20"/>
    </w:p>
    <w:p w14:paraId="20997911">
      <w:pPr>
        <w:ind w:firstLine="560"/>
      </w:pPr>
      <w:bookmarkStart w:id="21" w:name="_Hlk150911528"/>
      <w:r>
        <w:rPr>
          <w:rFonts w:hint="eastAsia"/>
        </w:rPr>
        <w:t>垃圾焚烧技术在国外的应用和发展已有几十年的历史，比较成熟的炉型有热解干馏气化炉、脉冲抛式炉排焚烧炉、机械炉排焚烧炉、流化床焚烧炉、回转式焚烧炉和CAO焚烧炉。</w:t>
      </w:r>
    </w:p>
    <w:p w14:paraId="3AC64FED">
      <w:pPr>
        <w:ind w:firstLine="560"/>
      </w:pPr>
      <w:r>
        <w:rPr>
          <w:rFonts w:hint="eastAsia"/>
        </w:rPr>
        <w:t>热解干馏气化炉采用热解、干馏、气化等技术设计，垃圾在炉内温度和水蒸气的作用下发生化学反应，垃圾得到充分碳化，最终生成一氧化碳CO可燃气体；整个反应过程均在厌氧环境下完成，有效避让了重金属和二</w:t>
      </w:r>
      <w:r>
        <w:rPr>
          <w:rFonts w:hint="eastAsia" w:ascii="仿宋" w:hAnsi="仿宋" w:eastAsia="仿宋" w:cs="微软雅黑"/>
        </w:rPr>
        <w:t>噁</w:t>
      </w:r>
      <w:r>
        <w:rPr>
          <w:rFonts w:hint="eastAsia" w:ascii="仿宋_GB2312" w:hAnsi="仿宋_GB2312" w:cs="仿宋_GB2312"/>
        </w:rPr>
        <w:t>英的生成条件和环境</w:t>
      </w:r>
      <w:r>
        <w:rPr>
          <w:rFonts w:hint="eastAsia"/>
        </w:rPr>
        <w:t>。可燃气经平底双竖管、洗涤塔等净化设备降温、脱酸、除尘处理后可替代天然气直接应用。单台处理能力：50-200吨/天，适合中小型城市生活垃圾处理。</w:t>
      </w:r>
    </w:p>
    <w:p w14:paraId="64F50D43">
      <w:pPr>
        <w:ind w:firstLine="560"/>
      </w:pPr>
      <w:r>
        <w:rPr>
          <w:rFonts w:hint="eastAsia"/>
        </w:rPr>
        <w:t>回转式焚烧炉工作原理：回转式焚烧炉是用冷却水管或耐火材料沿炉体排列，炉体水平放置并略为倾斜。通过炉身的不停运转，使炉体内的垃圾充分燃烧，同时向炉体倾斜的方向移动，直至燃尽并排出炉体。</w:t>
      </w:r>
    </w:p>
    <w:p w14:paraId="280ABF33">
      <w:pPr>
        <w:ind w:firstLine="560"/>
      </w:pPr>
      <w:r>
        <w:rPr>
          <w:rFonts w:hint="eastAsia"/>
        </w:rPr>
        <w:t>CAO焚烧炉工作原理：垃圾运至储存坑，进入生化处理罐，在微生物作用下脱水，使天然有机物（厨余、叶、草等）分解成粉状物，其他固体包括塑料橡胶一类的合成有机物和垃圾中的无机物则不能分解粉化。经筛选，未能粉化的废弃物进入焚烧炉的先进入第一燃烧室（温度为600</w:t>
      </w:r>
      <w:r>
        <w:rPr>
          <w:rFonts w:cs="Times New Roman"/>
        </w:rPr>
        <w:t>℃</w:t>
      </w:r>
      <w:r>
        <w:rPr>
          <w:rFonts w:hint="eastAsia"/>
        </w:rPr>
        <w:t>），产生的可燃气体再进入第二燃烧室，不可燃和不可热解的组份呈灰渣状在第一燃烧室中排出。第二室温度控制在860</w:t>
      </w:r>
      <w:r>
        <w:rPr>
          <w:rFonts w:cs="Times New Roman"/>
        </w:rPr>
        <w:t>℃</w:t>
      </w:r>
      <w:r>
        <w:rPr>
          <w:rFonts w:hint="eastAsia"/>
        </w:rPr>
        <w:t>进行燃烧，高温烟气加热锅炉产生蒸汽。烟气经处理后由烟囱排至大气，金属玻璃在第一燃烧室内不会氧化或融化，可在灰渣中分选回收。</w:t>
      </w:r>
    </w:p>
    <w:p w14:paraId="3F55C4AB">
      <w:pPr>
        <w:ind w:firstLine="560"/>
      </w:pPr>
      <w:r>
        <w:rPr>
          <w:rFonts w:hint="eastAsia"/>
        </w:rPr>
        <w:t>脉冲抛式炉排焚烧炉工作原理：垃圾经自动给料单元送入焚烧炉的干燥床干燥，然后送入第一级炉排，在炉排上经高温挥发、裂解，炉排在脉冲空气动力装置的推动下抛动，将垃圾逐级抛入下一级炉排，此时高分子物质进行裂解、其它物质进行燃烧。如此下去，直至最后燃尽后进入灰渣坑，由自动除渣装置排出。助燃空气由炉排上的气孔喷入并与垃圾混合燃烧，同时使垃圾悬浮在空中。挥发和裂解出来的物质进入第二级燃烧室，进行进一步的裂解和燃烧，未燃尽的烟气进入第三级燃烧室进行完全燃烧；高温烟气通过锅炉受热面加热蒸汽，同时烟气经冷却后排出。</w:t>
      </w:r>
    </w:p>
    <w:p w14:paraId="5866B65A">
      <w:pPr>
        <w:ind w:firstLine="560" w:firstLineChars="0"/>
      </w:pPr>
      <w:r>
        <w:rPr>
          <w:rFonts w:hint="eastAsia"/>
        </w:rPr>
        <w:t>机械炉排炉工作原理：垃圾经由给料装置推送至倾斜炉排上，在炉排上通常经过预热干燥段、燃烧段和燃烬段三个区段。炉排上着火的垃圾通过炉排的往复运动，使垃圾层强烈的翻动和搅动，引起垃圾底部的燃烧。连续的翻动和搅动，使垃圾层松动，透气性加强，有利于垃圾的干燥、着火、燃烧和燃烬。垃圾在炉排上的燃烧空气从炉排下方通过炉排之间的空隙进入炉膛内，起到助燃和清洁炉排的作用。正常运行时，炉温维持在850~950℃，氮氧化物产生浓度控制在400 mg/m</w:t>
      </w:r>
      <w:r>
        <w:rPr>
          <w:rFonts w:hint="eastAsia"/>
          <w:vertAlign w:val="superscript"/>
        </w:rPr>
        <w:t>3</w:t>
      </w:r>
      <w:r>
        <w:rPr>
          <w:rFonts w:hint="eastAsia"/>
        </w:rPr>
        <w:t>以下。</w:t>
      </w:r>
    </w:p>
    <w:p w14:paraId="776E798D">
      <w:pPr>
        <w:ind w:firstLine="560" w:firstLineChars="0"/>
      </w:pPr>
      <w:r>
        <w:rPr>
          <w:rFonts w:hint="eastAsia"/>
        </w:rPr>
        <w:t>循环流化床焚烧炉工作原理：可用来处理固体、液体和气体废物的多用装置，由一个用耐火材料衬里的垂直容器和惰性颗粒物组成。燃烧空气由焚烧炉底部的通风装置进入炉内，垂直上升通过一个分配盘进入流化床的颗粒层。通过床下布风，使惰性颗粒呈沸腾状，形成流化床段，在流化床段上方设有足够高的燃烬段（即悬浮段）。炉温维持在850~950℃，氮氧化物产生浓度较低，可控制在60~300</w:t>
      </w:r>
      <w:r>
        <w:t xml:space="preserve"> </w:t>
      </w:r>
      <w:r>
        <w:rPr>
          <w:rFonts w:hint="eastAsia"/>
        </w:rPr>
        <w:t>mg/m</w:t>
      </w:r>
      <w:r>
        <w:rPr>
          <w:rFonts w:hint="eastAsia"/>
          <w:vertAlign w:val="superscript"/>
        </w:rPr>
        <w:t>3</w:t>
      </w:r>
      <w:r>
        <w:rPr>
          <w:rFonts w:hint="eastAsia"/>
        </w:rPr>
        <w:t>。</w:t>
      </w:r>
    </w:p>
    <w:bookmarkEnd w:id="21"/>
    <w:p w14:paraId="643A14C6">
      <w:pPr>
        <w:pStyle w:val="4"/>
      </w:pPr>
      <w:bookmarkStart w:id="22" w:name="_Toc183055364"/>
      <w:r>
        <w:rPr>
          <w:rFonts w:hint="eastAsia"/>
        </w:rPr>
        <w:t>3.</w:t>
      </w:r>
      <w:r>
        <w:t xml:space="preserve">2 </w:t>
      </w:r>
      <w:r>
        <w:rPr>
          <w:rFonts w:hint="eastAsia"/>
        </w:rPr>
        <w:t>污染物产生情况</w:t>
      </w:r>
      <w:bookmarkEnd w:id="22"/>
    </w:p>
    <w:p w14:paraId="233BE831">
      <w:pPr>
        <w:ind w:firstLine="560"/>
      </w:pPr>
      <w:r>
        <w:rPr>
          <w:rFonts w:hint="eastAsia"/>
        </w:rPr>
        <w:t>生活垃圾成分复杂，在焚烧过程中会出现较多的污染物。废气中所含污染物质的成分和含量与焚烧物质的成分、焚烧效率、炉型、焚烧条件、进料方式等有密切关系，主要包括颗粒物、酸性气体、重金属以及二</w:t>
      </w:r>
      <w:r>
        <w:rPr>
          <w:rFonts w:hint="eastAsia" w:eastAsia="仿宋"/>
        </w:rPr>
        <w:t>噁</w:t>
      </w:r>
      <w:r>
        <w:rPr>
          <w:rFonts w:hint="eastAsia"/>
        </w:rPr>
        <w:t>英类等污染物：</w:t>
      </w:r>
    </w:p>
    <w:p w14:paraId="4C4767BB">
      <w:pPr>
        <w:ind w:firstLine="562"/>
      </w:pPr>
      <w:r>
        <w:rPr>
          <w:rFonts w:hint="eastAsia"/>
          <w:b/>
          <w:bCs/>
        </w:rPr>
        <w:t>（1）碳氢化合物：</w:t>
      </w:r>
      <w:r>
        <w:rPr>
          <w:rFonts w:hint="eastAsia"/>
        </w:rPr>
        <w:t>燃烧后主要产物为水蒸气和二氧化碳，通常直接排入大气中；当由于缺氧或停留时间不足等原因造成部分碳氢化合物未按照设计要求达到完全燃烧时，会生成不完全燃烧产物，主要包括一氧化碳、炭黑、烃、烯、酮、醇、有机酸以及聚合物等。</w:t>
      </w:r>
    </w:p>
    <w:p w14:paraId="6A635928">
      <w:pPr>
        <w:ind w:firstLine="562"/>
      </w:pPr>
      <w:r>
        <w:rPr>
          <w:rFonts w:hint="eastAsia"/>
          <w:b/>
          <w:bCs/>
        </w:rPr>
        <w:t>（2）颗粒物：</w:t>
      </w:r>
      <w:r>
        <w:rPr>
          <w:rFonts w:hint="eastAsia"/>
        </w:rPr>
        <w:t>燃烧过程中由于助燃空气的鼓入以及扰动等影响致使部分粒度较小的固体物质如灰分、无机盐类颗粒、可凝结的气态污染物质、炭黑等随烟气一起进入后续烟气处理设施。</w:t>
      </w:r>
    </w:p>
    <w:p w14:paraId="006046C6">
      <w:pPr>
        <w:ind w:firstLine="562"/>
      </w:pPr>
      <w:r>
        <w:rPr>
          <w:rFonts w:hint="eastAsia"/>
          <w:b/>
          <w:bCs/>
        </w:rPr>
        <w:t>（3）金属粒子及其化合物：</w:t>
      </w:r>
      <w:r>
        <w:rPr>
          <w:rFonts w:hint="eastAsia"/>
        </w:rPr>
        <w:t>焚烧炉的高温条件致使部分重金属如铅（Pb）、汞（Hg）、铬（Cr）、镉（Cd）、砷（As）等的元素态、氧化物等蒸发进入烟气中，遇到烟道的较冷部分会结凝成亚微米颗粒的悬浮物。</w:t>
      </w:r>
    </w:p>
    <w:p w14:paraId="0887DB59">
      <w:pPr>
        <w:ind w:firstLine="562"/>
      </w:pPr>
      <w:r>
        <w:rPr>
          <w:rFonts w:hint="eastAsia"/>
          <w:b/>
          <w:bCs/>
        </w:rPr>
        <w:t>（4）酸性气体：</w:t>
      </w:r>
      <w:r>
        <w:rPr>
          <w:rFonts w:hint="eastAsia"/>
        </w:rPr>
        <w:t>在燃烧过程中生活垃圾所含的卤素、硫、磷等物质发生氧化还原反应生成相应的酸性气体，包括卤化氢、硫氧化物、氮氧化物以及五氧化磷和磷酸等；同时，助燃空气中的氮气和氧气在适当的热力条件下也可以生成酸性气体氮氧化物（NO</w:t>
      </w:r>
      <w:r>
        <w:rPr>
          <w:rFonts w:hint="eastAsia"/>
          <w:vertAlign w:val="subscript"/>
        </w:rPr>
        <w:t>x</w:t>
      </w:r>
      <w:r>
        <w:rPr>
          <w:rFonts w:hint="eastAsia"/>
        </w:rPr>
        <w:t>）。</w:t>
      </w:r>
    </w:p>
    <w:p w14:paraId="5EF68866">
      <w:pPr>
        <w:ind w:firstLine="562"/>
      </w:pPr>
      <w:r>
        <w:rPr>
          <w:rFonts w:hint="eastAsia"/>
          <w:b/>
          <w:bCs/>
        </w:rPr>
        <w:t>（5）二</w:t>
      </w:r>
      <w:r>
        <w:rPr>
          <w:rFonts w:hint="eastAsia" w:eastAsia="仿宋"/>
          <w:b/>
          <w:bCs/>
        </w:rPr>
        <w:t>噁</w:t>
      </w:r>
      <w:r>
        <w:rPr>
          <w:rFonts w:hint="eastAsia"/>
          <w:b/>
          <w:bCs/>
        </w:rPr>
        <w:t>英类有机物：</w:t>
      </w:r>
      <w:r>
        <w:rPr>
          <w:rFonts w:hint="eastAsia"/>
        </w:rPr>
        <w:t>含有有机物的生活垃圾进行燃烧时都有生成二</w:t>
      </w:r>
      <w:r>
        <w:rPr>
          <w:rFonts w:hint="eastAsia" w:eastAsia="仿宋"/>
        </w:rPr>
        <w:t>噁</w:t>
      </w:r>
      <w:r>
        <w:rPr>
          <w:rFonts w:hint="eastAsia"/>
        </w:rPr>
        <w:t>英类毒性物质的可能，特别是燃烧含有多氯联苯（PCBs）、氯乙烯、有机氯等高的物质，以及铜、铁等化合物会在飞灰的表面催化二</w:t>
      </w:r>
      <w:r>
        <w:rPr>
          <w:rFonts w:hint="eastAsia" w:eastAsia="仿宋"/>
        </w:rPr>
        <w:t>噁</w:t>
      </w:r>
      <w:r>
        <w:rPr>
          <w:rFonts w:hint="eastAsia"/>
        </w:rPr>
        <w:t>英类的前驱体物质（如苯、氯苯、酚类、烃类等）而合成二</w:t>
      </w:r>
      <w:r>
        <w:rPr>
          <w:rFonts w:hint="eastAsia" w:eastAsia="仿宋"/>
        </w:rPr>
        <w:t>噁</w:t>
      </w:r>
      <w:r>
        <w:rPr>
          <w:rFonts w:hint="eastAsia"/>
        </w:rPr>
        <w:t>英类。</w:t>
      </w:r>
    </w:p>
    <w:p w14:paraId="32DB9992">
      <w:pPr>
        <w:pStyle w:val="4"/>
      </w:pPr>
      <w:bookmarkStart w:id="23" w:name="_Toc183055365"/>
      <w:r>
        <w:rPr>
          <w:rFonts w:hint="eastAsia"/>
        </w:rPr>
        <w:t>3.</w:t>
      </w:r>
      <w:r>
        <w:t>3</w:t>
      </w:r>
      <w:r>
        <w:rPr>
          <w:rFonts w:hint="eastAsia"/>
        </w:rPr>
        <w:t xml:space="preserve"> 污染控制技术</w:t>
      </w:r>
      <w:bookmarkEnd w:id="23"/>
    </w:p>
    <w:p w14:paraId="2D9F4F81">
      <w:pPr>
        <w:ind w:firstLine="560"/>
      </w:pPr>
      <w:r>
        <w:t>焚烧炉烟气系统由除尘、除酸、除二</w:t>
      </w:r>
      <w:r>
        <w:rPr>
          <w:rFonts w:eastAsia="仿宋"/>
        </w:rPr>
        <w:t>噁</w:t>
      </w:r>
      <w:r>
        <w:t>英和重金属等各单元优化组合而成，目前</w:t>
      </w:r>
      <w:r>
        <w:rPr>
          <w:rFonts w:hint="eastAsia"/>
        </w:rPr>
        <w:t>省内生活垃圾焚烧企业</w:t>
      </w:r>
      <w:r>
        <w:t>主要采用以下组合控制技术：</w:t>
      </w:r>
    </w:p>
    <w:p w14:paraId="53B9DD0E">
      <w:pPr>
        <w:ind w:firstLine="560"/>
      </w:pPr>
      <w:r>
        <w:rPr>
          <w:rFonts w:hint="eastAsia"/>
        </w:rPr>
        <w:t>（1）</w:t>
      </w:r>
      <w:r>
        <w:t>“SNCR脱硝+半干法喷雾反应器脱酸+“3T+E”燃烧控制+活性炭喷射吸附二</w:t>
      </w:r>
      <w:r>
        <w:rPr>
          <w:rFonts w:eastAsia="仿宋"/>
        </w:rPr>
        <w:t>噁</w:t>
      </w:r>
      <w:r>
        <w:t>英+布袋除尘”技术；</w:t>
      </w:r>
    </w:p>
    <w:p w14:paraId="1C625015">
      <w:pPr>
        <w:ind w:firstLine="560"/>
      </w:pPr>
      <w:r>
        <w:rPr>
          <w:rFonts w:hint="eastAsia"/>
        </w:rPr>
        <w:t>（2）</w:t>
      </w:r>
      <w:r>
        <w:t>“SNCR脱硝+半干法脱酸+干法脱酸+“3T+E”燃烧控制+活性炭喷射吸附二</w:t>
      </w:r>
      <w:r>
        <w:rPr>
          <w:rFonts w:eastAsia="仿宋"/>
        </w:rPr>
        <w:t>噁</w:t>
      </w:r>
      <w:r>
        <w:t>英+袋式除尘”技术；</w:t>
      </w:r>
    </w:p>
    <w:p w14:paraId="02A701FC">
      <w:pPr>
        <w:ind w:firstLine="560"/>
      </w:pPr>
      <w:r>
        <w:rPr>
          <w:rFonts w:hint="eastAsia"/>
        </w:rPr>
        <w:t>（3）</w:t>
      </w:r>
      <w:r>
        <w:t>“SNCR脱硝+半干法喷雾反应器脱酸+干法脱酸+“3T+E”燃烧控制+活性炭喷射吸附二</w:t>
      </w:r>
      <w:r>
        <w:rPr>
          <w:rFonts w:eastAsia="仿宋"/>
        </w:rPr>
        <w:t>噁</w:t>
      </w:r>
      <w:r>
        <w:t>英+袋式除尘+SCR脱硝”技术；</w:t>
      </w:r>
    </w:p>
    <w:p w14:paraId="69A8FA2C">
      <w:pPr>
        <w:ind w:firstLine="560"/>
      </w:pPr>
      <w:r>
        <w:rPr>
          <w:rFonts w:hint="eastAsia"/>
        </w:rPr>
        <w:t>（4）</w:t>
      </w:r>
      <w:r>
        <w:t>“SNCR脱硝+半干法反应塔脱酸+干法脱酸+“3T+E”燃烧控 制+活性炭喷射吸附二</w:t>
      </w:r>
      <w:r>
        <w:rPr>
          <w:rFonts w:eastAsia="仿宋"/>
        </w:rPr>
        <w:t>噁</w:t>
      </w:r>
      <w:r>
        <w:t>英+袋式除尘+SCR脱硝+湿法脱酸+GGH(烟气再加热)”技术。</w:t>
      </w:r>
    </w:p>
    <w:p w14:paraId="1A70D5C7">
      <w:pPr>
        <w:pStyle w:val="13"/>
        <w:spacing w:before="156" w:beforeLines="50" w:after="156" w:afterLines="50"/>
      </w:pPr>
      <w:r>
        <w:rPr>
          <w:rFonts w:hint="eastAsia"/>
        </w:rPr>
        <w:t>表3</w:t>
      </w:r>
      <w:r>
        <w:t>.3</w:t>
      </w:r>
      <w:r>
        <w:rPr>
          <w:rFonts w:hint="eastAsia"/>
        </w:rPr>
        <w:t>-1 有组织焚烧烟气处理技术</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4"/>
        <w:gridCol w:w="2931"/>
        <w:gridCol w:w="4067"/>
      </w:tblGrid>
      <w:tr w14:paraId="3DFF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4" w:type="dxa"/>
            <w:vAlign w:val="center"/>
          </w:tcPr>
          <w:p w14:paraId="75C5FB72">
            <w:pPr>
              <w:ind w:firstLine="0" w:firstLineChars="0"/>
              <w:jc w:val="center"/>
              <w:rPr>
                <w:b/>
                <w:bCs/>
                <w:sz w:val="24"/>
              </w:rPr>
            </w:pPr>
            <w:r>
              <w:rPr>
                <w:rFonts w:hint="eastAsia"/>
                <w:b/>
                <w:bCs/>
                <w:sz w:val="24"/>
              </w:rPr>
              <w:t>废气名称</w:t>
            </w:r>
          </w:p>
        </w:tc>
        <w:tc>
          <w:tcPr>
            <w:tcW w:w="2931" w:type="dxa"/>
            <w:vAlign w:val="center"/>
          </w:tcPr>
          <w:p w14:paraId="474C418B">
            <w:pPr>
              <w:ind w:firstLine="0" w:firstLineChars="0"/>
              <w:jc w:val="center"/>
              <w:rPr>
                <w:b/>
                <w:bCs/>
                <w:sz w:val="24"/>
              </w:rPr>
            </w:pPr>
            <w:r>
              <w:rPr>
                <w:rFonts w:hint="eastAsia"/>
                <w:b/>
                <w:bCs/>
                <w:sz w:val="24"/>
              </w:rPr>
              <w:t>污染物种类</w:t>
            </w:r>
          </w:p>
        </w:tc>
        <w:tc>
          <w:tcPr>
            <w:tcW w:w="4067" w:type="dxa"/>
            <w:vAlign w:val="center"/>
          </w:tcPr>
          <w:p w14:paraId="537B5886">
            <w:pPr>
              <w:ind w:firstLine="0" w:firstLineChars="0"/>
              <w:jc w:val="center"/>
              <w:rPr>
                <w:b/>
                <w:bCs/>
                <w:sz w:val="24"/>
              </w:rPr>
            </w:pPr>
            <w:r>
              <w:rPr>
                <w:rFonts w:hint="eastAsia"/>
                <w:b/>
                <w:bCs/>
                <w:sz w:val="24"/>
              </w:rPr>
              <w:t>可行技术</w:t>
            </w:r>
          </w:p>
        </w:tc>
      </w:tr>
      <w:tr w14:paraId="0295D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4" w:type="dxa"/>
            <w:vMerge w:val="restart"/>
            <w:vAlign w:val="center"/>
          </w:tcPr>
          <w:p w14:paraId="1BD3FE28">
            <w:pPr>
              <w:ind w:firstLine="0" w:firstLineChars="0"/>
              <w:rPr>
                <w:sz w:val="24"/>
              </w:rPr>
            </w:pPr>
            <w:r>
              <w:rPr>
                <w:rFonts w:hint="eastAsia"/>
                <w:sz w:val="24"/>
              </w:rPr>
              <w:t>生活垃圾焚烧炉烟气</w:t>
            </w:r>
          </w:p>
        </w:tc>
        <w:tc>
          <w:tcPr>
            <w:tcW w:w="2931" w:type="dxa"/>
            <w:vAlign w:val="center"/>
          </w:tcPr>
          <w:p w14:paraId="2ECA07F8">
            <w:pPr>
              <w:ind w:firstLine="0" w:firstLineChars="0"/>
              <w:jc w:val="center"/>
              <w:rPr>
                <w:sz w:val="24"/>
              </w:rPr>
            </w:pPr>
            <w:r>
              <w:rPr>
                <w:rFonts w:hint="eastAsia"/>
                <w:sz w:val="24"/>
              </w:rPr>
              <w:t>颗粒物</w:t>
            </w:r>
          </w:p>
        </w:tc>
        <w:tc>
          <w:tcPr>
            <w:tcW w:w="4067" w:type="dxa"/>
            <w:vAlign w:val="center"/>
          </w:tcPr>
          <w:p w14:paraId="17A07ADB">
            <w:pPr>
              <w:ind w:firstLine="0" w:firstLineChars="0"/>
              <w:jc w:val="center"/>
              <w:rPr>
                <w:sz w:val="24"/>
              </w:rPr>
            </w:pPr>
            <w:r>
              <w:rPr>
                <w:rFonts w:hint="eastAsia"/>
                <w:sz w:val="24"/>
              </w:rPr>
              <w:t>袋式除尘、袋式除尘+电除尘</w:t>
            </w:r>
          </w:p>
        </w:tc>
      </w:tr>
      <w:tr w14:paraId="33CE3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4" w:type="dxa"/>
            <w:vMerge w:val="continue"/>
            <w:vAlign w:val="center"/>
          </w:tcPr>
          <w:p w14:paraId="4A055ED4">
            <w:pPr>
              <w:ind w:firstLine="0" w:firstLineChars="0"/>
              <w:rPr>
                <w:sz w:val="24"/>
              </w:rPr>
            </w:pPr>
          </w:p>
        </w:tc>
        <w:tc>
          <w:tcPr>
            <w:tcW w:w="2931" w:type="dxa"/>
            <w:vAlign w:val="center"/>
          </w:tcPr>
          <w:p w14:paraId="4B13C7EE">
            <w:pPr>
              <w:ind w:firstLine="0" w:firstLineChars="0"/>
              <w:jc w:val="center"/>
              <w:rPr>
                <w:sz w:val="24"/>
              </w:rPr>
            </w:pPr>
            <w:r>
              <w:rPr>
                <w:rFonts w:hint="eastAsia"/>
                <w:sz w:val="24"/>
              </w:rPr>
              <w:t>氮氧化物</w:t>
            </w:r>
          </w:p>
        </w:tc>
        <w:tc>
          <w:tcPr>
            <w:tcW w:w="4067" w:type="dxa"/>
            <w:vAlign w:val="center"/>
          </w:tcPr>
          <w:p w14:paraId="50E9C8EE">
            <w:pPr>
              <w:ind w:firstLine="0" w:firstLineChars="0"/>
              <w:jc w:val="center"/>
              <w:rPr>
                <w:sz w:val="24"/>
              </w:rPr>
            </w:pPr>
            <w:r>
              <w:rPr>
                <w:rFonts w:hint="eastAsia"/>
                <w:sz w:val="24"/>
              </w:rPr>
              <w:t>SNCR、SCR、SNCR+SCR</w:t>
            </w:r>
          </w:p>
        </w:tc>
      </w:tr>
      <w:tr w14:paraId="636F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4" w:type="dxa"/>
            <w:vMerge w:val="continue"/>
            <w:vAlign w:val="center"/>
          </w:tcPr>
          <w:p w14:paraId="098600A1">
            <w:pPr>
              <w:ind w:firstLine="0" w:firstLineChars="0"/>
              <w:rPr>
                <w:sz w:val="24"/>
              </w:rPr>
            </w:pPr>
          </w:p>
        </w:tc>
        <w:tc>
          <w:tcPr>
            <w:tcW w:w="2931" w:type="dxa"/>
            <w:vAlign w:val="center"/>
          </w:tcPr>
          <w:p w14:paraId="74D2CEDE">
            <w:pPr>
              <w:ind w:firstLine="0" w:firstLineChars="0"/>
              <w:jc w:val="center"/>
              <w:rPr>
                <w:sz w:val="24"/>
              </w:rPr>
            </w:pPr>
            <w:r>
              <w:rPr>
                <w:rFonts w:hint="eastAsia"/>
                <w:sz w:val="24"/>
              </w:rPr>
              <w:t>二氧化硫、氯化氢</w:t>
            </w:r>
          </w:p>
        </w:tc>
        <w:tc>
          <w:tcPr>
            <w:tcW w:w="4067" w:type="dxa"/>
            <w:vAlign w:val="center"/>
          </w:tcPr>
          <w:p w14:paraId="56570532">
            <w:pPr>
              <w:ind w:firstLine="0" w:firstLineChars="0"/>
              <w:jc w:val="center"/>
              <w:rPr>
                <w:sz w:val="24"/>
              </w:rPr>
            </w:pPr>
            <w:r>
              <w:rPr>
                <w:rFonts w:hint="eastAsia"/>
                <w:sz w:val="24"/>
              </w:rPr>
              <w:t>半干法+干法、半干法+湿法、干法+湿法、半干法+干法+湿法、半干法</w:t>
            </w:r>
          </w:p>
        </w:tc>
      </w:tr>
      <w:tr w14:paraId="2FB40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4" w:type="dxa"/>
            <w:vMerge w:val="continue"/>
            <w:vAlign w:val="center"/>
          </w:tcPr>
          <w:p w14:paraId="3C39C961">
            <w:pPr>
              <w:ind w:firstLine="0" w:firstLineChars="0"/>
              <w:rPr>
                <w:sz w:val="24"/>
              </w:rPr>
            </w:pPr>
          </w:p>
        </w:tc>
        <w:tc>
          <w:tcPr>
            <w:tcW w:w="2931" w:type="dxa"/>
            <w:vAlign w:val="center"/>
          </w:tcPr>
          <w:p w14:paraId="0FEF5B0B">
            <w:pPr>
              <w:ind w:firstLine="0" w:firstLineChars="0"/>
              <w:jc w:val="center"/>
              <w:rPr>
                <w:sz w:val="24"/>
              </w:rPr>
            </w:pPr>
            <w:r>
              <w:rPr>
                <w:rFonts w:hint="eastAsia"/>
                <w:sz w:val="24"/>
              </w:rPr>
              <w:t>一氧化碳</w:t>
            </w:r>
          </w:p>
        </w:tc>
        <w:tc>
          <w:tcPr>
            <w:tcW w:w="4067" w:type="dxa"/>
            <w:vAlign w:val="center"/>
          </w:tcPr>
          <w:p w14:paraId="6C846F70">
            <w:pPr>
              <w:ind w:firstLine="0" w:firstLineChars="0"/>
              <w:jc w:val="center"/>
              <w:rPr>
                <w:sz w:val="24"/>
              </w:rPr>
            </w:pPr>
            <w:r>
              <w:rPr>
                <w:rFonts w:hint="eastAsia"/>
                <w:sz w:val="24"/>
              </w:rPr>
              <w:t>“3T+E”燃烧控制</w:t>
            </w:r>
          </w:p>
        </w:tc>
      </w:tr>
      <w:tr w14:paraId="1C5A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4" w:type="dxa"/>
            <w:vMerge w:val="continue"/>
            <w:vAlign w:val="center"/>
          </w:tcPr>
          <w:p w14:paraId="29C760C9">
            <w:pPr>
              <w:ind w:firstLine="0" w:firstLineChars="0"/>
              <w:rPr>
                <w:sz w:val="24"/>
              </w:rPr>
            </w:pPr>
          </w:p>
        </w:tc>
        <w:tc>
          <w:tcPr>
            <w:tcW w:w="2931" w:type="dxa"/>
            <w:vAlign w:val="center"/>
          </w:tcPr>
          <w:p w14:paraId="60D8D0B1">
            <w:pPr>
              <w:ind w:firstLine="0" w:firstLineChars="0"/>
              <w:jc w:val="center"/>
              <w:rPr>
                <w:sz w:val="24"/>
              </w:rPr>
            </w:pPr>
            <w:r>
              <w:rPr>
                <w:rFonts w:hint="eastAsia"/>
                <w:sz w:val="24"/>
              </w:rPr>
              <w:t>汞及其化合物</w:t>
            </w:r>
          </w:p>
        </w:tc>
        <w:tc>
          <w:tcPr>
            <w:tcW w:w="4067" w:type="dxa"/>
            <w:vMerge w:val="restart"/>
            <w:vAlign w:val="center"/>
          </w:tcPr>
          <w:p w14:paraId="78CAEFB0">
            <w:pPr>
              <w:ind w:firstLine="0" w:firstLineChars="0"/>
              <w:jc w:val="center"/>
              <w:rPr>
                <w:sz w:val="24"/>
              </w:rPr>
            </w:pPr>
            <w:r>
              <w:rPr>
                <w:rFonts w:hint="eastAsia"/>
                <w:sz w:val="24"/>
              </w:rPr>
              <w:t>活性炭喷射+袋式除尘</w:t>
            </w:r>
          </w:p>
        </w:tc>
      </w:tr>
      <w:tr w14:paraId="63A9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4" w:type="dxa"/>
            <w:vMerge w:val="continue"/>
            <w:vAlign w:val="center"/>
          </w:tcPr>
          <w:p w14:paraId="49AB31CC">
            <w:pPr>
              <w:ind w:firstLine="0" w:firstLineChars="0"/>
              <w:rPr>
                <w:sz w:val="24"/>
              </w:rPr>
            </w:pPr>
          </w:p>
        </w:tc>
        <w:tc>
          <w:tcPr>
            <w:tcW w:w="2931" w:type="dxa"/>
            <w:vAlign w:val="center"/>
          </w:tcPr>
          <w:p w14:paraId="47A22B16">
            <w:pPr>
              <w:ind w:firstLine="0" w:firstLineChars="0"/>
              <w:jc w:val="center"/>
              <w:rPr>
                <w:sz w:val="24"/>
              </w:rPr>
            </w:pPr>
            <w:r>
              <w:rPr>
                <w:rFonts w:hint="eastAsia"/>
                <w:sz w:val="24"/>
              </w:rPr>
              <w:t>镉、铊及其化合物</w:t>
            </w:r>
          </w:p>
        </w:tc>
        <w:tc>
          <w:tcPr>
            <w:tcW w:w="4067" w:type="dxa"/>
            <w:vMerge w:val="continue"/>
            <w:vAlign w:val="center"/>
          </w:tcPr>
          <w:p w14:paraId="335BCBE0">
            <w:pPr>
              <w:ind w:firstLine="0" w:firstLineChars="0"/>
              <w:jc w:val="center"/>
              <w:rPr>
                <w:sz w:val="24"/>
              </w:rPr>
            </w:pPr>
          </w:p>
        </w:tc>
      </w:tr>
      <w:tr w14:paraId="4135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4" w:type="dxa"/>
            <w:vMerge w:val="continue"/>
            <w:vAlign w:val="center"/>
          </w:tcPr>
          <w:p w14:paraId="6AF93AD5">
            <w:pPr>
              <w:ind w:firstLine="0" w:firstLineChars="0"/>
              <w:rPr>
                <w:sz w:val="24"/>
              </w:rPr>
            </w:pPr>
          </w:p>
        </w:tc>
        <w:tc>
          <w:tcPr>
            <w:tcW w:w="2931" w:type="dxa"/>
            <w:vAlign w:val="center"/>
          </w:tcPr>
          <w:p w14:paraId="7652EED1">
            <w:pPr>
              <w:ind w:firstLine="0" w:firstLineChars="0"/>
              <w:jc w:val="center"/>
              <w:rPr>
                <w:sz w:val="24"/>
              </w:rPr>
            </w:pPr>
            <w:r>
              <w:rPr>
                <w:rFonts w:hint="eastAsia"/>
                <w:sz w:val="24"/>
              </w:rPr>
              <w:t>锑、砷、铅、铬、钴、铜、锰、镍及其化合物</w:t>
            </w:r>
          </w:p>
        </w:tc>
        <w:tc>
          <w:tcPr>
            <w:tcW w:w="4067" w:type="dxa"/>
            <w:vMerge w:val="continue"/>
            <w:vAlign w:val="center"/>
          </w:tcPr>
          <w:p w14:paraId="66A0C86D">
            <w:pPr>
              <w:ind w:firstLine="0" w:firstLineChars="0"/>
              <w:jc w:val="center"/>
              <w:rPr>
                <w:sz w:val="24"/>
              </w:rPr>
            </w:pPr>
          </w:p>
        </w:tc>
      </w:tr>
      <w:tr w14:paraId="02D55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4" w:type="dxa"/>
            <w:vMerge w:val="continue"/>
            <w:vAlign w:val="center"/>
          </w:tcPr>
          <w:p w14:paraId="4C8D9338">
            <w:pPr>
              <w:ind w:firstLine="0" w:firstLineChars="0"/>
              <w:rPr>
                <w:sz w:val="24"/>
              </w:rPr>
            </w:pPr>
          </w:p>
        </w:tc>
        <w:tc>
          <w:tcPr>
            <w:tcW w:w="2931" w:type="dxa"/>
            <w:vAlign w:val="center"/>
          </w:tcPr>
          <w:p w14:paraId="6E5596F2">
            <w:pPr>
              <w:ind w:firstLine="0" w:firstLineChars="0"/>
              <w:jc w:val="center"/>
              <w:rPr>
                <w:sz w:val="24"/>
              </w:rPr>
            </w:pPr>
            <w:r>
              <w:rPr>
                <w:rFonts w:hint="eastAsia"/>
                <w:sz w:val="24"/>
              </w:rPr>
              <w:t>二</w:t>
            </w:r>
            <w:r>
              <w:rPr>
                <w:rFonts w:hint="eastAsia" w:eastAsia="仿宋"/>
                <w:sz w:val="24"/>
              </w:rPr>
              <w:t>噁</w:t>
            </w:r>
            <w:r>
              <w:rPr>
                <w:rFonts w:hint="eastAsia"/>
                <w:sz w:val="24"/>
              </w:rPr>
              <w:t>英类</w:t>
            </w:r>
          </w:p>
        </w:tc>
        <w:tc>
          <w:tcPr>
            <w:tcW w:w="4067" w:type="dxa"/>
            <w:vAlign w:val="center"/>
          </w:tcPr>
          <w:p w14:paraId="648CA651">
            <w:pPr>
              <w:ind w:firstLine="0" w:firstLineChars="0"/>
              <w:jc w:val="center"/>
              <w:rPr>
                <w:sz w:val="24"/>
              </w:rPr>
            </w:pPr>
            <w:r>
              <w:rPr>
                <w:rFonts w:hint="eastAsia"/>
                <w:sz w:val="24"/>
              </w:rPr>
              <w:t>“3T+E”燃烧控制+活性炭喷射+袋式除尘</w:t>
            </w:r>
          </w:p>
        </w:tc>
      </w:tr>
    </w:tbl>
    <w:p w14:paraId="4DFFA6FE">
      <w:pPr>
        <w:pStyle w:val="5"/>
      </w:pPr>
      <w:bookmarkStart w:id="24" w:name="_Toc183055366"/>
      <w:r>
        <w:rPr>
          <w:rFonts w:hint="eastAsia"/>
        </w:rPr>
        <w:t>3.</w:t>
      </w:r>
      <w:r>
        <w:t>3</w:t>
      </w:r>
      <w:r>
        <w:rPr>
          <w:rFonts w:hint="eastAsia"/>
        </w:rPr>
        <w:t>.1 颗粒物控制技术</w:t>
      </w:r>
      <w:bookmarkEnd w:id="24"/>
    </w:p>
    <w:p w14:paraId="63B63AF6">
      <w:pPr>
        <w:ind w:firstLine="560"/>
      </w:pPr>
      <w:r>
        <w:rPr>
          <w:rFonts w:hint="eastAsia"/>
        </w:rPr>
        <w:t xml:space="preserve">颗粒物控制可以采用静电分离、过滤、离心沉降及湿法洗涤等几种方式。目前，常用的处理方法有静电除尘器和袋式除尘器两种。袋式除尘器是含尘气体由进风口进入进风管道内，通过分隔板分流后，使烟气均匀地分布至每一室，在每一灰斗挡板作用下气流均匀平稳上升，较大粉尘在初级沉降及自身重力的作用下，沉降至灰斗中。另一部分较细粉尘随气流在引风机的作用下，吸附在滤袋表面上，洁净空气穿过滤袋进入净气室，汇集于出风管道内由出风口排出，可有效去除直径为0.005～20 </w:t>
      </w:r>
      <w:r>
        <w:rPr>
          <w:rFonts w:cs="Times New Roman"/>
        </w:rPr>
        <w:t>μ</w:t>
      </w:r>
      <w:r>
        <w:rPr>
          <w:rFonts w:hint="eastAsia"/>
        </w:rPr>
        <w:t>m粉尘。</w:t>
      </w:r>
    </w:p>
    <w:p w14:paraId="6100D44B">
      <w:pPr>
        <w:ind w:firstLine="560"/>
      </w:pPr>
      <w:r>
        <w:rPr>
          <w:rFonts w:hint="eastAsia"/>
        </w:rPr>
        <w:t>滤袋滤料分为普通滤料和覆膜滤料，普通滤料净化效率低，更换周期短，覆膜滤料在普通滤料表面增加一层复合薄膜，具有网状结构，可有效阻隔不同粒径的粉尘，目前在钢铁，焦化等已执行超低排放标准行业广泛应用，具有净化效率高，更换周期长等优点。</w:t>
      </w:r>
    </w:p>
    <w:p w14:paraId="77DD34C8">
      <w:pPr>
        <w:ind w:firstLine="560"/>
      </w:pPr>
      <w:r>
        <w:rPr>
          <w:rFonts w:hint="eastAsia"/>
        </w:rPr>
        <w:t xml:space="preserve">静电除尘器是含尘气体在通过高压电场进行电离的过程中使尘粒荷电，并在电场力的作用下使尘粒从含尘气体中分离出来的一种除尘设备，可有效去除直径为0.01～50 </w:t>
      </w:r>
      <w:r>
        <w:rPr>
          <w:rFonts w:cs="Times New Roman"/>
        </w:rPr>
        <w:t>μ</w:t>
      </w:r>
      <w:r>
        <w:rPr>
          <w:rFonts w:hint="eastAsia"/>
        </w:rPr>
        <w:t>m粉尘。</w:t>
      </w:r>
    </w:p>
    <w:p w14:paraId="7C3EE04D">
      <w:pPr>
        <w:pStyle w:val="5"/>
      </w:pPr>
      <w:bookmarkStart w:id="25" w:name="_Toc183055367"/>
      <w:r>
        <w:rPr>
          <w:rFonts w:hint="eastAsia"/>
        </w:rPr>
        <w:t>3.</w:t>
      </w:r>
      <w:r>
        <w:t>3</w:t>
      </w:r>
      <w:r>
        <w:rPr>
          <w:rFonts w:hint="eastAsia"/>
        </w:rPr>
        <w:t>.2 酸性气体控制技术</w:t>
      </w:r>
      <w:bookmarkEnd w:id="25"/>
    </w:p>
    <w:p w14:paraId="132FEFB9">
      <w:pPr>
        <w:ind w:firstLine="560"/>
      </w:pPr>
      <w:r>
        <w:rPr>
          <w:rFonts w:hint="eastAsia"/>
        </w:rPr>
        <w:t>焚烧过程产生的酸性气体的净化方法主要有干法、半干法和湿法，部分焚烧企业为达到更好的脱酸效果，选择将三种方法组合使用。</w:t>
      </w:r>
    </w:p>
    <w:p w14:paraId="310C4887">
      <w:pPr>
        <w:ind w:firstLine="562"/>
        <w:rPr>
          <w:b/>
          <w:bCs/>
        </w:rPr>
      </w:pPr>
      <w:r>
        <w:rPr>
          <w:rFonts w:hint="eastAsia"/>
          <w:b/>
          <w:bCs/>
        </w:rPr>
        <w:t>（1）干法脱酸</w:t>
      </w:r>
    </w:p>
    <w:p w14:paraId="3F471EFC">
      <w:pPr>
        <w:ind w:firstLine="560"/>
      </w:pPr>
      <w:r>
        <w:rPr>
          <w:rFonts w:hint="eastAsia"/>
        </w:rPr>
        <w:t>干法脱酸一般有两种方式，一种是干式反应塔，干性药剂和酸性气体在反应塔内进行反应，然后一部分未反应的药剂随气体进入除尘器内与酸进行反应；另一种是在进入除尘器前喷入干性药剂，药剂在除尘器内和酸性气体反应。除酸用药剂大多采用消石灰（Ca(OH)</w:t>
      </w:r>
      <w:r>
        <w:rPr>
          <w:rFonts w:hint="eastAsia"/>
          <w:vertAlign w:val="subscript"/>
        </w:rPr>
        <w:t>2</w:t>
      </w:r>
      <w:r>
        <w:rPr>
          <w:rFonts w:hint="eastAsia"/>
        </w:rPr>
        <w:t>）,消石灰微粒表面直接和酸气接触，发生化学中和反应，生成无害的中性盐颗粒，在除尘器里，反应产物连同烟气中粉尘和未参加反应的吸收剂一起被捕集下来，达到净化酸性气体的目的。</w:t>
      </w:r>
    </w:p>
    <w:p w14:paraId="267C8F60">
      <w:pPr>
        <w:ind w:firstLine="560"/>
      </w:pPr>
      <w:r>
        <w:rPr>
          <w:rFonts w:hint="eastAsia"/>
        </w:rPr>
        <w:t>干法脱酸具有工艺流程简单、系统设备少、易于维护、布置紧凑、雾化效果良好、流量控制范围大、节省占地及引风机的耗电量等优点。其缺点是药剂使用量偏大，除酸效率相对湿法和半干法较低。</w:t>
      </w:r>
    </w:p>
    <w:p w14:paraId="139529F3">
      <w:pPr>
        <w:ind w:firstLine="562"/>
        <w:rPr>
          <w:b/>
          <w:bCs/>
        </w:rPr>
      </w:pPr>
      <w:r>
        <w:rPr>
          <w:rFonts w:hint="eastAsia"/>
          <w:b/>
          <w:bCs/>
        </w:rPr>
        <w:t>（2）半干法脱酸</w:t>
      </w:r>
    </w:p>
    <w:p w14:paraId="5C76FB1C">
      <w:pPr>
        <w:ind w:firstLine="560"/>
      </w:pPr>
      <w:r>
        <w:rPr>
          <w:rFonts w:hint="eastAsia"/>
        </w:rPr>
        <w:t>半干法脱酸是利用旋转喷雾器将吸附剂Ca(OH)</w:t>
      </w:r>
      <w:r>
        <w:rPr>
          <w:rFonts w:hint="eastAsia"/>
          <w:vertAlign w:val="subscript"/>
        </w:rPr>
        <w:t>2</w:t>
      </w:r>
      <w:r>
        <w:rPr>
          <w:rFonts w:hint="eastAsia"/>
        </w:rPr>
        <w:t>浆液喷入半干式反应器中，形成粒径极小的液滴。利用焚烧炉烟气中的余热使Ca(OH)</w:t>
      </w:r>
      <w:r>
        <w:rPr>
          <w:rFonts w:hint="eastAsia"/>
          <w:vertAlign w:val="subscript"/>
        </w:rPr>
        <w:t>2</w:t>
      </w:r>
      <w:r>
        <w:rPr>
          <w:rFonts w:hint="eastAsia"/>
        </w:rPr>
        <w:t>中的水分蒸发，从而降低烟气的温度并提高其湿度，使酸性气体与石灰浆反应成为盐类，掉落至底部的灰斗，烟气中的酸性气体HC1、SO</w:t>
      </w:r>
      <w:r>
        <w:rPr>
          <w:rFonts w:hint="eastAsia"/>
          <w:vertAlign w:val="subscript"/>
        </w:rPr>
        <w:t>2</w:t>
      </w:r>
      <w:r>
        <w:rPr>
          <w:rFonts w:hint="eastAsia"/>
        </w:rPr>
        <w:t>等得到去除。</w:t>
      </w:r>
    </w:p>
    <w:p w14:paraId="5B8C44FA">
      <w:pPr>
        <w:ind w:firstLine="560"/>
      </w:pPr>
      <w:r>
        <w:rPr>
          <w:rFonts w:hint="eastAsia"/>
        </w:rPr>
        <w:t>半干式脱酸具有设备成本低、运转成本低、净化效率高、维护简单、且无需对反应产物进行二次处理等优点，可适用于不同的炉型。其缺点是对自控水平要求高，另外，对喷嘴的要求也高，不但雾化效果要好，而且要抗腐、蚀耐磨损、且不易堵塞。</w:t>
      </w:r>
    </w:p>
    <w:p w14:paraId="2F3F0290">
      <w:pPr>
        <w:ind w:firstLine="562"/>
        <w:rPr>
          <w:b/>
          <w:bCs/>
        </w:rPr>
      </w:pPr>
      <w:r>
        <w:rPr>
          <w:rFonts w:hint="eastAsia"/>
          <w:b/>
          <w:bCs/>
        </w:rPr>
        <w:t>（3）湿法脱酸</w:t>
      </w:r>
    </w:p>
    <w:p w14:paraId="1F521CB1">
      <w:pPr>
        <w:ind w:firstLine="560"/>
      </w:pPr>
      <w:r>
        <w:rPr>
          <w:rFonts w:hint="eastAsia"/>
        </w:rPr>
        <w:t>湿法脱酸多采用洗涤塔形式，利用碱性物质作为吸收剂使酸性气态污染物得以高效净化。洗涤塔分为吸收部和减湿部，在吸收部喷入NaOH溶液，烟气进入吸收部后经过与NaOH溶液充分接触得到很高的脱酸效果。经吸收部处理后的烟气进入减湿部，在减湿部喷入大量自来水，使烟气急骤冷却达到饱和温度以下，降低烟气中水分。洗涤塔设置在除尘器的下游，以防止粒状污染物阻塞喷嘴而影响其正常操作。湿法洗涤塔产生的废水经处理后，其产生的污泥经浓缩脱水后，以干态形式排出。</w:t>
      </w:r>
    </w:p>
    <w:p w14:paraId="2E97A8E0">
      <w:pPr>
        <w:ind w:firstLine="560"/>
      </w:pPr>
    </w:p>
    <w:p w14:paraId="2C2365A1">
      <w:pPr>
        <w:pStyle w:val="13"/>
        <w:spacing w:before="156" w:beforeLines="50" w:after="156" w:afterLines="50"/>
      </w:pPr>
      <w:r>
        <w:rPr>
          <w:rFonts w:hint="eastAsia"/>
        </w:rPr>
        <w:t>表3</w:t>
      </w:r>
      <w:r>
        <w:t>.3</w:t>
      </w:r>
      <w:r>
        <w:rPr>
          <w:rFonts w:hint="eastAsia"/>
        </w:rPr>
        <w:t>-2 干法、半干法、湿法脱酸特点比较一览表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5C54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4FE9539">
            <w:pPr>
              <w:ind w:firstLine="0" w:firstLineChars="0"/>
              <w:jc w:val="center"/>
              <w:rPr>
                <w:b/>
                <w:bCs/>
                <w:sz w:val="24"/>
                <w:szCs w:val="22"/>
              </w:rPr>
            </w:pPr>
            <w:r>
              <w:rPr>
                <w:rFonts w:hint="eastAsia"/>
                <w:b/>
                <w:bCs/>
                <w:sz w:val="24"/>
                <w:szCs w:val="22"/>
              </w:rPr>
              <w:t>比较项目</w:t>
            </w:r>
          </w:p>
        </w:tc>
        <w:tc>
          <w:tcPr>
            <w:tcW w:w="2130" w:type="dxa"/>
          </w:tcPr>
          <w:p w14:paraId="15AF8D57">
            <w:pPr>
              <w:ind w:firstLine="0" w:firstLineChars="0"/>
              <w:jc w:val="center"/>
              <w:rPr>
                <w:b/>
                <w:bCs/>
                <w:sz w:val="24"/>
                <w:szCs w:val="22"/>
              </w:rPr>
            </w:pPr>
            <w:r>
              <w:rPr>
                <w:rFonts w:hint="eastAsia"/>
                <w:b/>
                <w:bCs/>
                <w:sz w:val="24"/>
                <w:szCs w:val="22"/>
              </w:rPr>
              <w:t>干法</w:t>
            </w:r>
          </w:p>
        </w:tc>
        <w:tc>
          <w:tcPr>
            <w:tcW w:w="2131" w:type="dxa"/>
          </w:tcPr>
          <w:p w14:paraId="0ACE1016">
            <w:pPr>
              <w:ind w:firstLine="0" w:firstLineChars="0"/>
              <w:jc w:val="center"/>
              <w:rPr>
                <w:b/>
                <w:bCs/>
                <w:sz w:val="24"/>
                <w:szCs w:val="22"/>
              </w:rPr>
            </w:pPr>
            <w:r>
              <w:rPr>
                <w:rFonts w:hint="eastAsia"/>
                <w:b/>
                <w:bCs/>
                <w:sz w:val="24"/>
                <w:szCs w:val="22"/>
              </w:rPr>
              <w:t>半干法</w:t>
            </w:r>
          </w:p>
        </w:tc>
        <w:tc>
          <w:tcPr>
            <w:tcW w:w="2131" w:type="dxa"/>
          </w:tcPr>
          <w:p w14:paraId="1E4BC86D">
            <w:pPr>
              <w:ind w:firstLine="0" w:firstLineChars="0"/>
              <w:jc w:val="center"/>
              <w:rPr>
                <w:b/>
                <w:bCs/>
                <w:sz w:val="24"/>
                <w:szCs w:val="22"/>
              </w:rPr>
            </w:pPr>
            <w:r>
              <w:rPr>
                <w:rFonts w:hint="eastAsia"/>
                <w:b/>
                <w:bCs/>
                <w:sz w:val="24"/>
                <w:szCs w:val="22"/>
              </w:rPr>
              <w:t>湿法</w:t>
            </w:r>
          </w:p>
        </w:tc>
      </w:tr>
      <w:tr w14:paraId="71853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C33285F">
            <w:pPr>
              <w:ind w:firstLine="0" w:firstLineChars="0"/>
              <w:jc w:val="center"/>
              <w:rPr>
                <w:sz w:val="24"/>
                <w:szCs w:val="22"/>
              </w:rPr>
            </w:pPr>
            <w:r>
              <w:rPr>
                <w:rFonts w:hint="eastAsia"/>
                <w:sz w:val="24"/>
                <w:szCs w:val="22"/>
              </w:rPr>
              <w:t>脱酸效率</w:t>
            </w:r>
          </w:p>
        </w:tc>
        <w:tc>
          <w:tcPr>
            <w:tcW w:w="2130" w:type="dxa"/>
          </w:tcPr>
          <w:p w14:paraId="11A095E3">
            <w:pPr>
              <w:ind w:firstLine="0" w:firstLineChars="0"/>
              <w:jc w:val="center"/>
              <w:rPr>
                <w:sz w:val="24"/>
                <w:szCs w:val="22"/>
              </w:rPr>
            </w:pPr>
            <w:r>
              <w:rPr>
                <w:rFonts w:hint="eastAsia"/>
                <w:sz w:val="24"/>
                <w:szCs w:val="22"/>
              </w:rPr>
              <w:t>一般</w:t>
            </w:r>
          </w:p>
        </w:tc>
        <w:tc>
          <w:tcPr>
            <w:tcW w:w="2131" w:type="dxa"/>
          </w:tcPr>
          <w:p w14:paraId="58A2E2FB">
            <w:pPr>
              <w:ind w:firstLine="0" w:firstLineChars="0"/>
              <w:jc w:val="center"/>
              <w:rPr>
                <w:sz w:val="24"/>
                <w:szCs w:val="22"/>
              </w:rPr>
            </w:pPr>
            <w:r>
              <w:rPr>
                <w:rFonts w:hint="eastAsia"/>
                <w:sz w:val="24"/>
                <w:szCs w:val="22"/>
              </w:rPr>
              <w:t>较高</w:t>
            </w:r>
          </w:p>
        </w:tc>
        <w:tc>
          <w:tcPr>
            <w:tcW w:w="2131" w:type="dxa"/>
          </w:tcPr>
          <w:p w14:paraId="7BEA95E4">
            <w:pPr>
              <w:ind w:firstLine="0" w:firstLineChars="0"/>
              <w:jc w:val="center"/>
              <w:rPr>
                <w:sz w:val="24"/>
                <w:szCs w:val="22"/>
              </w:rPr>
            </w:pPr>
            <w:r>
              <w:rPr>
                <w:rFonts w:hint="eastAsia"/>
                <w:sz w:val="24"/>
                <w:szCs w:val="22"/>
              </w:rPr>
              <w:t>高</w:t>
            </w:r>
          </w:p>
        </w:tc>
      </w:tr>
      <w:tr w14:paraId="45E0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F6CBB8E">
            <w:pPr>
              <w:ind w:firstLine="0" w:firstLineChars="0"/>
              <w:jc w:val="center"/>
              <w:rPr>
                <w:sz w:val="24"/>
                <w:szCs w:val="22"/>
              </w:rPr>
            </w:pPr>
            <w:r>
              <w:rPr>
                <w:rFonts w:hint="eastAsia"/>
                <w:sz w:val="24"/>
                <w:szCs w:val="22"/>
              </w:rPr>
              <w:t>技术成熟性</w:t>
            </w:r>
          </w:p>
        </w:tc>
        <w:tc>
          <w:tcPr>
            <w:tcW w:w="2130" w:type="dxa"/>
          </w:tcPr>
          <w:p w14:paraId="2963FDD8">
            <w:pPr>
              <w:ind w:firstLine="0" w:firstLineChars="0"/>
              <w:jc w:val="center"/>
              <w:rPr>
                <w:sz w:val="24"/>
                <w:szCs w:val="22"/>
              </w:rPr>
            </w:pPr>
            <w:r>
              <w:rPr>
                <w:rFonts w:hint="eastAsia"/>
                <w:sz w:val="24"/>
                <w:szCs w:val="22"/>
              </w:rPr>
              <w:t>成熟</w:t>
            </w:r>
          </w:p>
        </w:tc>
        <w:tc>
          <w:tcPr>
            <w:tcW w:w="2131" w:type="dxa"/>
          </w:tcPr>
          <w:p w14:paraId="7C0E1757">
            <w:pPr>
              <w:ind w:firstLine="0" w:firstLineChars="0"/>
              <w:jc w:val="center"/>
              <w:rPr>
                <w:sz w:val="24"/>
                <w:szCs w:val="22"/>
              </w:rPr>
            </w:pPr>
            <w:r>
              <w:rPr>
                <w:rFonts w:hint="eastAsia"/>
                <w:sz w:val="24"/>
                <w:szCs w:val="22"/>
              </w:rPr>
              <w:t>成熟</w:t>
            </w:r>
          </w:p>
        </w:tc>
        <w:tc>
          <w:tcPr>
            <w:tcW w:w="2131" w:type="dxa"/>
          </w:tcPr>
          <w:p w14:paraId="43A25692">
            <w:pPr>
              <w:ind w:firstLine="0" w:firstLineChars="0"/>
              <w:jc w:val="center"/>
              <w:rPr>
                <w:sz w:val="24"/>
                <w:szCs w:val="22"/>
              </w:rPr>
            </w:pPr>
            <w:r>
              <w:rPr>
                <w:rFonts w:hint="eastAsia"/>
                <w:sz w:val="24"/>
                <w:szCs w:val="22"/>
              </w:rPr>
              <w:t>成熟</w:t>
            </w:r>
          </w:p>
        </w:tc>
      </w:tr>
      <w:tr w14:paraId="7B21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DF3CF0C">
            <w:pPr>
              <w:ind w:firstLine="0" w:firstLineChars="0"/>
              <w:jc w:val="center"/>
              <w:rPr>
                <w:sz w:val="24"/>
                <w:szCs w:val="22"/>
              </w:rPr>
            </w:pPr>
            <w:r>
              <w:rPr>
                <w:rFonts w:hint="eastAsia"/>
                <w:sz w:val="24"/>
                <w:szCs w:val="22"/>
              </w:rPr>
              <w:t>应用广泛性</w:t>
            </w:r>
          </w:p>
        </w:tc>
        <w:tc>
          <w:tcPr>
            <w:tcW w:w="2130" w:type="dxa"/>
          </w:tcPr>
          <w:p w14:paraId="4D5ACF02">
            <w:pPr>
              <w:ind w:firstLine="0" w:firstLineChars="0"/>
              <w:jc w:val="center"/>
              <w:rPr>
                <w:sz w:val="24"/>
                <w:szCs w:val="22"/>
              </w:rPr>
            </w:pPr>
            <w:r>
              <w:rPr>
                <w:rFonts w:hint="eastAsia"/>
                <w:sz w:val="24"/>
                <w:szCs w:val="22"/>
              </w:rPr>
              <w:t>较广泛</w:t>
            </w:r>
          </w:p>
        </w:tc>
        <w:tc>
          <w:tcPr>
            <w:tcW w:w="2131" w:type="dxa"/>
          </w:tcPr>
          <w:p w14:paraId="2FC45CCA">
            <w:pPr>
              <w:ind w:firstLine="0" w:firstLineChars="0"/>
              <w:jc w:val="center"/>
              <w:rPr>
                <w:sz w:val="24"/>
                <w:szCs w:val="22"/>
              </w:rPr>
            </w:pPr>
            <w:r>
              <w:rPr>
                <w:rFonts w:hint="eastAsia"/>
                <w:sz w:val="24"/>
                <w:szCs w:val="22"/>
              </w:rPr>
              <w:t>较广泛</w:t>
            </w:r>
          </w:p>
        </w:tc>
        <w:tc>
          <w:tcPr>
            <w:tcW w:w="2131" w:type="dxa"/>
          </w:tcPr>
          <w:p w14:paraId="1B287BCA">
            <w:pPr>
              <w:ind w:firstLine="0" w:firstLineChars="0"/>
              <w:jc w:val="center"/>
              <w:rPr>
                <w:sz w:val="24"/>
                <w:szCs w:val="22"/>
              </w:rPr>
            </w:pPr>
            <w:r>
              <w:rPr>
                <w:rFonts w:hint="eastAsia"/>
                <w:sz w:val="24"/>
                <w:szCs w:val="22"/>
              </w:rPr>
              <w:t>一般</w:t>
            </w:r>
          </w:p>
        </w:tc>
      </w:tr>
      <w:tr w14:paraId="7D1DA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750BC26">
            <w:pPr>
              <w:ind w:firstLine="0" w:firstLineChars="0"/>
              <w:jc w:val="center"/>
              <w:rPr>
                <w:sz w:val="24"/>
                <w:szCs w:val="22"/>
              </w:rPr>
            </w:pPr>
            <w:r>
              <w:rPr>
                <w:rFonts w:hint="eastAsia"/>
                <w:sz w:val="24"/>
                <w:szCs w:val="22"/>
              </w:rPr>
              <w:t>有无后续废水</w:t>
            </w:r>
          </w:p>
        </w:tc>
        <w:tc>
          <w:tcPr>
            <w:tcW w:w="2130" w:type="dxa"/>
          </w:tcPr>
          <w:p w14:paraId="4F4EF205">
            <w:pPr>
              <w:ind w:firstLine="0" w:firstLineChars="0"/>
              <w:jc w:val="center"/>
              <w:rPr>
                <w:sz w:val="24"/>
                <w:szCs w:val="22"/>
              </w:rPr>
            </w:pPr>
            <w:r>
              <w:rPr>
                <w:rFonts w:hint="eastAsia"/>
                <w:sz w:val="24"/>
                <w:szCs w:val="22"/>
              </w:rPr>
              <w:t>无</w:t>
            </w:r>
          </w:p>
        </w:tc>
        <w:tc>
          <w:tcPr>
            <w:tcW w:w="2131" w:type="dxa"/>
          </w:tcPr>
          <w:p w14:paraId="22A77918">
            <w:pPr>
              <w:ind w:firstLine="0" w:firstLineChars="0"/>
              <w:jc w:val="center"/>
              <w:rPr>
                <w:sz w:val="24"/>
                <w:szCs w:val="22"/>
              </w:rPr>
            </w:pPr>
            <w:r>
              <w:rPr>
                <w:rFonts w:hint="eastAsia"/>
                <w:sz w:val="24"/>
                <w:szCs w:val="22"/>
              </w:rPr>
              <w:t>无</w:t>
            </w:r>
          </w:p>
        </w:tc>
        <w:tc>
          <w:tcPr>
            <w:tcW w:w="2131" w:type="dxa"/>
          </w:tcPr>
          <w:p w14:paraId="0DDD47F1">
            <w:pPr>
              <w:ind w:firstLine="0" w:firstLineChars="0"/>
              <w:jc w:val="center"/>
              <w:rPr>
                <w:sz w:val="24"/>
                <w:szCs w:val="22"/>
              </w:rPr>
            </w:pPr>
            <w:r>
              <w:rPr>
                <w:rFonts w:hint="eastAsia"/>
                <w:sz w:val="24"/>
                <w:szCs w:val="22"/>
              </w:rPr>
              <w:t>有</w:t>
            </w:r>
          </w:p>
        </w:tc>
      </w:tr>
      <w:tr w14:paraId="393F4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4BDE14A">
            <w:pPr>
              <w:ind w:firstLine="0" w:firstLineChars="0"/>
              <w:jc w:val="center"/>
              <w:rPr>
                <w:sz w:val="24"/>
                <w:szCs w:val="22"/>
              </w:rPr>
            </w:pPr>
            <w:r>
              <w:rPr>
                <w:rFonts w:hint="eastAsia"/>
                <w:sz w:val="24"/>
                <w:szCs w:val="22"/>
              </w:rPr>
              <w:t>初期投资</w:t>
            </w:r>
          </w:p>
        </w:tc>
        <w:tc>
          <w:tcPr>
            <w:tcW w:w="2130" w:type="dxa"/>
          </w:tcPr>
          <w:p w14:paraId="3378C3E7">
            <w:pPr>
              <w:ind w:firstLine="0" w:firstLineChars="0"/>
              <w:jc w:val="center"/>
              <w:rPr>
                <w:sz w:val="24"/>
                <w:szCs w:val="22"/>
              </w:rPr>
            </w:pPr>
            <w:r>
              <w:rPr>
                <w:rFonts w:hint="eastAsia"/>
                <w:sz w:val="24"/>
                <w:szCs w:val="22"/>
              </w:rPr>
              <w:t>较低</w:t>
            </w:r>
          </w:p>
        </w:tc>
        <w:tc>
          <w:tcPr>
            <w:tcW w:w="2131" w:type="dxa"/>
          </w:tcPr>
          <w:p w14:paraId="3B003DAD">
            <w:pPr>
              <w:ind w:firstLine="0" w:firstLineChars="0"/>
              <w:jc w:val="center"/>
              <w:rPr>
                <w:sz w:val="24"/>
                <w:szCs w:val="22"/>
              </w:rPr>
            </w:pPr>
            <w:r>
              <w:rPr>
                <w:rFonts w:hint="eastAsia"/>
                <w:sz w:val="24"/>
                <w:szCs w:val="22"/>
              </w:rPr>
              <w:t>中等</w:t>
            </w:r>
          </w:p>
        </w:tc>
        <w:tc>
          <w:tcPr>
            <w:tcW w:w="2131" w:type="dxa"/>
          </w:tcPr>
          <w:p w14:paraId="134AD7A3">
            <w:pPr>
              <w:ind w:firstLine="0" w:firstLineChars="0"/>
              <w:jc w:val="center"/>
              <w:rPr>
                <w:sz w:val="24"/>
                <w:szCs w:val="22"/>
              </w:rPr>
            </w:pPr>
            <w:r>
              <w:rPr>
                <w:rFonts w:hint="eastAsia"/>
                <w:sz w:val="24"/>
                <w:szCs w:val="22"/>
              </w:rPr>
              <w:t>高</w:t>
            </w:r>
          </w:p>
        </w:tc>
      </w:tr>
      <w:tr w14:paraId="6254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CA4E728">
            <w:pPr>
              <w:ind w:firstLine="0" w:firstLineChars="0"/>
              <w:jc w:val="center"/>
              <w:rPr>
                <w:sz w:val="24"/>
                <w:szCs w:val="22"/>
              </w:rPr>
            </w:pPr>
            <w:r>
              <w:rPr>
                <w:rFonts w:hint="eastAsia"/>
                <w:sz w:val="24"/>
                <w:szCs w:val="22"/>
              </w:rPr>
              <w:t>运行费用</w:t>
            </w:r>
          </w:p>
        </w:tc>
        <w:tc>
          <w:tcPr>
            <w:tcW w:w="2130" w:type="dxa"/>
          </w:tcPr>
          <w:p w14:paraId="6D44D8F2">
            <w:pPr>
              <w:ind w:firstLine="0" w:firstLineChars="0"/>
              <w:jc w:val="center"/>
              <w:rPr>
                <w:sz w:val="24"/>
                <w:szCs w:val="22"/>
              </w:rPr>
            </w:pPr>
            <w:r>
              <w:rPr>
                <w:rFonts w:hint="eastAsia"/>
                <w:sz w:val="24"/>
                <w:szCs w:val="22"/>
              </w:rPr>
              <w:t>一般</w:t>
            </w:r>
          </w:p>
        </w:tc>
        <w:tc>
          <w:tcPr>
            <w:tcW w:w="2131" w:type="dxa"/>
          </w:tcPr>
          <w:p w14:paraId="0543BFF1">
            <w:pPr>
              <w:ind w:firstLine="0" w:firstLineChars="0"/>
              <w:jc w:val="center"/>
              <w:rPr>
                <w:sz w:val="24"/>
                <w:szCs w:val="22"/>
              </w:rPr>
            </w:pPr>
            <w:r>
              <w:rPr>
                <w:rFonts w:hint="eastAsia"/>
                <w:sz w:val="24"/>
                <w:szCs w:val="22"/>
              </w:rPr>
              <w:t>较低</w:t>
            </w:r>
          </w:p>
        </w:tc>
        <w:tc>
          <w:tcPr>
            <w:tcW w:w="2131" w:type="dxa"/>
          </w:tcPr>
          <w:p w14:paraId="13273621">
            <w:pPr>
              <w:ind w:firstLine="0" w:firstLineChars="0"/>
              <w:jc w:val="center"/>
              <w:rPr>
                <w:sz w:val="24"/>
                <w:szCs w:val="22"/>
              </w:rPr>
            </w:pPr>
            <w:r>
              <w:rPr>
                <w:rFonts w:hint="eastAsia"/>
                <w:sz w:val="24"/>
                <w:szCs w:val="22"/>
              </w:rPr>
              <w:t>高</w:t>
            </w:r>
          </w:p>
        </w:tc>
      </w:tr>
      <w:tr w14:paraId="76D4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4F2264F">
            <w:pPr>
              <w:ind w:firstLine="0" w:firstLineChars="0"/>
              <w:jc w:val="center"/>
              <w:rPr>
                <w:sz w:val="24"/>
                <w:szCs w:val="22"/>
              </w:rPr>
            </w:pPr>
            <w:r>
              <w:rPr>
                <w:rFonts w:hint="eastAsia"/>
                <w:sz w:val="24"/>
                <w:szCs w:val="22"/>
              </w:rPr>
              <w:t>操作性</w:t>
            </w:r>
          </w:p>
        </w:tc>
        <w:tc>
          <w:tcPr>
            <w:tcW w:w="2130" w:type="dxa"/>
          </w:tcPr>
          <w:p w14:paraId="68B47D6A">
            <w:pPr>
              <w:ind w:firstLine="0" w:firstLineChars="0"/>
              <w:jc w:val="center"/>
              <w:rPr>
                <w:sz w:val="24"/>
                <w:szCs w:val="22"/>
              </w:rPr>
            </w:pPr>
            <w:r>
              <w:rPr>
                <w:rFonts w:hint="eastAsia"/>
                <w:sz w:val="24"/>
                <w:szCs w:val="22"/>
              </w:rPr>
              <w:t>简单</w:t>
            </w:r>
          </w:p>
        </w:tc>
        <w:tc>
          <w:tcPr>
            <w:tcW w:w="2131" w:type="dxa"/>
          </w:tcPr>
          <w:p w14:paraId="6F3C27BE">
            <w:pPr>
              <w:ind w:firstLine="0" w:firstLineChars="0"/>
              <w:jc w:val="center"/>
              <w:rPr>
                <w:sz w:val="24"/>
                <w:szCs w:val="22"/>
              </w:rPr>
            </w:pPr>
            <w:r>
              <w:rPr>
                <w:rFonts w:hint="eastAsia"/>
                <w:sz w:val="24"/>
                <w:szCs w:val="22"/>
              </w:rPr>
              <w:t>较复杂</w:t>
            </w:r>
          </w:p>
        </w:tc>
        <w:tc>
          <w:tcPr>
            <w:tcW w:w="2131" w:type="dxa"/>
          </w:tcPr>
          <w:p w14:paraId="71CD94DD">
            <w:pPr>
              <w:ind w:firstLine="0" w:firstLineChars="0"/>
              <w:jc w:val="center"/>
              <w:rPr>
                <w:sz w:val="24"/>
                <w:szCs w:val="22"/>
              </w:rPr>
            </w:pPr>
            <w:r>
              <w:rPr>
                <w:rFonts w:hint="eastAsia"/>
                <w:sz w:val="24"/>
                <w:szCs w:val="22"/>
              </w:rPr>
              <w:t>较复杂</w:t>
            </w:r>
          </w:p>
        </w:tc>
      </w:tr>
    </w:tbl>
    <w:p w14:paraId="5D7244A4">
      <w:pPr>
        <w:pStyle w:val="5"/>
      </w:pPr>
      <w:bookmarkStart w:id="26" w:name="_Toc183055368"/>
      <w:r>
        <w:rPr>
          <w:rFonts w:hint="eastAsia"/>
        </w:rPr>
        <w:t>3.</w:t>
      </w:r>
      <w:r>
        <w:t>3</w:t>
      </w:r>
      <w:r>
        <w:rPr>
          <w:rFonts w:hint="eastAsia"/>
        </w:rPr>
        <w:t>.3 氮氧化物控制技术</w:t>
      </w:r>
      <w:bookmarkEnd w:id="26"/>
    </w:p>
    <w:p w14:paraId="03C03AE6">
      <w:pPr>
        <w:ind w:firstLine="560"/>
      </w:pPr>
      <w:r>
        <w:rPr>
          <w:rFonts w:hint="eastAsia"/>
        </w:rPr>
        <w:t>目前常用的氮氧化物控制技术主要包括低氮燃烧技术、选择性催化还原技术（SCR）、选择性非催化还原技术（SNCR）等。此外，省内部分企业正在对传统SNCR技术进行优化，开发高效SNCR脱硝技术，实现精准脱硝，大幅提高脱硝效率。</w:t>
      </w:r>
    </w:p>
    <w:p w14:paraId="00A02B94">
      <w:pPr>
        <w:ind w:firstLine="560"/>
      </w:pPr>
      <w:r>
        <w:rPr>
          <w:rFonts w:hint="eastAsia"/>
        </w:rPr>
        <w:t>低氮燃烧技术包含低空燃比、分阶段燃烧、烟气再循环三部分。</w:t>
      </w:r>
    </w:p>
    <w:p w14:paraId="1BB46BB7">
      <w:pPr>
        <w:ind w:firstLine="560"/>
      </w:pPr>
      <w:r>
        <w:rPr>
          <w:rFonts w:hint="eastAsia"/>
        </w:rPr>
        <w:t>①低空燃比：减少入炉一次风和二次风配比，降低焚烧炉的空气过剩系数，使得O</w:t>
      </w:r>
      <w:r>
        <w:rPr>
          <w:vertAlign w:val="subscript"/>
        </w:rPr>
        <w:t>2</w:t>
      </w:r>
      <w:r>
        <w:rPr>
          <w:rFonts w:hint="eastAsia"/>
        </w:rPr>
        <w:t>的量以用于生活垃圾焚烧但不足以生成大量的NO</w:t>
      </w:r>
      <w:r>
        <w:rPr>
          <w:rFonts w:hint="eastAsia"/>
          <w:vertAlign w:val="subscript"/>
        </w:rPr>
        <w:t>x</w:t>
      </w:r>
      <w:r>
        <w:rPr>
          <w:rFonts w:hint="eastAsia"/>
        </w:rPr>
        <w:t>和CO。</w:t>
      </w:r>
    </w:p>
    <w:p w14:paraId="7394FFA1">
      <w:pPr>
        <w:ind w:firstLine="560"/>
      </w:pPr>
      <w:r>
        <w:rPr>
          <w:rFonts w:hint="eastAsia"/>
        </w:rPr>
        <w:t>②分阶段燃烧：通过设置燃料和助燃空气的入口，实现垃圾分阶段焚烧的目的，逐步焚毁离开前面反应区时未被焚毁的污染物，避免垃圾焚烧区域局部氧气浓度过高。</w:t>
      </w:r>
    </w:p>
    <w:p w14:paraId="361FB904">
      <w:pPr>
        <w:ind w:firstLine="560"/>
      </w:pPr>
      <w:r>
        <w:rPr>
          <w:rFonts w:hint="eastAsia"/>
        </w:rPr>
        <w:t>③烟气再循环：将烟气循环回到高温焚烧区域，稀释入炉助燃空气中的O</w:t>
      </w:r>
      <w:r>
        <w:rPr>
          <w:vertAlign w:val="subscript"/>
        </w:rPr>
        <w:t>2</w:t>
      </w:r>
      <w:r>
        <w:rPr>
          <w:rFonts w:hint="eastAsia"/>
        </w:rPr>
        <w:t>浓度，同时降低焚烧温度。</w:t>
      </w:r>
    </w:p>
    <w:p w14:paraId="7A099183">
      <w:pPr>
        <w:ind w:firstLine="560"/>
      </w:pPr>
      <w:r>
        <w:rPr>
          <w:rFonts w:hint="eastAsia"/>
        </w:rPr>
        <w:t>SCR技术是采用催化剂促进喷入的还原剂发生还原反应，生成N</w:t>
      </w:r>
      <w:r>
        <w:rPr>
          <w:rFonts w:hint="eastAsia"/>
          <w:vertAlign w:val="subscript"/>
        </w:rPr>
        <w:t>2</w:t>
      </w:r>
      <w:r>
        <w:rPr>
          <w:rFonts w:hint="eastAsia"/>
        </w:rPr>
        <w:t>和H</w:t>
      </w:r>
      <w:r>
        <w:rPr>
          <w:rFonts w:hint="eastAsia"/>
          <w:vertAlign w:val="subscript"/>
        </w:rPr>
        <w:t>2</w:t>
      </w:r>
      <w:r>
        <w:rPr>
          <w:rFonts w:hint="eastAsia"/>
        </w:rPr>
        <w:t>O以脱除烟气中的NO</w:t>
      </w:r>
      <w:r>
        <w:rPr>
          <w:rFonts w:hint="eastAsia"/>
          <w:vertAlign w:val="subscript"/>
        </w:rPr>
        <w:t>x</w:t>
      </w:r>
      <w:r>
        <w:rPr>
          <w:rFonts w:hint="eastAsia"/>
        </w:rPr>
        <w:t>，反应温度一般为200~400℃,烟气在进入催化脱氮器之前需要加热。SCR法不仅需要催化剂，还要在除尘器后进行重新加热，需要耗用大量热能，但脱硝效率高，达到</w:t>
      </w:r>
      <w:r>
        <w:t>85</w:t>
      </w:r>
      <w:r>
        <w:rPr>
          <w:rFonts w:hint="eastAsia"/>
        </w:rPr>
        <w:t>%以上。影响其运行的主要参数包括烟气温度、烟气流速、烟道尺寸、烟气微粒含量、逃逸氨浓度、SO</w:t>
      </w:r>
      <w:r>
        <w:rPr>
          <w:rFonts w:hint="eastAsia"/>
          <w:vertAlign w:val="subscript"/>
        </w:rPr>
        <w:t>2</w:t>
      </w:r>
      <w:r>
        <w:rPr>
          <w:rFonts w:hint="eastAsia"/>
        </w:rPr>
        <w:t>氧化率、催化剂活性等。采用的主要还原剂为液氨、尿素和氨水。</w:t>
      </w:r>
    </w:p>
    <w:p w14:paraId="5C203E3B">
      <w:pPr>
        <w:ind w:firstLine="560"/>
      </w:pPr>
      <w:r>
        <w:rPr>
          <w:rFonts w:hint="eastAsia"/>
        </w:rPr>
        <w:t>SNCR技术是在无催化剂的条件下将喷入的还原剂与焚烧烟气中的NO</w:t>
      </w:r>
      <w:r>
        <w:rPr>
          <w:rFonts w:hint="eastAsia"/>
          <w:vertAlign w:val="subscript"/>
        </w:rPr>
        <w:t>x</w:t>
      </w:r>
      <w:r>
        <w:rPr>
          <w:rFonts w:hint="eastAsia"/>
        </w:rPr>
        <w:t>发生还原反应，生成N</w:t>
      </w:r>
      <w:r>
        <w:rPr>
          <w:rFonts w:hint="eastAsia"/>
          <w:vertAlign w:val="subscript"/>
        </w:rPr>
        <w:t>2</w:t>
      </w:r>
      <w:r>
        <w:rPr>
          <w:rFonts w:hint="eastAsia"/>
        </w:rPr>
        <w:t>和水，以脱除烟气中的NO</w:t>
      </w:r>
      <w:r>
        <w:rPr>
          <w:rFonts w:hint="eastAsia"/>
          <w:vertAlign w:val="subscript"/>
        </w:rPr>
        <w:t>x</w:t>
      </w:r>
      <w:r>
        <w:rPr>
          <w:rFonts w:hint="eastAsia"/>
        </w:rPr>
        <w:t>，反应温度一般为800～1000℃,需设置在焚烧炉膛内完成。SNCR法能够减少NO</w:t>
      </w:r>
      <w:r>
        <w:rPr>
          <w:rFonts w:hint="eastAsia"/>
          <w:vertAlign w:val="subscript"/>
        </w:rPr>
        <w:t>x</w:t>
      </w:r>
      <w:r>
        <w:rPr>
          <w:rFonts w:hint="eastAsia"/>
        </w:rPr>
        <w:t>在锅炉出口的原生浓度，但脱硝效率为40～60%,对脱硝效率造成影响的因素主要有包括反应温度、还原剂类型、合适温度下停留的时间、还原剂与烟气的混合程度、NH</w:t>
      </w:r>
      <w:r>
        <w:rPr>
          <w:rFonts w:hint="eastAsia"/>
          <w:vertAlign w:val="subscript"/>
        </w:rPr>
        <w:t>3</w:t>
      </w:r>
      <w:r>
        <w:rPr>
          <w:rFonts w:hint="eastAsia"/>
        </w:rPr>
        <w:t>/NO</w:t>
      </w:r>
      <w:r>
        <w:rPr>
          <w:rFonts w:hint="eastAsia"/>
          <w:vertAlign w:val="subscript"/>
        </w:rPr>
        <w:t>x</w:t>
      </w:r>
      <w:r>
        <w:rPr>
          <w:rFonts w:hint="eastAsia"/>
        </w:rPr>
        <w:t>摩尔比、初始NO</w:t>
      </w:r>
      <w:r>
        <w:rPr>
          <w:rFonts w:hint="eastAsia"/>
          <w:vertAlign w:val="subscript"/>
        </w:rPr>
        <w:t>x</w:t>
      </w:r>
      <w:r>
        <w:rPr>
          <w:rFonts w:hint="eastAsia"/>
        </w:rPr>
        <w:t>浓度水平、烟气中O</w:t>
      </w:r>
      <w:r>
        <w:rPr>
          <w:rFonts w:hint="eastAsia"/>
          <w:vertAlign w:val="subscript"/>
        </w:rPr>
        <w:t>2</w:t>
      </w:r>
      <w:r>
        <w:rPr>
          <w:rFonts w:hint="eastAsia"/>
        </w:rPr>
        <w:t>和CO浓度等。采用的主要还原剂为液氨、尿素和氨水。</w:t>
      </w:r>
    </w:p>
    <w:p w14:paraId="5C005026">
      <w:pPr>
        <w:ind w:firstLine="560"/>
      </w:pPr>
      <w:r>
        <w:rPr>
          <w:rFonts w:hint="eastAsia"/>
        </w:rPr>
        <w:t>H</w:t>
      </w:r>
      <w:r>
        <w:t>SNCR技术是在传统SNCR技术基础上，采用专用脱硝喷枪，实现智能化、精准化脱硝。建设智能化系统，通过数据信息收集，实时跟踪工况，及时调整并分别控制氨水的喷射位置及喷射量，从而达到提高脱硝效率、减少氨水用量、降低氨逃逸的目的。与比传统SNCR脱硝系统相比，氨水耗量可节约30%~40%,氨水利用率得到了有效提升；可以稳定控制NO</w:t>
      </w:r>
      <w:r>
        <w:rPr>
          <w:vertAlign w:val="subscript"/>
        </w:rPr>
        <w:t>x</w:t>
      </w:r>
      <w:r>
        <w:t>排放浓度在120~150 mg/m³</w:t>
      </w:r>
      <w:r>
        <w:rPr>
          <w:rFonts w:hint="eastAsia"/>
        </w:rPr>
        <w:t>，</w:t>
      </w:r>
      <w:r>
        <w:t>脱硝效率大幅提升</w:t>
      </w:r>
      <w:r>
        <w:rPr>
          <w:rFonts w:hint="eastAsia"/>
        </w:rPr>
        <w:t>，</w:t>
      </w:r>
      <w:r>
        <w:t>该技术目前已在水泥等行业应用</w:t>
      </w:r>
      <w:r>
        <w:rPr>
          <w:rFonts w:hint="eastAsia"/>
        </w:rPr>
        <w:t>。</w:t>
      </w:r>
    </w:p>
    <w:p w14:paraId="130F9F2B">
      <w:pPr>
        <w:pStyle w:val="13"/>
        <w:spacing w:before="156" w:beforeLines="50" w:after="156" w:afterLines="50"/>
      </w:pPr>
      <w:r>
        <w:rPr>
          <w:rFonts w:hint="eastAsia"/>
        </w:rPr>
        <w:t>表3</w:t>
      </w:r>
      <w:r>
        <w:t>.3</w:t>
      </w:r>
      <w:r>
        <w:rPr>
          <w:rFonts w:hint="eastAsia"/>
        </w:rPr>
        <w:t>-3 常用脱硝技术优缺点一览表</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0"/>
        <w:gridCol w:w="3102"/>
        <w:gridCol w:w="3100"/>
      </w:tblGrid>
      <w:tr w14:paraId="6E59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pct"/>
            <w:vAlign w:val="center"/>
          </w:tcPr>
          <w:p w14:paraId="5959F489">
            <w:pPr>
              <w:ind w:firstLine="0" w:firstLineChars="0"/>
              <w:jc w:val="center"/>
              <w:rPr>
                <w:rFonts w:cs="Times New Roman"/>
                <w:b/>
                <w:bCs/>
                <w:sz w:val="24"/>
              </w:rPr>
            </w:pPr>
            <w:r>
              <w:rPr>
                <w:rFonts w:hint="eastAsia" w:cs="Times New Roman"/>
                <w:b/>
                <w:bCs/>
                <w:sz w:val="24"/>
              </w:rPr>
              <w:t>比较项目</w:t>
            </w:r>
          </w:p>
        </w:tc>
        <w:tc>
          <w:tcPr>
            <w:tcW w:w="1820" w:type="pct"/>
            <w:vAlign w:val="center"/>
          </w:tcPr>
          <w:p w14:paraId="6B070349">
            <w:pPr>
              <w:ind w:firstLine="0" w:firstLineChars="0"/>
              <w:jc w:val="center"/>
              <w:rPr>
                <w:rFonts w:cs="Times New Roman"/>
                <w:b/>
                <w:bCs/>
                <w:sz w:val="24"/>
              </w:rPr>
            </w:pPr>
            <w:r>
              <w:rPr>
                <w:rFonts w:hint="eastAsia" w:cs="Times New Roman"/>
                <w:b/>
                <w:bCs/>
                <w:sz w:val="24"/>
              </w:rPr>
              <w:t>SCR</w:t>
            </w:r>
          </w:p>
        </w:tc>
        <w:tc>
          <w:tcPr>
            <w:tcW w:w="1819" w:type="pct"/>
            <w:vAlign w:val="center"/>
          </w:tcPr>
          <w:p w14:paraId="0715E75B">
            <w:pPr>
              <w:ind w:firstLine="0" w:firstLineChars="0"/>
              <w:jc w:val="center"/>
              <w:rPr>
                <w:rFonts w:cs="Times New Roman"/>
                <w:b/>
                <w:bCs/>
                <w:sz w:val="24"/>
              </w:rPr>
            </w:pPr>
            <w:r>
              <w:rPr>
                <w:rFonts w:hint="eastAsia" w:cs="Times New Roman"/>
                <w:b/>
                <w:bCs/>
                <w:sz w:val="24"/>
              </w:rPr>
              <w:t>SNCR</w:t>
            </w:r>
          </w:p>
        </w:tc>
      </w:tr>
      <w:tr w14:paraId="09CA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pct"/>
            <w:vAlign w:val="center"/>
          </w:tcPr>
          <w:p w14:paraId="730B613B">
            <w:pPr>
              <w:ind w:firstLine="0" w:firstLineChars="0"/>
              <w:jc w:val="center"/>
              <w:rPr>
                <w:rFonts w:cs="Times New Roman"/>
                <w:sz w:val="24"/>
              </w:rPr>
            </w:pPr>
            <w:r>
              <w:rPr>
                <w:rFonts w:cs="Times New Roman"/>
                <w:sz w:val="24"/>
              </w:rPr>
              <w:t>反应温度</w:t>
            </w:r>
          </w:p>
        </w:tc>
        <w:tc>
          <w:tcPr>
            <w:tcW w:w="1820" w:type="pct"/>
            <w:vAlign w:val="center"/>
          </w:tcPr>
          <w:p w14:paraId="169DFCA9">
            <w:pPr>
              <w:ind w:firstLine="0" w:firstLineChars="0"/>
              <w:jc w:val="center"/>
              <w:rPr>
                <w:rFonts w:cs="Times New Roman"/>
                <w:sz w:val="24"/>
              </w:rPr>
            </w:pPr>
            <w:r>
              <w:rPr>
                <w:rFonts w:cs="Times New Roman"/>
                <w:sz w:val="24"/>
              </w:rPr>
              <w:t>200～400℃</w:t>
            </w:r>
          </w:p>
        </w:tc>
        <w:tc>
          <w:tcPr>
            <w:tcW w:w="1819" w:type="pct"/>
            <w:vAlign w:val="center"/>
          </w:tcPr>
          <w:p w14:paraId="45F2AC59">
            <w:pPr>
              <w:ind w:firstLine="0" w:firstLineChars="0"/>
              <w:jc w:val="center"/>
              <w:rPr>
                <w:rFonts w:cs="Times New Roman"/>
                <w:sz w:val="24"/>
              </w:rPr>
            </w:pPr>
            <w:r>
              <w:rPr>
                <w:rFonts w:cs="Times New Roman"/>
                <w:sz w:val="24"/>
              </w:rPr>
              <w:t>800～1000℃</w:t>
            </w:r>
          </w:p>
        </w:tc>
      </w:tr>
      <w:tr w14:paraId="5D2C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pct"/>
            <w:vAlign w:val="center"/>
          </w:tcPr>
          <w:p w14:paraId="3C9E23CA">
            <w:pPr>
              <w:ind w:firstLine="0" w:firstLineChars="0"/>
              <w:jc w:val="center"/>
              <w:rPr>
                <w:rFonts w:cs="Times New Roman"/>
                <w:sz w:val="24"/>
              </w:rPr>
            </w:pPr>
            <w:r>
              <w:rPr>
                <w:rFonts w:cs="Times New Roman"/>
                <w:sz w:val="24"/>
              </w:rPr>
              <w:t>反应地点</w:t>
            </w:r>
          </w:p>
        </w:tc>
        <w:tc>
          <w:tcPr>
            <w:tcW w:w="1820" w:type="pct"/>
            <w:vAlign w:val="center"/>
          </w:tcPr>
          <w:p w14:paraId="19CFD6E6">
            <w:pPr>
              <w:ind w:firstLine="0" w:firstLineChars="0"/>
              <w:jc w:val="center"/>
              <w:rPr>
                <w:rFonts w:cs="Times New Roman"/>
                <w:sz w:val="24"/>
              </w:rPr>
            </w:pPr>
            <w:r>
              <w:rPr>
                <w:rFonts w:cs="Times New Roman"/>
                <w:sz w:val="24"/>
              </w:rPr>
              <w:t>炉外的催化脱氮器</w:t>
            </w:r>
          </w:p>
        </w:tc>
        <w:tc>
          <w:tcPr>
            <w:tcW w:w="1819" w:type="pct"/>
            <w:vAlign w:val="center"/>
          </w:tcPr>
          <w:p w14:paraId="5573F937">
            <w:pPr>
              <w:ind w:firstLine="0" w:firstLineChars="0"/>
              <w:jc w:val="center"/>
              <w:rPr>
                <w:rFonts w:cs="Times New Roman"/>
                <w:sz w:val="24"/>
              </w:rPr>
            </w:pPr>
            <w:r>
              <w:rPr>
                <w:rFonts w:cs="Times New Roman"/>
                <w:sz w:val="24"/>
              </w:rPr>
              <w:t>炉膛内</w:t>
            </w:r>
          </w:p>
        </w:tc>
      </w:tr>
      <w:tr w14:paraId="1A85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pct"/>
            <w:vAlign w:val="center"/>
          </w:tcPr>
          <w:p w14:paraId="1142C48B">
            <w:pPr>
              <w:ind w:firstLine="0" w:firstLineChars="0"/>
              <w:jc w:val="center"/>
              <w:rPr>
                <w:rFonts w:cs="Times New Roman"/>
                <w:sz w:val="24"/>
              </w:rPr>
            </w:pPr>
            <w:r>
              <w:rPr>
                <w:rFonts w:cs="Times New Roman"/>
                <w:sz w:val="24"/>
              </w:rPr>
              <w:t>催化剂</w:t>
            </w:r>
          </w:p>
        </w:tc>
        <w:tc>
          <w:tcPr>
            <w:tcW w:w="1820" w:type="pct"/>
            <w:vAlign w:val="center"/>
          </w:tcPr>
          <w:p w14:paraId="497AB48E">
            <w:pPr>
              <w:ind w:firstLine="0" w:firstLineChars="0"/>
              <w:jc w:val="center"/>
              <w:rPr>
                <w:rFonts w:cs="Times New Roman"/>
                <w:sz w:val="24"/>
                <w:vertAlign w:val="subscript"/>
              </w:rPr>
            </w:pPr>
            <w:r>
              <w:rPr>
                <w:rFonts w:cs="Times New Roman"/>
                <w:sz w:val="24"/>
              </w:rPr>
              <w:t>主要成分为TiO</w:t>
            </w:r>
            <w:r>
              <w:rPr>
                <w:rFonts w:cs="Times New Roman"/>
                <w:sz w:val="24"/>
                <w:vertAlign w:val="subscript"/>
              </w:rPr>
              <w:t>2</w:t>
            </w:r>
            <w:r>
              <w:rPr>
                <w:rFonts w:cs="Times New Roman"/>
                <w:sz w:val="24"/>
              </w:rPr>
              <w:t>、V</w:t>
            </w:r>
            <w:r>
              <w:rPr>
                <w:rFonts w:cs="Times New Roman"/>
                <w:sz w:val="24"/>
                <w:vertAlign w:val="subscript"/>
              </w:rPr>
              <w:t>2</w:t>
            </w:r>
            <w:r>
              <w:rPr>
                <w:rFonts w:cs="Times New Roman"/>
                <w:sz w:val="24"/>
              </w:rPr>
              <w:t>O</w:t>
            </w:r>
            <w:r>
              <w:rPr>
                <w:rFonts w:cs="Times New Roman"/>
                <w:sz w:val="24"/>
                <w:vertAlign w:val="subscript"/>
              </w:rPr>
              <w:t>5</w:t>
            </w:r>
          </w:p>
        </w:tc>
        <w:tc>
          <w:tcPr>
            <w:tcW w:w="1819" w:type="pct"/>
            <w:vAlign w:val="center"/>
          </w:tcPr>
          <w:p w14:paraId="036D7DF0">
            <w:pPr>
              <w:ind w:firstLine="0" w:firstLineChars="0"/>
              <w:jc w:val="center"/>
              <w:rPr>
                <w:rFonts w:cs="Times New Roman"/>
                <w:sz w:val="24"/>
              </w:rPr>
            </w:pPr>
            <w:r>
              <w:rPr>
                <w:rFonts w:cs="Times New Roman"/>
                <w:sz w:val="24"/>
              </w:rPr>
              <w:t>不使用</w:t>
            </w:r>
          </w:p>
        </w:tc>
      </w:tr>
      <w:tr w14:paraId="0CE06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pct"/>
            <w:vAlign w:val="center"/>
          </w:tcPr>
          <w:p w14:paraId="7C256B63">
            <w:pPr>
              <w:ind w:firstLine="0" w:firstLineChars="0"/>
              <w:jc w:val="center"/>
              <w:rPr>
                <w:rFonts w:cs="Times New Roman"/>
                <w:sz w:val="24"/>
              </w:rPr>
            </w:pPr>
            <w:r>
              <w:rPr>
                <w:rFonts w:cs="Times New Roman"/>
                <w:sz w:val="24"/>
              </w:rPr>
              <w:t>净化效率</w:t>
            </w:r>
          </w:p>
        </w:tc>
        <w:tc>
          <w:tcPr>
            <w:tcW w:w="1820" w:type="pct"/>
            <w:vAlign w:val="center"/>
          </w:tcPr>
          <w:p w14:paraId="4295AA74">
            <w:pPr>
              <w:ind w:firstLine="0" w:firstLineChars="0"/>
              <w:jc w:val="center"/>
              <w:rPr>
                <w:rFonts w:cs="Times New Roman"/>
                <w:sz w:val="24"/>
              </w:rPr>
            </w:pPr>
            <w:r>
              <w:rPr>
                <w:rFonts w:cs="Times New Roman"/>
                <w:sz w:val="24"/>
              </w:rPr>
              <w:t>&gt; 85%</w:t>
            </w:r>
          </w:p>
        </w:tc>
        <w:tc>
          <w:tcPr>
            <w:tcW w:w="1819" w:type="pct"/>
            <w:vAlign w:val="center"/>
          </w:tcPr>
          <w:p w14:paraId="02B8F6CA">
            <w:pPr>
              <w:ind w:firstLine="0" w:firstLineChars="0"/>
              <w:jc w:val="center"/>
              <w:rPr>
                <w:rFonts w:cs="Times New Roman"/>
                <w:sz w:val="24"/>
              </w:rPr>
            </w:pPr>
            <w:r>
              <w:rPr>
                <w:rFonts w:cs="Times New Roman"/>
                <w:sz w:val="24"/>
              </w:rPr>
              <w:t>40～60%</w:t>
            </w:r>
          </w:p>
        </w:tc>
      </w:tr>
      <w:tr w14:paraId="230CD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pct"/>
            <w:vAlign w:val="center"/>
          </w:tcPr>
          <w:p w14:paraId="17739073">
            <w:pPr>
              <w:ind w:firstLine="0" w:firstLineChars="0"/>
              <w:jc w:val="center"/>
              <w:rPr>
                <w:rFonts w:cs="Times New Roman"/>
                <w:sz w:val="24"/>
              </w:rPr>
            </w:pPr>
            <w:r>
              <w:rPr>
                <w:rFonts w:cs="Times New Roman"/>
                <w:sz w:val="24"/>
              </w:rPr>
              <w:t>烟气再加热</w:t>
            </w:r>
          </w:p>
        </w:tc>
        <w:tc>
          <w:tcPr>
            <w:tcW w:w="1820" w:type="pct"/>
            <w:vAlign w:val="center"/>
          </w:tcPr>
          <w:p w14:paraId="47794D08">
            <w:pPr>
              <w:ind w:firstLine="0" w:firstLineChars="0"/>
              <w:jc w:val="center"/>
              <w:rPr>
                <w:rFonts w:cs="Times New Roman"/>
                <w:sz w:val="24"/>
              </w:rPr>
            </w:pPr>
            <w:r>
              <w:rPr>
                <w:rFonts w:cs="Times New Roman"/>
                <w:sz w:val="24"/>
              </w:rPr>
              <w:t>需要加热到200℃以上</w:t>
            </w:r>
          </w:p>
        </w:tc>
        <w:tc>
          <w:tcPr>
            <w:tcW w:w="1819" w:type="pct"/>
            <w:vAlign w:val="center"/>
          </w:tcPr>
          <w:p w14:paraId="138CFE85">
            <w:pPr>
              <w:ind w:firstLine="0" w:firstLineChars="0"/>
              <w:jc w:val="center"/>
              <w:rPr>
                <w:rFonts w:cs="Times New Roman"/>
                <w:sz w:val="24"/>
              </w:rPr>
            </w:pPr>
            <w:r>
              <w:rPr>
                <w:rFonts w:cs="Times New Roman"/>
                <w:sz w:val="24"/>
              </w:rPr>
              <w:t>不需要</w:t>
            </w:r>
          </w:p>
        </w:tc>
      </w:tr>
      <w:tr w14:paraId="26B8B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pct"/>
            <w:vAlign w:val="center"/>
          </w:tcPr>
          <w:p w14:paraId="3FC39853">
            <w:pPr>
              <w:ind w:firstLine="0" w:firstLineChars="0"/>
              <w:jc w:val="center"/>
              <w:rPr>
                <w:rFonts w:cs="Times New Roman"/>
                <w:sz w:val="24"/>
              </w:rPr>
            </w:pPr>
            <w:r>
              <w:rPr>
                <w:rFonts w:cs="Times New Roman"/>
                <w:sz w:val="24"/>
              </w:rPr>
              <w:t>投资及运行费用</w:t>
            </w:r>
          </w:p>
        </w:tc>
        <w:tc>
          <w:tcPr>
            <w:tcW w:w="1820" w:type="pct"/>
            <w:vAlign w:val="center"/>
          </w:tcPr>
          <w:p w14:paraId="4DB789B5">
            <w:pPr>
              <w:ind w:firstLine="0" w:firstLineChars="0"/>
              <w:jc w:val="center"/>
              <w:rPr>
                <w:rFonts w:cs="Times New Roman"/>
                <w:sz w:val="24"/>
              </w:rPr>
            </w:pPr>
            <w:r>
              <w:rPr>
                <w:rFonts w:cs="Times New Roman"/>
                <w:sz w:val="24"/>
              </w:rPr>
              <w:t>高(烟气需重新加热 )</w:t>
            </w:r>
          </w:p>
        </w:tc>
        <w:tc>
          <w:tcPr>
            <w:tcW w:w="1819" w:type="pct"/>
            <w:vAlign w:val="center"/>
          </w:tcPr>
          <w:p w14:paraId="152AD1A1">
            <w:pPr>
              <w:ind w:firstLine="0" w:firstLineChars="0"/>
              <w:jc w:val="center"/>
              <w:rPr>
                <w:rFonts w:cs="Times New Roman"/>
                <w:sz w:val="24"/>
              </w:rPr>
            </w:pPr>
            <w:r>
              <w:rPr>
                <w:rFonts w:cs="Times New Roman"/>
                <w:sz w:val="24"/>
              </w:rPr>
              <w:t>低</w:t>
            </w:r>
          </w:p>
        </w:tc>
      </w:tr>
      <w:tr w14:paraId="52AC6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pct"/>
            <w:vAlign w:val="center"/>
          </w:tcPr>
          <w:p w14:paraId="185F7A73">
            <w:pPr>
              <w:ind w:firstLine="0" w:firstLineChars="0"/>
              <w:jc w:val="center"/>
              <w:rPr>
                <w:rFonts w:cs="Times New Roman"/>
                <w:sz w:val="24"/>
              </w:rPr>
            </w:pPr>
            <w:r>
              <w:rPr>
                <w:rFonts w:cs="Times New Roman"/>
                <w:sz w:val="24"/>
              </w:rPr>
              <w:t>NO</w:t>
            </w:r>
            <w:r>
              <w:rPr>
                <w:rFonts w:cs="Times New Roman"/>
                <w:sz w:val="24"/>
                <w:vertAlign w:val="subscript"/>
              </w:rPr>
              <w:t>x</w:t>
            </w:r>
            <w:r>
              <w:rPr>
                <w:rFonts w:cs="Times New Roman"/>
                <w:sz w:val="24"/>
              </w:rPr>
              <w:t>的最高保证值</w:t>
            </w:r>
          </w:p>
        </w:tc>
        <w:tc>
          <w:tcPr>
            <w:tcW w:w="1820" w:type="pct"/>
            <w:vAlign w:val="center"/>
          </w:tcPr>
          <w:p w14:paraId="21E94813">
            <w:pPr>
              <w:ind w:firstLine="0" w:firstLineChars="0"/>
              <w:jc w:val="center"/>
              <w:rPr>
                <w:rFonts w:cs="Times New Roman"/>
                <w:sz w:val="24"/>
              </w:rPr>
            </w:pPr>
            <w:r>
              <w:rPr>
                <w:rFonts w:cs="Times New Roman"/>
                <w:sz w:val="24"/>
              </w:rPr>
              <w:t>50~100mg/Nm</w:t>
            </w:r>
            <w:r>
              <w:rPr>
                <w:rFonts w:cs="Times New Roman"/>
                <w:sz w:val="24"/>
                <w:vertAlign w:val="superscript"/>
              </w:rPr>
              <w:t>3</w:t>
            </w:r>
            <w:r>
              <w:rPr>
                <w:rFonts w:cs="Times New Roman"/>
                <w:sz w:val="24"/>
              </w:rPr>
              <w:t>(O</w:t>
            </w:r>
            <w:r>
              <w:rPr>
                <w:rFonts w:cs="Times New Roman"/>
                <w:sz w:val="24"/>
                <w:vertAlign w:val="subscript"/>
              </w:rPr>
              <w:t>2</w:t>
            </w:r>
            <w:r>
              <w:rPr>
                <w:rFonts w:cs="Times New Roman"/>
                <w:sz w:val="24"/>
              </w:rPr>
              <w:t>11%)</w:t>
            </w:r>
          </w:p>
        </w:tc>
        <w:tc>
          <w:tcPr>
            <w:tcW w:w="1819" w:type="pct"/>
            <w:vAlign w:val="center"/>
          </w:tcPr>
          <w:p w14:paraId="0D7EC085">
            <w:pPr>
              <w:ind w:firstLine="0" w:firstLineChars="0"/>
              <w:jc w:val="center"/>
              <w:rPr>
                <w:rFonts w:cs="Times New Roman"/>
                <w:sz w:val="24"/>
              </w:rPr>
            </w:pPr>
            <w:r>
              <w:rPr>
                <w:rFonts w:cs="Times New Roman"/>
                <w:sz w:val="24"/>
              </w:rPr>
              <w:t>190~200mg/Nm</w:t>
            </w:r>
            <w:r>
              <w:rPr>
                <w:rFonts w:cs="Times New Roman"/>
                <w:sz w:val="24"/>
                <w:vertAlign w:val="superscript"/>
              </w:rPr>
              <w:t>3</w:t>
            </w:r>
            <w:r>
              <w:rPr>
                <w:rFonts w:cs="Times New Roman"/>
                <w:sz w:val="24"/>
              </w:rPr>
              <w:t>(O</w:t>
            </w:r>
            <w:r>
              <w:rPr>
                <w:rFonts w:cs="Times New Roman"/>
                <w:sz w:val="24"/>
                <w:vertAlign w:val="subscript"/>
              </w:rPr>
              <w:t>2</w:t>
            </w:r>
            <w:r>
              <w:rPr>
                <w:rFonts w:cs="Times New Roman"/>
                <w:sz w:val="24"/>
              </w:rPr>
              <w:t>11%)</w:t>
            </w:r>
          </w:p>
        </w:tc>
      </w:tr>
      <w:tr w14:paraId="73C4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1" w:type="pct"/>
            <w:vAlign w:val="center"/>
          </w:tcPr>
          <w:p w14:paraId="3B69CC52">
            <w:pPr>
              <w:ind w:firstLine="0" w:firstLineChars="0"/>
              <w:jc w:val="center"/>
              <w:rPr>
                <w:rFonts w:cs="Times New Roman"/>
                <w:sz w:val="24"/>
              </w:rPr>
            </w:pPr>
            <w:r>
              <w:rPr>
                <w:rFonts w:cs="Times New Roman"/>
                <w:sz w:val="24"/>
              </w:rPr>
              <w:t>占地面积</w:t>
            </w:r>
          </w:p>
        </w:tc>
        <w:tc>
          <w:tcPr>
            <w:tcW w:w="1820" w:type="pct"/>
            <w:vAlign w:val="center"/>
          </w:tcPr>
          <w:p w14:paraId="64D04A57">
            <w:pPr>
              <w:ind w:firstLine="0" w:firstLineChars="0"/>
              <w:jc w:val="center"/>
              <w:rPr>
                <w:rFonts w:cs="Times New Roman"/>
                <w:sz w:val="24"/>
              </w:rPr>
            </w:pPr>
            <w:r>
              <w:rPr>
                <w:rFonts w:cs="Times New Roman"/>
                <w:sz w:val="24"/>
              </w:rPr>
              <w:t>需要烟气再加热器和催化剂反应塔，占地面积较大</w:t>
            </w:r>
          </w:p>
        </w:tc>
        <w:tc>
          <w:tcPr>
            <w:tcW w:w="1819" w:type="pct"/>
            <w:vAlign w:val="center"/>
          </w:tcPr>
          <w:p w14:paraId="25C0E2AB">
            <w:pPr>
              <w:ind w:firstLine="0" w:firstLineChars="0"/>
              <w:jc w:val="center"/>
              <w:rPr>
                <w:rFonts w:cs="Times New Roman"/>
                <w:sz w:val="24"/>
              </w:rPr>
            </w:pPr>
            <w:r>
              <w:rPr>
                <w:rFonts w:cs="Times New Roman"/>
                <w:sz w:val="24"/>
              </w:rPr>
              <w:t>无需烟气再加热器和催化剂反应塔，需要供氨或尿素系统，占地面积较小</w:t>
            </w:r>
          </w:p>
        </w:tc>
      </w:tr>
    </w:tbl>
    <w:p w14:paraId="55480EBD">
      <w:pPr>
        <w:pStyle w:val="5"/>
      </w:pPr>
      <w:bookmarkStart w:id="27" w:name="_Toc183055369"/>
      <w:r>
        <w:rPr>
          <w:rFonts w:hint="eastAsia"/>
        </w:rPr>
        <w:t>3.</w:t>
      </w:r>
      <w:r>
        <w:t>3</w:t>
      </w:r>
      <w:r>
        <w:rPr>
          <w:rFonts w:hint="eastAsia"/>
        </w:rPr>
        <w:t>.4 重金属控制技术</w:t>
      </w:r>
      <w:bookmarkEnd w:id="27"/>
    </w:p>
    <w:p w14:paraId="486A55FB">
      <w:pPr>
        <w:ind w:firstLine="560"/>
      </w:pPr>
      <w:r>
        <w:rPr>
          <w:rFonts w:hint="eastAsia"/>
        </w:rPr>
        <w:t>活性炭吸附+布袋除尘器的组合技术可以起到很好的重金属去除作用。焚烧烟气处理系统中采用的布袋除尘器，是通过在烟气流通过程中喷入活性炭。利用活性炭的多孔性及吸附能力，不仅可以吸附烟气中的二</w:t>
      </w:r>
      <w:r>
        <w:rPr>
          <w:rFonts w:hint="eastAsia" w:eastAsia="仿宋"/>
        </w:rPr>
        <w:t>噁</w:t>
      </w:r>
      <w:r>
        <w:rPr>
          <w:rFonts w:hint="eastAsia"/>
        </w:rPr>
        <w:t>英及其它碳氢化合物，而且可以吸附一部分布袋除尘器无法捕集的超细粉尘以及吸附在这些粉尘上的重金属及其化合物而被除尘设备一并收集去除。该技术对焚烧炉烟气中重金属去除效率可达90%左右。</w:t>
      </w:r>
    </w:p>
    <w:p w14:paraId="3271588C">
      <w:pPr>
        <w:pStyle w:val="5"/>
      </w:pPr>
      <w:bookmarkStart w:id="28" w:name="_Toc183055370"/>
      <w:r>
        <w:rPr>
          <w:rFonts w:hint="eastAsia"/>
        </w:rPr>
        <w:t>3.</w:t>
      </w:r>
      <w:r>
        <w:t>3</w:t>
      </w:r>
      <w:r>
        <w:rPr>
          <w:rFonts w:hint="eastAsia"/>
        </w:rPr>
        <w:t>.5 二</w:t>
      </w:r>
      <w:r>
        <w:rPr>
          <w:rFonts w:hint="eastAsia" w:ascii="仿宋" w:hAnsi="仿宋" w:eastAsia="仿宋"/>
        </w:rPr>
        <w:t>噁</w:t>
      </w:r>
      <w:r>
        <w:rPr>
          <w:rFonts w:hint="eastAsia"/>
        </w:rPr>
        <w:t>英控制技术</w:t>
      </w:r>
      <w:bookmarkEnd w:id="28"/>
    </w:p>
    <w:p w14:paraId="415ECEF2">
      <w:pPr>
        <w:ind w:firstLine="560"/>
      </w:pPr>
      <w:r>
        <w:t>生活垃圾焚烧烟气中二</w:t>
      </w:r>
      <w:r>
        <w:rPr>
          <w:rFonts w:eastAsia="仿宋"/>
        </w:rPr>
        <w:t>噁</w:t>
      </w:r>
      <w:r>
        <w:t>英类物质一般采用“3T+E”+活性炭+袋式除尘器方法去除。</w:t>
      </w:r>
      <w:r>
        <w:rPr>
          <w:rFonts w:hint="eastAsia"/>
        </w:rPr>
        <w:t>“</w:t>
      </w:r>
      <w:r>
        <w:t>3T+E</w:t>
      </w:r>
      <w:r>
        <w:rPr>
          <w:rFonts w:hint="eastAsia"/>
        </w:rPr>
        <w:t>”</w:t>
      </w:r>
      <w:r>
        <w:t>即炉膛内焚烧温度(Temperature)、烟气停留时间(Time)、烟气湍流强度(Turbulence)、过量空气(Excess-Air)。二</w:t>
      </w:r>
      <w:r>
        <w:rPr>
          <w:rFonts w:eastAsia="仿宋"/>
        </w:rPr>
        <w:t>噁</w:t>
      </w:r>
      <w:r>
        <w:t>英在850℃以上会很快分解，因此，一般控制焚烧温度850℃</w:t>
      </w:r>
      <w:r>
        <w:rPr>
          <w:rFonts w:hint="eastAsia"/>
        </w:rPr>
        <w:t>，</w:t>
      </w:r>
      <w:r>
        <w:t>停留时间2.0秒，保持充分的气固湍动程度，以及过量的空气量，使烟气中O</w:t>
      </w:r>
      <w:r>
        <w:rPr>
          <w:vertAlign w:val="subscript"/>
        </w:rPr>
        <w:t>2</w:t>
      </w:r>
      <w:r>
        <w:t>的浓度处于6~11%。二</w:t>
      </w:r>
      <w:r>
        <w:rPr>
          <w:rFonts w:eastAsia="仿宋"/>
        </w:rPr>
        <w:t>噁</w:t>
      </w:r>
      <w:r>
        <w:t>英为高沸点物质，气化压力很低，在布袋除尘器附近烟气中的二</w:t>
      </w:r>
      <w:r>
        <w:rPr>
          <w:rFonts w:eastAsia="仿宋"/>
        </w:rPr>
        <w:t>噁</w:t>
      </w:r>
      <w:r>
        <w:t>英为细小颗粒，当烟气穿过布袋除尘器时，二</w:t>
      </w:r>
      <w:r>
        <w:rPr>
          <w:rFonts w:eastAsia="仿宋"/>
        </w:rPr>
        <w:t>噁</w:t>
      </w:r>
      <w:r>
        <w:t>英便会得到过滤并逐渐积聚在粉层上，同时烟气净化装置在布袋除尘器前加喷活性炭，可对二</w:t>
      </w:r>
      <w:r>
        <w:rPr>
          <w:rFonts w:eastAsia="仿宋"/>
        </w:rPr>
        <w:t>噁</w:t>
      </w:r>
      <w:r>
        <w:t>英起到吸附作用，吸附后的活性炭被布袋除尘器过滤下来，将焚烧烟气中所含的大部分二</w:t>
      </w:r>
      <w:r>
        <w:rPr>
          <w:rFonts w:eastAsia="仿宋"/>
        </w:rPr>
        <w:t>噁</w:t>
      </w:r>
      <w:r>
        <w:t>英类物质去除。</w:t>
      </w:r>
    </w:p>
    <w:p w14:paraId="036DF280">
      <w:pPr>
        <w:ind w:firstLine="198" w:firstLineChars="71"/>
        <w:sectPr>
          <w:headerReference r:id="rId17" w:type="default"/>
          <w:footerReference r:id="rId18" w:type="default"/>
          <w:pgSz w:w="11906" w:h="16838"/>
          <w:pgMar w:top="1440" w:right="1800" w:bottom="1440" w:left="1800" w:header="851" w:footer="992" w:gutter="0"/>
          <w:cols w:space="425" w:num="1"/>
          <w:docGrid w:type="lines" w:linePitch="312" w:charSpace="0"/>
        </w:sectPr>
      </w:pPr>
    </w:p>
    <w:p w14:paraId="4B30D523">
      <w:pPr>
        <w:pStyle w:val="2"/>
      </w:pPr>
      <w:bookmarkStart w:id="29" w:name="_Toc183055371"/>
      <w:r>
        <w:t>4</w:t>
      </w:r>
      <w:r>
        <w:rPr>
          <w:rFonts w:hint="eastAsia"/>
        </w:rPr>
        <w:t xml:space="preserve"> 国内外标准研究现状</w:t>
      </w:r>
      <w:bookmarkEnd w:id="29"/>
    </w:p>
    <w:p w14:paraId="2B6D7941">
      <w:pPr>
        <w:pStyle w:val="4"/>
      </w:pPr>
      <w:bookmarkStart w:id="30" w:name="_Toc183055372"/>
      <w:r>
        <w:t>4.</w:t>
      </w:r>
      <w:r>
        <w:rPr>
          <w:rFonts w:hint="eastAsia"/>
        </w:rPr>
        <w:t>1 国外相关标准</w:t>
      </w:r>
      <w:bookmarkEnd w:id="30"/>
    </w:p>
    <w:p w14:paraId="21D18EC7">
      <w:pPr>
        <w:ind w:firstLine="560"/>
      </w:pPr>
      <w:r>
        <w:rPr>
          <w:rFonts w:hint="eastAsia"/>
        </w:rPr>
        <w:t>目前，国外发达国家如美国、欧盟、日本等国家和地区生活垃圾焚烧大气污染物排放标准要求比我国国家标准《生活垃圾焚烧污染控制标准》(GB 18485-2014)稍微严格。</w:t>
      </w:r>
    </w:p>
    <w:p w14:paraId="7F5F2BCD">
      <w:pPr>
        <w:ind w:firstLine="560"/>
      </w:pPr>
      <w:r>
        <w:rPr>
          <w:rFonts w:hint="eastAsia"/>
        </w:rPr>
        <w:t>（1）美国</w:t>
      </w:r>
    </w:p>
    <w:p w14:paraId="01204A91">
      <w:pPr>
        <w:ind w:firstLine="560"/>
      </w:pPr>
      <w:r>
        <w:rPr>
          <w:rFonts w:hint="eastAsia"/>
        </w:rPr>
        <w:t>美国标准采用分级管理生活垃圾焚烧炉，250</w:t>
      </w:r>
      <w:r>
        <w:t xml:space="preserve"> </w:t>
      </w:r>
      <w:r>
        <w:rPr>
          <w:rFonts w:hint="eastAsia"/>
        </w:rPr>
        <w:t>t/d以上为大型焚烧炉、35~250</w:t>
      </w:r>
      <w:r>
        <w:t xml:space="preserve"> </w:t>
      </w:r>
      <w:r>
        <w:rPr>
          <w:rFonts w:hint="eastAsia"/>
        </w:rPr>
        <w:t>t/d为中型焚烧炉、35</w:t>
      </w:r>
      <w:r>
        <w:t xml:space="preserve"> </w:t>
      </w:r>
      <w:r>
        <w:rPr>
          <w:rFonts w:hint="eastAsia"/>
        </w:rPr>
        <w:t>t/d以下为小型焚烧炉。标准规定的控制排放限值的参数主要有：颗粒物、二</w:t>
      </w:r>
      <w:r>
        <w:rPr>
          <w:rFonts w:hint="eastAsia" w:ascii="仿宋" w:hAnsi="仿宋" w:eastAsia="仿宋" w:cs="微软雅黑"/>
        </w:rPr>
        <w:t>噁</w:t>
      </w:r>
      <w:r>
        <w:rPr>
          <w:rFonts w:hint="eastAsia" w:ascii="仿宋_GB2312" w:hAnsi="仿宋_GB2312" w:cs="仿宋_GB2312"/>
        </w:rPr>
        <w:t>英、酸性气体</w:t>
      </w:r>
      <w:r>
        <w:rPr>
          <w:rFonts w:hint="eastAsia"/>
        </w:rPr>
        <w:t>（二氧化硫和氯化氢）、重金属（镉、铅、汞）和氮氧化物。</w:t>
      </w:r>
    </w:p>
    <w:p w14:paraId="4ED95027">
      <w:pPr>
        <w:ind w:firstLine="560"/>
      </w:pPr>
      <w:r>
        <w:rPr>
          <w:rFonts w:hint="eastAsia"/>
        </w:rPr>
        <w:t>美国1990年以前建立的垃圾焚烧厂，对控制二</w:t>
      </w:r>
      <w:r>
        <w:rPr>
          <w:rFonts w:hint="eastAsia" w:ascii="仿宋" w:hAnsi="仿宋" w:eastAsia="仿宋" w:cs="微软雅黑"/>
        </w:rPr>
        <w:t>噁</w:t>
      </w:r>
      <w:r>
        <w:rPr>
          <w:rFonts w:hint="eastAsia" w:ascii="仿宋_GB2312" w:hAnsi="仿宋_GB2312" w:cs="仿宋_GB2312"/>
        </w:rPr>
        <w:t>英的效率较差，</w:t>
      </w:r>
      <w:r>
        <w:rPr>
          <w:rFonts w:hint="eastAsia"/>
        </w:rPr>
        <w:t>1990年以后的垃圾焚烧厂，大多数安装了高效烟气污染排放控制装置，控制效果大大提高。1994年EPA提出要控制二</w:t>
      </w:r>
      <w:r>
        <w:rPr>
          <w:rFonts w:hint="eastAsia" w:ascii="仿宋" w:hAnsi="仿宋" w:eastAsia="仿宋" w:cs="微软雅黑"/>
        </w:rPr>
        <w:t>噁</w:t>
      </w:r>
      <w:r>
        <w:rPr>
          <w:rFonts w:hint="eastAsia" w:ascii="仿宋_GB2312" w:hAnsi="仿宋_GB2312" w:cs="仿宋_GB2312"/>
        </w:rPr>
        <w:t>英的排放，</w:t>
      </w:r>
      <w:r>
        <w:rPr>
          <w:rFonts w:hint="eastAsia"/>
        </w:rPr>
        <w:t>1995年对二</w:t>
      </w:r>
      <w:r>
        <w:rPr>
          <w:rFonts w:hint="eastAsia" w:ascii="仿宋" w:hAnsi="仿宋" w:eastAsia="仿宋" w:cs="微软雅黑"/>
        </w:rPr>
        <w:t>噁</w:t>
      </w:r>
      <w:r>
        <w:rPr>
          <w:rFonts w:hint="eastAsia" w:ascii="仿宋_GB2312" w:hAnsi="仿宋_GB2312" w:cs="仿宋_GB2312"/>
        </w:rPr>
        <w:t>英排放制定</w:t>
      </w:r>
      <w:r>
        <w:rPr>
          <w:rFonts w:hint="eastAsia"/>
        </w:rPr>
        <w:t>了标准：对现有的生活垃圾焚烧厂（即</w:t>
      </w:r>
      <w:r>
        <w:t>1995</w:t>
      </w:r>
      <w:r>
        <w:rPr>
          <w:rFonts w:hint="eastAsia"/>
        </w:rPr>
        <w:t>年以前建立的）二</w:t>
      </w:r>
      <w:r>
        <w:rPr>
          <w:rFonts w:hint="eastAsia" w:ascii="仿宋" w:hAnsi="仿宋" w:eastAsia="仿宋" w:cs="微软雅黑"/>
        </w:rPr>
        <w:t>噁</w:t>
      </w:r>
      <w:r>
        <w:rPr>
          <w:rFonts w:hint="eastAsia" w:ascii="仿宋_GB2312" w:hAnsi="仿宋_GB2312" w:cs="仿宋_GB2312"/>
        </w:rPr>
        <w:t>英排放标</w:t>
      </w:r>
      <w:r>
        <w:rPr>
          <w:rFonts w:hint="eastAsia"/>
        </w:rPr>
        <w:t>准：</w:t>
      </w:r>
    </w:p>
    <w:p w14:paraId="01E4B9D8">
      <w:pPr>
        <w:ind w:firstLine="560"/>
      </w:pPr>
      <w:r>
        <w:rPr>
          <w:rFonts w:hint="eastAsia"/>
        </w:rPr>
        <w:t>①大型生活垃圾焚烧厂。焚烧厂采用电除尘的污染控制系统的限值为</w:t>
      </w:r>
      <w:r>
        <w:t>60 ng/m</w:t>
      </w:r>
      <w:r>
        <w:rPr>
          <w:vertAlign w:val="superscript"/>
        </w:rPr>
        <w:t>3</w:t>
      </w:r>
      <w:r>
        <w:rPr>
          <w:rFonts w:hint="eastAsia"/>
        </w:rPr>
        <w:t>，约为</w:t>
      </w:r>
      <w:r>
        <w:t>1 ng-TEQ/m</w:t>
      </w:r>
      <w:r>
        <w:rPr>
          <w:vertAlign w:val="superscript"/>
        </w:rPr>
        <w:t>3</w:t>
      </w:r>
      <w:r>
        <w:rPr>
          <w:rFonts w:hint="eastAsia"/>
        </w:rPr>
        <w:t>；焚烧厂采用非电除尘的污染控制系统的限值为</w:t>
      </w:r>
      <w:r>
        <w:t>30 ng/m</w:t>
      </w:r>
      <w:r>
        <w:rPr>
          <w:vertAlign w:val="superscript"/>
        </w:rPr>
        <w:t>3</w:t>
      </w:r>
      <w:r>
        <w:rPr>
          <w:rFonts w:hint="eastAsia"/>
        </w:rPr>
        <w:t>，约为</w:t>
      </w:r>
      <w:r>
        <w:t>0.5 ng-TEQ/m</w:t>
      </w:r>
      <w:r>
        <w:rPr>
          <w:vertAlign w:val="superscript"/>
        </w:rPr>
        <w:t>3</w:t>
      </w:r>
      <w:r>
        <w:rPr>
          <w:rFonts w:hint="eastAsia"/>
        </w:rPr>
        <w:t>。</w:t>
      </w:r>
    </w:p>
    <w:p w14:paraId="3EBA51F6">
      <w:pPr>
        <w:ind w:firstLine="560"/>
      </w:pPr>
      <w:r>
        <w:rPr>
          <w:rFonts w:hint="eastAsia"/>
        </w:rPr>
        <w:t>②小型生活垃圾焚烧厂。焚烧厂排放限值为</w:t>
      </w:r>
      <w:r>
        <w:t>125 ng/m</w:t>
      </w:r>
      <w:r>
        <w:rPr>
          <w:vertAlign w:val="superscript"/>
        </w:rPr>
        <w:t>3</w:t>
      </w:r>
      <w:r>
        <w:rPr>
          <w:rFonts w:hint="eastAsia"/>
        </w:rPr>
        <w:t>，约为</w:t>
      </w:r>
      <w:r>
        <w:t>2 ng-TEQ/m</w:t>
      </w:r>
      <w:r>
        <w:rPr>
          <w:vertAlign w:val="superscript"/>
        </w:rPr>
        <w:t>3</w:t>
      </w:r>
      <w:r>
        <w:rPr>
          <w:rFonts w:hint="eastAsia"/>
        </w:rPr>
        <w:t>。对于1995年以后建立的生活垃圾焚烧厂二</w:t>
      </w:r>
      <w:r>
        <w:rPr>
          <w:rFonts w:hint="eastAsia" w:ascii="微软雅黑" w:hAnsi="微软雅黑" w:eastAsia="仿宋" w:cs="微软雅黑"/>
        </w:rPr>
        <w:t>噁</w:t>
      </w:r>
      <w:r>
        <w:rPr>
          <w:rFonts w:hint="eastAsia" w:ascii="仿宋_GB2312" w:hAnsi="仿宋_GB2312" w:cs="仿宋_GB2312"/>
        </w:rPr>
        <w:t>英排放标准：大型</w:t>
      </w:r>
      <w:r>
        <w:rPr>
          <w:rFonts w:hint="eastAsia"/>
        </w:rPr>
        <w:t>和小型生活垃圾焚烧厂二</w:t>
      </w:r>
      <w:r>
        <w:rPr>
          <w:rFonts w:hint="eastAsia" w:ascii="仿宋" w:hAnsi="仿宋" w:eastAsia="仿宋" w:cs="微软雅黑"/>
        </w:rPr>
        <w:t>噁</w:t>
      </w:r>
      <w:r>
        <w:rPr>
          <w:rFonts w:hint="eastAsia" w:ascii="仿宋_GB2312" w:hAnsi="仿宋_GB2312" w:cs="仿宋_GB2312"/>
        </w:rPr>
        <w:t>英排放标准均为</w:t>
      </w:r>
      <w:r>
        <w:rPr>
          <w:rFonts w:hint="eastAsia"/>
        </w:rPr>
        <w:t>13 ng/m</w:t>
      </w:r>
      <w:r>
        <w:rPr>
          <w:rFonts w:hint="eastAsia"/>
          <w:vertAlign w:val="superscript"/>
        </w:rPr>
        <w:t>3</w:t>
      </w:r>
      <w:r>
        <w:rPr>
          <w:rFonts w:hint="eastAsia"/>
        </w:rPr>
        <w:t xml:space="preserve">，约为0.2 </w:t>
      </w:r>
      <w:r>
        <w:t>ng-TEQ/m</w:t>
      </w:r>
      <w:r>
        <w:rPr>
          <w:vertAlign w:val="superscript"/>
        </w:rPr>
        <w:t>3</w:t>
      </w:r>
      <w:r>
        <w:rPr>
          <w:rFonts w:hint="eastAsia"/>
        </w:rPr>
        <w:t>。</w:t>
      </w:r>
    </w:p>
    <w:p w14:paraId="0CE71095">
      <w:pPr>
        <w:ind w:firstLine="560"/>
      </w:pPr>
      <w:r>
        <w:rPr>
          <w:rFonts w:hint="eastAsia"/>
        </w:rPr>
        <w:t>（2）欧盟</w:t>
      </w:r>
    </w:p>
    <w:p w14:paraId="1773CFD1">
      <w:pPr>
        <w:ind w:firstLine="560"/>
      </w:pPr>
      <w:r>
        <w:rPr>
          <w:rFonts w:hint="eastAsia"/>
        </w:rPr>
        <w:t>1984年欧盟理事会提议采用合适的方法和设备来限制生活垃圾焚烧厂的烟气排放水平。2000年12月4日新制定的指令2000/76/EC规定了垃圾焚烧炉的相关要求，以及对远距离跨界大气污染设定了二</w:t>
      </w:r>
      <w:r>
        <w:rPr>
          <w:rFonts w:hint="eastAsia" w:ascii="仿宋" w:hAnsi="仿宋" w:eastAsia="仿宋" w:cs="微软雅黑"/>
        </w:rPr>
        <w:t>噁</w:t>
      </w:r>
      <w:r>
        <w:rPr>
          <w:rFonts w:hint="eastAsia" w:ascii="仿宋_GB2312" w:hAnsi="仿宋_GB2312" w:cs="仿宋_GB2312"/>
        </w:rPr>
        <w:t>英具有法律约束力的限制，二</w:t>
      </w:r>
      <w:r>
        <w:rPr>
          <w:rFonts w:hint="eastAsia" w:ascii="仿宋" w:hAnsi="仿宋" w:eastAsia="仿宋" w:cs="微软雅黑"/>
        </w:rPr>
        <w:t>噁</w:t>
      </w:r>
      <w:r>
        <w:rPr>
          <w:rFonts w:hint="eastAsia" w:ascii="仿宋_GB2312" w:hAnsi="仿宋_GB2312" w:cs="仿宋_GB2312"/>
        </w:rPr>
        <w:t>英的排放极限值</w:t>
      </w:r>
      <w:r>
        <w:rPr>
          <w:rFonts w:hint="eastAsia"/>
        </w:rPr>
        <w:t>为</w:t>
      </w:r>
      <w:r>
        <w:t>0.1 ng-TEQ/m</w:t>
      </w:r>
      <w:r>
        <w:rPr>
          <w:vertAlign w:val="superscript"/>
        </w:rPr>
        <w:t>3</w:t>
      </w:r>
      <w:r>
        <w:rPr>
          <w:rFonts w:hint="eastAsia"/>
        </w:rPr>
        <w:t>。并每年需要对重金属和二</w:t>
      </w:r>
      <w:r>
        <w:rPr>
          <w:rFonts w:hint="eastAsia" w:ascii="仿宋" w:hAnsi="仿宋" w:eastAsia="仿宋" w:cs="微软雅黑"/>
        </w:rPr>
        <w:t>噁</w:t>
      </w:r>
      <w:r>
        <w:rPr>
          <w:rFonts w:hint="eastAsia" w:ascii="仿宋_GB2312" w:hAnsi="仿宋_GB2312" w:cs="仿宋_GB2312"/>
        </w:rPr>
        <w:t>英测量两次。</w:t>
      </w:r>
    </w:p>
    <w:p w14:paraId="50F8346E">
      <w:pPr>
        <w:ind w:firstLine="560"/>
      </w:pPr>
      <w:r>
        <w:rPr>
          <w:rFonts w:hint="eastAsia"/>
        </w:rPr>
        <w:t>欧盟第五届环境行动计划：提议为了减少大气污染，到2005年对二</w:t>
      </w:r>
      <w:r>
        <w:rPr>
          <w:rFonts w:hint="eastAsia" w:ascii="仿宋" w:hAnsi="仿宋" w:eastAsia="仿宋" w:cs="微软雅黑"/>
        </w:rPr>
        <w:t>噁</w:t>
      </w:r>
      <w:r>
        <w:rPr>
          <w:rFonts w:hint="eastAsia" w:ascii="仿宋_GB2312" w:hAnsi="仿宋_GB2312" w:cs="仿宋_GB2312"/>
        </w:rPr>
        <w:t>英的排放相对于</w:t>
      </w:r>
      <w:r>
        <w:rPr>
          <w:rFonts w:hint="eastAsia"/>
        </w:rPr>
        <w:t>1985年的水平要减少90%，Cd、Hg、Pb的排放相对于1995年至少减少70%。</w:t>
      </w:r>
    </w:p>
    <w:p w14:paraId="5D003FF1">
      <w:pPr>
        <w:pStyle w:val="13"/>
        <w:spacing w:before="156" w:beforeLines="50" w:after="156" w:afterLines="50"/>
      </w:pPr>
      <w:r>
        <w:rPr>
          <w:rFonts w:hint="eastAsia"/>
        </w:rPr>
        <w:t>表</w:t>
      </w:r>
      <w:r>
        <w:t>4.1-1</w:t>
      </w:r>
      <w:r>
        <w:rPr>
          <w:rFonts w:hint="eastAsia"/>
        </w:rPr>
        <w:t xml:space="preserve"> 欧盟垃圾焚烧指令标准限值</w:t>
      </w:r>
    </w:p>
    <w:tbl>
      <w:tblPr>
        <w:tblStyle w:val="23"/>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01"/>
        <w:gridCol w:w="2081"/>
        <w:gridCol w:w="2657"/>
        <w:gridCol w:w="58"/>
        <w:gridCol w:w="2715"/>
      </w:tblGrid>
      <w:tr w14:paraId="1C6CD6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482" w:type="pct"/>
            <w:vAlign w:val="center"/>
          </w:tcPr>
          <w:p w14:paraId="6DA1F48A">
            <w:pPr>
              <w:pStyle w:val="13"/>
              <w:rPr>
                <w:b/>
                <w:bCs/>
              </w:rPr>
            </w:pPr>
            <w:r>
              <w:rPr>
                <w:b/>
                <w:bCs/>
                <w:spacing w:val="16"/>
              </w:rPr>
              <w:t>序号</w:t>
            </w:r>
          </w:p>
        </w:tc>
        <w:tc>
          <w:tcPr>
            <w:tcW w:w="1252" w:type="pct"/>
            <w:vAlign w:val="center"/>
          </w:tcPr>
          <w:p w14:paraId="792F32DD">
            <w:pPr>
              <w:pStyle w:val="13"/>
              <w:rPr>
                <w:b/>
                <w:bCs/>
              </w:rPr>
            </w:pPr>
            <w:r>
              <w:rPr>
                <w:b/>
                <w:bCs/>
              </w:rPr>
              <w:t>控制指标</w:t>
            </w:r>
          </w:p>
        </w:tc>
        <w:tc>
          <w:tcPr>
            <w:tcW w:w="3266" w:type="pct"/>
            <w:gridSpan w:val="3"/>
            <w:vAlign w:val="center"/>
          </w:tcPr>
          <w:p w14:paraId="22BF354F">
            <w:pPr>
              <w:pStyle w:val="13"/>
              <w:rPr>
                <w:b/>
                <w:bCs/>
              </w:rPr>
            </w:pPr>
            <w:r>
              <w:rPr>
                <w:rFonts w:hint="eastAsia"/>
                <w:b/>
                <w:bCs/>
              </w:rPr>
              <w:t>限值（mg/m</w:t>
            </w:r>
            <w:r>
              <w:rPr>
                <w:rFonts w:hint="eastAsia"/>
                <w:b/>
                <w:bCs/>
                <w:vertAlign w:val="superscript"/>
              </w:rPr>
              <w:t>3</w:t>
            </w:r>
            <w:r>
              <w:rPr>
                <w:rFonts w:hint="eastAsia"/>
                <w:b/>
                <w:bCs/>
              </w:rPr>
              <w:t>）</w:t>
            </w:r>
          </w:p>
        </w:tc>
      </w:tr>
      <w:tr w14:paraId="73FDC7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482" w:type="pct"/>
            <w:vAlign w:val="center"/>
          </w:tcPr>
          <w:p w14:paraId="1664BBE2">
            <w:pPr>
              <w:pStyle w:val="13"/>
            </w:pPr>
            <w:r>
              <w:t>1</w:t>
            </w:r>
          </w:p>
        </w:tc>
        <w:tc>
          <w:tcPr>
            <w:tcW w:w="1252" w:type="pct"/>
            <w:vAlign w:val="center"/>
          </w:tcPr>
          <w:p w14:paraId="31888406">
            <w:pPr>
              <w:pStyle w:val="13"/>
            </w:pPr>
            <w:r>
              <w:rPr>
                <w:spacing w:val="22"/>
              </w:rPr>
              <w:t>颗粒物(</w:t>
            </w:r>
            <w:r>
              <w:t>TSP</w:t>
            </w:r>
            <w:r>
              <w:rPr>
                <w:spacing w:val="22"/>
              </w:rPr>
              <w:t>)</w:t>
            </w:r>
          </w:p>
        </w:tc>
        <w:tc>
          <w:tcPr>
            <w:tcW w:w="1598" w:type="pct"/>
            <w:vAlign w:val="center"/>
          </w:tcPr>
          <w:p w14:paraId="5D3DB97D">
            <w:pPr>
              <w:pStyle w:val="13"/>
            </w:pPr>
            <w:r>
              <w:rPr>
                <w:spacing w:val="16"/>
              </w:rPr>
              <w:t>10(日均值)</w:t>
            </w:r>
          </w:p>
        </w:tc>
        <w:tc>
          <w:tcPr>
            <w:tcW w:w="1668" w:type="pct"/>
            <w:gridSpan w:val="2"/>
            <w:vAlign w:val="center"/>
          </w:tcPr>
          <w:p w14:paraId="2401CC0D">
            <w:pPr>
              <w:pStyle w:val="13"/>
            </w:pPr>
            <w:r>
              <w:rPr>
                <w:spacing w:val="13"/>
              </w:rPr>
              <w:t>30(半小时均值)</w:t>
            </w:r>
          </w:p>
        </w:tc>
      </w:tr>
      <w:tr w14:paraId="72E7E1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482" w:type="pct"/>
            <w:vAlign w:val="center"/>
          </w:tcPr>
          <w:p w14:paraId="69E7867F">
            <w:pPr>
              <w:pStyle w:val="13"/>
            </w:pPr>
            <w:r>
              <w:t>2</w:t>
            </w:r>
          </w:p>
        </w:tc>
        <w:tc>
          <w:tcPr>
            <w:tcW w:w="1252" w:type="pct"/>
            <w:vAlign w:val="center"/>
          </w:tcPr>
          <w:p w14:paraId="721FB3CA">
            <w:pPr>
              <w:pStyle w:val="13"/>
            </w:pPr>
            <w:r>
              <w:t>汞</w:t>
            </w:r>
          </w:p>
        </w:tc>
        <w:tc>
          <w:tcPr>
            <w:tcW w:w="3266" w:type="pct"/>
            <w:gridSpan w:val="3"/>
            <w:vAlign w:val="center"/>
          </w:tcPr>
          <w:p w14:paraId="45413DAD">
            <w:pPr>
              <w:pStyle w:val="13"/>
            </w:pPr>
            <w:r>
              <w:rPr>
                <w:spacing w:val="11"/>
              </w:rPr>
              <w:t>0.05(测定均值)</w:t>
            </w:r>
          </w:p>
        </w:tc>
      </w:tr>
      <w:tr w14:paraId="2810D5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482" w:type="pct"/>
            <w:vAlign w:val="center"/>
          </w:tcPr>
          <w:p w14:paraId="44D21C68">
            <w:pPr>
              <w:pStyle w:val="13"/>
            </w:pPr>
            <w:r>
              <w:t>3</w:t>
            </w:r>
          </w:p>
        </w:tc>
        <w:tc>
          <w:tcPr>
            <w:tcW w:w="1252" w:type="pct"/>
            <w:vAlign w:val="center"/>
          </w:tcPr>
          <w:p w14:paraId="4B989254">
            <w:pPr>
              <w:pStyle w:val="13"/>
            </w:pPr>
            <w:r>
              <w:rPr>
                <w:spacing w:val="10"/>
              </w:rPr>
              <w:t>镉、铊</w:t>
            </w:r>
          </w:p>
        </w:tc>
        <w:tc>
          <w:tcPr>
            <w:tcW w:w="3266" w:type="pct"/>
            <w:gridSpan w:val="3"/>
            <w:vAlign w:val="center"/>
          </w:tcPr>
          <w:p w14:paraId="37328479">
            <w:pPr>
              <w:pStyle w:val="13"/>
            </w:pPr>
            <w:r>
              <w:rPr>
                <w:spacing w:val="11"/>
              </w:rPr>
              <w:t>0.05(测定均值)</w:t>
            </w:r>
          </w:p>
        </w:tc>
      </w:tr>
      <w:tr w14:paraId="7BB957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482" w:type="pct"/>
            <w:vAlign w:val="center"/>
          </w:tcPr>
          <w:p w14:paraId="28D2A490">
            <w:pPr>
              <w:pStyle w:val="13"/>
            </w:pPr>
            <w:r>
              <w:t>4</w:t>
            </w:r>
          </w:p>
        </w:tc>
        <w:tc>
          <w:tcPr>
            <w:tcW w:w="1252" w:type="pct"/>
            <w:vAlign w:val="center"/>
          </w:tcPr>
          <w:p w14:paraId="340002C1">
            <w:pPr>
              <w:pStyle w:val="13"/>
            </w:pPr>
            <w:r>
              <w:rPr>
                <w:spacing w:val="7"/>
              </w:rPr>
              <w:t>铅及其他</w:t>
            </w:r>
          </w:p>
        </w:tc>
        <w:tc>
          <w:tcPr>
            <w:tcW w:w="3266" w:type="pct"/>
            <w:gridSpan w:val="3"/>
            <w:vAlign w:val="center"/>
          </w:tcPr>
          <w:p w14:paraId="7F7662CD">
            <w:pPr>
              <w:pStyle w:val="13"/>
            </w:pPr>
            <w:r>
              <w:rPr>
                <w:spacing w:val="13"/>
              </w:rPr>
              <w:t>0.5(测定均值)</w:t>
            </w:r>
          </w:p>
        </w:tc>
      </w:tr>
      <w:tr w14:paraId="5384F2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482" w:type="pct"/>
            <w:vAlign w:val="center"/>
          </w:tcPr>
          <w:p w14:paraId="10634010">
            <w:pPr>
              <w:pStyle w:val="13"/>
            </w:pPr>
            <w:r>
              <w:t>5</w:t>
            </w:r>
          </w:p>
        </w:tc>
        <w:tc>
          <w:tcPr>
            <w:tcW w:w="1252" w:type="pct"/>
            <w:vAlign w:val="center"/>
          </w:tcPr>
          <w:p w14:paraId="4A9D5C6F">
            <w:pPr>
              <w:pStyle w:val="13"/>
              <w:rPr>
                <w:spacing w:val="7"/>
              </w:rPr>
            </w:pPr>
            <w:r>
              <w:t>氯化氢</w:t>
            </w:r>
          </w:p>
        </w:tc>
        <w:tc>
          <w:tcPr>
            <w:tcW w:w="1633" w:type="pct"/>
            <w:gridSpan w:val="2"/>
            <w:vAlign w:val="center"/>
          </w:tcPr>
          <w:p w14:paraId="11EFF820">
            <w:pPr>
              <w:pStyle w:val="13"/>
              <w:rPr>
                <w:spacing w:val="13"/>
              </w:rPr>
            </w:pPr>
            <w:r>
              <w:t>10(日均值)</w:t>
            </w:r>
          </w:p>
        </w:tc>
        <w:tc>
          <w:tcPr>
            <w:tcW w:w="1633" w:type="pct"/>
            <w:vAlign w:val="center"/>
          </w:tcPr>
          <w:p w14:paraId="3E0EA962">
            <w:pPr>
              <w:pStyle w:val="13"/>
              <w:rPr>
                <w:spacing w:val="13"/>
              </w:rPr>
            </w:pPr>
            <w:r>
              <w:t>60(半小时均值)</w:t>
            </w:r>
          </w:p>
        </w:tc>
      </w:tr>
      <w:tr w14:paraId="1E4E0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482" w:type="pct"/>
            <w:vAlign w:val="center"/>
          </w:tcPr>
          <w:p w14:paraId="2E5A4F9C">
            <w:pPr>
              <w:pStyle w:val="13"/>
            </w:pPr>
            <w:r>
              <w:t>6</w:t>
            </w:r>
          </w:p>
        </w:tc>
        <w:tc>
          <w:tcPr>
            <w:tcW w:w="1252" w:type="pct"/>
            <w:vAlign w:val="center"/>
          </w:tcPr>
          <w:p w14:paraId="59ACF095">
            <w:pPr>
              <w:pStyle w:val="13"/>
              <w:rPr>
                <w:spacing w:val="7"/>
              </w:rPr>
            </w:pPr>
            <w:r>
              <w:t>二氧化硫</w:t>
            </w:r>
          </w:p>
        </w:tc>
        <w:tc>
          <w:tcPr>
            <w:tcW w:w="1633" w:type="pct"/>
            <w:gridSpan w:val="2"/>
            <w:vAlign w:val="center"/>
          </w:tcPr>
          <w:p w14:paraId="5A9666F5">
            <w:pPr>
              <w:pStyle w:val="13"/>
              <w:rPr>
                <w:spacing w:val="13"/>
              </w:rPr>
            </w:pPr>
            <w:r>
              <w:t>50(日均值)</w:t>
            </w:r>
          </w:p>
        </w:tc>
        <w:tc>
          <w:tcPr>
            <w:tcW w:w="1633" w:type="pct"/>
            <w:vAlign w:val="center"/>
          </w:tcPr>
          <w:p w14:paraId="56F8B53F">
            <w:pPr>
              <w:pStyle w:val="13"/>
              <w:rPr>
                <w:spacing w:val="13"/>
              </w:rPr>
            </w:pPr>
            <w:r>
              <w:t>200(半小时均值)</w:t>
            </w:r>
          </w:p>
        </w:tc>
      </w:tr>
      <w:tr w14:paraId="129E79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482" w:type="pct"/>
            <w:vAlign w:val="center"/>
          </w:tcPr>
          <w:p w14:paraId="33B469C7">
            <w:pPr>
              <w:pStyle w:val="13"/>
            </w:pPr>
            <w:r>
              <w:t>7</w:t>
            </w:r>
          </w:p>
        </w:tc>
        <w:tc>
          <w:tcPr>
            <w:tcW w:w="1252" w:type="pct"/>
            <w:vAlign w:val="center"/>
          </w:tcPr>
          <w:p w14:paraId="2B4AC273">
            <w:pPr>
              <w:pStyle w:val="13"/>
              <w:rPr>
                <w:spacing w:val="7"/>
              </w:rPr>
            </w:pPr>
            <w:r>
              <w:t>氮氧化物</w:t>
            </w:r>
          </w:p>
        </w:tc>
        <w:tc>
          <w:tcPr>
            <w:tcW w:w="3266" w:type="pct"/>
            <w:gridSpan w:val="3"/>
            <w:vAlign w:val="center"/>
          </w:tcPr>
          <w:p w14:paraId="6E12705E">
            <w:pPr>
              <w:pStyle w:val="13"/>
            </w:pPr>
            <w:r>
              <w:t>200(日均值，规模&gt;6吨/小时的焚烧炉)</w:t>
            </w:r>
          </w:p>
          <w:p w14:paraId="546DC800">
            <w:pPr>
              <w:pStyle w:val="13"/>
              <w:rPr>
                <w:spacing w:val="13"/>
              </w:rPr>
            </w:pPr>
            <w:r>
              <w:t>400(日均值，规模≤6吨/小时的焚烧炉)</w:t>
            </w:r>
          </w:p>
        </w:tc>
      </w:tr>
      <w:tr w14:paraId="0F3D4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 w:hRule="atLeast"/>
          <w:jc w:val="center"/>
        </w:trPr>
        <w:tc>
          <w:tcPr>
            <w:tcW w:w="482" w:type="pct"/>
            <w:vAlign w:val="center"/>
          </w:tcPr>
          <w:p w14:paraId="64ABB500">
            <w:pPr>
              <w:pStyle w:val="13"/>
            </w:pPr>
            <w:r>
              <w:t>8</w:t>
            </w:r>
          </w:p>
        </w:tc>
        <w:tc>
          <w:tcPr>
            <w:tcW w:w="1252" w:type="pct"/>
            <w:vAlign w:val="center"/>
          </w:tcPr>
          <w:p w14:paraId="2A4BB9B6">
            <w:pPr>
              <w:pStyle w:val="13"/>
              <w:rPr>
                <w:spacing w:val="7"/>
              </w:rPr>
            </w:pPr>
            <w:r>
              <w:t>二</w:t>
            </w:r>
            <w:r>
              <w:rPr>
                <w:rFonts w:ascii="仿宋" w:hAnsi="仿宋" w:eastAsia="仿宋"/>
              </w:rPr>
              <w:t>噁</w:t>
            </w:r>
            <w:r>
              <w:t>英类</w:t>
            </w:r>
          </w:p>
        </w:tc>
        <w:tc>
          <w:tcPr>
            <w:tcW w:w="3266" w:type="pct"/>
            <w:gridSpan w:val="3"/>
            <w:vAlign w:val="center"/>
          </w:tcPr>
          <w:p w14:paraId="3620467F">
            <w:pPr>
              <w:pStyle w:val="13"/>
              <w:rPr>
                <w:spacing w:val="13"/>
              </w:rPr>
            </w:pPr>
            <w:r>
              <w:t>0.1 ng-TEQ/m</w:t>
            </w:r>
            <w:r>
              <w:rPr>
                <w:vertAlign w:val="superscript"/>
              </w:rPr>
              <w:t>3</w:t>
            </w:r>
            <w:r>
              <w:t>(测定均值)</w:t>
            </w:r>
          </w:p>
        </w:tc>
      </w:tr>
      <w:tr w14:paraId="4EA686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482" w:type="pct"/>
            <w:vAlign w:val="center"/>
          </w:tcPr>
          <w:p w14:paraId="3CA54D57">
            <w:pPr>
              <w:pStyle w:val="13"/>
            </w:pPr>
            <w:r>
              <w:t>9</w:t>
            </w:r>
          </w:p>
        </w:tc>
        <w:tc>
          <w:tcPr>
            <w:tcW w:w="1252" w:type="pct"/>
            <w:vAlign w:val="center"/>
          </w:tcPr>
          <w:p w14:paraId="2C94D541">
            <w:pPr>
              <w:pStyle w:val="13"/>
              <w:rPr>
                <w:spacing w:val="7"/>
              </w:rPr>
            </w:pPr>
            <w:r>
              <w:t>一氧化碳</w:t>
            </w:r>
          </w:p>
        </w:tc>
        <w:tc>
          <w:tcPr>
            <w:tcW w:w="1633" w:type="pct"/>
            <w:gridSpan w:val="2"/>
          </w:tcPr>
          <w:p w14:paraId="64C5DF80">
            <w:pPr>
              <w:pStyle w:val="13"/>
              <w:rPr>
                <w:spacing w:val="13"/>
              </w:rPr>
            </w:pPr>
            <w:r>
              <w:t>50(日均值)</w:t>
            </w:r>
          </w:p>
        </w:tc>
        <w:tc>
          <w:tcPr>
            <w:tcW w:w="1633" w:type="pct"/>
          </w:tcPr>
          <w:p w14:paraId="161C16E2">
            <w:pPr>
              <w:pStyle w:val="13"/>
              <w:rPr>
                <w:spacing w:val="13"/>
              </w:rPr>
            </w:pPr>
            <w:r>
              <w:t>100(半小时均值)</w:t>
            </w:r>
          </w:p>
        </w:tc>
      </w:tr>
    </w:tbl>
    <w:p w14:paraId="657D6258">
      <w:pPr>
        <w:spacing w:before="156" w:beforeLines="50"/>
        <w:ind w:firstLine="560"/>
      </w:pPr>
      <w:r>
        <w:rPr>
          <w:rFonts w:hint="eastAsia"/>
        </w:rPr>
        <w:t>（3）日本</w:t>
      </w:r>
    </w:p>
    <w:p w14:paraId="71E2D3C7">
      <w:pPr>
        <w:ind w:firstLine="560"/>
        <w:sectPr>
          <w:pgSz w:w="11906" w:h="16838"/>
          <w:pgMar w:top="1440" w:right="1800" w:bottom="1440" w:left="1800" w:header="851" w:footer="992" w:gutter="0"/>
          <w:cols w:space="425" w:num="1"/>
          <w:docGrid w:type="lines" w:linePitch="312" w:charSpace="0"/>
        </w:sectPr>
      </w:pPr>
      <w:r>
        <w:rPr>
          <w:rFonts w:hint="eastAsia"/>
        </w:rPr>
        <w:t>日本对于废弃物焚烧炉的排放限制标准包括两部分，《大气污染防治法施行规则》和《二</w:t>
      </w:r>
      <w:r>
        <w:rPr>
          <w:rFonts w:hint="eastAsia" w:ascii="仿宋" w:hAnsi="仿宋" w:eastAsia="仿宋" w:cs="微软雅黑"/>
        </w:rPr>
        <w:t>噁</w:t>
      </w:r>
      <w:r>
        <w:rPr>
          <w:rFonts w:hint="eastAsia" w:ascii="仿宋_GB2312" w:hAnsi="仿宋_GB2312" w:cs="仿宋_GB2312"/>
        </w:rPr>
        <w:t>英类对策特别措施法施行规</w:t>
      </w:r>
      <w:r>
        <w:rPr>
          <w:rFonts w:hint="eastAsia"/>
        </w:rPr>
        <w:t>则》。其中规定了主要的污染物排放标准，见表</w:t>
      </w:r>
      <w:r>
        <w:t>4.1-</w:t>
      </w:r>
      <w:r>
        <w:rPr>
          <w:rFonts w:hint="eastAsia"/>
        </w:rPr>
        <w:t>2至表</w:t>
      </w:r>
      <w:r>
        <w:t>4.1</w:t>
      </w:r>
      <w:r>
        <w:rPr>
          <w:rFonts w:hint="eastAsia"/>
        </w:rPr>
        <w:t>-4。</w:t>
      </w:r>
    </w:p>
    <w:p w14:paraId="30EB208D">
      <w:pPr>
        <w:pStyle w:val="13"/>
        <w:spacing w:before="156" w:beforeLines="50" w:after="156" w:afterLines="50"/>
      </w:pPr>
      <w:r>
        <w:rPr>
          <w:rFonts w:hint="eastAsia"/>
        </w:rPr>
        <w:t>表</w:t>
      </w:r>
      <w:r>
        <w:t xml:space="preserve">4.1-2 </w:t>
      </w:r>
      <w:r>
        <w:rPr>
          <w:rFonts w:hint="eastAsia"/>
        </w:rPr>
        <w:t>氮氧化物排放限值</w:t>
      </w:r>
    </w:p>
    <w:tbl>
      <w:tblPr>
        <w:tblStyle w:val="23"/>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101"/>
        <w:gridCol w:w="2211"/>
      </w:tblGrid>
      <w:tr w14:paraId="13AAFA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3670" w:type="pct"/>
            <w:tcBorders>
              <w:bottom w:val="nil"/>
            </w:tcBorders>
            <w:vAlign w:val="center"/>
          </w:tcPr>
          <w:p w14:paraId="474C9824">
            <w:pPr>
              <w:pStyle w:val="13"/>
              <w:rPr>
                <w:b/>
                <w:bCs/>
              </w:rPr>
            </w:pPr>
            <w:r>
              <w:rPr>
                <w:b/>
                <w:bCs/>
              </w:rPr>
              <w:t>炉型</w:t>
            </w:r>
          </w:p>
        </w:tc>
        <w:tc>
          <w:tcPr>
            <w:tcW w:w="1330" w:type="pct"/>
            <w:vAlign w:val="center"/>
          </w:tcPr>
          <w:p w14:paraId="60756B87">
            <w:pPr>
              <w:pStyle w:val="13"/>
              <w:rPr>
                <w:b/>
                <w:bCs/>
              </w:rPr>
            </w:pPr>
            <w:r>
              <w:rPr>
                <w:b/>
                <w:bCs/>
                <w:spacing w:val="4"/>
              </w:rPr>
              <w:t>排放限值(</w:t>
            </w:r>
            <w:r>
              <w:rPr>
                <w:b/>
                <w:bCs/>
              </w:rPr>
              <w:t>cm</w:t>
            </w:r>
            <w:r>
              <w:rPr>
                <w:b/>
                <w:bCs/>
                <w:spacing w:val="4"/>
                <w:vertAlign w:val="superscript"/>
              </w:rPr>
              <w:t>3</w:t>
            </w:r>
            <w:r>
              <w:rPr>
                <w:b/>
                <w:bCs/>
                <w:spacing w:val="4"/>
              </w:rPr>
              <w:t>/m</w:t>
            </w:r>
            <w:r>
              <w:rPr>
                <w:b/>
                <w:bCs/>
                <w:spacing w:val="4"/>
                <w:vertAlign w:val="superscript"/>
              </w:rPr>
              <w:t>3</w:t>
            </w:r>
            <w:r>
              <w:rPr>
                <w:b/>
                <w:bCs/>
                <w:spacing w:val="4"/>
              </w:rPr>
              <w:t>)</w:t>
            </w:r>
          </w:p>
        </w:tc>
      </w:tr>
      <w:tr w14:paraId="0E7311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 w:hRule="atLeast"/>
          <w:jc w:val="center"/>
        </w:trPr>
        <w:tc>
          <w:tcPr>
            <w:tcW w:w="3670" w:type="pct"/>
            <w:vAlign w:val="center"/>
          </w:tcPr>
          <w:p w14:paraId="21608B02">
            <w:pPr>
              <w:pStyle w:val="13"/>
            </w:pPr>
            <w:r>
              <w:rPr>
                <w:spacing w:val="4"/>
              </w:rPr>
              <w:t>回转式悬浮燃烧(限于连</w:t>
            </w:r>
            <w:r>
              <w:rPr>
                <w:spacing w:val="35"/>
              </w:rPr>
              <w:t>续炉)</w:t>
            </w:r>
          </w:p>
        </w:tc>
        <w:tc>
          <w:tcPr>
            <w:tcW w:w="1330" w:type="pct"/>
            <w:tcBorders>
              <w:right w:val="single" w:color="auto" w:sz="4" w:space="0"/>
            </w:tcBorders>
            <w:vAlign w:val="center"/>
          </w:tcPr>
          <w:p w14:paraId="0FC1875F">
            <w:pPr>
              <w:pStyle w:val="13"/>
            </w:pPr>
            <w:r>
              <w:rPr>
                <w:spacing w:val="-3"/>
              </w:rPr>
              <w:t>450</w:t>
            </w:r>
          </w:p>
        </w:tc>
      </w:tr>
      <w:tr w14:paraId="0A76C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 w:hRule="atLeast"/>
          <w:jc w:val="center"/>
        </w:trPr>
        <w:tc>
          <w:tcPr>
            <w:tcW w:w="3670" w:type="pct"/>
            <w:vAlign w:val="center"/>
          </w:tcPr>
          <w:p w14:paraId="6F71E6C8">
            <w:pPr>
              <w:pStyle w:val="13"/>
            </w:pPr>
            <w:r>
              <w:rPr>
                <w:spacing w:val="22"/>
              </w:rPr>
              <w:t>生产、使用硝基化合物、</w:t>
            </w:r>
            <w:r>
              <w:rPr>
                <w:spacing w:val="4"/>
              </w:rPr>
              <w:t>氨基化合物或者氰化合</w:t>
            </w:r>
            <w:r>
              <w:rPr>
                <w:spacing w:val="22"/>
              </w:rPr>
              <w:t>物或者其衍生物的设施，</w:t>
            </w:r>
            <w:r>
              <w:rPr>
                <w:spacing w:val="4"/>
              </w:rPr>
              <w:t>以及使用氨的水处理设</w:t>
            </w:r>
            <w:r>
              <w:rPr>
                <w:spacing w:val="5"/>
              </w:rPr>
              <w:t>施产生的废弃物焚烧(限</w:t>
            </w:r>
            <w:r>
              <w:rPr>
                <w:spacing w:val="2"/>
              </w:rPr>
              <w:t>于排气量小于40000</w:t>
            </w:r>
            <w:r>
              <w:rPr>
                <w:spacing w:val="25"/>
              </w:rPr>
              <w:t xml:space="preserve"> </w:t>
            </w:r>
            <w:r>
              <w:rPr>
                <w:spacing w:val="2"/>
              </w:rPr>
              <w:t>m</w:t>
            </w:r>
            <w:r>
              <w:rPr>
                <w:spacing w:val="2"/>
                <w:vertAlign w:val="superscript"/>
              </w:rPr>
              <w:t>3</w:t>
            </w:r>
            <w:r>
              <w:rPr>
                <w:spacing w:val="22"/>
              </w:rPr>
              <w:t>的连续炉)</w:t>
            </w:r>
          </w:p>
        </w:tc>
        <w:tc>
          <w:tcPr>
            <w:tcW w:w="1330" w:type="pct"/>
            <w:tcBorders>
              <w:right w:val="single" w:color="auto" w:sz="4" w:space="0"/>
            </w:tcBorders>
            <w:vAlign w:val="center"/>
          </w:tcPr>
          <w:p w14:paraId="7FAF7DB7">
            <w:pPr>
              <w:pStyle w:val="13"/>
            </w:pPr>
            <w:r>
              <w:rPr>
                <w:spacing w:val="-6"/>
              </w:rPr>
              <w:t>700</w:t>
            </w:r>
          </w:p>
        </w:tc>
      </w:tr>
      <w:tr w14:paraId="305003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jc w:val="center"/>
        </w:trPr>
        <w:tc>
          <w:tcPr>
            <w:tcW w:w="3670" w:type="pct"/>
            <w:vAlign w:val="center"/>
          </w:tcPr>
          <w:p w14:paraId="09CE44E6">
            <w:pPr>
              <w:pStyle w:val="13"/>
            </w:pPr>
            <w:r>
              <w:rPr>
                <w:rFonts w:hint="eastAsia"/>
              </w:rPr>
              <w:t>上述焚烧炉之外的焚烧炉</w:t>
            </w:r>
            <w:r>
              <w:t>(</w:t>
            </w:r>
            <w:r>
              <w:rPr>
                <w:rFonts w:hint="eastAsia"/>
              </w:rPr>
              <w:t>限于连续炉之外、排气量大于</w:t>
            </w:r>
            <w:r>
              <w:t>40000m</w:t>
            </w:r>
            <w:r>
              <w:rPr>
                <w:vertAlign w:val="superscript"/>
              </w:rPr>
              <w:t>3</w:t>
            </w:r>
            <w:r>
              <w:rPr>
                <w:rFonts w:hint="eastAsia"/>
              </w:rPr>
              <w:t>的焚烧炉</w:t>
            </w:r>
            <w:r>
              <w:t>)</w:t>
            </w:r>
          </w:p>
        </w:tc>
        <w:tc>
          <w:tcPr>
            <w:tcW w:w="1330" w:type="pct"/>
            <w:vAlign w:val="center"/>
          </w:tcPr>
          <w:p w14:paraId="4935CEEC">
            <w:pPr>
              <w:pStyle w:val="13"/>
            </w:pPr>
            <w:r>
              <w:rPr>
                <w:spacing w:val="-5"/>
              </w:rPr>
              <w:t>250</w:t>
            </w:r>
          </w:p>
        </w:tc>
      </w:tr>
    </w:tbl>
    <w:p w14:paraId="089EA3AB">
      <w:pPr>
        <w:pStyle w:val="13"/>
        <w:spacing w:before="156" w:beforeLines="50" w:after="156" w:afterLines="50"/>
      </w:pPr>
      <w:r>
        <w:rPr>
          <w:rFonts w:hint="eastAsia"/>
        </w:rPr>
        <w:t>表</w:t>
      </w:r>
      <w:r>
        <w:t>4.1-</w:t>
      </w:r>
      <w:r>
        <w:rPr>
          <w:rFonts w:hint="eastAsia"/>
        </w:rPr>
        <w:t>3 烟尘排放限值</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593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8F97B29">
            <w:pPr>
              <w:pStyle w:val="13"/>
              <w:rPr>
                <w:b/>
                <w:bCs/>
              </w:rPr>
            </w:pPr>
            <w:r>
              <w:rPr>
                <w:rFonts w:hint="eastAsia"/>
                <w:b/>
                <w:bCs/>
              </w:rPr>
              <w:t>焚烧能力</w:t>
            </w:r>
          </w:p>
        </w:tc>
        <w:tc>
          <w:tcPr>
            <w:tcW w:w="4261" w:type="dxa"/>
          </w:tcPr>
          <w:p w14:paraId="25F6BBE6">
            <w:pPr>
              <w:pStyle w:val="13"/>
              <w:rPr>
                <w:b/>
                <w:bCs/>
              </w:rPr>
            </w:pPr>
            <w:r>
              <w:rPr>
                <w:rFonts w:hint="eastAsia"/>
                <w:b/>
                <w:bCs/>
              </w:rPr>
              <w:t>排放限值(</w:t>
            </w:r>
            <w:r>
              <w:rPr>
                <w:b/>
                <w:bCs/>
              </w:rPr>
              <w:t>mg/m3</w:t>
            </w:r>
            <w:r>
              <w:rPr>
                <w:rFonts w:hint="eastAsia"/>
                <w:b/>
                <w:bCs/>
              </w:rPr>
              <w:t>)</w:t>
            </w:r>
          </w:p>
        </w:tc>
      </w:tr>
      <w:tr w14:paraId="78DDC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806EED1">
            <w:pPr>
              <w:pStyle w:val="13"/>
            </w:pPr>
            <w:r>
              <w:rPr>
                <w:rFonts w:hint="eastAsia"/>
              </w:rPr>
              <w:t>大于4000 kg/h</w:t>
            </w:r>
          </w:p>
        </w:tc>
        <w:tc>
          <w:tcPr>
            <w:tcW w:w="4261" w:type="dxa"/>
          </w:tcPr>
          <w:p w14:paraId="3D04B698">
            <w:pPr>
              <w:pStyle w:val="13"/>
            </w:pPr>
            <w:r>
              <w:t>40</w:t>
            </w:r>
          </w:p>
        </w:tc>
      </w:tr>
      <w:tr w14:paraId="7EA86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6F9B213D">
            <w:pPr>
              <w:pStyle w:val="13"/>
            </w:pPr>
            <w:r>
              <w:t>2000-4000 kg/h</w:t>
            </w:r>
          </w:p>
        </w:tc>
        <w:tc>
          <w:tcPr>
            <w:tcW w:w="4261" w:type="dxa"/>
          </w:tcPr>
          <w:p w14:paraId="2D5706B1">
            <w:pPr>
              <w:pStyle w:val="13"/>
            </w:pPr>
            <w:r>
              <w:t>80</w:t>
            </w:r>
          </w:p>
        </w:tc>
      </w:tr>
      <w:tr w14:paraId="10A98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1E5A06B1">
            <w:pPr>
              <w:pStyle w:val="13"/>
            </w:pPr>
            <w:r>
              <w:rPr>
                <w:rFonts w:hint="eastAsia"/>
              </w:rPr>
              <w:t>小于2000 kg/h</w:t>
            </w:r>
          </w:p>
        </w:tc>
        <w:tc>
          <w:tcPr>
            <w:tcW w:w="4261" w:type="dxa"/>
          </w:tcPr>
          <w:p w14:paraId="7EBF6C45">
            <w:pPr>
              <w:pStyle w:val="13"/>
            </w:pPr>
            <w:r>
              <w:rPr>
                <w:rFonts w:hint="eastAsia"/>
              </w:rPr>
              <w:t>1</w:t>
            </w:r>
            <w:r>
              <w:t>50</w:t>
            </w:r>
          </w:p>
        </w:tc>
      </w:tr>
    </w:tbl>
    <w:p w14:paraId="52B4C4B5">
      <w:pPr>
        <w:pStyle w:val="13"/>
        <w:spacing w:before="156" w:beforeLines="50" w:after="156" w:afterLines="50"/>
      </w:pPr>
      <w:r>
        <w:rPr>
          <w:rFonts w:hint="eastAsia"/>
        </w:rPr>
        <w:t>表</w:t>
      </w:r>
      <w:r>
        <w:t>4.1-</w:t>
      </w:r>
      <w:r>
        <w:rPr>
          <w:rFonts w:hint="eastAsia"/>
        </w:rPr>
        <w:t>4 二</w:t>
      </w:r>
      <w:r>
        <w:rPr>
          <w:rFonts w:hint="eastAsia" w:ascii="仿宋" w:hAnsi="仿宋" w:eastAsia="仿宋" w:cs="微软雅黑"/>
        </w:rPr>
        <w:t>噁</w:t>
      </w:r>
      <w:r>
        <w:rPr>
          <w:rFonts w:hint="eastAsia"/>
        </w:rPr>
        <w:t>英类排放限值</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397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BEB4664">
            <w:pPr>
              <w:pStyle w:val="13"/>
              <w:rPr>
                <w:b/>
                <w:bCs/>
              </w:rPr>
            </w:pPr>
            <w:r>
              <w:rPr>
                <w:rFonts w:hint="eastAsia"/>
                <w:b/>
                <w:bCs/>
              </w:rPr>
              <w:t>焚烧能力</w:t>
            </w:r>
          </w:p>
        </w:tc>
        <w:tc>
          <w:tcPr>
            <w:tcW w:w="4261" w:type="dxa"/>
          </w:tcPr>
          <w:p w14:paraId="0BF86716">
            <w:pPr>
              <w:pStyle w:val="13"/>
              <w:rPr>
                <w:b/>
                <w:bCs/>
              </w:rPr>
            </w:pPr>
            <w:r>
              <w:rPr>
                <w:rFonts w:hint="eastAsia"/>
                <w:b/>
                <w:bCs/>
              </w:rPr>
              <w:t>排放限值(</w:t>
            </w:r>
            <w:r>
              <w:rPr>
                <w:b/>
                <w:bCs/>
              </w:rPr>
              <w:t>ng TEQ/m3</w:t>
            </w:r>
            <w:r>
              <w:rPr>
                <w:rFonts w:hint="eastAsia"/>
                <w:b/>
                <w:bCs/>
              </w:rPr>
              <w:t>)</w:t>
            </w:r>
          </w:p>
        </w:tc>
      </w:tr>
      <w:tr w14:paraId="00659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55A728D">
            <w:pPr>
              <w:pStyle w:val="13"/>
            </w:pPr>
            <w:r>
              <w:rPr>
                <w:rFonts w:hint="eastAsia"/>
              </w:rPr>
              <w:t>大于4000 kg/h</w:t>
            </w:r>
          </w:p>
        </w:tc>
        <w:tc>
          <w:tcPr>
            <w:tcW w:w="4261" w:type="dxa"/>
          </w:tcPr>
          <w:p w14:paraId="29E990D2">
            <w:pPr>
              <w:pStyle w:val="13"/>
            </w:pPr>
            <w:r>
              <w:t>0.1</w:t>
            </w:r>
          </w:p>
        </w:tc>
      </w:tr>
      <w:tr w14:paraId="0BC0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55462674">
            <w:pPr>
              <w:pStyle w:val="13"/>
            </w:pPr>
            <w:r>
              <w:t>2000-4000 kg/h</w:t>
            </w:r>
          </w:p>
        </w:tc>
        <w:tc>
          <w:tcPr>
            <w:tcW w:w="4261" w:type="dxa"/>
          </w:tcPr>
          <w:p w14:paraId="7F3E1538">
            <w:pPr>
              <w:pStyle w:val="13"/>
            </w:pPr>
            <w:r>
              <w:rPr>
                <w:rFonts w:hint="eastAsia"/>
              </w:rPr>
              <w:t>1</w:t>
            </w:r>
            <w:r>
              <w:t>.0</w:t>
            </w:r>
          </w:p>
        </w:tc>
      </w:tr>
      <w:tr w14:paraId="1858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397A4B9">
            <w:pPr>
              <w:pStyle w:val="13"/>
            </w:pPr>
            <w:r>
              <w:rPr>
                <w:rFonts w:hint="eastAsia"/>
              </w:rPr>
              <w:t>小于2000 kg/h</w:t>
            </w:r>
          </w:p>
        </w:tc>
        <w:tc>
          <w:tcPr>
            <w:tcW w:w="4261" w:type="dxa"/>
          </w:tcPr>
          <w:p w14:paraId="6B96EEEC">
            <w:pPr>
              <w:pStyle w:val="13"/>
            </w:pPr>
            <w:r>
              <w:rPr>
                <w:rFonts w:hint="eastAsia"/>
              </w:rPr>
              <w:t>5</w:t>
            </w:r>
            <w:r>
              <w:t>.0</w:t>
            </w:r>
          </w:p>
        </w:tc>
      </w:tr>
    </w:tbl>
    <w:p w14:paraId="21464144">
      <w:pPr>
        <w:pStyle w:val="4"/>
      </w:pPr>
      <w:bookmarkStart w:id="31" w:name="_Toc183055373"/>
      <w:r>
        <w:t>4</w:t>
      </w:r>
      <w:r>
        <w:rPr>
          <w:rFonts w:hint="eastAsia"/>
        </w:rPr>
        <w:t>.2 国内相关标准</w:t>
      </w:r>
      <w:bookmarkEnd w:id="31"/>
    </w:p>
    <w:p w14:paraId="1F4296D6">
      <w:pPr>
        <w:ind w:firstLine="560"/>
      </w:pPr>
      <w:r>
        <w:rPr>
          <w:rFonts w:hint="eastAsia"/>
        </w:rPr>
        <w:t>国家针对生活垃圾焚烧制定了标准，现行的为2014年发布的《生活垃圾焚烧污染控制标准》（GB 18485-2014）、2019年11月底发布的《生活垃圾焚烧污染控制标准》(GB 18485-2014)修改单。修订后标准主要包括以下内容：适用范围、规范性引用文件等、术语和定义、选址要求、技术要求、入炉废物要求、运行要求、排放控制要求、监测要求、实施与监督、附录A。具体指标限值见表</w:t>
      </w:r>
      <w:r>
        <w:t>4.4-</w:t>
      </w:r>
      <w:r>
        <w:rPr>
          <w:rFonts w:hint="eastAsia"/>
        </w:rPr>
        <w:t>1。</w:t>
      </w:r>
    </w:p>
    <w:p w14:paraId="58A14E02">
      <w:pPr>
        <w:ind w:firstLine="560"/>
      </w:pPr>
      <w:r>
        <w:rPr>
          <w:rFonts w:hint="eastAsia"/>
        </w:rPr>
        <w:t>-</w:t>
      </w:r>
      <w:r>
        <w:t>--</w:t>
      </w:r>
      <w:r>
        <w:rPr>
          <w:rFonts w:hint="eastAsia"/>
        </w:rPr>
        <w:t>《生活垃圾焚烧污染控制标准》(GB 18485-2014)</w:t>
      </w:r>
    </w:p>
    <w:p w14:paraId="3F3A7A65">
      <w:pPr>
        <w:ind w:firstLine="560"/>
      </w:pPr>
      <w:r>
        <w:rPr>
          <w:rFonts w:hint="eastAsia"/>
        </w:rPr>
        <w:t>-</w:t>
      </w:r>
      <w:r>
        <w:t>--</w:t>
      </w:r>
      <w:r>
        <w:rPr>
          <w:rFonts w:hint="eastAsia"/>
        </w:rPr>
        <w:t>《生活垃圾焚烧污染控制标准》(GB 18485-2014)修改单</w:t>
      </w:r>
    </w:p>
    <w:p w14:paraId="41763C19">
      <w:pPr>
        <w:ind w:firstLine="560"/>
      </w:pPr>
      <w:r>
        <w:rPr>
          <w:rFonts w:hint="eastAsia"/>
        </w:rPr>
        <w:t>-</w:t>
      </w:r>
      <w:r>
        <w:t>--</w:t>
      </w:r>
      <w:r>
        <w:rPr>
          <w:rFonts w:hint="eastAsia"/>
        </w:rPr>
        <w:t>《排污许可证申请与核发技术规范生活垃圾焚烧》(HJ</w:t>
      </w:r>
      <w:r>
        <w:t xml:space="preserve"> 1039-2019)</w:t>
      </w:r>
    </w:p>
    <w:p w14:paraId="6FEC68E4">
      <w:pPr>
        <w:ind w:firstLine="560"/>
      </w:pPr>
      <w:r>
        <w:rPr>
          <w:rFonts w:hint="eastAsia"/>
        </w:rPr>
        <w:t>-</w:t>
      </w:r>
      <w:r>
        <w:t>--</w:t>
      </w:r>
      <w:r>
        <w:rPr>
          <w:rFonts w:hint="eastAsia"/>
        </w:rPr>
        <w:t>《生活垃圾处理技术指南》(建城〔2010〕61号)</w:t>
      </w:r>
    </w:p>
    <w:p w14:paraId="5B80DC8D">
      <w:pPr>
        <w:ind w:firstLine="560"/>
      </w:pPr>
      <w:r>
        <w:rPr>
          <w:rFonts w:hint="eastAsia"/>
        </w:rPr>
        <w:t>-</w:t>
      </w:r>
      <w:r>
        <w:t>--</w:t>
      </w:r>
      <w:r>
        <w:rPr>
          <w:rFonts w:hint="eastAsia"/>
        </w:rPr>
        <w:t>《生活垃圾焚烧飞灰污染控制技术规范(试行)》(HJ</w:t>
      </w:r>
      <w:r>
        <w:t xml:space="preserve"> 1134-2020)</w:t>
      </w:r>
    </w:p>
    <w:p w14:paraId="7999F273">
      <w:pPr>
        <w:pStyle w:val="4"/>
      </w:pPr>
      <w:bookmarkStart w:id="32" w:name="_Toc183055374"/>
      <w:r>
        <w:t>4</w:t>
      </w:r>
      <w:r>
        <w:rPr>
          <w:rFonts w:hint="eastAsia"/>
        </w:rPr>
        <w:t>.3 其他省份标准</w:t>
      </w:r>
      <w:bookmarkEnd w:id="32"/>
    </w:p>
    <w:p w14:paraId="21F70ED4">
      <w:pPr>
        <w:ind w:firstLine="560"/>
      </w:pPr>
      <w:r>
        <w:rPr>
          <w:rFonts w:hint="eastAsia"/>
        </w:rPr>
        <w:t>为进一步提高对生活垃圾焚烧企业污染物排放的管控要求，改善当地空气质量，国内一些地方也出台了生活垃圾焚烧大气污染物排放地方标准。具体指标限值见表</w:t>
      </w:r>
      <w:r>
        <w:t>4.4-</w:t>
      </w:r>
      <w:r>
        <w:rPr>
          <w:rFonts w:hint="eastAsia"/>
        </w:rPr>
        <w:t>1。</w:t>
      </w:r>
    </w:p>
    <w:p w14:paraId="1E00A7F8">
      <w:pPr>
        <w:ind w:firstLine="560"/>
      </w:pPr>
      <w:r>
        <w:rPr>
          <w:rFonts w:hint="eastAsia"/>
        </w:rPr>
        <w:t>-</w:t>
      </w:r>
      <w:r>
        <w:t>--</w:t>
      </w:r>
      <w:r>
        <w:rPr>
          <w:rFonts w:hint="eastAsia"/>
        </w:rPr>
        <w:t>上海市《生活垃圾焚烧大气污染物排放标准》(DB</w:t>
      </w:r>
      <w:r>
        <w:t xml:space="preserve"> </w:t>
      </w:r>
      <w:r>
        <w:rPr>
          <w:rFonts w:hint="eastAsia"/>
        </w:rPr>
        <w:t>31/768-2013)、第1号修改单（2014年9月）</w:t>
      </w:r>
    </w:p>
    <w:p w14:paraId="1A389D7A">
      <w:pPr>
        <w:ind w:firstLine="560"/>
      </w:pPr>
      <w:r>
        <w:rPr>
          <w:rFonts w:hint="eastAsia"/>
        </w:rPr>
        <w:t>-</w:t>
      </w:r>
      <w:r>
        <w:t>--</w:t>
      </w:r>
      <w:r>
        <w:rPr>
          <w:rFonts w:hint="eastAsia"/>
        </w:rPr>
        <w:t>深圳市《生活垃圾处理设施运营规范》(SZDB/Z 233-2017)</w:t>
      </w:r>
    </w:p>
    <w:p w14:paraId="08FE16A2">
      <w:pPr>
        <w:ind w:firstLine="560"/>
      </w:pPr>
      <w:r>
        <w:rPr>
          <w:rFonts w:hint="eastAsia"/>
        </w:rPr>
        <w:t>-</w:t>
      </w:r>
      <w:r>
        <w:t>--</w:t>
      </w:r>
      <w:r>
        <w:rPr>
          <w:rFonts w:hint="eastAsia"/>
        </w:rPr>
        <w:t>海南省《生活垃圾焚烧污染控制标准》(DB</w:t>
      </w:r>
      <w:r>
        <w:t xml:space="preserve"> </w:t>
      </w:r>
      <w:r>
        <w:rPr>
          <w:rFonts w:hint="eastAsia"/>
        </w:rPr>
        <w:t>46484-2019)</w:t>
      </w:r>
    </w:p>
    <w:p w14:paraId="16B6F901">
      <w:pPr>
        <w:ind w:firstLine="560"/>
      </w:pPr>
      <w:r>
        <w:rPr>
          <w:rFonts w:hint="eastAsia"/>
        </w:rPr>
        <w:t>-</w:t>
      </w:r>
      <w:r>
        <w:t>--</w:t>
      </w:r>
      <w:r>
        <w:rPr>
          <w:rFonts w:hint="eastAsia"/>
        </w:rPr>
        <w:t>河北省《生活垃圾焚烧大气污染控制标准》(DB</w:t>
      </w:r>
      <w:r>
        <w:t xml:space="preserve"> </w:t>
      </w:r>
      <w:r>
        <w:rPr>
          <w:rFonts w:hint="eastAsia"/>
        </w:rPr>
        <w:t>13/</w:t>
      </w:r>
      <w:r>
        <w:t>5325-2021)</w:t>
      </w:r>
    </w:p>
    <w:p w14:paraId="047B5F07">
      <w:pPr>
        <w:ind w:firstLine="560"/>
      </w:pPr>
      <w:r>
        <w:rPr>
          <w:rFonts w:hint="eastAsia"/>
        </w:rPr>
        <w:t>-</w:t>
      </w:r>
      <w:r>
        <w:t>--</w:t>
      </w:r>
      <w:r>
        <w:rPr>
          <w:rFonts w:hint="eastAsia"/>
        </w:rPr>
        <w:t>福建省《生活垃圾焚烧氮氧化物排放标准》(DB</w:t>
      </w:r>
      <w:r>
        <w:t xml:space="preserve"> </w:t>
      </w:r>
      <w:r>
        <w:rPr>
          <w:rFonts w:hint="eastAsia"/>
        </w:rPr>
        <w:t>35/</w:t>
      </w:r>
      <w:r>
        <w:t>1976-2021)</w:t>
      </w:r>
    </w:p>
    <w:p w14:paraId="0BF943D9">
      <w:pPr>
        <w:ind w:firstLine="560"/>
      </w:pPr>
      <w:r>
        <w:rPr>
          <w:rFonts w:hint="eastAsia"/>
        </w:rPr>
        <w:t>-</w:t>
      </w:r>
      <w:r>
        <w:t>--</w:t>
      </w:r>
      <w:r>
        <w:rPr>
          <w:rFonts w:hint="eastAsia"/>
        </w:rPr>
        <w:t>天津市《生活垃圾焚烧大气污染物排放标准》(DB</w:t>
      </w:r>
      <w:r>
        <w:t xml:space="preserve"> </w:t>
      </w:r>
      <w:r>
        <w:rPr>
          <w:rFonts w:hint="eastAsia"/>
        </w:rPr>
        <w:t>12/1101-2021)</w:t>
      </w:r>
    </w:p>
    <w:p w14:paraId="74AC8710">
      <w:pPr>
        <w:ind w:firstLine="560"/>
      </w:pPr>
      <w:r>
        <w:rPr>
          <w:rFonts w:hint="eastAsia"/>
        </w:rPr>
        <w:t>---广东省《村镇生活垃圾小型热解焚烧处理工程技术规范》（T/GDAEPI 08-2022）</w:t>
      </w:r>
    </w:p>
    <w:p w14:paraId="19C66999">
      <w:pPr>
        <w:pStyle w:val="4"/>
      </w:pPr>
      <w:bookmarkStart w:id="33" w:name="_Toc183055375"/>
      <w:r>
        <w:t>4</w:t>
      </w:r>
      <w:r>
        <w:rPr>
          <w:rFonts w:hint="eastAsia"/>
        </w:rPr>
        <w:t>.4</w:t>
      </w:r>
      <w:r>
        <w:t xml:space="preserve"> </w:t>
      </w:r>
      <w:r>
        <w:rPr>
          <w:rFonts w:hint="eastAsia"/>
        </w:rPr>
        <w:t>本标准与国家、其他省份标准对比情况</w:t>
      </w:r>
      <w:bookmarkEnd w:id="33"/>
    </w:p>
    <w:p w14:paraId="6BCDE4ED">
      <w:pPr>
        <w:ind w:firstLine="560"/>
      </w:pPr>
      <w:r>
        <w:rPr>
          <w:rFonts w:hint="eastAsia"/>
        </w:rPr>
        <w:t>本标准拟定的排放限值分别为：颗粒物1小时均值和2</w:t>
      </w:r>
      <w:r>
        <w:t>4</w:t>
      </w:r>
      <w:r>
        <w:rPr>
          <w:rFonts w:hint="eastAsia"/>
        </w:rPr>
        <w:t>小时均值分别为1</w:t>
      </w:r>
      <w:r>
        <w:t>0</w:t>
      </w:r>
      <w:r>
        <w:rPr>
          <w:rFonts w:hint="eastAsia"/>
        </w:rPr>
        <w:t xml:space="preserve"> mg</w:t>
      </w:r>
      <w:r>
        <w:t>/</w:t>
      </w:r>
      <w:r>
        <w:rPr>
          <w:rFonts w:hint="eastAsia"/>
        </w:rPr>
        <w:t>m</w:t>
      </w:r>
      <w:r>
        <w:rPr>
          <w:vertAlign w:val="superscript"/>
        </w:rPr>
        <w:t>3</w:t>
      </w:r>
      <w:r>
        <w:rPr>
          <w:rFonts w:hint="eastAsia"/>
        </w:rPr>
        <w:t>、8</w:t>
      </w:r>
      <w:r>
        <w:t xml:space="preserve"> </w:t>
      </w:r>
      <w:r>
        <w:rPr>
          <w:rFonts w:hint="eastAsia"/>
        </w:rPr>
        <w:t>mg</w:t>
      </w:r>
      <w:r>
        <w:t>/</w:t>
      </w:r>
      <w:r>
        <w:rPr>
          <w:rFonts w:hint="eastAsia"/>
        </w:rPr>
        <w:t>m</w:t>
      </w:r>
      <w:r>
        <w:rPr>
          <w:vertAlign w:val="superscript"/>
        </w:rPr>
        <w:t>3</w:t>
      </w:r>
      <w:r>
        <w:rPr>
          <w:rFonts w:hint="eastAsia"/>
        </w:rPr>
        <w:t>；氮氧化物1小时均值和2</w:t>
      </w:r>
      <w:r>
        <w:t>4</w:t>
      </w:r>
      <w:r>
        <w:rPr>
          <w:rFonts w:hint="eastAsia"/>
        </w:rPr>
        <w:t>小时均值分别为</w:t>
      </w:r>
      <w:r>
        <w:t>120</w:t>
      </w:r>
      <w:r>
        <w:rPr>
          <w:rFonts w:hint="eastAsia"/>
        </w:rPr>
        <w:t xml:space="preserve"> mg</w:t>
      </w:r>
      <w:r>
        <w:t>/</w:t>
      </w:r>
      <w:r>
        <w:rPr>
          <w:rFonts w:hint="eastAsia"/>
        </w:rPr>
        <w:t>m</w:t>
      </w:r>
      <w:r>
        <w:rPr>
          <w:vertAlign w:val="superscript"/>
        </w:rPr>
        <w:t>3</w:t>
      </w:r>
      <w:r>
        <w:rPr>
          <w:rFonts w:hint="eastAsia"/>
        </w:rPr>
        <w:t>、</w:t>
      </w:r>
      <w:r>
        <w:t xml:space="preserve">100 </w:t>
      </w:r>
      <w:r>
        <w:rPr>
          <w:rFonts w:hint="eastAsia"/>
        </w:rPr>
        <w:t>mg</w:t>
      </w:r>
      <w:r>
        <w:t>/</w:t>
      </w:r>
      <w:r>
        <w:rPr>
          <w:rFonts w:hint="eastAsia"/>
        </w:rPr>
        <w:t>m</w:t>
      </w:r>
      <w:r>
        <w:rPr>
          <w:vertAlign w:val="superscript"/>
        </w:rPr>
        <w:t>3</w:t>
      </w:r>
      <w:r>
        <w:rPr>
          <w:rFonts w:hint="eastAsia"/>
        </w:rPr>
        <w:t>；二氧化硫1小时均值和2</w:t>
      </w:r>
      <w:r>
        <w:t>4</w:t>
      </w:r>
      <w:r>
        <w:rPr>
          <w:rFonts w:hint="eastAsia"/>
        </w:rPr>
        <w:t>小时均值分别为</w:t>
      </w:r>
      <w:r>
        <w:t>40</w:t>
      </w:r>
      <w:r>
        <w:rPr>
          <w:rFonts w:hint="eastAsia"/>
        </w:rPr>
        <w:t xml:space="preserve"> mg</w:t>
      </w:r>
      <w:r>
        <w:t>/</w:t>
      </w:r>
      <w:r>
        <w:rPr>
          <w:rFonts w:hint="eastAsia"/>
        </w:rPr>
        <w:t>m</w:t>
      </w:r>
      <w:r>
        <w:rPr>
          <w:vertAlign w:val="superscript"/>
        </w:rPr>
        <w:t>3</w:t>
      </w:r>
      <w:r>
        <w:rPr>
          <w:rFonts w:hint="eastAsia"/>
        </w:rPr>
        <w:t>、</w:t>
      </w:r>
      <w:r>
        <w:t xml:space="preserve">20 </w:t>
      </w:r>
      <w:r>
        <w:rPr>
          <w:rFonts w:hint="eastAsia"/>
        </w:rPr>
        <w:t>mg</w:t>
      </w:r>
      <w:r>
        <w:t>/</w:t>
      </w:r>
      <w:r>
        <w:rPr>
          <w:rFonts w:hint="eastAsia"/>
        </w:rPr>
        <w:t>m</w:t>
      </w:r>
      <w:r>
        <w:rPr>
          <w:vertAlign w:val="superscript"/>
        </w:rPr>
        <w:t>3</w:t>
      </w:r>
      <w:r>
        <w:rPr>
          <w:rFonts w:hint="eastAsia"/>
        </w:rPr>
        <w:t>；一氧化碳1小时均值和2</w:t>
      </w:r>
      <w:r>
        <w:t>4</w:t>
      </w:r>
      <w:r>
        <w:rPr>
          <w:rFonts w:hint="eastAsia"/>
        </w:rPr>
        <w:t>小时均值分别为</w:t>
      </w:r>
      <w:r>
        <w:t>100</w:t>
      </w:r>
      <w:r>
        <w:rPr>
          <w:rFonts w:hint="eastAsia"/>
        </w:rPr>
        <w:t xml:space="preserve"> mg</w:t>
      </w:r>
      <w:r>
        <w:t>/</w:t>
      </w:r>
      <w:r>
        <w:rPr>
          <w:rFonts w:hint="eastAsia"/>
        </w:rPr>
        <w:t>m</w:t>
      </w:r>
      <w:r>
        <w:rPr>
          <w:vertAlign w:val="superscript"/>
        </w:rPr>
        <w:t>3</w:t>
      </w:r>
      <w:r>
        <w:rPr>
          <w:rFonts w:hint="eastAsia"/>
        </w:rPr>
        <w:t>、8</w:t>
      </w:r>
      <w:r>
        <w:t xml:space="preserve">0 </w:t>
      </w:r>
      <w:r>
        <w:rPr>
          <w:rFonts w:hint="eastAsia"/>
        </w:rPr>
        <w:t>mg</w:t>
      </w:r>
      <w:r>
        <w:t>/</w:t>
      </w:r>
      <w:r>
        <w:rPr>
          <w:rFonts w:hint="eastAsia"/>
        </w:rPr>
        <w:t>m</w:t>
      </w:r>
      <w:r>
        <w:rPr>
          <w:vertAlign w:val="superscript"/>
        </w:rPr>
        <w:t>3</w:t>
      </w:r>
      <w:r>
        <w:rPr>
          <w:rFonts w:hint="eastAsia"/>
        </w:rPr>
        <w:t>；氯化氢1小时均值和2</w:t>
      </w:r>
      <w:r>
        <w:t>4</w:t>
      </w:r>
      <w:r>
        <w:rPr>
          <w:rFonts w:hint="eastAsia"/>
        </w:rPr>
        <w:t>小时均值分别为</w:t>
      </w:r>
      <w:r>
        <w:t>20</w:t>
      </w:r>
      <w:r>
        <w:rPr>
          <w:rFonts w:hint="eastAsia"/>
        </w:rPr>
        <w:t xml:space="preserve"> mg</w:t>
      </w:r>
      <w:r>
        <w:t>/</w:t>
      </w:r>
      <w:r>
        <w:rPr>
          <w:rFonts w:hint="eastAsia"/>
        </w:rPr>
        <w:t>m</w:t>
      </w:r>
      <w:r>
        <w:rPr>
          <w:vertAlign w:val="superscript"/>
        </w:rPr>
        <w:t>3</w:t>
      </w:r>
      <w:r>
        <w:rPr>
          <w:rFonts w:hint="eastAsia"/>
        </w:rPr>
        <w:t>、</w:t>
      </w:r>
      <w:r>
        <w:t xml:space="preserve">10 </w:t>
      </w:r>
      <w:r>
        <w:rPr>
          <w:rFonts w:hint="eastAsia"/>
        </w:rPr>
        <w:t>mg</w:t>
      </w:r>
      <w:r>
        <w:t>/</w:t>
      </w:r>
      <w:r>
        <w:rPr>
          <w:rFonts w:hint="eastAsia"/>
        </w:rPr>
        <w:t>m</w:t>
      </w:r>
      <w:r>
        <w:rPr>
          <w:vertAlign w:val="superscript"/>
        </w:rPr>
        <w:t>3</w:t>
      </w:r>
      <w:r>
        <w:rPr>
          <w:rFonts w:hint="eastAsia"/>
        </w:rPr>
        <w:t>；汞及其化合物的测定均值为</w:t>
      </w:r>
      <w:r>
        <w:t xml:space="preserve">0.02 </w:t>
      </w:r>
      <w:r>
        <w:rPr>
          <w:rFonts w:hint="eastAsia"/>
        </w:rPr>
        <w:t>mg</w:t>
      </w:r>
      <w:r>
        <w:t>/</w:t>
      </w:r>
      <w:r>
        <w:rPr>
          <w:rFonts w:hint="eastAsia"/>
        </w:rPr>
        <w:t>m</w:t>
      </w:r>
      <w:r>
        <w:rPr>
          <w:vertAlign w:val="superscript"/>
        </w:rPr>
        <w:t>3</w:t>
      </w:r>
      <w:r>
        <w:rPr>
          <w:rFonts w:hint="eastAsia"/>
        </w:rPr>
        <w:t>；镉、铊及其化合物的测定均值为</w:t>
      </w:r>
      <w:r>
        <w:t xml:space="preserve">0.03 </w:t>
      </w:r>
      <w:r>
        <w:rPr>
          <w:rFonts w:hint="eastAsia"/>
        </w:rPr>
        <w:t>mg</w:t>
      </w:r>
      <w:r>
        <w:t>/</w:t>
      </w:r>
      <w:r>
        <w:rPr>
          <w:rFonts w:hint="eastAsia"/>
        </w:rPr>
        <w:t>m</w:t>
      </w:r>
      <w:r>
        <w:rPr>
          <w:vertAlign w:val="superscript"/>
        </w:rPr>
        <w:t>3</w:t>
      </w:r>
      <w:r>
        <w:rPr>
          <w:rFonts w:hint="eastAsia"/>
        </w:rPr>
        <w:t>；锑、砷、铅、铬、钴、铜、锰、镍及其化合物的测定均值为</w:t>
      </w:r>
      <w:r>
        <w:t xml:space="preserve">0.3 </w:t>
      </w:r>
      <w:r>
        <w:rPr>
          <w:rFonts w:hint="eastAsia"/>
        </w:rPr>
        <w:t>mg</w:t>
      </w:r>
      <w:r>
        <w:t>/</w:t>
      </w:r>
      <w:r>
        <w:rPr>
          <w:rFonts w:hint="eastAsia"/>
        </w:rPr>
        <w:t>m</w:t>
      </w:r>
      <w:r>
        <w:rPr>
          <w:vertAlign w:val="superscript"/>
        </w:rPr>
        <w:t>3</w:t>
      </w:r>
      <w:r>
        <w:rPr>
          <w:rFonts w:hint="eastAsia"/>
        </w:rPr>
        <w:t>；二</w:t>
      </w:r>
      <w:r>
        <w:rPr>
          <w:rFonts w:hint="eastAsia" w:ascii="仿宋" w:hAnsi="仿宋" w:eastAsia="仿宋" w:cs="微软雅黑"/>
        </w:rPr>
        <w:t>噁</w:t>
      </w:r>
      <w:r>
        <w:rPr>
          <w:rFonts w:hint="eastAsia" w:ascii="仿宋_GB2312" w:hAnsi="仿宋_GB2312" w:cs="仿宋_GB2312"/>
        </w:rPr>
        <w:t>英类</w:t>
      </w:r>
      <w:r>
        <w:rPr>
          <w:rFonts w:hint="eastAsia"/>
        </w:rPr>
        <w:t>测定均值为0</w:t>
      </w:r>
      <w:r>
        <w:t>.1 ng TEQ/m</w:t>
      </w:r>
      <w:r>
        <w:rPr>
          <w:vertAlign w:val="superscript"/>
        </w:rPr>
        <w:t>3</w:t>
      </w:r>
      <w:r>
        <w:rPr>
          <w:rFonts w:hint="eastAsia"/>
        </w:rPr>
        <w:t>；氨1小时均值为</w:t>
      </w:r>
      <w:r>
        <w:t>8</w:t>
      </w:r>
      <w:r>
        <w:rPr>
          <w:rFonts w:hint="eastAsia"/>
        </w:rPr>
        <w:t xml:space="preserve"> mg</w:t>
      </w:r>
      <w:r>
        <w:t>/</w:t>
      </w:r>
      <w:r>
        <w:rPr>
          <w:rFonts w:hint="eastAsia"/>
        </w:rPr>
        <w:t>m</w:t>
      </w:r>
      <w:r>
        <w:rPr>
          <w:vertAlign w:val="superscript"/>
        </w:rPr>
        <w:t>3</w:t>
      </w:r>
      <w:r>
        <w:rPr>
          <w:rFonts w:hint="eastAsia"/>
        </w:rPr>
        <w:t>。</w:t>
      </w:r>
    </w:p>
    <w:p w14:paraId="54D449D6">
      <w:pPr>
        <w:ind w:firstLine="560"/>
      </w:pPr>
      <w:r>
        <w:rPr>
          <w:rFonts w:hint="eastAsia"/>
        </w:rPr>
        <w:t>与国家标准对比，本标准颗粒物、氮氧化物、二氧化硫、氯化氢、重金属类污染物限值均严于国家标准限值；一氧化碳和二</w:t>
      </w:r>
      <w:r>
        <w:rPr>
          <w:rFonts w:hint="eastAsia" w:ascii="微软雅黑" w:hAnsi="微软雅黑" w:eastAsia="仿宋" w:cs="微软雅黑"/>
        </w:rPr>
        <w:t>噁</w:t>
      </w:r>
      <w:r>
        <w:rPr>
          <w:rFonts w:hint="eastAsia" w:ascii="仿宋_GB2312" w:hAnsi="仿宋_GB2312" w:cs="仿宋_GB2312"/>
        </w:rPr>
        <w:t>英类与国家</w:t>
      </w:r>
      <w:r>
        <w:rPr>
          <w:rFonts w:hint="eastAsia"/>
        </w:rPr>
        <w:t>标准限值保持一致；增加氨排放限值要求。</w:t>
      </w:r>
    </w:p>
    <w:p w14:paraId="7629C2FB">
      <w:pPr>
        <w:ind w:firstLine="560"/>
        <w:sectPr>
          <w:pgSz w:w="11906" w:h="16838"/>
          <w:pgMar w:top="1440" w:right="1800" w:bottom="1440" w:left="1800" w:header="851" w:footer="992" w:gutter="0"/>
          <w:cols w:space="425" w:num="1"/>
          <w:docGrid w:type="lines" w:linePitch="312" w:charSpace="0"/>
        </w:sectPr>
      </w:pPr>
      <w:r>
        <w:rPr>
          <w:rFonts w:hint="eastAsia"/>
        </w:rPr>
        <w:t>与其他省份标准对比，总体上来说，本标准限值与河北省、天津市大致相当，部分指标略宽松于海南省、广东省、河南省和深圳市，严于上海市、山东省。除上海市外。对于颗粒物、重金属类、氨，各省份限值一致；对于氮氧化物，我省严于山东省、上海市、海南省、河北省、福建省，宽松于天津市、广东省、河南省和深圳市；对于二氧化硫，我省宽松于海南省、深圳市，与其他省份大致相当；对于一氧化碳，我省与河北省限值一致，宽松于海南省、天津市、河南省和深圳市；对于氯化氢，我省与河北省、天津市限值一致，宽松于海南省和深圳市。具体情况见表</w:t>
      </w:r>
      <w:r>
        <w:t>4.4-1</w:t>
      </w:r>
      <w:r>
        <w:rPr>
          <w:rFonts w:hint="eastAsia"/>
        </w:rPr>
        <w:t>。</w:t>
      </w:r>
    </w:p>
    <w:p w14:paraId="7521A52C">
      <w:pPr>
        <w:pStyle w:val="13"/>
      </w:pPr>
      <w:r>
        <w:rPr>
          <w:rFonts w:hint="eastAsia"/>
        </w:rPr>
        <w:t>表</w:t>
      </w:r>
      <w:r>
        <w:t>4.4-1</w:t>
      </w:r>
      <w:r>
        <w:rPr>
          <w:rFonts w:hint="eastAsia"/>
        </w:rPr>
        <w:t xml:space="preserve"> 各地区生活垃圾焚烧主要污染物控制指标汇总表</w:t>
      </w:r>
    </w:p>
    <w:p w14:paraId="26CA79E7">
      <w:pPr>
        <w:pStyle w:val="13"/>
        <w:jc w:val="right"/>
      </w:pPr>
      <w:r>
        <w:rPr>
          <w:rFonts w:hint="eastAsia"/>
        </w:rPr>
        <w:t>单位：mg/m</w:t>
      </w:r>
      <w:r>
        <w:rPr>
          <w:rFonts w:hint="eastAsia"/>
          <w:vertAlign w:val="superscript"/>
        </w:rPr>
        <w:t>3</w:t>
      </w:r>
      <w:r>
        <w:rPr>
          <w:rFonts w:hint="eastAsia"/>
        </w:rPr>
        <w:t>(注明的除外)</w:t>
      </w:r>
    </w:p>
    <w:tbl>
      <w:tblPr>
        <w:tblStyle w:val="23"/>
        <w:tblW w:w="13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89"/>
        <w:gridCol w:w="867"/>
        <w:gridCol w:w="709"/>
        <w:gridCol w:w="709"/>
        <w:gridCol w:w="708"/>
        <w:gridCol w:w="709"/>
        <w:gridCol w:w="992"/>
        <w:gridCol w:w="1401"/>
        <w:gridCol w:w="1984"/>
        <w:gridCol w:w="1152"/>
        <w:gridCol w:w="691"/>
        <w:gridCol w:w="1369"/>
      </w:tblGrid>
      <w:tr w14:paraId="42014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vMerge w:val="restart"/>
            <w:tcBorders>
              <w:top w:val="single" w:color="auto" w:sz="4" w:space="0"/>
              <w:left w:val="single" w:color="auto" w:sz="4" w:space="0"/>
              <w:bottom w:val="single" w:color="auto" w:sz="4" w:space="0"/>
              <w:right w:val="single" w:color="auto" w:sz="4" w:space="0"/>
            </w:tcBorders>
            <w:vAlign w:val="center"/>
          </w:tcPr>
          <w:p w14:paraId="40B36291">
            <w:pPr>
              <w:spacing w:line="240" w:lineRule="exact"/>
              <w:ind w:firstLine="0" w:firstLineChars="0"/>
              <w:jc w:val="center"/>
              <w:rPr>
                <w:b/>
                <w:bCs/>
                <w:sz w:val="16"/>
                <w:szCs w:val="16"/>
              </w:rPr>
            </w:pPr>
            <w:bookmarkStart w:id="34" w:name="_Hlk152770139"/>
            <w:r>
              <w:rPr>
                <w:rFonts w:hint="eastAsia"/>
                <w:b/>
                <w:bCs/>
                <w:sz w:val="16"/>
                <w:szCs w:val="16"/>
              </w:rPr>
              <w:t>标准名称</w:t>
            </w:r>
          </w:p>
        </w:tc>
        <w:tc>
          <w:tcPr>
            <w:tcW w:w="9922" w:type="dxa"/>
            <w:gridSpan w:val="10"/>
            <w:tcBorders>
              <w:top w:val="single" w:color="auto" w:sz="4" w:space="0"/>
              <w:left w:val="single" w:color="auto" w:sz="4" w:space="0"/>
              <w:bottom w:val="single" w:color="auto" w:sz="4" w:space="0"/>
              <w:right w:val="single" w:color="auto" w:sz="4" w:space="0"/>
            </w:tcBorders>
            <w:vAlign w:val="center"/>
          </w:tcPr>
          <w:p w14:paraId="3CD931BD">
            <w:pPr>
              <w:spacing w:line="240" w:lineRule="exact"/>
              <w:ind w:firstLine="0" w:firstLineChars="0"/>
              <w:jc w:val="center"/>
              <w:rPr>
                <w:b/>
                <w:bCs/>
                <w:sz w:val="16"/>
                <w:szCs w:val="16"/>
              </w:rPr>
            </w:pPr>
            <w:r>
              <w:rPr>
                <w:rFonts w:hint="eastAsia"/>
                <w:b/>
                <w:bCs/>
                <w:sz w:val="16"/>
                <w:szCs w:val="16"/>
              </w:rPr>
              <w:t>主要污染物排放限值</w:t>
            </w:r>
          </w:p>
        </w:tc>
        <w:tc>
          <w:tcPr>
            <w:tcW w:w="1369" w:type="dxa"/>
            <w:vMerge w:val="restart"/>
            <w:tcBorders>
              <w:top w:val="single" w:color="auto" w:sz="4" w:space="0"/>
              <w:left w:val="single" w:color="auto" w:sz="4" w:space="0"/>
              <w:bottom w:val="single" w:color="auto" w:sz="4" w:space="0"/>
              <w:right w:val="single" w:color="auto" w:sz="4" w:space="0"/>
            </w:tcBorders>
            <w:vAlign w:val="center"/>
          </w:tcPr>
          <w:p w14:paraId="7355EA10">
            <w:pPr>
              <w:wordWrap w:val="0"/>
              <w:spacing w:line="240" w:lineRule="exact"/>
              <w:ind w:firstLine="0" w:firstLineChars="0"/>
              <w:jc w:val="center"/>
              <w:rPr>
                <w:b/>
                <w:bCs/>
                <w:sz w:val="16"/>
                <w:szCs w:val="16"/>
              </w:rPr>
            </w:pPr>
            <w:r>
              <w:rPr>
                <w:rFonts w:hint="eastAsia"/>
                <w:b/>
                <w:bCs/>
                <w:sz w:val="16"/>
                <w:szCs w:val="16"/>
              </w:rPr>
              <w:t>备注</w:t>
            </w:r>
          </w:p>
        </w:tc>
      </w:tr>
      <w:tr w14:paraId="38A15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vMerge w:val="continue"/>
            <w:tcBorders>
              <w:top w:val="single" w:color="auto" w:sz="4" w:space="0"/>
              <w:left w:val="single" w:color="auto" w:sz="4" w:space="0"/>
              <w:bottom w:val="single" w:color="auto" w:sz="4" w:space="0"/>
              <w:right w:val="single" w:color="auto" w:sz="4" w:space="0"/>
            </w:tcBorders>
            <w:vAlign w:val="center"/>
          </w:tcPr>
          <w:p w14:paraId="475FBCE6">
            <w:pPr>
              <w:widowControl/>
              <w:spacing w:line="240" w:lineRule="auto"/>
              <w:ind w:firstLine="0" w:firstLineChars="0"/>
              <w:jc w:val="left"/>
              <w:rPr>
                <w:b/>
                <w:bCs/>
                <w:sz w:val="16"/>
                <w:szCs w:val="16"/>
              </w:rPr>
            </w:pPr>
          </w:p>
        </w:tc>
        <w:tc>
          <w:tcPr>
            <w:tcW w:w="867" w:type="dxa"/>
            <w:tcBorders>
              <w:top w:val="single" w:color="auto" w:sz="4" w:space="0"/>
              <w:left w:val="single" w:color="auto" w:sz="4" w:space="0"/>
              <w:bottom w:val="single" w:color="auto" w:sz="4" w:space="0"/>
              <w:right w:val="single" w:color="auto" w:sz="4" w:space="0"/>
            </w:tcBorders>
            <w:vAlign w:val="center"/>
          </w:tcPr>
          <w:p w14:paraId="3EDE9155">
            <w:pPr>
              <w:spacing w:line="240" w:lineRule="exact"/>
              <w:ind w:firstLine="0" w:firstLineChars="0"/>
              <w:jc w:val="center"/>
              <w:rPr>
                <w:b/>
                <w:bCs/>
                <w:sz w:val="16"/>
                <w:szCs w:val="16"/>
              </w:rPr>
            </w:pPr>
            <w:r>
              <w:rPr>
                <w:rFonts w:hint="eastAsia"/>
                <w:b/>
                <w:bCs/>
                <w:sz w:val="16"/>
                <w:szCs w:val="16"/>
              </w:rPr>
              <w:t>颗粒物</w:t>
            </w:r>
          </w:p>
        </w:tc>
        <w:tc>
          <w:tcPr>
            <w:tcW w:w="709" w:type="dxa"/>
            <w:tcBorders>
              <w:top w:val="single" w:color="auto" w:sz="4" w:space="0"/>
              <w:left w:val="single" w:color="auto" w:sz="4" w:space="0"/>
              <w:bottom w:val="single" w:color="auto" w:sz="4" w:space="0"/>
              <w:right w:val="single" w:color="auto" w:sz="4" w:space="0"/>
            </w:tcBorders>
            <w:vAlign w:val="center"/>
          </w:tcPr>
          <w:p w14:paraId="7B7A322E">
            <w:pPr>
              <w:spacing w:line="240" w:lineRule="exact"/>
              <w:ind w:firstLine="0" w:firstLineChars="0"/>
              <w:jc w:val="center"/>
              <w:rPr>
                <w:b/>
                <w:bCs/>
                <w:sz w:val="16"/>
                <w:szCs w:val="16"/>
              </w:rPr>
            </w:pPr>
            <w:r>
              <w:rPr>
                <w:rFonts w:hint="eastAsia"/>
                <w:b/>
                <w:bCs/>
                <w:sz w:val="16"/>
                <w:szCs w:val="16"/>
              </w:rPr>
              <w:t>氮氧化物</w:t>
            </w:r>
          </w:p>
        </w:tc>
        <w:tc>
          <w:tcPr>
            <w:tcW w:w="709" w:type="dxa"/>
            <w:tcBorders>
              <w:top w:val="single" w:color="auto" w:sz="4" w:space="0"/>
              <w:left w:val="single" w:color="auto" w:sz="4" w:space="0"/>
              <w:bottom w:val="single" w:color="auto" w:sz="4" w:space="0"/>
              <w:right w:val="single" w:color="auto" w:sz="4" w:space="0"/>
            </w:tcBorders>
            <w:vAlign w:val="center"/>
          </w:tcPr>
          <w:p w14:paraId="19E419C8">
            <w:pPr>
              <w:spacing w:line="240" w:lineRule="exact"/>
              <w:ind w:firstLine="0" w:firstLineChars="0"/>
              <w:jc w:val="center"/>
              <w:rPr>
                <w:b/>
                <w:bCs/>
                <w:sz w:val="16"/>
                <w:szCs w:val="16"/>
              </w:rPr>
            </w:pPr>
            <w:r>
              <w:rPr>
                <w:rFonts w:hint="eastAsia"/>
                <w:b/>
                <w:bCs/>
                <w:sz w:val="16"/>
                <w:szCs w:val="16"/>
              </w:rPr>
              <w:t>二氧化硫</w:t>
            </w:r>
          </w:p>
        </w:tc>
        <w:tc>
          <w:tcPr>
            <w:tcW w:w="708" w:type="dxa"/>
            <w:tcBorders>
              <w:top w:val="single" w:color="auto" w:sz="4" w:space="0"/>
              <w:left w:val="single" w:color="auto" w:sz="4" w:space="0"/>
              <w:bottom w:val="single" w:color="auto" w:sz="4" w:space="0"/>
              <w:right w:val="single" w:color="auto" w:sz="4" w:space="0"/>
            </w:tcBorders>
            <w:vAlign w:val="center"/>
          </w:tcPr>
          <w:p w14:paraId="5EBDC5ED">
            <w:pPr>
              <w:spacing w:line="240" w:lineRule="exact"/>
              <w:ind w:firstLine="0" w:firstLineChars="0"/>
              <w:jc w:val="center"/>
              <w:rPr>
                <w:b/>
                <w:bCs/>
                <w:sz w:val="16"/>
                <w:szCs w:val="16"/>
              </w:rPr>
            </w:pPr>
            <w:r>
              <w:rPr>
                <w:rFonts w:hint="eastAsia"/>
                <w:b/>
                <w:bCs/>
                <w:sz w:val="16"/>
                <w:szCs w:val="16"/>
              </w:rPr>
              <w:t>一氧化碳</w:t>
            </w:r>
          </w:p>
        </w:tc>
        <w:tc>
          <w:tcPr>
            <w:tcW w:w="709" w:type="dxa"/>
            <w:tcBorders>
              <w:top w:val="single" w:color="auto" w:sz="4" w:space="0"/>
              <w:left w:val="single" w:color="auto" w:sz="4" w:space="0"/>
              <w:bottom w:val="single" w:color="auto" w:sz="4" w:space="0"/>
              <w:right w:val="single" w:color="auto" w:sz="4" w:space="0"/>
            </w:tcBorders>
            <w:vAlign w:val="center"/>
          </w:tcPr>
          <w:p w14:paraId="315EFEBF">
            <w:pPr>
              <w:spacing w:line="240" w:lineRule="exact"/>
              <w:ind w:firstLine="0" w:firstLineChars="0"/>
              <w:jc w:val="center"/>
              <w:rPr>
                <w:b/>
                <w:bCs/>
                <w:sz w:val="16"/>
                <w:szCs w:val="16"/>
              </w:rPr>
            </w:pPr>
            <w:r>
              <w:rPr>
                <w:rFonts w:hint="eastAsia"/>
                <w:b/>
                <w:bCs/>
                <w:sz w:val="16"/>
                <w:szCs w:val="16"/>
              </w:rPr>
              <w:t>氯化氢</w:t>
            </w:r>
          </w:p>
        </w:tc>
        <w:tc>
          <w:tcPr>
            <w:tcW w:w="992" w:type="dxa"/>
            <w:tcBorders>
              <w:top w:val="single" w:color="auto" w:sz="4" w:space="0"/>
              <w:left w:val="single" w:color="auto" w:sz="4" w:space="0"/>
              <w:bottom w:val="single" w:color="auto" w:sz="4" w:space="0"/>
              <w:right w:val="single" w:color="auto" w:sz="4" w:space="0"/>
            </w:tcBorders>
            <w:vAlign w:val="center"/>
          </w:tcPr>
          <w:p w14:paraId="245FC393">
            <w:pPr>
              <w:spacing w:line="240" w:lineRule="exact"/>
              <w:ind w:firstLine="0" w:firstLineChars="0"/>
              <w:jc w:val="center"/>
              <w:rPr>
                <w:b/>
                <w:bCs/>
                <w:sz w:val="16"/>
                <w:szCs w:val="16"/>
              </w:rPr>
            </w:pPr>
            <w:r>
              <w:rPr>
                <w:rFonts w:hint="eastAsia"/>
                <w:b/>
                <w:bCs/>
                <w:sz w:val="16"/>
                <w:szCs w:val="16"/>
              </w:rPr>
              <w:t>汞及其化合物（以</w:t>
            </w:r>
            <w:r>
              <w:rPr>
                <w:b/>
                <w:bCs/>
                <w:sz w:val="16"/>
                <w:szCs w:val="16"/>
              </w:rPr>
              <w:t>Hg</w:t>
            </w:r>
            <w:r>
              <w:rPr>
                <w:rFonts w:hint="eastAsia"/>
                <w:b/>
                <w:bCs/>
                <w:sz w:val="16"/>
                <w:szCs w:val="16"/>
              </w:rPr>
              <w:t>计）</w:t>
            </w:r>
          </w:p>
        </w:tc>
        <w:tc>
          <w:tcPr>
            <w:tcW w:w="1401" w:type="dxa"/>
            <w:tcBorders>
              <w:top w:val="single" w:color="auto" w:sz="4" w:space="0"/>
              <w:left w:val="single" w:color="auto" w:sz="4" w:space="0"/>
              <w:bottom w:val="single" w:color="auto" w:sz="4" w:space="0"/>
              <w:right w:val="single" w:color="auto" w:sz="4" w:space="0"/>
            </w:tcBorders>
            <w:vAlign w:val="center"/>
          </w:tcPr>
          <w:p w14:paraId="08DE9E3F">
            <w:pPr>
              <w:spacing w:line="240" w:lineRule="exact"/>
              <w:ind w:firstLine="0" w:firstLineChars="0"/>
              <w:jc w:val="center"/>
              <w:rPr>
                <w:b/>
                <w:bCs/>
                <w:sz w:val="16"/>
                <w:szCs w:val="16"/>
              </w:rPr>
            </w:pPr>
            <w:r>
              <w:rPr>
                <w:rFonts w:hint="eastAsia"/>
                <w:b/>
                <w:bCs/>
                <w:sz w:val="16"/>
                <w:szCs w:val="16"/>
              </w:rPr>
              <w:t>镉、铊及其化合物（以</w:t>
            </w:r>
            <w:r>
              <w:rPr>
                <w:b/>
                <w:bCs/>
                <w:sz w:val="16"/>
                <w:szCs w:val="16"/>
              </w:rPr>
              <w:t>Cd+Tl</w:t>
            </w:r>
            <w:r>
              <w:rPr>
                <w:rFonts w:hint="eastAsia"/>
                <w:b/>
                <w:bCs/>
                <w:sz w:val="16"/>
                <w:szCs w:val="16"/>
              </w:rPr>
              <w:t>计）</w:t>
            </w:r>
          </w:p>
        </w:tc>
        <w:tc>
          <w:tcPr>
            <w:tcW w:w="1984" w:type="dxa"/>
            <w:tcBorders>
              <w:top w:val="single" w:color="auto" w:sz="4" w:space="0"/>
              <w:left w:val="single" w:color="auto" w:sz="4" w:space="0"/>
              <w:bottom w:val="single" w:color="auto" w:sz="4" w:space="0"/>
              <w:right w:val="single" w:color="auto" w:sz="4" w:space="0"/>
            </w:tcBorders>
            <w:vAlign w:val="center"/>
          </w:tcPr>
          <w:p w14:paraId="5F698112">
            <w:pPr>
              <w:spacing w:line="240" w:lineRule="exact"/>
              <w:ind w:firstLine="0" w:firstLineChars="0"/>
              <w:jc w:val="center"/>
              <w:rPr>
                <w:b/>
                <w:bCs/>
                <w:sz w:val="16"/>
                <w:szCs w:val="16"/>
              </w:rPr>
            </w:pPr>
            <w:r>
              <w:rPr>
                <w:rFonts w:hint="eastAsia"/>
                <w:b/>
                <w:bCs/>
                <w:sz w:val="16"/>
                <w:szCs w:val="16"/>
              </w:rPr>
              <w:t>锑、砷、铅、铬、钴、铜、锰、镍及其化合物（以</w:t>
            </w:r>
            <w:r>
              <w:rPr>
                <w:b/>
                <w:bCs/>
                <w:sz w:val="16"/>
                <w:szCs w:val="16"/>
              </w:rPr>
              <w:t>Sb+As+Pb+Cr+Co+Cu+Mn+Ni</w:t>
            </w:r>
            <w:r>
              <w:rPr>
                <w:rFonts w:hint="eastAsia"/>
                <w:b/>
                <w:bCs/>
                <w:sz w:val="16"/>
                <w:szCs w:val="16"/>
              </w:rPr>
              <w:t>计）</w:t>
            </w:r>
          </w:p>
        </w:tc>
        <w:tc>
          <w:tcPr>
            <w:tcW w:w="1152" w:type="dxa"/>
            <w:tcBorders>
              <w:top w:val="single" w:color="auto" w:sz="4" w:space="0"/>
              <w:left w:val="single" w:color="auto" w:sz="4" w:space="0"/>
              <w:bottom w:val="single" w:color="auto" w:sz="4" w:space="0"/>
              <w:right w:val="single" w:color="auto" w:sz="4" w:space="0"/>
            </w:tcBorders>
            <w:vAlign w:val="center"/>
          </w:tcPr>
          <w:p w14:paraId="6D89737E">
            <w:pPr>
              <w:spacing w:line="240" w:lineRule="exact"/>
              <w:ind w:firstLine="0" w:firstLineChars="0"/>
              <w:jc w:val="center"/>
              <w:rPr>
                <w:rFonts w:cs="Times New Roman"/>
                <w:b/>
                <w:bCs/>
                <w:sz w:val="16"/>
                <w:szCs w:val="16"/>
              </w:rPr>
            </w:pPr>
            <w:r>
              <w:rPr>
                <w:rFonts w:hint="eastAsia" w:cs="Times New Roman"/>
                <w:b/>
                <w:bCs/>
                <w:sz w:val="16"/>
                <w:szCs w:val="16"/>
              </w:rPr>
              <w:t>二</w:t>
            </w:r>
            <w:r>
              <w:rPr>
                <w:rFonts w:hint="eastAsia" w:ascii="仿宋" w:hAnsi="仿宋" w:eastAsia="仿宋" w:cs="Times New Roman"/>
                <w:b/>
                <w:bCs/>
                <w:sz w:val="16"/>
                <w:szCs w:val="16"/>
              </w:rPr>
              <w:t>噁</w:t>
            </w:r>
            <w:r>
              <w:rPr>
                <w:rFonts w:hint="eastAsia" w:cs="Times New Roman"/>
                <w:b/>
                <w:bCs/>
                <w:sz w:val="16"/>
                <w:szCs w:val="16"/>
              </w:rPr>
              <w:t>英类</w:t>
            </w:r>
          </w:p>
          <w:p w14:paraId="4D208E73">
            <w:pPr>
              <w:spacing w:line="240" w:lineRule="exact"/>
              <w:ind w:firstLine="0" w:firstLineChars="0"/>
              <w:jc w:val="center"/>
              <w:rPr>
                <w:rFonts w:cs="Times New Roman"/>
                <w:b/>
                <w:bCs/>
                <w:sz w:val="16"/>
                <w:szCs w:val="16"/>
              </w:rPr>
            </w:pPr>
            <w:r>
              <w:rPr>
                <w:rFonts w:cs="Times New Roman"/>
                <w:b/>
                <w:bCs/>
                <w:sz w:val="16"/>
                <w:szCs w:val="16"/>
              </w:rPr>
              <w:t>(ng TEQ/m</w:t>
            </w:r>
            <w:r>
              <w:rPr>
                <w:rFonts w:cs="Times New Roman"/>
                <w:b/>
                <w:bCs/>
                <w:sz w:val="16"/>
                <w:szCs w:val="16"/>
                <w:vertAlign w:val="superscript"/>
              </w:rPr>
              <w:t>3</w:t>
            </w:r>
            <w:r>
              <w:rPr>
                <w:rFonts w:cs="Times New Roman"/>
                <w:b/>
                <w:bCs/>
                <w:sz w:val="16"/>
                <w:szCs w:val="16"/>
              </w:rPr>
              <w:t>)</w:t>
            </w:r>
          </w:p>
        </w:tc>
        <w:tc>
          <w:tcPr>
            <w:tcW w:w="691" w:type="dxa"/>
            <w:tcBorders>
              <w:top w:val="single" w:color="auto" w:sz="4" w:space="0"/>
              <w:left w:val="single" w:color="auto" w:sz="4" w:space="0"/>
              <w:bottom w:val="single" w:color="auto" w:sz="4" w:space="0"/>
              <w:right w:val="single" w:color="auto" w:sz="4" w:space="0"/>
            </w:tcBorders>
            <w:vAlign w:val="center"/>
          </w:tcPr>
          <w:p w14:paraId="7505BE58">
            <w:pPr>
              <w:spacing w:line="240" w:lineRule="exact"/>
              <w:ind w:firstLine="0" w:firstLineChars="0"/>
              <w:jc w:val="center"/>
              <w:rPr>
                <w:b/>
                <w:bCs/>
                <w:sz w:val="16"/>
                <w:szCs w:val="16"/>
              </w:rPr>
            </w:pPr>
            <w:r>
              <w:rPr>
                <w:rFonts w:hint="eastAsia"/>
                <w:b/>
                <w:bCs/>
                <w:sz w:val="16"/>
                <w:szCs w:val="16"/>
              </w:rPr>
              <w:t>氨</w:t>
            </w:r>
          </w:p>
        </w:tc>
        <w:tc>
          <w:tcPr>
            <w:tcW w:w="1369" w:type="dxa"/>
            <w:vMerge w:val="continue"/>
            <w:tcBorders>
              <w:top w:val="single" w:color="auto" w:sz="4" w:space="0"/>
              <w:left w:val="single" w:color="auto" w:sz="4" w:space="0"/>
              <w:bottom w:val="single" w:color="auto" w:sz="4" w:space="0"/>
              <w:right w:val="single" w:color="auto" w:sz="4" w:space="0"/>
            </w:tcBorders>
            <w:vAlign w:val="center"/>
          </w:tcPr>
          <w:p w14:paraId="78643DBC">
            <w:pPr>
              <w:widowControl/>
              <w:spacing w:line="240" w:lineRule="auto"/>
              <w:ind w:firstLine="321"/>
              <w:jc w:val="left"/>
              <w:rPr>
                <w:b/>
                <w:bCs/>
                <w:sz w:val="16"/>
                <w:szCs w:val="16"/>
              </w:rPr>
            </w:pPr>
          </w:p>
        </w:tc>
      </w:tr>
      <w:tr w14:paraId="7E7B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211D5874">
            <w:pPr>
              <w:spacing w:line="240" w:lineRule="exact"/>
              <w:ind w:firstLine="0" w:firstLineChars="0"/>
              <w:jc w:val="center"/>
              <w:rPr>
                <w:sz w:val="16"/>
                <w:szCs w:val="16"/>
              </w:rPr>
            </w:pPr>
            <w:r>
              <w:rPr>
                <w:rFonts w:hint="eastAsia"/>
                <w:sz w:val="16"/>
                <w:szCs w:val="16"/>
              </w:rPr>
              <w:t>《生活垃圾焚烧污染控制标准》</w:t>
            </w:r>
            <w:r>
              <w:rPr>
                <w:sz w:val="16"/>
                <w:szCs w:val="16"/>
              </w:rPr>
              <w:t>(GB 18485-2014)</w:t>
            </w:r>
          </w:p>
        </w:tc>
        <w:tc>
          <w:tcPr>
            <w:tcW w:w="867" w:type="dxa"/>
            <w:tcBorders>
              <w:top w:val="single" w:color="auto" w:sz="4" w:space="0"/>
              <w:left w:val="single" w:color="auto" w:sz="4" w:space="0"/>
              <w:bottom w:val="single" w:color="auto" w:sz="4" w:space="0"/>
              <w:right w:val="single" w:color="auto" w:sz="4" w:space="0"/>
            </w:tcBorders>
            <w:vAlign w:val="center"/>
          </w:tcPr>
          <w:p w14:paraId="7DD72ECE">
            <w:pPr>
              <w:spacing w:line="240" w:lineRule="exact"/>
              <w:ind w:firstLine="0" w:firstLineChars="0"/>
              <w:jc w:val="center"/>
              <w:rPr>
                <w:sz w:val="16"/>
                <w:szCs w:val="16"/>
              </w:rPr>
            </w:pPr>
            <w:r>
              <w:rPr>
                <w:sz w:val="16"/>
                <w:szCs w:val="16"/>
              </w:rPr>
              <w:t>30</w:t>
            </w:r>
            <w:r>
              <w:rPr>
                <w:sz w:val="16"/>
                <w:szCs w:val="16"/>
                <w:vertAlign w:val="superscript"/>
              </w:rPr>
              <w:t>a</w:t>
            </w:r>
            <w:r>
              <w:rPr>
                <w:sz w:val="16"/>
                <w:szCs w:val="16"/>
              </w:rPr>
              <w:t>/20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432B9EC7">
            <w:pPr>
              <w:spacing w:line="240" w:lineRule="exact"/>
              <w:ind w:firstLine="0" w:firstLineChars="0"/>
              <w:jc w:val="center"/>
              <w:rPr>
                <w:sz w:val="16"/>
                <w:szCs w:val="16"/>
              </w:rPr>
            </w:pPr>
            <w:r>
              <w:rPr>
                <w:sz w:val="16"/>
                <w:szCs w:val="16"/>
              </w:rPr>
              <w:t>300</w:t>
            </w:r>
            <w:r>
              <w:rPr>
                <w:sz w:val="16"/>
                <w:szCs w:val="16"/>
                <w:vertAlign w:val="superscript"/>
              </w:rPr>
              <w:t>a</w:t>
            </w:r>
            <w:r>
              <w:rPr>
                <w:sz w:val="16"/>
                <w:szCs w:val="16"/>
              </w:rPr>
              <w:t>/250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7B772190">
            <w:pPr>
              <w:spacing w:line="240" w:lineRule="exact"/>
              <w:ind w:firstLine="0" w:firstLineChars="0"/>
              <w:jc w:val="center"/>
              <w:rPr>
                <w:sz w:val="16"/>
                <w:szCs w:val="16"/>
              </w:rPr>
            </w:pPr>
            <w:r>
              <w:rPr>
                <w:sz w:val="16"/>
                <w:szCs w:val="16"/>
              </w:rPr>
              <w:t>100</w:t>
            </w:r>
            <w:r>
              <w:rPr>
                <w:sz w:val="16"/>
                <w:szCs w:val="16"/>
                <w:vertAlign w:val="superscript"/>
              </w:rPr>
              <w:t>a</w:t>
            </w:r>
            <w:r>
              <w:rPr>
                <w:sz w:val="16"/>
                <w:szCs w:val="16"/>
              </w:rPr>
              <w:t>/80</w:t>
            </w:r>
            <w:r>
              <w:rPr>
                <w:sz w:val="16"/>
                <w:szCs w:val="16"/>
                <w:vertAlign w:val="superscript"/>
              </w:rPr>
              <w:t>b</w:t>
            </w:r>
          </w:p>
        </w:tc>
        <w:tc>
          <w:tcPr>
            <w:tcW w:w="708" w:type="dxa"/>
            <w:tcBorders>
              <w:top w:val="single" w:color="auto" w:sz="4" w:space="0"/>
              <w:left w:val="single" w:color="auto" w:sz="4" w:space="0"/>
              <w:bottom w:val="single" w:color="auto" w:sz="4" w:space="0"/>
              <w:right w:val="single" w:color="auto" w:sz="4" w:space="0"/>
            </w:tcBorders>
            <w:vAlign w:val="center"/>
          </w:tcPr>
          <w:p w14:paraId="244F9962">
            <w:pPr>
              <w:spacing w:line="240" w:lineRule="exact"/>
              <w:ind w:firstLine="0" w:firstLineChars="0"/>
              <w:jc w:val="center"/>
              <w:rPr>
                <w:sz w:val="16"/>
                <w:szCs w:val="16"/>
              </w:rPr>
            </w:pPr>
            <w:r>
              <w:rPr>
                <w:sz w:val="16"/>
                <w:szCs w:val="16"/>
              </w:rPr>
              <w:t>100</w:t>
            </w:r>
            <w:r>
              <w:rPr>
                <w:sz w:val="16"/>
                <w:szCs w:val="16"/>
                <w:vertAlign w:val="superscript"/>
              </w:rPr>
              <w:t>a</w:t>
            </w:r>
            <w:r>
              <w:rPr>
                <w:sz w:val="16"/>
                <w:szCs w:val="16"/>
              </w:rPr>
              <w:t>/80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1CBC190C">
            <w:pPr>
              <w:spacing w:line="240" w:lineRule="exact"/>
              <w:ind w:firstLine="0" w:firstLineChars="0"/>
              <w:jc w:val="center"/>
              <w:rPr>
                <w:sz w:val="16"/>
                <w:szCs w:val="16"/>
              </w:rPr>
            </w:pPr>
            <w:r>
              <w:rPr>
                <w:sz w:val="16"/>
                <w:szCs w:val="16"/>
              </w:rPr>
              <w:t>60</w:t>
            </w:r>
            <w:r>
              <w:rPr>
                <w:sz w:val="16"/>
                <w:szCs w:val="16"/>
                <w:vertAlign w:val="superscript"/>
              </w:rPr>
              <w:t>a</w:t>
            </w:r>
            <w:r>
              <w:rPr>
                <w:sz w:val="16"/>
                <w:szCs w:val="16"/>
              </w:rPr>
              <w:t>/50</w:t>
            </w:r>
            <w:r>
              <w:rPr>
                <w:sz w:val="16"/>
                <w:szCs w:val="16"/>
                <w:vertAlign w:val="superscript"/>
              </w:rPr>
              <w:t>b</w:t>
            </w:r>
          </w:p>
        </w:tc>
        <w:tc>
          <w:tcPr>
            <w:tcW w:w="992" w:type="dxa"/>
            <w:tcBorders>
              <w:top w:val="single" w:color="auto" w:sz="4" w:space="0"/>
              <w:left w:val="single" w:color="auto" w:sz="4" w:space="0"/>
              <w:bottom w:val="single" w:color="auto" w:sz="4" w:space="0"/>
              <w:right w:val="single" w:color="auto" w:sz="4" w:space="0"/>
            </w:tcBorders>
            <w:vAlign w:val="center"/>
          </w:tcPr>
          <w:p w14:paraId="7719B008">
            <w:pPr>
              <w:spacing w:line="240" w:lineRule="exact"/>
              <w:ind w:firstLine="0" w:firstLineChars="0"/>
              <w:jc w:val="center"/>
              <w:rPr>
                <w:sz w:val="16"/>
                <w:szCs w:val="16"/>
              </w:rPr>
            </w:pPr>
            <w:r>
              <w:rPr>
                <w:sz w:val="16"/>
                <w:szCs w:val="16"/>
              </w:rPr>
              <w:t>0.05</w:t>
            </w:r>
            <w:r>
              <w:rPr>
                <w:sz w:val="16"/>
                <w:szCs w:val="16"/>
                <w:vertAlign w:val="superscript"/>
              </w:rPr>
              <w:t>c</w:t>
            </w:r>
          </w:p>
        </w:tc>
        <w:tc>
          <w:tcPr>
            <w:tcW w:w="1401" w:type="dxa"/>
            <w:tcBorders>
              <w:top w:val="single" w:color="auto" w:sz="4" w:space="0"/>
              <w:left w:val="single" w:color="auto" w:sz="4" w:space="0"/>
              <w:bottom w:val="single" w:color="auto" w:sz="4" w:space="0"/>
              <w:right w:val="single" w:color="auto" w:sz="4" w:space="0"/>
            </w:tcBorders>
            <w:vAlign w:val="center"/>
          </w:tcPr>
          <w:p w14:paraId="2F831878">
            <w:pPr>
              <w:spacing w:line="240" w:lineRule="exact"/>
              <w:ind w:firstLine="0" w:firstLineChars="0"/>
              <w:jc w:val="center"/>
              <w:rPr>
                <w:sz w:val="16"/>
                <w:szCs w:val="16"/>
              </w:rPr>
            </w:pPr>
            <w:r>
              <w:rPr>
                <w:sz w:val="16"/>
                <w:szCs w:val="16"/>
              </w:rPr>
              <w:t>0.1</w:t>
            </w:r>
            <w:r>
              <w:rPr>
                <w:sz w:val="16"/>
                <w:szCs w:val="16"/>
                <w:vertAlign w:val="superscript"/>
              </w:rPr>
              <w:t>c</w:t>
            </w:r>
          </w:p>
        </w:tc>
        <w:tc>
          <w:tcPr>
            <w:tcW w:w="1984" w:type="dxa"/>
            <w:tcBorders>
              <w:top w:val="single" w:color="auto" w:sz="4" w:space="0"/>
              <w:left w:val="single" w:color="auto" w:sz="4" w:space="0"/>
              <w:bottom w:val="single" w:color="auto" w:sz="4" w:space="0"/>
              <w:right w:val="single" w:color="auto" w:sz="4" w:space="0"/>
            </w:tcBorders>
            <w:vAlign w:val="center"/>
          </w:tcPr>
          <w:p w14:paraId="534E8D48">
            <w:pPr>
              <w:spacing w:line="240" w:lineRule="exact"/>
              <w:ind w:firstLine="0" w:firstLineChars="0"/>
              <w:jc w:val="center"/>
              <w:rPr>
                <w:sz w:val="16"/>
                <w:szCs w:val="16"/>
              </w:rPr>
            </w:pPr>
            <w:r>
              <w:rPr>
                <w:sz w:val="16"/>
                <w:szCs w:val="16"/>
              </w:rPr>
              <w:t>1.0</w:t>
            </w:r>
            <w:r>
              <w:rPr>
                <w:sz w:val="16"/>
                <w:szCs w:val="16"/>
                <w:vertAlign w:val="superscript"/>
              </w:rPr>
              <w:t>c</w:t>
            </w:r>
          </w:p>
        </w:tc>
        <w:tc>
          <w:tcPr>
            <w:tcW w:w="1152" w:type="dxa"/>
            <w:tcBorders>
              <w:top w:val="single" w:color="auto" w:sz="4" w:space="0"/>
              <w:left w:val="single" w:color="auto" w:sz="4" w:space="0"/>
              <w:bottom w:val="single" w:color="auto" w:sz="4" w:space="0"/>
              <w:right w:val="single" w:color="auto" w:sz="4" w:space="0"/>
            </w:tcBorders>
            <w:vAlign w:val="center"/>
          </w:tcPr>
          <w:p w14:paraId="078EED42">
            <w:pPr>
              <w:spacing w:line="240" w:lineRule="exact"/>
              <w:ind w:firstLine="0" w:firstLineChars="0"/>
              <w:jc w:val="center"/>
              <w:rPr>
                <w:sz w:val="16"/>
                <w:szCs w:val="16"/>
              </w:rPr>
            </w:pPr>
            <w:r>
              <w:rPr>
                <w:sz w:val="16"/>
                <w:szCs w:val="16"/>
              </w:rPr>
              <w:t>0.1</w:t>
            </w:r>
            <w:r>
              <w:rPr>
                <w:sz w:val="16"/>
                <w:szCs w:val="16"/>
                <w:vertAlign w:val="superscript"/>
              </w:rPr>
              <w:t>c</w:t>
            </w:r>
          </w:p>
        </w:tc>
        <w:tc>
          <w:tcPr>
            <w:tcW w:w="691" w:type="dxa"/>
            <w:tcBorders>
              <w:top w:val="single" w:color="auto" w:sz="4" w:space="0"/>
              <w:left w:val="single" w:color="auto" w:sz="4" w:space="0"/>
              <w:bottom w:val="single" w:color="auto" w:sz="4" w:space="0"/>
              <w:right w:val="single" w:color="auto" w:sz="4" w:space="0"/>
            </w:tcBorders>
            <w:vAlign w:val="center"/>
          </w:tcPr>
          <w:p w14:paraId="1130B83F">
            <w:pPr>
              <w:spacing w:line="240" w:lineRule="exact"/>
              <w:ind w:firstLine="0" w:firstLineChars="0"/>
              <w:jc w:val="center"/>
              <w:rPr>
                <w:sz w:val="16"/>
                <w:szCs w:val="16"/>
              </w:rPr>
            </w:pPr>
            <w:r>
              <w:rPr>
                <w:sz w:val="16"/>
                <w:szCs w:val="16"/>
              </w:rPr>
              <w:t>/</w:t>
            </w:r>
          </w:p>
        </w:tc>
        <w:tc>
          <w:tcPr>
            <w:tcW w:w="1369" w:type="dxa"/>
            <w:tcBorders>
              <w:top w:val="single" w:color="auto" w:sz="4" w:space="0"/>
              <w:left w:val="single" w:color="auto" w:sz="4" w:space="0"/>
              <w:bottom w:val="single" w:color="auto" w:sz="4" w:space="0"/>
              <w:right w:val="single" w:color="auto" w:sz="4" w:space="0"/>
            </w:tcBorders>
            <w:vAlign w:val="center"/>
          </w:tcPr>
          <w:p w14:paraId="1519165E">
            <w:pPr>
              <w:spacing w:line="240" w:lineRule="exact"/>
              <w:ind w:firstLine="0" w:firstLineChars="0"/>
              <w:jc w:val="center"/>
              <w:rPr>
                <w:sz w:val="16"/>
                <w:szCs w:val="16"/>
              </w:rPr>
            </w:pPr>
            <w:r>
              <w:rPr>
                <w:rFonts w:hint="eastAsia"/>
                <w:sz w:val="16"/>
                <w:szCs w:val="16"/>
              </w:rPr>
              <w:t>基准氧含量</w:t>
            </w:r>
            <w:r>
              <w:rPr>
                <w:sz w:val="16"/>
                <w:szCs w:val="16"/>
              </w:rPr>
              <w:t>11%</w:t>
            </w:r>
          </w:p>
        </w:tc>
      </w:tr>
      <w:tr w14:paraId="3ABBB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6C97E2F3">
            <w:pPr>
              <w:spacing w:line="240" w:lineRule="exact"/>
              <w:ind w:firstLine="0" w:firstLineChars="0"/>
              <w:jc w:val="center"/>
              <w:rPr>
                <w:b/>
                <w:bCs/>
                <w:color w:val="FF0000"/>
                <w:sz w:val="16"/>
                <w:szCs w:val="16"/>
              </w:rPr>
            </w:pPr>
            <w:r>
              <w:rPr>
                <w:rFonts w:hint="eastAsia"/>
                <w:b/>
                <w:bCs/>
                <w:color w:val="FF0000"/>
                <w:sz w:val="16"/>
                <w:szCs w:val="16"/>
              </w:rPr>
              <w:t>本标准</w:t>
            </w:r>
          </w:p>
        </w:tc>
        <w:tc>
          <w:tcPr>
            <w:tcW w:w="867" w:type="dxa"/>
            <w:tcBorders>
              <w:top w:val="single" w:color="auto" w:sz="4" w:space="0"/>
              <w:left w:val="single" w:color="auto" w:sz="4" w:space="0"/>
              <w:bottom w:val="single" w:color="auto" w:sz="4" w:space="0"/>
              <w:right w:val="single" w:color="auto" w:sz="4" w:space="0"/>
            </w:tcBorders>
            <w:vAlign w:val="center"/>
          </w:tcPr>
          <w:p w14:paraId="19EA87C7">
            <w:pPr>
              <w:spacing w:line="240" w:lineRule="exact"/>
              <w:ind w:firstLine="0" w:firstLineChars="0"/>
              <w:jc w:val="center"/>
              <w:rPr>
                <w:b/>
                <w:bCs/>
                <w:color w:val="FF0000"/>
                <w:sz w:val="16"/>
                <w:szCs w:val="16"/>
              </w:rPr>
            </w:pPr>
            <w:r>
              <w:rPr>
                <w:b/>
                <w:bCs/>
                <w:color w:val="FF0000"/>
                <w:sz w:val="16"/>
                <w:szCs w:val="16"/>
              </w:rPr>
              <w:t>10</w:t>
            </w:r>
            <w:r>
              <w:rPr>
                <w:b/>
                <w:bCs/>
                <w:color w:val="FF0000"/>
                <w:sz w:val="16"/>
                <w:szCs w:val="16"/>
                <w:vertAlign w:val="superscript"/>
              </w:rPr>
              <w:t>a</w:t>
            </w:r>
            <w:r>
              <w:rPr>
                <w:b/>
                <w:bCs/>
                <w:color w:val="FF0000"/>
                <w:sz w:val="16"/>
                <w:szCs w:val="16"/>
              </w:rPr>
              <w:t>/8</w:t>
            </w:r>
            <w:r>
              <w:rPr>
                <w:b/>
                <w:bCs/>
                <w:color w:val="FF0000"/>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5567AEBD">
            <w:pPr>
              <w:spacing w:line="240" w:lineRule="exact"/>
              <w:ind w:firstLine="0" w:firstLineChars="0"/>
              <w:jc w:val="center"/>
              <w:rPr>
                <w:b/>
                <w:bCs/>
                <w:color w:val="FF0000"/>
                <w:sz w:val="16"/>
                <w:szCs w:val="16"/>
              </w:rPr>
            </w:pPr>
            <w:r>
              <w:rPr>
                <w:b/>
                <w:bCs/>
                <w:color w:val="FF0000"/>
                <w:sz w:val="16"/>
                <w:szCs w:val="16"/>
              </w:rPr>
              <w:t>120</w:t>
            </w:r>
            <w:r>
              <w:rPr>
                <w:b/>
                <w:bCs/>
                <w:color w:val="FF0000"/>
                <w:sz w:val="16"/>
                <w:szCs w:val="16"/>
                <w:vertAlign w:val="superscript"/>
              </w:rPr>
              <w:t>a</w:t>
            </w:r>
            <w:r>
              <w:rPr>
                <w:b/>
                <w:bCs/>
                <w:color w:val="FF0000"/>
                <w:sz w:val="16"/>
                <w:szCs w:val="16"/>
              </w:rPr>
              <w:t>/100</w:t>
            </w:r>
            <w:r>
              <w:rPr>
                <w:b/>
                <w:bCs/>
                <w:color w:val="FF0000"/>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05A77383">
            <w:pPr>
              <w:spacing w:line="240" w:lineRule="exact"/>
              <w:ind w:firstLine="0" w:firstLineChars="0"/>
              <w:jc w:val="center"/>
              <w:rPr>
                <w:b/>
                <w:bCs/>
                <w:color w:val="FF0000"/>
                <w:sz w:val="16"/>
                <w:szCs w:val="16"/>
              </w:rPr>
            </w:pPr>
            <w:r>
              <w:rPr>
                <w:b/>
                <w:bCs/>
                <w:color w:val="FF0000"/>
                <w:sz w:val="16"/>
                <w:szCs w:val="16"/>
              </w:rPr>
              <w:t>40</w:t>
            </w:r>
            <w:r>
              <w:rPr>
                <w:b/>
                <w:bCs/>
                <w:color w:val="FF0000"/>
                <w:sz w:val="16"/>
                <w:szCs w:val="16"/>
                <w:vertAlign w:val="superscript"/>
              </w:rPr>
              <w:t>a</w:t>
            </w:r>
            <w:r>
              <w:rPr>
                <w:b/>
                <w:bCs/>
                <w:color w:val="FF0000"/>
                <w:sz w:val="16"/>
                <w:szCs w:val="16"/>
              </w:rPr>
              <w:t>/20</w:t>
            </w:r>
            <w:r>
              <w:rPr>
                <w:b/>
                <w:bCs/>
                <w:color w:val="FF0000"/>
                <w:sz w:val="16"/>
                <w:szCs w:val="16"/>
                <w:vertAlign w:val="superscript"/>
              </w:rPr>
              <w:t>b</w:t>
            </w:r>
          </w:p>
        </w:tc>
        <w:tc>
          <w:tcPr>
            <w:tcW w:w="708" w:type="dxa"/>
            <w:tcBorders>
              <w:top w:val="single" w:color="auto" w:sz="4" w:space="0"/>
              <w:left w:val="single" w:color="auto" w:sz="4" w:space="0"/>
              <w:bottom w:val="single" w:color="auto" w:sz="4" w:space="0"/>
              <w:right w:val="single" w:color="auto" w:sz="4" w:space="0"/>
            </w:tcBorders>
            <w:vAlign w:val="center"/>
          </w:tcPr>
          <w:p w14:paraId="04071CD2">
            <w:pPr>
              <w:spacing w:line="240" w:lineRule="exact"/>
              <w:ind w:firstLine="0" w:firstLineChars="0"/>
              <w:jc w:val="center"/>
              <w:rPr>
                <w:b/>
                <w:bCs/>
                <w:color w:val="FF0000"/>
                <w:sz w:val="16"/>
                <w:szCs w:val="16"/>
              </w:rPr>
            </w:pPr>
            <w:r>
              <w:rPr>
                <w:b/>
                <w:bCs/>
                <w:color w:val="FF0000"/>
                <w:sz w:val="16"/>
                <w:szCs w:val="16"/>
              </w:rPr>
              <w:t>100</w:t>
            </w:r>
            <w:r>
              <w:rPr>
                <w:b/>
                <w:bCs/>
                <w:color w:val="FF0000"/>
                <w:sz w:val="16"/>
                <w:szCs w:val="16"/>
                <w:vertAlign w:val="superscript"/>
              </w:rPr>
              <w:t>a</w:t>
            </w:r>
            <w:r>
              <w:rPr>
                <w:b/>
                <w:bCs/>
                <w:color w:val="FF0000"/>
                <w:sz w:val="16"/>
                <w:szCs w:val="16"/>
              </w:rPr>
              <w:t>/80</w:t>
            </w:r>
            <w:r>
              <w:rPr>
                <w:b/>
                <w:bCs/>
                <w:color w:val="FF0000"/>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1FE9488F">
            <w:pPr>
              <w:spacing w:line="240" w:lineRule="exact"/>
              <w:ind w:firstLine="0" w:firstLineChars="0"/>
              <w:jc w:val="center"/>
              <w:rPr>
                <w:b/>
                <w:bCs/>
                <w:color w:val="FF0000"/>
                <w:sz w:val="16"/>
                <w:szCs w:val="16"/>
              </w:rPr>
            </w:pPr>
            <w:r>
              <w:rPr>
                <w:b/>
                <w:bCs/>
                <w:color w:val="FF0000"/>
                <w:sz w:val="16"/>
                <w:szCs w:val="16"/>
              </w:rPr>
              <w:t>20</w:t>
            </w:r>
            <w:r>
              <w:rPr>
                <w:b/>
                <w:bCs/>
                <w:color w:val="FF0000"/>
                <w:sz w:val="16"/>
                <w:szCs w:val="16"/>
                <w:vertAlign w:val="superscript"/>
              </w:rPr>
              <w:t>a</w:t>
            </w:r>
            <w:r>
              <w:rPr>
                <w:b/>
                <w:bCs/>
                <w:color w:val="FF0000"/>
                <w:sz w:val="16"/>
                <w:szCs w:val="16"/>
              </w:rPr>
              <w:t>/10</w:t>
            </w:r>
            <w:r>
              <w:rPr>
                <w:b/>
                <w:bCs/>
                <w:color w:val="FF0000"/>
                <w:sz w:val="16"/>
                <w:szCs w:val="16"/>
                <w:vertAlign w:val="superscript"/>
              </w:rPr>
              <w:t>b</w:t>
            </w:r>
          </w:p>
        </w:tc>
        <w:tc>
          <w:tcPr>
            <w:tcW w:w="992" w:type="dxa"/>
            <w:tcBorders>
              <w:top w:val="single" w:color="auto" w:sz="4" w:space="0"/>
              <w:left w:val="single" w:color="auto" w:sz="4" w:space="0"/>
              <w:bottom w:val="single" w:color="auto" w:sz="4" w:space="0"/>
              <w:right w:val="single" w:color="auto" w:sz="4" w:space="0"/>
            </w:tcBorders>
            <w:vAlign w:val="center"/>
          </w:tcPr>
          <w:p w14:paraId="53914621">
            <w:pPr>
              <w:spacing w:line="240" w:lineRule="exact"/>
              <w:ind w:firstLine="0" w:firstLineChars="0"/>
              <w:jc w:val="center"/>
              <w:rPr>
                <w:b/>
                <w:bCs/>
                <w:color w:val="FF0000"/>
                <w:sz w:val="16"/>
                <w:szCs w:val="16"/>
              </w:rPr>
            </w:pPr>
            <w:r>
              <w:rPr>
                <w:b/>
                <w:bCs/>
                <w:color w:val="FF0000"/>
                <w:sz w:val="16"/>
                <w:szCs w:val="16"/>
              </w:rPr>
              <w:t>0.02</w:t>
            </w:r>
            <w:r>
              <w:rPr>
                <w:b/>
                <w:bCs/>
                <w:color w:val="FF0000"/>
                <w:sz w:val="16"/>
                <w:szCs w:val="16"/>
                <w:vertAlign w:val="superscript"/>
              </w:rPr>
              <w:t>c</w:t>
            </w:r>
          </w:p>
        </w:tc>
        <w:tc>
          <w:tcPr>
            <w:tcW w:w="1401" w:type="dxa"/>
            <w:tcBorders>
              <w:top w:val="single" w:color="auto" w:sz="4" w:space="0"/>
              <w:left w:val="single" w:color="auto" w:sz="4" w:space="0"/>
              <w:bottom w:val="single" w:color="auto" w:sz="4" w:space="0"/>
              <w:right w:val="single" w:color="auto" w:sz="4" w:space="0"/>
            </w:tcBorders>
            <w:vAlign w:val="center"/>
          </w:tcPr>
          <w:p w14:paraId="073C31F7">
            <w:pPr>
              <w:spacing w:line="240" w:lineRule="exact"/>
              <w:ind w:firstLine="0" w:firstLineChars="0"/>
              <w:jc w:val="center"/>
              <w:rPr>
                <w:b/>
                <w:bCs/>
                <w:color w:val="FF0000"/>
                <w:sz w:val="16"/>
                <w:szCs w:val="16"/>
              </w:rPr>
            </w:pPr>
            <w:r>
              <w:rPr>
                <w:b/>
                <w:bCs/>
                <w:color w:val="FF0000"/>
                <w:sz w:val="16"/>
                <w:szCs w:val="16"/>
              </w:rPr>
              <w:t>0.03</w:t>
            </w:r>
            <w:r>
              <w:rPr>
                <w:b/>
                <w:bCs/>
                <w:color w:val="FF0000"/>
                <w:sz w:val="16"/>
                <w:szCs w:val="16"/>
                <w:vertAlign w:val="superscript"/>
              </w:rPr>
              <w:t>c</w:t>
            </w:r>
          </w:p>
        </w:tc>
        <w:tc>
          <w:tcPr>
            <w:tcW w:w="1984" w:type="dxa"/>
            <w:tcBorders>
              <w:top w:val="single" w:color="auto" w:sz="4" w:space="0"/>
              <w:left w:val="single" w:color="auto" w:sz="4" w:space="0"/>
              <w:bottom w:val="single" w:color="auto" w:sz="4" w:space="0"/>
              <w:right w:val="single" w:color="auto" w:sz="4" w:space="0"/>
            </w:tcBorders>
            <w:vAlign w:val="center"/>
          </w:tcPr>
          <w:p w14:paraId="2B557945">
            <w:pPr>
              <w:spacing w:line="240" w:lineRule="exact"/>
              <w:ind w:firstLine="0" w:firstLineChars="0"/>
              <w:jc w:val="center"/>
              <w:rPr>
                <w:b/>
                <w:bCs/>
                <w:color w:val="FF0000"/>
                <w:sz w:val="16"/>
                <w:szCs w:val="16"/>
              </w:rPr>
            </w:pPr>
            <w:r>
              <w:rPr>
                <w:b/>
                <w:bCs/>
                <w:color w:val="FF0000"/>
                <w:sz w:val="16"/>
                <w:szCs w:val="16"/>
              </w:rPr>
              <w:t>0.3</w:t>
            </w:r>
            <w:r>
              <w:rPr>
                <w:b/>
                <w:bCs/>
                <w:color w:val="FF0000"/>
                <w:sz w:val="16"/>
                <w:szCs w:val="16"/>
                <w:vertAlign w:val="superscript"/>
              </w:rPr>
              <w:t>c</w:t>
            </w:r>
          </w:p>
        </w:tc>
        <w:tc>
          <w:tcPr>
            <w:tcW w:w="1152" w:type="dxa"/>
            <w:tcBorders>
              <w:top w:val="single" w:color="auto" w:sz="4" w:space="0"/>
              <w:left w:val="single" w:color="auto" w:sz="4" w:space="0"/>
              <w:bottom w:val="single" w:color="auto" w:sz="4" w:space="0"/>
              <w:right w:val="single" w:color="auto" w:sz="4" w:space="0"/>
            </w:tcBorders>
            <w:vAlign w:val="center"/>
          </w:tcPr>
          <w:p w14:paraId="091A09D0">
            <w:pPr>
              <w:spacing w:line="240" w:lineRule="exact"/>
              <w:ind w:firstLine="0" w:firstLineChars="0"/>
              <w:jc w:val="center"/>
              <w:rPr>
                <w:b/>
                <w:bCs/>
                <w:color w:val="FF0000"/>
                <w:sz w:val="16"/>
                <w:szCs w:val="16"/>
              </w:rPr>
            </w:pPr>
            <w:r>
              <w:rPr>
                <w:b/>
                <w:bCs/>
                <w:color w:val="FF0000"/>
                <w:sz w:val="16"/>
                <w:szCs w:val="16"/>
              </w:rPr>
              <w:t>0.1</w:t>
            </w:r>
            <w:r>
              <w:rPr>
                <w:b/>
                <w:bCs/>
                <w:color w:val="FF0000"/>
                <w:sz w:val="16"/>
                <w:szCs w:val="16"/>
                <w:vertAlign w:val="superscript"/>
              </w:rPr>
              <w:t>c</w:t>
            </w:r>
          </w:p>
        </w:tc>
        <w:tc>
          <w:tcPr>
            <w:tcW w:w="691" w:type="dxa"/>
            <w:tcBorders>
              <w:top w:val="single" w:color="auto" w:sz="4" w:space="0"/>
              <w:left w:val="single" w:color="auto" w:sz="4" w:space="0"/>
              <w:bottom w:val="single" w:color="auto" w:sz="4" w:space="0"/>
              <w:right w:val="single" w:color="auto" w:sz="4" w:space="0"/>
            </w:tcBorders>
            <w:vAlign w:val="center"/>
          </w:tcPr>
          <w:p w14:paraId="46F71773">
            <w:pPr>
              <w:spacing w:line="240" w:lineRule="exact"/>
              <w:ind w:firstLine="0" w:firstLineChars="0"/>
              <w:jc w:val="center"/>
              <w:rPr>
                <w:b/>
                <w:bCs/>
                <w:color w:val="FF0000"/>
                <w:sz w:val="16"/>
                <w:szCs w:val="16"/>
              </w:rPr>
            </w:pPr>
            <w:r>
              <w:rPr>
                <w:b/>
                <w:bCs/>
                <w:color w:val="FF0000"/>
                <w:sz w:val="16"/>
                <w:szCs w:val="16"/>
              </w:rPr>
              <w:t>8</w:t>
            </w:r>
            <w:r>
              <w:rPr>
                <w:b/>
                <w:bCs/>
                <w:color w:val="FF0000"/>
                <w:sz w:val="16"/>
                <w:szCs w:val="16"/>
                <w:vertAlign w:val="superscript"/>
              </w:rPr>
              <w:t>a</w:t>
            </w:r>
          </w:p>
        </w:tc>
        <w:tc>
          <w:tcPr>
            <w:tcW w:w="1369" w:type="dxa"/>
            <w:tcBorders>
              <w:top w:val="single" w:color="auto" w:sz="4" w:space="0"/>
              <w:left w:val="single" w:color="auto" w:sz="4" w:space="0"/>
              <w:bottom w:val="single" w:color="auto" w:sz="4" w:space="0"/>
              <w:right w:val="single" w:color="auto" w:sz="4" w:space="0"/>
            </w:tcBorders>
            <w:vAlign w:val="center"/>
          </w:tcPr>
          <w:p w14:paraId="104B7B09">
            <w:pPr>
              <w:spacing w:line="240" w:lineRule="exact"/>
              <w:ind w:firstLine="0" w:firstLineChars="0"/>
              <w:jc w:val="center"/>
              <w:rPr>
                <w:b/>
                <w:bCs/>
                <w:color w:val="FF0000"/>
                <w:sz w:val="16"/>
                <w:szCs w:val="16"/>
              </w:rPr>
            </w:pPr>
            <w:r>
              <w:rPr>
                <w:rFonts w:hint="eastAsia"/>
                <w:b/>
                <w:bCs/>
                <w:color w:val="FF0000"/>
                <w:sz w:val="16"/>
                <w:szCs w:val="16"/>
              </w:rPr>
              <w:t>基准氧含量</w:t>
            </w:r>
            <w:r>
              <w:rPr>
                <w:b/>
                <w:bCs/>
                <w:color w:val="FF0000"/>
                <w:sz w:val="16"/>
                <w:szCs w:val="16"/>
              </w:rPr>
              <w:t>11%</w:t>
            </w:r>
          </w:p>
        </w:tc>
      </w:tr>
      <w:tr w14:paraId="5E88E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4F521DBB">
            <w:pPr>
              <w:spacing w:line="240" w:lineRule="exact"/>
              <w:ind w:firstLine="0" w:firstLineChars="0"/>
              <w:jc w:val="center"/>
              <w:rPr>
                <w:sz w:val="16"/>
                <w:szCs w:val="16"/>
              </w:rPr>
            </w:pPr>
            <w:r>
              <w:rPr>
                <w:rFonts w:hint="eastAsia"/>
                <w:sz w:val="16"/>
                <w:szCs w:val="16"/>
              </w:rPr>
              <w:t>山东省《生活垃圾焚烧大气污染物排放标准（征求意见稿）》</w:t>
            </w:r>
          </w:p>
        </w:tc>
        <w:tc>
          <w:tcPr>
            <w:tcW w:w="867" w:type="dxa"/>
            <w:tcBorders>
              <w:top w:val="single" w:color="auto" w:sz="4" w:space="0"/>
              <w:left w:val="single" w:color="auto" w:sz="4" w:space="0"/>
              <w:bottom w:val="single" w:color="auto" w:sz="4" w:space="0"/>
              <w:right w:val="single" w:color="auto" w:sz="4" w:space="0"/>
            </w:tcBorders>
            <w:vAlign w:val="center"/>
          </w:tcPr>
          <w:p w14:paraId="1C4B6AE0">
            <w:pPr>
              <w:spacing w:line="240" w:lineRule="exact"/>
              <w:ind w:firstLine="0" w:firstLineChars="0"/>
              <w:jc w:val="center"/>
              <w:rPr>
                <w:sz w:val="16"/>
                <w:szCs w:val="16"/>
              </w:rPr>
            </w:pPr>
            <w:r>
              <w:rPr>
                <w:sz w:val="16"/>
                <w:szCs w:val="16"/>
              </w:rPr>
              <w:t>10</w:t>
            </w:r>
            <w:r>
              <w:rPr>
                <w:sz w:val="16"/>
                <w:szCs w:val="16"/>
                <w:vertAlign w:val="superscript"/>
              </w:rPr>
              <w:t>a</w:t>
            </w:r>
            <w:r>
              <w:rPr>
                <w:sz w:val="16"/>
                <w:szCs w:val="16"/>
              </w:rPr>
              <w:t>/8</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144FC1FC">
            <w:pPr>
              <w:spacing w:line="240" w:lineRule="exact"/>
              <w:ind w:firstLine="0" w:firstLineChars="0"/>
              <w:jc w:val="center"/>
              <w:rPr>
                <w:sz w:val="16"/>
                <w:szCs w:val="16"/>
              </w:rPr>
            </w:pPr>
            <w:r>
              <w:rPr>
                <w:sz w:val="16"/>
                <w:szCs w:val="16"/>
              </w:rPr>
              <w:t>150</w:t>
            </w:r>
            <w:r>
              <w:rPr>
                <w:sz w:val="16"/>
                <w:szCs w:val="16"/>
                <w:vertAlign w:val="superscript"/>
              </w:rPr>
              <w:t>a</w:t>
            </w:r>
            <w:r>
              <w:rPr>
                <w:sz w:val="16"/>
                <w:szCs w:val="16"/>
              </w:rPr>
              <w:t>/120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52D19346">
            <w:pPr>
              <w:spacing w:line="240" w:lineRule="exact"/>
              <w:ind w:firstLine="0" w:firstLineChars="0"/>
              <w:jc w:val="center"/>
              <w:rPr>
                <w:sz w:val="16"/>
                <w:szCs w:val="16"/>
              </w:rPr>
            </w:pPr>
            <w:r>
              <w:rPr>
                <w:sz w:val="16"/>
                <w:szCs w:val="16"/>
              </w:rPr>
              <w:t>40</w:t>
            </w:r>
            <w:r>
              <w:rPr>
                <w:sz w:val="16"/>
                <w:szCs w:val="16"/>
                <w:vertAlign w:val="superscript"/>
              </w:rPr>
              <w:t>a</w:t>
            </w:r>
            <w:r>
              <w:rPr>
                <w:sz w:val="16"/>
                <w:szCs w:val="16"/>
              </w:rPr>
              <w:t>/30</w:t>
            </w:r>
            <w:r>
              <w:rPr>
                <w:sz w:val="16"/>
                <w:szCs w:val="16"/>
                <w:vertAlign w:val="superscript"/>
              </w:rPr>
              <w:t>b</w:t>
            </w:r>
          </w:p>
        </w:tc>
        <w:tc>
          <w:tcPr>
            <w:tcW w:w="708" w:type="dxa"/>
            <w:tcBorders>
              <w:top w:val="single" w:color="auto" w:sz="4" w:space="0"/>
              <w:left w:val="single" w:color="auto" w:sz="4" w:space="0"/>
              <w:bottom w:val="single" w:color="auto" w:sz="4" w:space="0"/>
              <w:right w:val="single" w:color="auto" w:sz="4" w:space="0"/>
            </w:tcBorders>
            <w:vAlign w:val="center"/>
          </w:tcPr>
          <w:p w14:paraId="4D0BBD25">
            <w:pPr>
              <w:spacing w:line="240" w:lineRule="exact"/>
              <w:ind w:firstLine="0" w:firstLineChars="0"/>
              <w:jc w:val="center"/>
              <w:rPr>
                <w:sz w:val="16"/>
                <w:szCs w:val="16"/>
              </w:rPr>
            </w:pPr>
            <w:r>
              <w:rPr>
                <w:sz w:val="16"/>
                <w:szCs w:val="16"/>
              </w:rPr>
              <w:t>100</w:t>
            </w:r>
            <w:r>
              <w:rPr>
                <w:sz w:val="16"/>
                <w:szCs w:val="16"/>
                <w:vertAlign w:val="superscript"/>
              </w:rPr>
              <w:t>a</w:t>
            </w:r>
            <w:r>
              <w:rPr>
                <w:sz w:val="16"/>
                <w:szCs w:val="16"/>
              </w:rPr>
              <w:t>/80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566410AD">
            <w:pPr>
              <w:spacing w:line="240" w:lineRule="exact"/>
              <w:ind w:firstLine="0" w:firstLineChars="0"/>
              <w:jc w:val="center"/>
              <w:rPr>
                <w:sz w:val="16"/>
                <w:szCs w:val="16"/>
              </w:rPr>
            </w:pPr>
            <w:r>
              <w:rPr>
                <w:sz w:val="16"/>
                <w:szCs w:val="16"/>
              </w:rPr>
              <w:t>20</w:t>
            </w:r>
            <w:r>
              <w:rPr>
                <w:sz w:val="16"/>
                <w:szCs w:val="16"/>
                <w:vertAlign w:val="superscript"/>
              </w:rPr>
              <w:t>a</w:t>
            </w:r>
            <w:r>
              <w:rPr>
                <w:sz w:val="16"/>
                <w:szCs w:val="16"/>
              </w:rPr>
              <w:t>/10</w:t>
            </w:r>
            <w:r>
              <w:rPr>
                <w:sz w:val="16"/>
                <w:szCs w:val="16"/>
                <w:vertAlign w:val="superscript"/>
              </w:rPr>
              <w:t>b</w:t>
            </w:r>
          </w:p>
        </w:tc>
        <w:tc>
          <w:tcPr>
            <w:tcW w:w="992" w:type="dxa"/>
            <w:tcBorders>
              <w:top w:val="single" w:color="auto" w:sz="4" w:space="0"/>
              <w:left w:val="single" w:color="auto" w:sz="4" w:space="0"/>
              <w:bottom w:val="single" w:color="auto" w:sz="4" w:space="0"/>
              <w:right w:val="single" w:color="auto" w:sz="4" w:space="0"/>
            </w:tcBorders>
            <w:vAlign w:val="center"/>
          </w:tcPr>
          <w:p w14:paraId="57E0ADB0">
            <w:pPr>
              <w:spacing w:line="240" w:lineRule="exact"/>
              <w:ind w:firstLine="0" w:firstLineChars="0"/>
              <w:jc w:val="center"/>
              <w:rPr>
                <w:sz w:val="16"/>
                <w:szCs w:val="16"/>
              </w:rPr>
            </w:pPr>
            <w:r>
              <w:rPr>
                <w:sz w:val="16"/>
                <w:szCs w:val="16"/>
              </w:rPr>
              <w:t>0.02</w:t>
            </w:r>
            <w:r>
              <w:rPr>
                <w:sz w:val="16"/>
                <w:szCs w:val="16"/>
                <w:vertAlign w:val="superscript"/>
              </w:rPr>
              <w:t>c</w:t>
            </w:r>
          </w:p>
        </w:tc>
        <w:tc>
          <w:tcPr>
            <w:tcW w:w="1401" w:type="dxa"/>
            <w:tcBorders>
              <w:top w:val="single" w:color="auto" w:sz="4" w:space="0"/>
              <w:left w:val="single" w:color="auto" w:sz="4" w:space="0"/>
              <w:bottom w:val="single" w:color="auto" w:sz="4" w:space="0"/>
              <w:right w:val="single" w:color="auto" w:sz="4" w:space="0"/>
            </w:tcBorders>
            <w:vAlign w:val="center"/>
          </w:tcPr>
          <w:p w14:paraId="617427E8">
            <w:pPr>
              <w:spacing w:line="240" w:lineRule="exact"/>
              <w:ind w:firstLine="0" w:firstLineChars="0"/>
              <w:jc w:val="center"/>
              <w:rPr>
                <w:sz w:val="16"/>
                <w:szCs w:val="16"/>
              </w:rPr>
            </w:pPr>
            <w:r>
              <w:rPr>
                <w:sz w:val="16"/>
                <w:szCs w:val="16"/>
              </w:rPr>
              <w:t>0.03</w:t>
            </w:r>
            <w:r>
              <w:rPr>
                <w:sz w:val="16"/>
                <w:szCs w:val="16"/>
                <w:vertAlign w:val="superscript"/>
              </w:rPr>
              <w:t>c</w:t>
            </w:r>
          </w:p>
        </w:tc>
        <w:tc>
          <w:tcPr>
            <w:tcW w:w="1984" w:type="dxa"/>
            <w:tcBorders>
              <w:top w:val="single" w:color="auto" w:sz="4" w:space="0"/>
              <w:left w:val="single" w:color="auto" w:sz="4" w:space="0"/>
              <w:bottom w:val="single" w:color="auto" w:sz="4" w:space="0"/>
              <w:right w:val="single" w:color="auto" w:sz="4" w:space="0"/>
            </w:tcBorders>
            <w:vAlign w:val="center"/>
          </w:tcPr>
          <w:p w14:paraId="402BC97F">
            <w:pPr>
              <w:spacing w:line="240" w:lineRule="exact"/>
              <w:ind w:firstLine="0" w:firstLineChars="0"/>
              <w:jc w:val="center"/>
              <w:rPr>
                <w:sz w:val="16"/>
                <w:szCs w:val="16"/>
              </w:rPr>
            </w:pPr>
            <w:r>
              <w:rPr>
                <w:sz w:val="16"/>
                <w:szCs w:val="16"/>
              </w:rPr>
              <w:t>0.3</w:t>
            </w:r>
            <w:r>
              <w:rPr>
                <w:sz w:val="16"/>
                <w:szCs w:val="16"/>
                <w:vertAlign w:val="superscript"/>
              </w:rPr>
              <w:t>c</w:t>
            </w:r>
          </w:p>
        </w:tc>
        <w:tc>
          <w:tcPr>
            <w:tcW w:w="1152" w:type="dxa"/>
            <w:tcBorders>
              <w:top w:val="single" w:color="auto" w:sz="4" w:space="0"/>
              <w:left w:val="single" w:color="auto" w:sz="4" w:space="0"/>
              <w:bottom w:val="single" w:color="auto" w:sz="4" w:space="0"/>
              <w:right w:val="single" w:color="auto" w:sz="4" w:space="0"/>
            </w:tcBorders>
            <w:vAlign w:val="center"/>
          </w:tcPr>
          <w:p w14:paraId="6ADDDB49">
            <w:pPr>
              <w:spacing w:line="240" w:lineRule="exact"/>
              <w:ind w:firstLine="0" w:firstLineChars="0"/>
              <w:jc w:val="center"/>
              <w:rPr>
                <w:sz w:val="16"/>
                <w:szCs w:val="16"/>
              </w:rPr>
            </w:pPr>
            <w:r>
              <w:rPr>
                <w:sz w:val="16"/>
                <w:szCs w:val="16"/>
              </w:rPr>
              <w:t>0.1</w:t>
            </w:r>
            <w:r>
              <w:rPr>
                <w:sz w:val="16"/>
                <w:szCs w:val="16"/>
                <w:vertAlign w:val="superscript"/>
              </w:rPr>
              <w:t>c</w:t>
            </w:r>
          </w:p>
        </w:tc>
        <w:tc>
          <w:tcPr>
            <w:tcW w:w="691" w:type="dxa"/>
            <w:tcBorders>
              <w:top w:val="single" w:color="auto" w:sz="4" w:space="0"/>
              <w:left w:val="single" w:color="auto" w:sz="4" w:space="0"/>
              <w:bottom w:val="single" w:color="auto" w:sz="4" w:space="0"/>
              <w:right w:val="single" w:color="auto" w:sz="4" w:space="0"/>
            </w:tcBorders>
            <w:vAlign w:val="center"/>
          </w:tcPr>
          <w:p w14:paraId="5C326AAA">
            <w:pPr>
              <w:spacing w:line="240" w:lineRule="exact"/>
              <w:ind w:firstLine="0" w:firstLineChars="0"/>
              <w:jc w:val="center"/>
              <w:rPr>
                <w:sz w:val="16"/>
                <w:szCs w:val="16"/>
              </w:rPr>
            </w:pPr>
            <w:r>
              <w:rPr>
                <w:sz w:val="16"/>
                <w:szCs w:val="16"/>
              </w:rPr>
              <w:t>8</w:t>
            </w:r>
            <w:r>
              <w:rPr>
                <w:sz w:val="16"/>
                <w:szCs w:val="16"/>
                <w:vertAlign w:val="superscript"/>
              </w:rPr>
              <w:t>a</w:t>
            </w:r>
          </w:p>
        </w:tc>
        <w:tc>
          <w:tcPr>
            <w:tcW w:w="1369" w:type="dxa"/>
            <w:tcBorders>
              <w:top w:val="single" w:color="auto" w:sz="4" w:space="0"/>
              <w:left w:val="single" w:color="auto" w:sz="4" w:space="0"/>
              <w:bottom w:val="single" w:color="auto" w:sz="4" w:space="0"/>
              <w:right w:val="single" w:color="auto" w:sz="4" w:space="0"/>
            </w:tcBorders>
            <w:vAlign w:val="center"/>
          </w:tcPr>
          <w:p w14:paraId="1532F25F">
            <w:pPr>
              <w:spacing w:line="240" w:lineRule="exact"/>
              <w:ind w:firstLine="0" w:firstLineChars="0"/>
              <w:jc w:val="center"/>
              <w:rPr>
                <w:sz w:val="16"/>
                <w:szCs w:val="16"/>
              </w:rPr>
            </w:pPr>
            <w:r>
              <w:rPr>
                <w:rFonts w:hint="eastAsia"/>
                <w:sz w:val="16"/>
                <w:szCs w:val="16"/>
              </w:rPr>
              <w:t>基准氧含量</w:t>
            </w:r>
            <w:r>
              <w:rPr>
                <w:sz w:val="16"/>
                <w:szCs w:val="16"/>
              </w:rPr>
              <w:t>11%</w:t>
            </w:r>
          </w:p>
        </w:tc>
      </w:tr>
      <w:tr w14:paraId="4C498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46360D04">
            <w:pPr>
              <w:spacing w:line="240" w:lineRule="exact"/>
              <w:ind w:firstLine="0" w:firstLineChars="0"/>
              <w:jc w:val="center"/>
              <w:rPr>
                <w:sz w:val="16"/>
                <w:szCs w:val="16"/>
              </w:rPr>
            </w:pPr>
            <w:r>
              <w:rPr>
                <w:rFonts w:hint="eastAsia"/>
                <w:sz w:val="16"/>
                <w:szCs w:val="16"/>
              </w:rPr>
              <w:t>上海市《生活垃圾焚烧大气污染物排放标准》</w:t>
            </w:r>
            <w:r>
              <w:rPr>
                <w:sz w:val="16"/>
                <w:szCs w:val="16"/>
              </w:rPr>
              <w:t>(DB 31/768-2013)</w:t>
            </w:r>
          </w:p>
        </w:tc>
        <w:tc>
          <w:tcPr>
            <w:tcW w:w="867" w:type="dxa"/>
            <w:tcBorders>
              <w:top w:val="single" w:color="auto" w:sz="4" w:space="0"/>
              <w:left w:val="single" w:color="auto" w:sz="4" w:space="0"/>
              <w:bottom w:val="single" w:color="auto" w:sz="4" w:space="0"/>
              <w:right w:val="single" w:color="auto" w:sz="4" w:space="0"/>
            </w:tcBorders>
            <w:vAlign w:val="center"/>
          </w:tcPr>
          <w:p w14:paraId="229E3D74">
            <w:pPr>
              <w:spacing w:line="240" w:lineRule="exact"/>
              <w:ind w:firstLine="0" w:firstLineChars="0"/>
              <w:jc w:val="center"/>
              <w:rPr>
                <w:sz w:val="16"/>
                <w:szCs w:val="16"/>
              </w:rPr>
            </w:pPr>
            <w:r>
              <w:rPr>
                <w:sz w:val="16"/>
                <w:szCs w:val="16"/>
              </w:rPr>
              <w:t>10(20)</w:t>
            </w:r>
            <w:r>
              <w:rPr>
                <w:sz w:val="16"/>
                <w:szCs w:val="16"/>
                <w:vertAlign w:val="superscript"/>
              </w:rPr>
              <w:t>a</w:t>
            </w:r>
            <w:r>
              <w:rPr>
                <w:sz w:val="16"/>
                <w:szCs w:val="16"/>
              </w:rPr>
              <w:t>/10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2BA84D4E">
            <w:pPr>
              <w:spacing w:line="240" w:lineRule="exact"/>
              <w:ind w:firstLine="0" w:firstLineChars="0"/>
              <w:jc w:val="center"/>
              <w:rPr>
                <w:sz w:val="16"/>
                <w:szCs w:val="16"/>
              </w:rPr>
            </w:pPr>
            <w:r>
              <w:rPr>
                <w:sz w:val="16"/>
                <w:szCs w:val="16"/>
              </w:rPr>
              <w:t>250</w:t>
            </w:r>
            <w:r>
              <w:rPr>
                <w:sz w:val="16"/>
                <w:szCs w:val="16"/>
                <w:vertAlign w:val="superscript"/>
              </w:rPr>
              <w:t>a</w:t>
            </w:r>
            <w:r>
              <w:rPr>
                <w:sz w:val="16"/>
                <w:szCs w:val="16"/>
              </w:rPr>
              <w:t>/200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72AA6BB8">
            <w:pPr>
              <w:spacing w:line="240" w:lineRule="exact"/>
              <w:ind w:firstLine="0" w:firstLineChars="0"/>
              <w:jc w:val="center"/>
              <w:rPr>
                <w:sz w:val="16"/>
                <w:szCs w:val="16"/>
              </w:rPr>
            </w:pPr>
            <w:r>
              <w:rPr>
                <w:sz w:val="16"/>
                <w:szCs w:val="16"/>
              </w:rPr>
              <w:t>100</w:t>
            </w:r>
            <w:r>
              <w:rPr>
                <w:sz w:val="16"/>
                <w:szCs w:val="16"/>
                <w:vertAlign w:val="superscript"/>
              </w:rPr>
              <w:t>a</w:t>
            </w:r>
            <w:r>
              <w:rPr>
                <w:sz w:val="16"/>
                <w:szCs w:val="16"/>
              </w:rPr>
              <w:t>/50</w:t>
            </w:r>
            <w:r>
              <w:rPr>
                <w:sz w:val="16"/>
                <w:szCs w:val="16"/>
                <w:vertAlign w:val="superscript"/>
              </w:rPr>
              <w:t>b</w:t>
            </w:r>
          </w:p>
        </w:tc>
        <w:tc>
          <w:tcPr>
            <w:tcW w:w="708" w:type="dxa"/>
            <w:tcBorders>
              <w:top w:val="single" w:color="auto" w:sz="4" w:space="0"/>
              <w:left w:val="single" w:color="auto" w:sz="4" w:space="0"/>
              <w:bottom w:val="single" w:color="auto" w:sz="4" w:space="0"/>
              <w:right w:val="single" w:color="auto" w:sz="4" w:space="0"/>
            </w:tcBorders>
            <w:vAlign w:val="center"/>
          </w:tcPr>
          <w:p w14:paraId="0EF36F80">
            <w:pPr>
              <w:spacing w:line="240" w:lineRule="exact"/>
              <w:ind w:firstLine="0" w:firstLineChars="0"/>
              <w:jc w:val="center"/>
              <w:rPr>
                <w:sz w:val="16"/>
                <w:szCs w:val="16"/>
              </w:rPr>
            </w:pPr>
            <w:r>
              <w:rPr>
                <w:sz w:val="16"/>
                <w:szCs w:val="16"/>
              </w:rPr>
              <w:t>100</w:t>
            </w:r>
            <w:r>
              <w:rPr>
                <w:sz w:val="16"/>
                <w:szCs w:val="16"/>
                <w:vertAlign w:val="superscript"/>
              </w:rPr>
              <w:t>a</w:t>
            </w:r>
            <w:r>
              <w:rPr>
                <w:sz w:val="16"/>
                <w:szCs w:val="16"/>
              </w:rPr>
              <w:t>/50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2C094C81">
            <w:pPr>
              <w:spacing w:line="240" w:lineRule="exact"/>
              <w:ind w:firstLine="0" w:firstLineChars="0"/>
              <w:jc w:val="center"/>
              <w:rPr>
                <w:sz w:val="16"/>
                <w:szCs w:val="16"/>
              </w:rPr>
            </w:pPr>
            <w:r>
              <w:rPr>
                <w:sz w:val="16"/>
                <w:szCs w:val="16"/>
              </w:rPr>
              <w:t>50</w:t>
            </w:r>
            <w:r>
              <w:rPr>
                <w:sz w:val="16"/>
                <w:szCs w:val="16"/>
                <w:vertAlign w:val="superscript"/>
              </w:rPr>
              <w:t>a</w:t>
            </w:r>
            <w:r>
              <w:rPr>
                <w:sz w:val="16"/>
                <w:szCs w:val="16"/>
              </w:rPr>
              <w:t>/10</w:t>
            </w:r>
            <w:r>
              <w:rPr>
                <w:sz w:val="16"/>
                <w:szCs w:val="16"/>
                <w:vertAlign w:val="superscript"/>
              </w:rPr>
              <w:t>b</w:t>
            </w:r>
          </w:p>
        </w:tc>
        <w:tc>
          <w:tcPr>
            <w:tcW w:w="992" w:type="dxa"/>
            <w:tcBorders>
              <w:top w:val="single" w:color="auto" w:sz="4" w:space="0"/>
              <w:left w:val="single" w:color="auto" w:sz="4" w:space="0"/>
              <w:bottom w:val="single" w:color="auto" w:sz="4" w:space="0"/>
              <w:right w:val="single" w:color="auto" w:sz="4" w:space="0"/>
            </w:tcBorders>
            <w:vAlign w:val="center"/>
          </w:tcPr>
          <w:p w14:paraId="7BC8C3E1">
            <w:pPr>
              <w:spacing w:line="240" w:lineRule="exact"/>
              <w:ind w:firstLine="0" w:firstLineChars="0"/>
              <w:jc w:val="center"/>
              <w:rPr>
                <w:sz w:val="16"/>
                <w:szCs w:val="16"/>
              </w:rPr>
            </w:pPr>
            <w:r>
              <w:rPr>
                <w:sz w:val="16"/>
                <w:szCs w:val="16"/>
              </w:rPr>
              <w:t>0.05</w:t>
            </w:r>
            <w:r>
              <w:rPr>
                <w:sz w:val="16"/>
                <w:szCs w:val="16"/>
                <w:vertAlign w:val="superscript"/>
              </w:rPr>
              <w:t>c</w:t>
            </w:r>
          </w:p>
        </w:tc>
        <w:tc>
          <w:tcPr>
            <w:tcW w:w="1401" w:type="dxa"/>
            <w:tcBorders>
              <w:top w:val="single" w:color="auto" w:sz="4" w:space="0"/>
              <w:left w:val="single" w:color="auto" w:sz="4" w:space="0"/>
              <w:bottom w:val="single" w:color="auto" w:sz="4" w:space="0"/>
              <w:right w:val="single" w:color="auto" w:sz="4" w:space="0"/>
            </w:tcBorders>
            <w:vAlign w:val="center"/>
          </w:tcPr>
          <w:p w14:paraId="600F98D4">
            <w:pPr>
              <w:spacing w:line="240" w:lineRule="exact"/>
              <w:ind w:firstLine="0" w:firstLineChars="0"/>
              <w:jc w:val="center"/>
              <w:rPr>
                <w:sz w:val="16"/>
                <w:szCs w:val="16"/>
              </w:rPr>
            </w:pPr>
            <w:r>
              <w:rPr>
                <w:sz w:val="16"/>
                <w:szCs w:val="16"/>
              </w:rPr>
              <w:t>0.05</w:t>
            </w:r>
            <w:r>
              <w:rPr>
                <w:sz w:val="16"/>
                <w:szCs w:val="16"/>
                <w:vertAlign w:val="superscript"/>
              </w:rPr>
              <w:t>c</w:t>
            </w:r>
          </w:p>
        </w:tc>
        <w:tc>
          <w:tcPr>
            <w:tcW w:w="1984" w:type="dxa"/>
            <w:tcBorders>
              <w:top w:val="single" w:color="auto" w:sz="4" w:space="0"/>
              <w:left w:val="single" w:color="auto" w:sz="4" w:space="0"/>
              <w:bottom w:val="single" w:color="auto" w:sz="4" w:space="0"/>
              <w:right w:val="single" w:color="auto" w:sz="4" w:space="0"/>
            </w:tcBorders>
            <w:vAlign w:val="center"/>
          </w:tcPr>
          <w:p w14:paraId="5166F43A">
            <w:pPr>
              <w:spacing w:line="240" w:lineRule="exact"/>
              <w:ind w:firstLine="0" w:firstLineChars="0"/>
              <w:jc w:val="center"/>
              <w:rPr>
                <w:sz w:val="16"/>
                <w:szCs w:val="16"/>
                <w:vertAlign w:val="superscript"/>
              </w:rPr>
            </w:pPr>
            <w:r>
              <w:rPr>
                <w:sz w:val="16"/>
                <w:szCs w:val="16"/>
              </w:rPr>
              <w:t>0.5</w:t>
            </w:r>
            <w:r>
              <w:rPr>
                <w:sz w:val="16"/>
                <w:szCs w:val="16"/>
                <w:vertAlign w:val="superscript"/>
              </w:rPr>
              <w:t>c</w:t>
            </w:r>
          </w:p>
          <w:p w14:paraId="75B42E88">
            <w:pPr>
              <w:spacing w:line="240" w:lineRule="exact"/>
              <w:ind w:firstLine="0" w:firstLineChars="0"/>
              <w:jc w:val="center"/>
              <w:rPr>
                <w:sz w:val="16"/>
                <w:szCs w:val="16"/>
              </w:rPr>
            </w:pPr>
            <w:r>
              <w:rPr>
                <w:sz w:val="16"/>
                <w:szCs w:val="16"/>
              </w:rPr>
              <w:t>[</w:t>
            </w:r>
            <w:r>
              <w:rPr>
                <w:rFonts w:hint="eastAsia"/>
                <w:sz w:val="16"/>
                <w:szCs w:val="16"/>
              </w:rPr>
              <w:t>以</w:t>
            </w:r>
            <w:r>
              <w:rPr>
                <w:sz w:val="16"/>
                <w:szCs w:val="16"/>
              </w:rPr>
              <w:t>Sb+As+Pb+Cr+Co+Cu+</w:t>
            </w:r>
          </w:p>
          <w:p w14:paraId="1C6A12F7">
            <w:pPr>
              <w:spacing w:line="240" w:lineRule="exact"/>
              <w:ind w:firstLine="0" w:firstLineChars="0"/>
              <w:jc w:val="center"/>
              <w:rPr>
                <w:sz w:val="16"/>
                <w:szCs w:val="16"/>
              </w:rPr>
            </w:pPr>
            <w:r>
              <w:rPr>
                <w:sz w:val="16"/>
                <w:szCs w:val="16"/>
              </w:rPr>
              <w:t>Mn+Ni+V</w:t>
            </w:r>
            <w:r>
              <w:rPr>
                <w:rFonts w:hint="eastAsia"/>
                <w:sz w:val="16"/>
                <w:szCs w:val="16"/>
              </w:rPr>
              <w:t>计</w:t>
            </w:r>
            <w:r>
              <w:rPr>
                <w:sz w:val="16"/>
                <w:szCs w:val="16"/>
              </w:rPr>
              <w:t>]</w:t>
            </w:r>
          </w:p>
        </w:tc>
        <w:tc>
          <w:tcPr>
            <w:tcW w:w="1152" w:type="dxa"/>
            <w:tcBorders>
              <w:top w:val="single" w:color="auto" w:sz="4" w:space="0"/>
              <w:left w:val="single" w:color="auto" w:sz="4" w:space="0"/>
              <w:bottom w:val="single" w:color="auto" w:sz="4" w:space="0"/>
              <w:right w:val="single" w:color="auto" w:sz="4" w:space="0"/>
            </w:tcBorders>
            <w:vAlign w:val="center"/>
          </w:tcPr>
          <w:p w14:paraId="2C665570">
            <w:pPr>
              <w:spacing w:line="240" w:lineRule="exact"/>
              <w:ind w:firstLine="0" w:firstLineChars="0"/>
              <w:jc w:val="center"/>
              <w:rPr>
                <w:sz w:val="16"/>
                <w:szCs w:val="16"/>
              </w:rPr>
            </w:pPr>
            <w:r>
              <w:rPr>
                <w:sz w:val="16"/>
                <w:szCs w:val="16"/>
              </w:rPr>
              <w:t>0.1</w:t>
            </w:r>
            <w:r>
              <w:rPr>
                <w:sz w:val="16"/>
                <w:szCs w:val="16"/>
                <w:vertAlign w:val="superscript"/>
              </w:rPr>
              <w:t>c</w:t>
            </w:r>
          </w:p>
        </w:tc>
        <w:tc>
          <w:tcPr>
            <w:tcW w:w="691" w:type="dxa"/>
            <w:tcBorders>
              <w:top w:val="single" w:color="auto" w:sz="4" w:space="0"/>
              <w:left w:val="single" w:color="auto" w:sz="4" w:space="0"/>
              <w:bottom w:val="single" w:color="auto" w:sz="4" w:space="0"/>
              <w:right w:val="single" w:color="auto" w:sz="4" w:space="0"/>
            </w:tcBorders>
            <w:vAlign w:val="center"/>
          </w:tcPr>
          <w:p w14:paraId="6CE87D01">
            <w:pPr>
              <w:spacing w:line="240" w:lineRule="exact"/>
              <w:ind w:firstLine="0" w:firstLineChars="0"/>
              <w:jc w:val="center"/>
              <w:rPr>
                <w:sz w:val="16"/>
                <w:szCs w:val="16"/>
              </w:rPr>
            </w:pPr>
            <w:r>
              <w:rPr>
                <w:sz w:val="16"/>
                <w:szCs w:val="16"/>
              </w:rPr>
              <w:t>/</w:t>
            </w:r>
          </w:p>
        </w:tc>
        <w:tc>
          <w:tcPr>
            <w:tcW w:w="1369" w:type="dxa"/>
            <w:tcBorders>
              <w:top w:val="single" w:color="auto" w:sz="4" w:space="0"/>
              <w:left w:val="single" w:color="auto" w:sz="4" w:space="0"/>
              <w:bottom w:val="single" w:color="auto" w:sz="4" w:space="0"/>
              <w:right w:val="single" w:color="auto" w:sz="4" w:space="0"/>
            </w:tcBorders>
            <w:vAlign w:val="center"/>
          </w:tcPr>
          <w:p w14:paraId="2E108EF8">
            <w:pPr>
              <w:spacing w:line="240" w:lineRule="exact"/>
              <w:ind w:firstLine="0" w:firstLineChars="0"/>
              <w:jc w:val="center"/>
              <w:rPr>
                <w:sz w:val="16"/>
                <w:szCs w:val="16"/>
              </w:rPr>
            </w:pPr>
            <w:r>
              <w:rPr>
                <w:rFonts w:hint="eastAsia"/>
                <w:sz w:val="16"/>
                <w:szCs w:val="16"/>
              </w:rPr>
              <w:t>基准氧含量</w:t>
            </w:r>
            <w:r>
              <w:rPr>
                <w:sz w:val="16"/>
                <w:szCs w:val="16"/>
              </w:rPr>
              <w:t>11%</w:t>
            </w:r>
          </w:p>
        </w:tc>
      </w:tr>
      <w:tr w14:paraId="2689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3AD1E378">
            <w:pPr>
              <w:spacing w:line="240" w:lineRule="exact"/>
              <w:ind w:firstLine="0" w:firstLineChars="0"/>
              <w:jc w:val="center"/>
              <w:rPr>
                <w:sz w:val="16"/>
                <w:szCs w:val="16"/>
              </w:rPr>
            </w:pPr>
            <w:r>
              <w:rPr>
                <w:rFonts w:hint="eastAsia"/>
                <w:sz w:val="16"/>
                <w:szCs w:val="16"/>
              </w:rPr>
              <w:t>海南省《生活垃圾焚烧污染控制标准》</w:t>
            </w:r>
            <w:r>
              <w:rPr>
                <w:sz w:val="16"/>
                <w:szCs w:val="16"/>
              </w:rPr>
              <w:t>(DB 46/484-2019)</w:t>
            </w:r>
          </w:p>
        </w:tc>
        <w:tc>
          <w:tcPr>
            <w:tcW w:w="867" w:type="dxa"/>
            <w:tcBorders>
              <w:top w:val="single" w:color="auto" w:sz="4" w:space="0"/>
              <w:left w:val="single" w:color="auto" w:sz="4" w:space="0"/>
              <w:bottom w:val="single" w:color="auto" w:sz="4" w:space="0"/>
              <w:right w:val="single" w:color="auto" w:sz="4" w:space="0"/>
            </w:tcBorders>
            <w:vAlign w:val="center"/>
          </w:tcPr>
          <w:p w14:paraId="211039B4">
            <w:pPr>
              <w:spacing w:line="240" w:lineRule="exact"/>
              <w:ind w:firstLine="0" w:firstLineChars="0"/>
              <w:jc w:val="center"/>
              <w:rPr>
                <w:sz w:val="16"/>
                <w:szCs w:val="16"/>
              </w:rPr>
            </w:pPr>
            <w:r>
              <w:rPr>
                <w:sz w:val="16"/>
                <w:szCs w:val="16"/>
              </w:rPr>
              <w:t>10</w:t>
            </w:r>
            <w:r>
              <w:rPr>
                <w:sz w:val="16"/>
                <w:szCs w:val="16"/>
                <w:vertAlign w:val="superscript"/>
              </w:rPr>
              <w:t>a</w:t>
            </w:r>
            <w:r>
              <w:rPr>
                <w:sz w:val="16"/>
                <w:szCs w:val="16"/>
              </w:rPr>
              <w:t>/8</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06827055">
            <w:pPr>
              <w:spacing w:line="240" w:lineRule="exact"/>
              <w:ind w:firstLine="0" w:firstLineChars="0"/>
              <w:jc w:val="center"/>
              <w:rPr>
                <w:sz w:val="16"/>
                <w:szCs w:val="16"/>
              </w:rPr>
            </w:pPr>
            <w:r>
              <w:rPr>
                <w:sz w:val="16"/>
                <w:szCs w:val="16"/>
              </w:rPr>
              <w:t>150</w:t>
            </w:r>
            <w:r>
              <w:rPr>
                <w:sz w:val="16"/>
                <w:szCs w:val="16"/>
                <w:vertAlign w:val="superscript"/>
              </w:rPr>
              <w:t>a</w:t>
            </w:r>
            <w:r>
              <w:rPr>
                <w:sz w:val="16"/>
                <w:szCs w:val="16"/>
              </w:rPr>
              <w:t>/120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551C1A5C">
            <w:pPr>
              <w:spacing w:line="240" w:lineRule="exact"/>
              <w:ind w:firstLine="0" w:firstLineChars="0"/>
              <w:jc w:val="center"/>
              <w:rPr>
                <w:sz w:val="16"/>
                <w:szCs w:val="16"/>
              </w:rPr>
            </w:pPr>
            <w:r>
              <w:rPr>
                <w:sz w:val="16"/>
                <w:szCs w:val="16"/>
              </w:rPr>
              <w:t>30</w:t>
            </w:r>
            <w:r>
              <w:rPr>
                <w:sz w:val="16"/>
                <w:szCs w:val="16"/>
                <w:vertAlign w:val="subscript"/>
              </w:rPr>
              <w:t>a</w:t>
            </w:r>
            <w:r>
              <w:rPr>
                <w:sz w:val="16"/>
                <w:szCs w:val="16"/>
              </w:rPr>
              <w:t>/20</w:t>
            </w:r>
            <w:r>
              <w:rPr>
                <w:sz w:val="16"/>
                <w:szCs w:val="16"/>
                <w:vertAlign w:val="superscript"/>
              </w:rPr>
              <w:t>b</w:t>
            </w:r>
          </w:p>
        </w:tc>
        <w:tc>
          <w:tcPr>
            <w:tcW w:w="708" w:type="dxa"/>
            <w:tcBorders>
              <w:top w:val="single" w:color="auto" w:sz="4" w:space="0"/>
              <w:left w:val="single" w:color="auto" w:sz="4" w:space="0"/>
              <w:bottom w:val="single" w:color="auto" w:sz="4" w:space="0"/>
              <w:right w:val="single" w:color="auto" w:sz="4" w:space="0"/>
            </w:tcBorders>
            <w:vAlign w:val="center"/>
          </w:tcPr>
          <w:p w14:paraId="322C1F14">
            <w:pPr>
              <w:spacing w:line="240" w:lineRule="exact"/>
              <w:ind w:firstLine="0" w:firstLineChars="0"/>
              <w:jc w:val="center"/>
              <w:rPr>
                <w:sz w:val="16"/>
                <w:szCs w:val="16"/>
              </w:rPr>
            </w:pPr>
            <w:r>
              <w:rPr>
                <w:sz w:val="16"/>
                <w:szCs w:val="16"/>
              </w:rPr>
              <w:t>50</w:t>
            </w:r>
            <w:r>
              <w:rPr>
                <w:sz w:val="16"/>
                <w:szCs w:val="16"/>
                <w:vertAlign w:val="superscript"/>
              </w:rPr>
              <w:t>a</w:t>
            </w:r>
            <w:r>
              <w:rPr>
                <w:sz w:val="16"/>
                <w:szCs w:val="16"/>
              </w:rPr>
              <w:t>/30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61B10C11">
            <w:pPr>
              <w:spacing w:line="240" w:lineRule="exact"/>
              <w:ind w:firstLine="0" w:firstLineChars="0"/>
              <w:jc w:val="center"/>
              <w:rPr>
                <w:sz w:val="16"/>
                <w:szCs w:val="16"/>
              </w:rPr>
            </w:pPr>
            <w:r>
              <w:rPr>
                <w:sz w:val="16"/>
                <w:szCs w:val="16"/>
              </w:rPr>
              <w:t>10</w:t>
            </w:r>
            <w:r>
              <w:rPr>
                <w:sz w:val="16"/>
                <w:szCs w:val="16"/>
                <w:vertAlign w:val="superscript"/>
              </w:rPr>
              <w:t>a</w:t>
            </w:r>
            <w:r>
              <w:rPr>
                <w:sz w:val="16"/>
                <w:szCs w:val="16"/>
              </w:rPr>
              <w:t>/8</w:t>
            </w:r>
            <w:r>
              <w:rPr>
                <w:sz w:val="16"/>
                <w:szCs w:val="16"/>
                <w:vertAlign w:val="superscript"/>
              </w:rPr>
              <w:t>b</w:t>
            </w:r>
          </w:p>
        </w:tc>
        <w:tc>
          <w:tcPr>
            <w:tcW w:w="992" w:type="dxa"/>
            <w:tcBorders>
              <w:top w:val="single" w:color="auto" w:sz="4" w:space="0"/>
              <w:left w:val="single" w:color="auto" w:sz="4" w:space="0"/>
              <w:bottom w:val="single" w:color="auto" w:sz="4" w:space="0"/>
              <w:right w:val="single" w:color="auto" w:sz="4" w:space="0"/>
            </w:tcBorders>
            <w:vAlign w:val="center"/>
          </w:tcPr>
          <w:p w14:paraId="6028E528">
            <w:pPr>
              <w:spacing w:line="240" w:lineRule="exact"/>
              <w:ind w:firstLine="0" w:firstLineChars="0"/>
              <w:jc w:val="center"/>
              <w:rPr>
                <w:sz w:val="16"/>
                <w:szCs w:val="16"/>
              </w:rPr>
            </w:pPr>
            <w:r>
              <w:rPr>
                <w:sz w:val="16"/>
                <w:szCs w:val="16"/>
              </w:rPr>
              <w:t>0.02</w:t>
            </w:r>
            <w:r>
              <w:rPr>
                <w:sz w:val="16"/>
                <w:szCs w:val="16"/>
                <w:vertAlign w:val="superscript"/>
              </w:rPr>
              <w:t>c</w:t>
            </w:r>
          </w:p>
        </w:tc>
        <w:tc>
          <w:tcPr>
            <w:tcW w:w="1401" w:type="dxa"/>
            <w:tcBorders>
              <w:top w:val="single" w:color="auto" w:sz="4" w:space="0"/>
              <w:left w:val="single" w:color="auto" w:sz="4" w:space="0"/>
              <w:bottom w:val="single" w:color="auto" w:sz="4" w:space="0"/>
              <w:right w:val="single" w:color="auto" w:sz="4" w:space="0"/>
            </w:tcBorders>
            <w:vAlign w:val="center"/>
          </w:tcPr>
          <w:p w14:paraId="1BEC0879">
            <w:pPr>
              <w:spacing w:line="240" w:lineRule="exact"/>
              <w:ind w:firstLine="0" w:firstLineChars="0"/>
              <w:jc w:val="center"/>
              <w:rPr>
                <w:sz w:val="16"/>
                <w:szCs w:val="16"/>
              </w:rPr>
            </w:pPr>
            <w:r>
              <w:rPr>
                <w:sz w:val="16"/>
                <w:szCs w:val="16"/>
              </w:rPr>
              <w:t>0.03</w:t>
            </w:r>
            <w:r>
              <w:rPr>
                <w:sz w:val="16"/>
                <w:szCs w:val="16"/>
                <w:vertAlign w:val="superscript"/>
              </w:rPr>
              <w:t>c</w:t>
            </w:r>
          </w:p>
        </w:tc>
        <w:tc>
          <w:tcPr>
            <w:tcW w:w="1984" w:type="dxa"/>
            <w:tcBorders>
              <w:top w:val="single" w:color="auto" w:sz="4" w:space="0"/>
              <w:left w:val="single" w:color="auto" w:sz="4" w:space="0"/>
              <w:bottom w:val="single" w:color="auto" w:sz="4" w:space="0"/>
              <w:right w:val="single" w:color="auto" w:sz="4" w:space="0"/>
            </w:tcBorders>
            <w:vAlign w:val="center"/>
          </w:tcPr>
          <w:p w14:paraId="490DD4BC">
            <w:pPr>
              <w:spacing w:line="240" w:lineRule="exact"/>
              <w:ind w:firstLine="0" w:firstLineChars="0"/>
              <w:jc w:val="center"/>
              <w:rPr>
                <w:sz w:val="16"/>
                <w:szCs w:val="16"/>
              </w:rPr>
            </w:pPr>
            <w:r>
              <w:rPr>
                <w:sz w:val="16"/>
                <w:szCs w:val="16"/>
              </w:rPr>
              <w:t>0.3</w:t>
            </w:r>
            <w:r>
              <w:rPr>
                <w:sz w:val="16"/>
                <w:szCs w:val="16"/>
                <w:vertAlign w:val="superscript"/>
              </w:rPr>
              <w:t>c</w:t>
            </w:r>
          </w:p>
        </w:tc>
        <w:tc>
          <w:tcPr>
            <w:tcW w:w="1152" w:type="dxa"/>
            <w:tcBorders>
              <w:top w:val="single" w:color="auto" w:sz="4" w:space="0"/>
              <w:left w:val="single" w:color="auto" w:sz="4" w:space="0"/>
              <w:bottom w:val="single" w:color="auto" w:sz="4" w:space="0"/>
              <w:right w:val="single" w:color="auto" w:sz="4" w:space="0"/>
            </w:tcBorders>
            <w:vAlign w:val="center"/>
          </w:tcPr>
          <w:p w14:paraId="32A714C7">
            <w:pPr>
              <w:spacing w:line="240" w:lineRule="exact"/>
              <w:ind w:firstLine="0" w:firstLineChars="0"/>
              <w:jc w:val="center"/>
              <w:rPr>
                <w:sz w:val="16"/>
                <w:szCs w:val="16"/>
              </w:rPr>
            </w:pPr>
            <w:r>
              <w:rPr>
                <w:sz w:val="16"/>
                <w:szCs w:val="16"/>
              </w:rPr>
              <w:t>0.05</w:t>
            </w:r>
            <w:r>
              <w:rPr>
                <w:sz w:val="16"/>
                <w:szCs w:val="16"/>
                <w:vertAlign w:val="superscript"/>
              </w:rPr>
              <w:t>c</w:t>
            </w:r>
          </w:p>
        </w:tc>
        <w:tc>
          <w:tcPr>
            <w:tcW w:w="691" w:type="dxa"/>
            <w:tcBorders>
              <w:top w:val="single" w:color="auto" w:sz="4" w:space="0"/>
              <w:left w:val="single" w:color="auto" w:sz="4" w:space="0"/>
              <w:bottom w:val="single" w:color="auto" w:sz="4" w:space="0"/>
              <w:right w:val="single" w:color="auto" w:sz="4" w:space="0"/>
            </w:tcBorders>
            <w:vAlign w:val="center"/>
          </w:tcPr>
          <w:p w14:paraId="4ED4E006">
            <w:pPr>
              <w:spacing w:line="240" w:lineRule="exact"/>
              <w:ind w:firstLine="0" w:firstLineChars="0"/>
              <w:jc w:val="center"/>
              <w:rPr>
                <w:sz w:val="16"/>
                <w:szCs w:val="16"/>
              </w:rPr>
            </w:pPr>
            <w:r>
              <w:rPr>
                <w:sz w:val="16"/>
                <w:szCs w:val="16"/>
              </w:rPr>
              <w:t>/</w:t>
            </w:r>
          </w:p>
        </w:tc>
        <w:tc>
          <w:tcPr>
            <w:tcW w:w="1369" w:type="dxa"/>
            <w:tcBorders>
              <w:top w:val="single" w:color="auto" w:sz="4" w:space="0"/>
              <w:left w:val="single" w:color="auto" w:sz="4" w:space="0"/>
              <w:bottom w:val="single" w:color="auto" w:sz="4" w:space="0"/>
              <w:right w:val="single" w:color="auto" w:sz="4" w:space="0"/>
            </w:tcBorders>
            <w:vAlign w:val="center"/>
          </w:tcPr>
          <w:p w14:paraId="57A315D4">
            <w:pPr>
              <w:spacing w:line="240" w:lineRule="exact"/>
              <w:ind w:firstLine="0" w:firstLineChars="0"/>
              <w:jc w:val="center"/>
              <w:rPr>
                <w:sz w:val="16"/>
                <w:szCs w:val="16"/>
              </w:rPr>
            </w:pPr>
            <w:r>
              <w:rPr>
                <w:rFonts w:hint="eastAsia"/>
                <w:sz w:val="16"/>
                <w:szCs w:val="16"/>
              </w:rPr>
              <w:t>总有机碳</w:t>
            </w:r>
            <w:r>
              <w:rPr>
                <w:sz w:val="16"/>
                <w:szCs w:val="16"/>
              </w:rPr>
              <w:t>20</w:t>
            </w:r>
            <w:r>
              <w:rPr>
                <w:sz w:val="16"/>
                <w:szCs w:val="16"/>
                <w:vertAlign w:val="superscript"/>
              </w:rPr>
              <w:t>a</w:t>
            </w:r>
            <w:r>
              <w:rPr>
                <w:sz w:val="16"/>
                <w:szCs w:val="16"/>
              </w:rPr>
              <w:t>/10</w:t>
            </w:r>
            <w:r>
              <w:rPr>
                <w:sz w:val="16"/>
                <w:szCs w:val="16"/>
                <w:vertAlign w:val="superscript"/>
              </w:rPr>
              <w:t>b</w:t>
            </w:r>
          </w:p>
        </w:tc>
      </w:tr>
      <w:tr w14:paraId="25566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7ADF20AB">
            <w:pPr>
              <w:spacing w:line="240" w:lineRule="exact"/>
              <w:ind w:firstLine="0" w:firstLineChars="0"/>
              <w:jc w:val="center"/>
              <w:rPr>
                <w:sz w:val="16"/>
                <w:szCs w:val="16"/>
              </w:rPr>
            </w:pPr>
            <w:r>
              <w:rPr>
                <w:rFonts w:hint="eastAsia"/>
                <w:sz w:val="16"/>
                <w:szCs w:val="16"/>
              </w:rPr>
              <w:t>河北省《生活垃圾焚烧大气污染控制标准》</w:t>
            </w:r>
            <w:r>
              <w:rPr>
                <w:sz w:val="16"/>
                <w:szCs w:val="16"/>
              </w:rPr>
              <w:t>(DB 13/5325-2021)</w:t>
            </w:r>
          </w:p>
        </w:tc>
        <w:tc>
          <w:tcPr>
            <w:tcW w:w="867" w:type="dxa"/>
            <w:tcBorders>
              <w:top w:val="single" w:color="auto" w:sz="4" w:space="0"/>
              <w:left w:val="single" w:color="auto" w:sz="4" w:space="0"/>
              <w:bottom w:val="single" w:color="auto" w:sz="4" w:space="0"/>
              <w:right w:val="single" w:color="auto" w:sz="4" w:space="0"/>
            </w:tcBorders>
            <w:vAlign w:val="center"/>
          </w:tcPr>
          <w:p w14:paraId="5CF5281F">
            <w:pPr>
              <w:spacing w:line="240" w:lineRule="exact"/>
              <w:ind w:firstLine="0" w:firstLineChars="0"/>
              <w:jc w:val="center"/>
              <w:rPr>
                <w:sz w:val="16"/>
                <w:szCs w:val="16"/>
              </w:rPr>
            </w:pPr>
            <w:r>
              <w:rPr>
                <w:sz w:val="16"/>
                <w:szCs w:val="16"/>
              </w:rPr>
              <w:t>10</w:t>
            </w:r>
            <w:r>
              <w:rPr>
                <w:sz w:val="16"/>
                <w:szCs w:val="16"/>
                <w:vertAlign w:val="superscript"/>
              </w:rPr>
              <w:t>a</w:t>
            </w:r>
            <w:r>
              <w:rPr>
                <w:sz w:val="16"/>
                <w:szCs w:val="16"/>
              </w:rPr>
              <w:t>/8</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44110B99">
            <w:pPr>
              <w:spacing w:line="240" w:lineRule="exact"/>
              <w:ind w:firstLine="0" w:firstLineChars="0"/>
              <w:jc w:val="center"/>
              <w:rPr>
                <w:sz w:val="16"/>
                <w:szCs w:val="16"/>
              </w:rPr>
            </w:pPr>
            <w:r>
              <w:rPr>
                <w:sz w:val="16"/>
                <w:szCs w:val="16"/>
              </w:rPr>
              <w:t>150</w:t>
            </w:r>
            <w:r>
              <w:rPr>
                <w:sz w:val="16"/>
                <w:szCs w:val="16"/>
                <w:vertAlign w:val="superscript"/>
              </w:rPr>
              <w:t>a</w:t>
            </w:r>
            <w:r>
              <w:rPr>
                <w:sz w:val="16"/>
                <w:szCs w:val="16"/>
              </w:rPr>
              <w:t>/120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5CF6BA5B">
            <w:pPr>
              <w:spacing w:line="240" w:lineRule="exact"/>
              <w:ind w:firstLine="0" w:firstLineChars="0"/>
              <w:jc w:val="center"/>
              <w:rPr>
                <w:sz w:val="16"/>
                <w:szCs w:val="16"/>
              </w:rPr>
            </w:pPr>
            <w:r>
              <w:rPr>
                <w:sz w:val="16"/>
                <w:szCs w:val="16"/>
              </w:rPr>
              <w:t>40</w:t>
            </w:r>
            <w:r>
              <w:rPr>
                <w:sz w:val="16"/>
                <w:szCs w:val="16"/>
                <w:vertAlign w:val="superscript"/>
              </w:rPr>
              <w:t>a</w:t>
            </w:r>
            <w:r>
              <w:rPr>
                <w:sz w:val="16"/>
                <w:szCs w:val="16"/>
              </w:rPr>
              <w:t>/20</w:t>
            </w:r>
            <w:r>
              <w:rPr>
                <w:sz w:val="16"/>
                <w:szCs w:val="16"/>
                <w:vertAlign w:val="superscript"/>
              </w:rPr>
              <w:t>b</w:t>
            </w:r>
          </w:p>
        </w:tc>
        <w:tc>
          <w:tcPr>
            <w:tcW w:w="708" w:type="dxa"/>
            <w:tcBorders>
              <w:top w:val="single" w:color="auto" w:sz="4" w:space="0"/>
              <w:left w:val="single" w:color="auto" w:sz="4" w:space="0"/>
              <w:bottom w:val="single" w:color="auto" w:sz="4" w:space="0"/>
              <w:right w:val="single" w:color="auto" w:sz="4" w:space="0"/>
            </w:tcBorders>
            <w:vAlign w:val="center"/>
          </w:tcPr>
          <w:p w14:paraId="005823BB">
            <w:pPr>
              <w:spacing w:line="240" w:lineRule="exact"/>
              <w:ind w:firstLine="0" w:firstLineChars="0"/>
              <w:jc w:val="center"/>
              <w:rPr>
                <w:sz w:val="16"/>
                <w:szCs w:val="16"/>
              </w:rPr>
            </w:pPr>
            <w:r>
              <w:rPr>
                <w:sz w:val="16"/>
                <w:szCs w:val="16"/>
              </w:rPr>
              <w:t>100</w:t>
            </w:r>
            <w:r>
              <w:rPr>
                <w:sz w:val="16"/>
                <w:szCs w:val="16"/>
                <w:vertAlign w:val="superscript"/>
              </w:rPr>
              <w:t>a</w:t>
            </w:r>
            <w:r>
              <w:rPr>
                <w:sz w:val="16"/>
                <w:szCs w:val="16"/>
              </w:rPr>
              <w:t>/80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505F7B46">
            <w:pPr>
              <w:spacing w:line="240" w:lineRule="exact"/>
              <w:ind w:firstLine="0" w:firstLineChars="0"/>
              <w:jc w:val="center"/>
              <w:rPr>
                <w:sz w:val="16"/>
                <w:szCs w:val="16"/>
              </w:rPr>
            </w:pPr>
            <w:r>
              <w:rPr>
                <w:sz w:val="16"/>
                <w:szCs w:val="16"/>
              </w:rPr>
              <w:t>20</w:t>
            </w:r>
            <w:r>
              <w:rPr>
                <w:sz w:val="16"/>
                <w:szCs w:val="16"/>
                <w:vertAlign w:val="superscript"/>
              </w:rPr>
              <w:t>a</w:t>
            </w:r>
            <w:r>
              <w:rPr>
                <w:sz w:val="16"/>
                <w:szCs w:val="16"/>
              </w:rPr>
              <w:t>/10</w:t>
            </w:r>
            <w:r>
              <w:rPr>
                <w:sz w:val="16"/>
                <w:szCs w:val="16"/>
                <w:vertAlign w:val="superscript"/>
              </w:rPr>
              <w:t>b</w:t>
            </w:r>
          </w:p>
        </w:tc>
        <w:tc>
          <w:tcPr>
            <w:tcW w:w="992" w:type="dxa"/>
            <w:tcBorders>
              <w:top w:val="single" w:color="auto" w:sz="4" w:space="0"/>
              <w:left w:val="single" w:color="auto" w:sz="4" w:space="0"/>
              <w:bottom w:val="single" w:color="auto" w:sz="4" w:space="0"/>
              <w:right w:val="single" w:color="auto" w:sz="4" w:space="0"/>
            </w:tcBorders>
            <w:vAlign w:val="center"/>
          </w:tcPr>
          <w:p w14:paraId="7A090B10">
            <w:pPr>
              <w:spacing w:line="240" w:lineRule="exact"/>
              <w:ind w:firstLine="0" w:firstLineChars="0"/>
              <w:jc w:val="center"/>
              <w:rPr>
                <w:sz w:val="16"/>
                <w:szCs w:val="16"/>
              </w:rPr>
            </w:pPr>
            <w:r>
              <w:rPr>
                <w:sz w:val="16"/>
                <w:szCs w:val="16"/>
              </w:rPr>
              <w:t>0.02</w:t>
            </w:r>
            <w:r>
              <w:rPr>
                <w:sz w:val="16"/>
                <w:szCs w:val="16"/>
                <w:vertAlign w:val="superscript"/>
              </w:rPr>
              <w:t>c</w:t>
            </w:r>
          </w:p>
        </w:tc>
        <w:tc>
          <w:tcPr>
            <w:tcW w:w="1401" w:type="dxa"/>
            <w:tcBorders>
              <w:top w:val="single" w:color="auto" w:sz="4" w:space="0"/>
              <w:left w:val="single" w:color="auto" w:sz="4" w:space="0"/>
              <w:bottom w:val="single" w:color="auto" w:sz="4" w:space="0"/>
              <w:right w:val="single" w:color="auto" w:sz="4" w:space="0"/>
            </w:tcBorders>
            <w:vAlign w:val="center"/>
          </w:tcPr>
          <w:p w14:paraId="47FA5CD9">
            <w:pPr>
              <w:spacing w:line="240" w:lineRule="exact"/>
              <w:ind w:firstLine="0" w:firstLineChars="0"/>
              <w:jc w:val="center"/>
              <w:rPr>
                <w:sz w:val="16"/>
                <w:szCs w:val="16"/>
              </w:rPr>
            </w:pPr>
            <w:r>
              <w:rPr>
                <w:sz w:val="16"/>
                <w:szCs w:val="16"/>
              </w:rPr>
              <w:t>0.03</w:t>
            </w:r>
            <w:r>
              <w:rPr>
                <w:sz w:val="16"/>
                <w:szCs w:val="16"/>
                <w:vertAlign w:val="superscript"/>
              </w:rPr>
              <w:t>c</w:t>
            </w:r>
          </w:p>
        </w:tc>
        <w:tc>
          <w:tcPr>
            <w:tcW w:w="1984" w:type="dxa"/>
            <w:tcBorders>
              <w:top w:val="single" w:color="auto" w:sz="4" w:space="0"/>
              <w:left w:val="single" w:color="auto" w:sz="4" w:space="0"/>
              <w:bottom w:val="single" w:color="auto" w:sz="4" w:space="0"/>
              <w:right w:val="single" w:color="auto" w:sz="4" w:space="0"/>
            </w:tcBorders>
            <w:vAlign w:val="center"/>
          </w:tcPr>
          <w:p w14:paraId="6AC8CA5E">
            <w:pPr>
              <w:spacing w:line="240" w:lineRule="exact"/>
              <w:ind w:firstLine="0" w:firstLineChars="0"/>
              <w:jc w:val="center"/>
              <w:rPr>
                <w:sz w:val="16"/>
                <w:szCs w:val="16"/>
              </w:rPr>
            </w:pPr>
            <w:r>
              <w:rPr>
                <w:sz w:val="16"/>
                <w:szCs w:val="16"/>
              </w:rPr>
              <w:t>0.3</w:t>
            </w:r>
            <w:r>
              <w:rPr>
                <w:sz w:val="16"/>
                <w:szCs w:val="16"/>
                <w:vertAlign w:val="superscript"/>
              </w:rPr>
              <w:t>c</w:t>
            </w:r>
          </w:p>
        </w:tc>
        <w:tc>
          <w:tcPr>
            <w:tcW w:w="1152" w:type="dxa"/>
            <w:tcBorders>
              <w:top w:val="single" w:color="auto" w:sz="4" w:space="0"/>
              <w:left w:val="single" w:color="auto" w:sz="4" w:space="0"/>
              <w:bottom w:val="single" w:color="auto" w:sz="4" w:space="0"/>
              <w:right w:val="single" w:color="auto" w:sz="4" w:space="0"/>
            </w:tcBorders>
            <w:vAlign w:val="center"/>
          </w:tcPr>
          <w:p w14:paraId="34087AAD">
            <w:pPr>
              <w:spacing w:line="240" w:lineRule="exact"/>
              <w:ind w:firstLine="0" w:firstLineChars="0"/>
              <w:jc w:val="center"/>
              <w:rPr>
                <w:sz w:val="16"/>
                <w:szCs w:val="16"/>
              </w:rPr>
            </w:pPr>
            <w:r>
              <w:rPr>
                <w:sz w:val="16"/>
                <w:szCs w:val="16"/>
              </w:rPr>
              <w:t>0.1</w:t>
            </w:r>
            <w:r>
              <w:rPr>
                <w:sz w:val="16"/>
                <w:szCs w:val="16"/>
                <w:vertAlign w:val="superscript"/>
              </w:rPr>
              <w:t>c</w:t>
            </w:r>
          </w:p>
        </w:tc>
        <w:tc>
          <w:tcPr>
            <w:tcW w:w="691" w:type="dxa"/>
            <w:tcBorders>
              <w:top w:val="single" w:color="auto" w:sz="4" w:space="0"/>
              <w:left w:val="single" w:color="auto" w:sz="4" w:space="0"/>
              <w:bottom w:val="single" w:color="auto" w:sz="4" w:space="0"/>
              <w:right w:val="single" w:color="auto" w:sz="4" w:space="0"/>
            </w:tcBorders>
            <w:vAlign w:val="center"/>
          </w:tcPr>
          <w:p w14:paraId="44570282">
            <w:pPr>
              <w:spacing w:line="240" w:lineRule="exact"/>
              <w:ind w:firstLine="0" w:firstLineChars="0"/>
              <w:jc w:val="center"/>
              <w:rPr>
                <w:sz w:val="16"/>
                <w:szCs w:val="16"/>
              </w:rPr>
            </w:pPr>
            <w:r>
              <w:rPr>
                <w:sz w:val="16"/>
                <w:szCs w:val="16"/>
              </w:rPr>
              <w:t>8</w:t>
            </w:r>
            <w:r>
              <w:rPr>
                <w:sz w:val="16"/>
                <w:szCs w:val="16"/>
                <w:vertAlign w:val="superscript"/>
              </w:rPr>
              <w:t>a</w:t>
            </w:r>
          </w:p>
        </w:tc>
        <w:tc>
          <w:tcPr>
            <w:tcW w:w="1369" w:type="dxa"/>
            <w:tcBorders>
              <w:top w:val="single" w:color="auto" w:sz="4" w:space="0"/>
              <w:left w:val="single" w:color="auto" w:sz="4" w:space="0"/>
              <w:bottom w:val="single" w:color="auto" w:sz="4" w:space="0"/>
              <w:right w:val="single" w:color="auto" w:sz="4" w:space="0"/>
            </w:tcBorders>
            <w:vAlign w:val="center"/>
          </w:tcPr>
          <w:p w14:paraId="59080FE3">
            <w:pPr>
              <w:spacing w:line="240" w:lineRule="exact"/>
              <w:ind w:firstLine="0" w:firstLineChars="0"/>
              <w:jc w:val="center"/>
              <w:rPr>
                <w:sz w:val="16"/>
                <w:szCs w:val="16"/>
              </w:rPr>
            </w:pPr>
            <w:r>
              <w:rPr>
                <w:rFonts w:hint="eastAsia"/>
                <w:sz w:val="16"/>
                <w:szCs w:val="16"/>
              </w:rPr>
              <w:t>基准氧含量</w:t>
            </w:r>
            <w:r>
              <w:rPr>
                <w:sz w:val="16"/>
                <w:szCs w:val="16"/>
              </w:rPr>
              <w:t>11%</w:t>
            </w:r>
          </w:p>
        </w:tc>
      </w:tr>
      <w:tr w14:paraId="48111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7FFD7B04">
            <w:pPr>
              <w:spacing w:line="240" w:lineRule="exact"/>
              <w:ind w:firstLine="0" w:firstLineChars="0"/>
              <w:jc w:val="center"/>
              <w:rPr>
                <w:sz w:val="16"/>
                <w:szCs w:val="16"/>
              </w:rPr>
            </w:pPr>
            <w:r>
              <w:rPr>
                <w:rFonts w:hint="eastAsia"/>
                <w:sz w:val="16"/>
                <w:szCs w:val="16"/>
              </w:rPr>
              <w:t>天津市《生活垃圾焚烧大气污染物排放标准》</w:t>
            </w:r>
            <w:r>
              <w:rPr>
                <w:sz w:val="16"/>
                <w:szCs w:val="16"/>
              </w:rPr>
              <w:t>(DB 12/1101-2021)</w:t>
            </w:r>
          </w:p>
        </w:tc>
        <w:tc>
          <w:tcPr>
            <w:tcW w:w="867" w:type="dxa"/>
            <w:tcBorders>
              <w:top w:val="single" w:color="auto" w:sz="4" w:space="0"/>
              <w:left w:val="single" w:color="auto" w:sz="4" w:space="0"/>
              <w:bottom w:val="single" w:color="auto" w:sz="4" w:space="0"/>
              <w:right w:val="single" w:color="auto" w:sz="4" w:space="0"/>
            </w:tcBorders>
            <w:vAlign w:val="center"/>
          </w:tcPr>
          <w:p w14:paraId="3A65412A">
            <w:pPr>
              <w:spacing w:line="240" w:lineRule="exact"/>
              <w:ind w:firstLine="0" w:firstLineChars="0"/>
              <w:jc w:val="center"/>
              <w:rPr>
                <w:sz w:val="16"/>
                <w:szCs w:val="16"/>
              </w:rPr>
            </w:pPr>
            <w:r>
              <w:rPr>
                <w:sz w:val="16"/>
                <w:szCs w:val="16"/>
              </w:rPr>
              <w:t>10</w:t>
            </w:r>
            <w:r>
              <w:rPr>
                <w:sz w:val="16"/>
                <w:szCs w:val="16"/>
                <w:vertAlign w:val="superscript"/>
              </w:rPr>
              <w:t>a</w:t>
            </w:r>
            <w:r>
              <w:rPr>
                <w:sz w:val="16"/>
                <w:szCs w:val="16"/>
              </w:rPr>
              <w:t>/8</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5981B3B6">
            <w:pPr>
              <w:spacing w:line="240" w:lineRule="exact"/>
              <w:ind w:firstLine="0" w:firstLineChars="0"/>
              <w:jc w:val="center"/>
              <w:rPr>
                <w:sz w:val="16"/>
                <w:szCs w:val="16"/>
              </w:rPr>
            </w:pPr>
            <w:r>
              <w:rPr>
                <w:sz w:val="16"/>
                <w:szCs w:val="16"/>
              </w:rPr>
              <w:t>120</w:t>
            </w:r>
            <w:r>
              <w:rPr>
                <w:sz w:val="16"/>
                <w:szCs w:val="16"/>
                <w:vertAlign w:val="superscript"/>
              </w:rPr>
              <w:t>a</w:t>
            </w:r>
            <w:r>
              <w:rPr>
                <w:sz w:val="16"/>
                <w:szCs w:val="16"/>
              </w:rPr>
              <w:t>/80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5FD82395">
            <w:pPr>
              <w:spacing w:line="240" w:lineRule="exact"/>
              <w:ind w:firstLine="0" w:firstLineChars="0"/>
              <w:jc w:val="center"/>
              <w:rPr>
                <w:sz w:val="16"/>
                <w:szCs w:val="16"/>
              </w:rPr>
            </w:pPr>
            <w:r>
              <w:rPr>
                <w:sz w:val="16"/>
                <w:szCs w:val="16"/>
              </w:rPr>
              <w:t>40</w:t>
            </w:r>
            <w:r>
              <w:rPr>
                <w:sz w:val="16"/>
                <w:szCs w:val="16"/>
                <w:vertAlign w:val="superscript"/>
              </w:rPr>
              <w:t>a</w:t>
            </w:r>
            <w:r>
              <w:rPr>
                <w:sz w:val="16"/>
                <w:szCs w:val="16"/>
              </w:rPr>
              <w:t>/20</w:t>
            </w:r>
            <w:r>
              <w:rPr>
                <w:sz w:val="16"/>
                <w:szCs w:val="16"/>
                <w:vertAlign w:val="superscript"/>
              </w:rPr>
              <w:t>b</w:t>
            </w:r>
          </w:p>
        </w:tc>
        <w:tc>
          <w:tcPr>
            <w:tcW w:w="708" w:type="dxa"/>
            <w:tcBorders>
              <w:top w:val="single" w:color="auto" w:sz="4" w:space="0"/>
              <w:left w:val="single" w:color="auto" w:sz="4" w:space="0"/>
              <w:bottom w:val="single" w:color="auto" w:sz="4" w:space="0"/>
              <w:right w:val="single" w:color="auto" w:sz="4" w:space="0"/>
            </w:tcBorders>
            <w:vAlign w:val="center"/>
          </w:tcPr>
          <w:p w14:paraId="01D9FC80">
            <w:pPr>
              <w:spacing w:line="240" w:lineRule="exact"/>
              <w:ind w:firstLine="0" w:firstLineChars="0"/>
              <w:jc w:val="center"/>
              <w:rPr>
                <w:sz w:val="16"/>
                <w:szCs w:val="16"/>
              </w:rPr>
            </w:pPr>
            <w:r>
              <w:rPr>
                <w:sz w:val="16"/>
                <w:szCs w:val="16"/>
              </w:rPr>
              <w:t>80</w:t>
            </w:r>
            <w:r>
              <w:rPr>
                <w:sz w:val="16"/>
                <w:szCs w:val="16"/>
                <w:vertAlign w:val="superscript"/>
              </w:rPr>
              <w:t>a</w:t>
            </w:r>
            <w:r>
              <w:rPr>
                <w:sz w:val="16"/>
                <w:szCs w:val="16"/>
              </w:rPr>
              <w:t>/50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22B86729">
            <w:pPr>
              <w:spacing w:line="240" w:lineRule="exact"/>
              <w:ind w:firstLine="0" w:firstLineChars="0"/>
              <w:jc w:val="center"/>
              <w:rPr>
                <w:sz w:val="16"/>
                <w:szCs w:val="16"/>
              </w:rPr>
            </w:pPr>
            <w:r>
              <w:rPr>
                <w:sz w:val="16"/>
                <w:szCs w:val="16"/>
              </w:rPr>
              <w:t>20</w:t>
            </w:r>
            <w:r>
              <w:rPr>
                <w:sz w:val="16"/>
                <w:szCs w:val="16"/>
                <w:vertAlign w:val="superscript"/>
              </w:rPr>
              <w:t>a</w:t>
            </w:r>
            <w:r>
              <w:rPr>
                <w:sz w:val="16"/>
                <w:szCs w:val="16"/>
              </w:rPr>
              <w:t>/10</w:t>
            </w:r>
            <w:r>
              <w:rPr>
                <w:sz w:val="16"/>
                <w:szCs w:val="16"/>
                <w:vertAlign w:val="superscript"/>
              </w:rPr>
              <w:t>b</w:t>
            </w:r>
          </w:p>
        </w:tc>
        <w:tc>
          <w:tcPr>
            <w:tcW w:w="992" w:type="dxa"/>
            <w:tcBorders>
              <w:top w:val="single" w:color="auto" w:sz="4" w:space="0"/>
              <w:left w:val="single" w:color="auto" w:sz="4" w:space="0"/>
              <w:bottom w:val="single" w:color="auto" w:sz="4" w:space="0"/>
              <w:right w:val="single" w:color="auto" w:sz="4" w:space="0"/>
            </w:tcBorders>
            <w:vAlign w:val="center"/>
          </w:tcPr>
          <w:p w14:paraId="175A4D44">
            <w:pPr>
              <w:spacing w:line="240" w:lineRule="exact"/>
              <w:ind w:firstLine="0" w:firstLineChars="0"/>
              <w:jc w:val="center"/>
              <w:rPr>
                <w:sz w:val="16"/>
                <w:szCs w:val="16"/>
              </w:rPr>
            </w:pPr>
            <w:r>
              <w:rPr>
                <w:sz w:val="16"/>
                <w:szCs w:val="16"/>
              </w:rPr>
              <w:t>0.02</w:t>
            </w:r>
            <w:r>
              <w:rPr>
                <w:sz w:val="16"/>
                <w:szCs w:val="16"/>
                <w:vertAlign w:val="superscript"/>
              </w:rPr>
              <w:t>c</w:t>
            </w:r>
          </w:p>
        </w:tc>
        <w:tc>
          <w:tcPr>
            <w:tcW w:w="1401" w:type="dxa"/>
            <w:tcBorders>
              <w:top w:val="single" w:color="auto" w:sz="4" w:space="0"/>
              <w:left w:val="single" w:color="auto" w:sz="4" w:space="0"/>
              <w:bottom w:val="single" w:color="auto" w:sz="4" w:space="0"/>
              <w:right w:val="single" w:color="auto" w:sz="4" w:space="0"/>
            </w:tcBorders>
            <w:vAlign w:val="center"/>
          </w:tcPr>
          <w:p w14:paraId="7E52EB1D">
            <w:pPr>
              <w:spacing w:line="240" w:lineRule="exact"/>
              <w:ind w:firstLine="0" w:firstLineChars="0"/>
              <w:jc w:val="center"/>
              <w:rPr>
                <w:sz w:val="16"/>
                <w:szCs w:val="16"/>
              </w:rPr>
            </w:pPr>
            <w:r>
              <w:rPr>
                <w:sz w:val="16"/>
                <w:szCs w:val="16"/>
              </w:rPr>
              <w:t>0.03</w:t>
            </w:r>
            <w:r>
              <w:rPr>
                <w:sz w:val="16"/>
                <w:szCs w:val="16"/>
                <w:vertAlign w:val="superscript"/>
              </w:rPr>
              <w:t>c</w:t>
            </w:r>
          </w:p>
        </w:tc>
        <w:tc>
          <w:tcPr>
            <w:tcW w:w="1984" w:type="dxa"/>
            <w:tcBorders>
              <w:top w:val="single" w:color="auto" w:sz="4" w:space="0"/>
              <w:left w:val="single" w:color="auto" w:sz="4" w:space="0"/>
              <w:bottom w:val="single" w:color="auto" w:sz="4" w:space="0"/>
              <w:right w:val="single" w:color="auto" w:sz="4" w:space="0"/>
            </w:tcBorders>
            <w:vAlign w:val="center"/>
          </w:tcPr>
          <w:p w14:paraId="4E12A754">
            <w:pPr>
              <w:spacing w:line="240" w:lineRule="exact"/>
              <w:ind w:firstLine="0" w:firstLineChars="0"/>
              <w:jc w:val="center"/>
              <w:rPr>
                <w:sz w:val="16"/>
                <w:szCs w:val="16"/>
              </w:rPr>
            </w:pPr>
            <w:r>
              <w:rPr>
                <w:sz w:val="16"/>
                <w:szCs w:val="16"/>
              </w:rPr>
              <w:t>0.3</w:t>
            </w:r>
            <w:r>
              <w:rPr>
                <w:sz w:val="16"/>
                <w:szCs w:val="16"/>
                <w:vertAlign w:val="superscript"/>
              </w:rPr>
              <w:t>c</w:t>
            </w:r>
          </w:p>
        </w:tc>
        <w:tc>
          <w:tcPr>
            <w:tcW w:w="1152" w:type="dxa"/>
            <w:tcBorders>
              <w:top w:val="single" w:color="auto" w:sz="4" w:space="0"/>
              <w:left w:val="single" w:color="auto" w:sz="4" w:space="0"/>
              <w:bottom w:val="single" w:color="auto" w:sz="4" w:space="0"/>
              <w:right w:val="single" w:color="auto" w:sz="4" w:space="0"/>
            </w:tcBorders>
            <w:vAlign w:val="center"/>
          </w:tcPr>
          <w:p w14:paraId="3CAA1BA8">
            <w:pPr>
              <w:spacing w:line="240" w:lineRule="exact"/>
              <w:ind w:firstLine="0" w:firstLineChars="0"/>
              <w:jc w:val="center"/>
              <w:rPr>
                <w:sz w:val="16"/>
                <w:szCs w:val="16"/>
              </w:rPr>
            </w:pPr>
            <w:r>
              <w:rPr>
                <w:sz w:val="16"/>
                <w:szCs w:val="16"/>
              </w:rPr>
              <w:t>0.1</w:t>
            </w:r>
            <w:r>
              <w:rPr>
                <w:sz w:val="16"/>
                <w:szCs w:val="16"/>
                <w:vertAlign w:val="superscript"/>
              </w:rPr>
              <w:t>c</w:t>
            </w:r>
          </w:p>
        </w:tc>
        <w:tc>
          <w:tcPr>
            <w:tcW w:w="691" w:type="dxa"/>
            <w:tcBorders>
              <w:top w:val="single" w:color="auto" w:sz="4" w:space="0"/>
              <w:left w:val="single" w:color="auto" w:sz="4" w:space="0"/>
              <w:bottom w:val="single" w:color="auto" w:sz="4" w:space="0"/>
              <w:right w:val="single" w:color="auto" w:sz="4" w:space="0"/>
            </w:tcBorders>
            <w:vAlign w:val="center"/>
          </w:tcPr>
          <w:p w14:paraId="64F3C336">
            <w:pPr>
              <w:spacing w:line="240" w:lineRule="exact"/>
              <w:ind w:firstLine="0" w:firstLineChars="0"/>
              <w:jc w:val="center"/>
              <w:rPr>
                <w:sz w:val="16"/>
                <w:szCs w:val="16"/>
              </w:rPr>
            </w:pPr>
            <w:r>
              <w:rPr>
                <w:sz w:val="16"/>
                <w:szCs w:val="16"/>
              </w:rPr>
              <w:t>8</w:t>
            </w:r>
            <w:r>
              <w:rPr>
                <w:sz w:val="16"/>
                <w:szCs w:val="16"/>
                <w:vertAlign w:val="superscript"/>
              </w:rPr>
              <w:t>a</w:t>
            </w:r>
          </w:p>
        </w:tc>
        <w:tc>
          <w:tcPr>
            <w:tcW w:w="1369" w:type="dxa"/>
            <w:tcBorders>
              <w:top w:val="single" w:color="auto" w:sz="4" w:space="0"/>
              <w:left w:val="single" w:color="auto" w:sz="4" w:space="0"/>
              <w:bottom w:val="single" w:color="auto" w:sz="4" w:space="0"/>
              <w:right w:val="single" w:color="auto" w:sz="4" w:space="0"/>
            </w:tcBorders>
            <w:vAlign w:val="center"/>
          </w:tcPr>
          <w:p w14:paraId="7694DDE2">
            <w:pPr>
              <w:spacing w:line="240" w:lineRule="exact"/>
              <w:ind w:firstLine="0" w:firstLineChars="0"/>
              <w:jc w:val="center"/>
              <w:rPr>
                <w:sz w:val="16"/>
                <w:szCs w:val="16"/>
              </w:rPr>
            </w:pPr>
            <w:r>
              <w:rPr>
                <w:rFonts w:hint="eastAsia"/>
                <w:sz w:val="16"/>
                <w:szCs w:val="16"/>
              </w:rPr>
              <w:t>基准氧含量</w:t>
            </w:r>
            <w:r>
              <w:rPr>
                <w:sz w:val="16"/>
                <w:szCs w:val="16"/>
              </w:rPr>
              <w:t>11%</w:t>
            </w:r>
          </w:p>
        </w:tc>
      </w:tr>
      <w:tr w14:paraId="56CF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53999E77">
            <w:pPr>
              <w:spacing w:line="240" w:lineRule="exact"/>
              <w:ind w:firstLine="0" w:firstLineChars="0"/>
              <w:jc w:val="center"/>
              <w:rPr>
                <w:sz w:val="16"/>
                <w:szCs w:val="16"/>
              </w:rPr>
            </w:pPr>
            <w:r>
              <w:rPr>
                <w:rFonts w:hint="eastAsia"/>
                <w:sz w:val="16"/>
                <w:szCs w:val="16"/>
              </w:rPr>
              <w:t>福建省《生活垃圾焚烧氮氧化物排放标准》</w:t>
            </w:r>
            <w:r>
              <w:rPr>
                <w:sz w:val="16"/>
                <w:szCs w:val="16"/>
              </w:rPr>
              <w:t>(DB 35/1976-2021)</w:t>
            </w:r>
          </w:p>
        </w:tc>
        <w:tc>
          <w:tcPr>
            <w:tcW w:w="867" w:type="dxa"/>
            <w:tcBorders>
              <w:top w:val="single" w:color="auto" w:sz="4" w:space="0"/>
              <w:left w:val="single" w:color="auto" w:sz="4" w:space="0"/>
              <w:bottom w:val="single" w:color="auto" w:sz="4" w:space="0"/>
              <w:right w:val="single" w:color="auto" w:sz="4" w:space="0"/>
            </w:tcBorders>
            <w:vAlign w:val="center"/>
          </w:tcPr>
          <w:p w14:paraId="476127E0">
            <w:pPr>
              <w:spacing w:line="240" w:lineRule="exact"/>
              <w:ind w:firstLine="0" w:firstLineChars="0"/>
              <w:jc w:val="center"/>
              <w:rPr>
                <w:sz w:val="16"/>
                <w:szCs w:val="16"/>
              </w:rPr>
            </w:pPr>
            <w:r>
              <w:rPr>
                <w:sz w:val="16"/>
                <w:szCs w:val="16"/>
              </w:rPr>
              <w:t>/</w:t>
            </w:r>
          </w:p>
        </w:tc>
        <w:tc>
          <w:tcPr>
            <w:tcW w:w="709" w:type="dxa"/>
            <w:tcBorders>
              <w:top w:val="single" w:color="auto" w:sz="4" w:space="0"/>
              <w:left w:val="single" w:color="auto" w:sz="4" w:space="0"/>
              <w:bottom w:val="single" w:color="auto" w:sz="4" w:space="0"/>
              <w:right w:val="single" w:color="auto" w:sz="4" w:space="0"/>
            </w:tcBorders>
            <w:vAlign w:val="center"/>
          </w:tcPr>
          <w:p w14:paraId="7543A4BF">
            <w:pPr>
              <w:spacing w:line="240" w:lineRule="exact"/>
              <w:ind w:firstLine="0" w:firstLineChars="0"/>
              <w:jc w:val="center"/>
              <w:rPr>
                <w:sz w:val="16"/>
                <w:szCs w:val="16"/>
              </w:rPr>
            </w:pPr>
            <w:r>
              <w:rPr>
                <w:sz w:val="16"/>
                <w:szCs w:val="16"/>
              </w:rPr>
              <w:t>150</w:t>
            </w:r>
            <w:r>
              <w:rPr>
                <w:sz w:val="16"/>
                <w:szCs w:val="16"/>
                <w:vertAlign w:val="superscript"/>
              </w:rPr>
              <w:t>a</w:t>
            </w:r>
            <w:r>
              <w:rPr>
                <w:sz w:val="16"/>
                <w:szCs w:val="16"/>
              </w:rPr>
              <w:t>/120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3F143490">
            <w:pPr>
              <w:spacing w:line="240" w:lineRule="exact"/>
              <w:ind w:firstLine="0" w:firstLineChars="0"/>
              <w:jc w:val="center"/>
              <w:rPr>
                <w:sz w:val="16"/>
                <w:szCs w:val="16"/>
              </w:rPr>
            </w:pPr>
            <w:r>
              <w:rPr>
                <w:sz w:val="16"/>
                <w:szCs w:val="16"/>
              </w:rPr>
              <w:t>/</w:t>
            </w:r>
          </w:p>
        </w:tc>
        <w:tc>
          <w:tcPr>
            <w:tcW w:w="708" w:type="dxa"/>
            <w:tcBorders>
              <w:top w:val="single" w:color="auto" w:sz="4" w:space="0"/>
              <w:left w:val="single" w:color="auto" w:sz="4" w:space="0"/>
              <w:bottom w:val="single" w:color="auto" w:sz="4" w:space="0"/>
              <w:right w:val="single" w:color="auto" w:sz="4" w:space="0"/>
            </w:tcBorders>
            <w:vAlign w:val="center"/>
          </w:tcPr>
          <w:p w14:paraId="053157DA">
            <w:pPr>
              <w:spacing w:line="240" w:lineRule="exact"/>
              <w:ind w:firstLine="0" w:firstLineChars="0"/>
              <w:jc w:val="center"/>
              <w:rPr>
                <w:sz w:val="16"/>
                <w:szCs w:val="16"/>
              </w:rPr>
            </w:pPr>
            <w:r>
              <w:rPr>
                <w:sz w:val="16"/>
                <w:szCs w:val="16"/>
              </w:rPr>
              <w:t>/</w:t>
            </w:r>
          </w:p>
        </w:tc>
        <w:tc>
          <w:tcPr>
            <w:tcW w:w="709" w:type="dxa"/>
            <w:tcBorders>
              <w:top w:val="single" w:color="auto" w:sz="4" w:space="0"/>
              <w:left w:val="single" w:color="auto" w:sz="4" w:space="0"/>
              <w:bottom w:val="single" w:color="auto" w:sz="4" w:space="0"/>
              <w:right w:val="single" w:color="auto" w:sz="4" w:space="0"/>
            </w:tcBorders>
            <w:vAlign w:val="center"/>
          </w:tcPr>
          <w:p w14:paraId="5103EA03">
            <w:pPr>
              <w:spacing w:line="240" w:lineRule="exact"/>
              <w:ind w:firstLine="0" w:firstLineChars="0"/>
              <w:jc w:val="center"/>
              <w:rPr>
                <w:sz w:val="16"/>
                <w:szCs w:val="16"/>
              </w:rPr>
            </w:pPr>
            <w:r>
              <w:rPr>
                <w:sz w:val="16"/>
                <w:szCs w:val="16"/>
              </w:rPr>
              <w:t>/</w:t>
            </w:r>
          </w:p>
        </w:tc>
        <w:tc>
          <w:tcPr>
            <w:tcW w:w="992" w:type="dxa"/>
            <w:tcBorders>
              <w:top w:val="single" w:color="auto" w:sz="4" w:space="0"/>
              <w:left w:val="single" w:color="auto" w:sz="4" w:space="0"/>
              <w:bottom w:val="single" w:color="auto" w:sz="4" w:space="0"/>
              <w:right w:val="single" w:color="auto" w:sz="4" w:space="0"/>
            </w:tcBorders>
            <w:vAlign w:val="center"/>
          </w:tcPr>
          <w:p w14:paraId="1E354830">
            <w:pPr>
              <w:spacing w:line="240" w:lineRule="exact"/>
              <w:ind w:firstLine="0" w:firstLineChars="0"/>
              <w:jc w:val="center"/>
              <w:rPr>
                <w:sz w:val="16"/>
                <w:szCs w:val="16"/>
              </w:rPr>
            </w:pPr>
            <w:r>
              <w:rPr>
                <w:sz w:val="16"/>
                <w:szCs w:val="16"/>
              </w:rPr>
              <w:t>/</w:t>
            </w:r>
          </w:p>
        </w:tc>
        <w:tc>
          <w:tcPr>
            <w:tcW w:w="1401" w:type="dxa"/>
            <w:tcBorders>
              <w:top w:val="single" w:color="auto" w:sz="4" w:space="0"/>
              <w:left w:val="single" w:color="auto" w:sz="4" w:space="0"/>
              <w:bottom w:val="single" w:color="auto" w:sz="4" w:space="0"/>
              <w:right w:val="single" w:color="auto" w:sz="4" w:space="0"/>
            </w:tcBorders>
            <w:vAlign w:val="center"/>
          </w:tcPr>
          <w:p w14:paraId="7D1F1DC5">
            <w:pPr>
              <w:spacing w:line="240" w:lineRule="exact"/>
              <w:ind w:firstLine="0" w:firstLineChars="0"/>
              <w:jc w:val="center"/>
              <w:rPr>
                <w:sz w:val="16"/>
                <w:szCs w:val="16"/>
              </w:rPr>
            </w:pPr>
            <w:r>
              <w:rPr>
                <w:sz w:val="16"/>
                <w:szCs w:val="16"/>
              </w:rPr>
              <w:t>/</w:t>
            </w:r>
          </w:p>
        </w:tc>
        <w:tc>
          <w:tcPr>
            <w:tcW w:w="1984" w:type="dxa"/>
            <w:tcBorders>
              <w:top w:val="single" w:color="auto" w:sz="4" w:space="0"/>
              <w:left w:val="single" w:color="auto" w:sz="4" w:space="0"/>
              <w:bottom w:val="single" w:color="auto" w:sz="4" w:space="0"/>
              <w:right w:val="single" w:color="auto" w:sz="4" w:space="0"/>
            </w:tcBorders>
            <w:vAlign w:val="center"/>
          </w:tcPr>
          <w:p w14:paraId="2DC60195">
            <w:pPr>
              <w:spacing w:line="240" w:lineRule="exact"/>
              <w:ind w:firstLine="0" w:firstLineChars="0"/>
              <w:jc w:val="center"/>
              <w:rPr>
                <w:sz w:val="16"/>
                <w:szCs w:val="16"/>
              </w:rPr>
            </w:pPr>
            <w:r>
              <w:rPr>
                <w:sz w:val="16"/>
                <w:szCs w:val="16"/>
              </w:rPr>
              <w:t>/</w:t>
            </w:r>
          </w:p>
        </w:tc>
        <w:tc>
          <w:tcPr>
            <w:tcW w:w="1152" w:type="dxa"/>
            <w:tcBorders>
              <w:top w:val="single" w:color="auto" w:sz="4" w:space="0"/>
              <w:left w:val="single" w:color="auto" w:sz="4" w:space="0"/>
              <w:bottom w:val="single" w:color="auto" w:sz="4" w:space="0"/>
              <w:right w:val="single" w:color="auto" w:sz="4" w:space="0"/>
            </w:tcBorders>
            <w:vAlign w:val="center"/>
          </w:tcPr>
          <w:p w14:paraId="20378414">
            <w:pPr>
              <w:spacing w:line="240" w:lineRule="exact"/>
              <w:ind w:firstLine="0" w:firstLineChars="0"/>
              <w:jc w:val="center"/>
              <w:rPr>
                <w:sz w:val="16"/>
                <w:szCs w:val="16"/>
              </w:rPr>
            </w:pPr>
            <w:r>
              <w:rPr>
                <w:sz w:val="16"/>
                <w:szCs w:val="16"/>
              </w:rPr>
              <w:t>/</w:t>
            </w:r>
          </w:p>
        </w:tc>
        <w:tc>
          <w:tcPr>
            <w:tcW w:w="691" w:type="dxa"/>
            <w:tcBorders>
              <w:top w:val="single" w:color="auto" w:sz="4" w:space="0"/>
              <w:left w:val="single" w:color="auto" w:sz="4" w:space="0"/>
              <w:bottom w:val="single" w:color="auto" w:sz="4" w:space="0"/>
              <w:right w:val="single" w:color="auto" w:sz="4" w:space="0"/>
            </w:tcBorders>
            <w:vAlign w:val="center"/>
          </w:tcPr>
          <w:p w14:paraId="0CD2A9AB">
            <w:pPr>
              <w:spacing w:line="240" w:lineRule="exact"/>
              <w:ind w:firstLine="0" w:firstLineChars="0"/>
              <w:jc w:val="center"/>
              <w:rPr>
                <w:sz w:val="16"/>
                <w:szCs w:val="16"/>
              </w:rPr>
            </w:pPr>
            <w:r>
              <w:rPr>
                <w:sz w:val="16"/>
                <w:szCs w:val="16"/>
              </w:rPr>
              <w:t>/</w:t>
            </w:r>
          </w:p>
        </w:tc>
        <w:tc>
          <w:tcPr>
            <w:tcW w:w="1369" w:type="dxa"/>
            <w:tcBorders>
              <w:top w:val="single" w:color="auto" w:sz="4" w:space="0"/>
              <w:left w:val="single" w:color="auto" w:sz="4" w:space="0"/>
              <w:bottom w:val="single" w:color="auto" w:sz="4" w:space="0"/>
              <w:right w:val="single" w:color="auto" w:sz="4" w:space="0"/>
            </w:tcBorders>
            <w:vAlign w:val="center"/>
          </w:tcPr>
          <w:p w14:paraId="08C3B3A8">
            <w:pPr>
              <w:spacing w:line="240" w:lineRule="exact"/>
              <w:ind w:firstLine="0" w:firstLineChars="0"/>
              <w:jc w:val="center"/>
              <w:rPr>
                <w:sz w:val="16"/>
                <w:szCs w:val="16"/>
              </w:rPr>
            </w:pPr>
            <w:r>
              <w:rPr>
                <w:rFonts w:hint="eastAsia"/>
                <w:sz w:val="16"/>
                <w:szCs w:val="16"/>
              </w:rPr>
              <w:t>基准氧含量</w:t>
            </w:r>
            <w:r>
              <w:rPr>
                <w:sz w:val="16"/>
                <w:szCs w:val="16"/>
              </w:rPr>
              <w:t>11%</w:t>
            </w:r>
          </w:p>
        </w:tc>
      </w:tr>
      <w:tr w14:paraId="60BB8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7FC92537">
            <w:pPr>
              <w:spacing w:line="240" w:lineRule="exact"/>
              <w:ind w:firstLine="0" w:firstLineChars="0"/>
              <w:jc w:val="center"/>
              <w:rPr>
                <w:sz w:val="16"/>
                <w:szCs w:val="16"/>
              </w:rPr>
            </w:pPr>
            <w:r>
              <w:rPr>
                <w:rFonts w:hint="eastAsia"/>
                <w:sz w:val="16"/>
                <w:szCs w:val="16"/>
              </w:rPr>
              <w:t>深圳市《生活垃圾处理设施运营规范》</w:t>
            </w:r>
            <w:r>
              <w:rPr>
                <w:sz w:val="16"/>
                <w:szCs w:val="16"/>
              </w:rPr>
              <w:t>(SZDB/Z 233-2017)</w:t>
            </w:r>
          </w:p>
        </w:tc>
        <w:tc>
          <w:tcPr>
            <w:tcW w:w="867" w:type="dxa"/>
            <w:tcBorders>
              <w:top w:val="single" w:color="auto" w:sz="4" w:space="0"/>
              <w:left w:val="single" w:color="auto" w:sz="4" w:space="0"/>
              <w:bottom w:val="single" w:color="auto" w:sz="4" w:space="0"/>
              <w:right w:val="single" w:color="auto" w:sz="4" w:space="0"/>
            </w:tcBorders>
            <w:vAlign w:val="center"/>
          </w:tcPr>
          <w:p w14:paraId="62A5B134">
            <w:pPr>
              <w:spacing w:line="240" w:lineRule="exact"/>
              <w:ind w:firstLine="0" w:firstLineChars="0"/>
              <w:jc w:val="center"/>
              <w:rPr>
                <w:sz w:val="16"/>
                <w:szCs w:val="16"/>
              </w:rPr>
            </w:pPr>
            <w:r>
              <w:rPr>
                <w:sz w:val="16"/>
                <w:szCs w:val="16"/>
              </w:rPr>
              <w:t>10</w:t>
            </w:r>
            <w:r>
              <w:rPr>
                <w:sz w:val="16"/>
                <w:szCs w:val="16"/>
                <w:vertAlign w:val="superscript"/>
              </w:rPr>
              <w:t>a</w:t>
            </w:r>
            <w:r>
              <w:rPr>
                <w:sz w:val="16"/>
                <w:szCs w:val="16"/>
              </w:rPr>
              <w:t>/8</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098C0C68">
            <w:pPr>
              <w:spacing w:line="240" w:lineRule="exact"/>
              <w:ind w:firstLine="0" w:firstLineChars="0"/>
              <w:jc w:val="center"/>
              <w:rPr>
                <w:sz w:val="16"/>
                <w:szCs w:val="16"/>
              </w:rPr>
            </w:pPr>
            <w:r>
              <w:rPr>
                <w:sz w:val="16"/>
                <w:szCs w:val="16"/>
              </w:rPr>
              <w:t>80</w:t>
            </w:r>
            <w:r>
              <w:rPr>
                <w:sz w:val="16"/>
                <w:szCs w:val="16"/>
                <w:vertAlign w:val="superscript"/>
              </w:rPr>
              <w:t>a</w:t>
            </w:r>
            <w:r>
              <w:rPr>
                <w:sz w:val="16"/>
                <w:szCs w:val="16"/>
              </w:rPr>
              <w:t>/80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5CC4B690">
            <w:pPr>
              <w:spacing w:line="240" w:lineRule="exact"/>
              <w:ind w:firstLine="0" w:firstLineChars="0"/>
              <w:jc w:val="center"/>
              <w:rPr>
                <w:sz w:val="16"/>
                <w:szCs w:val="16"/>
              </w:rPr>
            </w:pPr>
            <w:r>
              <w:rPr>
                <w:sz w:val="16"/>
                <w:szCs w:val="16"/>
              </w:rPr>
              <w:t>30</w:t>
            </w:r>
            <w:r>
              <w:rPr>
                <w:sz w:val="16"/>
                <w:szCs w:val="16"/>
                <w:vertAlign w:val="superscript"/>
              </w:rPr>
              <w:t>a</w:t>
            </w:r>
            <w:r>
              <w:rPr>
                <w:sz w:val="16"/>
                <w:szCs w:val="16"/>
              </w:rPr>
              <w:t>/30</w:t>
            </w:r>
            <w:r>
              <w:rPr>
                <w:sz w:val="16"/>
                <w:szCs w:val="16"/>
                <w:vertAlign w:val="superscript"/>
              </w:rPr>
              <w:t>b</w:t>
            </w:r>
          </w:p>
        </w:tc>
        <w:tc>
          <w:tcPr>
            <w:tcW w:w="708" w:type="dxa"/>
            <w:tcBorders>
              <w:top w:val="single" w:color="auto" w:sz="4" w:space="0"/>
              <w:left w:val="single" w:color="auto" w:sz="4" w:space="0"/>
              <w:bottom w:val="single" w:color="auto" w:sz="4" w:space="0"/>
              <w:right w:val="single" w:color="auto" w:sz="4" w:space="0"/>
            </w:tcBorders>
            <w:vAlign w:val="center"/>
          </w:tcPr>
          <w:p w14:paraId="019CA8C7">
            <w:pPr>
              <w:spacing w:line="240" w:lineRule="exact"/>
              <w:ind w:firstLine="0" w:firstLineChars="0"/>
              <w:jc w:val="center"/>
              <w:rPr>
                <w:sz w:val="16"/>
                <w:szCs w:val="16"/>
              </w:rPr>
            </w:pPr>
            <w:r>
              <w:rPr>
                <w:sz w:val="16"/>
                <w:szCs w:val="16"/>
              </w:rPr>
              <w:t>50</w:t>
            </w:r>
            <w:r>
              <w:rPr>
                <w:sz w:val="16"/>
                <w:szCs w:val="16"/>
                <w:vertAlign w:val="superscript"/>
              </w:rPr>
              <w:t>a</w:t>
            </w:r>
            <w:r>
              <w:rPr>
                <w:sz w:val="16"/>
                <w:szCs w:val="16"/>
              </w:rPr>
              <w:t>/30</w:t>
            </w:r>
            <w:r>
              <w:rPr>
                <w:sz w:val="16"/>
                <w:szCs w:val="16"/>
                <w:vertAlign w:val="superscript"/>
              </w:rPr>
              <w:t>b</w:t>
            </w:r>
          </w:p>
        </w:tc>
        <w:tc>
          <w:tcPr>
            <w:tcW w:w="709" w:type="dxa"/>
            <w:tcBorders>
              <w:top w:val="single" w:color="auto" w:sz="4" w:space="0"/>
              <w:left w:val="single" w:color="auto" w:sz="4" w:space="0"/>
              <w:bottom w:val="single" w:color="auto" w:sz="4" w:space="0"/>
              <w:right w:val="single" w:color="auto" w:sz="4" w:space="0"/>
            </w:tcBorders>
            <w:vAlign w:val="center"/>
          </w:tcPr>
          <w:p w14:paraId="7203946F">
            <w:pPr>
              <w:spacing w:line="240" w:lineRule="exact"/>
              <w:ind w:firstLine="0" w:firstLineChars="0"/>
              <w:jc w:val="center"/>
              <w:rPr>
                <w:sz w:val="16"/>
                <w:szCs w:val="16"/>
              </w:rPr>
            </w:pPr>
            <w:r>
              <w:rPr>
                <w:sz w:val="16"/>
                <w:szCs w:val="16"/>
              </w:rPr>
              <w:t>8</w:t>
            </w:r>
            <w:r>
              <w:rPr>
                <w:sz w:val="16"/>
                <w:szCs w:val="16"/>
                <w:vertAlign w:val="superscript"/>
              </w:rPr>
              <w:t>a</w:t>
            </w:r>
            <w:r>
              <w:rPr>
                <w:sz w:val="16"/>
                <w:szCs w:val="16"/>
              </w:rPr>
              <w:t>/8</w:t>
            </w:r>
            <w:r>
              <w:rPr>
                <w:sz w:val="16"/>
                <w:szCs w:val="16"/>
                <w:vertAlign w:val="superscript"/>
              </w:rPr>
              <w:t>b</w:t>
            </w:r>
          </w:p>
        </w:tc>
        <w:tc>
          <w:tcPr>
            <w:tcW w:w="992" w:type="dxa"/>
            <w:tcBorders>
              <w:top w:val="single" w:color="auto" w:sz="4" w:space="0"/>
              <w:left w:val="single" w:color="auto" w:sz="4" w:space="0"/>
              <w:bottom w:val="single" w:color="auto" w:sz="4" w:space="0"/>
              <w:right w:val="single" w:color="auto" w:sz="4" w:space="0"/>
            </w:tcBorders>
            <w:vAlign w:val="center"/>
          </w:tcPr>
          <w:p w14:paraId="0E6264BC">
            <w:pPr>
              <w:spacing w:line="240" w:lineRule="exact"/>
              <w:ind w:firstLine="0" w:firstLineChars="0"/>
              <w:jc w:val="center"/>
              <w:rPr>
                <w:sz w:val="16"/>
                <w:szCs w:val="16"/>
              </w:rPr>
            </w:pPr>
            <w:r>
              <w:rPr>
                <w:sz w:val="16"/>
                <w:szCs w:val="16"/>
              </w:rPr>
              <w:t>0.02</w:t>
            </w:r>
            <w:r>
              <w:rPr>
                <w:sz w:val="16"/>
                <w:szCs w:val="16"/>
                <w:vertAlign w:val="superscript"/>
              </w:rPr>
              <w:t>c</w:t>
            </w:r>
          </w:p>
        </w:tc>
        <w:tc>
          <w:tcPr>
            <w:tcW w:w="1401" w:type="dxa"/>
            <w:tcBorders>
              <w:top w:val="single" w:color="auto" w:sz="4" w:space="0"/>
              <w:left w:val="single" w:color="auto" w:sz="4" w:space="0"/>
              <w:bottom w:val="single" w:color="auto" w:sz="4" w:space="0"/>
              <w:right w:val="single" w:color="auto" w:sz="4" w:space="0"/>
            </w:tcBorders>
            <w:vAlign w:val="center"/>
          </w:tcPr>
          <w:p w14:paraId="6FBF296E">
            <w:pPr>
              <w:spacing w:line="240" w:lineRule="exact"/>
              <w:ind w:firstLine="0" w:firstLineChars="0"/>
              <w:jc w:val="center"/>
              <w:rPr>
                <w:sz w:val="16"/>
                <w:szCs w:val="16"/>
              </w:rPr>
            </w:pPr>
            <w:r>
              <w:rPr>
                <w:sz w:val="16"/>
                <w:szCs w:val="16"/>
              </w:rPr>
              <w:t>0.04</w:t>
            </w:r>
            <w:r>
              <w:rPr>
                <w:sz w:val="16"/>
                <w:szCs w:val="16"/>
                <w:vertAlign w:val="superscript"/>
              </w:rPr>
              <w:t>c</w:t>
            </w:r>
          </w:p>
        </w:tc>
        <w:tc>
          <w:tcPr>
            <w:tcW w:w="1984" w:type="dxa"/>
            <w:tcBorders>
              <w:top w:val="single" w:color="auto" w:sz="4" w:space="0"/>
              <w:left w:val="single" w:color="auto" w:sz="4" w:space="0"/>
              <w:bottom w:val="single" w:color="auto" w:sz="4" w:space="0"/>
              <w:right w:val="single" w:color="auto" w:sz="4" w:space="0"/>
            </w:tcBorders>
            <w:vAlign w:val="center"/>
          </w:tcPr>
          <w:p w14:paraId="13A55674">
            <w:pPr>
              <w:spacing w:line="240" w:lineRule="exact"/>
              <w:ind w:firstLine="0" w:firstLineChars="0"/>
              <w:jc w:val="center"/>
              <w:rPr>
                <w:sz w:val="16"/>
                <w:szCs w:val="16"/>
                <w:vertAlign w:val="superscript"/>
              </w:rPr>
            </w:pPr>
            <w:r>
              <w:rPr>
                <w:sz w:val="16"/>
                <w:szCs w:val="16"/>
              </w:rPr>
              <w:t>0.3</w:t>
            </w:r>
            <w:r>
              <w:rPr>
                <w:sz w:val="16"/>
                <w:szCs w:val="16"/>
                <w:vertAlign w:val="superscript"/>
              </w:rPr>
              <w:t>c</w:t>
            </w:r>
          </w:p>
          <w:p w14:paraId="48F24C6C">
            <w:pPr>
              <w:spacing w:line="240" w:lineRule="exact"/>
              <w:ind w:firstLine="0" w:firstLineChars="0"/>
              <w:jc w:val="center"/>
              <w:rPr>
                <w:sz w:val="16"/>
                <w:szCs w:val="16"/>
              </w:rPr>
            </w:pPr>
            <w:r>
              <w:rPr>
                <w:sz w:val="16"/>
                <w:szCs w:val="16"/>
              </w:rPr>
              <w:t>[</w:t>
            </w:r>
            <w:r>
              <w:rPr>
                <w:rFonts w:hint="eastAsia"/>
                <w:sz w:val="16"/>
                <w:szCs w:val="16"/>
              </w:rPr>
              <w:t>以</w:t>
            </w:r>
            <w:r>
              <w:rPr>
                <w:sz w:val="16"/>
                <w:szCs w:val="16"/>
              </w:rPr>
              <w:t>Sb+As+Pb+Cr+Co+Cu+</w:t>
            </w:r>
          </w:p>
          <w:p w14:paraId="126AB27D">
            <w:pPr>
              <w:spacing w:line="240" w:lineRule="exact"/>
              <w:ind w:firstLine="0" w:firstLineChars="0"/>
              <w:jc w:val="center"/>
              <w:rPr>
                <w:sz w:val="16"/>
                <w:szCs w:val="16"/>
              </w:rPr>
            </w:pPr>
            <w:r>
              <w:rPr>
                <w:sz w:val="16"/>
                <w:szCs w:val="16"/>
              </w:rPr>
              <w:t>Mn+Ni+V</w:t>
            </w:r>
            <w:r>
              <w:rPr>
                <w:rFonts w:hint="eastAsia"/>
                <w:sz w:val="16"/>
                <w:szCs w:val="16"/>
              </w:rPr>
              <w:t>计</w:t>
            </w:r>
            <w:r>
              <w:rPr>
                <w:sz w:val="16"/>
                <w:szCs w:val="16"/>
              </w:rPr>
              <w:t>]</w:t>
            </w:r>
          </w:p>
        </w:tc>
        <w:tc>
          <w:tcPr>
            <w:tcW w:w="1152" w:type="dxa"/>
            <w:tcBorders>
              <w:top w:val="single" w:color="auto" w:sz="4" w:space="0"/>
              <w:left w:val="single" w:color="auto" w:sz="4" w:space="0"/>
              <w:bottom w:val="single" w:color="auto" w:sz="4" w:space="0"/>
              <w:right w:val="single" w:color="auto" w:sz="4" w:space="0"/>
            </w:tcBorders>
            <w:vAlign w:val="center"/>
          </w:tcPr>
          <w:p w14:paraId="224E246D">
            <w:pPr>
              <w:spacing w:line="240" w:lineRule="exact"/>
              <w:ind w:firstLine="0" w:firstLineChars="0"/>
              <w:jc w:val="center"/>
              <w:rPr>
                <w:sz w:val="16"/>
                <w:szCs w:val="16"/>
              </w:rPr>
            </w:pPr>
            <w:r>
              <w:rPr>
                <w:sz w:val="16"/>
                <w:szCs w:val="16"/>
              </w:rPr>
              <w:t>0.05</w:t>
            </w:r>
            <w:r>
              <w:rPr>
                <w:sz w:val="16"/>
                <w:szCs w:val="16"/>
                <w:vertAlign w:val="superscript"/>
              </w:rPr>
              <w:t>c</w:t>
            </w:r>
          </w:p>
        </w:tc>
        <w:tc>
          <w:tcPr>
            <w:tcW w:w="691" w:type="dxa"/>
            <w:tcBorders>
              <w:top w:val="single" w:color="auto" w:sz="4" w:space="0"/>
              <w:left w:val="single" w:color="auto" w:sz="4" w:space="0"/>
              <w:bottom w:val="single" w:color="auto" w:sz="4" w:space="0"/>
              <w:right w:val="single" w:color="auto" w:sz="4" w:space="0"/>
            </w:tcBorders>
            <w:vAlign w:val="center"/>
          </w:tcPr>
          <w:p w14:paraId="2AD83A39">
            <w:pPr>
              <w:spacing w:line="240" w:lineRule="exact"/>
              <w:ind w:firstLine="0" w:firstLineChars="0"/>
              <w:jc w:val="center"/>
              <w:rPr>
                <w:sz w:val="16"/>
                <w:szCs w:val="16"/>
              </w:rPr>
            </w:pPr>
            <w:r>
              <w:rPr>
                <w:sz w:val="16"/>
                <w:szCs w:val="16"/>
              </w:rPr>
              <w:t>/</w:t>
            </w:r>
          </w:p>
        </w:tc>
        <w:tc>
          <w:tcPr>
            <w:tcW w:w="1369" w:type="dxa"/>
            <w:tcBorders>
              <w:top w:val="single" w:color="auto" w:sz="4" w:space="0"/>
              <w:left w:val="single" w:color="auto" w:sz="4" w:space="0"/>
              <w:bottom w:val="single" w:color="auto" w:sz="4" w:space="0"/>
              <w:right w:val="single" w:color="auto" w:sz="4" w:space="0"/>
            </w:tcBorders>
            <w:vAlign w:val="center"/>
          </w:tcPr>
          <w:p w14:paraId="443E6144">
            <w:pPr>
              <w:spacing w:line="240" w:lineRule="exact"/>
              <w:ind w:firstLine="0" w:firstLineChars="0"/>
              <w:jc w:val="center"/>
              <w:rPr>
                <w:sz w:val="16"/>
                <w:szCs w:val="16"/>
              </w:rPr>
            </w:pPr>
            <w:r>
              <w:rPr>
                <w:rFonts w:hint="eastAsia"/>
                <w:sz w:val="16"/>
                <w:szCs w:val="16"/>
              </w:rPr>
              <w:t>总有机碳</w:t>
            </w:r>
            <w:r>
              <w:rPr>
                <w:sz w:val="16"/>
                <w:szCs w:val="16"/>
              </w:rPr>
              <w:t>10</w:t>
            </w:r>
            <w:r>
              <w:rPr>
                <w:sz w:val="16"/>
                <w:szCs w:val="16"/>
                <w:vertAlign w:val="superscript"/>
              </w:rPr>
              <w:t>a</w:t>
            </w:r>
            <w:r>
              <w:rPr>
                <w:sz w:val="16"/>
                <w:szCs w:val="16"/>
              </w:rPr>
              <w:t>/10</w:t>
            </w:r>
            <w:r>
              <w:rPr>
                <w:sz w:val="16"/>
                <w:szCs w:val="16"/>
                <w:vertAlign w:val="superscript"/>
              </w:rPr>
              <w:t>b</w:t>
            </w:r>
          </w:p>
          <w:p w14:paraId="28264F43">
            <w:pPr>
              <w:spacing w:line="240" w:lineRule="exact"/>
              <w:ind w:firstLine="0" w:firstLineChars="0"/>
              <w:jc w:val="center"/>
              <w:rPr>
                <w:sz w:val="16"/>
                <w:szCs w:val="16"/>
              </w:rPr>
            </w:pPr>
            <w:r>
              <w:rPr>
                <w:rFonts w:hint="eastAsia"/>
                <w:sz w:val="16"/>
                <w:szCs w:val="16"/>
              </w:rPr>
              <w:t>基准氧含量</w:t>
            </w:r>
            <w:r>
              <w:rPr>
                <w:sz w:val="16"/>
                <w:szCs w:val="16"/>
              </w:rPr>
              <w:t>11%</w:t>
            </w:r>
          </w:p>
        </w:tc>
      </w:tr>
      <w:tr w14:paraId="6C6A0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14BDF2C0">
            <w:pPr>
              <w:spacing w:line="240" w:lineRule="exact"/>
              <w:ind w:firstLine="0" w:firstLineChars="0"/>
              <w:jc w:val="center"/>
              <w:rPr>
                <w:sz w:val="16"/>
                <w:szCs w:val="16"/>
              </w:rPr>
            </w:pPr>
            <w:r>
              <w:rPr>
                <w:rFonts w:hint="eastAsia"/>
                <w:sz w:val="16"/>
                <w:szCs w:val="16"/>
              </w:rPr>
              <w:t>广东省东莞市《东莞市蓝天保卫战行动方案》</w:t>
            </w:r>
            <w:r>
              <w:rPr>
                <w:sz w:val="16"/>
                <w:szCs w:val="16"/>
              </w:rPr>
              <w:t>(</w:t>
            </w:r>
            <w:r>
              <w:rPr>
                <w:rFonts w:hint="eastAsia"/>
                <w:sz w:val="16"/>
                <w:szCs w:val="16"/>
              </w:rPr>
              <w:t>东府〔</w:t>
            </w:r>
            <w:r>
              <w:rPr>
                <w:sz w:val="16"/>
                <w:szCs w:val="16"/>
              </w:rPr>
              <w:t>2018</w:t>
            </w:r>
            <w:r>
              <w:rPr>
                <w:rFonts w:hint="eastAsia"/>
                <w:sz w:val="16"/>
                <w:szCs w:val="16"/>
              </w:rPr>
              <w:t>〕</w:t>
            </w:r>
            <w:r>
              <w:rPr>
                <w:sz w:val="16"/>
                <w:szCs w:val="16"/>
              </w:rPr>
              <w:t>56</w:t>
            </w:r>
            <w:r>
              <w:rPr>
                <w:rFonts w:hint="eastAsia"/>
                <w:sz w:val="16"/>
                <w:szCs w:val="16"/>
              </w:rPr>
              <w:t>号</w:t>
            </w:r>
            <w:r>
              <w:rPr>
                <w:sz w:val="16"/>
                <w:szCs w:val="16"/>
              </w:rPr>
              <w:t>)</w:t>
            </w:r>
          </w:p>
        </w:tc>
        <w:tc>
          <w:tcPr>
            <w:tcW w:w="867" w:type="dxa"/>
            <w:tcBorders>
              <w:top w:val="single" w:color="auto" w:sz="4" w:space="0"/>
              <w:left w:val="single" w:color="auto" w:sz="4" w:space="0"/>
              <w:bottom w:val="single" w:color="auto" w:sz="4" w:space="0"/>
              <w:right w:val="single" w:color="auto" w:sz="4" w:space="0"/>
            </w:tcBorders>
            <w:vAlign w:val="center"/>
          </w:tcPr>
          <w:p w14:paraId="56167E33">
            <w:pPr>
              <w:spacing w:line="240" w:lineRule="exact"/>
              <w:ind w:firstLine="0" w:firstLineChars="0"/>
              <w:jc w:val="center"/>
              <w:rPr>
                <w:sz w:val="16"/>
                <w:szCs w:val="16"/>
              </w:rPr>
            </w:pPr>
            <w:r>
              <w:rPr>
                <w:sz w:val="16"/>
                <w:szCs w:val="16"/>
              </w:rPr>
              <w:t>/</w:t>
            </w:r>
          </w:p>
        </w:tc>
        <w:tc>
          <w:tcPr>
            <w:tcW w:w="709" w:type="dxa"/>
            <w:tcBorders>
              <w:top w:val="single" w:color="auto" w:sz="4" w:space="0"/>
              <w:left w:val="single" w:color="auto" w:sz="4" w:space="0"/>
              <w:bottom w:val="single" w:color="auto" w:sz="4" w:space="0"/>
              <w:right w:val="single" w:color="auto" w:sz="4" w:space="0"/>
            </w:tcBorders>
            <w:vAlign w:val="center"/>
          </w:tcPr>
          <w:p w14:paraId="37F44B30">
            <w:pPr>
              <w:spacing w:line="240" w:lineRule="exact"/>
              <w:ind w:firstLine="0" w:firstLineChars="0"/>
              <w:jc w:val="center"/>
              <w:rPr>
                <w:sz w:val="16"/>
                <w:szCs w:val="16"/>
              </w:rPr>
            </w:pPr>
            <w:r>
              <w:rPr>
                <w:sz w:val="16"/>
                <w:szCs w:val="16"/>
              </w:rPr>
              <w:t>100</w:t>
            </w:r>
          </w:p>
        </w:tc>
        <w:tc>
          <w:tcPr>
            <w:tcW w:w="709" w:type="dxa"/>
            <w:tcBorders>
              <w:top w:val="single" w:color="auto" w:sz="4" w:space="0"/>
              <w:left w:val="single" w:color="auto" w:sz="4" w:space="0"/>
              <w:bottom w:val="single" w:color="auto" w:sz="4" w:space="0"/>
              <w:right w:val="single" w:color="auto" w:sz="4" w:space="0"/>
            </w:tcBorders>
            <w:vAlign w:val="center"/>
          </w:tcPr>
          <w:p w14:paraId="31F5300E">
            <w:pPr>
              <w:spacing w:line="240" w:lineRule="exact"/>
              <w:ind w:firstLine="0" w:firstLineChars="0"/>
              <w:jc w:val="center"/>
              <w:rPr>
                <w:sz w:val="16"/>
                <w:szCs w:val="16"/>
              </w:rPr>
            </w:pPr>
            <w:r>
              <w:rPr>
                <w:sz w:val="16"/>
                <w:szCs w:val="16"/>
              </w:rPr>
              <w:t>/</w:t>
            </w:r>
          </w:p>
        </w:tc>
        <w:tc>
          <w:tcPr>
            <w:tcW w:w="708" w:type="dxa"/>
            <w:tcBorders>
              <w:top w:val="single" w:color="auto" w:sz="4" w:space="0"/>
              <w:left w:val="single" w:color="auto" w:sz="4" w:space="0"/>
              <w:bottom w:val="single" w:color="auto" w:sz="4" w:space="0"/>
              <w:right w:val="single" w:color="auto" w:sz="4" w:space="0"/>
            </w:tcBorders>
            <w:vAlign w:val="center"/>
          </w:tcPr>
          <w:p w14:paraId="264144BB">
            <w:pPr>
              <w:spacing w:line="240" w:lineRule="exact"/>
              <w:ind w:firstLine="0" w:firstLineChars="0"/>
              <w:jc w:val="center"/>
              <w:rPr>
                <w:sz w:val="16"/>
                <w:szCs w:val="16"/>
              </w:rPr>
            </w:pPr>
            <w:r>
              <w:rPr>
                <w:sz w:val="16"/>
                <w:szCs w:val="16"/>
              </w:rPr>
              <w:t>/</w:t>
            </w:r>
          </w:p>
        </w:tc>
        <w:tc>
          <w:tcPr>
            <w:tcW w:w="709" w:type="dxa"/>
            <w:tcBorders>
              <w:top w:val="single" w:color="auto" w:sz="4" w:space="0"/>
              <w:left w:val="single" w:color="auto" w:sz="4" w:space="0"/>
              <w:bottom w:val="single" w:color="auto" w:sz="4" w:space="0"/>
              <w:right w:val="single" w:color="auto" w:sz="4" w:space="0"/>
            </w:tcBorders>
            <w:vAlign w:val="center"/>
          </w:tcPr>
          <w:p w14:paraId="30F683E4">
            <w:pPr>
              <w:spacing w:line="240" w:lineRule="exact"/>
              <w:ind w:firstLine="0" w:firstLineChars="0"/>
              <w:jc w:val="center"/>
              <w:rPr>
                <w:sz w:val="16"/>
                <w:szCs w:val="16"/>
              </w:rPr>
            </w:pPr>
            <w:r>
              <w:rPr>
                <w:sz w:val="16"/>
                <w:szCs w:val="16"/>
              </w:rPr>
              <w:t>/</w:t>
            </w:r>
          </w:p>
        </w:tc>
        <w:tc>
          <w:tcPr>
            <w:tcW w:w="992" w:type="dxa"/>
            <w:tcBorders>
              <w:top w:val="single" w:color="auto" w:sz="4" w:space="0"/>
              <w:left w:val="single" w:color="auto" w:sz="4" w:space="0"/>
              <w:bottom w:val="single" w:color="auto" w:sz="4" w:space="0"/>
              <w:right w:val="single" w:color="auto" w:sz="4" w:space="0"/>
            </w:tcBorders>
            <w:vAlign w:val="center"/>
          </w:tcPr>
          <w:p w14:paraId="7C2E8004">
            <w:pPr>
              <w:spacing w:line="240" w:lineRule="exact"/>
              <w:ind w:firstLine="0" w:firstLineChars="0"/>
              <w:jc w:val="center"/>
              <w:rPr>
                <w:sz w:val="16"/>
                <w:szCs w:val="16"/>
              </w:rPr>
            </w:pPr>
            <w:r>
              <w:rPr>
                <w:sz w:val="16"/>
                <w:szCs w:val="16"/>
              </w:rPr>
              <w:t>/</w:t>
            </w:r>
          </w:p>
        </w:tc>
        <w:tc>
          <w:tcPr>
            <w:tcW w:w="1401" w:type="dxa"/>
            <w:tcBorders>
              <w:top w:val="single" w:color="auto" w:sz="4" w:space="0"/>
              <w:left w:val="single" w:color="auto" w:sz="4" w:space="0"/>
              <w:bottom w:val="single" w:color="auto" w:sz="4" w:space="0"/>
              <w:right w:val="single" w:color="auto" w:sz="4" w:space="0"/>
            </w:tcBorders>
            <w:vAlign w:val="center"/>
          </w:tcPr>
          <w:p w14:paraId="1EF21084">
            <w:pPr>
              <w:spacing w:line="240" w:lineRule="exact"/>
              <w:ind w:firstLine="0" w:firstLineChars="0"/>
              <w:jc w:val="center"/>
              <w:rPr>
                <w:sz w:val="16"/>
                <w:szCs w:val="16"/>
              </w:rPr>
            </w:pPr>
            <w:r>
              <w:rPr>
                <w:sz w:val="16"/>
                <w:szCs w:val="16"/>
              </w:rPr>
              <w:t>/</w:t>
            </w:r>
          </w:p>
        </w:tc>
        <w:tc>
          <w:tcPr>
            <w:tcW w:w="1984" w:type="dxa"/>
            <w:tcBorders>
              <w:top w:val="single" w:color="auto" w:sz="4" w:space="0"/>
              <w:left w:val="single" w:color="auto" w:sz="4" w:space="0"/>
              <w:bottom w:val="single" w:color="auto" w:sz="4" w:space="0"/>
              <w:right w:val="single" w:color="auto" w:sz="4" w:space="0"/>
            </w:tcBorders>
            <w:vAlign w:val="center"/>
          </w:tcPr>
          <w:p w14:paraId="4770638E">
            <w:pPr>
              <w:spacing w:line="240" w:lineRule="exact"/>
              <w:ind w:firstLine="0" w:firstLineChars="0"/>
              <w:jc w:val="center"/>
              <w:rPr>
                <w:sz w:val="16"/>
                <w:szCs w:val="16"/>
              </w:rPr>
            </w:pPr>
            <w:r>
              <w:rPr>
                <w:sz w:val="16"/>
                <w:szCs w:val="16"/>
              </w:rPr>
              <w:t>/</w:t>
            </w:r>
          </w:p>
        </w:tc>
        <w:tc>
          <w:tcPr>
            <w:tcW w:w="1152" w:type="dxa"/>
            <w:tcBorders>
              <w:top w:val="single" w:color="auto" w:sz="4" w:space="0"/>
              <w:left w:val="single" w:color="auto" w:sz="4" w:space="0"/>
              <w:bottom w:val="single" w:color="auto" w:sz="4" w:space="0"/>
              <w:right w:val="single" w:color="auto" w:sz="4" w:space="0"/>
            </w:tcBorders>
            <w:vAlign w:val="center"/>
          </w:tcPr>
          <w:p w14:paraId="3DA822FE">
            <w:pPr>
              <w:spacing w:line="240" w:lineRule="exact"/>
              <w:ind w:firstLine="0" w:firstLineChars="0"/>
              <w:jc w:val="center"/>
              <w:rPr>
                <w:sz w:val="16"/>
                <w:szCs w:val="16"/>
              </w:rPr>
            </w:pPr>
            <w:r>
              <w:rPr>
                <w:sz w:val="16"/>
                <w:szCs w:val="16"/>
              </w:rPr>
              <w:t>/</w:t>
            </w:r>
          </w:p>
        </w:tc>
        <w:tc>
          <w:tcPr>
            <w:tcW w:w="691" w:type="dxa"/>
            <w:tcBorders>
              <w:top w:val="single" w:color="auto" w:sz="4" w:space="0"/>
              <w:left w:val="single" w:color="auto" w:sz="4" w:space="0"/>
              <w:bottom w:val="single" w:color="auto" w:sz="4" w:space="0"/>
              <w:right w:val="single" w:color="auto" w:sz="4" w:space="0"/>
            </w:tcBorders>
            <w:vAlign w:val="center"/>
          </w:tcPr>
          <w:p w14:paraId="76532D08">
            <w:pPr>
              <w:spacing w:line="240" w:lineRule="exact"/>
              <w:ind w:firstLine="0" w:firstLineChars="0"/>
              <w:jc w:val="center"/>
              <w:rPr>
                <w:sz w:val="16"/>
                <w:szCs w:val="16"/>
              </w:rPr>
            </w:pPr>
            <w:r>
              <w:rPr>
                <w:sz w:val="16"/>
                <w:szCs w:val="16"/>
              </w:rPr>
              <w:t>/</w:t>
            </w:r>
          </w:p>
        </w:tc>
        <w:tc>
          <w:tcPr>
            <w:tcW w:w="1369" w:type="dxa"/>
            <w:tcBorders>
              <w:top w:val="single" w:color="auto" w:sz="4" w:space="0"/>
              <w:left w:val="single" w:color="auto" w:sz="4" w:space="0"/>
              <w:bottom w:val="single" w:color="auto" w:sz="4" w:space="0"/>
              <w:right w:val="single" w:color="auto" w:sz="4" w:space="0"/>
            </w:tcBorders>
            <w:vAlign w:val="center"/>
          </w:tcPr>
          <w:p w14:paraId="6FF38609">
            <w:pPr>
              <w:spacing w:line="240" w:lineRule="exact"/>
              <w:ind w:firstLine="0" w:firstLineChars="0"/>
              <w:jc w:val="center"/>
              <w:rPr>
                <w:sz w:val="16"/>
                <w:szCs w:val="16"/>
              </w:rPr>
            </w:pPr>
            <w:r>
              <w:rPr>
                <w:rFonts w:hint="eastAsia"/>
                <w:sz w:val="16"/>
                <w:szCs w:val="16"/>
              </w:rPr>
              <w:t>基准氧含量</w:t>
            </w:r>
            <w:r>
              <w:rPr>
                <w:sz w:val="16"/>
                <w:szCs w:val="16"/>
              </w:rPr>
              <w:t>11%</w:t>
            </w:r>
          </w:p>
        </w:tc>
      </w:tr>
      <w:tr w14:paraId="0991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3B207988">
            <w:pPr>
              <w:spacing w:line="240" w:lineRule="exact"/>
              <w:ind w:firstLine="0" w:firstLineChars="0"/>
              <w:jc w:val="center"/>
              <w:rPr>
                <w:sz w:val="16"/>
                <w:szCs w:val="16"/>
              </w:rPr>
            </w:pPr>
            <w:r>
              <w:rPr>
                <w:rFonts w:hint="eastAsia"/>
                <w:sz w:val="16"/>
                <w:szCs w:val="16"/>
              </w:rPr>
              <w:t>《关于印发河南省</w:t>
            </w:r>
            <w:r>
              <w:rPr>
                <w:sz w:val="16"/>
                <w:szCs w:val="16"/>
              </w:rPr>
              <w:t>2020</w:t>
            </w:r>
            <w:r>
              <w:rPr>
                <w:rFonts w:hint="eastAsia"/>
                <w:sz w:val="16"/>
                <w:szCs w:val="16"/>
              </w:rPr>
              <w:t>年大气、水、土壤污染防治攻坚战实施方案的通知》（豫环攻坚办〔</w:t>
            </w:r>
            <w:r>
              <w:rPr>
                <w:sz w:val="16"/>
                <w:szCs w:val="16"/>
              </w:rPr>
              <w:t>2020</w:t>
            </w:r>
            <w:r>
              <w:rPr>
                <w:rFonts w:hint="eastAsia"/>
                <w:sz w:val="16"/>
                <w:szCs w:val="16"/>
              </w:rPr>
              <w:t>〕</w:t>
            </w:r>
            <w:r>
              <w:rPr>
                <w:sz w:val="16"/>
                <w:szCs w:val="16"/>
              </w:rPr>
              <w:t>7</w:t>
            </w:r>
            <w:r>
              <w:rPr>
                <w:rFonts w:hint="eastAsia"/>
                <w:sz w:val="16"/>
                <w:szCs w:val="16"/>
              </w:rPr>
              <w:t>号）</w:t>
            </w:r>
          </w:p>
        </w:tc>
        <w:tc>
          <w:tcPr>
            <w:tcW w:w="867" w:type="dxa"/>
            <w:tcBorders>
              <w:top w:val="single" w:color="auto" w:sz="4" w:space="0"/>
              <w:left w:val="single" w:color="auto" w:sz="4" w:space="0"/>
              <w:bottom w:val="single" w:color="auto" w:sz="4" w:space="0"/>
              <w:right w:val="single" w:color="auto" w:sz="4" w:space="0"/>
            </w:tcBorders>
            <w:vAlign w:val="center"/>
          </w:tcPr>
          <w:p w14:paraId="67E32B73">
            <w:pPr>
              <w:spacing w:line="240" w:lineRule="exact"/>
              <w:ind w:firstLine="0" w:firstLineChars="0"/>
              <w:jc w:val="center"/>
              <w:rPr>
                <w:sz w:val="16"/>
                <w:szCs w:val="16"/>
              </w:rPr>
            </w:pPr>
            <w:r>
              <w:rPr>
                <w:sz w:val="16"/>
                <w:szCs w:val="16"/>
              </w:rPr>
              <w:t>10</w:t>
            </w:r>
            <w:r>
              <w:rPr>
                <w:sz w:val="16"/>
                <w:szCs w:val="16"/>
                <w:vertAlign w:val="superscript"/>
              </w:rPr>
              <w:t>a</w:t>
            </w:r>
          </w:p>
        </w:tc>
        <w:tc>
          <w:tcPr>
            <w:tcW w:w="709" w:type="dxa"/>
            <w:tcBorders>
              <w:top w:val="single" w:color="auto" w:sz="4" w:space="0"/>
              <w:left w:val="single" w:color="auto" w:sz="4" w:space="0"/>
              <w:bottom w:val="single" w:color="auto" w:sz="4" w:space="0"/>
              <w:right w:val="single" w:color="auto" w:sz="4" w:space="0"/>
            </w:tcBorders>
            <w:vAlign w:val="center"/>
          </w:tcPr>
          <w:p w14:paraId="1106BAD7">
            <w:pPr>
              <w:spacing w:line="240" w:lineRule="exact"/>
              <w:ind w:firstLine="0" w:firstLineChars="0"/>
              <w:jc w:val="center"/>
              <w:rPr>
                <w:sz w:val="16"/>
                <w:szCs w:val="16"/>
              </w:rPr>
            </w:pPr>
            <w:r>
              <w:rPr>
                <w:sz w:val="16"/>
                <w:szCs w:val="16"/>
              </w:rPr>
              <w:t>100</w:t>
            </w:r>
            <w:r>
              <w:rPr>
                <w:sz w:val="16"/>
                <w:szCs w:val="16"/>
                <w:vertAlign w:val="superscript"/>
              </w:rPr>
              <w:t>a</w:t>
            </w:r>
          </w:p>
        </w:tc>
        <w:tc>
          <w:tcPr>
            <w:tcW w:w="709" w:type="dxa"/>
            <w:tcBorders>
              <w:top w:val="single" w:color="auto" w:sz="4" w:space="0"/>
              <w:left w:val="single" w:color="auto" w:sz="4" w:space="0"/>
              <w:bottom w:val="single" w:color="auto" w:sz="4" w:space="0"/>
              <w:right w:val="single" w:color="auto" w:sz="4" w:space="0"/>
            </w:tcBorders>
            <w:vAlign w:val="center"/>
          </w:tcPr>
          <w:p w14:paraId="4A3A7856">
            <w:pPr>
              <w:spacing w:line="240" w:lineRule="exact"/>
              <w:ind w:firstLine="0" w:firstLineChars="0"/>
              <w:jc w:val="center"/>
              <w:rPr>
                <w:sz w:val="16"/>
                <w:szCs w:val="16"/>
              </w:rPr>
            </w:pPr>
            <w:r>
              <w:rPr>
                <w:sz w:val="16"/>
                <w:szCs w:val="16"/>
              </w:rPr>
              <w:t>35</w:t>
            </w:r>
            <w:r>
              <w:rPr>
                <w:sz w:val="16"/>
                <w:szCs w:val="16"/>
                <w:vertAlign w:val="superscript"/>
              </w:rPr>
              <w:t>a</w:t>
            </w:r>
          </w:p>
        </w:tc>
        <w:tc>
          <w:tcPr>
            <w:tcW w:w="708" w:type="dxa"/>
            <w:tcBorders>
              <w:top w:val="single" w:color="auto" w:sz="4" w:space="0"/>
              <w:left w:val="single" w:color="auto" w:sz="4" w:space="0"/>
              <w:bottom w:val="single" w:color="auto" w:sz="4" w:space="0"/>
              <w:right w:val="single" w:color="auto" w:sz="4" w:space="0"/>
            </w:tcBorders>
            <w:vAlign w:val="center"/>
          </w:tcPr>
          <w:p w14:paraId="402757DB">
            <w:pPr>
              <w:spacing w:line="240" w:lineRule="exact"/>
              <w:ind w:firstLine="0" w:firstLineChars="0"/>
              <w:jc w:val="center"/>
              <w:rPr>
                <w:sz w:val="16"/>
                <w:szCs w:val="16"/>
              </w:rPr>
            </w:pPr>
            <w:r>
              <w:rPr>
                <w:sz w:val="16"/>
                <w:szCs w:val="16"/>
              </w:rPr>
              <w:t>/</w:t>
            </w:r>
          </w:p>
        </w:tc>
        <w:tc>
          <w:tcPr>
            <w:tcW w:w="709" w:type="dxa"/>
            <w:tcBorders>
              <w:top w:val="single" w:color="auto" w:sz="4" w:space="0"/>
              <w:left w:val="single" w:color="auto" w:sz="4" w:space="0"/>
              <w:bottom w:val="single" w:color="auto" w:sz="4" w:space="0"/>
              <w:right w:val="single" w:color="auto" w:sz="4" w:space="0"/>
            </w:tcBorders>
            <w:vAlign w:val="center"/>
          </w:tcPr>
          <w:p w14:paraId="40623384">
            <w:pPr>
              <w:spacing w:line="240" w:lineRule="exact"/>
              <w:ind w:firstLine="0" w:firstLineChars="0"/>
              <w:jc w:val="center"/>
              <w:rPr>
                <w:sz w:val="16"/>
                <w:szCs w:val="16"/>
              </w:rPr>
            </w:pPr>
            <w:r>
              <w:rPr>
                <w:sz w:val="16"/>
                <w:szCs w:val="16"/>
              </w:rPr>
              <w:t>/</w:t>
            </w:r>
          </w:p>
        </w:tc>
        <w:tc>
          <w:tcPr>
            <w:tcW w:w="992" w:type="dxa"/>
            <w:tcBorders>
              <w:top w:val="single" w:color="auto" w:sz="4" w:space="0"/>
              <w:left w:val="single" w:color="auto" w:sz="4" w:space="0"/>
              <w:bottom w:val="single" w:color="auto" w:sz="4" w:space="0"/>
              <w:right w:val="single" w:color="auto" w:sz="4" w:space="0"/>
            </w:tcBorders>
            <w:vAlign w:val="center"/>
          </w:tcPr>
          <w:p w14:paraId="125F2952">
            <w:pPr>
              <w:spacing w:line="240" w:lineRule="exact"/>
              <w:ind w:firstLine="0" w:firstLineChars="0"/>
              <w:jc w:val="center"/>
              <w:rPr>
                <w:sz w:val="16"/>
                <w:szCs w:val="16"/>
              </w:rPr>
            </w:pPr>
            <w:r>
              <w:rPr>
                <w:sz w:val="16"/>
                <w:szCs w:val="16"/>
              </w:rPr>
              <w:t>/</w:t>
            </w:r>
          </w:p>
        </w:tc>
        <w:tc>
          <w:tcPr>
            <w:tcW w:w="1401" w:type="dxa"/>
            <w:tcBorders>
              <w:top w:val="single" w:color="auto" w:sz="4" w:space="0"/>
              <w:left w:val="single" w:color="auto" w:sz="4" w:space="0"/>
              <w:bottom w:val="single" w:color="auto" w:sz="4" w:space="0"/>
              <w:right w:val="single" w:color="auto" w:sz="4" w:space="0"/>
            </w:tcBorders>
            <w:vAlign w:val="center"/>
          </w:tcPr>
          <w:p w14:paraId="67C0E483">
            <w:pPr>
              <w:spacing w:line="240" w:lineRule="exact"/>
              <w:ind w:firstLine="0" w:firstLineChars="0"/>
              <w:jc w:val="center"/>
              <w:rPr>
                <w:sz w:val="16"/>
                <w:szCs w:val="16"/>
              </w:rPr>
            </w:pPr>
            <w:r>
              <w:rPr>
                <w:sz w:val="16"/>
                <w:szCs w:val="16"/>
              </w:rPr>
              <w:t>/</w:t>
            </w:r>
          </w:p>
        </w:tc>
        <w:tc>
          <w:tcPr>
            <w:tcW w:w="1984" w:type="dxa"/>
            <w:tcBorders>
              <w:top w:val="single" w:color="auto" w:sz="4" w:space="0"/>
              <w:left w:val="single" w:color="auto" w:sz="4" w:space="0"/>
              <w:bottom w:val="single" w:color="auto" w:sz="4" w:space="0"/>
              <w:right w:val="single" w:color="auto" w:sz="4" w:space="0"/>
            </w:tcBorders>
            <w:vAlign w:val="center"/>
          </w:tcPr>
          <w:p w14:paraId="6E0B587E">
            <w:pPr>
              <w:spacing w:line="240" w:lineRule="exact"/>
              <w:ind w:firstLine="0" w:firstLineChars="0"/>
              <w:jc w:val="center"/>
              <w:rPr>
                <w:sz w:val="16"/>
                <w:szCs w:val="16"/>
              </w:rPr>
            </w:pPr>
            <w:r>
              <w:rPr>
                <w:sz w:val="16"/>
                <w:szCs w:val="16"/>
              </w:rPr>
              <w:t>/</w:t>
            </w:r>
          </w:p>
        </w:tc>
        <w:tc>
          <w:tcPr>
            <w:tcW w:w="1152" w:type="dxa"/>
            <w:tcBorders>
              <w:top w:val="single" w:color="auto" w:sz="4" w:space="0"/>
              <w:left w:val="single" w:color="auto" w:sz="4" w:space="0"/>
              <w:bottom w:val="single" w:color="auto" w:sz="4" w:space="0"/>
              <w:right w:val="single" w:color="auto" w:sz="4" w:space="0"/>
            </w:tcBorders>
            <w:vAlign w:val="center"/>
          </w:tcPr>
          <w:p w14:paraId="444ED0FC">
            <w:pPr>
              <w:spacing w:line="240" w:lineRule="exact"/>
              <w:ind w:firstLine="0" w:firstLineChars="0"/>
              <w:jc w:val="center"/>
              <w:rPr>
                <w:sz w:val="16"/>
                <w:szCs w:val="16"/>
              </w:rPr>
            </w:pPr>
            <w:r>
              <w:rPr>
                <w:sz w:val="16"/>
                <w:szCs w:val="16"/>
              </w:rPr>
              <w:t>/</w:t>
            </w:r>
          </w:p>
        </w:tc>
        <w:tc>
          <w:tcPr>
            <w:tcW w:w="691" w:type="dxa"/>
            <w:tcBorders>
              <w:top w:val="single" w:color="auto" w:sz="4" w:space="0"/>
              <w:left w:val="single" w:color="auto" w:sz="4" w:space="0"/>
              <w:bottom w:val="single" w:color="auto" w:sz="4" w:space="0"/>
              <w:right w:val="single" w:color="auto" w:sz="4" w:space="0"/>
            </w:tcBorders>
            <w:vAlign w:val="center"/>
          </w:tcPr>
          <w:p w14:paraId="1EB42D17">
            <w:pPr>
              <w:spacing w:line="240" w:lineRule="exact"/>
              <w:ind w:firstLine="0" w:firstLineChars="0"/>
              <w:jc w:val="center"/>
              <w:rPr>
                <w:sz w:val="16"/>
                <w:szCs w:val="16"/>
              </w:rPr>
            </w:pPr>
            <w:r>
              <w:rPr>
                <w:sz w:val="16"/>
                <w:szCs w:val="16"/>
              </w:rPr>
              <w:t>/</w:t>
            </w:r>
          </w:p>
        </w:tc>
        <w:tc>
          <w:tcPr>
            <w:tcW w:w="1369" w:type="dxa"/>
            <w:tcBorders>
              <w:top w:val="single" w:color="auto" w:sz="4" w:space="0"/>
              <w:left w:val="single" w:color="auto" w:sz="4" w:space="0"/>
              <w:bottom w:val="single" w:color="auto" w:sz="4" w:space="0"/>
              <w:right w:val="single" w:color="auto" w:sz="4" w:space="0"/>
            </w:tcBorders>
            <w:vAlign w:val="center"/>
          </w:tcPr>
          <w:p w14:paraId="01328128">
            <w:pPr>
              <w:spacing w:line="240" w:lineRule="exact"/>
              <w:ind w:firstLine="0" w:firstLineChars="0"/>
              <w:jc w:val="center"/>
              <w:rPr>
                <w:sz w:val="16"/>
                <w:szCs w:val="16"/>
              </w:rPr>
            </w:pPr>
            <w:r>
              <w:rPr>
                <w:rFonts w:hint="eastAsia"/>
                <w:sz w:val="16"/>
                <w:szCs w:val="16"/>
              </w:rPr>
              <w:t>基准含氧量</w:t>
            </w:r>
            <w:r>
              <w:rPr>
                <w:sz w:val="16"/>
                <w:szCs w:val="16"/>
              </w:rPr>
              <w:t>11%</w:t>
            </w:r>
          </w:p>
        </w:tc>
      </w:tr>
      <w:bookmarkEnd w:id="34"/>
    </w:tbl>
    <w:p w14:paraId="328F35BA">
      <w:pPr>
        <w:spacing w:line="240" w:lineRule="auto"/>
        <w:ind w:firstLine="480"/>
        <w:rPr>
          <w:sz w:val="24"/>
          <w:szCs w:val="22"/>
        </w:rPr>
      </w:pPr>
      <w:bookmarkStart w:id="35" w:name="_Hlk152770383"/>
      <w:r>
        <w:rPr>
          <w:sz w:val="24"/>
          <w:szCs w:val="22"/>
        </w:rPr>
        <w:t>注：a为小时均值；b为24小时均值；c为测定均值；d为日均值。</w:t>
      </w:r>
    </w:p>
    <w:bookmarkEnd w:id="35"/>
    <w:p w14:paraId="290E6C68">
      <w:pPr>
        <w:ind w:firstLine="560"/>
        <w:sectPr>
          <w:headerReference r:id="rId19" w:type="default"/>
          <w:pgSz w:w="16838" w:h="11906" w:orient="landscape"/>
          <w:pgMar w:top="1800" w:right="1440" w:bottom="1800" w:left="1440" w:header="851" w:footer="992" w:gutter="0"/>
          <w:cols w:space="425" w:num="1"/>
          <w:docGrid w:type="lines" w:linePitch="381" w:charSpace="0"/>
        </w:sectPr>
      </w:pPr>
    </w:p>
    <w:p w14:paraId="77E8DE2D">
      <w:pPr>
        <w:pStyle w:val="2"/>
      </w:pPr>
      <w:bookmarkStart w:id="36" w:name="_Toc183055376"/>
      <w:r>
        <w:t>5</w:t>
      </w:r>
      <w:r>
        <w:rPr>
          <w:rFonts w:hint="eastAsia"/>
        </w:rPr>
        <w:t xml:space="preserve"> 生活垃圾焚烧厂调研及污染物排放现状</w:t>
      </w:r>
      <w:bookmarkEnd w:id="36"/>
    </w:p>
    <w:p w14:paraId="3BA0647A">
      <w:pPr>
        <w:ind w:firstLine="560"/>
      </w:pPr>
      <w:r>
        <w:rPr>
          <w:rFonts w:hint="eastAsia"/>
        </w:rPr>
        <w:t>参考国家及我省大气污染物排放标准体系建设情况，生活垃圾焚烧大气污染物排放限值执行国家《生活垃圾焚烧污染控制标准》(GB 18485-2014)，编制组收集了</w:t>
      </w:r>
      <w:r>
        <w:t>2021-2022</w:t>
      </w:r>
      <w:r>
        <w:rPr>
          <w:rFonts w:hint="eastAsia"/>
        </w:rPr>
        <w:t>年省控及以上企业环境监测信息并向全省生活垃圾焚烧企业发放了调查表，汇总了在线监控数据、监督性监测数据、企业自行监测数据等，涉及全省现有的所有生活垃圾焚烧企业。通过梳理、统计，分析污染物排放水平，得到以下污染排放分析结果。</w:t>
      </w:r>
    </w:p>
    <w:p w14:paraId="133B672D">
      <w:pPr>
        <w:pStyle w:val="13"/>
        <w:spacing w:before="156" w:beforeLines="50"/>
      </w:pPr>
      <w:r>
        <w:rPr>
          <w:rFonts w:hint="eastAsia"/>
        </w:rPr>
        <w:t>表5</w:t>
      </w:r>
      <w:r>
        <w:t xml:space="preserve">-1 </w:t>
      </w:r>
      <w:r>
        <w:rPr>
          <w:rFonts w:hint="eastAsia"/>
        </w:rPr>
        <w:t>企业污染排放情况（mg</w:t>
      </w:r>
      <w:r>
        <w:t>/</w:t>
      </w:r>
      <w:r>
        <w:rPr>
          <w:rFonts w:hint="eastAsia"/>
        </w:rPr>
        <w:t>m</w:t>
      </w:r>
      <w:r>
        <w:rPr>
          <w:vertAlign w:val="superscript"/>
        </w:rPr>
        <w:t>3</w:t>
      </w:r>
      <w:r>
        <w:rPr>
          <w:rFonts w:hint="eastAsia"/>
        </w:rPr>
        <w:t>）</w:t>
      </w:r>
    </w:p>
    <w:tbl>
      <w:tblPr>
        <w:tblStyle w:val="18"/>
        <w:tblW w:w="8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992"/>
        <w:gridCol w:w="1134"/>
        <w:gridCol w:w="992"/>
        <w:gridCol w:w="993"/>
        <w:gridCol w:w="1075"/>
      </w:tblGrid>
      <w:tr w14:paraId="48886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68F1EE6E">
            <w:pPr>
              <w:ind w:firstLine="0" w:firstLineChars="0"/>
              <w:jc w:val="center"/>
              <w:rPr>
                <w:sz w:val="24"/>
                <w:szCs w:val="22"/>
              </w:rPr>
            </w:pPr>
            <w:r>
              <w:rPr>
                <w:rFonts w:hint="eastAsia"/>
                <w:sz w:val="24"/>
                <w:szCs w:val="22"/>
              </w:rPr>
              <w:t>颗粒物1小时浓度分布</w:t>
            </w:r>
          </w:p>
        </w:tc>
        <w:tc>
          <w:tcPr>
            <w:tcW w:w="992" w:type="dxa"/>
            <w:shd w:val="clear" w:color="auto" w:fill="auto"/>
            <w:vAlign w:val="center"/>
          </w:tcPr>
          <w:p w14:paraId="2454DDEF">
            <w:pPr>
              <w:ind w:firstLine="0" w:firstLineChars="0"/>
              <w:jc w:val="center"/>
              <w:rPr>
                <w:sz w:val="24"/>
                <w:szCs w:val="22"/>
              </w:rPr>
            </w:pPr>
            <w:r>
              <w:rPr>
                <w:rFonts w:hint="eastAsia"/>
                <w:sz w:val="24"/>
                <w:szCs w:val="22"/>
              </w:rPr>
              <w:t>≤</w:t>
            </w:r>
            <w:r>
              <w:rPr>
                <w:sz w:val="24"/>
                <w:szCs w:val="22"/>
              </w:rPr>
              <w:t>30</w:t>
            </w:r>
          </w:p>
        </w:tc>
        <w:tc>
          <w:tcPr>
            <w:tcW w:w="1134" w:type="dxa"/>
            <w:shd w:val="clear" w:color="auto" w:fill="auto"/>
            <w:vAlign w:val="center"/>
          </w:tcPr>
          <w:p w14:paraId="66D2E9D8">
            <w:pPr>
              <w:ind w:firstLine="0" w:firstLineChars="0"/>
              <w:jc w:val="center"/>
              <w:rPr>
                <w:sz w:val="24"/>
                <w:szCs w:val="22"/>
              </w:rPr>
            </w:pPr>
            <w:r>
              <w:rPr>
                <w:rFonts w:hint="eastAsia"/>
                <w:sz w:val="24"/>
                <w:szCs w:val="22"/>
              </w:rPr>
              <w:t>≤</w:t>
            </w:r>
            <w:r>
              <w:rPr>
                <w:sz w:val="24"/>
                <w:szCs w:val="22"/>
              </w:rPr>
              <w:t>20</w:t>
            </w:r>
          </w:p>
        </w:tc>
        <w:tc>
          <w:tcPr>
            <w:tcW w:w="992" w:type="dxa"/>
            <w:shd w:val="clear" w:color="auto" w:fill="auto"/>
            <w:vAlign w:val="center"/>
          </w:tcPr>
          <w:p w14:paraId="4462035F">
            <w:pPr>
              <w:ind w:firstLine="0" w:firstLineChars="0"/>
              <w:jc w:val="center"/>
              <w:rPr>
                <w:sz w:val="24"/>
                <w:szCs w:val="22"/>
              </w:rPr>
            </w:pPr>
            <w:r>
              <w:rPr>
                <w:rFonts w:hint="eastAsia"/>
                <w:sz w:val="24"/>
                <w:szCs w:val="22"/>
              </w:rPr>
              <w:t>≤</w:t>
            </w:r>
            <w:r>
              <w:rPr>
                <w:sz w:val="24"/>
                <w:szCs w:val="22"/>
              </w:rPr>
              <w:t>10</w:t>
            </w:r>
          </w:p>
        </w:tc>
        <w:tc>
          <w:tcPr>
            <w:tcW w:w="993" w:type="dxa"/>
            <w:shd w:val="clear" w:color="auto" w:fill="auto"/>
            <w:vAlign w:val="center"/>
          </w:tcPr>
          <w:p w14:paraId="7F282FAC">
            <w:pPr>
              <w:ind w:firstLine="0" w:firstLineChars="0"/>
              <w:jc w:val="center"/>
              <w:rPr>
                <w:sz w:val="24"/>
                <w:szCs w:val="22"/>
              </w:rPr>
            </w:pPr>
            <w:r>
              <w:rPr>
                <w:rFonts w:hint="eastAsia"/>
                <w:sz w:val="24"/>
                <w:szCs w:val="22"/>
              </w:rPr>
              <w:t>≤</w:t>
            </w:r>
            <w:r>
              <w:rPr>
                <w:sz w:val="24"/>
                <w:szCs w:val="22"/>
              </w:rPr>
              <w:t>8</w:t>
            </w:r>
          </w:p>
        </w:tc>
        <w:tc>
          <w:tcPr>
            <w:tcW w:w="1075" w:type="dxa"/>
            <w:vAlign w:val="center"/>
          </w:tcPr>
          <w:p w14:paraId="43B9C35C">
            <w:pPr>
              <w:ind w:firstLine="0" w:firstLineChars="0"/>
              <w:jc w:val="center"/>
              <w:rPr>
                <w:sz w:val="24"/>
                <w:szCs w:val="22"/>
              </w:rPr>
            </w:pPr>
            <w:r>
              <w:rPr>
                <w:rFonts w:hint="eastAsia"/>
                <w:sz w:val="24"/>
                <w:szCs w:val="22"/>
              </w:rPr>
              <w:t>≤</w:t>
            </w:r>
            <w:r>
              <w:rPr>
                <w:sz w:val="24"/>
                <w:szCs w:val="22"/>
              </w:rPr>
              <w:t>7</w:t>
            </w:r>
          </w:p>
        </w:tc>
      </w:tr>
      <w:tr w14:paraId="42B55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shd w:val="clear" w:color="auto" w:fill="D8D8D8" w:themeFill="background1" w:themeFillShade="D9"/>
            <w:vAlign w:val="center"/>
          </w:tcPr>
          <w:p w14:paraId="34D30484">
            <w:pPr>
              <w:ind w:firstLine="0" w:firstLineChars="0"/>
              <w:jc w:val="center"/>
              <w:rPr>
                <w:sz w:val="24"/>
                <w:szCs w:val="22"/>
              </w:rPr>
            </w:pPr>
            <w:r>
              <w:rPr>
                <w:rFonts w:hint="eastAsia"/>
                <w:sz w:val="24"/>
                <w:szCs w:val="22"/>
              </w:rPr>
              <w:t>1小时</w:t>
            </w:r>
            <w:r>
              <w:rPr>
                <w:rFonts w:hint="eastAsia"/>
                <w:sz w:val="24"/>
              </w:rPr>
              <w:t>平均浓度</w:t>
            </w:r>
            <w:r>
              <w:rPr>
                <w:sz w:val="24"/>
                <w:szCs w:val="22"/>
              </w:rPr>
              <w:t>4.19</w:t>
            </w:r>
          </w:p>
        </w:tc>
        <w:tc>
          <w:tcPr>
            <w:tcW w:w="992" w:type="dxa"/>
            <w:shd w:val="clear" w:color="auto" w:fill="D8D8D8" w:themeFill="background1" w:themeFillShade="D9"/>
          </w:tcPr>
          <w:p w14:paraId="1E610982">
            <w:pPr>
              <w:ind w:firstLine="0" w:firstLineChars="0"/>
              <w:jc w:val="center"/>
              <w:rPr>
                <w:sz w:val="24"/>
                <w:szCs w:val="22"/>
              </w:rPr>
            </w:pPr>
            <w:r>
              <w:rPr>
                <w:sz w:val="24"/>
                <w:szCs w:val="22"/>
              </w:rPr>
              <w:t>99.96%</w:t>
            </w:r>
          </w:p>
        </w:tc>
        <w:tc>
          <w:tcPr>
            <w:tcW w:w="1134" w:type="dxa"/>
            <w:shd w:val="clear" w:color="auto" w:fill="D8D8D8" w:themeFill="background1" w:themeFillShade="D9"/>
          </w:tcPr>
          <w:p w14:paraId="0BB673A2">
            <w:pPr>
              <w:ind w:firstLine="0" w:firstLineChars="0"/>
              <w:jc w:val="center"/>
              <w:rPr>
                <w:sz w:val="24"/>
                <w:szCs w:val="22"/>
              </w:rPr>
            </w:pPr>
            <w:r>
              <w:rPr>
                <w:sz w:val="24"/>
                <w:szCs w:val="22"/>
              </w:rPr>
              <w:t>99.94%</w:t>
            </w:r>
          </w:p>
        </w:tc>
        <w:tc>
          <w:tcPr>
            <w:tcW w:w="992" w:type="dxa"/>
            <w:shd w:val="clear" w:color="auto" w:fill="D8D8D8" w:themeFill="background1" w:themeFillShade="D9"/>
          </w:tcPr>
          <w:p w14:paraId="717EB230">
            <w:pPr>
              <w:ind w:firstLine="0" w:firstLineChars="0"/>
              <w:jc w:val="center"/>
              <w:rPr>
                <w:sz w:val="24"/>
                <w:szCs w:val="22"/>
              </w:rPr>
            </w:pPr>
            <w:r>
              <w:rPr>
                <w:sz w:val="24"/>
                <w:szCs w:val="22"/>
              </w:rPr>
              <w:t>95.47%</w:t>
            </w:r>
          </w:p>
        </w:tc>
        <w:tc>
          <w:tcPr>
            <w:tcW w:w="993" w:type="dxa"/>
            <w:shd w:val="clear" w:color="auto" w:fill="D8D8D8" w:themeFill="background1" w:themeFillShade="D9"/>
          </w:tcPr>
          <w:p w14:paraId="2486DF50">
            <w:pPr>
              <w:ind w:firstLine="0" w:firstLineChars="0"/>
              <w:jc w:val="center"/>
              <w:rPr>
                <w:sz w:val="24"/>
                <w:szCs w:val="22"/>
              </w:rPr>
            </w:pPr>
            <w:r>
              <w:rPr>
                <w:sz w:val="24"/>
                <w:szCs w:val="22"/>
              </w:rPr>
              <w:t>91.22%</w:t>
            </w:r>
          </w:p>
        </w:tc>
        <w:tc>
          <w:tcPr>
            <w:tcW w:w="1075" w:type="dxa"/>
            <w:shd w:val="clear" w:color="auto" w:fill="D8D8D8" w:themeFill="background1" w:themeFillShade="D9"/>
          </w:tcPr>
          <w:p w14:paraId="6531CDE9">
            <w:pPr>
              <w:ind w:firstLine="0" w:firstLineChars="0"/>
              <w:jc w:val="center"/>
              <w:rPr>
                <w:sz w:val="24"/>
                <w:szCs w:val="22"/>
              </w:rPr>
            </w:pPr>
            <w:r>
              <w:rPr>
                <w:sz w:val="24"/>
                <w:szCs w:val="22"/>
              </w:rPr>
              <w:t>84.77%</w:t>
            </w:r>
          </w:p>
        </w:tc>
      </w:tr>
      <w:tr w14:paraId="2438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422EFFBD">
            <w:pPr>
              <w:ind w:firstLine="0" w:firstLineChars="0"/>
              <w:jc w:val="center"/>
              <w:rPr>
                <w:sz w:val="24"/>
              </w:rPr>
            </w:pPr>
            <w:r>
              <w:rPr>
                <w:rFonts w:hint="eastAsia"/>
                <w:sz w:val="24"/>
                <w:szCs w:val="22"/>
              </w:rPr>
              <w:t>颗粒物2</w:t>
            </w:r>
            <w:r>
              <w:rPr>
                <w:sz w:val="24"/>
                <w:szCs w:val="22"/>
              </w:rPr>
              <w:t>4</w:t>
            </w:r>
            <w:r>
              <w:rPr>
                <w:rFonts w:hint="eastAsia"/>
                <w:sz w:val="24"/>
                <w:szCs w:val="22"/>
              </w:rPr>
              <w:t>小时</w:t>
            </w:r>
            <w:r>
              <w:rPr>
                <w:rFonts w:hint="eastAsia"/>
                <w:sz w:val="24"/>
              </w:rPr>
              <w:t>浓度分布</w:t>
            </w:r>
          </w:p>
        </w:tc>
        <w:tc>
          <w:tcPr>
            <w:tcW w:w="992" w:type="dxa"/>
            <w:shd w:val="clear" w:color="auto" w:fill="auto"/>
            <w:vAlign w:val="center"/>
          </w:tcPr>
          <w:p w14:paraId="2015D4AC">
            <w:pPr>
              <w:ind w:firstLine="0" w:firstLineChars="0"/>
              <w:jc w:val="center"/>
              <w:rPr>
                <w:sz w:val="24"/>
              </w:rPr>
            </w:pPr>
            <w:r>
              <w:rPr>
                <w:rFonts w:hint="eastAsia"/>
                <w:sz w:val="24"/>
              </w:rPr>
              <w:t>≤2</w:t>
            </w:r>
            <w:r>
              <w:rPr>
                <w:sz w:val="24"/>
              </w:rPr>
              <w:t>0</w:t>
            </w:r>
          </w:p>
        </w:tc>
        <w:tc>
          <w:tcPr>
            <w:tcW w:w="1134" w:type="dxa"/>
            <w:shd w:val="clear" w:color="auto" w:fill="auto"/>
            <w:vAlign w:val="center"/>
          </w:tcPr>
          <w:p w14:paraId="008C8A41">
            <w:pPr>
              <w:ind w:firstLine="0" w:firstLineChars="0"/>
              <w:jc w:val="center"/>
              <w:rPr>
                <w:sz w:val="24"/>
              </w:rPr>
            </w:pPr>
            <w:r>
              <w:rPr>
                <w:rFonts w:hint="eastAsia"/>
                <w:sz w:val="24"/>
              </w:rPr>
              <w:t>≤</w:t>
            </w:r>
            <w:r>
              <w:rPr>
                <w:sz w:val="24"/>
              </w:rPr>
              <w:t>10</w:t>
            </w:r>
          </w:p>
        </w:tc>
        <w:tc>
          <w:tcPr>
            <w:tcW w:w="992" w:type="dxa"/>
            <w:shd w:val="clear" w:color="auto" w:fill="auto"/>
            <w:vAlign w:val="center"/>
          </w:tcPr>
          <w:p w14:paraId="2AA082D5">
            <w:pPr>
              <w:ind w:firstLine="0" w:firstLineChars="0"/>
              <w:jc w:val="center"/>
              <w:rPr>
                <w:sz w:val="24"/>
              </w:rPr>
            </w:pPr>
            <w:r>
              <w:rPr>
                <w:rFonts w:hint="eastAsia"/>
                <w:sz w:val="24"/>
              </w:rPr>
              <w:t>≤</w:t>
            </w:r>
            <w:r>
              <w:rPr>
                <w:sz w:val="24"/>
              </w:rPr>
              <w:t>9</w:t>
            </w:r>
          </w:p>
        </w:tc>
        <w:tc>
          <w:tcPr>
            <w:tcW w:w="993" w:type="dxa"/>
            <w:shd w:val="clear" w:color="auto" w:fill="auto"/>
            <w:vAlign w:val="center"/>
          </w:tcPr>
          <w:p w14:paraId="6AC7E717">
            <w:pPr>
              <w:ind w:firstLine="0" w:firstLineChars="0"/>
              <w:jc w:val="center"/>
              <w:rPr>
                <w:sz w:val="24"/>
              </w:rPr>
            </w:pPr>
            <w:r>
              <w:rPr>
                <w:rFonts w:hint="eastAsia"/>
                <w:sz w:val="24"/>
              </w:rPr>
              <w:t>≤</w:t>
            </w:r>
            <w:r>
              <w:rPr>
                <w:sz w:val="24"/>
              </w:rPr>
              <w:t>8</w:t>
            </w:r>
          </w:p>
        </w:tc>
        <w:tc>
          <w:tcPr>
            <w:tcW w:w="1075" w:type="dxa"/>
            <w:vAlign w:val="center"/>
          </w:tcPr>
          <w:p w14:paraId="11F94E2A">
            <w:pPr>
              <w:ind w:firstLine="0" w:firstLineChars="0"/>
              <w:jc w:val="center"/>
              <w:rPr>
                <w:sz w:val="24"/>
              </w:rPr>
            </w:pPr>
            <w:r>
              <w:rPr>
                <w:rFonts w:hint="eastAsia"/>
                <w:sz w:val="24"/>
              </w:rPr>
              <w:t>≤</w:t>
            </w:r>
            <w:r>
              <w:rPr>
                <w:sz w:val="24"/>
              </w:rPr>
              <w:t>6</w:t>
            </w:r>
          </w:p>
        </w:tc>
      </w:tr>
      <w:tr w14:paraId="3FC4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shd w:val="clear" w:color="auto" w:fill="D8D8D8" w:themeFill="background1" w:themeFillShade="D9"/>
            <w:vAlign w:val="center"/>
          </w:tcPr>
          <w:p w14:paraId="1FDE048F">
            <w:pPr>
              <w:ind w:firstLine="0" w:firstLineChars="0"/>
              <w:jc w:val="center"/>
              <w:rPr>
                <w:sz w:val="24"/>
              </w:rPr>
            </w:pPr>
            <w:r>
              <w:rPr>
                <w:rFonts w:hint="eastAsia"/>
                <w:sz w:val="24"/>
                <w:szCs w:val="22"/>
              </w:rPr>
              <w:t>2</w:t>
            </w:r>
            <w:r>
              <w:rPr>
                <w:sz w:val="24"/>
                <w:szCs w:val="22"/>
              </w:rPr>
              <w:t>4</w:t>
            </w:r>
            <w:r>
              <w:rPr>
                <w:rFonts w:hint="eastAsia"/>
                <w:sz w:val="24"/>
                <w:szCs w:val="22"/>
              </w:rPr>
              <w:t>小时</w:t>
            </w:r>
            <w:r>
              <w:rPr>
                <w:rFonts w:hint="eastAsia"/>
                <w:sz w:val="24"/>
              </w:rPr>
              <w:t>平均浓度4</w:t>
            </w:r>
            <w:r>
              <w:rPr>
                <w:sz w:val="24"/>
              </w:rPr>
              <w:t>.29</w:t>
            </w:r>
          </w:p>
        </w:tc>
        <w:tc>
          <w:tcPr>
            <w:tcW w:w="992" w:type="dxa"/>
            <w:shd w:val="clear" w:color="auto" w:fill="D8D8D8" w:themeFill="background1" w:themeFillShade="D9"/>
            <w:vAlign w:val="center"/>
          </w:tcPr>
          <w:p w14:paraId="23619AAC">
            <w:pPr>
              <w:ind w:firstLine="0" w:firstLineChars="0"/>
              <w:jc w:val="center"/>
              <w:rPr>
                <w:sz w:val="24"/>
              </w:rPr>
            </w:pPr>
            <w:r>
              <w:rPr>
                <w:rFonts w:hint="eastAsia"/>
                <w:sz w:val="24"/>
              </w:rPr>
              <w:t>9</w:t>
            </w:r>
            <w:r>
              <w:rPr>
                <w:sz w:val="24"/>
              </w:rPr>
              <w:t>9.89%</w:t>
            </w:r>
          </w:p>
        </w:tc>
        <w:tc>
          <w:tcPr>
            <w:tcW w:w="1134" w:type="dxa"/>
            <w:shd w:val="clear" w:color="auto" w:fill="D8D8D8" w:themeFill="background1" w:themeFillShade="D9"/>
            <w:vAlign w:val="center"/>
          </w:tcPr>
          <w:p w14:paraId="72777F37">
            <w:pPr>
              <w:ind w:firstLine="0" w:firstLineChars="0"/>
              <w:jc w:val="center"/>
              <w:rPr>
                <w:sz w:val="24"/>
              </w:rPr>
            </w:pPr>
            <w:r>
              <w:rPr>
                <w:rFonts w:hint="eastAsia"/>
                <w:sz w:val="24"/>
              </w:rPr>
              <w:t>9</w:t>
            </w:r>
            <w:r>
              <w:rPr>
                <w:sz w:val="24"/>
              </w:rPr>
              <w:t>4.99%</w:t>
            </w:r>
          </w:p>
        </w:tc>
        <w:tc>
          <w:tcPr>
            <w:tcW w:w="992" w:type="dxa"/>
            <w:shd w:val="clear" w:color="auto" w:fill="D8D8D8" w:themeFill="background1" w:themeFillShade="D9"/>
            <w:vAlign w:val="center"/>
          </w:tcPr>
          <w:p w14:paraId="6D584CCD">
            <w:pPr>
              <w:ind w:firstLine="0" w:firstLineChars="0"/>
              <w:jc w:val="center"/>
              <w:rPr>
                <w:sz w:val="24"/>
              </w:rPr>
            </w:pPr>
            <w:r>
              <w:rPr>
                <w:rFonts w:hint="eastAsia"/>
                <w:sz w:val="24"/>
              </w:rPr>
              <w:t>9</w:t>
            </w:r>
            <w:r>
              <w:rPr>
                <w:sz w:val="24"/>
              </w:rPr>
              <w:t>2.57%</w:t>
            </w:r>
          </w:p>
        </w:tc>
        <w:tc>
          <w:tcPr>
            <w:tcW w:w="993" w:type="dxa"/>
            <w:shd w:val="clear" w:color="auto" w:fill="D8D8D8" w:themeFill="background1" w:themeFillShade="D9"/>
            <w:vAlign w:val="center"/>
          </w:tcPr>
          <w:p w14:paraId="6F873CFF">
            <w:pPr>
              <w:ind w:firstLine="0" w:firstLineChars="0"/>
              <w:jc w:val="center"/>
              <w:rPr>
                <w:sz w:val="24"/>
              </w:rPr>
            </w:pPr>
            <w:r>
              <w:rPr>
                <w:rFonts w:hint="eastAsia"/>
                <w:sz w:val="24"/>
              </w:rPr>
              <w:t>8</w:t>
            </w:r>
            <w:r>
              <w:rPr>
                <w:sz w:val="24"/>
              </w:rPr>
              <w:t>8.70%</w:t>
            </w:r>
          </w:p>
        </w:tc>
        <w:tc>
          <w:tcPr>
            <w:tcW w:w="1075" w:type="dxa"/>
            <w:shd w:val="clear" w:color="auto" w:fill="D8D8D8" w:themeFill="background1" w:themeFillShade="D9"/>
            <w:vAlign w:val="center"/>
          </w:tcPr>
          <w:p w14:paraId="323BEB76">
            <w:pPr>
              <w:ind w:firstLine="0" w:firstLineChars="0"/>
              <w:jc w:val="center"/>
              <w:rPr>
                <w:sz w:val="24"/>
              </w:rPr>
            </w:pPr>
            <w:r>
              <w:rPr>
                <w:rFonts w:hint="eastAsia"/>
                <w:sz w:val="24"/>
              </w:rPr>
              <w:t>7</w:t>
            </w:r>
            <w:r>
              <w:rPr>
                <w:sz w:val="24"/>
              </w:rPr>
              <w:t>5.41%</w:t>
            </w:r>
          </w:p>
        </w:tc>
      </w:tr>
      <w:tr w14:paraId="0205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00A654AC">
            <w:pPr>
              <w:ind w:firstLine="0" w:firstLineChars="0"/>
              <w:jc w:val="center"/>
              <w:rPr>
                <w:sz w:val="24"/>
                <w:szCs w:val="22"/>
              </w:rPr>
            </w:pPr>
            <w:r>
              <w:rPr>
                <w:rFonts w:hint="eastAsia"/>
                <w:sz w:val="24"/>
                <w:szCs w:val="22"/>
              </w:rPr>
              <w:t>氮氧化物1小时浓度分布</w:t>
            </w:r>
          </w:p>
        </w:tc>
        <w:tc>
          <w:tcPr>
            <w:tcW w:w="992" w:type="dxa"/>
            <w:shd w:val="clear" w:color="auto" w:fill="auto"/>
            <w:vAlign w:val="center"/>
          </w:tcPr>
          <w:p w14:paraId="080AEC6E">
            <w:pPr>
              <w:ind w:firstLine="0" w:firstLineChars="0"/>
              <w:jc w:val="center"/>
              <w:rPr>
                <w:sz w:val="24"/>
                <w:szCs w:val="22"/>
              </w:rPr>
            </w:pPr>
            <w:r>
              <w:rPr>
                <w:rFonts w:hint="eastAsia"/>
                <w:sz w:val="24"/>
                <w:szCs w:val="22"/>
              </w:rPr>
              <w:t>≤</w:t>
            </w:r>
            <w:r>
              <w:rPr>
                <w:sz w:val="24"/>
                <w:szCs w:val="22"/>
              </w:rPr>
              <w:t>300</w:t>
            </w:r>
          </w:p>
        </w:tc>
        <w:tc>
          <w:tcPr>
            <w:tcW w:w="1134" w:type="dxa"/>
            <w:shd w:val="clear" w:color="auto" w:fill="auto"/>
            <w:vAlign w:val="center"/>
          </w:tcPr>
          <w:p w14:paraId="261CF64E">
            <w:pPr>
              <w:ind w:firstLine="0" w:firstLineChars="0"/>
              <w:jc w:val="center"/>
              <w:rPr>
                <w:sz w:val="24"/>
                <w:szCs w:val="22"/>
              </w:rPr>
            </w:pPr>
            <w:r>
              <w:rPr>
                <w:rFonts w:hint="eastAsia"/>
                <w:sz w:val="24"/>
                <w:szCs w:val="22"/>
              </w:rPr>
              <w:t>≤</w:t>
            </w:r>
            <w:r>
              <w:rPr>
                <w:sz w:val="24"/>
                <w:szCs w:val="22"/>
              </w:rPr>
              <w:t>200</w:t>
            </w:r>
          </w:p>
        </w:tc>
        <w:tc>
          <w:tcPr>
            <w:tcW w:w="992" w:type="dxa"/>
            <w:shd w:val="clear" w:color="auto" w:fill="auto"/>
            <w:vAlign w:val="center"/>
          </w:tcPr>
          <w:p w14:paraId="4021D21C">
            <w:pPr>
              <w:ind w:firstLine="0" w:firstLineChars="0"/>
              <w:jc w:val="center"/>
              <w:rPr>
                <w:sz w:val="24"/>
                <w:szCs w:val="22"/>
              </w:rPr>
            </w:pPr>
            <w:r>
              <w:rPr>
                <w:rFonts w:hint="eastAsia"/>
                <w:sz w:val="24"/>
                <w:szCs w:val="22"/>
              </w:rPr>
              <w:t>≤</w:t>
            </w:r>
            <w:r>
              <w:rPr>
                <w:sz w:val="24"/>
                <w:szCs w:val="22"/>
              </w:rPr>
              <w:t>150</w:t>
            </w:r>
          </w:p>
        </w:tc>
        <w:tc>
          <w:tcPr>
            <w:tcW w:w="993" w:type="dxa"/>
            <w:shd w:val="clear" w:color="auto" w:fill="auto"/>
            <w:vAlign w:val="center"/>
          </w:tcPr>
          <w:p w14:paraId="6C864E1B">
            <w:pPr>
              <w:ind w:firstLine="0" w:firstLineChars="0"/>
              <w:jc w:val="center"/>
              <w:rPr>
                <w:sz w:val="24"/>
                <w:szCs w:val="22"/>
              </w:rPr>
            </w:pPr>
            <w:r>
              <w:rPr>
                <w:rFonts w:hint="eastAsia"/>
                <w:sz w:val="24"/>
                <w:szCs w:val="22"/>
              </w:rPr>
              <w:t>≤</w:t>
            </w:r>
            <w:r>
              <w:rPr>
                <w:sz w:val="24"/>
                <w:szCs w:val="22"/>
              </w:rPr>
              <w:t>120</w:t>
            </w:r>
          </w:p>
        </w:tc>
        <w:tc>
          <w:tcPr>
            <w:tcW w:w="1075" w:type="dxa"/>
            <w:vAlign w:val="center"/>
          </w:tcPr>
          <w:p w14:paraId="776F405D">
            <w:pPr>
              <w:ind w:firstLine="0" w:firstLineChars="0"/>
              <w:jc w:val="center"/>
              <w:rPr>
                <w:sz w:val="24"/>
                <w:szCs w:val="22"/>
              </w:rPr>
            </w:pPr>
            <w:r>
              <w:rPr>
                <w:rFonts w:hint="eastAsia"/>
                <w:sz w:val="24"/>
                <w:szCs w:val="22"/>
              </w:rPr>
              <w:t>≤</w:t>
            </w:r>
            <w:r>
              <w:rPr>
                <w:sz w:val="24"/>
                <w:szCs w:val="22"/>
              </w:rPr>
              <w:t>100</w:t>
            </w:r>
          </w:p>
        </w:tc>
      </w:tr>
      <w:tr w14:paraId="3EFC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shd w:val="clear" w:color="auto" w:fill="D8D8D8" w:themeFill="background1" w:themeFillShade="D9"/>
            <w:vAlign w:val="center"/>
          </w:tcPr>
          <w:p w14:paraId="1D67BF24">
            <w:pPr>
              <w:ind w:firstLine="0" w:firstLineChars="0"/>
              <w:jc w:val="center"/>
              <w:rPr>
                <w:sz w:val="24"/>
                <w:szCs w:val="22"/>
              </w:rPr>
            </w:pPr>
            <w:r>
              <w:rPr>
                <w:rFonts w:hint="eastAsia"/>
                <w:sz w:val="24"/>
                <w:szCs w:val="22"/>
              </w:rPr>
              <w:t>1小时平均浓度</w:t>
            </w:r>
            <w:r>
              <w:rPr>
                <w:sz w:val="24"/>
                <w:szCs w:val="22"/>
              </w:rPr>
              <w:t>159.24</w:t>
            </w:r>
          </w:p>
        </w:tc>
        <w:tc>
          <w:tcPr>
            <w:tcW w:w="992" w:type="dxa"/>
            <w:shd w:val="clear" w:color="auto" w:fill="D8D8D8" w:themeFill="background1" w:themeFillShade="D9"/>
          </w:tcPr>
          <w:p w14:paraId="301C8646">
            <w:pPr>
              <w:ind w:firstLine="0" w:firstLineChars="0"/>
              <w:jc w:val="center"/>
              <w:rPr>
                <w:sz w:val="24"/>
                <w:szCs w:val="22"/>
              </w:rPr>
            </w:pPr>
            <w:r>
              <w:rPr>
                <w:sz w:val="24"/>
                <w:szCs w:val="22"/>
              </w:rPr>
              <w:t>99.97%</w:t>
            </w:r>
          </w:p>
        </w:tc>
        <w:tc>
          <w:tcPr>
            <w:tcW w:w="1134" w:type="dxa"/>
            <w:shd w:val="clear" w:color="auto" w:fill="D8D8D8" w:themeFill="background1" w:themeFillShade="D9"/>
          </w:tcPr>
          <w:p w14:paraId="5157ECC4">
            <w:pPr>
              <w:ind w:firstLine="0" w:firstLineChars="0"/>
              <w:jc w:val="center"/>
              <w:rPr>
                <w:sz w:val="24"/>
                <w:szCs w:val="22"/>
              </w:rPr>
            </w:pPr>
            <w:r>
              <w:rPr>
                <w:sz w:val="24"/>
                <w:szCs w:val="22"/>
              </w:rPr>
              <w:t>76.43%</w:t>
            </w:r>
          </w:p>
        </w:tc>
        <w:tc>
          <w:tcPr>
            <w:tcW w:w="992" w:type="dxa"/>
            <w:shd w:val="clear" w:color="auto" w:fill="D8D8D8" w:themeFill="background1" w:themeFillShade="D9"/>
          </w:tcPr>
          <w:p w14:paraId="35230407">
            <w:pPr>
              <w:ind w:firstLine="0" w:firstLineChars="0"/>
              <w:jc w:val="center"/>
              <w:rPr>
                <w:sz w:val="24"/>
                <w:szCs w:val="22"/>
              </w:rPr>
            </w:pPr>
            <w:r>
              <w:rPr>
                <w:sz w:val="24"/>
                <w:szCs w:val="22"/>
              </w:rPr>
              <w:t>37.96%</w:t>
            </w:r>
          </w:p>
        </w:tc>
        <w:tc>
          <w:tcPr>
            <w:tcW w:w="993" w:type="dxa"/>
            <w:shd w:val="clear" w:color="auto" w:fill="D8D8D8" w:themeFill="background1" w:themeFillShade="D9"/>
          </w:tcPr>
          <w:p w14:paraId="1B5E5ECE">
            <w:pPr>
              <w:ind w:firstLine="0" w:firstLineChars="0"/>
              <w:jc w:val="center"/>
              <w:rPr>
                <w:sz w:val="24"/>
                <w:szCs w:val="22"/>
              </w:rPr>
            </w:pPr>
            <w:r>
              <w:rPr>
                <w:sz w:val="24"/>
                <w:szCs w:val="22"/>
              </w:rPr>
              <w:t>21.95%</w:t>
            </w:r>
          </w:p>
        </w:tc>
        <w:tc>
          <w:tcPr>
            <w:tcW w:w="1075" w:type="dxa"/>
            <w:shd w:val="clear" w:color="auto" w:fill="D8D8D8" w:themeFill="background1" w:themeFillShade="D9"/>
          </w:tcPr>
          <w:p w14:paraId="0E67CBA6">
            <w:pPr>
              <w:ind w:firstLine="0" w:firstLineChars="0"/>
              <w:jc w:val="center"/>
              <w:rPr>
                <w:sz w:val="24"/>
                <w:szCs w:val="22"/>
              </w:rPr>
            </w:pPr>
            <w:r>
              <w:rPr>
                <w:sz w:val="24"/>
                <w:szCs w:val="22"/>
              </w:rPr>
              <w:t>15.11%</w:t>
            </w:r>
          </w:p>
        </w:tc>
      </w:tr>
      <w:tr w14:paraId="3C0A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6EFE0B7A">
            <w:pPr>
              <w:ind w:firstLine="0" w:firstLineChars="0"/>
              <w:jc w:val="center"/>
              <w:rPr>
                <w:sz w:val="24"/>
                <w:szCs w:val="22"/>
              </w:rPr>
            </w:pPr>
            <w:r>
              <w:rPr>
                <w:rFonts w:hint="eastAsia"/>
                <w:sz w:val="24"/>
                <w:szCs w:val="22"/>
              </w:rPr>
              <w:t>氮氧化物2</w:t>
            </w:r>
            <w:r>
              <w:rPr>
                <w:sz w:val="24"/>
                <w:szCs w:val="22"/>
              </w:rPr>
              <w:t>4</w:t>
            </w:r>
            <w:r>
              <w:rPr>
                <w:rFonts w:hint="eastAsia"/>
                <w:sz w:val="24"/>
                <w:szCs w:val="22"/>
              </w:rPr>
              <w:t>小时浓度分布</w:t>
            </w:r>
          </w:p>
        </w:tc>
        <w:tc>
          <w:tcPr>
            <w:tcW w:w="992" w:type="dxa"/>
            <w:shd w:val="clear" w:color="auto" w:fill="auto"/>
            <w:vAlign w:val="center"/>
          </w:tcPr>
          <w:p w14:paraId="230B297A">
            <w:pPr>
              <w:ind w:firstLine="0" w:firstLineChars="0"/>
              <w:jc w:val="center"/>
              <w:rPr>
                <w:sz w:val="24"/>
                <w:szCs w:val="22"/>
              </w:rPr>
            </w:pPr>
            <w:r>
              <w:rPr>
                <w:rFonts w:hint="eastAsia"/>
                <w:sz w:val="24"/>
                <w:szCs w:val="22"/>
              </w:rPr>
              <w:t>≤2</w:t>
            </w:r>
            <w:r>
              <w:rPr>
                <w:sz w:val="24"/>
                <w:szCs w:val="22"/>
              </w:rPr>
              <w:t>50</w:t>
            </w:r>
          </w:p>
        </w:tc>
        <w:tc>
          <w:tcPr>
            <w:tcW w:w="1134" w:type="dxa"/>
            <w:shd w:val="clear" w:color="auto" w:fill="auto"/>
            <w:vAlign w:val="center"/>
          </w:tcPr>
          <w:p w14:paraId="7E43055C">
            <w:pPr>
              <w:ind w:firstLine="0" w:firstLineChars="0"/>
              <w:jc w:val="center"/>
              <w:rPr>
                <w:sz w:val="24"/>
                <w:szCs w:val="22"/>
              </w:rPr>
            </w:pPr>
            <w:r>
              <w:rPr>
                <w:rFonts w:hint="eastAsia"/>
                <w:sz w:val="24"/>
                <w:szCs w:val="22"/>
              </w:rPr>
              <w:t>≤</w:t>
            </w:r>
            <w:r>
              <w:rPr>
                <w:sz w:val="24"/>
                <w:szCs w:val="22"/>
              </w:rPr>
              <w:t>150</w:t>
            </w:r>
          </w:p>
        </w:tc>
        <w:tc>
          <w:tcPr>
            <w:tcW w:w="992" w:type="dxa"/>
            <w:shd w:val="clear" w:color="auto" w:fill="auto"/>
            <w:vAlign w:val="center"/>
          </w:tcPr>
          <w:p w14:paraId="6C3184AB">
            <w:pPr>
              <w:ind w:firstLine="0" w:firstLineChars="0"/>
              <w:jc w:val="center"/>
              <w:rPr>
                <w:sz w:val="24"/>
                <w:szCs w:val="22"/>
              </w:rPr>
            </w:pPr>
            <w:r>
              <w:rPr>
                <w:rFonts w:hint="eastAsia"/>
                <w:sz w:val="24"/>
                <w:szCs w:val="22"/>
              </w:rPr>
              <w:t>≤</w:t>
            </w:r>
            <w:r>
              <w:rPr>
                <w:sz w:val="24"/>
                <w:szCs w:val="22"/>
              </w:rPr>
              <w:t>120</w:t>
            </w:r>
          </w:p>
        </w:tc>
        <w:tc>
          <w:tcPr>
            <w:tcW w:w="993" w:type="dxa"/>
            <w:shd w:val="clear" w:color="auto" w:fill="auto"/>
            <w:vAlign w:val="center"/>
          </w:tcPr>
          <w:p w14:paraId="42BB83D7">
            <w:pPr>
              <w:ind w:firstLine="0" w:firstLineChars="0"/>
              <w:jc w:val="center"/>
              <w:rPr>
                <w:sz w:val="24"/>
                <w:szCs w:val="22"/>
              </w:rPr>
            </w:pPr>
            <w:r>
              <w:rPr>
                <w:rFonts w:hint="eastAsia"/>
                <w:sz w:val="24"/>
                <w:szCs w:val="22"/>
              </w:rPr>
              <w:t>≤</w:t>
            </w:r>
            <w:r>
              <w:rPr>
                <w:sz w:val="24"/>
                <w:szCs w:val="22"/>
              </w:rPr>
              <w:t>100</w:t>
            </w:r>
          </w:p>
        </w:tc>
        <w:tc>
          <w:tcPr>
            <w:tcW w:w="1075" w:type="dxa"/>
            <w:shd w:val="clear" w:color="auto" w:fill="auto"/>
            <w:vAlign w:val="center"/>
          </w:tcPr>
          <w:p w14:paraId="2EBDA25A">
            <w:pPr>
              <w:ind w:firstLine="0" w:firstLineChars="0"/>
              <w:jc w:val="center"/>
              <w:rPr>
                <w:sz w:val="24"/>
                <w:szCs w:val="22"/>
              </w:rPr>
            </w:pPr>
            <w:r>
              <w:rPr>
                <w:rFonts w:hint="eastAsia"/>
                <w:sz w:val="24"/>
                <w:szCs w:val="22"/>
              </w:rPr>
              <w:t>≤</w:t>
            </w:r>
            <w:r>
              <w:rPr>
                <w:sz w:val="24"/>
                <w:szCs w:val="22"/>
              </w:rPr>
              <w:t>80</w:t>
            </w:r>
          </w:p>
        </w:tc>
      </w:tr>
      <w:tr w14:paraId="04113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shd w:val="clear" w:color="auto" w:fill="D8D8D8" w:themeFill="background1" w:themeFillShade="D9"/>
            <w:vAlign w:val="center"/>
          </w:tcPr>
          <w:p w14:paraId="6CD27680">
            <w:pPr>
              <w:ind w:firstLine="0" w:firstLineChars="0"/>
              <w:jc w:val="center"/>
              <w:rPr>
                <w:sz w:val="24"/>
                <w:szCs w:val="22"/>
              </w:rPr>
            </w:pPr>
            <w:r>
              <w:rPr>
                <w:rFonts w:hint="eastAsia"/>
                <w:sz w:val="24"/>
                <w:szCs w:val="22"/>
              </w:rPr>
              <w:t>2</w:t>
            </w:r>
            <w:r>
              <w:rPr>
                <w:sz w:val="24"/>
                <w:szCs w:val="22"/>
              </w:rPr>
              <w:t>4</w:t>
            </w:r>
            <w:r>
              <w:rPr>
                <w:rFonts w:hint="eastAsia"/>
                <w:sz w:val="24"/>
                <w:szCs w:val="22"/>
              </w:rPr>
              <w:t>小时平均浓度</w:t>
            </w:r>
            <w:r>
              <w:rPr>
                <w:sz w:val="24"/>
                <w:szCs w:val="22"/>
              </w:rPr>
              <w:t>156.38</w:t>
            </w:r>
          </w:p>
        </w:tc>
        <w:tc>
          <w:tcPr>
            <w:tcW w:w="992" w:type="dxa"/>
            <w:shd w:val="clear" w:color="auto" w:fill="D8D8D8" w:themeFill="background1" w:themeFillShade="D9"/>
            <w:vAlign w:val="center"/>
          </w:tcPr>
          <w:p w14:paraId="6119067B">
            <w:pPr>
              <w:ind w:firstLine="0" w:firstLineChars="0"/>
              <w:jc w:val="center"/>
              <w:rPr>
                <w:sz w:val="24"/>
                <w:szCs w:val="22"/>
              </w:rPr>
            </w:pPr>
            <w:r>
              <w:rPr>
                <w:sz w:val="24"/>
                <w:szCs w:val="22"/>
              </w:rPr>
              <w:t>98.90%</w:t>
            </w:r>
          </w:p>
        </w:tc>
        <w:tc>
          <w:tcPr>
            <w:tcW w:w="1134" w:type="dxa"/>
            <w:shd w:val="clear" w:color="auto" w:fill="D8D8D8" w:themeFill="background1" w:themeFillShade="D9"/>
            <w:vAlign w:val="center"/>
          </w:tcPr>
          <w:p w14:paraId="181A91CD">
            <w:pPr>
              <w:ind w:firstLine="0" w:firstLineChars="0"/>
              <w:jc w:val="center"/>
              <w:rPr>
                <w:sz w:val="24"/>
                <w:szCs w:val="22"/>
              </w:rPr>
            </w:pPr>
            <w:r>
              <w:rPr>
                <w:sz w:val="24"/>
                <w:szCs w:val="22"/>
              </w:rPr>
              <w:t>39.31%</w:t>
            </w:r>
          </w:p>
        </w:tc>
        <w:tc>
          <w:tcPr>
            <w:tcW w:w="992" w:type="dxa"/>
            <w:shd w:val="clear" w:color="auto" w:fill="D8D8D8" w:themeFill="background1" w:themeFillShade="D9"/>
            <w:vAlign w:val="center"/>
          </w:tcPr>
          <w:p w14:paraId="4E581547">
            <w:pPr>
              <w:ind w:firstLine="0" w:firstLineChars="0"/>
              <w:jc w:val="center"/>
              <w:rPr>
                <w:sz w:val="24"/>
                <w:szCs w:val="22"/>
              </w:rPr>
            </w:pPr>
            <w:r>
              <w:rPr>
                <w:sz w:val="24"/>
                <w:szCs w:val="22"/>
              </w:rPr>
              <w:t>20.04%</w:t>
            </w:r>
          </w:p>
        </w:tc>
        <w:tc>
          <w:tcPr>
            <w:tcW w:w="993" w:type="dxa"/>
            <w:shd w:val="clear" w:color="auto" w:fill="D8D8D8" w:themeFill="background1" w:themeFillShade="D9"/>
            <w:vAlign w:val="center"/>
          </w:tcPr>
          <w:p w14:paraId="24351A4A">
            <w:pPr>
              <w:ind w:firstLine="0" w:firstLineChars="0"/>
              <w:jc w:val="center"/>
              <w:rPr>
                <w:sz w:val="24"/>
                <w:szCs w:val="22"/>
              </w:rPr>
            </w:pPr>
            <w:r>
              <w:rPr>
                <w:sz w:val="24"/>
                <w:szCs w:val="22"/>
              </w:rPr>
              <w:t>14.77%</w:t>
            </w:r>
          </w:p>
        </w:tc>
        <w:tc>
          <w:tcPr>
            <w:tcW w:w="1075" w:type="dxa"/>
            <w:shd w:val="clear" w:color="auto" w:fill="D8D8D8" w:themeFill="background1" w:themeFillShade="D9"/>
            <w:vAlign w:val="center"/>
          </w:tcPr>
          <w:p w14:paraId="243E4607">
            <w:pPr>
              <w:ind w:firstLine="0" w:firstLineChars="0"/>
              <w:jc w:val="center"/>
              <w:rPr>
                <w:sz w:val="24"/>
                <w:szCs w:val="22"/>
              </w:rPr>
            </w:pPr>
            <w:r>
              <w:rPr>
                <w:sz w:val="24"/>
                <w:szCs w:val="22"/>
              </w:rPr>
              <w:t>9.50%</w:t>
            </w:r>
          </w:p>
        </w:tc>
      </w:tr>
      <w:tr w14:paraId="1131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23613901">
            <w:pPr>
              <w:ind w:firstLine="0" w:firstLineChars="0"/>
              <w:jc w:val="center"/>
              <w:rPr>
                <w:sz w:val="24"/>
                <w:szCs w:val="22"/>
              </w:rPr>
            </w:pPr>
            <w:r>
              <w:rPr>
                <w:rFonts w:hint="eastAsia"/>
                <w:sz w:val="24"/>
                <w:szCs w:val="22"/>
              </w:rPr>
              <w:t>二氧化硫1小时浓度分布</w:t>
            </w:r>
          </w:p>
        </w:tc>
        <w:tc>
          <w:tcPr>
            <w:tcW w:w="992" w:type="dxa"/>
            <w:shd w:val="clear" w:color="auto" w:fill="auto"/>
            <w:vAlign w:val="center"/>
          </w:tcPr>
          <w:p w14:paraId="63D4B38D">
            <w:pPr>
              <w:ind w:firstLine="0" w:firstLineChars="0"/>
              <w:jc w:val="center"/>
              <w:rPr>
                <w:sz w:val="24"/>
                <w:szCs w:val="22"/>
              </w:rPr>
            </w:pPr>
            <w:r>
              <w:rPr>
                <w:rFonts w:hint="eastAsia"/>
                <w:sz w:val="24"/>
                <w:szCs w:val="22"/>
              </w:rPr>
              <w:t>≤</w:t>
            </w:r>
            <w:r>
              <w:rPr>
                <w:sz w:val="24"/>
                <w:szCs w:val="22"/>
              </w:rPr>
              <w:t>100</w:t>
            </w:r>
          </w:p>
        </w:tc>
        <w:tc>
          <w:tcPr>
            <w:tcW w:w="1134" w:type="dxa"/>
            <w:shd w:val="clear" w:color="auto" w:fill="auto"/>
            <w:vAlign w:val="center"/>
          </w:tcPr>
          <w:p w14:paraId="71F92068">
            <w:pPr>
              <w:ind w:firstLine="0" w:firstLineChars="0"/>
              <w:jc w:val="center"/>
              <w:rPr>
                <w:sz w:val="24"/>
                <w:szCs w:val="22"/>
              </w:rPr>
            </w:pPr>
            <w:r>
              <w:rPr>
                <w:rFonts w:hint="eastAsia"/>
                <w:sz w:val="24"/>
                <w:szCs w:val="22"/>
              </w:rPr>
              <w:t>≤</w:t>
            </w:r>
            <w:r>
              <w:rPr>
                <w:sz w:val="24"/>
                <w:szCs w:val="22"/>
              </w:rPr>
              <w:t>60</w:t>
            </w:r>
          </w:p>
        </w:tc>
        <w:tc>
          <w:tcPr>
            <w:tcW w:w="992" w:type="dxa"/>
            <w:shd w:val="clear" w:color="auto" w:fill="auto"/>
            <w:vAlign w:val="center"/>
          </w:tcPr>
          <w:p w14:paraId="7D5D1D1B">
            <w:pPr>
              <w:ind w:firstLine="0" w:firstLineChars="0"/>
              <w:jc w:val="center"/>
              <w:rPr>
                <w:sz w:val="24"/>
                <w:szCs w:val="22"/>
              </w:rPr>
            </w:pPr>
            <w:r>
              <w:rPr>
                <w:rFonts w:hint="eastAsia"/>
                <w:sz w:val="24"/>
                <w:szCs w:val="22"/>
              </w:rPr>
              <w:t>≤</w:t>
            </w:r>
            <w:r>
              <w:rPr>
                <w:sz w:val="24"/>
                <w:szCs w:val="22"/>
              </w:rPr>
              <w:t>50</w:t>
            </w:r>
          </w:p>
        </w:tc>
        <w:tc>
          <w:tcPr>
            <w:tcW w:w="993" w:type="dxa"/>
            <w:shd w:val="clear" w:color="auto" w:fill="auto"/>
            <w:vAlign w:val="center"/>
          </w:tcPr>
          <w:p w14:paraId="7832813A">
            <w:pPr>
              <w:ind w:firstLine="0" w:firstLineChars="0"/>
              <w:jc w:val="center"/>
              <w:rPr>
                <w:sz w:val="24"/>
                <w:szCs w:val="22"/>
              </w:rPr>
            </w:pPr>
            <w:r>
              <w:rPr>
                <w:rFonts w:hint="eastAsia"/>
                <w:sz w:val="24"/>
                <w:szCs w:val="22"/>
              </w:rPr>
              <w:t>≤</w:t>
            </w:r>
            <w:r>
              <w:rPr>
                <w:sz w:val="24"/>
                <w:szCs w:val="22"/>
              </w:rPr>
              <w:t>40</w:t>
            </w:r>
          </w:p>
        </w:tc>
        <w:tc>
          <w:tcPr>
            <w:tcW w:w="1075" w:type="dxa"/>
            <w:vAlign w:val="center"/>
          </w:tcPr>
          <w:p w14:paraId="449487FB">
            <w:pPr>
              <w:ind w:firstLine="0" w:firstLineChars="0"/>
              <w:jc w:val="center"/>
              <w:rPr>
                <w:sz w:val="24"/>
                <w:szCs w:val="22"/>
              </w:rPr>
            </w:pPr>
            <w:r>
              <w:rPr>
                <w:rFonts w:hint="eastAsia"/>
                <w:sz w:val="24"/>
                <w:szCs w:val="22"/>
              </w:rPr>
              <w:t>≤</w:t>
            </w:r>
            <w:r>
              <w:rPr>
                <w:sz w:val="24"/>
                <w:szCs w:val="22"/>
              </w:rPr>
              <w:t>30</w:t>
            </w:r>
          </w:p>
        </w:tc>
      </w:tr>
      <w:tr w14:paraId="246D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shd w:val="clear" w:color="auto" w:fill="D8D8D8" w:themeFill="background1" w:themeFillShade="D9"/>
            <w:vAlign w:val="center"/>
          </w:tcPr>
          <w:p w14:paraId="30A410E4">
            <w:pPr>
              <w:ind w:firstLine="0" w:firstLineChars="0"/>
              <w:jc w:val="center"/>
              <w:rPr>
                <w:sz w:val="24"/>
                <w:szCs w:val="22"/>
              </w:rPr>
            </w:pPr>
            <w:r>
              <w:rPr>
                <w:rFonts w:hint="eastAsia"/>
                <w:sz w:val="24"/>
                <w:szCs w:val="22"/>
              </w:rPr>
              <w:t>1小时平均浓度</w:t>
            </w:r>
            <w:r>
              <w:rPr>
                <w:sz w:val="24"/>
                <w:szCs w:val="22"/>
              </w:rPr>
              <w:t>25.22</w:t>
            </w:r>
          </w:p>
        </w:tc>
        <w:tc>
          <w:tcPr>
            <w:tcW w:w="992" w:type="dxa"/>
            <w:shd w:val="clear" w:color="auto" w:fill="D8D8D8" w:themeFill="background1" w:themeFillShade="D9"/>
          </w:tcPr>
          <w:p w14:paraId="2128CBD4">
            <w:pPr>
              <w:ind w:firstLine="0" w:firstLineChars="0"/>
              <w:jc w:val="center"/>
              <w:rPr>
                <w:sz w:val="24"/>
                <w:szCs w:val="22"/>
              </w:rPr>
            </w:pPr>
            <w:r>
              <w:rPr>
                <w:sz w:val="24"/>
                <w:szCs w:val="22"/>
              </w:rPr>
              <w:t>99.91%</w:t>
            </w:r>
          </w:p>
        </w:tc>
        <w:tc>
          <w:tcPr>
            <w:tcW w:w="1134" w:type="dxa"/>
            <w:shd w:val="clear" w:color="auto" w:fill="D8D8D8" w:themeFill="background1" w:themeFillShade="D9"/>
          </w:tcPr>
          <w:p w14:paraId="3520450E">
            <w:pPr>
              <w:ind w:firstLine="0" w:firstLineChars="0"/>
              <w:jc w:val="center"/>
              <w:rPr>
                <w:sz w:val="24"/>
                <w:szCs w:val="22"/>
              </w:rPr>
            </w:pPr>
            <w:r>
              <w:rPr>
                <w:sz w:val="24"/>
                <w:szCs w:val="22"/>
              </w:rPr>
              <w:t>94.38%</w:t>
            </w:r>
          </w:p>
        </w:tc>
        <w:tc>
          <w:tcPr>
            <w:tcW w:w="992" w:type="dxa"/>
            <w:shd w:val="clear" w:color="auto" w:fill="D8D8D8" w:themeFill="background1" w:themeFillShade="D9"/>
          </w:tcPr>
          <w:p w14:paraId="3205F70A">
            <w:pPr>
              <w:ind w:firstLine="0" w:firstLineChars="0"/>
              <w:jc w:val="center"/>
              <w:rPr>
                <w:sz w:val="24"/>
                <w:szCs w:val="22"/>
              </w:rPr>
            </w:pPr>
            <w:r>
              <w:rPr>
                <w:sz w:val="24"/>
                <w:szCs w:val="22"/>
              </w:rPr>
              <w:t>86.81%</w:t>
            </w:r>
          </w:p>
        </w:tc>
        <w:tc>
          <w:tcPr>
            <w:tcW w:w="993" w:type="dxa"/>
            <w:shd w:val="clear" w:color="auto" w:fill="D8D8D8" w:themeFill="background1" w:themeFillShade="D9"/>
          </w:tcPr>
          <w:p w14:paraId="29E30304">
            <w:pPr>
              <w:ind w:firstLine="0" w:firstLineChars="0"/>
              <w:jc w:val="center"/>
              <w:rPr>
                <w:sz w:val="24"/>
                <w:szCs w:val="22"/>
              </w:rPr>
            </w:pPr>
            <w:r>
              <w:rPr>
                <w:sz w:val="24"/>
                <w:szCs w:val="22"/>
              </w:rPr>
              <w:t>75.80%</w:t>
            </w:r>
          </w:p>
        </w:tc>
        <w:tc>
          <w:tcPr>
            <w:tcW w:w="1075" w:type="dxa"/>
            <w:shd w:val="clear" w:color="auto" w:fill="D8D8D8" w:themeFill="background1" w:themeFillShade="D9"/>
          </w:tcPr>
          <w:p w14:paraId="04F775C4">
            <w:pPr>
              <w:ind w:firstLine="0" w:firstLineChars="0"/>
              <w:jc w:val="center"/>
              <w:rPr>
                <w:sz w:val="24"/>
                <w:szCs w:val="22"/>
              </w:rPr>
            </w:pPr>
            <w:r>
              <w:rPr>
                <w:sz w:val="24"/>
                <w:szCs w:val="22"/>
              </w:rPr>
              <w:t>63.07%</w:t>
            </w:r>
          </w:p>
        </w:tc>
      </w:tr>
      <w:tr w14:paraId="000D1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1AE12AB9">
            <w:pPr>
              <w:ind w:firstLine="0" w:firstLineChars="0"/>
              <w:jc w:val="center"/>
              <w:rPr>
                <w:sz w:val="24"/>
                <w:szCs w:val="22"/>
              </w:rPr>
            </w:pPr>
            <w:r>
              <w:rPr>
                <w:rFonts w:hint="eastAsia"/>
                <w:sz w:val="24"/>
                <w:szCs w:val="22"/>
              </w:rPr>
              <w:t>二氧化硫2</w:t>
            </w:r>
            <w:r>
              <w:rPr>
                <w:sz w:val="24"/>
                <w:szCs w:val="22"/>
              </w:rPr>
              <w:t>4</w:t>
            </w:r>
            <w:r>
              <w:rPr>
                <w:rFonts w:hint="eastAsia"/>
                <w:sz w:val="24"/>
                <w:szCs w:val="22"/>
              </w:rPr>
              <w:t>小时浓度分布</w:t>
            </w:r>
          </w:p>
        </w:tc>
        <w:tc>
          <w:tcPr>
            <w:tcW w:w="992" w:type="dxa"/>
            <w:shd w:val="clear" w:color="auto" w:fill="auto"/>
            <w:vAlign w:val="center"/>
          </w:tcPr>
          <w:p w14:paraId="4B30AF82">
            <w:pPr>
              <w:ind w:firstLine="0" w:firstLineChars="0"/>
              <w:jc w:val="center"/>
              <w:rPr>
                <w:sz w:val="24"/>
                <w:szCs w:val="22"/>
              </w:rPr>
            </w:pPr>
            <w:r>
              <w:rPr>
                <w:rFonts w:hint="eastAsia"/>
                <w:sz w:val="24"/>
                <w:szCs w:val="22"/>
              </w:rPr>
              <w:t>≤</w:t>
            </w:r>
            <w:r>
              <w:rPr>
                <w:sz w:val="24"/>
                <w:szCs w:val="22"/>
              </w:rPr>
              <w:t>80</w:t>
            </w:r>
          </w:p>
        </w:tc>
        <w:tc>
          <w:tcPr>
            <w:tcW w:w="1134" w:type="dxa"/>
            <w:shd w:val="clear" w:color="auto" w:fill="auto"/>
            <w:vAlign w:val="center"/>
          </w:tcPr>
          <w:p w14:paraId="25C9DFD3">
            <w:pPr>
              <w:ind w:firstLine="0" w:firstLineChars="0"/>
              <w:jc w:val="center"/>
              <w:rPr>
                <w:sz w:val="24"/>
                <w:szCs w:val="22"/>
              </w:rPr>
            </w:pPr>
            <w:r>
              <w:rPr>
                <w:rFonts w:hint="eastAsia"/>
                <w:sz w:val="24"/>
                <w:szCs w:val="22"/>
              </w:rPr>
              <w:t>≤4</w:t>
            </w:r>
            <w:r>
              <w:rPr>
                <w:sz w:val="24"/>
                <w:szCs w:val="22"/>
              </w:rPr>
              <w:t>0</w:t>
            </w:r>
          </w:p>
        </w:tc>
        <w:tc>
          <w:tcPr>
            <w:tcW w:w="992" w:type="dxa"/>
            <w:shd w:val="clear" w:color="auto" w:fill="auto"/>
            <w:vAlign w:val="center"/>
          </w:tcPr>
          <w:p w14:paraId="4C9C7413">
            <w:pPr>
              <w:ind w:firstLine="0" w:firstLineChars="0"/>
              <w:jc w:val="center"/>
              <w:rPr>
                <w:sz w:val="24"/>
                <w:szCs w:val="22"/>
              </w:rPr>
            </w:pPr>
            <w:r>
              <w:rPr>
                <w:rFonts w:hint="eastAsia"/>
                <w:sz w:val="24"/>
                <w:szCs w:val="22"/>
              </w:rPr>
              <w:t>≤</w:t>
            </w:r>
            <w:r>
              <w:rPr>
                <w:sz w:val="24"/>
                <w:szCs w:val="22"/>
              </w:rPr>
              <w:t>30</w:t>
            </w:r>
          </w:p>
        </w:tc>
        <w:tc>
          <w:tcPr>
            <w:tcW w:w="993" w:type="dxa"/>
            <w:shd w:val="clear" w:color="auto" w:fill="auto"/>
            <w:vAlign w:val="center"/>
          </w:tcPr>
          <w:p w14:paraId="291DCF40">
            <w:pPr>
              <w:ind w:firstLine="0" w:firstLineChars="0"/>
              <w:jc w:val="center"/>
              <w:rPr>
                <w:sz w:val="24"/>
                <w:szCs w:val="22"/>
              </w:rPr>
            </w:pPr>
            <w:r>
              <w:rPr>
                <w:rFonts w:hint="eastAsia"/>
                <w:sz w:val="24"/>
                <w:szCs w:val="22"/>
              </w:rPr>
              <w:t>≤</w:t>
            </w:r>
            <w:r>
              <w:rPr>
                <w:sz w:val="24"/>
                <w:szCs w:val="22"/>
              </w:rPr>
              <w:t>20</w:t>
            </w:r>
          </w:p>
        </w:tc>
        <w:tc>
          <w:tcPr>
            <w:tcW w:w="1075" w:type="dxa"/>
            <w:vAlign w:val="center"/>
          </w:tcPr>
          <w:p w14:paraId="77A495A0">
            <w:pPr>
              <w:ind w:firstLine="0" w:firstLineChars="0"/>
              <w:jc w:val="center"/>
              <w:rPr>
                <w:sz w:val="24"/>
                <w:szCs w:val="22"/>
              </w:rPr>
            </w:pPr>
            <w:r>
              <w:rPr>
                <w:rFonts w:hint="eastAsia"/>
                <w:sz w:val="24"/>
                <w:szCs w:val="22"/>
              </w:rPr>
              <w:t>≤</w:t>
            </w:r>
            <w:r>
              <w:rPr>
                <w:sz w:val="24"/>
                <w:szCs w:val="22"/>
              </w:rPr>
              <w:t>15</w:t>
            </w:r>
          </w:p>
        </w:tc>
      </w:tr>
      <w:tr w14:paraId="60421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shd w:val="clear" w:color="auto" w:fill="D8D8D8" w:themeFill="background1" w:themeFillShade="D9"/>
            <w:vAlign w:val="center"/>
          </w:tcPr>
          <w:p w14:paraId="1051891D">
            <w:pPr>
              <w:ind w:firstLine="0" w:firstLineChars="0"/>
              <w:jc w:val="center"/>
              <w:rPr>
                <w:sz w:val="24"/>
                <w:szCs w:val="22"/>
              </w:rPr>
            </w:pPr>
            <w:r>
              <w:rPr>
                <w:rFonts w:hint="eastAsia"/>
                <w:sz w:val="24"/>
                <w:szCs w:val="22"/>
              </w:rPr>
              <w:t>2</w:t>
            </w:r>
            <w:r>
              <w:rPr>
                <w:sz w:val="24"/>
                <w:szCs w:val="22"/>
              </w:rPr>
              <w:t>4</w:t>
            </w:r>
            <w:r>
              <w:rPr>
                <w:rFonts w:hint="eastAsia"/>
                <w:sz w:val="24"/>
                <w:szCs w:val="22"/>
              </w:rPr>
              <w:t>小时平均浓度</w:t>
            </w:r>
            <w:r>
              <w:rPr>
                <w:sz w:val="24"/>
                <w:szCs w:val="22"/>
              </w:rPr>
              <w:t>22.27</w:t>
            </w:r>
          </w:p>
        </w:tc>
        <w:tc>
          <w:tcPr>
            <w:tcW w:w="992" w:type="dxa"/>
            <w:shd w:val="clear" w:color="auto" w:fill="D8D8D8" w:themeFill="background1" w:themeFillShade="D9"/>
            <w:vAlign w:val="center"/>
          </w:tcPr>
          <w:p w14:paraId="2305D0CA">
            <w:pPr>
              <w:ind w:firstLine="0" w:firstLineChars="0"/>
              <w:jc w:val="center"/>
              <w:rPr>
                <w:sz w:val="24"/>
                <w:szCs w:val="22"/>
              </w:rPr>
            </w:pPr>
            <w:r>
              <w:rPr>
                <w:sz w:val="24"/>
                <w:szCs w:val="22"/>
              </w:rPr>
              <w:t>99.89%</w:t>
            </w:r>
          </w:p>
        </w:tc>
        <w:tc>
          <w:tcPr>
            <w:tcW w:w="1134" w:type="dxa"/>
            <w:shd w:val="clear" w:color="auto" w:fill="D8D8D8" w:themeFill="background1" w:themeFillShade="D9"/>
            <w:vAlign w:val="center"/>
          </w:tcPr>
          <w:p w14:paraId="31279FCE">
            <w:pPr>
              <w:ind w:firstLine="0" w:firstLineChars="0"/>
              <w:jc w:val="center"/>
              <w:rPr>
                <w:sz w:val="24"/>
                <w:szCs w:val="22"/>
              </w:rPr>
            </w:pPr>
            <w:r>
              <w:rPr>
                <w:sz w:val="24"/>
                <w:szCs w:val="22"/>
              </w:rPr>
              <w:t>83.86%</w:t>
            </w:r>
          </w:p>
        </w:tc>
        <w:tc>
          <w:tcPr>
            <w:tcW w:w="992" w:type="dxa"/>
            <w:shd w:val="clear" w:color="auto" w:fill="D8D8D8" w:themeFill="background1" w:themeFillShade="D9"/>
            <w:vAlign w:val="center"/>
          </w:tcPr>
          <w:p w14:paraId="582A81F8">
            <w:pPr>
              <w:ind w:firstLine="0" w:firstLineChars="0"/>
              <w:jc w:val="center"/>
              <w:rPr>
                <w:sz w:val="24"/>
                <w:szCs w:val="22"/>
              </w:rPr>
            </w:pPr>
            <w:r>
              <w:rPr>
                <w:sz w:val="24"/>
                <w:szCs w:val="22"/>
              </w:rPr>
              <w:t>69.30%</w:t>
            </w:r>
          </w:p>
        </w:tc>
        <w:tc>
          <w:tcPr>
            <w:tcW w:w="993" w:type="dxa"/>
            <w:shd w:val="clear" w:color="auto" w:fill="D8D8D8" w:themeFill="background1" w:themeFillShade="D9"/>
            <w:vAlign w:val="center"/>
          </w:tcPr>
          <w:p w14:paraId="71C8E2A7">
            <w:pPr>
              <w:ind w:firstLine="0" w:firstLineChars="0"/>
              <w:jc w:val="center"/>
              <w:rPr>
                <w:sz w:val="24"/>
                <w:szCs w:val="22"/>
              </w:rPr>
            </w:pPr>
            <w:r>
              <w:rPr>
                <w:sz w:val="24"/>
                <w:szCs w:val="22"/>
              </w:rPr>
              <w:t>50.38%</w:t>
            </w:r>
          </w:p>
        </w:tc>
        <w:tc>
          <w:tcPr>
            <w:tcW w:w="1075" w:type="dxa"/>
            <w:shd w:val="clear" w:color="auto" w:fill="D8D8D8" w:themeFill="background1" w:themeFillShade="D9"/>
            <w:vAlign w:val="center"/>
          </w:tcPr>
          <w:p w14:paraId="42AC1F86">
            <w:pPr>
              <w:ind w:firstLine="0" w:firstLineChars="0"/>
              <w:jc w:val="center"/>
              <w:rPr>
                <w:sz w:val="24"/>
                <w:szCs w:val="22"/>
              </w:rPr>
            </w:pPr>
            <w:r>
              <w:rPr>
                <w:sz w:val="24"/>
                <w:szCs w:val="22"/>
              </w:rPr>
              <w:t>40.40%</w:t>
            </w:r>
          </w:p>
        </w:tc>
      </w:tr>
      <w:tr w14:paraId="1B161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vAlign w:val="center"/>
          </w:tcPr>
          <w:p w14:paraId="63AF6CCD">
            <w:pPr>
              <w:ind w:firstLine="0" w:firstLineChars="0"/>
              <w:jc w:val="center"/>
              <w:rPr>
                <w:sz w:val="24"/>
                <w:szCs w:val="22"/>
              </w:rPr>
            </w:pPr>
            <w:r>
              <w:rPr>
                <w:rFonts w:hint="eastAsia"/>
                <w:sz w:val="24"/>
                <w:szCs w:val="22"/>
              </w:rPr>
              <w:t>氯化氢1小时浓度分布</w:t>
            </w:r>
          </w:p>
        </w:tc>
        <w:tc>
          <w:tcPr>
            <w:tcW w:w="992" w:type="dxa"/>
            <w:shd w:val="clear" w:color="auto" w:fill="auto"/>
            <w:vAlign w:val="center"/>
          </w:tcPr>
          <w:p w14:paraId="5BEDDE32">
            <w:pPr>
              <w:ind w:firstLine="0" w:firstLineChars="0"/>
              <w:jc w:val="center"/>
              <w:rPr>
                <w:sz w:val="24"/>
                <w:szCs w:val="22"/>
              </w:rPr>
            </w:pPr>
            <w:r>
              <w:rPr>
                <w:rFonts w:hint="eastAsia"/>
                <w:sz w:val="24"/>
                <w:szCs w:val="22"/>
              </w:rPr>
              <w:t>≤</w:t>
            </w:r>
            <w:r>
              <w:rPr>
                <w:sz w:val="24"/>
                <w:szCs w:val="22"/>
              </w:rPr>
              <w:t>60</w:t>
            </w:r>
          </w:p>
        </w:tc>
        <w:tc>
          <w:tcPr>
            <w:tcW w:w="1134" w:type="dxa"/>
            <w:shd w:val="clear" w:color="auto" w:fill="auto"/>
            <w:vAlign w:val="center"/>
          </w:tcPr>
          <w:p w14:paraId="4F720951">
            <w:pPr>
              <w:ind w:firstLine="0" w:firstLineChars="0"/>
              <w:jc w:val="center"/>
              <w:rPr>
                <w:sz w:val="24"/>
                <w:szCs w:val="22"/>
              </w:rPr>
            </w:pPr>
            <w:r>
              <w:rPr>
                <w:rFonts w:hint="eastAsia"/>
                <w:sz w:val="24"/>
                <w:szCs w:val="22"/>
              </w:rPr>
              <w:t>≤</w:t>
            </w:r>
            <w:r>
              <w:rPr>
                <w:sz w:val="24"/>
                <w:szCs w:val="22"/>
              </w:rPr>
              <w:t>40</w:t>
            </w:r>
          </w:p>
        </w:tc>
        <w:tc>
          <w:tcPr>
            <w:tcW w:w="992" w:type="dxa"/>
            <w:shd w:val="clear" w:color="auto" w:fill="auto"/>
            <w:vAlign w:val="center"/>
          </w:tcPr>
          <w:p w14:paraId="64DC4A81">
            <w:pPr>
              <w:ind w:firstLine="0" w:firstLineChars="0"/>
              <w:jc w:val="center"/>
              <w:rPr>
                <w:sz w:val="24"/>
                <w:szCs w:val="22"/>
              </w:rPr>
            </w:pPr>
            <w:r>
              <w:rPr>
                <w:rFonts w:hint="eastAsia"/>
                <w:sz w:val="24"/>
                <w:szCs w:val="22"/>
              </w:rPr>
              <w:t>≤</w:t>
            </w:r>
            <w:r>
              <w:rPr>
                <w:sz w:val="24"/>
                <w:szCs w:val="22"/>
              </w:rPr>
              <w:t>30</w:t>
            </w:r>
          </w:p>
        </w:tc>
        <w:tc>
          <w:tcPr>
            <w:tcW w:w="993" w:type="dxa"/>
            <w:shd w:val="clear" w:color="auto" w:fill="auto"/>
            <w:vAlign w:val="center"/>
          </w:tcPr>
          <w:p w14:paraId="72232E25">
            <w:pPr>
              <w:ind w:firstLine="0" w:firstLineChars="0"/>
              <w:jc w:val="center"/>
              <w:rPr>
                <w:sz w:val="24"/>
                <w:szCs w:val="22"/>
              </w:rPr>
            </w:pPr>
            <w:r>
              <w:rPr>
                <w:rFonts w:hint="eastAsia"/>
                <w:sz w:val="24"/>
                <w:szCs w:val="22"/>
              </w:rPr>
              <w:t>≤</w:t>
            </w:r>
            <w:r>
              <w:rPr>
                <w:sz w:val="24"/>
                <w:szCs w:val="22"/>
              </w:rPr>
              <w:t>20</w:t>
            </w:r>
          </w:p>
        </w:tc>
        <w:tc>
          <w:tcPr>
            <w:tcW w:w="1075" w:type="dxa"/>
            <w:vAlign w:val="center"/>
          </w:tcPr>
          <w:p w14:paraId="4AAE483D">
            <w:pPr>
              <w:ind w:firstLine="0" w:firstLineChars="0"/>
              <w:jc w:val="center"/>
              <w:rPr>
                <w:sz w:val="24"/>
                <w:szCs w:val="22"/>
              </w:rPr>
            </w:pPr>
            <w:r>
              <w:rPr>
                <w:rFonts w:hint="eastAsia"/>
                <w:sz w:val="24"/>
                <w:szCs w:val="22"/>
              </w:rPr>
              <w:t>≤</w:t>
            </w:r>
            <w:r>
              <w:rPr>
                <w:sz w:val="24"/>
                <w:szCs w:val="22"/>
              </w:rPr>
              <w:t>15</w:t>
            </w:r>
          </w:p>
        </w:tc>
      </w:tr>
      <w:tr w14:paraId="53A75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shd w:val="clear" w:color="auto" w:fill="D8D8D8" w:themeFill="background1" w:themeFillShade="D9"/>
            <w:vAlign w:val="center"/>
          </w:tcPr>
          <w:p w14:paraId="3A6F2EAD">
            <w:pPr>
              <w:ind w:firstLine="0" w:firstLineChars="0"/>
              <w:jc w:val="center"/>
              <w:rPr>
                <w:sz w:val="24"/>
                <w:szCs w:val="22"/>
              </w:rPr>
            </w:pPr>
            <w:r>
              <w:rPr>
                <w:rFonts w:hint="eastAsia"/>
                <w:sz w:val="24"/>
                <w:szCs w:val="22"/>
              </w:rPr>
              <w:t>1小时平均浓度</w:t>
            </w:r>
            <w:r>
              <w:rPr>
                <w:sz w:val="24"/>
                <w:szCs w:val="22"/>
              </w:rPr>
              <w:t>17.81</w:t>
            </w:r>
          </w:p>
        </w:tc>
        <w:tc>
          <w:tcPr>
            <w:tcW w:w="992" w:type="dxa"/>
            <w:shd w:val="clear" w:color="auto" w:fill="D8D8D8" w:themeFill="background1" w:themeFillShade="D9"/>
            <w:vAlign w:val="center"/>
          </w:tcPr>
          <w:p w14:paraId="565E678E">
            <w:pPr>
              <w:ind w:firstLine="0" w:firstLineChars="0"/>
              <w:jc w:val="center"/>
              <w:rPr>
                <w:sz w:val="24"/>
                <w:szCs w:val="22"/>
              </w:rPr>
            </w:pPr>
            <w:r>
              <w:rPr>
                <w:sz w:val="24"/>
                <w:szCs w:val="22"/>
              </w:rPr>
              <w:t>99.93%</w:t>
            </w:r>
          </w:p>
        </w:tc>
        <w:tc>
          <w:tcPr>
            <w:tcW w:w="1134" w:type="dxa"/>
            <w:shd w:val="clear" w:color="auto" w:fill="D8D8D8" w:themeFill="background1" w:themeFillShade="D9"/>
            <w:vAlign w:val="center"/>
          </w:tcPr>
          <w:p w14:paraId="7EB7A213">
            <w:pPr>
              <w:ind w:firstLine="0" w:firstLineChars="0"/>
              <w:jc w:val="center"/>
              <w:rPr>
                <w:sz w:val="24"/>
                <w:szCs w:val="22"/>
              </w:rPr>
            </w:pPr>
            <w:r>
              <w:rPr>
                <w:sz w:val="24"/>
                <w:szCs w:val="22"/>
              </w:rPr>
              <w:t>96.99%</w:t>
            </w:r>
          </w:p>
        </w:tc>
        <w:tc>
          <w:tcPr>
            <w:tcW w:w="992" w:type="dxa"/>
            <w:shd w:val="clear" w:color="auto" w:fill="D8D8D8" w:themeFill="background1" w:themeFillShade="D9"/>
            <w:vAlign w:val="center"/>
          </w:tcPr>
          <w:p w14:paraId="65D1BDE4">
            <w:pPr>
              <w:ind w:firstLine="0" w:firstLineChars="0"/>
              <w:jc w:val="center"/>
              <w:rPr>
                <w:sz w:val="24"/>
                <w:szCs w:val="22"/>
              </w:rPr>
            </w:pPr>
            <w:r>
              <w:rPr>
                <w:sz w:val="24"/>
                <w:szCs w:val="22"/>
              </w:rPr>
              <w:t>82.90%</w:t>
            </w:r>
          </w:p>
        </w:tc>
        <w:tc>
          <w:tcPr>
            <w:tcW w:w="993" w:type="dxa"/>
            <w:shd w:val="clear" w:color="auto" w:fill="D8D8D8" w:themeFill="background1" w:themeFillShade="D9"/>
            <w:vAlign w:val="center"/>
          </w:tcPr>
          <w:p w14:paraId="3A6ED1EF">
            <w:pPr>
              <w:ind w:firstLine="0" w:firstLineChars="0"/>
              <w:jc w:val="center"/>
              <w:rPr>
                <w:sz w:val="24"/>
                <w:szCs w:val="22"/>
              </w:rPr>
            </w:pPr>
            <w:r>
              <w:rPr>
                <w:sz w:val="24"/>
                <w:szCs w:val="22"/>
              </w:rPr>
              <w:t>59.59%</w:t>
            </w:r>
          </w:p>
        </w:tc>
        <w:tc>
          <w:tcPr>
            <w:tcW w:w="1075" w:type="dxa"/>
            <w:shd w:val="clear" w:color="auto" w:fill="D8D8D8" w:themeFill="background1" w:themeFillShade="D9"/>
            <w:vAlign w:val="center"/>
          </w:tcPr>
          <w:p w14:paraId="48788C33">
            <w:pPr>
              <w:ind w:firstLine="0" w:firstLineChars="0"/>
              <w:jc w:val="center"/>
              <w:rPr>
                <w:sz w:val="24"/>
                <w:szCs w:val="22"/>
              </w:rPr>
            </w:pPr>
            <w:r>
              <w:rPr>
                <w:sz w:val="24"/>
                <w:szCs w:val="22"/>
              </w:rPr>
              <w:t>47.13%</w:t>
            </w:r>
          </w:p>
        </w:tc>
      </w:tr>
      <w:tr w14:paraId="090C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563CDA14">
            <w:pPr>
              <w:ind w:firstLine="0" w:firstLineChars="0"/>
              <w:jc w:val="center"/>
              <w:rPr>
                <w:sz w:val="24"/>
                <w:szCs w:val="22"/>
              </w:rPr>
            </w:pPr>
            <w:r>
              <w:rPr>
                <w:rFonts w:hint="eastAsia"/>
                <w:sz w:val="24"/>
                <w:szCs w:val="22"/>
              </w:rPr>
              <w:t>氯化氢2</w:t>
            </w:r>
            <w:r>
              <w:rPr>
                <w:sz w:val="24"/>
                <w:szCs w:val="22"/>
              </w:rPr>
              <w:t>4</w:t>
            </w:r>
            <w:r>
              <w:rPr>
                <w:rFonts w:hint="eastAsia"/>
                <w:sz w:val="24"/>
                <w:szCs w:val="22"/>
              </w:rPr>
              <w:t>小时浓度分布</w:t>
            </w:r>
          </w:p>
        </w:tc>
        <w:tc>
          <w:tcPr>
            <w:tcW w:w="992" w:type="dxa"/>
            <w:shd w:val="clear" w:color="auto" w:fill="auto"/>
            <w:vAlign w:val="center"/>
          </w:tcPr>
          <w:p w14:paraId="778712E5">
            <w:pPr>
              <w:ind w:firstLine="0" w:firstLineChars="0"/>
              <w:jc w:val="center"/>
              <w:rPr>
                <w:sz w:val="24"/>
                <w:szCs w:val="22"/>
              </w:rPr>
            </w:pPr>
            <w:r>
              <w:rPr>
                <w:rFonts w:hint="eastAsia"/>
                <w:sz w:val="24"/>
                <w:szCs w:val="22"/>
              </w:rPr>
              <w:t>≤</w:t>
            </w:r>
            <w:r>
              <w:rPr>
                <w:sz w:val="24"/>
                <w:szCs w:val="22"/>
              </w:rPr>
              <w:t>50</w:t>
            </w:r>
          </w:p>
        </w:tc>
        <w:tc>
          <w:tcPr>
            <w:tcW w:w="1134" w:type="dxa"/>
            <w:shd w:val="clear" w:color="auto" w:fill="auto"/>
            <w:vAlign w:val="center"/>
          </w:tcPr>
          <w:p w14:paraId="13ECCF09">
            <w:pPr>
              <w:ind w:firstLine="0" w:firstLineChars="0"/>
              <w:jc w:val="center"/>
              <w:rPr>
                <w:sz w:val="24"/>
                <w:szCs w:val="22"/>
              </w:rPr>
            </w:pPr>
            <w:r>
              <w:rPr>
                <w:rFonts w:hint="eastAsia"/>
                <w:sz w:val="24"/>
                <w:szCs w:val="22"/>
              </w:rPr>
              <w:t>≤</w:t>
            </w:r>
            <w:r>
              <w:rPr>
                <w:sz w:val="24"/>
                <w:szCs w:val="22"/>
              </w:rPr>
              <w:t>30</w:t>
            </w:r>
          </w:p>
        </w:tc>
        <w:tc>
          <w:tcPr>
            <w:tcW w:w="992" w:type="dxa"/>
            <w:shd w:val="clear" w:color="auto" w:fill="auto"/>
            <w:vAlign w:val="center"/>
          </w:tcPr>
          <w:p w14:paraId="7ECF38D9">
            <w:pPr>
              <w:ind w:firstLine="0" w:firstLineChars="0"/>
              <w:jc w:val="center"/>
              <w:rPr>
                <w:sz w:val="24"/>
                <w:szCs w:val="22"/>
              </w:rPr>
            </w:pPr>
            <w:r>
              <w:rPr>
                <w:rFonts w:hint="eastAsia"/>
                <w:sz w:val="24"/>
                <w:szCs w:val="22"/>
              </w:rPr>
              <w:t>≤</w:t>
            </w:r>
            <w:r>
              <w:rPr>
                <w:sz w:val="24"/>
                <w:szCs w:val="22"/>
              </w:rPr>
              <w:t>20</w:t>
            </w:r>
          </w:p>
        </w:tc>
        <w:tc>
          <w:tcPr>
            <w:tcW w:w="993" w:type="dxa"/>
            <w:shd w:val="clear" w:color="auto" w:fill="auto"/>
            <w:vAlign w:val="center"/>
          </w:tcPr>
          <w:p w14:paraId="6EC4DFF4">
            <w:pPr>
              <w:ind w:firstLine="0" w:firstLineChars="0"/>
              <w:jc w:val="center"/>
              <w:rPr>
                <w:sz w:val="24"/>
                <w:szCs w:val="22"/>
              </w:rPr>
            </w:pPr>
            <w:r>
              <w:rPr>
                <w:rFonts w:hint="eastAsia"/>
                <w:sz w:val="24"/>
                <w:szCs w:val="22"/>
              </w:rPr>
              <w:t>≤</w:t>
            </w:r>
            <w:r>
              <w:rPr>
                <w:sz w:val="24"/>
                <w:szCs w:val="22"/>
              </w:rPr>
              <w:t>10</w:t>
            </w:r>
          </w:p>
        </w:tc>
        <w:tc>
          <w:tcPr>
            <w:tcW w:w="1075" w:type="dxa"/>
            <w:vAlign w:val="center"/>
          </w:tcPr>
          <w:p w14:paraId="11D08F0D">
            <w:pPr>
              <w:ind w:firstLine="0" w:firstLineChars="0"/>
              <w:jc w:val="center"/>
              <w:rPr>
                <w:sz w:val="24"/>
                <w:szCs w:val="22"/>
              </w:rPr>
            </w:pPr>
            <w:r>
              <w:rPr>
                <w:rFonts w:hint="eastAsia"/>
                <w:sz w:val="24"/>
                <w:szCs w:val="22"/>
              </w:rPr>
              <w:t>≤</w:t>
            </w:r>
            <w:r>
              <w:rPr>
                <w:sz w:val="24"/>
                <w:szCs w:val="22"/>
              </w:rPr>
              <w:t>8</w:t>
            </w:r>
          </w:p>
        </w:tc>
      </w:tr>
      <w:tr w14:paraId="60E43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shd w:val="clear" w:color="auto" w:fill="D8D8D8" w:themeFill="background1" w:themeFillShade="D9"/>
            <w:vAlign w:val="center"/>
          </w:tcPr>
          <w:p w14:paraId="444F8056">
            <w:pPr>
              <w:ind w:firstLine="0" w:firstLineChars="0"/>
              <w:jc w:val="center"/>
              <w:rPr>
                <w:sz w:val="24"/>
                <w:szCs w:val="22"/>
              </w:rPr>
            </w:pPr>
            <w:r>
              <w:rPr>
                <w:rFonts w:hint="eastAsia"/>
                <w:sz w:val="24"/>
                <w:szCs w:val="22"/>
              </w:rPr>
              <w:t>2</w:t>
            </w:r>
            <w:r>
              <w:rPr>
                <w:sz w:val="24"/>
                <w:szCs w:val="22"/>
              </w:rPr>
              <w:t>4</w:t>
            </w:r>
            <w:r>
              <w:rPr>
                <w:rFonts w:hint="eastAsia"/>
                <w:sz w:val="24"/>
                <w:szCs w:val="22"/>
              </w:rPr>
              <w:t>小时平均浓度</w:t>
            </w:r>
            <w:r>
              <w:rPr>
                <w:sz w:val="24"/>
                <w:szCs w:val="22"/>
              </w:rPr>
              <w:t>18.39</w:t>
            </w:r>
          </w:p>
        </w:tc>
        <w:tc>
          <w:tcPr>
            <w:tcW w:w="992" w:type="dxa"/>
            <w:shd w:val="clear" w:color="auto" w:fill="D8D8D8" w:themeFill="background1" w:themeFillShade="D9"/>
            <w:vAlign w:val="center"/>
          </w:tcPr>
          <w:p w14:paraId="38FB3BBC">
            <w:pPr>
              <w:ind w:firstLine="0" w:firstLineChars="0"/>
              <w:jc w:val="center"/>
              <w:rPr>
                <w:sz w:val="24"/>
                <w:szCs w:val="22"/>
              </w:rPr>
            </w:pPr>
            <w:r>
              <w:rPr>
                <w:sz w:val="24"/>
                <w:szCs w:val="22"/>
              </w:rPr>
              <w:t>99.87%</w:t>
            </w:r>
          </w:p>
        </w:tc>
        <w:tc>
          <w:tcPr>
            <w:tcW w:w="1134" w:type="dxa"/>
            <w:shd w:val="clear" w:color="auto" w:fill="D8D8D8" w:themeFill="background1" w:themeFillShade="D9"/>
            <w:vAlign w:val="center"/>
          </w:tcPr>
          <w:p w14:paraId="192F62A2">
            <w:pPr>
              <w:ind w:firstLine="0" w:firstLineChars="0"/>
              <w:jc w:val="center"/>
              <w:rPr>
                <w:sz w:val="24"/>
                <w:szCs w:val="22"/>
              </w:rPr>
            </w:pPr>
            <w:r>
              <w:rPr>
                <w:sz w:val="24"/>
                <w:szCs w:val="22"/>
              </w:rPr>
              <w:t>87.19%</w:t>
            </w:r>
          </w:p>
        </w:tc>
        <w:tc>
          <w:tcPr>
            <w:tcW w:w="992" w:type="dxa"/>
            <w:shd w:val="clear" w:color="auto" w:fill="D8D8D8" w:themeFill="background1" w:themeFillShade="D9"/>
            <w:vAlign w:val="center"/>
          </w:tcPr>
          <w:p w14:paraId="49E79154">
            <w:pPr>
              <w:ind w:firstLine="0" w:firstLineChars="0"/>
              <w:jc w:val="center"/>
              <w:rPr>
                <w:sz w:val="24"/>
                <w:szCs w:val="22"/>
              </w:rPr>
            </w:pPr>
            <w:r>
              <w:rPr>
                <w:sz w:val="24"/>
                <w:szCs w:val="22"/>
              </w:rPr>
              <w:t>57.53%</w:t>
            </w:r>
          </w:p>
        </w:tc>
        <w:tc>
          <w:tcPr>
            <w:tcW w:w="993" w:type="dxa"/>
            <w:shd w:val="clear" w:color="auto" w:fill="D8D8D8" w:themeFill="background1" w:themeFillShade="D9"/>
            <w:vAlign w:val="center"/>
          </w:tcPr>
          <w:p w14:paraId="53BF315C">
            <w:pPr>
              <w:ind w:firstLine="0" w:firstLineChars="0"/>
              <w:jc w:val="center"/>
              <w:rPr>
                <w:sz w:val="24"/>
                <w:szCs w:val="22"/>
              </w:rPr>
            </w:pPr>
            <w:r>
              <w:rPr>
                <w:sz w:val="24"/>
                <w:szCs w:val="22"/>
              </w:rPr>
              <w:t>24.87%</w:t>
            </w:r>
          </w:p>
        </w:tc>
        <w:tc>
          <w:tcPr>
            <w:tcW w:w="1075" w:type="dxa"/>
            <w:shd w:val="clear" w:color="auto" w:fill="D8D8D8" w:themeFill="background1" w:themeFillShade="D9"/>
            <w:vAlign w:val="center"/>
          </w:tcPr>
          <w:p w14:paraId="68D57B33">
            <w:pPr>
              <w:ind w:firstLine="0" w:firstLineChars="0"/>
              <w:jc w:val="center"/>
              <w:rPr>
                <w:sz w:val="24"/>
                <w:szCs w:val="22"/>
              </w:rPr>
            </w:pPr>
            <w:r>
              <w:rPr>
                <w:sz w:val="24"/>
                <w:szCs w:val="22"/>
              </w:rPr>
              <w:t>17.47%</w:t>
            </w:r>
          </w:p>
        </w:tc>
      </w:tr>
      <w:tr w14:paraId="7C44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2E708C84">
            <w:pPr>
              <w:ind w:firstLine="0" w:firstLineChars="0"/>
              <w:jc w:val="center"/>
              <w:rPr>
                <w:sz w:val="24"/>
                <w:szCs w:val="22"/>
              </w:rPr>
            </w:pPr>
            <w:r>
              <w:rPr>
                <w:rFonts w:hint="eastAsia"/>
                <w:sz w:val="24"/>
                <w:szCs w:val="22"/>
              </w:rPr>
              <w:t>一氧化碳1小时浓度分布</w:t>
            </w:r>
          </w:p>
        </w:tc>
        <w:tc>
          <w:tcPr>
            <w:tcW w:w="992" w:type="dxa"/>
            <w:shd w:val="clear" w:color="auto" w:fill="auto"/>
            <w:vAlign w:val="center"/>
          </w:tcPr>
          <w:p w14:paraId="2ECB8284">
            <w:pPr>
              <w:ind w:firstLine="0" w:firstLineChars="0"/>
              <w:jc w:val="center"/>
              <w:rPr>
                <w:sz w:val="24"/>
                <w:szCs w:val="22"/>
              </w:rPr>
            </w:pPr>
            <w:r>
              <w:rPr>
                <w:rFonts w:hint="eastAsia"/>
                <w:sz w:val="24"/>
                <w:szCs w:val="22"/>
              </w:rPr>
              <w:t>≤</w:t>
            </w:r>
            <w:r>
              <w:rPr>
                <w:sz w:val="24"/>
                <w:szCs w:val="22"/>
              </w:rPr>
              <w:t>100</w:t>
            </w:r>
          </w:p>
        </w:tc>
        <w:tc>
          <w:tcPr>
            <w:tcW w:w="1134" w:type="dxa"/>
            <w:shd w:val="clear" w:color="auto" w:fill="auto"/>
            <w:vAlign w:val="center"/>
          </w:tcPr>
          <w:p w14:paraId="505ABE45">
            <w:pPr>
              <w:ind w:firstLine="0" w:firstLineChars="0"/>
              <w:jc w:val="center"/>
              <w:rPr>
                <w:sz w:val="24"/>
                <w:szCs w:val="22"/>
              </w:rPr>
            </w:pPr>
            <w:r>
              <w:rPr>
                <w:rFonts w:hint="eastAsia"/>
                <w:sz w:val="24"/>
                <w:szCs w:val="22"/>
              </w:rPr>
              <w:t>≤</w:t>
            </w:r>
            <w:r>
              <w:rPr>
                <w:sz w:val="24"/>
                <w:szCs w:val="22"/>
              </w:rPr>
              <w:t>80</w:t>
            </w:r>
          </w:p>
        </w:tc>
        <w:tc>
          <w:tcPr>
            <w:tcW w:w="992" w:type="dxa"/>
            <w:shd w:val="clear" w:color="auto" w:fill="auto"/>
            <w:vAlign w:val="center"/>
          </w:tcPr>
          <w:p w14:paraId="44423F5F">
            <w:pPr>
              <w:ind w:firstLine="0" w:firstLineChars="0"/>
              <w:jc w:val="center"/>
              <w:rPr>
                <w:sz w:val="24"/>
                <w:szCs w:val="22"/>
              </w:rPr>
            </w:pPr>
            <w:r>
              <w:rPr>
                <w:rFonts w:hint="eastAsia"/>
                <w:sz w:val="24"/>
                <w:szCs w:val="22"/>
              </w:rPr>
              <w:t>≤</w:t>
            </w:r>
            <w:r>
              <w:rPr>
                <w:sz w:val="24"/>
                <w:szCs w:val="22"/>
              </w:rPr>
              <w:t>60</w:t>
            </w:r>
          </w:p>
        </w:tc>
        <w:tc>
          <w:tcPr>
            <w:tcW w:w="993" w:type="dxa"/>
            <w:shd w:val="clear" w:color="auto" w:fill="auto"/>
            <w:vAlign w:val="center"/>
          </w:tcPr>
          <w:p w14:paraId="3C860557">
            <w:pPr>
              <w:ind w:firstLine="0" w:firstLineChars="0"/>
              <w:jc w:val="center"/>
              <w:rPr>
                <w:sz w:val="24"/>
                <w:szCs w:val="22"/>
              </w:rPr>
            </w:pPr>
            <w:r>
              <w:rPr>
                <w:rFonts w:hint="eastAsia"/>
                <w:sz w:val="24"/>
                <w:szCs w:val="22"/>
              </w:rPr>
              <w:t>≤</w:t>
            </w:r>
            <w:r>
              <w:rPr>
                <w:sz w:val="24"/>
                <w:szCs w:val="22"/>
              </w:rPr>
              <w:t>40</w:t>
            </w:r>
          </w:p>
        </w:tc>
        <w:tc>
          <w:tcPr>
            <w:tcW w:w="1075" w:type="dxa"/>
            <w:vAlign w:val="center"/>
          </w:tcPr>
          <w:p w14:paraId="7C87AEAC">
            <w:pPr>
              <w:ind w:firstLine="0" w:firstLineChars="0"/>
              <w:jc w:val="center"/>
              <w:rPr>
                <w:sz w:val="24"/>
                <w:szCs w:val="22"/>
              </w:rPr>
            </w:pPr>
            <w:r>
              <w:rPr>
                <w:rFonts w:hint="eastAsia"/>
                <w:sz w:val="24"/>
                <w:szCs w:val="22"/>
              </w:rPr>
              <w:t>≤</w:t>
            </w:r>
            <w:r>
              <w:rPr>
                <w:sz w:val="24"/>
                <w:szCs w:val="22"/>
              </w:rPr>
              <w:t>30</w:t>
            </w:r>
          </w:p>
        </w:tc>
      </w:tr>
      <w:tr w14:paraId="3F702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shd w:val="clear" w:color="auto" w:fill="D8D8D8" w:themeFill="background1" w:themeFillShade="D9"/>
            <w:vAlign w:val="center"/>
          </w:tcPr>
          <w:p w14:paraId="7C798ADF">
            <w:pPr>
              <w:ind w:firstLine="0" w:firstLineChars="0"/>
              <w:jc w:val="center"/>
              <w:rPr>
                <w:sz w:val="24"/>
                <w:szCs w:val="22"/>
              </w:rPr>
            </w:pPr>
            <w:r>
              <w:rPr>
                <w:rFonts w:hint="eastAsia"/>
                <w:sz w:val="24"/>
                <w:szCs w:val="22"/>
              </w:rPr>
              <w:t>1小时平均浓度</w:t>
            </w:r>
            <w:r>
              <w:rPr>
                <w:sz w:val="24"/>
                <w:szCs w:val="22"/>
              </w:rPr>
              <w:t>14.43</w:t>
            </w:r>
          </w:p>
        </w:tc>
        <w:tc>
          <w:tcPr>
            <w:tcW w:w="992" w:type="dxa"/>
            <w:shd w:val="clear" w:color="auto" w:fill="D8D8D8" w:themeFill="background1" w:themeFillShade="D9"/>
          </w:tcPr>
          <w:p w14:paraId="5DD19228">
            <w:pPr>
              <w:ind w:firstLine="0" w:firstLineChars="0"/>
              <w:jc w:val="center"/>
              <w:rPr>
                <w:sz w:val="24"/>
                <w:szCs w:val="22"/>
              </w:rPr>
            </w:pPr>
            <w:r>
              <w:rPr>
                <w:sz w:val="24"/>
                <w:szCs w:val="22"/>
              </w:rPr>
              <w:t>99.59%</w:t>
            </w:r>
          </w:p>
        </w:tc>
        <w:tc>
          <w:tcPr>
            <w:tcW w:w="1134" w:type="dxa"/>
            <w:shd w:val="clear" w:color="auto" w:fill="D8D8D8" w:themeFill="background1" w:themeFillShade="D9"/>
          </w:tcPr>
          <w:p w14:paraId="4BE10031">
            <w:pPr>
              <w:ind w:firstLine="0" w:firstLineChars="0"/>
              <w:jc w:val="center"/>
              <w:rPr>
                <w:sz w:val="24"/>
                <w:szCs w:val="22"/>
              </w:rPr>
            </w:pPr>
            <w:r>
              <w:rPr>
                <w:sz w:val="24"/>
                <w:szCs w:val="22"/>
              </w:rPr>
              <w:t>98.79%</w:t>
            </w:r>
          </w:p>
        </w:tc>
        <w:tc>
          <w:tcPr>
            <w:tcW w:w="992" w:type="dxa"/>
            <w:shd w:val="clear" w:color="auto" w:fill="D8D8D8" w:themeFill="background1" w:themeFillShade="D9"/>
          </w:tcPr>
          <w:p w14:paraId="11D134B7">
            <w:pPr>
              <w:ind w:firstLine="0" w:firstLineChars="0"/>
              <w:jc w:val="center"/>
              <w:rPr>
                <w:sz w:val="24"/>
                <w:szCs w:val="22"/>
              </w:rPr>
            </w:pPr>
            <w:r>
              <w:rPr>
                <w:sz w:val="24"/>
                <w:szCs w:val="22"/>
              </w:rPr>
              <w:t>96.36%</w:t>
            </w:r>
          </w:p>
        </w:tc>
        <w:tc>
          <w:tcPr>
            <w:tcW w:w="993" w:type="dxa"/>
            <w:shd w:val="clear" w:color="auto" w:fill="D8D8D8" w:themeFill="background1" w:themeFillShade="D9"/>
          </w:tcPr>
          <w:p w14:paraId="21E00CF3">
            <w:pPr>
              <w:ind w:firstLine="0" w:firstLineChars="0"/>
              <w:jc w:val="center"/>
              <w:rPr>
                <w:sz w:val="24"/>
                <w:szCs w:val="22"/>
              </w:rPr>
            </w:pPr>
            <w:r>
              <w:rPr>
                <w:sz w:val="24"/>
                <w:szCs w:val="22"/>
              </w:rPr>
              <w:t>90.07%</w:t>
            </w:r>
          </w:p>
        </w:tc>
        <w:tc>
          <w:tcPr>
            <w:tcW w:w="1075" w:type="dxa"/>
            <w:shd w:val="clear" w:color="auto" w:fill="D8D8D8" w:themeFill="background1" w:themeFillShade="D9"/>
          </w:tcPr>
          <w:p w14:paraId="2B5D9029">
            <w:pPr>
              <w:ind w:firstLine="0" w:firstLineChars="0"/>
              <w:jc w:val="center"/>
              <w:rPr>
                <w:sz w:val="24"/>
                <w:szCs w:val="22"/>
              </w:rPr>
            </w:pPr>
            <w:r>
              <w:rPr>
                <w:sz w:val="24"/>
                <w:szCs w:val="22"/>
              </w:rPr>
              <w:t>84.27%</w:t>
            </w:r>
          </w:p>
        </w:tc>
      </w:tr>
      <w:tr w14:paraId="40C6F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Align w:val="center"/>
          </w:tcPr>
          <w:p w14:paraId="4D594FB7">
            <w:pPr>
              <w:ind w:firstLine="0" w:firstLineChars="0"/>
              <w:jc w:val="center"/>
              <w:rPr>
                <w:sz w:val="24"/>
                <w:szCs w:val="22"/>
              </w:rPr>
            </w:pPr>
            <w:r>
              <w:rPr>
                <w:rFonts w:hint="eastAsia"/>
                <w:sz w:val="24"/>
                <w:szCs w:val="22"/>
              </w:rPr>
              <w:t>一氧化碳2</w:t>
            </w:r>
            <w:r>
              <w:rPr>
                <w:sz w:val="24"/>
                <w:szCs w:val="22"/>
              </w:rPr>
              <w:t>4</w:t>
            </w:r>
            <w:r>
              <w:rPr>
                <w:rFonts w:hint="eastAsia"/>
                <w:sz w:val="24"/>
                <w:szCs w:val="22"/>
              </w:rPr>
              <w:t>小时浓度分布</w:t>
            </w:r>
          </w:p>
        </w:tc>
        <w:tc>
          <w:tcPr>
            <w:tcW w:w="992" w:type="dxa"/>
            <w:shd w:val="clear" w:color="auto" w:fill="auto"/>
            <w:vAlign w:val="center"/>
          </w:tcPr>
          <w:p w14:paraId="765410FE">
            <w:pPr>
              <w:ind w:firstLine="0" w:firstLineChars="0"/>
              <w:jc w:val="center"/>
              <w:rPr>
                <w:sz w:val="24"/>
                <w:szCs w:val="22"/>
              </w:rPr>
            </w:pPr>
            <w:r>
              <w:rPr>
                <w:rFonts w:hint="eastAsia"/>
                <w:sz w:val="24"/>
                <w:szCs w:val="22"/>
              </w:rPr>
              <w:t>≤</w:t>
            </w:r>
            <w:r>
              <w:rPr>
                <w:sz w:val="24"/>
                <w:szCs w:val="22"/>
              </w:rPr>
              <w:t>80</w:t>
            </w:r>
          </w:p>
        </w:tc>
        <w:tc>
          <w:tcPr>
            <w:tcW w:w="1134" w:type="dxa"/>
            <w:shd w:val="clear" w:color="auto" w:fill="auto"/>
            <w:vAlign w:val="center"/>
          </w:tcPr>
          <w:p w14:paraId="121CE799">
            <w:pPr>
              <w:ind w:firstLine="0" w:firstLineChars="0"/>
              <w:jc w:val="center"/>
              <w:rPr>
                <w:sz w:val="24"/>
                <w:szCs w:val="22"/>
              </w:rPr>
            </w:pPr>
            <w:r>
              <w:rPr>
                <w:rFonts w:hint="eastAsia"/>
                <w:sz w:val="24"/>
                <w:szCs w:val="22"/>
              </w:rPr>
              <w:t>≤</w:t>
            </w:r>
            <w:r>
              <w:rPr>
                <w:sz w:val="24"/>
                <w:szCs w:val="22"/>
              </w:rPr>
              <w:t>60</w:t>
            </w:r>
          </w:p>
        </w:tc>
        <w:tc>
          <w:tcPr>
            <w:tcW w:w="992" w:type="dxa"/>
            <w:shd w:val="clear" w:color="auto" w:fill="auto"/>
            <w:vAlign w:val="center"/>
          </w:tcPr>
          <w:p w14:paraId="79ED8DDA">
            <w:pPr>
              <w:ind w:firstLine="0" w:firstLineChars="0"/>
              <w:jc w:val="center"/>
              <w:rPr>
                <w:sz w:val="24"/>
                <w:szCs w:val="22"/>
              </w:rPr>
            </w:pPr>
            <w:r>
              <w:rPr>
                <w:rFonts w:hint="eastAsia"/>
                <w:sz w:val="24"/>
                <w:szCs w:val="22"/>
              </w:rPr>
              <w:t>≤</w:t>
            </w:r>
            <w:r>
              <w:rPr>
                <w:sz w:val="24"/>
                <w:szCs w:val="22"/>
              </w:rPr>
              <w:t>50</w:t>
            </w:r>
          </w:p>
        </w:tc>
        <w:tc>
          <w:tcPr>
            <w:tcW w:w="993" w:type="dxa"/>
            <w:shd w:val="clear" w:color="auto" w:fill="auto"/>
            <w:vAlign w:val="center"/>
          </w:tcPr>
          <w:p w14:paraId="2967EA05">
            <w:pPr>
              <w:ind w:firstLine="0" w:firstLineChars="0"/>
              <w:jc w:val="center"/>
              <w:rPr>
                <w:sz w:val="24"/>
                <w:szCs w:val="22"/>
              </w:rPr>
            </w:pPr>
            <w:r>
              <w:rPr>
                <w:rFonts w:hint="eastAsia"/>
                <w:sz w:val="24"/>
                <w:szCs w:val="22"/>
              </w:rPr>
              <w:t>≤</w:t>
            </w:r>
            <w:r>
              <w:rPr>
                <w:sz w:val="24"/>
                <w:szCs w:val="22"/>
              </w:rPr>
              <w:t>40</w:t>
            </w:r>
          </w:p>
        </w:tc>
        <w:tc>
          <w:tcPr>
            <w:tcW w:w="1075" w:type="dxa"/>
            <w:vAlign w:val="center"/>
          </w:tcPr>
          <w:p w14:paraId="1289852E">
            <w:pPr>
              <w:ind w:firstLine="0" w:firstLineChars="0"/>
              <w:jc w:val="center"/>
              <w:rPr>
                <w:sz w:val="24"/>
                <w:szCs w:val="22"/>
              </w:rPr>
            </w:pPr>
            <w:r>
              <w:rPr>
                <w:rFonts w:hint="eastAsia"/>
                <w:sz w:val="24"/>
                <w:szCs w:val="22"/>
              </w:rPr>
              <w:t>≤</w:t>
            </w:r>
            <w:r>
              <w:rPr>
                <w:sz w:val="24"/>
                <w:szCs w:val="22"/>
              </w:rPr>
              <w:t>25</w:t>
            </w:r>
          </w:p>
        </w:tc>
      </w:tr>
      <w:tr w14:paraId="58E7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shd w:val="clear" w:color="auto" w:fill="D8D8D8" w:themeFill="background1" w:themeFillShade="D9"/>
            <w:vAlign w:val="center"/>
          </w:tcPr>
          <w:p w14:paraId="2B9EB495">
            <w:pPr>
              <w:ind w:firstLine="0" w:firstLineChars="0"/>
              <w:jc w:val="center"/>
              <w:rPr>
                <w:sz w:val="24"/>
                <w:szCs w:val="22"/>
              </w:rPr>
            </w:pPr>
            <w:r>
              <w:rPr>
                <w:rFonts w:hint="eastAsia"/>
                <w:sz w:val="24"/>
                <w:szCs w:val="22"/>
              </w:rPr>
              <w:t>2</w:t>
            </w:r>
            <w:r>
              <w:rPr>
                <w:sz w:val="24"/>
                <w:szCs w:val="22"/>
              </w:rPr>
              <w:t>4</w:t>
            </w:r>
            <w:r>
              <w:rPr>
                <w:rFonts w:hint="eastAsia"/>
                <w:sz w:val="24"/>
                <w:szCs w:val="22"/>
              </w:rPr>
              <w:t>小时平均浓度</w:t>
            </w:r>
            <w:r>
              <w:rPr>
                <w:sz w:val="24"/>
                <w:szCs w:val="22"/>
              </w:rPr>
              <w:t>14.61</w:t>
            </w:r>
          </w:p>
        </w:tc>
        <w:tc>
          <w:tcPr>
            <w:tcW w:w="992" w:type="dxa"/>
            <w:shd w:val="clear" w:color="auto" w:fill="D8D8D8" w:themeFill="background1" w:themeFillShade="D9"/>
            <w:vAlign w:val="center"/>
          </w:tcPr>
          <w:p w14:paraId="0282890E">
            <w:pPr>
              <w:ind w:firstLine="0" w:firstLineChars="0"/>
              <w:jc w:val="center"/>
              <w:rPr>
                <w:sz w:val="24"/>
                <w:szCs w:val="22"/>
              </w:rPr>
            </w:pPr>
            <w:r>
              <w:rPr>
                <w:sz w:val="24"/>
                <w:szCs w:val="22"/>
              </w:rPr>
              <w:t>99.36%</w:t>
            </w:r>
          </w:p>
        </w:tc>
        <w:tc>
          <w:tcPr>
            <w:tcW w:w="1134" w:type="dxa"/>
            <w:shd w:val="clear" w:color="auto" w:fill="D8D8D8" w:themeFill="background1" w:themeFillShade="D9"/>
            <w:vAlign w:val="center"/>
          </w:tcPr>
          <w:p w14:paraId="64D09827">
            <w:pPr>
              <w:ind w:firstLine="0" w:firstLineChars="0"/>
              <w:jc w:val="center"/>
              <w:rPr>
                <w:sz w:val="24"/>
                <w:szCs w:val="22"/>
              </w:rPr>
            </w:pPr>
            <w:r>
              <w:rPr>
                <w:sz w:val="24"/>
                <w:szCs w:val="22"/>
              </w:rPr>
              <w:t>98.20%</w:t>
            </w:r>
          </w:p>
        </w:tc>
        <w:tc>
          <w:tcPr>
            <w:tcW w:w="992" w:type="dxa"/>
            <w:shd w:val="clear" w:color="auto" w:fill="D8D8D8" w:themeFill="background1" w:themeFillShade="D9"/>
            <w:vAlign w:val="center"/>
          </w:tcPr>
          <w:p w14:paraId="316A079B">
            <w:pPr>
              <w:ind w:firstLine="0" w:firstLineChars="0"/>
              <w:jc w:val="center"/>
              <w:rPr>
                <w:sz w:val="24"/>
                <w:szCs w:val="22"/>
              </w:rPr>
            </w:pPr>
            <w:r>
              <w:rPr>
                <w:sz w:val="24"/>
                <w:szCs w:val="22"/>
              </w:rPr>
              <w:t>96.68%</w:t>
            </w:r>
          </w:p>
        </w:tc>
        <w:tc>
          <w:tcPr>
            <w:tcW w:w="993" w:type="dxa"/>
            <w:shd w:val="clear" w:color="auto" w:fill="D8D8D8" w:themeFill="background1" w:themeFillShade="D9"/>
            <w:vAlign w:val="center"/>
          </w:tcPr>
          <w:p w14:paraId="4BB2A451">
            <w:pPr>
              <w:ind w:firstLine="0" w:firstLineChars="0"/>
              <w:jc w:val="center"/>
              <w:rPr>
                <w:sz w:val="24"/>
                <w:szCs w:val="22"/>
              </w:rPr>
            </w:pPr>
            <w:r>
              <w:rPr>
                <w:sz w:val="24"/>
                <w:szCs w:val="22"/>
              </w:rPr>
              <w:t>93.56%</w:t>
            </w:r>
          </w:p>
        </w:tc>
        <w:tc>
          <w:tcPr>
            <w:tcW w:w="1075" w:type="dxa"/>
            <w:shd w:val="clear" w:color="auto" w:fill="D8D8D8" w:themeFill="background1" w:themeFillShade="D9"/>
            <w:vAlign w:val="center"/>
          </w:tcPr>
          <w:p w14:paraId="1F569D8E">
            <w:pPr>
              <w:ind w:firstLine="0" w:firstLineChars="0"/>
              <w:jc w:val="center"/>
              <w:rPr>
                <w:sz w:val="24"/>
                <w:szCs w:val="22"/>
              </w:rPr>
            </w:pPr>
            <w:r>
              <w:rPr>
                <w:sz w:val="24"/>
                <w:szCs w:val="22"/>
              </w:rPr>
              <w:t>81.03%</w:t>
            </w:r>
          </w:p>
        </w:tc>
      </w:tr>
    </w:tbl>
    <w:p w14:paraId="0EEF3198">
      <w:pPr>
        <w:pStyle w:val="2"/>
        <w:sectPr>
          <w:pgSz w:w="11906" w:h="16838"/>
          <w:pgMar w:top="1440" w:right="1800" w:bottom="1440" w:left="1800" w:header="851" w:footer="992" w:gutter="0"/>
          <w:cols w:space="425" w:num="1"/>
          <w:docGrid w:type="lines" w:linePitch="312" w:charSpace="0"/>
        </w:sectPr>
      </w:pPr>
    </w:p>
    <w:p w14:paraId="1C4A932F">
      <w:pPr>
        <w:pStyle w:val="2"/>
      </w:pPr>
      <w:bookmarkStart w:id="37" w:name="_Toc183055377"/>
      <w:r>
        <w:t>6</w:t>
      </w:r>
      <w:r>
        <w:rPr>
          <w:rFonts w:hint="eastAsia"/>
        </w:rPr>
        <w:t xml:space="preserve"> 标准制定主要内容说明</w:t>
      </w:r>
      <w:bookmarkEnd w:id="37"/>
    </w:p>
    <w:p w14:paraId="73FD3BBA">
      <w:pPr>
        <w:pStyle w:val="4"/>
      </w:pPr>
      <w:bookmarkStart w:id="38" w:name="_Toc183055378"/>
      <w:r>
        <w:t>6</w:t>
      </w:r>
      <w:r>
        <w:rPr>
          <w:rFonts w:hint="eastAsia"/>
        </w:rPr>
        <w:t>.1 标准范围</w:t>
      </w:r>
      <w:bookmarkEnd w:id="38"/>
    </w:p>
    <w:p w14:paraId="54E93D9D">
      <w:pPr>
        <w:ind w:firstLine="560"/>
      </w:pPr>
      <w:r>
        <w:rPr>
          <w:rFonts w:hint="eastAsia"/>
        </w:rPr>
        <w:t>本标准规定了湖北省生活垃圾焚烧厂的大气污染物排放控制要求、监测要求以及标准的实施与监督等内容。</w:t>
      </w:r>
    </w:p>
    <w:p w14:paraId="12ED915F">
      <w:pPr>
        <w:ind w:firstLine="560"/>
      </w:pPr>
      <w:r>
        <w:rPr>
          <w:rFonts w:hint="eastAsia"/>
        </w:rPr>
        <w:t>本标准适用于湖北省现有生活垃圾焚烧厂的大气污染物排放管以及新建、改建、扩建生活垃圾焚烧厂的环境影响评价、环境保护设施设计、环境保护设施验收、排污许可及投产后的大气污染物排放管理。</w:t>
      </w:r>
    </w:p>
    <w:p w14:paraId="3EEE9B1D">
      <w:pPr>
        <w:ind w:firstLine="560"/>
      </w:pPr>
      <w:r>
        <w:rPr>
          <w:rFonts w:hint="eastAsia"/>
        </w:rPr>
        <w:t>本标准不适用于处理量50吨/日及以下的村镇生活垃圾小型热解焚烧装置，相关设施执行GB 18485和有关技术规范的相关规定。</w:t>
      </w:r>
    </w:p>
    <w:p w14:paraId="62C18AD0">
      <w:pPr>
        <w:ind w:firstLine="560"/>
      </w:pPr>
      <w:r>
        <w:rPr>
          <w:rFonts w:hint="eastAsia"/>
        </w:rPr>
        <w:t>掺加生活垃圾质量超过入炉（窑）物料总质量30%的协同处置工业炉窑的污染控制参照本标准执行。</w:t>
      </w:r>
    </w:p>
    <w:p w14:paraId="35F74141">
      <w:pPr>
        <w:ind w:firstLine="560"/>
      </w:pPr>
      <w:r>
        <w:rPr>
          <w:rFonts w:hint="eastAsia"/>
        </w:rPr>
        <w:t>本标准未规定的生活垃圾焚烧厂的选址要求、工艺要求、入炉废物要求、运行要求等执行GB 18485和有关技术规范的相关要求。</w:t>
      </w:r>
    </w:p>
    <w:p w14:paraId="698F1F78">
      <w:pPr>
        <w:pStyle w:val="13"/>
        <w:spacing w:before="156" w:beforeLines="50" w:after="156" w:afterLines="50"/>
      </w:pPr>
      <w:r>
        <w:rPr>
          <w:rFonts w:hint="eastAsia"/>
        </w:rPr>
        <w:t>表</w:t>
      </w:r>
      <w:r>
        <w:t>6</w:t>
      </w:r>
      <w:r>
        <w:rPr>
          <w:rFonts w:hint="eastAsia"/>
        </w:rPr>
        <w:t>.1-1</w:t>
      </w:r>
      <w:r>
        <w:t xml:space="preserve"> </w:t>
      </w:r>
      <w:r>
        <w:rPr>
          <w:rFonts w:hint="eastAsia"/>
        </w:rPr>
        <w:t>GB 18485规定的入炉废物要求</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7308"/>
      </w:tblGrid>
      <w:tr w14:paraId="5718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32B73C06">
            <w:pPr>
              <w:pStyle w:val="13"/>
              <w:rPr>
                <w:b/>
                <w:bCs/>
              </w:rPr>
            </w:pPr>
            <w:r>
              <w:rPr>
                <w:rFonts w:hint="eastAsia"/>
                <w:b/>
                <w:bCs/>
              </w:rPr>
              <w:t>条款</w:t>
            </w:r>
          </w:p>
        </w:tc>
        <w:tc>
          <w:tcPr>
            <w:tcW w:w="7308" w:type="dxa"/>
            <w:vAlign w:val="center"/>
          </w:tcPr>
          <w:p w14:paraId="3A868E91">
            <w:pPr>
              <w:pStyle w:val="13"/>
              <w:rPr>
                <w:b/>
                <w:bCs/>
              </w:rPr>
            </w:pPr>
            <w:r>
              <w:rPr>
                <w:rFonts w:hint="eastAsia"/>
                <w:b/>
                <w:bCs/>
              </w:rPr>
              <w:t>内容</w:t>
            </w:r>
          </w:p>
        </w:tc>
      </w:tr>
      <w:tr w14:paraId="47E0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54ED3E15">
            <w:pPr>
              <w:pStyle w:val="13"/>
            </w:pPr>
            <w:r>
              <w:rPr>
                <w:rFonts w:hint="eastAsia"/>
              </w:rPr>
              <w:t>6</w:t>
            </w:r>
            <w:r>
              <w:t>.1</w:t>
            </w:r>
          </w:p>
        </w:tc>
        <w:tc>
          <w:tcPr>
            <w:tcW w:w="7308" w:type="dxa"/>
            <w:vAlign w:val="center"/>
          </w:tcPr>
          <w:p w14:paraId="2C738698">
            <w:pPr>
              <w:pStyle w:val="13"/>
              <w:jc w:val="left"/>
            </w:pPr>
            <w:r>
              <w:rPr>
                <w:rFonts w:hint="eastAsia"/>
              </w:rPr>
              <w:t>下列废物可以直接进入生活垃圾焚烧炉进行焚烧处置：</w:t>
            </w:r>
          </w:p>
          <w:p w14:paraId="66FF3C53">
            <w:pPr>
              <w:pStyle w:val="13"/>
              <w:jc w:val="left"/>
            </w:pPr>
            <w:r>
              <w:rPr>
                <w:rFonts w:hint="eastAsia"/>
              </w:rPr>
              <w:t>——由环境卫生机构收集或生活垃圾产生单位自行收集的混合生活垃圾；</w:t>
            </w:r>
          </w:p>
          <w:p w14:paraId="68BA2473">
            <w:pPr>
              <w:pStyle w:val="13"/>
              <w:jc w:val="left"/>
            </w:pPr>
            <w:r>
              <w:rPr>
                <w:rFonts w:hint="eastAsia"/>
              </w:rPr>
              <w:t>——由环境卫生机构收集的服装加工、食品加工移机其他为城市生活服务的行业产生的性质与生活垃圾相近的一般工业固体废物；</w:t>
            </w:r>
          </w:p>
          <w:p w14:paraId="481549FC">
            <w:pPr>
              <w:pStyle w:val="13"/>
              <w:jc w:val="left"/>
            </w:pPr>
            <w:r>
              <w:rPr>
                <w:rFonts w:hint="eastAsia"/>
              </w:rPr>
              <w:t>——生活垃圾堆肥处理过程中筛分工序产生的筛上物，以及其他生化处理过程中产生的固态残余组分；</w:t>
            </w:r>
          </w:p>
          <w:p w14:paraId="73C42C33">
            <w:pPr>
              <w:pStyle w:val="13"/>
              <w:jc w:val="left"/>
            </w:pPr>
            <w:r>
              <w:rPr>
                <w:rFonts w:hint="eastAsia"/>
              </w:rPr>
              <w:t>——按照HJ/T</w:t>
            </w:r>
            <w:r>
              <w:t xml:space="preserve"> </w:t>
            </w:r>
            <w:r>
              <w:rPr>
                <w:rFonts w:hint="eastAsia"/>
              </w:rPr>
              <w:t>228、HJ/T</w:t>
            </w:r>
            <w:r>
              <w:t xml:space="preserve"> </w:t>
            </w:r>
            <w:r>
              <w:rPr>
                <w:rFonts w:hint="eastAsia"/>
              </w:rPr>
              <w:t>229、HJ/T</w:t>
            </w:r>
            <w:r>
              <w:t xml:space="preserve"> </w:t>
            </w:r>
            <w:r>
              <w:rPr>
                <w:rFonts w:hint="eastAsia"/>
              </w:rPr>
              <w:t>276要求进行破碎毁形和消毒处理并满足消毒效果检验指标的《医疗废物分类目录》中的感染性废物。</w:t>
            </w:r>
          </w:p>
        </w:tc>
      </w:tr>
      <w:tr w14:paraId="25BE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D1BD35C">
            <w:pPr>
              <w:pStyle w:val="13"/>
            </w:pPr>
            <w:r>
              <w:rPr>
                <w:rFonts w:hint="eastAsia"/>
              </w:rPr>
              <w:t>6</w:t>
            </w:r>
            <w:r>
              <w:t>.2</w:t>
            </w:r>
          </w:p>
        </w:tc>
        <w:tc>
          <w:tcPr>
            <w:tcW w:w="7308" w:type="dxa"/>
            <w:vAlign w:val="center"/>
          </w:tcPr>
          <w:p w14:paraId="7F8829F7">
            <w:pPr>
              <w:pStyle w:val="13"/>
              <w:jc w:val="left"/>
            </w:pPr>
            <w:r>
              <w:rPr>
                <w:rFonts w:hint="eastAsia"/>
              </w:rPr>
              <w:t>在不影响生活垃圾焚烧炉污染物排放达标和焚烧炉正常运行的前提下，生活污水处理设施产生的污泥和一般工业固体废物可以进入生活垃圾焚烧炉进行焚烧处置，焚烧炉排放烟气中污染物浓度执行表4规定的限值。</w:t>
            </w:r>
          </w:p>
        </w:tc>
      </w:tr>
      <w:tr w14:paraId="23F9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251B0BAE">
            <w:pPr>
              <w:pStyle w:val="13"/>
            </w:pPr>
            <w:r>
              <w:rPr>
                <w:rFonts w:hint="eastAsia"/>
              </w:rPr>
              <w:t>6</w:t>
            </w:r>
            <w:r>
              <w:t>.3</w:t>
            </w:r>
          </w:p>
        </w:tc>
        <w:tc>
          <w:tcPr>
            <w:tcW w:w="7308" w:type="dxa"/>
            <w:vAlign w:val="center"/>
          </w:tcPr>
          <w:p w14:paraId="199BDF64">
            <w:pPr>
              <w:pStyle w:val="13"/>
              <w:jc w:val="left"/>
            </w:pPr>
            <w:r>
              <w:rPr>
                <w:rFonts w:hint="eastAsia"/>
              </w:rPr>
              <w:t>下列废物不得在生活垃圾焚烧炉中进行焚烧处置：</w:t>
            </w:r>
          </w:p>
          <w:p w14:paraId="0BD5B641">
            <w:pPr>
              <w:pStyle w:val="13"/>
              <w:jc w:val="left"/>
            </w:pPr>
            <w:r>
              <w:rPr>
                <w:rFonts w:hint="eastAsia"/>
              </w:rPr>
              <w:t>——危险废物，本标准6.1条规定的除外；</w:t>
            </w:r>
          </w:p>
          <w:p w14:paraId="20BD9490">
            <w:pPr>
              <w:pStyle w:val="13"/>
              <w:jc w:val="left"/>
            </w:pPr>
            <w:r>
              <w:rPr>
                <w:rFonts w:hint="eastAsia"/>
              </w:rPr>
              <w:t>——电子废物及其处理处置残余物。国家环境保护行政主管部门另有规定的除外。</w:t>
            </w:r>
          </w:p>
        </w:tc>
      </w:tr>
    </w:tbl>
    <w:p w14:paraId="248B12F4">
      <w:pPr>
        <w:pStyle w:val="4"/>
      </w:pPr>
      <w:bookmarkStart w:id="39" w:name="_Toc183055379"/>
      <w:r>
        <w:t>6</w:t>
      </w:r>
      <w:r>
        <w:rPr>
          <w:rFonts w:hint="eastAsia"/>
        </w:rPr>
        <w:t>.2 术语和定义</w:t>
      </w:r>
      <w:bookmarkEnd w:id="39"/>
    </w:p>
    <w:p w14:paraId="0662DDDB">
      <w:pPr>
        <w:ind w:firstLine="560"/>
      </w:pPr>
      <w:r>
        <w:rPr>
          <w:rFonts w:hint="eastAsia"/>
        </w:rPr>
        <w:t>本标准列出的术语和定义包括生活垃圾、焚烧炉、二</w:t>
      </w:r>
      <w:r>
        <w:rPr>
          <w:rFonts w:hint="eastAsia" w:ascii="微软雅黑" w:hAnsi="微软雅黑" w:eastAsia="仿宋" w:cs="微软雅黑"/>
        </w:rPr>
        <w:t>噁</w:t>
      </w:r>
      <w:r>
        <w:rPr>
          <w:rFonts w:hint="eastAsia" w:ascii="仿宋_GB2312" w:hAnsi="仿宋_GB2312" w:cs="仿宋_GB2312"/>
        </w:rPr>
        <w:t>英类、现</w:t>
      </w:r>
      <w:r>
        <w:rPr>
          <w:rFonts w:hint="eastAsia"/>
        </w:rPr>
        <w:t>有生活垃圾焚烧炉、新建生活垃圾焚烧炉、标准状态、测定均值、1小时均值、24小时均值、日均值、基准氧含量排放浓度，共计11项。</w:t>
      </w:r>
    </w:p>
    <w:p w14:paraId="19E5CB6A">
      <w:pPr>
        <w:ind w:firstLine="560"/>
      </w:pPr>
      <w:r>
        <w:rPr>
          <w:rFonts w:hint="eastAsia"/>
        </w:rPr>
        <w:t>“生活垃圾”源自《中华人民共和国固体废物污染环境防治法》附则中的定义。</w:t>
      </w:r>
    </w:p>
    <w:p w14:paraId="1FB96578">
      <w:pPr>
        <w:ind w:firstLine="560"/>
      </w:pPr>
      <w:r>
        <w:rPr>
          <w:rFonts w:hint="eastAsia"/>
        </w:rPr>
        <w:t>“焚烧炉、现有生活垃圾焚烧炉、新建生活垃圾焚烧炉、二</w:t>
      </w:r>
      <w:r>
        <w:rPr>
          <w:rFonts w:hint="eastAsia" w:ascii="微软雅黑" w:hAnsi="微软雅黑" w:eastAsia="仿宋" w:cs="微软雅黑"/>
        </w:rPr>
        <w:t>噁</w:t>
      </w:r>
      <w:r>
        <w:rPr>
          <w:rFonts w:hint="eastAsia" w:ascii="仿宋_GB2312" w:hAnsi="仿宋_GB2312" w:cs="仿宋_GB2312"/>
        </w:rPr>
        <w:t>英</w:t>
      </w:r>
      <w:r>
        <w:rPr>
          <w:rFonts w:hint="eastAsia"/>
        </w:rPr>
        <w:t>类、测定均值、1小时均值、24小时均值、标准状态、基准氧含量排放浓度”采用《生活垃圾焚烧污染控制标准》(GB 18485-2014)的定义。</w:t>
      </w:r>
    </w:p>
    <w:p w14:paraId="26767CC5">
      <w:pPr>
        <w:ind w:firstLine="560"/>
      </w:pPr>
      <w:r>
        <w:rPr>
          <w:rFonts w:hint="eastAsia"/>
        </w:rPr>
        <w:t>“日均值”采用国家新发布的大气污染物排放标准中的定义。</w:t>
      </w:r>
    </w:p>
    <w:p w14:paraId="2A9D52AE">
      <w:pPr>
        <w:pStyle w:val="4"/>
      </w:pPr>
      <w:bookmarkStart w:id="40" w:name="_Toc183055380"/>
      <w:r>
        <w:t>6</w:t>
      </w:r>
      <w:r>
        <w:rPr>
          <w:rFonts w:hint="eastAsia"/>
        </w:rPr>
        <w:t>.3 大气污染物排放控制要求</w:t>
      </w:r>
      <w:bookmarkEnd w:id="40"/>
    </w:p>
    <w:p w14:paraId="7079B121">
      <w:pPr>
        <w:pStyle w:val="5"/>
      </w:pPr>
      <w:bookmarkStart w:id="41" w:name="_Toc183055381"/>
      <w:r>
        <w:t>6</w:t>
      </w:r>
      <w:r>
        <w:rPr>
          <w:rFonts w:hint="eastAsia"/>
        </w:rPr>
        <w:t>.3.1 控制因子的选取</w:t>
      </w:r>
      <w:bookmarkEnd w:id="41"/>
    </w:p>
    <w:p w14:paraId="078D299D">
      <w:pPr>
        <w:ind w:firstLine="560"/>
      </w:pPr>
      <w:r>
        <w:rPr>
          <w:rFonts w:hint="eastAsia"/>
        </w:rPr>
        <w:t>根据焚烧污染物产生情况、国家相关标准管控要求，以及我省大气环境管理要求，综合确定焚烧控制因子，主要包括颗粒物、酸性气体、有毒重金属以及二</w:t>
      </w:r>
      <w:r>
        <w:rPr>
          <w:rFonts w:hint="eastAsia" w:ascii="微软雅黑" w:hAnsi="微软雅黑" w:eastAsia="仿宋" w:cs="微软雅黑"/>
        </w:rPr>
        <w:t>噁</w:t>
      </w:r>
      <w:r>
        <w:rPr>
          <w:rFonts w:hint="eastAsia" w:ascii="仿宋_GB2312" w:hAnsi="仿宋_GB2312" w:cs="仿宋_GB2312"/>
        </w:rPr>
        <w:t>英类等污染物，共计</w:t>
      </w:r>
      <w:r>
        <w:rPr>
          <w:rFonts w:hint="eastAsia"/>
        </w:rPr>
        <w:t>10项。</w:t>
      </w:r>
    </w:p>
    <w:p w14:paraId="4D8231CB">
      <w:pPr>
        <w:ind w:firstLine="560"/>
      </w:pPr>
      <w:r>
        <w:rPr>
          <w:rFonts w:hint="eastAsia"/>
        </w:rPr>
        <w:t>根据《生活垃圾焚烧污染控制标准》(GB 18485-2014)，选取颗粒物，氮氧化物，二氧化硫，氯化氢，一氧化碳，汞及其化合物，铊、镉及其化合物，锑、砷、铅、铬、钴、铜、锰、镍及其化合物，二</w:t>
      </w:r>
      <w:r>
        <w:rPr>
          <w:rFonts w:hint="eastAsia" w:ascii="微软雅黑" w:hAnsi="微软雅黑" w:eastAsia="仿宋" w:cs="微软雅黑"/>
        </w:rPr>
        <w:t>噁</w:t>
      </w:r>
      <w:r>
        <w:rPr>
          <w:rFonts w:hint="eastAsia" w:ascii="仿宋_GB2312" w:hAnsi="仿宋_GB2312" w:cs="仿宋_GB2312"/>
        </w:rPr>
        <w:t>英类等</w:t>
      </w:r>
      <w:r>
        <w:rPr>
          <w:rFonts w:hint="eastAsia"/>
        </w:rPr>
        <w:t>9项控制因子。</w:t>
      </w:r>
    </w:p>
    <w:p w14:paraId="16BD16B6">
      <w:pPr>
        <w:ind w:firstLine="560"/>
      </w:pPr>
      <w:r>
        <w:rPr>
          <w:rFonts w:hint="eastAsia"/>
        </w:rPr>
        <w:t>烟气中喷入过量脱硝剂会产生氨逃逸，一方面氨是PM</w:t>
      </w:r>
      <w:r>
        <w:rPr>
          <w:rFonts w:hint="eastAsia"/>
          <w:vertAlign w:val="subscript"/>
        </w:rPr>
        <w:t>2</w:t>
      </w:r>
      <w:r>
        <w:rPr>
          <w:vertAlign w:val="subscript"/>
        </w:rPr>
        <w:t>.</w:t>
      </w:r>
      <w:r>
        <w:rPr>
          <w:rFonts w:hint="eastAsia"/>
          <w:vertAlign w:val="subscript"/>
        </w:rPr>
        <w:t>5</w:t>
      </w:r>
      <w:r>
        <w:rPr>
          <w:rFonts w:hint="eastAsia"/>
        </w:rPr>
        <w:t>和臭氧生成的重要前体物；另一方面，氨逃逸浓度过大会导致下游设备的腐蚀和堵塞，增大运行成本。因此，增加氨作为控制指标。</w:t>
      </w:r>
    </w:p>
    <w:p w14:paraId="6F1CEF0C">
      <w:pPr>
        <w:pStyle w:val="5"/>
      </w:pPr>
      <w:bookmarkStart w:id="42" w:name="_Toc183055382"/>
      <w:r>
        <w:t>6</w:t>
      </w:r>
      <w:r>
        <w:rPr>
          <w:rFonts w:hint="eastAsia"/>
        </w:rPr>
        <w:t>.3.2 排放限值的确定</w:t>
      </w:r>
      <w:bookmarkEnd w:id="42"/>
    </w:p>
    <w:p w14:paraId="440BA2A2">
      <w:pPr>
        <w:ind w:firstLine="560"/>
      </w:pPr>
      <w:r>
        <w:rPr>
          <w:rFonts w:hint="eastAsia"/>
        </w:rPr>
        <w:t>当前焚烧炉烟气治理技术均相对成熟，本标准根据当前焚烧厂污染物排放水平和采用的烟气治理技术，基于环境管理需求，结合经济成本，综合确定各污染物的排放限值。</w:t>
      </w:r>
    </w:p>
    <w:p w14:paraId="0D6B03AF">
      <w:pPr>
        <w:pStyle w:val="6"/>
      </w:pPr>
      <w:r>
        <w:t xml:space="preserve">6.3.2.1 </w:t>
      </w:r>
      <w:r>
        <w:rPr>
          <w:rFonts w:hint="eastAsia"/>
        </w:rPr>
        <w:t>颗粒物限值的确定</w:t>
      </w:r>
    </w:p>
    <w:p w14:paraId="5D791A74">
      <w:pPr>
        <w:ind w:firstLine="560"/>
      </w:pPr>
      <w:r>
        <w:rPr>
          <w:rFonts w:hint="eastAsia"/>
        </w:rPr>
        <w:t>本标准规定的颗粒物1小时均值为10</w:t>
      </w:r>
      <w:r>
        <w:t xml:space="preserve"> </w:t>
      </w:r>
      <w:r>
        <w:rPr>
          <w:rFonts w:hint="eastAsia"/>
        </w:rPr>
        <w:t>mg/m</w:t>
      </w:r>
      <w:r>
        <w:rPr>
          <w:rFonts w:hint="eastAsia"/>
          <w:vertAlign w:val="superscript"/>
        </w:rPr>
        <w:t>3</w:t>
      </w:r>
      <w:r>
        <w:rPr>
          <w:rFonts w:hint="eastAsia"/>
        </w:rPr>
        <w:t>、24小时均值限值为8</w:t>
      </w:r>
      <w:r>
        <w:t xml:space="preserve"> mg/m³</w:t>
      </w:r>
      <w:r>
        <w:rPr>
          <w:rFonts w:hint="eastAsia"/>
        </w:rPr>
        <w:t>。我省垃圾焚烧行业广泛应用的除尘设施为袋式除尘器（占9</w:t>
      </w:r>
      <w:r>
        <w:t>5</w:t>
      </w:r>
      <w:r>
        <w:rPr>
          <w:rFonts w:hint="eastAsia"/>
        </w:rPr>
        <w:t>%以上），个别焚烧炉烟气使用活性炭吸附+袋式除尘或静电除尘+布袋除尘工艺。袋式除尘工艺对颗粒物的去除效率可达到99.9%以上，技术成熟、操作管理简便，便于及时检修、维护或更换。此外，采用湿式除尘器不仅可以获得较高的除尘效率，而且还能明显减少有害酸性气体成分的排放。经调研，部分颗粒物排放浓度较高的企业，主要是由于袋式除尘器运行时间较长、轻微破损或者运行管理不当导致颗粒物排放水平略高。</w:t>
      </w:r>
    </w:p>
    <w:p w14:paraId="09F8B1BB">
      <w:pPr>
        <w:ind w:firstLine="560"/>
      </w:pPr>
      <w:r>
        <w:rPr>
          <w:rFonts w:hint="eastAsia"/>
        </w:rPr>
        <w:t>因此满足本标准限值的可行性技术为袋式除尘器，在袋式除尘器及配套设施完好，及时维护、检修的前提下，颗粒物排放浓度可满足本标准限值。</w:t>
      </w:r>
    </w:p>
    <w:p w14:paraId="24C70164">
      <w:pPr>
        <w:pStyle w:val="6"/>
      </w:pPr>
      <w:r>
        <w:t xml:space="preserve">6.3.2.2 </w:t>
      </w:r>
      <w:r>
        <w:rPr>
          <w:rFonts w:hint="eastAsia"/>
        </w:rPr>
        <w:t>氮氧化物限值的确定</w:t>
      </w:r>
    </w:p>
    <w:p w14:paraId="018D247C">
      <w:pPr>
        <w:ind w:firstLine="560"/>
      </w:pPr>
      <w:r>
        <w:rPr>
          <w:rFonts w:hint="eastAsia"/>
        </w:rPr>
        <w:t>本标准规定的氮氧化物1小时均值为</w:t>
      </w:r>
      <w:r>
        <w:t>12</w:t>
      </w:r>
      <w:r>
        <w:rPr>
          <w:rFonts w:hint="eastAsia"/>
        </w:rPr>
        <w:t>0</w:t>
      </w:r>
      <w:r>
        <w:t xml:space="preserve"> </w:t>
      </w:r>
      <w:r>
        <w:rPr>
          <w:rFonts w:hint="eastAsia"/>
        </w:rPr>
        <w:t>mg/m</w:t>
      </w:r>
      <w:r>
        <w:rPr>
          <w:rFonts w:hint="eastAsia"/>
          <w:vertAlign w:val="superscript"/>
        </w:rPr>
        <w:t>3</w:t>
      </w:r>
      <w:r>
        <w:rPr>
          <w:rFonts w:hint="eastAsia"/>
        </w:rPr>
        <w:t>、24小时均值限值为</w:t>
      </w:r>
      <w:r>
        <w:t>100 mg/m</w:t>
      </w:r>
      <w:r>
        <w:rPr>
          <w:vertAlign w:val="superscript"/>
        </w:rPr>
        <w:t>3</w:t>
      </w:r>
      <w:r>
        <w:rPr>
          <w:rFonts w:hint="eastAsia"/>
        </w:rPr>
        <w:t>。生活垃圾焚烧炉烟气中氮氧化物处理前浓度在200~400 mg/m</w:t>
      </w:r>
      <w:r>
        <w:rPr>
          <w:rFonts w:hint="eastAsia"/>
          <w:vertAlign w:val="superscript"/>
        </w:rPr>
        <w:t>3</w:t>
      </w:r>
      <w:r>
        <w:rPr>
          <w:rFonts w:hint="eastAsia"/>
        </w:rPr>
        <w:t>。目前主流的脱硝技术有SNCR、HSNCR、“SNCR+SCR”、</w:t>
      </w:r>
      <w:r>
        <w:t>SCR</w:t>
      </w:r>
      <w:r>
        <w:rPr>
          <w:rFonts w:hint="eastAsia"/>
        </w:rPr>
        <w:t>等。</w:t>
      </w:r>
    </w:p>
    <w:p w14:paraId="1EBD63A5">
      <w:pPr>
        <w:ind w:firstLine="560"/>
      </w:pPr>
      <w:r>
        <w:t>SNCR</w:t>
      </w:r>
      <w:r>
        <w:rPr>
          <w:rFonts w:hint="eastAsia"/>
        </w:rPr>
        <w:t>技术去除效率可达到</w:t>
      </w:r>
      <w:r>
        <w:t>50%</w:t>
      </w:r>
      <w:r>
        <w:rPr>
          <w:rFonts w:hint="eastAsia"/>
        </w:rPr>
        <w:t>左右，处理后浓度一般可达到</w:t>
      </w:r>
      <w:r>
        <w:t>200 mg/m</w:t>
      </w:r>
      <w:r>
        <w:rPr>
          <w:vertAlign w:val="superscript"/>
        </w:rPr>
        <w:t>3</w:t>
      </w:r>
      <w:r>
        <w:rPr>
          <w:rFonts w:hint="eastAsia"/>
        </w:rPr>
        <w:t>左右。H</w:t>
      </w:r>
      <w:r>
        <w:t>SNCR</w:t>
      </w:r>
      <w:r>
        <w:rPr>
          <w:rFonts w:hint="eastAsia"/>
        </w:rPr>
        <w:t>技术去除效率可达到</w:t>
      </w:r>
      <w:r>
        <w:t>70%</w:t>
      </w:r>
      <w:r>
        <w:rPr>
          <w:rFonts w:hint="eastAsia"/>
        </w:rPr>
        <w:t>左右，处理后浓度一般可达到</w:t>
      </w:r>
      <w:r>
        <w:t>150 mg/m</w:t>
      </w:r>
      <w:r>
        <w:rPr>
          <w:vertAlign w:val="superscript"/>
        </w:rPr>
        <w:t>3</w:t>
      </w:r>
      <w:r>
        <w:rPr>
          <w:rFonts w:hint="eastAsia"/>
        </w:rPr>
        <w:t>左右。“</w:t>
      </w:r>
      <w:r>
        <w:t>SNCR+SCR”</w:t>
      </w:r>
      <w:r>
        <w:rPr>
          <w:rFonts w:hint="eastAsia"/>
        </w:rPr>
        <w:t>联用技术去除率可达到</w:t>
      </w:r>
      <w:r>
        <w:t>85%</w:t>
      </w:r>
      <w:r>
        <w:rPr>
          <w:rFonts w:hint="eastAsia"/>
        </w:rPr>
        <w:t>左右，处理后浓度一般可达到</w:t>
      </w:r>
      <w:r>
        <w:t>80 mg/m</w:t>
      </w:r>
      <w:r>
        <w:rPr>
          <w:vertAlign w:val="superscript"/>
        </w:rPr>
        <w:t>3</w:t>
      </w:r>
      <w:r>
        <w:rPr>
          <w:rFonts w:hint="eastAsia"/>
        </w:rPr>
        <w:t>以下。</w:t>
      </w:r>
    </w:p>
    <w:p w14:paraId="62A46611">
      <w:pPr>
        <w:ind w:firstLine="560"/>
      </w:pPr>
      <w:r>
        <w:rPr>
          <w:rFonts w:hint="eastAsia"/>
        </w:rPr>
        <w:t>考虑到生活垃圾成分存在波动性，本标准规定的氮氧化物1小时均值为1</w:t>
      </w:r>
      <w:r>
        <w:t>2</w:t>
      </w:r>
      <w:r>
        <w:rPr>
          <w:rFonts w:hint="eastAsia"/>
        </w:rPr>
        <w:t>0</w:t>
      </w:r>
      <w:r>
        <w:t xml:space="preserve"> </w:t>
      </w:r>
      <w:r>
        <w:rPr>
          <w:rFonts w:hint="eastAsia"/>
        </w:rPr>
        <w:t>mg/m</w:t>
      </w:r>
      <w:r>
        <w:rPr>
          <w:rFonts w:hint="eastAsia"/>
          <w:vertAlign w:val="superscript"/>
        </w:rPr>
        <w:t>3</w:t>
      </w:r>
      <w:r>
        <w:rPr>
          <w:rFonts w:hint="eastAsia"/>
        </w:rPr>
        <w:t>、24小时均值限值为</w:t>
      </w:r>
      <w:r>
        <w:t>100</w:t>
      </w:r>
      <w:r>
        <w:rPr>
          <w:rFonts w:hint="eastAsia"/>
        </w:rPr>
        <w:t xml:space="preserve"> mg/m</w:t>
      </w:r>
      <w:r>
        <w:rPr>
          <w:rFonts w:hint="eastAsia"/>
          <w:vertAlign w:val="superscript"/>
        </w:rPr>
        <w:t>3</w:t>
      </w:r>
      <w:r>
        <w:rPr>
          <w:rFonts w:hint="eastAsia"/>
        </w:rPr>
        <w:t>。可行技术为“SNCR+SCR”、</w:t>
      </w:r>
      <w:r>
        <w:t>SCR</w:t>
      </w:r>
      <w:r>
        <w:rPr>
          <w:rFonts w:hint="eastAsia"/>
        </w:rPr>
        <w:t>。</w:t>
      </w:r>
    </w:p>
    <w:p w14:paraId="57EC7733">
      <w:pPr>
        <w:pStyle w:val="6"/>
      </w:pPr>
      <w:r>
        <w:t xml:space="preserve">6.3.2.3 </w:t>
      </w:r>
      <w:r>
        <w:rPr>
          <w:rFonts w:hint="eastAsia"/>
        </w:rPr>
        <w:t>二氧化硫、氯化氢限值的确定</w:t>
      </w:r>
    </w:p>
    <w:p w14:paraId="25A5B998">
      <w:pPr>
        <w:ind w:firstLine="560"/>
      </w:pPr>
      <w:r>
        <w:rPr>
          <w:rFonts w:hint="eastAsia"/>
        </w:rPr>
        <w:t>本标准规定的二氧化硫1小时均值为</w:t>
      </w:r>
      <w:r>
        <w:t xml:space="preserve">40 </w:t>
      </w:r>
      <w:r>
        <w:rPr>
          <w:rFonts w:hint="eastAsia"/>
        </w:rPr>
        <w:t>mg/m</w:t>
      </w:r>
      <w:r>
        <w:rPr>
          <w:rFonts w:hint="eastAsia"/>
          <w:vertAlign w:val="superscript"/>
        </w:rPr>
        <w:t>3</w:t>
      </w:r>
      <w:r>
        <w:rPr>
          <w:rFonts w:hint="eastAsia"/>
        </w:rPr>
        <w:t>、</w:t>
      </w:r>
      <w:r>
        <w:t>24</w:t>
      </w:r>
      <w:r>
        <w:rPr>
          <w:rFonts w:hint="eastAsia"/>
        </w:rPr>
        <w:t>小时均值限值为</w:t>
      </w:r>
      <w:r>
        <w:t xml:space="preserve">20 </w:t>
      </w:r>
      <w:r>
        <w:rPr>
          <w:rFonts w:hint="eastAsia"/>
        </w:rPr>
        <w:t>mg/m</w:t>
      </w:r>
      <w:r>
        <w:rPr>
          <w:rFonts w:hint="eastAsia"/>
          <w:vertAlign w:val="superscript"/>
        </w:rPr>
        <w:t>3</w:t>
      </w:r>
      <w:r>
        <w:rPr>
          <w:rFonts w:hint="eastAsia"/>
        </w:rPr>
        <w:t>；氯化氢1小时均值为2</w:t>
      </w:r>
      <w:r>
        <w:t xml:space="preserve">0 </w:t>
      </w:r>
      <w:r>
        <w:rPr>
          <w:rFonts w:hint="eastAsia"/>
        </w:rPr>
        <w:t>mg/m</w:t>
      </w:r>
      <w:r>
        <w:rPr>
          <w:rFonts w:hint="eastAsia"/>
          <w:vertAlign w:val="superscript"/>
        </w:rPr>
        <w:t>3</w:t>
      </w:r>
      <w:r>
        <w:rPr>
          <w:rFonts w:hint="eastAsia"/>
        </w:rPr>
        <w:t>、</w:t>
      </w:r>
      <w:r>
        <w:t>24</w:t>
      </w:r>
      <w:r>
        <w:rPr>
          <w:rFonts w:hint="eastAsia"/>
        </w:rPr>
        <w:t>小时均值限值为</w:t>
      </w:r>
      <w:r>
        <w:t xml:space="preserve">10 </w:t>
      </w:r>
      <w:r>
        <w:rPr>
          <w:rFonts w:hint="eastAsia"/>
        </w:rPr>
        <w:t>mg/m</w:t>
      </w:r>
      <w:r>
        <w:rPr>
          <w:rFonts w:hint="eastAsia"/>
          <w:vertAlign w:val="superscript"/>
        </w:rPr>
        <w:t>3</w:t>
      </w:r>
      <w:r>
        <w:rPr>
          <w:rFonts w:hint="eastAsia"/>
        </w:rPr>
        <w:t>。根据全省调研情况，烟气中二氧化硫、氯化氢处理前浓度分别在</w:t>
      </w:r>
      <w:r>
        <w:t>300~350 mg/m</w:t>
      </w:r>
      <w:r>
        <w:rPr>
          <w:vertAlign w:val="superscript"/>
        </w:rPr>
        <w:t>3</w:t>
      </w:r>
      <w:r>
        <w:rPr>
          <w:rFonts w:hint="eastAsia"/>
        </w:rPr>
        <w:t>、</w:t>
      </w:r>
      <w:r>
        <w:t>150 mg/m</w:t>
      </w:r>
      <w:r>
        <w:rPr>
          <w:vertAlign w:val="superscript"/>
        </w:rPr>
        <w:t>3</w:t>
      </w:r>
      <w:r>
        <w:rPr>
          <w:rFonts w:hint="eastAsia"/>
        </w:rPr>
        <w:t>左右，</w:t>
      </w:r>
      <w:r>
        <w:t>“</w:t>
      </w:r>
      <w:r>
        <w:rPr>
          <w:rFonts w:hint="eastAsia"/>
        </w:rPr>
        <w:t>半干法</w:t>
      </w:r>
      <w:r>
        <w:t>+</w:t>
      </w:r>
      <w:r>
        <w:rPr>
          <w:rFonts w:hint="eastAsia"/>
        </w:rPr>
        <w:t>干法</w:t>
      </w:r>
      <w:r>
        <w:t>+</w:t>
      </w:r>
      <w:r>
        <w:rPr>
          <w:rFonts w:hint="eastAsia"/>
        </w:rPr>
        <w:t>湿法”、</w:t>
      </w:r>
      <w:r>
        <w:t>“</w:t>
      </w:r>
      <w:r>
        <w:rPr>
          <w:rFonts w:hint="eastAsia"/>
        </w:rPr>
        <w:t>半干法</w:t>
      </w:r>
      <w:r>
        <w:t>+</w:t>
      </w:r>
      <w:r>
        <w:rPr>
          <w:rFonts w:hint="eastAsia"/>
        </w:rPr>
        <w:t>湿法”对酸性气体的去除效率可达到</w:t>
      </w:r>
      <w:r>
        <w:t>95%</w:t>
      </w:r>
      <w:r>
        <w:rPr>
          <w:rFonts w:hint="eastAsia"/>
        </w:rPr>
        <w:t>以上，处理后二氧化硫、氯化氢浓度一般可达到</w:t>
      </w:r>
      <w:r>
        <w:t>20 mg/m³</w:t>
      </w:r>
      <w:r>
        <w:rPr>
          <w:rFonts w:hint="eastAsia"/>
        </w:rPr>
        <w:t>、</w:t>
      </w:r>
      <w:r>
        <w:t>10 mg/m</w:t>
      </w:r>
      <w:r>
        <w:rPr>
          <w:vertAlign w:val="superscript"/>
        </w:rPr>
        <w:t>3</w:t>
      </w:r>
      <w:r>
        <w:rPr>
          <w:rFonts w:hint="eastAsia"/>
        </w:rPr>
        <w:t>以下，能够达到本标准限值；</w:t>
      </w:r>
      <w:r>
        <w:t>“</w:t>
      </w:r>
      <w:r>
        <w:rPr>
          <w:rFonts w:hint="eastAsia"/>
        </w:rPr>
        <w:t>半干法</w:t>
      </w:r>
      <w:r>
        <w:t>+</w:t>
      </w:r>
      <w:r>
        <w:rPr>
          <w:rFonts w:hint="eastAsia"/>
        </w:rPr>
        <w:t>干法”对酸性气体的去除效率可达到</w:t>
      </w:r>
      <w:r>
        <w:t>85%</w:t>
      </w:r>
      <w:r>
        <w:rPr>
          <w:rFonts w:hint="eastAsia"/>
        </w:rPr>
        <w:t>以上，处理后二氧化硫、氯化氢浓度一般可达到</w:t>
      </w:r>
      <w:r>
        <w:t>50 mg/m³</w:t>
      </w:r>
      <w:r>
        <w:rPr>
          <w:rFonts w:hint="eastAsia"/>
        </w:rPr>
        <w:t>、</w:t>
      </w:r>
      <w:r>
        <w:t>20 mg/m³</w:t>
      </w:r>
      <w:r>
        <w:rPr>
          <w:rFonts w:hint="eastAsia"/>
        </w:rPr>
        <w:t>以下，企业在通过提升管理水平、优化旋转喷雾效果、调整脱酸反应温度、优化脱酸剂种类等措施后，能进一步提升脱酸效率，可达到本标准限值。</w:t>
      </w:r>
    </w:p>
    <w:p w14:paraId="61CDBC6E">
      <w:pPr>
        <w:pStyle w:val="6"/>
      </w:pPr>
      <w:r>
        <w:t xml:space="preserve">6.3.2.4 </w:t>
      </w:r>
      <w:r>
        <w:rPr>
          <w:rFonts w:hint="eastAsia"/>
        </w:rPr>
        <w:t>一氧化碳限值的确定</w:t>
      </w:r>
    </w:p>
    <w:p w14:paraId="2CC2BB5A">
      <w:pPr>
        <w:ind w:firstLine="560"/>
      </w:pPr>
      <w:r>
        <w:rPr>
          <w:rFonts w:hint="eastAsia"/>
        </w:rPr>
        <w:t>一氧化碳浓度是反映焚烧炉内生活垃圾是否充分燃烧的重要性能指标之一，也可在一定程度上反映烟气中二</w:t>
      </w:r>
      <w:r>
        <w:rPr>
          <w:rFonts w:hint="eastAsia" w:ascii="微软雅黑" w:hAnsi="微软雅黑" w:eastAsia="仿宋" w:cs="微软雅黑"/>
        </w:rPr>
        <w:t>噁</w:t>
      </w:r>
      <w:r>
        <w:rPr>
          <w:rFonts w:hint="eastAsia" w:ascii="仿宋_GB2312" w:hAnsi="仿宋_GB2312" w:cs="仿宋_GB2312"/>
        </w:rPr>
        <w:t>英浓度的高低。随着</w:t>
      </w:r>
      <w:r>
        <w:rPr>
          <w:rFonts w:hint="eastAsia"/>
        </w:rPr>
        <w:t>焚烧炉技术水平、装备水平的提升，以及垃圾成分的稳定和质量的提高，使一氧化碳更加易于控制。考虑到生活垃圾成分存在波动性以及区域差异性，一氧化碳限值与GB 18485保持一致，不再加严。</w:t>
      </w:r>
    </w:p>
    <w:p w14:paraId="459A3B0B">
      <w:pPr>
        <w:pStyle w:val="6"/>
      </w:pPr>
      <w:r>
        <w:t xml:space="preserve">6.3.2.5 </w:t>
      </w:r>
      <w:r>
        <w:rPr>
          <w:rFonts w:hint="eastAsia"/>
        </w:rPr>
        <w:t>重金属限值的确定</w:t>
      </w:r>
    </w:p>
    <w:p w14:paraId="48D7FC8C">
      <w:pPr>
        <w:ind w:firstLine="560"/>
      </w:pPr>
      <w:r>
        <w:rPr>
          <w:rFonts w:hint="eastAsia"/>
        </w:rPr>
        <w:t>本标准规定的汞及其化合物测定均值为</w:t>
      </w:r>
      <w:r>
        <w:t>0.02 mg/m</w:t>
      </w:r>
      <w:r>
        <w:rPr>
          <w:vertAlign w:val="superscript"/>
        </w:rPr>
        <w:t>3</w:t>
      </w:r>
      <w:r>
        <w:rPr>
          <w:rFonts w:hint="eastAsia"/>
        </w:rPr>
        <w:t>，铊、镉及其化合物测定均值为</w:t>
      </w:r>
      <w:r>
        <w:t>0.03 mg/m</w:t>
      </w:r>
      <w:r>
        <w:rPr>
          <w:vertAlign w:val="superscript"/>
        </w:rPr>
        <w:t>3</w:t>
      </w:r>
      <w:r>
        <w:rPr>
          <w:rFonts w:hint="eastAsia"/>
        </w:rPr>
        <w:t>，锑、砷、铅、铬、钴、铜、锰、镍及其化合物测定均值为</w:t>
      </w:r>
      <w:r>
        <w:t>0.3 mg/m</w:t>
      </w:r>
      <w:r>
        <w:rPr>
          <w:vertAlign w:val="superscript"/>
        </w:rPr>
        <w:t>3</w:t>
      </w:r>
      <w:r>
        <w:rPr>
          <w:rFonts w:hint="eastAsia"/>
        </w:rPr>
        <w:t>。由于烟气中重金属的排放水平受颗粒物排放水平影响较大，“活性炭吸附/喷射+布袋除尘器”技术对焚烧炉烟气中重金属去除效率可达90%左右，可以起到很好的重金属去除作用。</w:t>
      </w:r>
    </w:p>
    <w:p w14:paraId="210061C0">
      <w:pPr>
        <w:ind w:firstLine="560"/>
      </w:pPr>
      <w:r>
        <w:rPr>
          <w:rFonts w:hint="eastAsia"/>
        </w:rPr>
        <w:t>现有企业重金属类排放水平已基本达到本标准规定限值。满足本标准限值的可行性技术为“活性炭吸附/喷射+布袋除尘器”。</w:t>
      </w:r>
    </w:p>
    <w:p w14:paraId="26B2C2E4">
      <w:pPr>
        <w:pStyle w:val="6"/>
      </w:pPr>
      <w:r>
        <w:t xml:space="preserve">6.3.2.6 </w:t>
      </w:r>
      <w:r>
        <w:rPr>
          <w:rFonts w:hint="eastAsia"/>
        </w:rPr>
        <w:t>二</w:t>
      </w:r>
      <w:r>
        <w:rPr>
          <w:rFonts w:hint="eastAsia" w:ascii="微软雅黑" w:hAnsi="微软雅黑" w:eastAsia="仿宋" w:cs="微软雅黑"/>
        </w:rPr>
        <w:t>噁</w:t>
      </w:r>
      <w:r>
        <w:rPr>
          <w:rFonts w:hint="eastAsia" w:ascii="仿宋_GB2312" w:hAnsi="仿宋_GB2312" w:cs="仿宋_GB2312"/>
        </w:rPr>
        <w:t>英类限值的确定</w:t>
      </w:r>
    </w:p>
    <w:p w14:paraId="32EB6AE3">
      <w:pPr>
        <w:ind w:firstLine="560"/>
      </w:pPr>
      <w:r>
        <w:rPr>
          <w:rFonts w:hint="eastAsia"/>
        </w:rPr>
        <w:t>本标准规定的二</w:t>
      </w:r>
      <w:r>
        <w:rPr>
          <w:rFonts w:hint="eastAsia" w:ascii="微软雅黑" w:hAnsi="微软雅黑" w:eastAsia="仿宋" w:cs="微软雅黑"/>
        </w:rPr>
        <w:t>噁</w:t>
      </w:r>
      <w:r>
        <w:rPr>
          <w:rFonts w:hint="eastAsia" w:ascii="仿宋_GB2312" w:hAnsi="仿宋_GB2312" w:cs="仿宋_GB2312"/>
        </w:rPr>
        <w:t>英类测定均值为</w:t>
      </w:r>
      <w:r>
        <w:rPr>
          <w:rFonts w:hint="eastAsia"/>
        </w:rPr>
        <w:t>0.1</w:t>
      </w:r>
      <w:r>
        <w:t xml:space="preserve"> </w:t>
      </w:r>
      <w:r>
        <w:rPr>
          <w:rFonts w:hint="eastAsia"/>
        </w:rPr>
        <w:t>ng</w:t>
      </w:r>
      <w:r>
        <w:t>-</w:t>
      </w:r>
      <w:r>
        <w:rPr>
          <w:rFonts w:hint="eastAsia"/>
        </w:rPr>
        <w:t>TEQ/m</w:t>
      </w:r>
      <w:r>
        <w:rPr>
          <w:rFonts w:hint="eastAsia"/>
          <w:vertAlign w:val="superscript"/>
        </w:rPr>
        <w:t>3</w:t>
      </w:r>
      <w:r>
        <w:rPr>
          <w:rFonts w:hint="eastAsia"/>
        </w:rPr>
        <w:t>，二</w:t>
      </w:r>
      <w:r>
        <w:rPr>
          <w:rFonts w:hint="eastAsia" w:ascii="微软雅黑" w:hAnsi="微软雅黑" w:eastAsia="仿宋" w:cs="微软雅黑"/>
        </w:rPr>
        <w:t>噁</w:t>
      </w:r>
      <w:r>
        <w:rPr>
          <w:rFonts w:hint="eastAsia"/>
        </w:rPr>
        <w:t xml:space="preserve">英类浓度受炉型、垃圾成分均匀性、燃烧稳定性及烟气净化措施的有效性多方面影响，具有一定波动性，因此本标准规定限值为0.1 </w:t>
      </w:r>
      <w:r>
        <w:t>ng-TEQ/m</w:t>
      </w:r>
      <w:r>
        <w:rPr>
          <w:rFonts w:hint="eastAsia"/>
          <w:vertAlign w:val="superscript"/>
        </w:rPr>
        <w:t>3</w:t>
      </w:r>
      <w:r>
        <w:rPr>
          <w:rFonts w:hint="eastAsia"/>
        </w:rPr>
        <w:t>，与GB 18485保持一致。满足本标准限值的可行性技术为“‘3T+E’+活性炭+袋式除尘器”。</w:t>
      </w:r>
    </w:p>
    <w:p w14:paraId="0C7059F0">
      <w:pPr>
        <w:pStyle w:val="6"/>
      </w:pPr>
      <w:r>
        <w:t xml:space="preserve">6.3.2.7 </w:t>
      </w:r>
      <w:r>
        <w:rPr>
          <w:rFonts w:hint="eastAsia"/>
        </w:rPr>
        <w:t>氨限值的确定</w:t>
      </w:r>
    </w:p>
    <w:p w14:paraId="4D370D00">
      <w:pPr>
        <w:ind w:firstLine="560"/>
      </w:pPr>
      <w:r>
        <w:rPr>
          <w:rFonts w:hint="eastAsia"/>
        </w:rPr>
        <w:t>燃煤电厂NO</w:t>
      </w:r>
      <w:r>
        <w:rPr>
          <w:rFonts w:hint="eastAsia"/>
          <w:vertAlign w:val="subscript"/>
        </w:rPr>
        <w:t>x</w:t>
      </w:r>
      <w:r>
        <w:rPr>
          <w:rFonts w:hint="eastAsia"/>
        </w:rPr>
        <w:t>初始浓度与生活垃圾焚烧NO</w:t>
      </w:r>
      <w:r>
        <w:rPr>
          <w:rFonts w:hint="eastAsia"/>
          <w:vertAlign w:val="subscript"/>
        </w:rPr>
        <w:t>x</w:t>
      </w:r>
      <w:r>
        <w:rPr>
          <w:rFonts w:hint="eastAsia"/>
        </w:rPr>
        <w:t>初始浓度近似，在氨逃逸控制上具有借鉴性，国家火电行业标准根据不同脱硝技术，规定氨逃逸限值为2.5~8</w:t>
      </w:r>
      <w:r>
        <w:t xml:space="preserve"> </w:t>
      </w:r>
      <w:r>
        <w:rPr>
          <w:rFonts w:hint="eastAsia"/>
        </w:rPr>
        <w:t>mg/m</w:t>
      </w:r>
      <w:r>
        <w:rPr>
          <w:rFonts w:hint="eastAsia"/>
          <w:vertAlign w:val="superscript"/>
        </w:rPr>
        <w:t>3</w:t>
      </w:r>
      <w:r>
        <w:rPr>
          <w:rFonts w:hint="eastAsia"/>
        </w:rPr>
        <w:t>；河北、天津生活垃圾标准中氨浓度限值为8</w:t>
      </w:r>
      <w:r>
        <w:t xml:space="preserve"> </w:t>
      </w:r>
      <w:r>
        <w:rPr>
          <w:rFonts w:hint="eastAsia"/>
        </w:rPr>
        <w:t>mg/m</w:t>
      </w:r>
      <w:r>
        <w:rPr>
          <w:rFonts w:hint="eastAsia"/>
          <w:vertAlign w:val="superscript"/>
        </w:rPr>
        <w:t>3</w:t>
      </w:r>
      <w:r>
        <w:rPr>
          <w:rFonts w:hint="eastAsia"/>
        </w:rPr>
        <w:t>。</w:t>
      </w:r>
    </w:p>
    <w:p w14:paraId="53FA9769">
      <w:pPr>
        <w:ind w:firstLine="560"/>
      </w:pPr>
      <w:r>
        <w:rPr>
          <w:rFonts w:hint="eastAsia"/>
        </w:rPr>
        <w:t>综上，考虑焚烧工况不稳定性以及NO</w:t>
      </w:r>
      <w:r>
        <w:rPr>
          <w:rFonts w:hint="eastAsia"/>
          <w:vertAlign w:val="subscript"/>
        </w:rPr>
        <w:t>x</w:t>
      </w:r>
      <w:r>
        <w:rPr>
          <w:rFonts w:hint="eastAsia"/>
        </w:rPr>
        <w:t>控制压力，本标准规定的氨1小时均值为8</w:t>
      </w:r>
      <w:r>
        <w:t xml:space="preserve"> </w:t>
      </w:r>
      <w:r>
        <w:rPr>
          <w:rFonts w:hint="eastAsia"/>
        </w:rPr>
        <w:t>mg/m</w:t>
      </w:r>
      <w:r>
        <w:rPr>
          <w:vertAlign w:val="superscript"/>
        </w:rPr>
        <w:t>3</w:t>
      </w:r>
      <w:r>
        <w:rPr>
          <w:rFonts w:hint="eastAsia"/>
        </w:rPr>
        <w:t>，在采用可行的NO</w:t>
      </w:r>
      <w:r>
        <w:rPr>
          <w:rFonts w:hint="eastAsia"/>
          <w:vertAlign w:val="subscript"/>
        </w:rPr>
        <w:t>x</w:t>
      </w:r>
      <w:r>
        <w:rPr>
          <w:rFonts w:hint="eastAsia"/>
        </w:rPr>
        <w:t>控制技术，并合理控制脱硝剂投入量的基础上，能够达标。</w:t>
      </w:r>
    </w:p>
    <w:p w14:paraId="4F8F6BE3">
      <w:pPr>
        <w:pStyle w:val="6"/>
      </w:pPr>
      <w:r>
        <w:t xml:space="preserve">6.3.2.8 </w:t>
      </w:r>
      <w:r>
        <w:rPr>
          <w:rFonts w:hint="eastAsia"/>
        </w:rPr>
        <w:t>非正常工况下颗粒物控制要求</w:t>
      </w:r>
    </w:p>
    <w:p w14:paraId="16136B8D">
      <w:pPr>
        <w:ind w:firstLine="560"/>
      </w:pPr>
      <w:r>
        <w:rPr>
          <w:rFonts w:hint="eastAsia"/>
        </w:rPr>
        <w:t>焚烧炉在启炉、停炉、故障或事故时间内，所获得的监测数据不作为评价是否达到本标准排放限值的依据，但此期间内烟气中颗粒物的1小时均值浓度不得大于</w:t>
      </w:r>
      <w:r>
        <w:t>150 mg/m</w:t>
      </w:r>
      <w:r>
        <w:rPr>
          <w:vertAlign w:val="superscript"/>
        </w:rPr>
        <w:t>3</w:t>
      </w:r>
      <w:r>
        <w:rPr>
          <w:rFonts w:hint="eastAsia"/>
        </w:rPr>
        <w:t>。</w:t>
      </w:r>
    </w:p>
    <w:p w14:paraId="4C2ACE03">
      <w:pPr>
        <w:ind w:firstLine="560"/>
      </w:pPr>
      <w:r>
        <w:rPr>
          <w:rFonts w:hint="eastAsia"/>
        </w:rPr>
        <w:t>GB</w:t>
      </w:r>
      <w:r>
        <w:t xml:space="preserve"> </w:t>
      </w:r>
      <w:r>
        <w:rPr>
          <w:rFonts w:hint="eastAsia"/>
        </w:rPr>
        <w:t>18485-2014的有关要求如下：</w:t>
      </w:r>
    </w:p>
    <w:p w14:paraId="212E2E2C">
      <w:pPr>
        <w:ind w:firstLine="560"/>
      </w:pPr>
      <w:r>
        <w:rPr>
          <w:rFonts w:hint="eastAsia"/>
        </w:rPr>
        <w:t>——7.1条 焚烧炉在启动时，应先将炉膛内焚烧温度升至本标准5.</w:t>
      </w:r>
      <w:r>
        <w:t>2</w:t>
      </w:r>
      <w:r>
        <w:rPr>
          <w:rFonts w:hint="eastAsia"/>
        </w:rPr>
        <w:t>条规定的温度后才能投入生活垃圾。自投入生活垃圾开始，应逐渐增加投入量直至达到额定垃圾处理量；在焚烧炉启动阶段，炉膛内焚烧温度应满足本标准表1要求，焚烧炉应在4小时内达到稳定工况。</w:t>
      </w:r>
    </w:p>
    <w:p w14:paraId="03AE02BD">
      <w:pPr>
        <w:ind w:firstLine="560"/>
      </w:pPr>
      <w:r>
        <w:rPr>
          <w:rFonts w:hint="eastAsia"/>
        </w:rPr>
        <w:t>——7.2条 焚烧炉在停炉时，自停止投入生活垃圾开始，启动垃圾助燃系统，保证剩余垃圾完全燃烧，并满足本标准表1所规定的炉膛内焚烧温度的要求。</w:t>
      </w:r>
    </w:p>
    <w:p w14:paraId="45ABBB57">
      <w:pPr>
        <w:ind w:firstLine="560"/>
      </w:pPr>
      <w:r>
        <w:rPr>
          <w:rFonts w:hint="eastAsia"/>
        </w:rPr>
        <w:t>——7.3条 焚烧炉在运行过程中发生故障，应及时检修，尽快恢复正常。如果无法修复应立即停止投加生活垃圾，按照本标准7.2条要求操作停炉。每次故障或者事故持续排放污染物时间不应超过4小时。</w:t>
      </w:r>
    </w:p>
    <w:p w14:paraId="683ED8A9">
      <w:pPr>
        <w:ind w:firstLine="560"/>
      </w:pPr>
      <w:r>
        <w:rPr>
          <w:rFonts w:hint="eastAsia"/>
        </w:rPr>
        <w:t>——7.4条 焚烧炉每年启动、停炉过程排放污染物的持续时间以及发生故障或事故排放污染物持续时间累计不应超过60小时。</w:t>
      </w:r>
    </w:p>
    <w:p w14:paraId="4E0AC65A">
      <w:pPr>
        <w:pStyle w:val="5"/>
      </w:pPr>
      <w:bookmarkStart w:id="43" w:name="_Toc183055383"/>
      <w:r>
        <w:t>6</w:t>
      </w:r>
      <w:r>
        <w:rPr>
          <w:rFonts w:hint="eastAsia"/>
        </w:rPr>
        <w:t>.3.3</w:t>
      </w:r>
      <w:r>
        <w:t xml:space="preserve"> </w:t>
      </w:r>
      <w:r>
        <w:rPr>
          <w:rFonts w:hint="eastAsia"/>
        </w:rPr>
        <w:t>排放限值执行时段的要求</w:t>
      </w:r>
      <w:bookmarkEnd w:id="43"/>
    </w:p>
    <w:p w14:paraId="0E68474F">
      <w:pPr>
        <w:ind w:firstLine="560"/>
        <w:rPr>
          <w:shd w:val="clear" w:color="auto" w:fill="FFFFFF" w:themeFill="background1"/>
        </w:rPr>
      </w:pPr>
      <w:r>
        <w:rPr>
          <w:rFonts w:hint="eastAsia"/>
        </w:rPr>
        <w:t>自本标准实施之日起，新建生活垃圾焚烧炉排放烟气中污染物浓度执行本标准规定的限值。</w:t>
      </w:r>
      <w:r>
        <w:rPr>
          <w:rFonts w:hint="eastAsia"/>
          <w:shd w:val="clear" w:color="auto" w:fill="FFFFFF" w:themeFill="background1"/>
        </w:rPr>
        <w:t>自202</w:t>
      </w:r>
      <w:r>
        <w:rPr>
          <w:shd w:val="clear" w:color="auto" w:fill="FFFFFF" w:themeFill="background1"/>
        </w:rPr>
        <w:t>8</w:t>
      </w:r>
      <w:r>
        <w:rPr>
          <w:rFonts w:hint="eastAsia"/>
          <w:shd w:val="clear" w:color="auto" w:fill="FFFFFF" w:themeFill="background1"/>
        </w:rPr>
        <w:t>年1月1日起，现有生活垃圾焚烧炉排放烟气中污染物浓度执行本标准规定的限值。后续将根据标准发布实施时间相应调整。</w:t>
      </w:r>
    </w:p>
    <w:p w14:paraId="518468A8">
      <w:pPr>
        <w:pStyle w:val="5"/>
      </w:pPr>
      <w:bookmarkStart w:id="44" w:name="_Toc183055384"/>
      <w:r>
        <w:t>6</w:t>
      </w:r>
      <w:r>
        <w:rPr>
          <w:rFonts w:hint="eastAsia"/>
        </w:rPr>
        <w:t>.3.4</w:t>
      </w:r>
      <w:r>
        <w:t xml:space="preserve"> </w:t>
      </w:r>
      <w:r>
        <w:rPr>
          <w:rFonts w:hint="eastAsia"/>
        </w:rPr>
        <w:t>其他要求</w:t>
      </w:r>
      <w:bookmarkEnd w:id="44"/>
    </w:p>
    <w:p w14:paraId="5FAFCF65">
      <w:pPr>
        <w:ind w:firstLine="560"/>
      </w:pPr>
      <w:r>
        <w:rPr>
          <w:rFonts w:hint="eastAsia"/>
        </w:rPr>
        <w:t>（1）恶臭污染控制要求</w:t>
      </w:r>
    </w:p>
    <w:p w14:paraId="76B431C6">
      <w:pPr>
        <w:ind w:firstLine="560"/>
      </w:pPr>
      <w:r>
        <w:rPr>
          <w:rFonts w:hint="eastAsia"/>
        </w:rPr>
        <w:t>生活垃圾焚烧厂恶臭污染控制应符合GB</w:t>
      </w:r>
      <w:r>
        <w:t xml:space="preserve"> </w:t>
      </w:r>
      <w:r>
        <w:rPr>
          <w:rFonts w:hint="eastAsia"/>
        </w:rPr>
        <w:t>14554、GB 18485的要求：</w:t>
      </w:r>
    </w:p>
    <w:p w14:paraId="79E68232">
      <w:pPr>
        <w:ind w:firstLine="560"/>
      </w:pPr>
      <w:r>
        <w:rPr>
          <w:rFonts w:hint="eastAsia"/>
        </w:rPr>
        <w:t>——生活垃圾的运输应采取密闭措施，避免在运输过程中发生垃圾遗撒、气味泄露和污水滴漏。</w:t>
      </w:r>
    </w:p>
    <w:p w14:paraId="1B1DAF61">
      <w:pPr>
        <w:ind w:firstLine="560"/>
      </w:pPr>
      <w:r>
        <w:rPr>
          <w:rFonts w:hint="eastAsia"/>
        </w:rPr>
        <w:t>——生活垃圾贮存设施和渗滤液收集设施应采取封闭负压措施，并保证其在运行期和停炉期均处于负压状态。这些设施内的气体应优先通入焚烧炉中进行高温处理，或收集并经除臭处理满足GB 14554要求后排放。</w:t>
      </w:r>
    </w:p>
    <w:p w14:paraId="5CDDCF6A">
      <w:pPr>
        <w:ind w:firstLine="560"/>
      </w:pPr>
      <w:r>
        <w:rPr>
          <w:rFonts w:hint="eastAsia"/>
        </w:rPr>
        <w:t>（</w:t>
      </w:r>
      <w:r>
        <w:t>2</w:t>
      </w:r>
      <w:r>
        <w:rPr>
          <w:rFonts w:hint="eastAsia"/>
        </w:rPr>
        <w:t>）焚烧厂厂界无组织排放要求</w:t>
      </w:r>
    </w:p>
    <w:p w14:paraId="446AF1AB">
      <w:pPr>
        <w:ind w:firstLine="560"/>
      </w:pPr>
      <w:r>
        <w:rPr>
          <w:rFonts w:hint="eastAsia"/>
        </w:rPr>
        <w:t>根据《排污许可证申请于核发技术规范 生活垃圾焚烧》(HJ 1039-2019)相关要求，生活垃圾焚烧厂厂界无组织颗粒物排放监测点浓度限值执行GB 16297的规定限值，臭气浓度、硫化氢、氨排放监测点浓度限值执行GB 14554的规定限值。</w:t>
      </w:r>
    </w:p>
    <w:p w14:paraId="55C616FE">
      <w:pPr>
        <w:pStyle w:val="5"/>
      </w:pPr>
      <w:bookmarkStart w:id="45" w:name="_Toc183055385"/>
      <w:r>
        <w:t>6</w:t>
      </w:r>
      <w:r>
        <w:rPr>
          <w:rFonts w:hint="eastAsia"/>
        </w:rPr>
        <w:t>.3</w:t>
      </w:r>
      <w:r>
        <w:t>.5</w:t>
      </w:r>
      <w:r>
        <w:rPr>
          <w:rFonts w:hint="eastAsia"/>
        </w:rPr>
        <w:t xml:space="preserve"> 监测要求</w:t>
      </w:r>
      <w:bookmarkEnd w:id="45"/>
    </w:p>
    <w:p w14:paraId="2B6D015D">
      <w:pPr>
        <w:ind w:firstLine="560"/>
      </w:pPr>
      <w:r>
        <w:rPr>
          <w:rFonts w:hint="eastAsia"/>
        </w:rPr>
        <w:t>（1）生活垃圾焚烧厂应按照有关法律和《环境监测管理办法》（总局令第39号）等规定，建立企业监测制度，制定监测方案，并向当地生态环境主管部门和行业行政主管部门备案。对污染物排放状况及其对周边环境质量的影响开展自行监测，保存原始监测记录，并公布监测结果。自行监测方案的制定、监测质量保证和质量控制等应符合HJ 819和HJ 1039等相关标准的要求。</w:t>
      </w:r>
    </w:p>
    <w:p w14:paraId="0FDA26A1">
      <w:pPr>
        <w:ind w:firstLine="560"/>
      </w:pPr>
      <w:r>
        <w:rPr>
          <w:rFonts w:hint="eastAsia"/>
        </w:rPr>
        <w:t>（</w:t>
      </w:r>
      <w:r>
        <w:t>2</w:t>
      </w:r>
      <w:r>
        <w:rPr>
          <w:rFonts w:hint="eastAsia"/>
        </w:rPr>
        <w:t>）生活垃圾焚烧厂应按照环境监测管理规定和技术规范的要求，设计、建设、维护永久采样口、采样测试平台和排污口标志。</w:t>
      </w:r>
    </w:p>
    <w:p w14:paraId="3F0899CC">
      <w:pPr>
        <w:ind w:firstLine="560"/>
      </w:pPr>
      <w:r>
        <w:rPr>
          <w:rFonts w:hint="eastAsia"/>
        </w:rPr>
        <w:t>（</w:t>
      </w:r>
      <w:r>
        <w:t>3</w:t>
      </w:r>
      <w:r>
        <w:rPr>
          <w:rFonts w:hint="eastAsia"/>
        </w:rPr>
        <w:t>）对生活垃圾焚烧厂排放废气的采样，应根据监测污染物的种类，在规定的污染物排放监控位置进行。烟气中二</w:t>
      </w:r>
      <w:r>
        <w:rPr>
          <w:rFonts w:hint="eastAsia" w:ascii="微软雅黑" w:hAnsi="微软雅黑" w:eastAsia="微软雅黑" w:cs="微软雅黑"/>
        </w:rPr>
        <w:t>噁</w:t>
      </w:r>
      <w:r>
        <w:rPr>
          <w:rFonts w:hint="eastAsia" w:ascii="仿宋_GB2312" w:hAnsi="仿宋_GB2312" w:cs="仿宋_GB2312"/>
        </w:rPr>
        <w:t>英类监测的采样按</w:t>
      </w:r>
      <w:r>
        <w:rPr>
          <w:rFonts w:hint="eastAsia"/>
        </w:rPr>
        <w:t>HJ 77.2、HJ 916的有关规定执行；其他污染物监测的采样按GB/T 16157、HJ/T 397和HJ 75等相关规定执行。</w:t>
      </w:r>
    </w:p>
    <w:p w14:paraId="48010080">
      <w:pPr>
        <w:ind w:firstLine="560"/>
      </w:pPr>
      <w:r>
        <w:rPr>
          <w:rFonts w:hint="eastAsia"/>
        </w:rPr>
        <w:t>（</w:t>
      </w:r>
      <w:r>
        <w:t>4</w:t>
      </w:r>
      <w:r>
        <w:rPr>
          <w:rFonts w:hint="eastAsia"/>
        </w:rPr>
        <w:t>）生活垃圾焚烧厂对烟气中氨、重金属类污染物的监测应当每月至少开展1次；对焚烧炉渣热灼减率的监测应每周至少开展1次；对烟气中二</w:t>
      </w:r>
      <w:r>
        <w:rPr>
          <w:rFonts w:hint="eastAsia" w:ascii="微软雅黑" w:hAnsi="微软雅黑" w:eastAsia="微软雅黑" w:cs="微软雅黑"/>
        </w:rPr>
        <w:t>噁</w:t>
      </w:r>
      <w:r>
        <w:rPr>
          <w:rFonts w:hint="eastAsia" w:ascii="仿宋_GB2312" w:hAnsi="仿宋_GB2312" w:cs="仿宋_GB2312"/>
        </w:rPr>
        <w:t>英类的监测应当每年至少开展</w:t>
      </w:r>
      <w:r>
        <w:rPr>
          <w:rFonts w:hint="eastAsia"/>
        </w:rPr>
        <w:t>2次；厂界无组织废气中颗粒物监测每季度至少开展1次。对其他大气污染物排放情况监测的频次、采样时间等要求，按有关环境监测管理规定和技术规范的要求执行。</w:t>
      </w:r>
    </w:p>
    <w:p w14:paraId="697CFCB9">
      <w:pPr>
        <w:ind w:firstLine="560"/>
      </w:pPr>
      <w:r>
        <w:rPr>
          <w:rFonts w:hint="eastAsia"/>
        </w:rPr>
        <w:t>（</w:t>
      </w:r>
      <w:r>
        <w:t>5</w:t>
      </w:r>
      <w:r>
        <w:rPr>
          <w:rFonts w:hint="eastAsia"/>
        </w:rPr>
        <w:t>）生活垃圾焚烧厂应设置焚烧炉运行性能指标在线监测装置，监测结果应采用电子显示板进行公示并与当地生态环境主管部门和行业行政主管部门监控中心联网。焚烧炉运行性能指标在线监测指标应至少包括烟气中一氧化碳浓度、炉膛内焚烧温度和氧含量。</w:t>
      </w:r>
    </w:p>
    <w:p w14:paraId="0D555F66">
      <w:pPr>
        <w:ind w:firstLine="560"/>
      </w:pPr>
      <w:r>
        <w:rPr>
          <w:rFonts w:hint="eastAsia"/>
        </w:rPr>
        <w:t>（6）生活垃圾焚烧厂自动监控设备的安装、运行管理、定期校对应按《污染源自动监控管理办法》和HJ 75等规定执行。在线监测结果应采用电子显示板进行动态公示并与当地生态环境主管部门和行业行政主管部门监控中心联网。烟气在线监测指标至少包括颗粒物、氮氧化物、二氧化硫、一氧化碳、氯化氢等</w:t>
      </w:r>
    </w:p>
    <w:p w14:paraId="7AF83752">
      <w:pPr>
        <w:ind w:firstLine="560"/>
      </w:pPr>
      <w:r>
        <w:rPr>
          <w:rFonts w:hint="eastAsia"/>
        </w:rPr>
        <w:t>（7）生活垃圾焚烧炉大气污染物浓度监测时的污染物浓度测定方法采用表</w:t>
      </w:r>
      <w:r>
        <w:t>6.3-1</w:t>
      </w:r>
      <w:r>
        <w:rPr>
          <w:rFonts w:hint="eastAsia"/>
        </w:rPr>
        <w:t>所列的方法标准。本标准实施后国家发布的污染物监测方法标准，如适用性满足要求，同样适用于本标准相应污染物的测定。</w:t>
      </w:r>
    </w:p>
    <w:p w14:paraId="1F6F3722">
      <w:pPr>
        <w:pStyle w:val="13"/>
        <w:spacing w:before="156" w:beforeLines="50" w:after="156" w:afterLines="50"/>
      </w:pPr>
      <w:r>
        <w:t>6.3-1</w:t>
      </w:r>
      <w:r>
        <w:rPr>
          <w:rFonts w:hint="eastAsia"/>
        </w:rPr>
        <w:t xml:space="preserve"> 污染物浓度测定方法</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701"/>
        <w:gridCol w:w="4394"/>
        <w:gridCol w:w="1497"/>
      </w:tblGrid>
      <w:tr w14:paraId="42DB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4" w:type="dxa"/>
            <w:vAlign w:val="center"/>
          </w:tcPr>
          <w:p w14:paraId="742982F3">
            <w:pPr>
              <w:pStyle w:val="35"/>
              <w:widowControl w:val="0"/>
              <w:overflowPunct w:val="0"/>
              <w:topLinePunct/>
              <w:snapToGrid w:val="0"/>
              <w:ind w:firstLine="0" w:firstLineChars="0"/>
              <w:jc w:val="center"/>
              <w:rPr>
                <w:rFonts w:ascii="Times New Roman" w:eastAsia="仿宋_GB2312"/>
                <w:b/>
                <w:bCs/>
                <w:sz w:val="24"/>
                <w:szCs w:val="24"/>
              </w:rPr>
            </w:pPr>
            <w:bookmarkStart w:id="46" w:name="_Hlk183002669"/>
            <w:r>
              <w:rPr>
                <w:rFonts w:ascii="Times New Roman" w:eastAsia="仿宋_GB2312"/>
                <w:sz w:val="24"/>
                <w:szCs w:val="24"/>
              </w:rPr>
              <w:t>序号</w:t>
            </w:r>
          </w:p>
        </w:tc>
        <w:tc>
          <w:tcPr>
            <w:tcW w:w="1701" w:type="dxa"/>
            <w:vAlign w:val="center"/>
          </w:tcPr>
          <w:p w14:paraId="779192DE">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污染物项目</w:t>
            </w:r>
          </w:p>
        </w:tc>
        <w:tc>
          <w:tcPr>
            <w:tcW w:w="4394" w:type="dxa"/>
            <w:vAlign w:val="center"/>
          </w:tcPr>
          <w:p w14:paraId="26BC52C0">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方法标准名称</w:t>
            </w:r>
          </w:p>
        </w:tc>
        <w:tc>
          <w:tcPr>
            <w:tcW w:w="1497" w:type="dxa"/>
            <w:vAlign w:val="center"/>
          </w:tcPr>
          <w:p w14:paraId="21BF4C3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标准编号</w:t>
            </w:r>
          </w:p>
        </w:tc>
      </w:tr>
      <w:tr w14:paraId="34FB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Align w:val="center"/>
          </w:tcPr>
          <w:p w14:paraId="04E9CA4C">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1</w:t>
            </w:r>
          </w:p>
        </w:tc>
        <w:tc>
          <w:tcPr>
            <w:tcW w:w="1701" w:type="dxa"/>
            <w:vAlign w:val="center"/>
          </w:tcPr>
          <w:p w14:paraId="18027411">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颗粒物</w:t>
            </w:r>
          </w:p>
        </w:tc>
        <w:tc>
          <w:tcPr>
            <w:tcW w:w="4394" w:type="dxa"/>
            <w:vAlign w:val="center"/>
          </w:tcPr>
          <w:p w14:paraId="312B7B55">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固定污染源排气中颗粒物测定与气态污染物采样方法</w:t>
            </w:r>
          </w:p>
        </w:tc>
        <w:tc>
          <w:tcPr>
            <w:tcW w:w="1497" w:type="dxa"/>
            <w:vAlign w:val="center"/>
          </w:tcPr>
          <w:p w14:paraId="6C27267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GB/T 16157</w:t>
            </w:r>
          </w:p>
        </w:tc>
      </w:tr>
      <w:tr w14:paraId="06BA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restart"/>
            <w:vAlign w:val="center"/>
          </w:tcPr>
          <w:p w14:paraId="3AB8A603">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2</w:t>
            </w:r>
          </w:p>
        </w:tc>
        <w:tc>
          <w:tcPr>
            <w:tcW w:w="1701" w:type="dxa"/>
            <w:vMerge w:val="restart"/>
            <w:vAlign w:val="center"/>
          </w:tcPr>
          <w:p w14:paraId="58C59383">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SO</w:t>
            </w:r>
            <w:r>
              <w:rPr>
                <w:rFonts w:ascii="Times New Roman" w:eastAsia="仿宋_GB2312"/>
                <w:sz w:val="24"/>
                <w:szCs w:val="24"/>
                <w:vertAlign w:val="subscript"/>
              </w:rPr>
              <w:t>2</w:t>
            </w:r>
          </w:p>
        </w:tc>
        <w:tc>
          <w:tcPr>
            <w:tcW w:w="4394" w:type="dxa"/>
            <w:vAlign w:val="center"/>
          </w:tcPr>
          <w:p w14:paraId="2EB8DAF0">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固定污染源排气中二氧化硫的测定 碘量法</w:t>
            </w:r>
          </w:p>
        </w:tc>
        <w:tc>
          <w:tcPr>
            <w:tcW w:w="1497" w:type="dxa"/>
            <w:vAlign w:val="center"/>
          </w:tcPr>
          <w:p w14:paraId="04B3F492">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HJ/T 56</w:t>
            </w:r>
          </w:p>
        </w:tc>
      </w:tr>
      <w:tr w14:paraId="3FD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continue"/>
            <w:vAlign w:val="center"/>
          </w:tcPr>
          <w:p w14:paraId="2F8A4379">
            <w:pPr>
              <w:pStyle w:val="35"/>
              <w:widowControl w:val="0"/>
              <w:overflowPunct w:val="0"/>
              <w:topLinePunct/>
              <w:snapToGrid w:val="0"/>
              <w:ind w:firstLine="0" w:firstLineChars="0"/>
              <w:jc w:val="center"/>
              <w:rPr>
                <w:rFonts w:ascii="Times New Roman" w:eastAsia="仿宋_GB2312"/>
                <w:b/>
                <w:bCs/>
                <w:sz w:val="24"/>
                <w:szCs w:val="24"/>
              </w:rPr>
            </w:pPr>
          </w:p>
        </w:tc>
        <w:tc>
          <w:tcPr>
            <w:tcW w:w="1701" w:type="dxa"/>
            <w:vMerge w:val="continue"/>
            <w:vAlign w:val="center"/>
          </w:tcPr>
          <w:p w14:paraId="664B4B9A">
            <w:pPr>
              <w:pStyle w:val="35"/>
              <w:widowControl w:val="0"/>
              <w:overflowPunct w:val="0"/>
              <w:topLinePunct/>
              <w:snapToGrid w:val="0"/>
              <w:ind w:firstLine="0" w:firstLineChars="0"/>
              <w:jc w:val="center"/>
              <w:rPr>
                <w:rFonts w:ascii="Times New Roman" w:eastAsia="仿宋_GB2312"/>
                <w:b/>
                <w:bCs/>
                <w:sz w:val="24"/>
                <w:szCs w:val="24"/>
              </w:rPr>
            </w:pPr>
          </w:p>
        </w:tc>
        <w:tc>
          <w:tcPr>
            <w:tcW w:w="4394" w:type="dxa"/>
            <w:vAlign w:val="center"/>
          </w:tcPr>
          <w:p w14:paraId="71A03A32">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固定污染源排气 二氧化硫的测定 定电位电解法</w:t>
            </w:r>
          </w:p>
        </w:tc>
        <w:tc>
          <w:tcPr>
            <w:tcW w:w="1497" w:type="dxa"/>
            <w:vAlign w:val="center"/>
          </w:tcPr>
          <w:p w14:paraId="2AE5758B">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HJ/T 57</w:t>
            </w:r>
          </w:p>
        </w:tc>
      </w:tr>
      <w:tr w14:paraId="73C2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continue"/>
            <w:vAlign w:val="center"/>
          </w:tcPr>
          <w:p w14:paraId="555517B1">
            <w:pPr>
              <w:pStyle w:val="35"/>
              <w:widowControl w:val="0"/>
              <w:overflowPunct w:val="0"/>
              <w:topLinePunct/>
              <w:snapToGrid w:val="0"/>
              <w:ind w:firstLine="0" w:firstLineChars="0"/>
              <w:jc w:val="center"/>
              <w:rPr>
                <w:rFonts w:ascii="Times New Roman" w:eastAsia="仿宋_GB2312"/>
                <w:b/>
                <w:bCs/>
                <w:sz w:val="24"/>
                <w:szCs w:val="24"/>
              </w:rPr>
            </w:pPr>
          </w:p>
        </w:tc>
        <w:tc>
          <w:tcPr>
            <w:tcW w:w="1701" w:type="dxa"/>
            <w:vMerge w:val="continue"/>
            <w:vAlign w:val="center"/>
          </w:tcPr>
          <w:p w14:paraId="3C7ABEBD">
            <w:pPr>
              <w:pStyle w:val="35"/>
              <w:widowControl w:val="0"/>
              <w:overflowPunct w:val="0"/>
              <w:topLinePunct/>
              <w:snapToGrid w:val="0"/>
              <w:ind w:firstLine="0" w:firstLineChars="0"/>
              <w:jc w:val="center"/>
              <w:rPr>
                <w:rFonts w:ascii="Times New Roman" w:eastAsia="仿宋_GB2312"/>
                <w:b/>
                <w:bCs/>
                <w:sz w:val="24"/>
                <w:szCs w:val="24"/>
              </w:rPr>
            </w:pPr>
          </w:p>
        </w:tc>
        <w:tc>
          <w:tcPr>
            <w:tcW w:w="4394" w:type="dxa"/>
            <w:vAlign w:val="center"/>
          </w:tcPr>
          <w:p w14:paraId="4BF41F8B">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固定污染源废气 二氧化硫的测定 非分散红外吸收法</w:t>
            </w:r>
          </w:p>
        </w:tc>
        <w:tc>
          <w:tcPr>
            <w:tcW w:w="1497" w:type="dxa"/>
            <w:vAlign w:val="center"/>
          </w:tcPr>
          <w:p w14:paraId="6F6AEAE4">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 629</w:t>
            </w:r>
          </w:p>
        </w:tc>
      </w:tr>
      <w:tr w14:paraId="73A2A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restart"/>
            <w:vAlign w:val="center"/>
          </w:tcPr>
          <w:p w14:paraId="767AF4CC">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3</w:t>
            </w:r>
          </w:p>
        </w:tc>
        <w:tc>
          <w:tcPr>
            <w:tcW w:w="1701" w:type="dxa"/>
            <w:vMerge w:val="restart"/>
            <w:vAlign w:val="center"/>
          </w:tcPr>
          <w:p w14:paraId="660E30EA">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NO</w:t>
            </w:r>
            <w:r>
              <w:rPr>
                <w:rFonts w:ascii="Times New Roman" w:eastAsia="仿宋_GB2312"/>
                <w:sz w:val="24"/>
                <w:szCs w:val="24"/>
                <w:vertAlign w:val="subscript"/>
              </w:rPr>
              <w:t>x</w:t>
            </w:r>
          </w:p>
        </w:tc>
        <w:tc>
          <w:tcPr>
            <w:tcW w:w="4394" w:type="dxa"/>
            <w:vAlign w:val="center"/>
          </w:tcPr>
          <w:p w14:paraId="4977761F">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固定污染源排气中氮氧化物的测定 紫外分光光度法</w:t>
            </w:r>
          </w:p>
        </w:tc>
        <w:tc>
          <w:tcPr>
            <w:tcW w:w="1497" w:type="dxa"/>
            <w:vAlign w:val="center"/>
          </w:tcPr>
          <w:p w14:paraId="06FB596F">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HJ/T 42</w:t>
            </w:r>
          </w:p>
        </w:tc>
      </w:tr>
      <w:tr w14:paraId="1D8D7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Merge w:val="continue"/>
            <w:vAlign w:val="center"/>
          </w:tcPr>
          <w:p w14:paraId="41D893A5">
            <w:pPr>
              <w:pStyle w:val="35"/>
              <w:widowControl w:val="0"/>
              <w:overflowPunct w:val="0"/>
              <w:topLinePunct/>
              <w:snapToGrid w:val="0"/>
              <w:ind w:firstLine="0" w:firstLineChars="0"/>
              <w:jc w:val="center"/>
              <w:rPr>
                <w:rFonts w:ascii="Times New Roman" w:eastAsia="仿宋_GB2312"/>
                <w:b/>
                <w:bCs/>
                <w:sz w:val="24"/>
                <w:szCs w:val="24"/>
              </w:rPr>
            </w:pPr>
          </w:p>
        </w:tc>
        <w:tc>
          <w:tcPr>
            <w:tcW w:w="1701" w:type="dxa"/>
            <w:vMerge w:val="continue"/>
            <w:vAlign w:val="center"/>
          </w:tcPr>
          <w:p w14:paraId="2CA5032D">
            <w:pPr>
              <w:pStyle w:val="35"/>
              <w:widowControl w:val="0"/>
              <w:overflowPunct w:val="0"/>
              <w:topLinePunct/>
              <w:snapToGrid w:val="0"/>
              <w:ind w:firstLine="0" w:firstLineChars="0"/>
              <w:jc w:val="center"/>
              <w:rPr>
                <w:rFonts w:ascii="Times New Roman" w:eastAsia="仿宋_GB2312"/>
                <w:b/>
                <w:bCs/>
                <w:sz w:val="24"/>
                <w:szCs w:val="24"/>
              </w:rPr>
            </w:pPr>
          </w:p>
        </w:tc>
        <w:tc>
          <w:tcPr>
            <w:tcW w:w="4394" w:type="dxa"/>
            <w:vAlign w:val="center"/>
          </w:tcPr>
          <w:p w14:paraId="51778DD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固定污染源排气中氮氧化物的测定 盐酸萘乙二胺分光光度法</w:t>
            </w:r>
          </w:p>
        </w:tc>
        <w:tc>
          <w:tcPr>
            <w:tcW w:w="1497" w:type="dxa"/>
            <w:vAlign w:val="center"/>
          </w:tcPr>
          <w:p w14:paraId="72896FA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HJ/T 43</w:t>
            </w:r>
          </w:p>
        </w:tc>
      </w:tr>
      <w:tr w14:paraId="4591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704" w:type="dxa"/>
            <w:vMerge w:val="continue"/>
            <w:vAlign w:val="center"/>
          </w:tcPr>
          <w:p w14:paraId="5749BD4E">
            <w:pPr>
              <w:pStyle w:val="35"/>
              <w:widowControl w:val="0"/>
              <w:overflowPunct w:val="0"/>
              <w:topLinePunct/>
              <w:snapToGrid w:val="0"/>
              <w:ind w:firstLine="0" w:firstLineChars="0"/>
              <w:jc w:val="center"/>
              <w:rPr>
                <w:rFonts w:ascii="Times New Roman" w:eastAsia="仿宋_GB2312"/>
                <w:b/>
                <w:bCs/>
                <w:sz w:val="24"/>
                <w:szCs w:val="24"/>
              </w:rPr>
            </w:pPr>
          </w:p>
        </w:tc>
        <w:tc>
          <w:tcPr>
            <w:tcW w:w="1701" w:type="dxa"/>
            <w:vMerge w:val="continue"/>
            <w:vAlign w:val="center"/>
          </w:tcPr>
          <w:p w14:paraId="42F045AF">
            <w:pPr>
              <w:pStyle w:val="35"/>
              <w:widowControl w:val="0"/>
              <w:overflowPunct w:val="0"/>
              <w:topLinePunct/>
              <w:snapToGrid w:val="0"/>
              <w:ind w:firstLine="0" w:firstLineChars="0"/>
              <w:jc w:val="center"/>
              <w:rPr>
                <w:rFonts w:ascii="Times New Roman" w:eastAsia="仿宋_GB2312"/>
                <w:b/>
                <w:bCs/>
                <w:sz w:val="24"/>
                <w:szCs w:val="24"/>
              </w:rPr>
            </w:pPr>
          </w:p>
        </w:tc>
        <w:tc>
          <w:tcPr>
            <w:tcW w:w="4394" w:type="dxa"/>
            <w:vAlign w:val="center"/>
          </w:tcPr>
          <w:p w14:paraId="16AE1714">
            <w:pPr>
              <w:pStyle w:val="35"/>
              <w:widowControl w:val="0"/>
              <w:overflowPunct w:val="0"/>
              <w:topLinePunct/>
              <w:snapToGrid w:val="0"/>
              <w:ind w:firstLine="0" w:firstLineChars="0"/>
              <w:jc w:val="center"/>
              <w:rPr>
                <w:rFonts w:ascii="Times New Roman" w:eastAsia="仿宋_GB2312"/>
                <w:sz w:val="24"/>
                <w:szCs w:val="24"/>
              </w:rPr>
            </w:pPr>
            <w:r>
              <w:rPr>
                <w:rFonts w:ascii="Times New Roman" w:eastAsia="仿宋_GB2312"/>
                <w:sz w:val="24"/>
                <w:szCs w:val="24"/>
              </w:rPr>
              <w:t>固定污染源废气 氮氧化物的测定 非分散红外吸收法</w:t>
            </w:r>
          </w:p>
        </w:tc>
        <w:tc>
          <w:tcPr>
            <w:tcW w:w="1497" w:type="dxa"/>
            <w:vAlign w:val="center"/>
          </w:tcPr>
          <w:p w14:paraId="2FB81F33">
            <w:pPr>
              <w:pStyle w:val="35"/>
              <w:widowControl w:val="0"/>
              <w:overflowPunct w:val="0"/>
              <w:topLinePunct/>
              <w:snapToGrid w:val="0"/>
              <w:ind w:firstLine="0" w:firstLineChars="0"/>
              <w:jc w:val="center"/>
              <w:rPr>
                <w:rFonts w:ascii="Times New Roman" w:eastAsia="仿宋_GB2312"/>
                <w:sz w:val="24"/>
                <w:szCs w:val="24"/>
              </w:rPr>
            </w:pPr>
            <w:r>
              <w:rPr>
                <w:rFonts w:ascii="Times New Roman" w:eastAsia="仿宋_GB2312"/>
                <w:sz w:val="24"/>
                <w:szCs w:val="24"/>
              </w:rPr>
              <w:t>HJ 692</w:t>
            </w:r>
          </w:p>
        </w:tc>
      </w:tr>
      <w:tr w14:paraId="718F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continue"/>
            <w:vAlign w:val="center"/>
          </w:tcPr>
          <w:p w14:paraId="0454FD95">
            <w:pPr>
              <w:pStyle w:val="35"/>
              <w:widowControl w:val="0"/>
              <w:overflowPunct w:val="0"/>
              <w:topLinePunct/>
              <w:snapToGrid w:val="0"/>
              <w:ind w:firstLine="0" w:firstLineChars="0"/>
              <w:jc w:val="center"/>
              <w:rPr>
                <w:rFonts w:ascii="Times New Roman" w:eastAsia="仿宋_GB2312"/>
                <w:b/>
                <w:bCs/>
                <w:sz w:val="24"/>
                <w:szCs w:val="24"/>
              </w:rPr>
            </w:pPr>
          </w:p>
        </w:tc>
        <w:tc>
          <w:tcPr>
            <w:tcW w:w="1701" w:type="dxa"/>
            <w:vMerge w:val="continue"/>
            <w:vAlign w:val="center"/>
          </w:tcPr>
          <w:p w14:paraId="4B90EF8E">
            <w:pPr>
              <w:pStyle w:val="35"/>
              <w:widowControl w:val="0"/>
              <w:overflowPunct w:val="0"/>
              <w:topLinePunct/>
              <w:snapToGrid w:val="0"/>
              <w:ind w:firstLine="0" w:firstLineChars="0"/>
              <w:jc w:val="center"/>
              <w:rPr>
                <w:rFonts w:ascii="Times New Roman" w:eastAsia="仿宋_GB2312"/>
                <w:b/>
                <w:bCs/>
                <w:sz w:val="24"/>
                <w:szCs w:val="24"/>
              </w:rPr>
            </w:pPr>
          </w:p>
        </w:tc>
        <w:tc>
          <w:tcPr>
            <w:tcW w:w="4394" w:type="dxa"/>
            <w:vAlign w:val="center"/>
          </w:tcPr>
          <w:p w14:paraId="1242FDCB">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固定污染源废气氮氧化物的测定 定电位电解法</w:t>
            </w:r>
          </w:p>
        </w:tc>
        <w:tc>
          <w:tcPr>
            <w:tcW w:w="1497" w:type="dxa"/>
            <w:vAlign w:val="center"/>
          </w:tcPr>
          <w:p w14:paraId="2F0F1B1B">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 693</w:t>
            </w:r>
          </w:p>
        </w:tc>
      </w:tr>
      <w:tr w14:paraId="584F9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restart"/>
            <w:vAlign w:val="center"/>
          </w:tcPr>
          <w:p w14:paraId="2E8B5314">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4</w:t>
            </w:r>
          </w:p>
        </w:tc>
        <w:tc>
          <w:tcPr>
            <w:tcW w:w="1701" w:type="dxa"/>
            <w:vMerge w:val="restart"/>
            <w:vAlign w:val="center"/>
          </w:tcPr>
          <w:p w14:paraId="31FEDFE3">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HCl</w:t>
            </w:r>
          </w:p>
        </w:tc>
        <w:tc>
          <w:tcPr>
            <w:tcW w:w="4394" w:type="dxa"/>
            <w:vAlign w:val="center"/>
          </w:tcPr>
          <w:p w14:paraId="19DFD51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固定污染源排气中氯化氢的测定 硫氰酸汞分光光度法</w:t>
            </w:r>
          </w:p>
        </w:tc>
        <w:tc>
          <w:tcPr>
            <w:tcW w:w="1497" w:type="dxa"/>
            <w:vAlign w:val="center"/>
          </w:tcPr>
          <w:p w14:paraId="3AFEB417">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HJ/T 27</w:t>
            </w:r>
          </w:p>
        </w:tc>
      </w:tr>
      <w:tr w14:paraId="6B91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continue"/>
            <w:vAlign w:val="center"/>
          </w:tcPr>
          <w:p w14:paraId="01448114">
            <w:pPr>
              <w:pStyle w:val="35"/>
              <w:widowControl w:val="0"/>
              <w:overflowPunct w:val="0"/>
              <w:topLinePunct/>
              <w:snapToGrid w:val="0"/>
              <w:ind w:firstLine="0" w:firstLineChars="0"/>
              <w:jc w:val="center"/>
              <w:rPr>
                <w:rFonts w:ascii="Times New Roman" w:eastAsia="仿宋_GB2312"/>
                <w:b/>
                <w:bCs/>
                <w:sz w:val="24"/>
                <w:szCs w:val="24"/>
              </w:rPr>
            </w:pPr>
          </w:p>
        </w:tc>
        <w:tc>
          <w:tcPr>
            <w:tcW w:w="1701" w:type="dxa"/>
            <w:vMerge w:val="continue"/>
            <w:vAlign w:val="center"/>
          </w:tcPr>
          <w:p w14:paraId="3C18803B">
            <w:pPr>
              <w:pStyle w:val="35"/>
              <w:widowControl w:val="0"/>
              <w:overflowPunct w:val="0"/>
              <w:topLinePunct/>
              <w:snapToGrid w:val="0"/>
              <w:ind w:firstLine="0" w:firstLineChars="0"/>
              <w:jc w:val="center"/>
              <w:rPr>
                <w:rFonts w:ascii="Times New Roman" w:eastAsia="仿宋_GB2312"/>
                <w:b/>
                <w:bCs/>
                <w:sz w:val="24"/>
                <w:szCs w:val="24"/>
              </w:rPr>
            </w:pPr>
          </w:p>
        </w:tc>
        <w:tc>
          <w:tcPr>
            <w:tcW w:w="4394" w:type="dxa"/>
            <w:vAlign w:val="center"/>
          </w:tcPr>
          <w:p w14:paraId="12FC387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固定污染源排气 氯化氢的测定 硝酸银容量法</w:t>
            </w:r>
          </w:p>
        </w:tc>
        <w:tc>
          <w:tcPr>
            <w:tcW w:w="1497" w:type="dxa"/>
            <w:vAlign w:val="center"/>
          </w:tcPr>
          <w:p w14:paraId="710F1B26">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 548</w:t>
            </w:r>
          </w:p>
        </w:tc>
      </w:tr>
      <w:tr w14:paraId="5AAA8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dxa"/>
            <w:vMerge w:val="continue"/>
            <w:vAlign w:val="center"/>
          </w:tcPr>
          <w:p w14:paraId="44FE3EDB">
            <w:pPr>
              <w:pStyle w:val="35"/>
              <w:widowControl w:val="0"/>
              <w:overflowPunct w:val="0"/>
              <w:topLinePunct/>
              <w:snapToGrid w:val="0"/>
              <w:ind w:firstLine="0" w:firstLineChars="0"/>
              <w:jc w:val="center"/>
              <w:rPr>
                <w:rFonts w:ascii="Times New Roman" w:eastAsia="仿宋_GB2312"/>
                <w:b/>
                <w:bCs/>
                <w:sz w:val="24"/>
                <w:szCs w:val="24"/>
              </w:rPr>
            </w:pPr>
          </w:p>
        </w:tc>
        <w:tc>
          <w:tcPr>
            <w:tcW w:w="1701" w:type="dxa"/>
            <w:vMerge w:val="continue"/>
            <w:vAlign w:val="center"/>
          </w:tcPr>
          <w:p w14:paraId="68BE251B">
            <w:pPr>
              <w:pStyle w:val="35"/>
              <w:widowControl w:val="0"/>
              <w:overflowPunct w:val="0"/>
              <w:topLinePunct/>
              <w:snapToGrid w:val="0"/>
              <w:ind w:firstLine="0" w:firstLineChars="0"/>
              <w:jc w:val="center"/>
              <w:rPr>
                <w:rFonts w:ascii="Times New Roman" w:eastAsia="仿宋_GB2312"/>
                <w:b/>
                <w:bCs/>
                <w:sz w:val="24"/>
                <w:szCs w:val="24"/>
              </w:rPr>
            </w:pPr>
          </w:p>
        </w:tc>
        <w:tc>
          <w:tcPr>
            <w:tcW w:w="4394" w:type="dxa"/>
            <w:vAlign w:val="center"/>
          </w:tcPr>
          <w:p w14:paraId="61A27CEF">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环境空气和废气 氯化氢的测定 离子色谱法</w:t>
            </w:r>
          </w:p>
        </w:tc>
        <w:tc>
          <w:tcPr>
            <w:tcW w:w="1497" w:type="dxa"/>
            <w:vAlign w:val="center"/>
          </w:tcPr>
          <w:p w14:paraId="319FCDE4">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 549</w:t>
            </w:r>
          </w:p>
        </w:tc>
      </w:tr>
      <w:tr w14:paraId="3248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Align w:val="center"/>
          </w:tcPr>
          <w:p w14:paraId="5A30B474">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5</w:t>
            </w:r>
          </w:p>
        </w:tc>
        <w:tc>
          <w:tcPr>
            <w:tcW w:w="1701" w:type="dxa"/>
            <w:vAlign w:val="center"/>
          </w:tcPr>
          <w:p w14:paraId="1987BBC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CO</w:t>
            </w:r>
          </w:p>
        </w:tc>
        <w:tc>
          <w:tcPr>
            <w:tcW w:w="4394" w:type="dxa"/>
            <w:vAlign w:val="center"/>
          </w:tcPr>
          <w:p w14:paraId="073BA1E1">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固定污染源排气中一氧化碳的测定 非色散红外吸收法</w:t>
            </w:r>
          </w:p>
        </w:tc>
        <w:tc>
          <w:tcPr>
            <w:tcW w:w="1497" w:type="dxa"/>
            <w:vAlign w:val="center"/>
          </w:tcPr>
          <w:p w14:paraId="15BDED63">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HJ/T 44</w:t>
            </w:r>
          </w:p>
        </w:tc>
      </w:tr>
      <w:tr w14:paraId="3D36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Align w:val="center"/>
          </w:tcPr>
          <w:p w14:paraId="29640584">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6</w:t>
            </w:r>
          </w:p>
        </w:tc>
        <w:tc>
          <w:tcPr>
            <w:tcW w:w="1701" w:type="dxa"/>
            <w:vAlign w:val="center"/>
          </w:tcPr>
          <w:p w14:paraId="7D345AA9">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汞</w:t>
            </w:r>
          </w:p>
        </w:tc>
        <w:tc>
          <w:tcPr>
            <w:tcW w:w="4394" w:type="dxa"/>
            <w:vAlign w:val="center"/>
          </w:tcPr>
          <w:p w14:paraId="5C87110F">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固定污染源废气 汞的测定 冷原子吸收分光光度法</w:t>
            </w:r>
          </w:p>
        </w:tc>
        <w:tc>
          <w:tcPr>
            <w:tcW w:w="1497" w:type="dxa"/>
            <w:vAlign w:val="center"/>
          </w:tcPr>
          <w:p w14:paraId="44A65C7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 543</w:t>
            </w:r>
          </w:p>
        </w:tc>
      </w:tr>
      <w:tr w14:paraId="459C3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704" w:type="dxa"/>
            <w:vAlign w:val="center"/>
          </w:tcPr>
          <w:p w14:paraId="62E6CE9C">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7</w:t>
            </w:r>
          </w:p>
        </w:tc>
        <w:tc>
          <w:tcPr>
            <w:tcW w:w="1701" w:type="dxa"/>
            <w:vAlign w:val="center"/>
          </w:tcPr>
          <w:p w14:paraId="4B912710">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镉、铊、砷、铅、铬、锰、镍、锡、锑、铜、钴</w:t>
            </w:r>
          </w:p>
        </w:tc>
        <w:tc>
          <w:tcPr>
            <w:tcW w:w="4394" w:type="dxa"/>
            <w:vAlign w:val="center"/>
          </w:tcPr>
          <w:p w14:paraId="1A947C56">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空气和废气 颗粒物中铅等金属元素的测定 电感耦合等离子体质谱法</w:t>
            </w:r>
          </w:p>
        </w:tc>
        <w:tc>
          <w:tcPr>
            <w:tcW w:w="1497" w:type="dxa"/>
            <w:vAlign w:val="center"/>
          </w:tcPr>
          <w:p w14:paraId="4D72BBD2">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 657</w:t>
            </w:r>
          </w:p>
        </w:tc>
      </w:tr>
      <w:tr w14:paraId="19FF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Align w:val="center"/>
          </w:tcPr>
          <w:p w14:paraId="1464B8B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8</w:t>
            </w:r>
          </w:p>
        </w:tc>
        <w:tc>
          <w:tcPr>
            <w:tcW w:w="1701" w:type="dxa"/>
            <w:vAlign w:val="center"/>
          </w:tcPr>
          <w:p w14:paraId="770F1D1E">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二</w:t>
            </w:r>
            <w:r>
              <w:rPr>
                <w:rFonts w:ascii="Times New Roman" w:eastAsia="微软雅黑"/>
                <w:sz w:val="24"/>
                <w:szCs w:val="24"/>
              </w:rPr>
              <w:t>噁</w:t>
            </w:r>
            <w:r>
              <w:rPr>
                <w:rFonts w:ascii="Times New Roman" w:eastAsia="仿宋_GB2312"/>
                <w:sz w:val="24"/>
                <w:szCs w:val="24"/>
              </w:rPr>
              <w:t>英类</w:t>
            </w:r>
          </w:p>
        </w:tc>
        <w:tc>
          <w:tcPr>
            <w:tcW w:w="4394" w:type="dxa"/>
            <w:vAlign w:val="center"/>
          </w:tcPr>
          <w:p w14:paraId="19DD038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环境空气和废气 二</w:t>
            </w:r>
            <w:r>
              <w:rPr>
                <w:rFonts w:ascii="Times New Roman" w:eastAsia="微软雅黑"/>
                <w:sz w:val="24"/>
                <w:szCs w:val="24"/>
              </w:rPr>
              <w:t>噁</w:t>
            </w:r>
            <w:r>
              <w:rPr>
                <w:rFonts w:ascii="Times New Roman" w:eastAsia="仿宋_GB2312"/>
                <w:sz w:val="24"/>
                <w:szCs w:val="24"/>
              </w:rPr>
              <w:t>英类的测定 同位素稀释高分辨气相色谱-高分辨质谱法</w:t>
            </w:r>
          </w:p>
        </w:tc>
        <w:tc>
          <w:tcPr>
            <w:tcW w:w="1497" w:type="dxa"/>
            <w:vAlign w:val="center"/>
          </w:tcPr>
          <w:p w14:paraId="4EDD4728">
            <w:pPr>
              <w:pStyle w:val="35"/>
              <w:widowControl w:val="0"/>
              <w:overflowPunct w:val="0"/>
              <w:topLinePunct/>
              <w:snapToGrid w:val="0"/>
              <w:ind w:firstLine="0" w:firstLineChars="0"/>
              <w:jc w:val="center"/>
              <w:rPr>
                <w:rFonts w:ascii="Times New Roman" w:eastAsia="仿宋_GB2312"/>
                <w:b/>
                <w:bCs/>
                <w:sz w:val="24"/>
                <w:szCs w:val="24"/>
              </w:rPr>
            </w:pPr>
            <w:r>
              <w:rPr>
                <w:rFonts w:ascii="Times New Roman" w:eastAsia="仿宋_GB2312"/>
                <w:sz w:val="24"/>
                <w:szCs w:val="24"/>
              </w:rPr>
              <w:t>HJ 77.2</w:t>
            </w:r>
          </w:p>
        </w:tc>
      </w:tr>
      <w:tr w14:paraId="78FF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704" w:type="dxa"/>
            <w:vAlign w:val="center"/>
          </w:tcPr>
          <w:p w14:paraId="7E9E6B84">
            <w:pPr>
              <w:pStyle w:val="35"/>
              <w:widowControl w:val="0"/>
              <w:overflowPunct w:val="0"/>
              <w:topLinePunct/>
              <w:snapToGrid w:val="0"/>
              <w:ind w:firstLine="0" w:firstLineChars="0"/>
              <w:jc w:val="center"/>
              <w:rPr>
                <w:rFonts w:ascii="Times New Roman" w:eastAsia="仿宋_GB2312"/>
                <w:sz w:val="24"/>
                <w:szCs w:val="24"/>
              </w:rPr>
            </w:pPr>
            <w:r>
              <w:rPr>
                <w:rFonts w:ascii="Times New Roman" w:eastAsia="仿宋_GB2312"/>
                <w:sz w:val="24"/>
                <w:szCs w:val="24"/>
              </w:rPr>
              <w:t>9</w:t>
            </w:r>
          </w:p>
        </w:tc>
        <w:tc>
          <w:tcPr>
            <w:tcW w:w="1701" w:type="dxa"/>
            <w:vAlign w:val="center"/>
          </w:tcPr>
          <w:p w14:paraId="1E8FB0D3">
            <w:pPr>
              <w:pStyle w:val="35"/>
              <w:widowControl w:val="0"/>
              <w:overflowPunct w:val="0"/>
              <w:topLinePunct/>
              <w:snapToGrid w:val="0"/>
              <w:ind w:firstLine="0" w:firstLineChars="0"/>
              <w:jc w:val="center"/>
              <w:rPr>
                <w:rFonts w:ascii="Times New Roman" w:eastAsia="仿宋_GB2312"/>
                <w:sz w:val="24"/>
                <w:szCs w:val="24"/>
              </w:rPr>
            </w:pPr>
            <w:r>
              <w:rPr>
                <w:rFonts w:ascii="Times New Roman" w:eastAsia="仿宋_GB2312"/>
                <w:sz w:val="24"/>
                <w:szCs w:val="24"/>
              </w:rPr>
              <w:t>氨</w:t>
            </w:r>
          </w:p>
        </w:tc>
        <w:tc>
          <w:tcPr>
            <w:tcW w:w="4394" w:type="dxa"/>
            <w:vAlign w:val="center"/>
          </w:tcPr>
          <w:p w14:paraId="097F4A86">
            <w:pPr>
              <w:pStyle w:val="35"/>
              <w:widowControl w:val="0"/>
              <w:overflowPunct w:val="0"/>
              <w:topLinePunct/>
              <w:snapToGrid w:val="0"/>
              <w:ind w:firstLine="0" w:firstLineChars="0"/>
              <w:jc w:val="center"/>
              <w:rPr>
                <w:rFonts w:ascii="Times New Roman" w:eastAsia="仿宋_GB2312"/>
                <w:sz w:val="24"/>
                <w:szCs w:val="24"/>
              </w:rPr>
            </w:pPr>
            <w:r>
              <w:rPr>
                <w:rFonts w:ascii="Times New Roman" w:eastAsia="仿宋_GB2312"/>
                <w:sz w:val="24"/>
                <w:szCs w:val="24"/>
              </w:rPr>
              <w:t>环境空气和废气 氨的测定 纳氏试剂分光光度法</w:t>
            </w:r>
          </w:p>
        </w:tc>
        <w:tc>
          <w:tcPr>
            <w:tcW w:w="1497" w:type="dxa"/>
            <w:vAlign w:val="center"/>
          </w:tcPr>
          <w:p w14:paraId="735AAF2C">
            <w:pPr>
              <w:pStyle w:val="35"/>
              <w:widowControl w:val="0"/>
              <w:overflowPunct w:val="0"/>
              <w:topLinePunct/>
              <w:snapToGrid w:val="0"/>
              <w:ind w:firstLine="0" w:firstLineChars="0"/>
              <w:jc w:val="center"/>
              <w:rPr>
                <w:rFonts w:ascii="Times New Roman" w:eastAsia="仿宋_GB2312"/>
                <w:sz w:val="24"/>
                <w:szCs w:val="24"/>
              </w:rPr>
            </w:pPr>
            <w:r>
              <w:rPr>
                <w:rFonts w:ascii="Times New Roman" w:eastAsia="仿宋_GB2312"/>
                <w:sz w:val="24"/>
                <w:szCs w:val="24"/>
              </w:rPr>
              <w:t>HJ 533</w:t>
            </w:r>
          </w:p>
        </w:tc>
      </w:tr>
      <w:bookmarkEnd w:id="46"/>
    </w:tbl>
    <w:p w14:paraId="012B1AFE">
      <w:pPr>
        <w:pStyle w:val="35"/>
        <w:widowControl w:val="0"/>
        <w:overflowPunct w:val="0"/>
        <w:topLinePunct/>
        <w:autoSpaceDE/>
        <w:autoSpaceDN/>
        <w:snapToGrid w:val="0"/>
        <w:spacing w:line="360" w:lineRule="auto"/>
        <w:ind w:firstLine="560"/>
        <w:rPr>
          <w:rFonts w:ascii="Times New Roman" w:eastAsia="仿宋_GB2312" w:cstheme="minorBidi"/>
          <w:kern w:val="2"/>
          <w:sz w:val="28"/>
          <w:szCs w:val="24"/>
        </w:rPr>
      </w:pPr>
      <w:r>
        <w:rPr>
          <w:rFonts w:hint="eastAsia" w:ascii="Times New Roman" w:eastAsia="仿宋_GB2312" w:cstheme="minorBidi"/>
          <w:kern w:val="2"/>
          <w:sz w:val="28"/>
          <w:szCs w:val="24"/>
        </w:rPr>
        <w:t>（</w:t>
      </w:r>
      <w:r>
        <w:rPr>
          <w:rFonts w:ascii="Times New Roman" w:eastAsia="仿宋_GB2312" w:cstheme="minorBidi"/>
          <w:kern w:val="2"/>
          <w:sz w:val="28"/>
          <w:szCs w:val="24"/>
        </w:rPr>
        <w:t>7</w:t>
      </w:r>
      <w:r>
        <w:rPr>
          <w:rFonts w:hint="eastAsia" w:ascii="Times New Roman" w:eastAsia="仿宋_GB2312" w:cstheme="minorBidi"/>
          <w:kern w:val="2"/>
          <w:sz w:val="28"/>
          <w:szCs w:val="24"/>
        </w:rPr>
        <w:t>）本标准规定的各项污染物浓度的排放限值，均指在标准状态下以</w:t>
      </w:r>
      <w:r>
        <w:rPr>
          <w:rFonts w:ascii="Times New Roman" w:eastAsia="仿宋_GB2312" w:cstheme="minorBidi"/>
          <w:kern w:val="2"/>
          <w:sz w:val="28"/>
          <w:szCs w:val="24"/>
        </w:rPr>
        <w:t>11%</w:t>
      </w:r>
      <w:r>
        <w:rPr>
          <w:rFonts w:hint="eastAsia" w:ascii="Times New Roman" w:eastAsia="仿宋_GB2312" w:cstheme="minorBidi"/>
          <w:kern w:val="2"/>
          <w:sz w:val="28"/>
          <w:szCs w:val="24"/>
        </w:rPr>
        <w:t>（</w:t>
      </w:r>
      <w:r>
        <w:rPr>
          <w:rFonts w:ascii="Times New Roman" w:eastAsia="仿宋_GB2312" w:cstheme="minorBidi"/>
          <w:kern w:val="2"/>
          <w:sz w:val="28"/>
          <w:szCs w:val="24"/>
        </w:rPr>
        <w:t>V/V%</w:t>
      </w:r>
      <w:r>
        <w:rPr>
          <w:rFonts w:hint="eastAsia" w:ascii="Times New Roman" w:eastAsia="仿宋_GB2312" w:cstheme="minorBidi"/>
          <w:kern w:val="2"/>
          <w:sz w:val="28"/>
          <w:szCs w:val="24"/>
        </w:rPr>
        <w:t>）</w:t>
      </w:r>
      <w:r>
        <w:rPr>
          <w:rFonts w:ascii="Times New Roman" w:eastAsia="仿宋_GB2312" w:cstheme="minorBidi"/>
          <w:kern w:val="2"/>
          <w:sz w:val="28"/>
          <w:szCs w:val="24"/>
        </w:rPr>
        <w:t>O</w:t>
      </w:r>
      <w:r>
        <w:rPr>
          <w:rFonts w:ascii="Times New Roman" w:eastAsia="仿宋_GB2312" w:cstheme="minorBidi"/>
          <w:kern w:val="2"/>
          <w:sz w:val="28"/>
          <w:szCs w:val="24"/>
          <w:vertAlign w:val="subscript"/>
        </w:rPr>
        <w:t>2</w:t>
      </w:r>
      <w:r>
        <w:rPr>
          <w:rFonts w:hint="eastAsia" w:ascii="Times New Roman" w:eastAsia="仿宋_GB2312" w:cstheme="minorBidi"/>
          <w:kern w:val="2"/>
          <w:sz w:val="28"/>
          <w:szCs w:val="24"/>
        </w:rPr>
        <w:t>（干烟气）作为换算基准换算后的基准氧含量排放浓度，按下式进行换算：</w:t>
      </w:r>
    </w:p>
    <w:p w14:paraId="6DB73A18">
      <w:pPr>
        <w:pStyle w:val="35"/>
        <w:overflowPunct w:val="0"/>
        <w:topLinePunct/>
        <w:snapToGrid w:val="0"/>
        <w:ind w:firstLine="560"/>
        <w:rPr>
          <w:rFonts w:ascii="Times New Roman" w:eastAsia="仿宋_GB2312" w:cstheme="minorBidi"/>
          <w:kern w:val="2"/>
          <w:sz w:val="28"/>
          <w:szCs w:val="24"/>
        </w:rPr>
      </w:pPr>
      <m:oMathPara>
        <m:oMath>
          <m:r>
            <m:rPr/>
            <w:rPr>
              <w:rFonts w:hint="eastAsia" w:ascii="Cambria Math" w:hAnsi="Cambria Math" w:eastAsia="仿宋_GB2312" w:cstheme="minorBidi"/>
              <w:kern w:val="2"/>
              <w:sz w:val="28"/>
              <w:szCs w:val="24"/>
            </w:rPr>
            <m:t>c</m:t>
          </m:r>
          <m:r>
            <m:rPr>
              <m:sty m:val="p"/>
            </m:rPr>
            <w:rPr>
              <w:rFonts w:hint="eastAsia" w:ascii="Cambria Math" w:hAnsi="Cambria Math" w:eastAsia="仿宋_GB2312" w:cstheme="minorBidi"/>
              <w:kern w:val="2"/>
              <w:sz w:val="28"/>
              <w:szCs w:val="24"/>
            </w:rPr>
            <m:t>=</m:t>
          </m:r>
          <m:sSup>
            <m:sSupPr>
              <m:ctrlPr>
                <w:rPr>
                  <w:rFonts w:ascii="Cambria Math" w:hAnsi="Cambria Math" w:eastAsia="仿宋_GB2312" w:cstheme="minorBidi"/>
                  <w:kern w:val="2"/>
                  <w:sz w:val="28"/>
                  <w:szCs w:val="24"/>
                </w:rPr>
              </m:ctrlPr>
            </m:sSupPr>
            <m:e>
              <m:r>
                <m:rPr/>
                <w:rPr>
                  <w:rFonts w:hint="eastAsia" w:ascii="Cambria Math" w:hAnsi="Cambria Math" w:eastAsia="仿宋_GB2312" w:cstheme="minorBidi"/>
                  <w:kern w:val="2"/>
                  <w:sz w:val="28"/>
                  <w:szCs w:val="24"/>
                </w:rPr>
                <m:t>c</m:t>
              </m:r>
              <m:ctrlPr>
                <w:rPr>
                  <w:rFonts w:ascii="Cambria Math" w:hAnsi="Cambria Math" w:eastAsia="仿宋_GB2312" w:cstheme="minorBidi"/>
                  <w:kern w:val="2"/>
                  <w:sz w:val="28"/>
                  <w:szCs w:val="24"/>
                </w:rPr>
              </m:ctrlPr>
            </m:e>
            <m:sup>
              <m:r>
                <m:rPr>
                  <m:sty m:val="p"/>
                </m:rPr>
                <w:rPr>
                  <w:rFonts w:hint="eastAsia" w:ascii="Cambria Math" w:hAnsi="Cambria Math" w:eastAsia="仿宋_GB2312" w:cstheme="minorBidi"/>
                  <w:kern w:val="2"/>
                  <w:sz w:val="28"/>
                  <w:szCs w:val="24"/>
                </w:rPr>
                <m:t>'</m:t>
              </m:r>
              <m:ctrlPr>
                <w:rPr>
                  <w:rFonts w:ascii="Cambria Math" w:hAnsi="Cambria Math" w:eastAsia="仿宋_GB2312" w:cstheme="minorBidi"/>
                  <w:kern w:val="2"/>
                  <w:sz w:val="28"/>
                  <w:szCs w:val="24"/>
                </w:rPr>
              </m:ctrlPr>
            </m:sup>
          </m:sSup>
          <m:r>
            <m:rPr>
              <m:sty m:val="p"/>
            </m:rPr>
            <w:rPr>
              <w:rFonts w:hint="eastAsia" w:ascii="Cambria Math" w:hAnsi="Cambria Math" w:eastAsia="仿宋_GB2312" w:cstheme="minorBidi"/>
              <w:kern w:val="2"/>
              <w:sz w:val="28"/>
              <w:szCs w:val="24"/>
            </w:rPr>
            <m:t>×</m:t>
          </m:r>
          <m:f>
            <m:fPr>
              <m:ctrlPr>
                <w:rPr>
                  <w:rFonts w:ascii="Cambria Math" w:hAnsi="Cambria Math" w:eastAsia="仿宋_GB2312" w:cstheme="minorBidi"/>
                  <w:kern w:val="2"/>
                  <w:sz w:val="28"/>
                  <w:szCs w:val="24"/>
                </w:rPr>
              </m:ctrlPr>
            </m:fPr>
            <m:num>
              <m:r>
                <m:rPr>
                  <m:sty m:val="p"/>
                </m:rPr>
                <w:rPr>
                  <w:rFonts w:ascii="Cambria Math" w:hAnsi="Cambria Math" w:eastAsia="仿宋_GB2312" w:cstheme="minorBidi"/>
                  <w:kern w:val="2"/>
                  <w:sz w:val="28"/>
                  <w:szCs w:val="24"/>
                </w:rPr>
                <m:t>21−11</m:t>
              </m:r>
              <m:ctrlPr>
                <w:rPr>
                  <w:rFonts w:ascii="Cambria Math" w:hAnsi="Cambria Math" w:eastAsia="仿宋_GB2312" w:cstheme="minorBidi"/>
                  <w:kern w:val="2"/>
                  <w:sz w:val="28"/>
                  <w:szCs w:val="24"/>
                </w:rPr>
              </m:ctrlPr>
            </m:num>
            <m:den>
              <m:sSub>
                <m:sSubPr>
                  <m:ctrlPr>
                    <w:rPr>
                      <w:rFonts w:ascii="Cambria Math" w:hAnsi="Cambria Math" w:eastAsia="仿宋_GB2312" w:cstheme="minorBidi"/>
                      <w:kern w:val="2"/>
                      <w:sz w:val="28"/>
                      <w:szCs w:val="24"/>
                    </w:rPr>
                  </m:ctrlPr>
                </m:sSubPr>
                <m:e>
                  <m:r>
                    <m:rPr/>
                    <w:rPr>
                      <w:rFonts w:hint="eastAsia" w:ascii="Cambria Math" w:hAnsi="Cambria Math" w:eastAsia="仿宋_GB2312" w:cstheme="minorBidi"/>
                      <w:kern w:val="2"/>
                      <w:sz w:val="28"/>
                      <w:szCs w:val="24"/>
                    </w:rPr>
                    <m:t>O</m:t>
                  </m:r>
                  <m:ctrlPr>
                    <w:rPr>
                      <w:rFonts w:ascii="Cambria Math" w:hAnsi="Cambria Math" w:eastAsia="仿宋_GB2312" w:cstheme="minorBidi"/>
                      <w:kern w:val="2"/>
                      <w:sz w:val="28"/>
                      <w:szCs w:val="24"/>
                    </w:rPr>
                  </m:ctrlPr>
                </m:e>
                <m:sub>
                  <m:r>
                    <m:rPr>
                      <m:sty m:val="p"/>
                    </m:rPr>
                    <w:rPr>
                      <w:rFonts w:hint="eastAsia" w:ascii="Cambria Math" w:hAnsi="Cambria Math" w:eastAsia="仿宋_GB2312" w:cstheme="minorBidi"/>
                      <w:kern w:val="2"/>
                      <w:sz w:val="28"/>
                      <w:szCs w:val="24"/>
                    </w:rPr>
                    <m:t>2</m:t>
                  </m:r>
                  <m:ctrlPr>
                    <w:rPr>
                      <w:rFonts w:ascii="Cambria Math" w:hAnsi="Cambria Math" w:eastAsia="仿宋_GB2312" w:cstheme="minorBidi"/>
                      <w:kern w:val="2"/>
                      <w:sz w:val="28"/>
                      <w:szCs w:val="24"/>
                    </w:rPr>
                  </m:ctrlPr>
                </m:sub>
              </m:sSub>
              <m:r>
                <m:rPr>
                  <m:sty m:val="p"/>
                </m:rPr>
                <w:rPr>
                  <w:rFonts w:ascii="Cambria Math" w:hAnsi="Cambria Math" w:eastAsia="仿宋_GB2312" w:cstheme="minorBidi"/>
                  <w:kern w:val="2"/>
                  <w:sz w:val="28"/>
                  <w:szCs w:val="24"/>
                </w:rPr>
                <m:t>−</m:t>
              </m:r>
              <m:sSubSup>
                <m:sSubSupPr>
                  <m:ctrlPr>
                    <w:rPr>
                      <w:rFonts w:ascii="Cambria Math" w:hAnsi="Cambria Math" w:eastAsia="仿宋_GB2312" w:cstheme="minorBidi"/>
                      <w:kern w:val="2"/>
                      <w:sz w:val="28"/>
                      <w:szCs w:val="24"/>
                    </w:rPr>
                  </m:ctrlPr>
                </m:sSubSupPr>
                <m:e>
                  <m:r>
                    <m:rPr/>
                    <w:rPr>
                      <w:rFonts w:hint="eastAsia" w:ascii="Cambria Math" w:hAnsi="Cambria Math" w:eastAsia="仿宋_GB2312" w:cstheme="minorBidi"/>
                      <w:kern w:val="2"/>
                      <w:sz w:val="28"/>
                      <w:szCs w:val="24"/>
                    </w:rPr>
                    <m:t>O</m:t>
                  </m:r>
                  <m:ctrlPr>
                    <w:rPr>
                      <w:rFonts w:ascii="Cambria Math" w:hAnsi="Cambria Math" w:eastAsia="仿宋_GB2312" w:cstheme="minorBidi"/>
                      <w:kern w:val="2"/>
                      <w:sz w:val="28"/>
                      <w:szCs w:val="24"/>
                    </w:rPr>
                  </m:ctrlPr>
                </m:e>
                <m:sub>
                  <m:r>
                    <m:rPr>
                      <m:sty m:val="p"/>
                    </m:rPr>
                    <w:rPr>
                      <w:rFonts w:hint="eastAsia" w:ascii="Cambria Math" w:hAnsi="Cambria Math" w:eastAsia="仿宋_GB2312" w:cstheme="minorBidi"/>
                      <w:kern w:val="2"/>
                      <w:sz w:val="28"/>
                      <w:szCs w:val="24"/>
                    </w:rPr>
                    <m:t>2</m:t>
                  </m:r>
                  <m:ctrlPr>
                    <w:rPr>
                      <w:rFonts w:ascii="Cambria Math" w:hAnsi="Cambria Math" w:eastAsia="仿宋_GB2312" w:cstheme="minorBidi"/>
                      <w:kern w:val="2"/>
                      <w:sz w:val="28"/>
                      <w:szCs w:val="24"/>
                    </w:rPr>
                  </m:ctrlPr>
                </m:sub>
                <m:sup>
                  <m:r>
                    <m:rPr>
                      <m:sty m:val="p"/>
                    </m:rPr>
                    <w:rPr>
                      <w:rFonts w:hint="eastAsia" w:ascii="Cambria Math" w:hAnsi="Cambria Math" w:eastAsia="仿宋_GB2312" w:cstheme="minorBidi"/>
                      <w:kern w:val="2"/>
                      <w:sz w:val="28"/>
                      <w:szCs w:val="24"/>
                    </w:rPr>
                    <m:t>'</m:t>
                  </m:r>
                  <m:ctrlPr>
                    <w:rPr>
                      <w:rFonts w:ascii="Cambria Math" w:hAnsi="Cambria Math" w:eastAsia="仿宋_GB2312" w:cstheme="minorBidi"/>
                      <w:kern w:val="2"/>
                      <w:sz w:val="28"/>
                      <w:szCs w:val="24"/>
                    </w:rPr>
                  </m:ctrlPr>
                </m:sup>
              </m:sSubSup>
              <m:ctrlPr>
                <w:rPr>
                  <w:rFonts w:ascii="Cambria Math" w:hAnsi="Cambria Math" w:eastAsia="仿宋_GB2312" w:cstheme="minorBidi"/>
                  <w:kern w:val="2"/>
                  <w:sz w:val="28"/>
                  <w:szCs w:val="24"/>
                </w:rPr>
              </m:ctrlPr>
            </m:den>
          </m:f>
        </m:oMath>
      </m:oMathPara>
    </w:p>
    <w:p w14:paraId="293C90ED">
      <w:pPr>
        <w:pStyle w:val="35"/>
        <w:overflowPunct w:val="0"/>
        <w:topLinePunct/>
        <w:snapToGrid w:val="0"/>
        <w:ind w:firstLine="0" w:firstLineChars="0"/>
        <w:rPr>
          <w:rFonts w:ascii="Times New Roman" w:eastAsia="仿宋_GB2312" w:cstheme="minorBidi"/>
          <w:kern w:val="2"/>
          <w:sz w:val="28"/>
          <w:szCs w:val="24"/>
        </w:rPr>
      </w:pPr>
      <w:r>
        <w:rPr>
          <w:rFonts w:hint="eastAsia" w:ascii="Times New Roman" w:eastAsia="仿宋_GB2312" w:cstheme="minorBidi"/>
          <w:kern w:val="2"/>
          <w:sz w:val="28"/>
          <w:szCs w:val="24"/>
        </w:rPr>
        <w:t>式中：</w:t>
      </w:r>
    </w:p>
    <w:p w14:paraId="139089D3">
      <w:pPr>
        <w:pStyle w:val="35"/>
        <w:widowControl w:val="0"/>
        <w:overflowPunct w:val="0"/>
        <w:topLinePunct/>
        <w:autoSpaceDE/>
        <w:autoSpaceDN/>
        <w:snapToGrid w:val="0"/>
        <w:spacing w:line="360" w:lineRule="auto"/>
        <w:ind w:firstLine="560"/>
        <w:rPr>
          <w:rFonts w:ascii="Times New Roman" w:eastAsia="仿宋_GB2312" w:cstheme="minorBidi"/>
          <w:kern w:val="2"/>
          <w:sz w:val="28"/>
          <w:szCs w:val="24"/>
        </w:rPr>
      </w:pPr>
      <w:r>
        <w:rPr>
          <w:rFonts w:ascii="Times New Roman" w:eastAsia="仿宋_GB2312" w:cstheme="minorBidi"/>
          <w:i/>
          <w:iCs/>
          <w:kern w:val="2"/>
          <w:sz w:val="28"/>
          <w:szCs w:val="24"/>
        </w:rPr>
        <w:t>c</w:t>
      </w:r>
      <w:r>
        <w:rPr>
          <w:rFonts w:ascii="Times New Roman" w:eastAsia="仿宋_GB2312" w:cstheme="minorBidi"/>
          <w:kern w:val="2"/>
          <w:sz w:val="28"/>
          <w:szCs w:val="24"/>
        </w:rPr>
        <w:t>——</w:t>
      </w:r>
      <w:r>
        <w:rPr>
          <w:rFonts w:hint="eastAsia" w:ascii="Times New Roman" w:eastAsia="仿宋_GB2312" w:cstheme="minorBidi"/>
          <w:kern w:val="2"/>
          <w:sz w:val="28"/>
          <w:szCs w:val="24"/>
        </w:rPr>
        <w:t>大气污染物基准氧含量排放浓度，</w:t>
      </w:r>
      <w:r>
        <w:rPr>
          <w:rFonts w:ascii="Times New Roman" w:eastAsia="仿宋_GB2312" w:cstheme="minorBidi"/>
          <w:kern w:val="2"/>
          <w:sz w:val="28"/>
          <w:szCs w:val="24"/>
        </w:rPr>
        <w:t>mg/m3</w:t>
      </w:r>
      <w:r>
        <w:rPr>
          <w:rFonts w:hint="eastAsia" w:ascii="Times New Roman" w:eastAsia="仿宋_GB2312" w:cstheme="minorBidi"/>
          <w:kern w:val="2"/>
          <w:sz w:val="28"/>
          <w:szCs w:val="24"/>
        </w:rPr>
        <w:t>；</w:t>
      </w:r>
    </w:p>
    <w:p w14:paraId="2B042032">
      <w:pPr>
        <w:pStyle w:val="35"/>
        <w:widowControl w:val="0"/>
        <w:overflowPunct w:val="0"/>
        <w:topLinePunct/>
        <w:autoSpaceDE/>
        <w:autoSpaceDN/>
        <w:snapToGrid w:val="0"/>
        <w:spacing w:line="360" w:lineRule="auto"/>
        <w:ind w:firstLine="560"/>
        <w:rPr>
          <w:rFonts w:ascii="Times New Roman" w:eastAsia="仿宋_GB2312" w:cstheme="minorBidi"/>
          <w:kern w:val="2"/>
          <w:sz w:val="28"/>
          <w:szCs w:val="24"/>
        </w:rPr>
      </w:pPr>
      <w:r>
        <w:rPr>
          <w:rFonts w:ascii="Times New Roman" w:eastAsia="仿宋_GB2312" w:cstheme="minorBidi"/>
          <w:i/>
          <w:iCs/>
          <w:kern w:val="2"/>
          <w:sz w:val="28"/>
          <w:szCs w:val="24"/>
        </w:rPr>
        <w:t>c'</w:t>
      </w:r>
      <w:r>
        <w:rPr>
          <w:rFonts w:ascii="Times New Roman" w:eastAsia="仿宋_GB2312" w:cstheme="minorBidi"/>
          <w:kern w:val="2"/>
          <w:sz w:val="28"/>
          <w:szCs w:val="24"/>
        </w:rPr>
        <w:t>——</w:t>
      </w:r>
      <w:r>
        <w:rPr>
          <w:rFonts w:hint="eastAsia" w:ascii="Times New Roman" w:eastAsia="仿宋_GB2312" w:cstheme="minorBidi"/>
          <w:kern w:val="2"/>
          <w:sz w:val="28"/>
          <w:szCs w:val="24"/>
        </w:rPr>
        <w:t>实测的大气污染物排放浓度，</w:t>
      </w:r>
      <w:r>
        <w:rPr>
          <w:rFonts w:ascii="Times New Roman" w:eastAsia="仿宋_GB2312" w:cstheme="minorBidi"/>
          <w:kern w:val="2"/>
          <w:sz w:val="28"/>
          <w:szCs w:val="24"/>
        </w:rPr>
        <w:t>mg/m3</w:t>
      </w:r>
      <w:r>
        <w:rPr>
          <w:rFonts w:hint="eastAsia" w:ascii="Times New Roman" w:eastAsia="仿宋_GB2312" w:cstheme="minorBidi"/>
          <w:kern w:val="2"/>
          <w:sz w:val="28"/>
          <w:szCs w:val="24"/>
        </w:rPr>
        <w:t>；</w:t>
      </w:r>
    </w:p>
    <w:p w14:paraId="5853EF03">
      <w:pPr>
        <w:pStyle w:val="35"/>
        <w:widowControl w:val="0"/>
        <w:overflowPunct w:val="0"/>
        <w:topLinePunct/>
        <w:autoSpaceDE/>
        <w:autoSpaceDN/>
        <w:snapToGrid w:val="0"/>
        <w:spacing w:line="360" w:lineRule="auto"/>
        <w:ind w:firstLine="560"/>
        <w:rPr>
          <w:rFonts w:ascii="Times New Roman" w:eastAsia="仿宋_GB2312" w:cstheme="minorBidi"/>
          <w:kern w:val="2"/>
          <w:sz w:val="28"/>
          <w:szCs w:val="24"/>
        </w:rPr>
      </w:pPr>
      <w:r>
        <w:rPr>
          <w:rFonts w:ascii="Times New Roman" w:eastAsia="仿宋_GB2312" w:cstheme="minorBidi"/>
          <w:i/>
          <w:iCs/>
          <w:kern w:val="2"/>
          <w:sz w:val="28"/>
          <w:szCs w:val="24"/>
        </w:rPr>
        <w:t>O</w:t>
      </w:r>
      <w:r>
        <w:rPr>
          <w:rFonts w:ascii="Times New Roman" w:eastAsia="仿宋_GB2312" w:cstheme="minorBidi"/>
          <w:i/>
          <w:iCs/>
          <w:kern w:val="2"/>
          <w:sz w:val="28"/>
          <w:szCs w:val="24"/>
          <w:vertAlign w:val="subscript"/>
        </w:rPr>
        <w:t>2</w:t>
      </w:r>
      <w:r>
        <w:rPr>
          <w:rFonts w:ascii="Times New Roman" w:eastAsia="仿宋_GB2312" w:cstheme="minorBidi"/>
          <w:kern w:val="2"/>
          <w:sz w:val="28"/>
          <w:szCs w:val="24"/>
        </w:rPr>
        <w:t>——</w:t>
      </w:r>
      <w:r>
        <w:rPr>
          <w:rFonts w:hint="eastAsia" w:ascii="Times New Roman" w:eastAsia="仿宋_GB2312" w:cstheme="minorBidi"/>
          <w:kern w:val="2"/>
          <w:sz w:val="28"/>
          <w:szCs w:val="24"/>
        </w:rPr>
        <w:t>助燃空气初始含氧量，</w:t>
      </w:r>
      <w:r>
        <w:rPr>
          <w:rFonts w:ascii="Times New Roman" w:eastAsia="仿宋_GB2312" w:cstheme="minorBidi"/>
          <w:kern w:val="2"/>
          <w:sz w:val="28"/>
          <w:szCs w:val="24"/>
        </w:rPr>
        <w:t>%</w:t>
      </w:r>
      <w:r>
        <w:rPr>
          <w:rFonts w:hint="eastAsia" w:ascii="Times New Roman" w:eastAsia="仿宋_GB2312" w:cstheme="minorBidi"/>
          <w:kern w:val="2"/>
          <w:sz w:val="28"/>
          <w:szCs w:val="24"/>
        </w:rPr>
        <w:t>，以空气助燃时取</w:t>
      </w:r>
      <w:r>
        <w:rPr>
          <w:rFonts w:ascii="Times New Roman" w:eastAsia="仿宋_GB2312" w:cstheme="minorBidi"/>
          <w:kern w:val="2"/>
          <w:sz w:val="28"/>
          <w:szCs w:val="24"/>
        </w:rPr>
        <w:t>21</w:t>
      </w:r>
      <w:r>
        <w:rPr>
          <w:rFonts w:hint="eastAsia" w:ascii="Times New Roman" w:eastAsia="仿宋_GB2312" w:cstheme="minorBidi"/>
          <w:kern w:val="2"/>
          <w:sz w:val="28"/>
          <w:szCs w:val="24"/>
        </w:rPr>
        <w:t>；</w:t>
      </w:r>
    </w:p>
    <w:p w14:paraId="35256417">
      <w:pPr>
        <w:ind w:firstLine="560"/>
      </w:pPr>
      <w:r>
        <w:rPr>
          <w:i/>
          <w:iCs/>
        </w:rPr>
        <w:t>O</w:t>
      </w:r>
      <w:r>
        <w:rPr>
          <w:i/>
          <w:iCs/>
          <w:vertAlign w:val="subscript"/>
        </w:rPr>
        <w:t>2</w:t>
      </w:r>
      <w:r>
        <w:rPr>
          <w:i/>
          <w:iCs/>
        </w:rPr>
        <w:t>'</w:t>
      </w:r>
      <w:r>
        <w:t>——</w:t>
      </w:r>
      <w:r>
        <w:rPr>
          <w:rFonts w:hint="eastAsia"/>
        </w:rPr>
        <w:t>实测的氧含量，</w:t>
      </w:r>
      <w:r>
        <w:t>%</w:t>
      </w:r>
      <w:r>
        <w:rPr>
          <w:rFonts w:hint="eastAsia"/>
        </w:rPr>
        <w:t>。</w:t>
      </w:r>
    </w:p>
    <w:p w14:paraId="767D83CB">
      <w:pPr>
        <w:pStyle w:val="5"/>
      </w:pPr>
      <w:bookmarkStart w:id="47" w:name="_Toc183055386"/>
      <w:r>
        <w:t xml:space="preserve">6.3.6 </w:t>
      </w:r>
      <w:r>
        <w:rPr>
          <w:rFonts w:hint="eastAsia"/>
        </w:rPr>
        <w:t>达标判定</w:t>
      </w:r>
      <w:bookmarkEnd w:id="47"/>
    </w:p>
    <w:p w14:paraId="483600DA">
      <w:pPr>
        <w:ind w:firstLine="560"/>
      </w:pPr>
      <w:r>
        <w:rPr>
          <w:rFonts w:hint="eastAsia"/>
        </w:rPr>
        <w:t>（1）各级生态环境部门按照相关手工监测技术规范获取的任意1小时均值浓度、24小时均值浓度、测定均值浓度超过本标准排放浓度限值的，判定为排放超标。</w:t>
      </w:r>
    </w:p>
    <w:p w14:paraId="5ACB79A5">
      <w:pPr>
        <w:ind w:firstLine="560"/>
      </w:pPr>
      <w:r>
        <w:rPr>
          <w:rFonts w:hint="eastAsia"/>
        </w:rPr>
        <w:t>（</w:t>
      </w:r>
      <w:r>
        <w:t>2</w:t>
      </w:r>
      <w:r>
        <w:rPr>
          <w:rFonts w:hint="eastAsia"/>
        </w:rPr>
        <w:t>）各级生态环境部门在对生活垃圾焚烧厂进行监督检查时，可以现场即时采样，监测结果可以作为判定排污行为是否符合排放标准以及实施相关环境保护管理措施的依据。</w:t>
      </w:r>
    </w:p>
    <w:p w14:paraId="4B068F99">
      <w:pPr>
        <w:ind w:firstLine="560"/>
      </w:pPr>
      <w:r>
        <w:rPr>
          <w:rFonts w:hint="eastAsia"/>
        </w:rPr>
        <w:t>——《环境行政处罚办法》第三十七条规定：“环境保护主管部门在对排污单位进行监督检查时，可以现场即时采样，监测结果可以作为判定污染物排放是否超标的证据”。</w:t>
      </w:r>
    </w:p>
    <w:p w14:paraId="55BFC68F">
      <w:pPr>
        <w:ind w:firstLine="560"/>
      </w:pPr>
      <w:r>
        <w:rPr>
          <w:rFonts w:hint="eastAsia"/>
        </w:rPr>
        <w:t>——《关于环境保护部门现场检查中排污监测方法问题的解释》（国家环境保护总局公告2007年第16号）规定：“环保部门在对排污单位进行监督性检查时，可以环保工作人员现场即时采样或监测的结果作为判定排污行为是否超标以及实施相关环境保护管理措施的依据”。</w:t>
      </w:r>
    </w:p>
    <w:p w14:paraId="39313DF5">
      <w:pPr>
        <w:ind w:firstLine="560"/>
      </w:pPr>
      <w:r>
        <w:rPr>
          <w:rFonts w:hint="eastAsia"/>
        </w:rPr>
        <w:t>（</w:t>
      </w:r>
      <w:r>
        <w:t>3</w:t>
      </w:r>
      <w:r>
        <w:rPr>
          <w:rFonts w:hint="eastAsia"/>
        </w:rPr>
        <w:t>）按照《生活垃圾焚烧发电厂自动监测数据应用管理规定》（部令 第10号)，一个自然日内，生活垃圾焚烧厂任一焚烧炉排放烟气中颗粒物、氮氧化物、二氧化硫、氯化氢、一氧化碳等污染物的自动监测日均值数据，有一项或者一项以上超过本标准规定的相应污染物24小时均值限值的，判定为排放超标。</w:t>
      </w:r>
    </w:p>
    <w:p w14:paraId="614EDFDE">
      <w:pPr>
        <w:ind w:firstLine="560"/>
        <w:sectPr>
          <w:pgSz w:w="11906" w:h="16838"/>
          <w:pgMar w:top="1440" w:right="1800" w:bottom="1440" w:left="1800" w:header="851" w:footer="992" w:gutter="0"/>
          <w:cols w:space="425" w:num="1"/>
          <w:docGrid w:type="lines" w:linePitch="312" w:charSpace="0"/>
        </w:sectPr>
      </w:pPr>
      <w:r>
        <w:rPr>
          <w:rFonts w:hint="eastAsia"/>
        </w:rPr>
        <w:t>（</w:t>
      </w:r>
      <w:r>
        <w:t>4</w:t>
      </w:r>
      <w:r>
        <w:rPr>
          <w:rFonts w:hint="eastAsia"/>
        </w:rPr>
        <w:t>）国家对达标判定另有规定的，从其规定。</w:t>
      </w:r>
    </w:p>
    <w:p w14:paraId="19DF008F">
      <w:pPr>
        <w:pStyle w:val="2"/>
      </w:pPr>
      <w:bookmarkStart w:id="48" w:name="_Toc183055387"/>
      <w:r>
        <w:t>7</w:t>
      </w:r>
      <w:r>
        <w:rPr>
          <w:rFonts w:hint="eastAsia"/>
        </w:rPr>
        <w:t xml:space="preserve"> 标准实施环境和社会效益分析</w:t>
      </w:r>
      <w:bookmarkEnd w:id="48"/>
    </w:p>
    <w:p w14:paraId="1B253EA6">
      <w:pPr>
        <w:pStyle w:val="4"/>
      </w:pPr>
      <w:bookmarkStart w:id="49" w:name="_Toc183055388"/>
      <w:r>
        <w:t>7</w:t>
      </w:r>
      <w:r>
        <w:rPr>
          <w:rFonts w:hint="eastAsia"/>
        </w:rPr>
        <w:t>.1环境效益</w:t>
      </w:r>
      <w:bookmarkEnd w:id="49"/>
    </w:p>
    <w:p w14:paraId="7EE131D4">
      <w:pPr>
        <w:ind w:firstLine="560"/>
      </w:pPr>
      <w:r>
        <w:rPr>
          <w:rFonts w:hint="eastAsia"/>
        </w:rPr>
        <w:t>本标准拟定的排放限值将严于现行国家标准，未达标本标准要求，企业需要在生产工艺、环保设施等方面加大投资，进行脱硫脱硝除尘技术改造、升级，将会大幅减少生活垃圾焚烧烟气中颗粒物、二氧化硫、氮氧化物、</w:t>
      </w:r>
      <w:r>
        <w:t>二</w:t>
      </w:r>
      <w:r>
        <w:rPr>
          <w:rFonts w:eastAsia="仿宋"/>
        </w:rPr>
        <w:t>噁</w:t>
      </w:r>
      <w:r>
        <w:t>英</w:t>
      </w:r>
      <w:r>
        <w:rPr>
          <w:rFonts w:hint="eastAsia"/>
        </w:rPr>
        <w:t>以及重金属等特征大气污染物排放量，可通过需要执行标准的生活垃圾焚烧企业数量、排放现状浓度、标准限值、治污水平等对大气污染物削减量进行测算，明确本标准实施带来的环境效益。</w:t>
      </w:r>
    </w:p>
    <w:p w14:paraId="204195D1">
      <w:pPr>
        <w:ind w:firstLine="560"/>
      </w:pPr>
      <w:r>
        <w:rPr>
          <w:rFonts w:hint="eastAsia"/>
        </w:rPr>
        <w:t>全省生活垃圾焚烧企业污染治理水平参差不齐，本标准实施后将能有效控制我省生活垃圾焚烧大气污染物排放，促进相关主要产品污染物排放强度、能耗指标的有效降低，有利于我省生活垃圾焚烧科技进步和清洁生产水平提高，从而达到改善我省大气环境质量的目的。</w:t>
      </w:r>
    </w:p>
    <w:p w14:paraId="0F1D39E3">
      <w:pPr>
        <w:pStyle w:val="4"/>
      </w:pPr>
      <w:bookmarkStart w:id="50" w:name="_Toc183055389"/>
      <w:r>
        <w:t>7</w:t>
      </w:r>
      <w:r>
        <w:rPr>
          <w:rFonts w:hint="eastAsia"/>
        </w:rPr>
        <w:t>.2</w:t>
      </w:r>
      <w:r>
        <w:t xml:space="preserve"> </w:t>
      </w:r>
      <w:r>
        <w:rPr>
          <w:rFonts w:hint="eastAsia"/>
        </w:rPr>
        <w:t>经济社会效益</w:t>
      </w:r>
      <w:bookmarkEnd w:id="50"/>
    </w:p>
    <w:p w14:paraId="6F426D76">
      <w:pPr>
        <w:ind w:firstLine="560"/>
      </w:pPr>
      <w:r>
        <w:rPr>
          <w:rFonts w:hint="eastAsia"/>
        </w:rPr>
        <w:t>标准实施后，企业进一步加大治理力度，有利于淘汰落后工艺和治理技术，促进清洁化生产，优化全省产业结构和产业布局。同时能够促进新的生产技术、治理技术和产业发展，提高区域竞争力，推动区域发展。通过标准的实施，倒逼企业加强污染治理，促进大气环境质量的持续改善，不断满足人民日益增长的美好生活环境的需要，将达到较好的社会效益。</w:t>
      </w:r>
    </w:p>
    <w:p w14:paraId="626E4A51">
      <w:pPr>
        <w:pStyle w:val="2"/>
      </w:pPr>
      <w:bookmarkStart w:id="51" w:name="_Toc183055390"/>
      <w:r>
        <w:t>8</w:t>
      </w:r>
      <w:r>
        <w:rPr>
          <w:rFonts w:hint="eastAsia"/>
        </w:rPr>
        <w:t xml:space="preserve"> 标准实施风险评估</w:t>
      </w:r>
      <w:bookmarkEnd w:id="51"/>
    </w:p>
    <w:p w14:paraId="3C25E868">
      <w:pPr>
        <w:pStyle w:val="4"/>
      </w:pPr>
      <w:bookmarkStart w:id="52" w:name="_Toc183055391"/>
      <w:r>
        <w:t>8</w:t>
      </w:r>
      <w:r>
        <w:rPr>
          <w:rFonts w:hint="eastAsia"/>
        </w:rPr>
        <w:t>.1</w:t>
      </w:r>
      <w:r>
        <w:t xml:space="preserve"> </w:t>
      </w:r>
      <w:r>
        <w:rPr>
          <w:rFonts w:hint="eastAsia"/>
        </w:rPr>
        <w:t>技术风险分析</w:t>
      </w:r>
      <w:bookmarkEnd w:id="52"/>
    </w:p>
    <w:p w14:paraId="1551B59A">
      <w:pPr>
        <w:ind w:firstLine="560"/>
      </w:pPr>
      <w:r>
        <w:rPr>
          <w:rFonts w:hint="eastAsia"/>
        </w:rPr>
        <w:t>项目申请单位湖北省生态环境科学研究院在环境污染治理、臭氧污染防控、大气污染物排放标准制定等方面进行了大量研究，取得了一系列成果，具有一批从事污染治理、标准制定的科研队伍。先后开展了全省大气污染源调查、钢铁行业超低排放改造、工业炉窑综合治理、VOCs排放标准等方面的科研课题及工程应用工作，可以有效规避技术风险。</w:t>
      </w:r>
    </w:p>
    <w:p w14:paraId="7AB083EC">
      <w:pPr>
        <w:pStyle w:val="4"/>
      </w:pPr>
      <w:bookmarkStart w:id="53" w:name="_Toc183055392"/>
      <w:r>
        <w:t>8.</w:t>
      </w:r>
      <w:r>
        <w:rPr>
          <w:rFonts w:hint="eastAsia"/>
        </w:rPr>
        <w:t>2</w:t>
      </w:r>
      <w:r>
        <w:t xml:space="preserve"> </w:t>
      </w:r>
      <w:r>
        <w:rPr>
          <w:rFonts w:hint="eastAsia"/>
        </w:rPr>
        <w:t>管理风险分析</w:t>
      </w:r>
      <w:bookmarkEnd w:id="53"/>
    </w:p>
    <w:p w14:paraId="662E8AE0">
      <w:pPr>
        <w:ind w:firstLine="560"/>
        <w:sectPr>
          <w:pgSz w:w="11906" w:h="16838"/>
          <w:pgMar w:top="1440" w:right="1800" w:bottom="1440" w:left="1800" w:header="851" w:footer="992" w:gutter="0"/>
          <w:cols w:space="425" w:num="1"/>
          <w:docGrid w:type="lines" w:linePitch="312" w:charSpace="0"/>
        </w:sectPr>
      </w:pPr>
      <w:r>
        <w:rPr>
          <w:rFonts w:hint="eastAsia"/>
        </w:rPr>
        <w:t>本项目将建立严格的管理制度和考核办法，按照湖北省生态环境厅的要求对科研项目进行科学管理，按规定的时间进度向省生态环境厅提交年度报告，课题结束时提交总结报告，确保项目按时保质完成。</w:t>
      </w:r>
    </w:p>
    <w:p w14:paraId="0B3A9462">
      <w:pPr>
        <w:pStyle w:val="2"/>
        <w:widowControl/>
      </w:pPr>
      <w:bookmarkStart w:id="54" w:name="_Toc115180287"/>
      <w:bookmarkStart w:id="55" w:name="_Toc183055393"/>
      <w:bookmarkStart w:id="56" w:name="_Toc151508382"/>
      <w:r>
        <w:t>9</w:t>
      </w:r>
      <w:r>
        <w:rPr>
          <w:rFonts w:hint="eastAsia"/>
        </w:rPr>
        <w:t xml:space="preserve"> 贯彻标准的措施建议</w:t>
      </w:r>
      <w:bookmarkEnd w:id="54"/>
      <w:bookmarkEnd w:id="55"/>
      <w:bookmarkEnd w:id="56"/>
    </w:p>
    <w:p w14:paraId="615B3948">
      <w:pPr>
        <w:widowControl/>
        <w:ind w:firstLine="560"/>
      </w:pPr>
      <w:r>
        <w:rPr>
          <w:rFonts w:hint="eastAsia"/>
        </w:rPr>
        <w:t>为保证本标准的顺利实施，提出建议如下：</w:t>
      </w:r>
    </w:p>
    <w:p w14:paraId="03B17C84">
      <w:pPr>
        <w:widowControl/>
        <w:ind w:firstLine="560"/>
      </w:pPr>
      <w:r>
        <w:t>（1）本标准由县级以上人民政府环境保护行政主管部门负责监督实施。</w:t>
      </w:r>
    </w:p>
    <w:p w14:paraId="4B028302">
      <w:pPr>
        <w:widowControl/>
        <w:ind w:firstLine="560"/>
      </w:pPr>
      <w:r>
        <w:t>（2）企业应遵守本标准的污染物排放控制要求，采取必要措施保证污染防治设施正常运行。</w:t>
      </w:r>
    </w:p>
    <w:p w14:paraId="3A68C043">
      <w:pPr>
        <w:widowControl/>
        <w:ind w:firstLine="560"/>
      </w:pPr>
      <w:r>
        <w:t>（3）各级环保部门在对企业进行监督性检查时，可以将现场采样监测的结果作为判定排污行为是否符合排放标准以及实施相关环境保护管理措施的依据。</w:t>
      </w:r>
    </w:p>
    <w:p w14:paraId="5FA4B0B1">
      <w:pPr>
        <w:widowControl/>
        <w:ind w:firstLine="560"/>
      </w:pPr>
      <w:r>
        <w:t>（4）</w:t>
      </w:r>
      <w:bookmarkStart w:id="57" w:name="_Hlk183006852"/>
      <w:r>
        <w:t>本标准实施后，新制定或新修订的国家或地方排放标准中，排放限值严于本标准的，按照相应排放标准限值执行。</w:t>
      </w:r>
      <w:bookmarkEnd w:id="57"/>
    </w:p>
    <w:p w14:paraId="4C1B54C9">
      <w:pPr>
        <w:widowControl/>
        <w:ind w:firstLine="56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394A2">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3116">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80F5B">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1D977">
    <w:pPr>
      <w:pStyle w:val="10"/>
      <w:ind w:firstLine="0" w:firstLineChars="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5F383">
    <w:pPr>
      <w:pStyle w:val="10"/>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87762">
    <w:pPr>
      <w:pStyle w:val="10"/>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B4997">
    <w:pPr>
      <w:pStyle w:val="10"/>
      <w:spacing w:line="240" w:lineRule="auto"/>
      <w:ind w:firstLine="0" w:firstLineChars="0"/>
      <w:jc w:val="center"/>
    </w:pPr>
    <w:r>
      <w:fldChar w:fldCharType="begin"/>
    </w:r>
    <w:r>
      <w:instrText xml:space="preserve">PAGE   \* MERGEFORMAT</w:instrText>
    </w:r>
    <w:r>
      <w:fldChar w:fldCharType="separate"/>
    </w:r>
    <w:r>
      <w:rPr>
        <w:lang w:val="zh-CN"/>
      </w:rPr>
      <w:t>44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61BB2">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8634A">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9B4D3">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A881B">
    <w:pPr>
      <w:ind w:firstLine="0" w:firstLineChars="0"/>
      <w:jc w:val="center"/>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850FE">
    <w:pPr>
      <w:pStyle w:val="11"/>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57C4C">
    <w:pPr>
      <w:pStyle w:val="11"/>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EFF12">
    <w:pPr>
      <w:spacing w:line="240" w:lineRule="auto"/>
      <w:ind w:firstLine="0" w:firstLineChars="0"/>
      <w:rPr>
        <w:sz w:val="21"/>
        <w:szCs w:val="21"/>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5E51A">
    <w:pPr>
      <w:ind w:firstLine="0" w:firstLineChars="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trackRevisions w:val="1"/>
  <w:documentProtection w:enforcement="0"/>
  <w:defaultTabStop w:val="420"/>
  <w:drawingGridHorizontalSpacing w:val="140"/>
  <w:drawingGridVerticalSpacing w:val="381"/>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1YzRlNjk3NWY4OGZkNGRkZTllOWUzOWUzMDhiNzQifQ=="/>
  </w:docVars>
  <w:rsids>
    <w:rsidRoot w:val="11C902EA"/>
    <w:rsid w:val="00007A8D"/>
    <w:rsid w:val="000140D4"/>
    <w:rsid w:val="00017483"/>
    <w:rsid w:val="00024FAC"/>
    <w:rsid w:val="00034D1C"/>
    <w:rsid w:val="0004471F"/>
    <w:rsid w:val="00057BA7"/>
    <w:rsid w:val="000738BE"/>
    <w:rsid w:val="00073D67"/>
    <w:rsid w:val="00073E9F"/>
    <w:rsid w:val="00083E86"/>
    <w:rsid w:val="0008590E"/>
    <w:rsid w:val="00092DBD"/>
    <w:rsid w:val="000B58FE"/>
    <w:rsid w:val="000C6522"/>
    <w:rsid w:val="000E0DFE"/>
    <w:rsid w:val="000E1D6B"/>
    <w:rsid w:val="000F3BB3"/>
    <w:rsid w:val="00111C75"/>
    <w:rsid w:val="00113CEE"/>
    <w:rsid w:val="0011471A"/>
    <w:rsid w:val="0014138F"/>
    <w:rsid w:val="00154FB6"/>
    <w:rsid w:val="00155437"/>
    <w:rsid w:val="00170B96"/>
    <w:rsid w:val="00186BF7"/>
    <w:rsid w:val="001B65E7"/>
    <w:rsid w:val="001B7D3F"/>
    <w:rsid w:val="001C1AB9"/>
    <w:rsid w:val="001C2859"/>
    <w:rsid w:val="001D3F14"/>
    <w:rsid w:val="001E59D2"/>
    <w:rsid w:val="001E5FEC"/>
    <w:rsid w:val="001F1DE1"/>
    <w:rsid w:val="001F4E79"/>
    <w:rsid w:val="002108C9"/>
    <w:rsid w:val="0024644E"/>
    <w:rsid w:val="00251E9C"/>
    <w:rsid w:val="002656EC"/>
    <w:rsid w:val="002B222F"/>
    <w:rsid w:val="002B27A6"/>
    <w:rsid w:val="002B6E31"/>
    <w:rsid w:val="002B786A"/>
    <w:rsid w:val="002B7CFA"/>
    <w:rsid w:val="002C0736"/>
    <w:rsid w:val="002C5A2A"/>
    <w:rsid w:val="002C7906"/>
    <w:rsid w:val="002D2D1A"/>
    <w:rsid w:val="002D4A55"/>
    <w:rsid w:val="002D6E60"/>
    <w:rsid w:val="002D71EF"/>
    <w:rsid w:val="002D7A24"/>
    <w:rsid w:val="002E2AD9"/>
    <w:rsid w:val="002F04DC"/>
    <w:rsid w:val="002F1C62"/>
    <w:rsid w:val="002F27CE"/>
    <w:rsid w:val="00302C7D"/>
    <w:rsid w:val="00314EA6"/>
    <w:rsid w:val="00331A73"/>
    <w:rsid w:val="00353E50"/>
    <w:rsid w:val="00357B3E"/>
    <w:rsid w:val="00383100"/>
    <w:rsid w:val="00391D27"/>
    <w:rsid w:val="003A6ED5"/>
    <w:rsid w:val="003B5596"/>
    <w:rsid w:val="003C0ECB"/>
    <w:rsid w:val="003F1B8B"/>
    <w:rsid w:val="004017DD"/>
    <w:rsid w:val="00415B0B"/>
    <w:rsid w:val="0042536B"/>
    <w:rsid w:val="00426CC9"/>
    <w:rsid w:val="00430F38"/>
    <w:rsid w:val="00447FCC"/>
    <w:rsid w:val="00453009"/>
    <w:rsid w:val="004550F6"/>
    <w:rsid w:val="00466277"/>
    <w:rsid w:val="00487FAB"/>
    <w:rsid w:val="0049550A"/>
    <w:rsid w:val="004A1652"/>
    <w:rsid w:val="004D24B8"/>
    <w:rsid w:val="004D656F"/>
    <w:rsid w:val="004E02A5"/>
    <w:rsid w:val="004E10D1"/>
    <w:rsid w:val="004E753D"/>
    <w:rsid w:val="00501B09"/>
    <w:rsid w:val="005072F5"/>
    <w:rsid w:val="00525D8B"/>
    <w:rsid w:val="0053419C"/>
    <w:rsid w:val="00535B89"/>
    <w:rsid w:val="005461FF"/>
    <w:rsid w:val="00553B77"/>
    <w:rsid w:val="00564F95"/>
    <w:rsid w:val="005674B4"/>
    <w:rsid w:val="005C01EF"/>
    <w:rsid w:val="005C086D"/>
    <w:rsid w:val="005C1367"/>
    <w:rsid w:val="005D7C0D"/>
    <w:rsid w:val="005E0363"/>
    <w:rsid w:val="005E4237"/>
    <w:rsid w:val="006037E5"/>
    <w:rsid w:val="0060699F"/>
    <w:rsid w:val="00607DC4"/>
    <w:rsid w:val="006147F3"/>
    <w:rsid w:val="0062434E"/>
    <w:rsid w:val="00644A86"/>
    <w:rsid w:val="006B66C5"/>
    <w:rsid w:val="006C3092"/>
    <w:rsid w:val="006D4F06"/>
    <w:rsid w:val="006E264A"/>
    <w:rsid w:val="006F3E90"/>
    <w:rsid w:val="00702287"/>
    <w:rsid w:val="00715023"/>
    <w:rsid w:val="00721685"/>
    <w:rsid w:val="00737E59"/>
    <w:rsid w:val="00753444"/>
    <w:rsid w:val="007621E8"/>
    <w:rsid w:val="00772A3D"/>
    <w:rsid w:val="00772DE4"/>
    <w:rsid w:val="00784909"/>
    <w:rsid w:val="00784C6F"/>
    <w:rsid w:val="00785316"/>
    <w:rsid w:val="007A4F81"/>
    <w:rsid w:val="007B4C05"/>
    <w:rsid w:val="007B5454"/>
    <w:rsid w:val="007B6BB2"/>
    <w:rsid w:val="007C3CCF"/>
    <w:rsid w:val="007D0649"/>
    <w:rsid w:val="007D5B4D"/>
    <w:rsid w:val="007D640C"/>
    <w:rsid w:val="007E7A20"/>
    <w:rsid w:val="007F3B1B"/>
    <w:rsid w:val="00806984"/>
    <w:rsid w:val="00812DE9"/>
    <w:rsid w:val="00816417"/>
    <w:rsid w:val="00821661"/>
    <w:rsid w:val="008242A1"/>
    <w:rsid w:val="008253FC"/>
    <w:rsid w:val="00832896"/>
    <w:rsid w:val="00836F28"/>
    <w:rsid w:val="008460DF"/>
    <w:rsid w:val="00862A4E"/>
    <w:rsid w:val="00876BDF"/>
    <w:rsid w:val="008819B7"/>
    <w:rsid w:val="00885320"/>
    <w:rsid w:val="008931B6"/>
    <w:rsid w:val="008B31DC"/>
    <w:rsid w:val="008B7330"/>
    <w:rsid w:val="008C74C1"/>
    <w:rsid w:val="008D6008"/>
    <w:rsid w:val="008E3F89"/>
    <w:rsid w:val="008E5A2C"/>
    <w:rsid w:val="008E7FA0"/>
    <w:rsid w:val="00903C45"/>
    <w:rsid w:val="009079CB"/>
    <w:rsid w:val="00907AB0"/>
    <w:rsid w:val="00926A38"/>
    <w:rsid w:val="00953409"/>
    <w:rsid w:val="009544BF"/>
    <w:rsid w:val="00955516"/>
    <w:rsid w:val="009576CD"/>
    <w:rsid w:val="00961CD3"/>
    <w:rsid w:val="00962C53"/>
    <w:rsid w:val="00977A0C"/>
    <w:rsid w:val="00985ACB"/>
    <w:rsid w:val="00994973"/>
    <w:rsid w:val="009A5ABE"/>
    <w:rsid w:val="009C5E14"/>
    <w:rsid w:val="009D4A4A"/>
    <w:rsid w:val="009D5A52"/>
    <w:rsid w:val="009D5AFE"/>
    <w:rsid w:val="009E79EE"/>
    <w:rsid w:val="009F2561"/>
    <w:rsid w:val="00A126B5"/>
    <w:rsid w:val="00A77FB8"/>
    <w:rsid w:val="00A9376B"/>
    <w:rsid w:val="00A94A42"/>
    <w:rsid w:val="00AA1631"/>
    <w:rsid w:val="00AA1D00"/>
    <w:rsid w:val="00AB354B"/>
    <w:rsid w:val="00AC0508"/>
    <w:rsid w:val="00AC5072"/>
    <w:rsid w:val="00AC6502"/>
    <w:rsid w:val="00AD0FA1"/>
    <w:rsid w:val="00AD60E7"/>
    <w:rsid w:val="00AE5822"/>
    <w:rsid w:val="00AE5D44"/>
    <w:rsid w:val="00B1086E"/>
    <w:rsid w:val="00B1542B"/>
    <w:rsid w:val="00B2621D"/>
    <w:rsid w:val="00B36EBF"/>
    <w:rsid w:val="00B43ED0"/>
    <w:rsid w:val="00B46C48"/>
    <w:rsid w:val="00B54987"/>
    <w:rsid w:val="00B70183"/>
    <w:rsid w:val="00B768BF"/>
    <w:rsid w:val="00B834BF"/>
    <w:rsid w:val="00B845B2"/>
    <w:rsid w:val="00B86F52"/>
    <w:rsid w:val="00B95E16"/>
    <w:rsid w:val="00B97B02"/>
    <w:rsid w:val="00BA097D"/>
    <w:rsid w:val="00BA23CF"/>
    <w:rsid w:val="00BB2AD6"/>
    <w:rsid w:val="00BC0712"/>
    <w:rsid w:val="00BC1315"/>
    <w:rsid w:val="00BD57EA"/>
    <w:rsid w:val="00BE0F39"/>
    <w:rsid w:val="00BE3F5F"/>
    <w:rsid w:val="00BE669E"/>
    <w:rsid w:val="00C30351"/>
    <w:rsid w:val="00C339BC"/>
    <w:rsid w:val="00C55A99"/>
    <w:rsid w:val="00C60E77"/>
    <w:rsid w:val="00C62751"/>
    <w:rsid w:val="00C76A6C"/>
    <w:rsid w:val="00C937F8"/>
    <w:rsid w:val="00CB2B70"/>
    <w:rsid w:val="00CB498C"/>
    <w:rsid w:val="00CC276B"/>
    <w:rsid w:val="00CC2A7A"/>
    <w:rsid w:val="00CC65F0"/>
    <w:rsid w:val="00CD5AC5"/>
    <w:rsid w:val="00CE728D"/>
    <w:rsid w:val="00CF643A"/>
    <w:rsid w:val="00D06610"/>
    <w:rsid w:val="00D06D87"/>
    <w:rsid w:val="00D31D3D"/>
    <w:rsid w:val="00D31D94"/>
    <w:rsid w:val="00D32516"/>
    <w:rsid w:val="00D4258E"/>
    <w:rsid w:val="00D46335"/>
    <w:rsid w:val="00D571F8"/>
    <w:rsid w:val="00D60403"/>
    <w:rsid w:val="00DC275C"/>
    <w:rsid w:val="00DC41C9"/>
    <w:rsid w:val="00DC61E7"/>
    <w:rsid w:val="00DD013A"/>
    <w:rsid w:val="00DD6076"/>
    <w:rsid w:val="00DE15D9"/>
    <w:rsid w:val="00DE65A5"/>
    <w:rsid w:val="00DF00EC"/>
    <w:rsid w:val="00DF570E"/>
    <w:rsid w:val="00E2183B"/>
    <w:rsid w:val="00E431A8"/>
    <w:rsid w:val="00E50EBC"/>
    <w:rsid w:val="00E70EB7"/>
    <w:rsid w:val="00E714D1"/>
    <w:rsid w:val="00E83BF7"/>
    <w:rsid w:val="00E93D74"/>
    <w:rsid w:val="00E97EC9"/>
    <w:rsid w:val="00EA4759"/>
    <w:rsid w:val="00EA6D7F"/>
    <w:rsid w:val="00EC5A12"/>
    <w:rsid w:val="00EE26CE"/>
    <w:rsid w:val="00EF152C"/>
    <w:rsid w:val="00EF7B16"/>
    <w:rsid w:val="00F07AEA"/>
    <w:rsid w:val="00F2396C"/>
    <w:rsid w:val="00F24462"/>
    <w:rsid w:val="00F45CB9"/>
    <w:rsid w:val="00F47DE1"/>
    <w:rsid w:val="00F6347B"/>
    <w:rsid w:val="00F648EF"/>
    <w:rsid w:val="00F652A6"/>
    <w:rsid w:val="00F72D56"/>
    <w:rsid w:val="00FA48BB"/>
    <w:rsid w:val="00FB7F85"/>
    <w:rsid w:val="00FC4624"/>
    <w:rsid w:val="00FE0A72"/>
    <w:rsid w:val="00FF13BB"/>
    <w:rsid w:val="00FF2212"/>
    <w:rsid w:val="00FF5108"/>
    <w:rsid w:val="00FF7CB5"/>
    <w:rsid w:val="06197A31"/>
    <w:rsid w:val="065A380B"/>
    <w:rsid w:val="0E2D1AB8"/>
    <w:rsid w:val="0F4B640D"/>
    <w:rsid w:val="11C902EA"/>
    <w:rsid w:val="1289789D"/>
    <w:rsid w:val="157D2B37"/>
    <w:rsid w:val="160B6B83"/>
    <w:rsid w:val="28CB0758"/>
    <w:rsid w:val="2DA45251"/>
    <w:rsid w:val="2F05640D"/>
    <w:rsid w:val="32C963F7"/>
    <w:rsid w:val="349F3FED"/>
    <w:rsid w:val="39C34AD2"/>
    <w:rsid w:val="3D367831"/>
    <w:rsid w:val="3FEB3E1D"/>
    <w:rsid w:val="408831BE"/>
    <w:rsid w:val="43A22025"/>
    <w:rsid w:val="45BE314C"/>
    <w:rsid w:val="50E00030"/>
    <w:rsid w:val="561170E3"/>
    <w:rsid w:val="57F82957"/>
    <w:rsid w:val="61A92379"/>
    <w:rsid w:val="777A3593"/>
    <w:rsid w:val="7EBD437E"/>
    <w:rsid w:val="7FD73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_GB2312" w:cstheme="minorBidi"/>
      <w:kern w:val="2"/>
      <w:sz w:val="28"/>
      <w:szCs w:val="24"/>
      <w:lang w:val="en-US" w:eastAsia="zh-CN" w:bidi="ar-SA"/>
    </w:rPr>
  </w:style>
  <w:style w:type="paragraph" w:styleId="2">
    <w:name w:val="heading 1"/>
    <w:basedOn w:val="3"/>
    <w:next w:val="4"/>
    <w:qFormat/>
    <w:uiPriority w:val="0"/>
    <w:pPr>
      <w:keepNext/>
      <w:keepLines/>
      <w:spacing w:after="60"/>
      <w:ind w:firstLine="0" w:firstLineChars="0"/>
      <w:outlineLvl w:val="0"/>
    </w:pPr>
    <w:rPr>
      <w:rFonts w:eastAsia="黑体"/>
      <w:b/>
      <w:kern w:val="44"/>
      <w:sz w:val="36"/>
    </w:rPr>
  </w:style>
  <w:style w:type="paragraph" w:styleId="4">
    <w:name w:val="heading 2"/>
    <w:next w:val="1"/>
    <w:unhideWhenUsed/>
    <w:qFormat/>
    <w:uiPriority w:val="0"/>
    <w:pPr>
      <w:keepNext/>
      <w:keepLines/>
      <w:spacing w:before="240" w:line="360" w:lineRule="auto"/>
      <w:outlineLvl w:val="1"/>
    </w:pPr>
    <w:rPr>
      <w:rFonts w:ascii="Times New Roman" w:hAnsi="Times New Roman" w:eastAsia="楷体" w:cstheme="minorBidi"/>
      <w:b/>
      <w:kern w:val="2"/>
      <w:sz w:val="32"/>
      <w:szCs w:val="24"/>
      <w:lang w:val="en-US" w:eastAsia="zh-CN" w:bidi="ar-SA"/>
    </w:rPr>
  </w:style>
  <w:style w:type="paragraph" w:styleId="5">
    <w:name w:val="heading 3"/>
    <w:next w:val="1"/>
    <w:unhideWhenUsed/>
    <w:qFormat/>
    <w:uiPriority w:val="0"/>
    <w:pPr>
      <w:keepNext/>
      <w:keepLines/>
      <w:spacing w:after="60"/>
      <w:outlineLvl w:val="2"/>
    </w:pPr>
    <w:rPr>
      <w:rFonts w:ascii="Times New Roman" w:hAnsi="Times New Roman" w:eastAsia="仿宋_GB2312" w:cstheme="minorBidi"/>
      <w:b/>
      <w:kern w:val="2"/>
      <w:sz w:val="30"/>
      <w:szCs w:val="24"/>
      <w:lang w:val="en-US" w:eastAsia="zh-CN" w:bidi="ar-SA"/>
    </w:rPr>
  </w:style>
  <w:style w:type="paragraph" w:styleId="6">
    <w:name w:val="heading 4"/>
    <w:basedOn w:val="1"/>
    <w:next w:val="1"/>
    <w:link w:val="27"/>
    <w:unhideWhenUsed/>
    <w:qFormat/>
    <w:uiPriority w:val="0"/>
    <w:pPr>
      <w:keepNext/>
      <w:keepLines/>
      <w:ind w:firstLine="0" w:firstLineChars="0"/>
      <w:outlineLvl w:val="3"/>
    </w:pPr>
    <w:rPr>
      <w:rFonts w:eastAsiaTheme="majorEastAsia" w:cstheme="majorBidi"/>
      <w:b/>
      <w:bCs/>
      <w:szCs w:val="28"/>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List Paragraph"/>
    <w:basedOn w:val="1"/>
    <w:qFormat/>
    <w:uiPriority w:val="34"/>
    <w:pPr>
      <w:ind w:firstLine="420"/>
    </w:pPr>
  </w:style>
  <w:style w:type="paragraph" w:styleId="7">
    <w:name w:val="annotation text"/>
    <w:basedOn w:val="1"/>
    <w:link w:val="36"/>
    <w:qFormat/>
    <w:uiPriority w:val="99"/>
    <w:pPr>
      <w:jc w:val="left"/>
    </w:pPr>
  </w:style>
  <w:style w:type="paragraph" w:styleId="8">
    <w:name w:val="List 2"/>
    <w:basedOn w:val="1"/>
    <w:qFormat/>
    <w:uiPriority w:val="0"/>
    <w:pPr>
      <w:ind w:left="100" w:leftChars="200" w:hanging="200" w:hangingChars="200"/>
    </w:pPr>
    <w:rPr>
      <w:rFonts w:eastAsia="宋体" w:cs="Times New Roman"/>
    </w:rPr>
  </w:style>
  <w:style w:type="paragraph" w:styleId="9">
    <w:name w:val="toc 3"/>
    <w:basedOn w:val="1"/>
    <w:next w:val="1"/>
    <w:autoRedefine/>
    <w:qFormat/>
    <w:uiPriority w:val="39"/>
    <w:pPr>
      <w:ind w:left="840" w:leftChars="400"/>
    </w:pPr>
  </w:style>
  <w:style w:type="paragraph" w:styleId="10">
    <w:name w:val="footer"/>
    <w:basedOn w:val="1"/>
    <w:link w:val="28"/>
    <w:unhideWhenUsed/>
    <w:qFormat/>
    <w:uiPriority w:val="99"/>
    <w:pPr>
      <w:tabs>
        <w:tab w:val="center" w:pos="4153"/>
        <w:tab w:val="right" w:pos="8306"/>
      </w:tabs>
      <w:snapToGrid w:val="0"/>
      <w:jc w:val="left"/>
    </w:pPr>
    <w:rPr>
      <w:sz w:val="18"/>
      <w:szCs w:val="18"/>
    </w:rPr>
  </w:style>
  <w:style w:type="paragraph" w:styleId="11">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style>
  <w:style w:type="paragraph" w:styleId="13">
    <w:name w:val="Subtitle"/>
    <w:basedOn w:val="1"/>
    <w:next w:val="1"/>
    <w:link w:val="26"/>
    <w:qFormat/>
    <w:uiPriority w:val="0"/>
    <w:pPr>
      <w:spacing w:line="240" w:lineRule="auto"/>
      <w:ind w:firstLine="0" w:firstLineChars="0"/>
      <w:jc w:val="center"/>
    </w:pPr>
    <w:rPr>
      <w:rFonts w:cs="Times New Roman"/>
      <w:sz w:val="24"/>
      <w:szCs w:val="22"/>
    </w:rPr>
  </w:style>
  <w:style w:type="paragraph" w:styleId="14">
    <w:name w:val="table of figures"/>
    <w:basedOn w:val="1"/>
    <w:next w:val="1"/>
    <w:qFormat/>
    <w:uiPriority w:val="0"/>
    <w:pPr>
      <w:ind w:left="200" w:leftChars="200" w:hanging="200" w:hangingChars="200"/>
    </w:pPr>
  </w:style>
  <w:style w:type="paragraph" w:styleId="15">
    <w:name w:val="toc 2"/>
    <w:basedOn w:val="1"/>
    <w:next w:val="1"/>
    <w:autoRedefine/>
    <w:qFormat/>
    <w:uiPriority w:val="39"/>
    <w:pPr>
      <w:tabs>
        <w:tab w:val="right" w:leader="dot" w:pos="8296"/>
      </w:tabs>
      <w:ind w:left="560" w:leftChars="200" w:firstLine="560"/>
    </w:pPr>
  </w:style>
  <w:style w:type="paragraph" w:styleId="16">
    <w:name w:val="Normal (Web)"/>
    <w:basedOn w:val="1"/>
    <w:qFormat/>
    <w:uiPriority w:val="99"/>
    <w:pPr>
      <w:spacing w:beforeAutospacing="1" w:afterAutospacing="1"/>
      <w:jc w:val="left"/>
    </w:pPr>
    <w:rPr>
      <w:rFonts w:cs="Times New Roman"/>
      <w:kern w:val="0"/>
      <w:sz w:val="24"/>
    </w:r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bCs/>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qFormat/>
    <w:uiPriority w:val="99"/>
    <w:rPr>
      <w:sz w:val="21"/>
      <w:szCs w:val="21"/>
    </w:rPr>
  </w:style>
  <w:style w:type="table" w:customStyle="1" w:styleId="23">
    <w:name w:val="Table Normal"/>
    <w:semiHidden/>
    <w:unhideWhenUsed/>
    <w:qFormat/>
    <w:uiPriority w:val="0"/>
    <w:tblPr>
      <w:tblCellMar>
        <w:top w:w="0" w:type="dxa"/>
        <w:left w:w="0" w:type="dxa"/>
        <w:bottom w:w="0" w:type="dxa"/>
        <w:right w:w="0" w:type="dxa"/>
      </w:tblCellMar>
    </w:tblPr>
  </w:style>
  <w:style w:type="paragraph" w:customStyle="1" w:styleId="24">
    <w:name w:val="修订1"/>
    <w:hidden/>
    <w:semiHidden/>
    <w:qFormat/>
    <w:uiPriority w:val="99"/>
    <w:rPr>
      <w:rFonts w:ascii="Times New Roman" w:hAnsi="Times New Roman" w:eastAsia="仿宋_GB2312" w:cstheme="minorBidi"/>
      <w:kern w:val="2"/>
      <w:sz w:val="28"/>
      <w:szCs w:val="24"/>
      <w:lang w:val="en-US" w:eastAsia="zh-CN" w:bidi="ar-SA"/>
    </w:rPr>
  </w:style>
  <w:style w:type="table" w:customStyle="1" w:styleId="25">
    <w:name w:val="Table Normal1"/>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character" w:customStyle="1" w:styleId="26">
    <w:name w:val="副标题 Char"/>
    <w:basedOn w:val="19"/>
    <w:link w:val="13"/>
    <w:qFormat/>
    <w:uiPriority w:val="0"/>
    <w:rPr>
      <w:rFonts w:eastAsia="仿宋_GB2312"/>
      <w:kern w:val="2"/>
      <w:sz w:val="24"/>
      <w:szCs w:val="22"/>
    </w:rPr>
  </w:style>
  <w:style w:type="character" w:customStyle="1" w:styleId="27">
    <w:name w:val="标题 4 Char"/>
    <w:basedOn w:val="19"/>
    <w:link w:val="6"/>
    <w:qFormat/>
    <w:uiPriority w:val="0"/>
    <w:rPr>
      <w:rFonts w:eastAsiaTheme="majorEastAsia" w:cstheme="majorBidi"/>
      <w:b/>
      <w:bCs/>
      <w:kern w:val="2"/>
      <w:sz w:val="28"/>
      <w:szCs w:val="28"/>
    </w:rPr>
  </w:style>
  <w:style w:type="character" w:customStyle="1" w:styleId="28">
    <w:name w:val="页脚 Char"/>
    <w:link w:val="10"/>
    <w:qFormat/>
    <w:uiPriority w:val="99"/>
    <w:rPr>
      <w:rFonts w:eastAsia="仿宋_GB2312" w:cstheme="minorBidi"/>
      <w:kern w:val="2"/>
      <w:sz w:val="18"/>
      <w:szCs w:val="18"/>
    </w:rPr>
  </w:style>
  <w:style w:type="paragraph" w:customStyle="1" w:styleId="29">
    <w:name w:val="图标题"/>
    <w:basedOn w:val="1"/>
    <w:link w:val="30"/>
    <w:qFormat/>
    <w:uiPriority w:val="0"/>
    <w:pPr>
      <w:keepLines/>
      <w:spacing w:line="240" w:lineRule="auto"/>
      <w:jc w:val="center"/>
    </w:pPr>
    <w:rPr>
      <w:rFonts w:eastAsia="黑体" w:cs="Times New Roman"/>
      <w:sz w:val="24"/>
      <w:szCs w:val="22"/>
    </w:rPr>
  </w:style>
  <w:style w:type="character" w:customStyle="1" w:styleId="30">
    <w:name w:val="图标题 字符"/>
    <w:link w:val="29"/>
    <w:qFormat/>
    <w:uiPriority w:val="0"/>
    <w:rPr>
      <w:rFonts w:eastAsia="黑体"/>
      <w:kern w:val="2"/>
      <w:sz w:val="24"/>
      <w:szCs w:val="22"/>
    </w:rPr>
  </w:style>
  <w:style w:type="paragraph" w:customStyle="1" w:styleId="31">
    <w:name w:val="修订2"/>
    <w:hidden/>
    <w:semiHidden/>
    <w:qFormat/>
    <w:uiPriority w:val="99"/>
    <w:rPr>
      <w:rFonts w:ascii="Times New Roman" w:hAnsi="Times New Roman" w:eastAsia="仿宋_GB2312" w:cstheme="minorBidi"/>
      <w:kern w:val="2"/>
      <w:sz w:val="28"/>
      <w:szCs w:val="24"/>
      <w:lang w:val="en-US" w:eastAsia="zh-CN" w:bidi="ar-SA"/>
    </w:rPr>
  </w:style>
  <w:style w:type="paragraph" w:customStyle="1" w:styleId="32">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33">
    <w:name w:val="页眉 Char"/>
    <w:basedOn w:val="19"/>
    <w:link w:val="11"/>
    <w:qFormat/>
    <w:uiPriority w:val="99"/>
    <w:rPr>
      <w:rFonts w:eastAsia="仿宋_GB2312" w:cstheme="minorBidi"/>
      <w:kern w:val="2"/>
      <w:sz w:val="18"/>
      <w:szCs w:val="18"/>
    </w:rPr>
  </w:style>
  <w:style w:type="character" w:customStyle="1" w:styleId="34">
    <w:name w:val="段 Char"/>
    <w:link w:val="35"/>
    <w:qFormat/>
    <w:uiPriority w:val="0"/>
    <w:rPr>
      <w:rFonts w:ascii="宋体"/>
    </w:rPr>
  </w:style>
  <w:style w:type="paragraph" w:customStyle="1" w:styleId="35">
    <w:name w:val="段"/>
    <w:link w:val="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lang w:val="en-US" w:eastAsia="zh-CN" w:bidi="ar-SA"/>
    </w:rPr>
  </w:style>
  <w:style w:type="character" w:customStyle="1" w:styleId="36">
    <w:name w:val="批注文字 Char"/>
    <w:basedOn w:val="19"/>
    <w:link w:val="7"/>
    <w:qFormat/>
    <w:uiPriority w:val="99"/>
    <w:rPr>
      <w:rFonts w:eastAsia="仿宋_GB2312" w:cstheme="minorBidi"/>
      <w:kern w:val="2"/>
      <w:sz w:val="28"/>
      <w:szCs w:val="24"/>
    </w:rPr>
  </w:style>
  <w:style w:type="paragraph" w:customStyle="1" w:styleId="37">
    <w:name w:val="Revision"/>
    <w:hidden/>
    <w:unhideWhenUsed/>
    <w:qFormat/>
    <w:uiPriority w:val="99"/>
    <w:rPr>
      <w:rFonts w:ascii="Times New Roman" w:hAnsi="Times New Roman" w:eastAsia="仿宋_GB2312" w:cstheme="minorBidi"/>
      <w:kern w:val="2"/>
      <w:sz w:val="28"/>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12347</Words>
  <Characters>14432</Characters>
  <Lines>185</Lines>
  <Paragraphs>52</Paragraphs>
  <TotalTime>88</TotalTime>
  <ScaleCrop>false</ScaleCrop>
  <LinksUpToDate>false</LinksUpToDate>
  <CharactersWithSpaces>14714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2024-11-03T17:33:00Z</dcterms:created>
  <dc:creator>xch</dc:creator>
  <cp:lastModifiedBy>Shadow</cp:lastModifiedBy>
  <dcterms:modified xsi:type="dcterms:W3CDTF">2024-11-21T06:29:19Z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BB02731323E54FF5AD9474C8E49CBCC4_13</vt:lpwstr>
  </property>
</Properties>
</file>