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B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3"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冬小麦宽幅沟播技术规程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（2024年10月）</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181021949"/>
      <w:bookmarkStart w:id="23" w:name="_Toc181021882"/>
      <w:bookmarkStart w:id="24" w:name="_Toc181021840"/>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TOC \o "1-1" \h </w:instrText>
      </w:r>
      <w:r>
        <w:rPr>
          <w:color w:val="auto"/>
        </w:rPr>
        <w:fldChar w:fldCharType="separate"/>
      </w:r>
      <w:r>
        <w:rPr>
          <w:color w:val="auto"/>
        </w:rPr>
        <w:fldChar w:fldCharType="begin"/>
      </w:r>
      <w:r>
        <w:rPr>
          <w:color w:val="auto"/>
        </w:rPr>
        <w:instrText xml:space="preserve"> HYPERLINK \l "_Toc181022054" </w:instrText>
      </w:r>
      <w:r>
        <w:rPr>
          <w:color w:val="auto"/>
        </w:rPr>
        <w:fldChar w:fldCharType="separate"/>
      </w:r>
      <w:r>
        <w:rPr>
          <w:rStyle w:val="32"/>
          <w:rFonts w:hint="eastAsia"/>
          <w:color w:val="auto"/>
        </w:rPr>
        <w:t>前言</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_Toc181022054 \h</w:instrText>
      </w:r>
      <w:r>
        <w:rPr>
          <w:rFonts w:hint="eastAsia"/>
          <w:color w:val="auto"/>
        </w:rPr>
        <w:instrText xml:space="preserve"> </w:instrText>
      </w:r>
      <w:r>
        <w:rPr>
          <w:color w:val="auto"/>
        </w:rPr>
        <w:fldChar w:fldCharType="separate"/>
      </w:r>
      <w:r>
        <w:rPr>
          <w:color w:val="auto"/>
        </w:rPr>
        <w:t>II</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"_Toc181022055" </w:instrText>
      </w:r>
      <w:r>
        <w:rPr>
          <w:color w:val="auto"/>
        </w:rPr>
        <w:fldChar w:fldCharType="separate"/>
      </w:r>
      <w:r>
        <w:rPr>
          <w:rStyle w:val="32"/>
          <w:rFonts w:hint="eastAsia"/>
          <w:color w:val="auto"/>
        </w:rPr>
        <w:t>1</w:t>
      </w:r>
      <w:r>
        <w:rPr>
          <w:rStyle w:val="32"/>
          <w:color w:val="auto"/>
        </w:rPr>
        <w:t xml:space="preserve"> </w:t>
      </w:r>
      <w:r>
        <w:rPr>
          <w:rStyle w:val="32"/>
          <w:rFonts w:hint="eastAsia"/>
          <w:color w:val="auto"/>
        </w:rPr>
        <w:t xml:space="preserve"> 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_Toc181022055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"_Toc181022056" </w:instrText>
      </w:r>
      <w:r>
        <w:rPr>
          <w:color w:val="auto"/>
        </w:rPr>
        <w:fldChar w:fldCharType="separate"/>
      </w:r>
      <w:r>
        <w:rPr>
          <w:rStyle w:val="32"/>
          <w:rFonts w:hint="eastAsia"/>
          <w:color w:val="auto"/>
        </w:rPr>
        <w:t>2</w:t>
      </w:r>
      <w:r>
        <w:rPr>
          <w:rStyle w:val="32"/>
          <w:color w:val="auto"/>
        </w:rPr>
        <w:t xml:space="preserve"> </w:t>
      </w:r>
      <w:r>
        <w:rPr>
          <w:rStyle w:val="32"/>
          <w:rFonts w:hint="eastAsia"/>
          <w:color w:val="auto"/>
        </w:rPr>
        <w:t xml:space="preserve"> 规范性引用文件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_Toc181022056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"_Toc181022057" </w:instrText>
      </w:r>
      <w:r>
        <w:rPr>
          <w:color w:val="auto"/>
        </w:rPr>
        <w:fldChar w:fldCharType="separate"/>
      </w:r>
      <w:r>
        <w:rPr>
          <w:rStyle w:val="32"/>
          <w:rFonts w:hint="eastAsia"/>
          <w:color w:val="auto"/>
        </w:rPr>
        <w:t>3</w:t>
      </w:r>
      <w:r>
        <w:rPr>
          <w:rStyle w:val="32"/>
          <w:color w:val="auto"/>
        </w:rPr>
        <w:t xml:space="preserve"> </w:t>
      </w:r>
      <w:r>
        <w:rPr>
          <w:rStyle w:val="32"/>
          <w:rFonts w:hint="eastAsia"/>
          <w:color w:val="auto"/>
        </w:rPr>
        <w:t xml:space="preserve"> 术语和定义</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_Toc181022057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"_Toc181022058" </w:instrText>
      </w:r>
      <w:r>
        <w:rPr>
          <w:color w:val="auto"/>
        </w:rPr>
        <w:fldChar w:fldCharType="separate"/>
      </w:r>
      <w:r>
        <w:rPr>
          <w:rStyle w:val="32"/>
          <w:rFonts w:hint="eastAsia"/>
          <w:color w:val="auto"/>
        </w:rPr>
        <w:t>4</w:t>
      </w:r>
      <w:r>
        <w:rPr>
          <w:rStyle w:val="32"/>
          <w:color w:val="auto"/>
        </w:rPr>
        <w:t xml:space="preserve"> </w:t>
      </w:r>
      <w:r>
        <w:rPr>
          <w:rStyle w:val="32"/>
          <w:rFonts w:hint="eastAsia"/>
          <w:color w:val="auto"/>
        </w:rPr>
        <w:t xml:space="preserve"> </w:t>
      </w:r>
      <w:r>
        <w:rPr>
          <w:rStyle w:val="32"/>
          <w:rFonts w:hint="eastAsia"/>
          <w:color w:val="auto"/>
          <w:lang w:eastAsia="zh-CN"/>
        </w:rPr>
        <w:t>播前准备</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_Toc181022058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"_Toc181022059" </w:instrText>
      </w:r>
      <w:r>
        <w:rPr>
          <w:color w:val="auto"/>
        </w:rPr>
        <w:fldChar w:fldCharType="separate"/>
      </w:r>
      <w:r>
        <w:rPr>
          <w:rStyle w:val="32"/>
          <w:rFonts w:hint="eastAsia"/>
          <w:color w:val="auto"/>
        </w:rPr>
        <w:t>5</w:t>
      </w:r>
      <w:r>
        <w:rPr>
          <w:rStyle w:val="32"/>
          <w:color w:val="auto"/>
        </w:rPr>
        <w:t xml:space="preserve"> </w:t>
      </w:r>
      <w:r>
        <w:rPr>
          <w:rStyle w:val="32"/>
          <w:rFonts w:hint="eastAsia"/>
          <w:color w:val="auto"/>
        </w:rPr>
        <w:t xml:space="preserve"> </w:t>
      </w:r>
      <w:r>
        <w:rPr>
          <w:rStyle w:val="32"/>
          <w:rFonts w:hint="eastAsia"/>
          <w:color w:val="auto"/>
          <w:lang w:eastAsia="zh-CN"/>
        </w:rPr>
        <w:t>播种</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_Toc181022059 \h</w:instrText>
      </w:r>
      <w:r>
        <w:rPr>
          <w:rFonts w:hint="eastAsia"/>
          <w:color w:val="auto"/>
        </w:rPr>
        <w:instrText xml:space="preserve"> </w:instrText>
      </w:r>
      <w:r>
        <w:rPr>
          <w:color w:val="auto"/>
        </w:rPr>
        <w:fldChar w:fldCharType="separate"/>
      </w:r>
      <w:r>
        <w:rPr>
          <w:color w:val="auto"/>
        </w:rPr>
        <w:t>4</w:t>
      </w:r>
      <w:r>
        <w:rPr>
          <w:rFonts w:hint="eastAsia"/>
          <w:color w:val="auto"/>
        </w:rPr>
        <w:fldChar w:fldCharType="end"/>
      </w:r>
      <w:r>
        <w:rPr>
          <w:rFonts w:hint="eastAsia"/>
          <w:color w:val="auto"/>
        </w:rPr>
        <w:fldChar w:fldCharType="end"/>
      </w:r>
    </w:p>
    <w:p>
      <w:pPr>
        <w:pStyle w:val="19"/>
        <w:tabs>
          <w:tab w:val="right" w:leader="dot" w:pos="9344"/>
        </w:tabs>
        <w:rPr>
          <w:rStyle w:val="32"/>
          <w:rFonts w:hint="eastAsia" w:eastAsia="宋体"/>
          <w:color w:val="auto"/>
          <w:lang w:eastAsia="zh-CN"/>
        </w:rPr>
      </w:pPr>
      <w:r>
        <w:rPr>
          <w:color w:val="auto"/>
        </w:rPr>
        <w:fldChar w:fldCharType="begin"/>
      </w:r>
      <w:r>
        <w:rPr>
          <w:color w:val="auto"/>
        </w:rPr>
        <w:instrText xml:space="preserve"> HYPERLINK \l "_Toc181022060" </w:instrText>
      </w:r>
      <w:r>
        <w:rPr>
          <w:color w:val="auto"/>
        </w:rPr>
        <w:fldChar w:fldCharType="separate"/>
      </w:r>
      <w:r>
        <w:rPr>
          <w:rStyle w:val="32"/>
          <w:rFonts w:hint="eastAsia"/>
          <w:color w:val="auto"/>
        </w:rPr>
        <w:t>6</w:t>
      </w:r>
      <w:r>
        <w:rPr>
          <w:rStyle w:val="32"/>
          <w:color w:val="auto"/>
        </w:rPr>
        <w:t xml:space="preserve"> </w:t>
      </w:r>
      <w:r>
        <w:rPr>
          <w:rStyle w:val="32"/>
          <w:rFonts w:hint="eastAsia"/>
          <w:color w:val="auto"/>
        </w:rPr>
        <w:t xml:space="preserve"> </w:t>
      </w:r>
      <w:r>
        <w:rPr>
          <w:rStyle w:val="32"/>
          <w:rFonts w:hint="eastAsia"/>
          <w:color w:val="auto"/>
          <w:lang w:eastAsia="zh-CN"/>
        </w:rPr>
        <w:t>施肥</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_Toc181022060 \h</w:instrText>
      </w:r>
      <w:r>
        <w:rPr>
          <w:rFonts w:hint="eastAsia"/>
          <w:color w:val="auto"/>
        </w:rPr>
        <w:instrText xml:space="preserve"> </w:instrText>
      </w:r>
      <w:r>
        <w:rPr>
          <w:color w:val="auto"/>
        </w:rPr>
        <w:fldChar w:fldCharType="separate"/>
      </w:r>
      <w:r>
        <w:rPr>
          <w:color w:val="auto"/>
        </w:rPr>
        <w:t>4</w:t>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rStyle w:val="32"/>
          <w:rFonts w:hint="eastAsia"/>
          <w:color w:val="auto"/>
          <w:lang w:val="en-US" w:eastAsia="zh-CN"/>
        </w:rPr>
        <w:t xml:space="preserve">7  </w:t>
      </w:r>
      <w:r>
        <w:rPr>
          <w:rStyle w:val="32"/>
          <w:rFonts w:hint="eastAsia"/>
          <w:color w:val="auto"/>
        </w:rPr>
        <w:t>田间管理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_Toc181022060 \h</w:instrText>
      </w:r>
      <w:r>
        <w:rPr>
          <w:rFonts w:hint="eastAsia"/>
          <w:color w:val="auto"/>
        </w:rPr>
        <w:instrText xml:space="preserve"> </w:instrText>
      </w:r>
      <w:r>
        <w:rPr>
          <w:color w:val="auto"/>
        </w:rPr>
        <w:fldChar w:fldCharType="separate"/>
      </w:r>
      <w:r>
        <w:rPr>
          <w:color w:val="auto"/>
        </w:rPr>
        <w:t>4</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"_Toc181022061" </w:instrText>
      </w:r>
      <w:r>
        <w:rPr>
          <w:color w:val="auto"/>
        </w:rPr>
        <w:fldChar w:fldCharType="separate"/>
      </w:r>
      <w:r>
        <w:rPr>
          <w:rStyle w:val="32"/>
          <w:rFonts w:hint="eastAsia"/>
          <w:color w:val="auto"/>
          <w:lang w:val="en-US" w:eastAsia="zh-CN"/>
        </w:rPr>
        <w:t>8</w:t>
      </w:r>
      <w:r>
        <w:rPr>
          <w:rStyle w:val="32"/>
          <w:color w:val="auto"/>
        </w:rPr>
        <w:t xml:space="preserve"> </w:t>
      </w:r>
      <w:r>
        <w:rPr>
          <w:rStyle w:val="32"/>
          <w:rFonts w:hint="eastAsia"/>
          <w:color w:val="auto"/>
        </w:rPr>
        <w:t xml:space="preserve"> 防治病虫草害</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_Toc181022061 \h</w:instrText>
      </w:r>
      <w:r>
        <w:rPr>
          <w:rFonts w:hint="eastAsia"/>
          <w:color w:val="auto"/>
        </w:rPr>
        <w:instrText xml:space="preserve"> </w:instrText>
      </w:r>
      <w:r>
        <w:rPr>
          <w:color w:val="auto"/>
        </w:rPr>
        <w:fldChar w:fldCharType="separate"/>
      </w:r>
      <w:r>
        <w:rPr>
          <w:color w:val="auto"/>
        </w:rPr>
        <w:t>5</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"_Toc181022062" </w:instrText>
      </w:r>
      <w:r>
        <w:rPr>
          <w:color w:val="auto"/>
        </w:rPr>
        <w:fldChar w:fldCharType="separate"/>
      </w:r>
      <w:r>
        <w:rPr>
          <w:rStyle w:val="32"/>
          <w:rFonts w:hint="eastAsia"/>
          <w:color w:val="auto"/>
          <w:lang w:val="en-US" w:eastAsia="zh-CN"/>
        </w:rPr>
        <w:t>9</w:t>
      </w:r>
      <w:r>
        <w:rPr>
          <w:rStyle w:val="32"/>
          <w:color w:val="auto"/>
        </w:rPr>
        <w:t xml:space="preserve"> </w:t>
      </w:r>
      <w:r>
        <w:rPr>
          <w:rStyle w:val="32"/>
          <w:rFonts w:hint="eastAsia"/>
          <w:color w:val="auto"/>
        </w:rPr>
        <w:t xml:space="preserve"> 收获和贮藏</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_Toc181022062 \h</w:instrText>
      </w:r>
      <w:r>
        <w:rPr>
          <w:rFonts w:hint="eastAsia"/>
          <w:color w:val="auto"/>
        </w:rPr>
        <w:instrText xml:space="preserve"> </w:instrText>
      </w:r>
      <w:r>
        <w:rPr>
          <w:color w:val="auto"/>
        </w:rPr>
        <w:fldChar w:fldCharType="separate"/>
      </w:r>
      <w:r>
        <w:rPr>
          <w:color w:val="auto"/>
        </w:rPr>
        <w:t>5</w:t>
      </w:r>
      <w:r>
        <w:rPr>
          <w:rFonts w:hint="eastAsia"/>
          <w:color w:val="auto"/>
        </w:rPr>
        <w:fldChar w:fldCharType="end"/>
      </w:r>
      <w:r>
        <w:rPr>
          <w:rFonts w:hint="eastAsia"/>
          <w:color w:val="auto"/>
        </w:rPr>
        <w:fldChar w:fldCharType="end"/>
      </w:r>
    </w:p>
    <w:p>
      <w:pPr>
        <w:pStyle w:val="19"/>
        <w:tabs>
          <w:tab w:val="right" w:leader="dot" w:pos="9344"/>
        </w:tabs>
        <w:rPr>
          <w:rFonts w:hint="eastAsia"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"_Toc181022063" </w:instrText>
      </w:r>
      <w:r>
        <w:rPr>
          <w:color w:val="auto"/>
        </w:rPr>
        <w:fldChar w:fldCharType="separate"/>
      </w:r>
      <w:r>
        <w:rPr>
          <w:rStyle w:val="32"/>
          <w:rFonts w:hint="eastAsia"/>
          <w:color w:val="auto"/>
          <w:lang w:val="en-US" w:eastAsia="zh-CN"/>
        </w:rPr>
        <w:t>10</w:t>
      </w:r>
      <w:r>
        <w:rPr>
          <w:rStyle w:val="32"/>
          <w:color w:val="auto"/>
        </w:rPr>
        <w:t xml:space="preserve"> </w:t>
      </w:r>
      <w:r>
        <w:rPr>
          <w:rStyle w:val="32"/>
          <w:rFonts w:hint="eastAsia"/>
          <w:color w:val="auto"/>
        </w:rPr>
        <w:t xml:space="preserve"> 生产档案</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_Toc181022063 \h</w:instrText>
      </w:r>
      <w:r>
        <w:rPr>
          <w:rFonts w:hint="eastAsia"/>
          <w:color w:val="auto"/>
        </w:rPr>
        <w:instrText xml:space="preserve"> </w:instrText>
      </w:r>
      <w:r>
        <w:rPr>
          <w:color w:val="auto"/>
        </w:rPr>
        <w:fldChar w:fldCharType="separate"/>
      </w:r>
      <w:r>
        <w:rPr>
          <w:color w:val="auto"/>
        </w:rPr>
        <w:t>5</w:t>
      </w:r>
      <w:r>
        <w:rPr>
          <w:rFonts w:hint="eastAsia"/>
          <w:color w:val="auto"/>
        </w:rPr>
        <w:fldChar w:fldCharType="end"/>
      </w:r>
      <w:r>
        <w:rPr>
          <w:rFonts w:hint="eastAsia"/>
          <w:color w:val="auto"/>
        </w:rP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color w:val="auto"/>
        </w:rPr>
        <w:fldChar w:fldCharType="end"/>
      </w:r>
    </w:p>
    <w:bookmarkEnd w:id="21"/>
    <w:p>
      <w:pPr>
        <w:pStyle w:val="89"/>
        <w:spacing w:before="900" w:after="468"/>
        <w:rPr>
          <w:rFonts w:hint="eastAsia"/>
        </w:rPr>
      </w:pPr>
      <w:bookmarkStart w:id="25" w:name="_Toc181022054"/>
      <w:bookmarkStart w:id="26" w:name="BookMark2"/>
      <w:r>
        <w:rPr>
          <w:rFonts w:hint="eastAsia"/>
          <w:spacing w:val="320"/>
        </w:rPr>
        <w:t>前</w:t>
      </w:r>
      <w:r>
        <w:rPr>
          <w:rFonts w:hint="eastAsia"/>
        </w:rPr>
        <w:t>言</w:t>
      </w:r>
      <w:bookmarkEnd w:id="22"/>
      <w:bookmarkEnd w:id="23"/>
      <w:bookmarkEnd w:id="24"/>
      <w:bookmarkEnd w:id="25"/>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本文件由山西省农业农村厅提出、组织实施和监督检查。</w:t>
      </w:r>
    </w:p>
    <w:p>
      <w:pPr>
        <w:pStyle w:val="56"/>
        <w:ind w:firstLine="420"/>
      </w:pPr>
      <w:r>
        <w:rPr>
          <w:rFonts w:hint="eastAsia"/>
        </w:rPr>
        <w:t>本文件由山西省市场监督管理局对标准的组织实施情况进行监督检查。</w:t>
      </w:r>
    </w:p>
    <w:p>
      <w:pPr>
        <w:pStyle w:val="56"/>
        <w:ind w:firstLine="420"/>
        <w:rPr>
          <w:rFonts w:hint="eastAsia"/>
        </w:rPr>
      </w:pPr>
      <w:r>
        <w:rPr>
          <w:rFonts w:hint="eastAsia"/>
        </w:rPr>
        <w:t>本文件由山西省农业标准化技术委员会归口。</w:t>
      </w:r>
    </w:p>
    <w:p>
      <w:pPr>
        <w:pStyle w:val="56"/>
        <w:ind w:firstLine="420"/>
        <w:rPr>
          <w:rFonts w:hint="eastAsia"/>
        </w:rPr>
      </w:pPr>
      <w:r>
        <w:rPr>
          <w:rFonts w:hint="eastAsia"/>
        </w:rPr>
        <w:t>本文件起草单位：山西省农业技术推广服务中心、山西农业大学农学院、山西省农产品质量安全中心</w:t>
      </w:r>
      <w:r>
        <w:rPr>
          <w:rFonts w:hint="eastAsia"/>
          <w:lang w:eastAsia="zh-CN"/>
        </w:rPr>
        <w:t>、山西农业大学山西功能农业研究院、</w:t>
      </w:r>
      <w:r>
        <w:rPr>
          <w:rFonts w:hint="eastAsia"/>
        </w:rPr>
        <w:t>运城市农业技术推广与园艺产业发展</w:t>
      </w:r>
      <w:r>
        <w:rPr>
          <w:rFonts w:hint="eastAsia"/>
          <w:color w:val="auto"/>
        </w:rPr>
        <w:t>工作站</w:t>
      </w:r>
      <w:r>
        <w:rPr>
          <w:rFonts w:hint="eastAsia"/>
          <w:color w:val="auto"/>
          <w:lang w:eastAsia="zh-CN"/>
        </w:rPr>
        <w:t>、临汾市现代农业发展中心、晋城市现代农业发展中心、</w:t>
      </w:r>
      <w:r>
        <w:rPr>
          <w:rFonts w:hint="eastAsia"/>
        </w:rPr>
        <w:t>太原市农业技术推广服务中心</w:t>
      </w:r>
      <w:r>
        <w:rPr>
          <w:rFonts w:hint="eastAsia"/>
          <w:lang w:eastAsia="zh-CN"/>
        </w:rPr>
        <w:t>、</w:t>
      </w:r>
      <w:r>
        <w:rPr>
          <w:rFonts w:hint="eastAsia"/>
        </w:rPr>
        <w:t>洪洞县现代农业发展中心</w:t>
      </w:r>
      <w:r>
        <w:rPr>
          <w:rFonts w:hint="eastAsia"/>
          <w:lang w:eastAsia="zh-CN"/>
        </w:rPr>
        <w:t>、神农科技集团有限公司</w:t>
      </w:r>
      <w:r>
        <w:rPr>
          <w:rFonts w:hint="eastAsia"/>
        </w:rPr>
        <w:t>。</w:t>
      </w:r>
    </w:p>
    <w:p>
      <w:pPr>
        <w:pStyle w:val="230"/>
        <w:rPr>
          <w:rFonts w:hint="eastAsia"/>
        </w:rPr>
      </w:pPr>
      <w:r>
        <w:rPr>
          <w:rFonts w:hint="eastAsia"/>
        </w:rPr>
        <w:t>本文件主要起草人：</w:t>
      </w:r>
      <w:bookmarkStart w:id="27" w:name="_Hlk181019874"/>
      <w:r>
        <w:rPr>
          <w:rFonts w:hint="eastAsia"/>
        </w:rPr>
        <w:t>韩柏岳</w:t>
      </w:r>
      <w:bookmarkEnd w:id="27"/>
      <w:r>
        <w:rPr>
          <w:rFonts w:hint="eastAsia"/>
        </w:rPr>
        <w:t>、孙敏、延晓倩、郭郁、</w:t>
      </w:r>
      <w:bookmarkStart w:id="115" w:name="_GoBack"/>
      <w:bookmarkEnd w:id="115"/>
      <w:r>
        <w:rPr>
          <w:rFonts w:hint="eastAsia"/>
        </w:rPr>
        <w:t>任爱霞、林文、齐永红、王月超、</w:t>
      </w:r>
      <w:r>
        <w:rPr>
          <w:rFonts w:hint="eastAsia"/>
          <w:lang w:eastAsia="zh-CN"/>
        </w:rPr>
        <w:t>徐隽铭、李玉琪、</w:t>
      </w:r>
      <w:r>
        <w:rPr>
          <w:rFonts w:hint="eastAsia"/>
        </w:rPr>
        <w:t>巩宇芬、刘丽青、</w:t>
      </w:r>
      <w:r>
        <w:rPr>
          <w:rFonts w:hint="eastAsia"/>
          <w:lang w:eastAsia="zh-CN"/>
        </w:rPr>
        <w:t>芦明、</w:t>
      </w:r>
      <w:r>
        <w:rPr>
          <w:rFonts w:hint="eastAsia"/>
        </w:rPr>
        <w:t>王小泰、</w:t>
      </w:r>
      <w:r>
        <w:rPr>
          <w:rFonts w:hint="eastAsia"/>
          <w:lang w:eastAsia="zh-CN"/>
        </w:rPr>
        <w:t>樊晋源、</w:t>
      </w:r>
      <w:r>
        <w:rPr>
          <w:rFonts w:hint="eastAsia"/>
        </w:rPr>
        <w:t>杨洋、</w:t>
      </w:r>
      <w:r>
        <w:rPr>
          <w:rFonts w:hint="eastAsia"/>
          <w:lang w:eastAsia="zh-CN"/>
        </w:rPr>
        <w:t>鲁栋梁、谢莹、</w:t>
      </w:r>
      <w:r>
        <w:rPr>
          <w:rFonts w:hint="eastAsia"/>
        </w:rPr>
        <w:t>曹淼、张东平。</w:t>
      </w:r>
    </w:p>
    <w:p>
      <w:pPr>
        <w:pStyle w:val="56"/>
        <w:ind w:firstLine="420"/>
        <w:rPr>
          <w:rFonts w:hint="eastAsia"/>
        </w:rPr>
      </w:pPr>
    </w:p>
    <w:p>
      <w:pPr>
        <w:pStyle w:val="56"/>
        <w:ind w:firstLine="420"/>
        <w:rPr>
          <w:rFonts w:hint="eastAsia"/>
        </w:rPr>
      </w:pPr>
    </w:p>
    <w:p>
      <w:pPr>
        <w:pStyle w:val="56"/>
        <w:ind w:firstLine="420"/>
        <w:rPr>
          <w:rFonts w:hint="eastAsia"/>
        </w:rPr>
      </w:pPr>
    </w:p>
    <w:p>
      <w:pPr>
        <w:tabs>
          <w:tab w:val="center" w:pos="4677"/>
        </w:tabs>
        <w:rPr>
          <w:rFonts w:hint="eastAsia"/>
        </w:rPr>
        <w:sectPr>
          <w:pgSz w:w="11906" w:h="16838"/>
          <w:pgMar w:top="1928" w:right="1134" w:bottom="1134" w:left="1134" w:header="1418" w:footer="1134" w:gutter="284"/>
          <w:pgNumType w:fmt="upperRoman"/>
          <w:cols w:space="425" w:num="1"/>
          <w:formProt w:val="0"/>
          <w:docGrid w:type="lines" w:linePitch="312" w:charSpace="0"/>
        </w:sectPr>
      </w:pPr>
      <w:r>
        <w:tab/>
      </w:r>
    </w:p>
    <w:bookmarkEnd w:id="26"/>
    <w:p>
      <w:pPr>
        <w:spacing w:line="20" w:lineRule="exact"/>
        <w:jc w:val="center"/>
        <w:rPr>
          <w:rFonts w:hint="eastAsia" w:ascii="黑体" w:hAnsi="黑体" w:eastAsia="黑体"/>
          <w:sz w:val="32"/>
          <w:szCs w:val="32"/>
        </w:rPr>
      </w:pPr>
      <w:bookmarkStart w:id="28"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2108069D7EAC4676ABD17CD465FEFFB9"/>
        </w:placeholder>
      </w:sdtPr>
      <w:sdtContent>
        <w:p>
          <w:pPr>
            <w:pStyle w:val="177"/>
            <w:spacing w:before="312" w:beforeLines="100" w:after="686" w:afterLines="220"/>
            <w:rPr>
              <w:rFonts w:hint="eastAsia"/>
            </w:rPr>
          </w:pPr>
          <w:bookmarkStart w:id="29" w:name="NEW_STAND_NAME"/>
          <w:r>
            <w:rPr>
              <w:rFonts w:hint="eastAsia"/>
            </w:rPr>
            <w:t>冬小麦宽幅沟播技术规程</w:t>
          </w:r>
        </w:p>
      </w:sdtContent>
    </w:sdt>
    <w:bookmarkEnd w:id="29"/>
    <w:p>
      <w:pPr>
        <w:pStyle w:val="104"/>
        <w:spacing w:before="312" w:after="312"/>
      </w:pPr>
      <w:bookmarkStart w:id="30" w:name="_Toc26986530"/>
      <w:bookmarkStart w:id="31" w:name="_Toc24884218"/>
      <w:bookmarkStart w:id="32" w:name="_Toc26648465"/>
      <w:bookmarkStart w:id="33" w:name="_Toc181021841"/>
      <w:bookmarkStart w:id="34" w:name="_Toc181021883"/>
      <w:bookmarkStart w:id="35" w:name="_Toc97191423"/>
      <w:bookmarkStart w:id="36" w:name="_Toc181022055"/>
      <w:bookmarkStart w:id="37" w:name="_Toc17233325"/>
      <w:bookmarkStart w:id="38" w:name="_Toc26718930"/>
      <w:bookmarkStart w:id="39" w:name="_Toc24884211"/>
      <w:bookmarkStart w:id="40" w:name="_Toc17233333"/>
      <w:bookmarkStart w:id="41" w:name="_Toc26986771"/>
      <w:bookmarkStart w:id="42" w:name="_Toc181021950"/>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pPr>
        <w:pStyle w:val="56"/>
        <w:ind w:firstLine="420"/>
        <w:rPr>
          <w:rFonts w:hint="eastAsia"/>
        </w:rPr>
      </w:pPr>
      <w:bookmarkStart w:id="43" w:name="_Toc24884212"/>
      <w:bookmarkStart w:id="44" w:name="_Toc26648466"/>
      <w:bookmarkStart w:id="45" w:name="_Toc24884219"/>
      <w:bookmarkStart w:id="46" w:name="_Toc17233334"/>
      <w:bookmarkStart w:id="47" w:name="_Toc17233326"/>
      <w:r>
        <w:rPr>
          <w:rFonts w:hint="eastAsia"/>
        </w:rPr>
        <w:t>本文件规定了冬小麦宽幅沟播种植的术语和定义、整地、播前准备、田间管理、防治病虫草害、收获和贮藏及生产档案。</w:t>
      </w:r>
    </w:p>
    <w:p>
      <w:pPr>
        <w:pStyle w:val="56"/>
        <w:ind w:firstLine="420"/>
      </w:pPr>
      <w:r>
        <w:rPr>
          <w:rFonts w:hint="eastAsia"/>
        </w:rPr>
        <w:t>本标准适用于冬小麦宽幅沟播区域的栽培。</w:t>
      </w:r>
    </w:p>
    <w:p>
      <w:pPr>
        <w:pStyle w:val="104"/>
        <w:spacing w:before="312" w:after="312"/>
      </w:pPr>
      <w:bookmarkStart w:id="48" w:name="_Toc181021951"/>
      <w:bookmarkStart w:id="49" w:name="_Toc181021842"/>
      <w:bookmarkStart w:id="50" w:name="_Toc26986531"/>
      <w:bookmarkStart w:id="51" w:name="_Toc181022056"/>
      <w:bookmarkStart w:id="52" w:name="_Toc181021884"/>
      <w:bookmarkStart w:id="53" w:name="_Toc97191424"/>
      <w:bookmarkStart w:id="54" w:name="_Toc26986772"/>
      <w:bookmarkStart w:id="55" w:name="_Toc2671893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6FF9258EC4B74B31BA6321381A5732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 15618   土壤环境质量 农用地土壤污染风险管控标准（试行）</w:t>
      </w:r>
    </w:p>
    <w:p>
      <w:pPr>
        <w:pStyle w:val="56"/>
        <w:ind w:firstLine="420"/>
      </w:pPr>
      <w:r>
        <w:rPr>
          <w:rFonts w:hint="eastAsia"/>
        </w:rPr>
        <w:t>GB/T 15671  农作物薄膜包衣种子技术条件</w:t>
      </w:r>
    </w:p>
    <w:p>
      <w:pPr>
        <w:pStyle w:val="56"/>
        <w:ind w:firstLine="420"/>
        <w:rPr>
          <w:rFonts w:hint="eastAsia"/>
        </w:rPr>
      </w:pPr>
      <w:r>
        <w:rPr>
          <w:rFonts w:hint="eastAsia"/>
        </w:rPr>
        <w:t>GB 3095 环境空气质量标准</w:t>
      </w:r>
    </w:p>
    <w:p>
      <w:pPr>
        <w:pStyle w:val="56"/>
        <w:ind w:firstLine="420"/>
        <w:rPr>
          <w:rFonts w:hint="eastAsia"/>
        </w:rPr>
      </w:pPr>
      <w:r>
        <w:rPr>
          <w:rFonts w:hint="eastAsia"/>
        </w:rPr>
        <w:t>GB 4404.1  粮食作物种子 第1部分：禾谷类</w:t>
      </w:r>
    </w:p>
    <w:p>
      <w:pPr>
        <w:pStyle w:val="56"/>
        <w:ind w:firstLine="420"/>
        <w:rPr>
          <w:rFonts w:hint="eastAsia"/>
        </w:rPr>
      </w:pPr>
      <w:r>
        <w:rPr>
          <w:rFonts w:hint="eastAsia"/>
        </w:rPr>
        <w:t>GB 5084   农田灌溉水质标准</w:t>
      </w:r>
    </w:p>
    <w:p>
      <w:pPr>
        <w:pStyle w:val="56"/>
        <w:ind w:firstLine="420"/>
      </w:pPr>
      <w:r>
        <w:rPr>
          <w:rFonts w:hint="eastAsia"/>
        </w:rPr>
        <w:t>GB/T 8321  农药合理使用准则（所有部分）</w:t>
      </w:r>
    </w:p>
    <w:p>
      <w:pPr>
        <w:pStyle w:val="56"/>
        <w:ind w:firstLine="420"/>
        <w:rPr>
          <w:rFonts w:hint="eastAsia"/>
        </w:rPr>
      </w:pPr>
      <w:r>
        <w:rPr>
          <w:rFonts w:hint="eastAsia"/>
        </w:rPr>
        <w:t>NY/T 496   肥料合理使用准则 通则</w:t>
      </w:r>
    </w:p>
    <w:p>
      <w:pPr>
        <w:pStyle w:val="104"/>
        <w:spacing w:before="312" w:after="312"/>
      </w:pPr>
      <w:bookmarkStart w:id="56" w:name="_Toc181021843"/>
      <w:bookmarkStart w:id="57" w:name="_Toc97191425"/>
      <w:bookmarkStart w:id="58" w:name="_Toc181021885"/>
      <w:bookmarkStart w:id="59" w:name="_Toc181022057"/>
      <w:bookmarkStart w:id="60" w:name="_Toc181021952"/>
      <w:r>
        <w:rPr>
          <w:rFonts w:hint="eastAsia"/>
          <w:szCs w:val="21"/>
        </w:rPr>
        <w:t>术语和定义</w:t>
      </w:r>
      <w:bookmarkEnd w:id="56"/>
      <w:bookmarkEnd w:id="57"/>
      <w:bookmarkEnd w:id="58"/>
      <w:bookmarkEnd w:id="59"/>
      <w:bookmarkEnd w:id="60"/>
    </w:p>
    <w:sdt>
      <w:sdtPr>
        <w:id w:val="-1909835108"/>
        <w:placeholder>
          <w:docPart w:val="70C2C407AA554E9094B44838560C07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rPr>
              <w:rFonts w:hint="eastAsia"/>
            </w:rPr>
          </w:pPr>
          <w:bookmarkStart w:id="61" w:name="_Toc26986532"/>
          <w:bookmarkEnd w:id="61"/>
          <w:r>
            <w:t>下列术语和定义适用于本文件。</w:t>
          </w:r>
        </w:p>
      </w:sdtContent>
    </w:sdt>
    <w:p>
      <w:pPr>
        <w:pStyle w:val="105"/>
        <w:spacing w:before="156" w:after="156"/>
        <w:rPr>
          <w:rFonts w:hint="eastAsia"/>
        </w:rPr>
      </w:pPr>
      <w:bookmarkStart w:id="62" w:name="_Toc181021886"/>
      <w:bookmarkStart w:id="63" w:name="_Toc181021844"/>
      <w:r>
        <w:rPr>
          <w:rFonts w:hint="eastAsia"/>
        </w:rPr>
        <w:t>宽幅沟播</w:t>
      </w:r>
      <w:bookmarkEnd w:id="62"/>
      <w:bookmarkEnd w:id="63"/>
    </w:p>
    <w:p>
      <w:pPr>
        <w:pStyle w:val="230"/>
      </w:pPr>
      <w:r>
        <w:rPr>
          <w:rFonts w:hint="eastAsia"/>
        </w:rPr>
        <w:t>一种采用小麦宽幅沟播机将种子均匀播在沟宽25 cm、沟深10 cm～12 cm的播种沟内的播种技术。</w:t>
      </w:r>
    </w:p>
    <w:p>
      <w:pPr>
        <w:pStyle w:val="104"/>
        <w:spacing w:before="312" w:after="312"/>
        <w:rPr>
          <w:rFonts w:hint="eastAsia"/>
        </w:rPr>
      </w:pPr>
      <w:bookmarkStart w:id="64" w:name="_Toc181022058"/>
      <w:r>
        <w:rPr>
          <w:rFonts w:hint="eastAsia"/>
          <w:lang w:eastAsia="zh-CN"/>
        </w:rPr>
        <w:t>播前准备</w:t>
      </w:r>
    </w:p>
    <w:p>
      <w:pPr>
        <w:pStyle w:val="104"/>
        <w:numPr>
          <w:ilvl w:val="1"/>
          <w:numId w:val="0"/>
        </w:numPr>
        <w:spacing w:before="312" w:after="312"/>
        <w:ind w:leftChars="0"/>
        <w:rPr>
          <w:rFonts w:hint="eastAsia"/>
        </w:rPr>
      </w:pPr>
      <w:r>
        <w:rPr>
          <w:rFonts w:hint="eastAsia"/>
          <w:lang w:val="en-US" w:eastAsia="zh-CN"/>
        </w:rPr>
        <w:t>4.1</w:t>
      </w:r>
      <w:r>
        <w:rPr>
          <w:rFonts w:hint="eastAsia"/>
        </w:rPr>
        <w:t>整地</w:t>
      </w:r>
      <w:bookmarkEnd w:id="64"/>
    </w:p>
    <w:p>
      <w:pPr>
        <w:pStyle w:val="230"/>
        <w:rPr>
          <w:rFonts w:hint="eastAsia"/>
        </w:rPr>
      </w:pPr>
      <w:r>
        <w:rPr>
          <w:rFonts w:hint="eastAsia"/>
        </w:rPr>
        <w:t>每2-3年要深耕或深松一次，破除犁底层，耕深要达到25 cm以上，耕后及时耙平压实土壤，以保证种床上虚下实，有利出全苗和幼苗生长。前茬作物收获后及早粉碎秸秆，秸秆粉碎长度≤5 cm，切碎撒匀，草土混匀，埋草深度达到12 cm～15 cm，镇压耙实。</w:t>
      </w:r>
    </w:p>
    <w:p>
      <w:pPr>
        <w:pStyle w:val="104"/>
        <w:numPr>
          <w:ilvl w:val="1"/>
          <w:numId w:val="0"/>
        </w:numPr>
        <w:spacing w:before="312" w:after="312"/>
        <w:ind w:leftChars="0"/>
        <w:rPr>
          <w:rFonts w:hint="default"/>
          <w:lang w:val="en-US" w:eastAsia="zh-CN"/>
        </w:rPr>
      </w:pPr>
      <w:r>
        <w:rPr>
          <w:rFonts w:hint="eastAsia"/>
          <w:lang w:val="en-US" w:eastAsia="zh-CN"/>
        </w:rPr>
        <w:t>4.2造墒</w:t>
      </w:r>
    </w:p>
    <w:p>
      <w:pPr>
        <w:pStyle w:val="230"/>
      </w:pPr>
      <w:r>
        <w:rPr>
          <w:rFonts w:hint="eastAsia"/>
        </w:rPr>
        <w:t>0 cm～20 cm土壤含水量17 %左右或相对含水量70 %左右；土壤含水量低于14 %或相对含水量低于60 %时需造墒播种。对于播种时表墒较差的旱地麦田</w:t>
      </w:r>
      <w:r>
        <w:rPr>
          <w:rFonts w:hint="eastAsia"/>
          <w:lang w:eastAsia="zh-CN"/>
        </w:rPr>
        <w:t>可适当加大开沟深度</w:t>
      </w:r>
      <w:r>
        <w:rPr>
          <w:rFonts w:hint="eastAsia"/>
        </w:rPr>
        <w:t>，水地麦田可采取先播种后浇蒙头水的措施，促进出苗；土壤过湿时，要及时排水晾墒，确保适墒播种。</w:t>
      </w:r>
    </w:p>
    <w:p>
      <w:pPr>
        <w:pStyle w:val="104"/>
        <w:spacing w:before="312" w:after="312"/>
      </w:pPr>
      <w:r>
        <w:rPr>
          <w:rFonts w:hint="eastAsia"/>
          <w:lang w:eastAsia="zh-CN"/>
        </w:rPr>
        <w:t>播种</w:t>
      </w:r>
    </w:p>
    <w:p>
      <w:pPr>
        <w:pStyle w:val="105"/>
        <w:spacing w:before="156" w:after="156"/>
        <w:rPr>
          <w:rFonts w:hint="eastAsia"/>
        </w:rPr>
      </w:pPr>
      <w:bookmarkStart w:id="65" w:name="_Toc181021889"/>
      <w:bookmarkStart w:id="66" w:name="_Toc181021848"/>
      <w:r>
        <w:rPr>
          <w:rFonts w:hint="eastAsia"/>
        </w:rPr>
        <w:t>品种选择</w:t>
      </w:r>
      <w:bookmarkEnd w:id="65"/>
      <w:bookmarkEnd w:id="66"/>
    </w:p>
    <w:p>
      <w:pPr>
        <w:pStyle w:val="230"/>
        <w:jc w:val="left"/>
        <w:rPr>
          <w:rFonts w:hint="eastAsia"/>
        </w:rPr>
      </w:pPr>
      <w:r>
        <w:rPr>
          <w:rFonts w:hint="eastAsia"/>
        </w:rPr>
        <w:t>选择通过国家或山西省品种审定委员会审定的小麦品种，选用高产、稳产、抗逆性好的中穗型或大穗型品种。</w:t>
      </w:r>
    </w:p>
    <w:p>
      <w:pPr>
        <w:pStyle w:val="105"/>
        <w:spacing w:before="156" w:after="156"/>
        <w:rPr>
          <w:rFonts w:hint="eastAsia"/>
        </w:rPr>
      </w:pPr>
      <w:bookmarkStart w:id="67" w:name="_Toc181021849"/>
      <w:bookmarkStart w:id="68" w:name="_Toc181021890"/>
      <w:r>
        <w:rPr>
          <w:rFonts w:hint="eastAsia"/>
        </w:rPr>
        <w:t>种子质量</w:t>
      </w:r>
      <w:bookmarkEnd w:id="67"/>
      <w:bookmarkEnd w:id="68"/>
    </w:p>
    <w:p>
      <w:pPr>
        <w:pStyle w:val="230"/>
        <w:jc w:val="left"/>
        <w:rPr>
          <w:rFonts w:hint="eastAsia"/>
        </w:rPr>
      </w:pPr>
      <w:r>
        <w:rPr>
          <w:rFonts w:hint="eastAsia"/>
        </w:rPr>
        <w:t>种子质量应符合</w:t>
      </w:r>
      <w:r>
        <w:rPr>
          <w:rFonts w:hint="eastAsia"/>
          <w:color w:val="000000"/>
          <w:szCs w:val="21"/>
        </w:rPr>
        <w:t>GB 4404.1</w:t>
      </w:r>
      <w:r>
        <w:rPr>
          <w:rFonts w:hint="eastAsia"/>
        </w:rPr>
        <w:t>的规定，纯度≥99.0%、净度≥99.0%、发芽率≥85.0%。</w:t>
      </w:r>
    </w:p>
    <w:p>
      <w:pPr>
        <w:pStyle w:val="105"/>
        <w:spacing w:before="156" w:after="156"/>
        <w:rPr>
          <w:rFonts w:hint="eastAsia"/>
        </w:rPr>
      </w:pPr>
      <w:bookmarkStart w:id="69" w:name="_Toc181021891"/>
      <w:bookmarkStart w:id="70" w:name="_Toc181021850"/>
      <w:r>
        <w:rPr>
          <w:rFonts w:hint="eastAsia"/>
        </w:rPr>
        <w:t>种子处理</w:t>
      </w:r>
      <w:bookmarkEnd w:id="69"/>
      <w:bookmarkEnd w:id="70"/>
    </w:p>
    <w:p>
      <w:pPr>
        <w:pStyle w:val="230"/>
        <w:jc w:val="left"/>
        <w:rPr>
          <w:rFonts w:hint="eastAsia"/>
        </w:rPr>
      </w:pPr>
      <w:r>
        <w:rPr>
          <w:rFonts w:hint="eastAsia"/>
        </w:rPr>
        <w:t>选用27%苯醚·咯·噻虫悬浮种衣剂20 ml～40 ml兑水180 ml包衣10 kg麦种，或31.9%戊唑·吡虫啉悬浮种衣剂40 ml兑水200 ml包衣10 kg麦种，或45%烯肟·苯·噻虫悬浮种衣剂50 g兑水150 ml包衣10 kg麦种。注意药剂包衣要均匀，播种前1周内包衣、阴干。种子包衣应符合</w:t>
      </w:r>
      <w:r>
        <w:rPr>
          <w:rFonts w:hint="eastAsia"/>
          <w:color w:val="000000"/>
          <w:szCs w:val="21"/>
        </w:rPr>
        <w:t>GB/T 15671</w:t>
      </w:r>
      <w:r>
        <w:rPr>
          <w:rFonts w:hint="eastAsia"/>
        </w:rPr>
        <w:t>的规定。</w:t>
      </w:r>
    </w:p>
    <w:p>
      <w:pPr>
        <w:pStyle w:val="65"/>
        <w:numPr>
          <w:ilvl w:val="3"/>
          <w:numId w:val="0"/>
        </w:numPr>
        <w:spacing w:before="156" w:after="156"/>
        <w:ind w:leftChars="0"/>
      </w:pPr>
      <w:r>
        <w:rPr>
          <w:rFonts w:hint="eastAsia"/>
          <w:lang w:val="en-US" w:eastAsia="zh-CN"/>
        </w:rPr>
        <w:t>5.4</w:t>
      </w:r>
      <w:r>
        <w:rPr>
          <w:rFonts w:hint="eastAsia"/>
        </w:rPr>
        <w:t>播期</w:t>
      </w:r>
    </w:p>
    <w:p>
      <w:pPr>
        <w:pStyle w:val="56"/>
        <w:ind w:left="210" w:leftChars="100" w:firstLine="315" w:firstLineChars="150"/>
        <w:rPr>
          <w:rFonts w:hint="eastAsia"/>
        </w:rPr>
      </w:pPr>
      <w:r>
        <w:rPr>
          <w:rFonts w:hint="eastAsia"/>
        </w:rPr>
        <w:t>冬前满足0℃以上积温570 ℃～650 ℃的即为适播期。山西南部麦区适播期：旱地为9月28日-10月10日，水地为10月5日-10月20日；山西中部麦区适播期：旱地为9月25日-10月5日，水地为10月1日-10月10日。</w:t>
      </w:r>
    </w:p>
    <w:p>
      <w:pPr>
        <w:pStyle w:val="65"/>
        <w:numPr>
          <w:ilvl w:val="3"/>
          <w:numId w:val="0"/>
        </w:numPr>
        <w:spacing w:before="156" w:after="156"/>
        <w:ind w:leftChars="0"/>
        <w:rPr>
          <w:rFonts w:hint="eastAsia"/>
        </w:rPr>
      </w:pPr>
      <w:r>
        <w:rPr>
          <w:rFonts w:hint="eastAsia"/>
          <w:lang w:val="en-US" w:eastAsia="zh-CN"/>
        </w:rPr>
        <w:t>5.5</w:t>
      </w:r>
      <w:r>
        <w:rPr>
          <w:rFonts w:hint="eastAsia"/>
        </w:rPr>
        <w:t>播量</w:t>
      </w:r>
    </w:p>
    <w:p>
      <w:pPr>
        <w:pStyle w:val="230"/>
        <w:rPr>
          <w:rFonts w:hint="eastAsia"/>
        </w:rPr>
      </w:pPr>
      <w:r>
        <w:rPr>
          <w:rFonts w:hint="eastAsia"/>
        </w:rPr>
        <w:t>水地亩播量12.5 kg～15 kg，旱地小麦亩播量7.5 kg～10 kg。</w:t>
      </w:r>
    </w:p>
    <w:p>
      <w:pPr>
        <w:pStyle w:val="65"/>
        <w:numPr>
          <w:ilvl w:val="3"/>
          <w:numId w:val="0"/>
        </w:numPr>
        <w:spacing w:before="156" w:after="156"/>
        <w:ind w:leftChars="0"/>
        <w:rPr>
          <w:rFonts w:hint="eastAsia"/>
        </w:rPr>
      </w:pPr>
      <w:r>
        <w:rPr>
          <w:rFonts w:hint="eastAsia"/>
          <w:lang w:val="en-US" w:eastAsia="zh-CN"/>
        </w:rPr>
        <w:t>5.6</w:t>
      </w:r>
      <w:r>
        <w:rPr>
          <w:rFonts w:hint="eastAsia"/>
        </w:rPr>
        <w:t>宽幅沟播机</w:t>
      </w:r>
    </w:p>
    <w:p>
      <w:pPr>
        <w:pStyle w:val="230"/>
        <w:rPr>
          <w:rFonts w:hint="eastAsia"/>
        </w:rPr>
      </w:pPr>
      <w:r>
        <w:rPr>
          <w:rFonts w:hint="eastAsia"/>
        </w:rPr>
        <w:t>满足小麦宽幅沟播农艺要求的播种机。播幅宽度以</w:t>
      </w:r>
      <w:r>
        <w:rPr>
          <w:rFonts w:hint="eastAsia"/>
          <w:lang w:val="en-US" w:eastAsia="zh-CN"/>
        </w:rPr>
        <w:t>10</w:t>
      </w:r>
      <w:r>
        <w:rPr>
          <w:rFonts w:hint="eastAsia"/>
        </w:rPr>
        <w:t xml:space="preserve"> cm～1</w:t>
      </w:r>
      <w:r>
        <w:rPr>
          <w:rFonts w:hint="eastAsia"/>
          <w:lang w:val="en-US" w:eastAsia="zh-CN"/>
        </w:rPr>
        <w:t>3</w:t>
      </w:r>
      <w:r>
        <w:rPr>
          <w:rFonts w:hint="eastAsia"/>
        </w:rPr>
        <w:t xml:space="preserve"> cm、播种深度以3 cm～4 cm、行距以25 cm为宜，播后及时镇压。</w:t>
      </w:r>
    </w:p>
    <w:p>
      <w:pPr>
        <w:pStyle w:val="104"/>
        <w:spacing w:before="312" w:after="312"/>
        <w:rPr>
          <w:rFonts w:hint="eastAsia"/>
        </w:rPr>
      </w:pPr>
      <w:bookmarkStart w:id="71" w:name="_Toc181021893"/>
      <w:bookmarkStart w:id="72" w:name="_Toc181022060"/>
      <w:bookmarkStart w:id="73" w:name="_Toc181021852"/>
      <w:bookmarkStart w:id="74" w:name="_Toc181021955"/>
      <w:r>
        <w:rPr>
          <w:rFonts w:hint="eastAsia"/>
          <w:lang w:eastAsia="zh-CN"/>
        </w:rPr>
        <w:t>施肥</w:t>
      </w:r>
    </w:p>
    <w:p>
      <w:pPr>
        <w:pStyle w:val="230"/>
        <w:rPr>
          <w:rFonts w:hint="eastAsia"/>
        </w:rPr>
      </w:pPr>
      <w:r>
        <w:rPr>
          <w:rFonts w:hint="eastAsia"/>
        </w:rPr>
        <w:t>亩施有机肥1000 kg～1500 kg或精制有机肥150 kg～200 kg，后期追肥施纯氮10 kg～11 kg，五氧化二磷6 kg～7 kg</w:t>
      </w:r>
      <w:r>
        <w:rPr>
          <w:rFonts w:hint="eastAsia"/>
          <w:lang w:eastAsia="zh-CN"/>
        </w:rPr>
        <w:t>，钾肥</w:t>
      </w:r>
      <w:r>
        <w:rPr>
          <w:rFonts w:hint="eastAsia"/>
          <w:lang w:val="en-US" w:eastAsia="zh-CN"/>
        </w:rPr>
        <w:t>3</w:t>
      </w:r>
      <w:r>
        <w:rPr>
          <w:rFonts w:hint="eastAsia"/>
        </w:rPr>
        <w:t xml:space="preserve"> kg～</w:t>
      </w:r>
      <w:r>
        <w:rPr>
          <w:rFonts w:hint="eastAsia"/>
          <w:lang w:val="en-US" w:eastAsia="zh-CN"/>
        </w:rPr>
        <w:t>5</w:t>
      </w:r>
      <w:r>
        <w:rPr>
          <w:rFonts w:hint="eastAsia"/>
        </w:rPr>
        <w:t xml:space="preserve"> kg。可适当补施锌、硼等微量元素肥料。</w:t>
      </w:r>
    </w:p>
    <w:p>
      <w:pPr>
        <w:pStyle w:val="230"/>
        <w:rPr>
          <w:rFonts w:hint="eastAsia"/>
        </w:rPr>
      </w:pPr>
      <w:r>
        <w:rPr>
          <w:rFonts w:hint="eastAsia"/>
        </w:rPr>
        <w:t>以上农事操作所使用的肥料应符合NY/T 394绿色食品肥料使用准则和NY/T 496肥料合理使用准则 通则的要求。</w:t>
      </w:r>
    </w:p>
    <w:p>
      <w:pPr>
        <w:pStyle w:val="104"/>
        <w:spacing w:before="312" w:after="312"/>
        <w:rPr>
          <w:rFonts w:hint="eastAsia"/>
        </w:rPr>
      </w:pPr>
      <w:r>
        <w:rPr>
          <w:rFonts w:hint="eastAsia"/>
        </w:rPr>
        <w:t>田间管理</w:t>
      </w:r>
      <w:bookmarkEnd w:id="71"/>
      <w:bookmarkEnd w:id="72"/>
      <w:bookmarkEnd w:id="73"/>
      <w:bookmarkEnd w:id="74"/>
    </w:p>
    <w:p>
      <w:pPr>
        <w:pStyle w:val="105"/>
        <w:spacing w:before="156" w:after="156"/>
        <w:rPr>
          <w:rFonts w:hint="eastAsia"/>
        </w:rPr>
      </w:pPr>
      <w:bookmarkStart w:id="75" w:name="_Toc181021894"/>
      <w:bookmarkStart w:id="76" w:name="_Toc181021853"/>
      <w:r>
        <w:rPr>
          <w:rFonts w:hint="eastAsia"/>
        </w:rPr>
        <w:t>冬前管理</w:t>
      </w:r>
      <w:bookmarkEnd w:id="75"/>
      <w:bookmarkEnd w:id="76"/>
    </w:p>
    <w:p>
      <w:pPr>
        <w:pStyle w:val="65"/>
        <w:spacing w:before="156" w:after="156"/>
        <w:rPr>
          <w:rFonts w:hint="eastAsia"/>
        </w:rPr>
      </w:pPr>
      <w:r>
        <w:rPr>
          <w:rFonts w:hint="eastAsia"/>
        </w:rPr>
        <w:t>苗期灌溉</w:t>
      </w:r>
    </w:p>
    <w:p>
      <w:pPr>
        <w:pStyle w:val="230"/>
        <w:rPr>
          <w:rFonts w:hint="eastAsia"/>
        </w:rPr>
      </w:pPr>
      <w:r>
        <w:rPr>
          <w:rFonts w:hint="eastAsia"/>
        </w:rPr>
        <w:t>对于口墒较差、出苗不好的麦田应及早浇水；对整地质量差、土壤疏松的麦田应先镇压后浇水；对晚播且口墒差的麦田及时浇蒙头水。水质应符合GB/T 5084的要求。</w:t>
      </w:r>
    </w:p>
    <w:p>
      <w:pPr>
        <w:pStyle w:val="65"/>
        <w:spacing w:before="156" w:after="156"/>
        <w:rPr>
          <w:rFonts w:hint="eastAsia"/>
        </w:rPr>
      </w:pPr>
      <w:r>
        <w:rPr>
          <w:rFonts w:hint="eastAsia"/>
        </w:rPr>
        <w:t>查苗补种</w:t>
      </w:r>
    </w:p>
    <w:p>
      <w:pPr>
        <w:pStyle w:val="230"/>
        <w:rPr>
          <w:rFonts w:hint="eastAsia"/>
        </w:rPr>
      </w:pPr>
      <w:r>
        <w:rPr>
          <w:rFonts w:hint="eastAsia"/>
        </w:rPr>
        <w:t>查苗补种，疏密补稀。</w:t>
      </w:r>
    </w:p>
    <w:p>
      <w:pPr>
        <w:pStyle w:val="65"/>
        <w:spacing w:before="156" w:after="156"/>
        <w:rPr>
          <w:rFonts w:hint="eastAsia"/>
        </w:rPr>
      </w:pPr>
      <w:r>
        <w:rPr>
          <w:rFonts w:hint="eastAsia"/>
        </w:rPr>
        <w:t>中耕镇压</w:t>
      </w:r>
    </w:p>
    <w:p>
      <w:pPr>
        <w:pStyle w:val="230"/>
        <w:rPr>
          <w:rFonts w:hint="eastAsia"/>
        </w:rPr>
      </w:pPr>
      <w:r>
        <w:rPr>
          <w:rFonts w:hint="eastAsia"/>
        </w:rPr>
        <w:t>每次降雨或浇水后要适时中耕保墒。对群体过大过旺麦田，可来取深中耕断根或镇压措施。播后应进行镇压：对秋冬雨害偏少，口墒较差，且坷垃较多的麦田应在冬前适时镇压。</w:t>
      </w:r>
    </w:p>
    <w:p>
      <w:pPr>
        <w:pStyle w:val="65"/>
        <w:spacing w:before="156" w:after="156"/>
        <w:rPr>
          <w:rFonts w:hint="eastAsia"/>
        </w:rPr>
      </w:pPr>
      <w:r>
        <w:rPr>
          <w:rFonts w:hint="eastAsia"/>
        </w:rPr>
        <w:t>浇水</w:t>
      </w:r>
    </w:p>
    <w:p>
      <w:pPr>
        <w:ind w:firstLine="420" w:firstLineChars="200"/>
      </w:pPr>
      <w:r>
        <w:rPr>
          <w:rFonts w:hint="eastAsia"/>
        </w:rPr>
        <w:t>浇水的时间一股在日平均气温3 ℃～5 ℃时开始进行，浇水后及时划锄。</w:t>
      </w:r>
    </w:p>
    <w:p>
      <w:pPr>
        <w:pStyle w:val="105"/>
        <w:spacing w:before="156" w:after="156"/>
        <w:rPr>
          <w:rFonts w:hint="eastAsia"/>
        </w:rPr>
      </w:pPr>
      <w:bookmarkStart w:id="77" w:name="_Toc181021854"/>
      <w:bookmarkStart w:id="78" w:name="_Toc181021895"/>
      <w:r>
        <w:rPr>
          <w:rFonts w:hint="eastAsia"/>
        </w:rPr>
        <w:t>春季管理</w:t>
      </w:r>
      <w:bookmarkEnd w:id="77"/>
      <w:bookmarkEnd w:id="78"/>
    </w:p>
    <w:p>
      <w:pPr>
        <w:pStyle w:val="230"/>
        <w:rPr>
          <w:kern w:val="28"/>
        </w:rPr>
      </w:pPr>
      <w:r>
        <w:rPr>
          <w:rFonts w:hint="eastAsia"/>
        </w:rPr>
        <w:t>生长正常麦田，拔节中后期结合浇水，亩施尿素10 kg左右。生长偏弱麦田，起身期至拔节期结合浇水，亩追施尿素10 kg～15 kg。旺长麦田，在小麦起身期选择无风晴天，每亩用15 %多效唑可湿性粉剂40 g～50 g，加水30 kg～40 kg均匀喷雾。</w:t>
      </w:r>
      <w:r>
        <w:rPr>
          <w:kern w:val="28"/>
        </w:rPr>
        <w:t xml:space="preserve"> </w:t>
      </w:r>
    </w:p>
    <w:p>
      <w:pPr>
        <w:pStyle w:val="105"/>
        <w:spacing w:before="156" w:after="156"/>
        <w:rPr>
          <w:rFonts w:hint="eastAsia"/>
        </w:rPr>
      </w:pPr>
      <w:bookmarkStart w:id="79" w:name="_Toc181021896"/>
      <w:bookmarkStart w:id="80" w:name="_Toc181021855"/>
      <w:r>
        <w:rPr>
          <w:rFonts w:hint="eastAsia"/>
        </w:rPr>
        <w:t>后期管理</w:t>
      </w:r>
      <w:bookmarkEnd w:id="79"/>
      <w:bookmarkEnd w:id="80"/>
    </w:p>
    <w:p>
      <w:pPr>
        <w:pStyle w:val="230"/>
        <w:rPr>
          <w:rFonts w:hint="eastAsia"/>
        </w:rPr>
      </w:pPr>
      <w:r>
        <w:rPr>
          <w:rFonts w:hint="eastAsia"/>
        </w:rPr>
        <w:t>孕穗期至籽粒灌浆初期，墒情不足的麦田，选择无风天气进行小水浇灌。</w:t>
      </w:r>
    </w:p>
    <w:p>
      <w:pPr>
        <w:pStyle w:val="104"/>
        <w:spacing w:before="312" w:after="312"/>
        <w:rPr>
          <w:rFonts w:hint="eastAsia"/>
        </w:rPr>
      </w:pPr>
      <w:bookmarkStart w:id="81" w:name="_Toc181021956"/>
      <w:bookmarkStart w:id="82" w:name="_Toc181021897"/>
      <w:bookmarkStart w:id="83" w:name="_Toc181021856"/>
      <w:bookmarkStart w:id="84" w:name="_Toc181022061"/>
      <w:r>
        <w:rPr>
          <w:rFonts w:hint="eastAsia"/>
        </w:rPr>
        <w:t>病虫草害</w:t>
      </w:r>
      <w:bookmarkEnd w:id="81"/>
      <w:bookmarkEnd w:id="82"/>
      <w:bookmarkEnd w:id="83"/>
      <w:bookmarkEnd w:id="84"/>
      <w:r>
        <w:rPr>
          <w:rFonts w:hint="eastAsia"/>
        </w:rPr>
        <w:t>防治</w:t>
      </w:r>
    </w:p>
    <w:p>
      <w:pPr>
        <w:pStyle w:val="105"/>
        <w:spacing w:before="156" w:after="156"/>
      </w:pPr>
      <w:bookmarkStart w:id="85" w:name="_Toc179898617"/>
      <w:bookmarkStart w:id="86" w:name="_Toc164328397"/>
      <w:r>
        <w:rPr>
          <w:rFonts w:hint="eastAsia"/>
        </w:rPr>
        <w:t>防治原则</w:t>
      </w:r>
      <w:bookmarkEnd w:id="85"/>
      <w:bookmarkEnd w:id="86"/>
    </w:p>
    <w:p>
      <w:pPr>
        <w:pStyle w:val="56"/>
        <w:ind w:firstLine="420"/>
      </w:pPr>
      <w:r>
        <w:rPr>
          <w:rFonts w:hint="eastAsia"/>
        </w:rPr>
        <w:t>预防为主，综合防治。农药选用应符合GB 4285、GB/T 8321（所有部分）的要求，农药施用应符合NY/T 1276 的要求。</w:t>
      </w:r>
    </w:p>
    <w:p>
      <w:pPr>
        <w:pStyle w:val="105"/>
        <w:spacing w:before="156" w:after="156"/>
        <w:rPr>
          <w:rFonts w:hint="eastAsia"/>
        </w:rPr>
      </w:pPr>
      <w:bookmarkStart w:id="87" w:name="_Toc181021857"/>
      <w:bookmarkStart w:id="88" w:name="_Toc181021898"/>
      <w:r>
        <w:rPr>
          <w:rFonts w:hint="eastAsia"/>
        </w:rPr>
        <w:t>化学除草</w:t>
      </w:r>
      <w:bookmarkEnd w:id="87"/>
      <w:bookmarkEnd w:id="88"/>
    </w:p>
    <w:p>
      <w:pPr>
        <w:pStyle w:val="230"/>
        <w:rPr>
          <w:rFonts w:hint="eastAsia"/>
        </w:rPr>
      </w:pPr>
      <w:r>
        <w:rPr>
          <w:rFonts w:hint="eastAsia"/>
        </w:rPr>
        <w:t>化学除草在日平均气温10 ℃以上时及时防除麦田杂草。对于冬前未化学除草的麦田，在返青起身期日平均气温8 ℃以上时进行化除</w:t>
      </w:r>
      <w:r>
        <w:rPr>
          <w:rFonts w:hint="eastAsia"/>
          <w:lang w:eastAsia="zh-CN"/>
        </w:rPr>
        <w:t>，</w:t>
      </w:r>
      <w:r>
        <w:rPr>
          <w:rFonts w:hint="eastAsia"/>
        </w:rPr>
        <w:t>小麦拔节后不应化学除草。</w:t>
      </w:r>
    </w:p>
    <w:p>
      <w:pPr>
        <w:pStyle w:val="105"/>
        <w:spacing w:before="156" w:after="156"/>
      </w:pPr>
      <w:bookmarkStart w:id="89" w:name="_Toc181021858"/>
      <w:bookmarkStart w:id="90" w:name="_Toc181021899"/>
      <w:r>
        <w:rPr>
          <w:rFonts w:hint="eastAsia"/>
        </w:rPr>
        <w:t>病虫防治</w:t>
      </w:r>
      <w:bookmarkEnd w:id="89"/>
      <w:bookmarkEnd w:id="90"/>
    </w:p>
    <w:p>
      <w:pPr>
        <w:pStyle w:val="230"/>
        <w:rPr>
          <w:rFonts w:hint="eastAsia"/>
        </w:rPr>
      </w:pPr>
      <w:r>
        <w:rPr>
          <w:rFonts w:hint="eastAsia"/>
        </w:rPr>
        <w:t>应符合GB/T 8321的要求。具体防治方法见附表。</w:t>
      </w:r>
    </w:p>
    <w:p>
      <w:pPr>
        <w:pStyle w:val="105"/>
        <w:spacing w:before="156" w:after="156"/>
        <w:rPr>
          <w:rFonts w:hint="eastAsia"/>
        </w:rPr>
      </w:pPr>
      <w:bookmarkStart w:id="91" w:name="_Toc181021860"/>
      <w:bookmarkStart w:id="92" w:name="_Toc181021901"/>
      <w:r>
        <w:rPr>
          <w:rFonts w:hint="eastAsia"/>
        </w:rPr>
        <w:t>叶面</w:t>
      </w:r>
      <w:bookmarkEnd w:id="91"/>
      <w:bookmarkEnd w:id="92"/>
      <w:r>
        <w:rPr>
          <w:rFonts w:hint="eastAsia"/>
          <w:lang w:eastAsia="zh-CN"/>
        </w:rPr>
        <w:t>喷防</w:t>
      </w:r>
    </w:p>
    <w:p>
      <w:pPr>
        <w:pStyle w:val="230"/>
        <w:rPr>
          <w:rFonts w:hint="eastAsia"/>
        </w:rPr>
      </w:pPr>
      <w:r>
        <w:rPr>
          <w:rFonts w:hint="eastAsia"/>
        </w:rPr>
        <w:t>抽穗至灌浆期间，结合病虫害防治，</w:t>
      </w:r>
      <w:r>
        <w:rPr>
          <w:rFonts w:hint="eastAsia"/>
          <w:lang w:eastAsia="zh-CN"/>
        </w:rPr>
        <w:t>每</w:t>
      </w:r>
      <w:r>
        <w:rPr>
          <w:rFonts w:hint="eastAsia"/>
          <w:lang w:val="en-US" w:eastAsia="zh-CN"/>
        </w:rPr>
        <w:t>666.7</w:t>
      </w:r>
      <w:r>
        <w:rPr>
          <w:rFonts w:hint="default" w:ascii="Arial" w:hAnsi="Arial" w:cs="Arial"/>
          <w:lang w:val="en-US" w:eastAsia="zh-CN"/>
        </w:rPr>
        <w:t>㎡</w:t>
      </w:r>
      <w:r>
        <w:rPr>
          <w:rFonts w:hint="eastAsia"/>
        </w:rPr>
        <w:t>加入磷酸二氢钾0.2 kg，兑水40 kg左右叶面喷施。</w:t>
      </w:r>
    </w:p>
    <w:p>
      <w:pPr>
        <w:pStyle w:val="104"/>
        <w:spacing w:before="312" w:after="312"/>
      </w:pPr>
      <w:bookmarkStart w:id="93" w:name="_Toc181022062"/>
      <w:bookmarkStart w:id="94" w:name="_Toc181021957"/>
      <w:bookmarkStart w:id="95" w:name="_Toc181021902"/>
      <w:bookmarkStart w:id="96" w:name="_Toc181021861"/>
      <w:r>
        <w:rPr>
          <w:rFonts w:hint="eastAsia"/>
        </w:rPr>
        <w:t>收获和贮藏</w:t>
      </w:r>
      <w:bookmarkEnd w:id="93"/>
      <w:bookmarkEnd w:id="94"/>
      <w:bookmarkEnd w:id="95"/>
      <w:bookmarkEnd w:id="96"/>
    </w:p>
    <w:p>
      <w:pPr>
        <w:ind w:firstLine="420" w:firstLineChars="200"/>
      </w:pPr>
      <w:r>
        <w:rPr>
          <w:rFonts w:hint="eastAsia"/>
          <w:kern w:val="28"/>
        </w:rPr>
        <w:t>小麦蜡熟末期及时机械收获、晾晒、储藏。</w:t>
      </w:r>
    </w:p>
    <w:p>
      <w:pPr>
        <w:pStyle w:val="104"/>
        <w:spacing w:before="312" w:after="312"/>
      </w:pPr>
      <w:bookmarkStart w:id="97" w:name="_Toc181022063"/>
      <w:bookmarkStart w:id="98" w:name="_Toc181021958"/>
      <w:bookmarkStart w:id="99" w:name="_Toc181021903"/>
      <w:bookmarkStart w:id="100" w:name="_Toc181021862"/>
      <w:r>
        <w:rPr>
          <w:rFonts w:hint="eastAsia"/>
        </w:rPr>
        <w:t>生产档案</w:t>
      </w:r>
      <w:bookmarkEnd w:id="97"/>
      <w:bookmarkEnd w:id="98"/>
      <w:bookmarkEnd w:id="99"/>
      <w:bookmarkEnd w:id="100"/>
    </w:p>
    <w:p>
      <w:pPr>
        <w:pStyle w:val="230"/>
        <w:rPr>
          <w:rFonts w:hint="eastAsia"/>
        </w:rPr>
      </w:pPr>
      <w:r>
        <w:rPr>
          <w:rFonts w:hint="eastAsia"/>
        </w:rPr>
        <w:t>对冬小麦宽幅沟播生产过程，建立生产档案。包括生产资料使用、生产技术、</w:t>
      </w:r>
      <w:r>
        <w:rPr>
          <w:rFonts w:hint="eastAsia"/>
          <w:color w:val="000000"/>
          <w:szCs w:val="21"/>
        </w:rPr>
        <w:t>田间管理</w:t>
      </w:r>
      <w:r>
        <w:rPr>
          <w:rFonts w:hint="eastAsia"/>
        </w:rPr>
        <w:t>、病虫害防治、收获及其他相关质量追溯等记录，并保存2年以上。</w:t>
      </w: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230"/>
        <w:rPr>
          <w:rFonts w:hint="eastAsia"/>
        </w:rPr>
      </w:pPr>
    </w:p>
    <w:p>
      <w:pPr>
        <w:pStyle w:val="76"/>
        <w:spacing w:after="156"/>
      </w:pPr>
      <w:r>
        <w:br w:type="textWrapping"/>
      </w:r>
      <w:bookmarkStart w:id="101" w:name="_Toc181021904"/>
      <w:bookmarkStart w:id="102" w:name="_Toc181022064"/>
      <w:bookmarkStart w:id="103" w:name="_Toc181021863"/>
      <w:bookmarkStart w:id="104" w:name="_Toc181021959"/>
      <w:r>
        <w:rPr>
          <w:rFonts w:hint="eastAsia"/>
        </w:rPr>
        <w:t>（资料性）</w:t>
      </w:r>
      <w:r>
        <w:br w:type="textWrapping"/>
      </w:r>
      <w:r>
        <w:rPr>
          <w:rFonts w:hint="eastAsia"/>
        </w:rPr>
        <w:t>小麦主要病虫草害防治方法</w:t>
      </w:r>
      <w:bookmarkEnd w:id="101"/>
      <w:bookmarkEnd w:id="102"/>
      <w:bookmarkEnd w:id="103"/>
      <w:bookmarkEnd w:id="104"/>
    </w:p>
    <w:p>
      <w:pPr>
        <w:pStyle w:val="56"/>
        <w:ind w:firstLine="0" w:firstLineChars="0"/>
      </w:pPr>
      <w:bookmarkStart w:id="105" w:name="_Hlk180234427"/>
      <w:r>
        <w:rPr>
          <w:rFonts w:hint="eastAsia"/>
        </w:rPr>
        <w:t>小麦主要病虫草害防治方法见表A.1</w:t>
      </w:r>
    </w:p>
    <w:bookmarkEnd w:id="105"/>
    <w:p>
      <w:pPr>
        <w:pStyle w:val="77"/>
        <w:spacing w:before="156" w:after="156"/>
      </w:pPr>
      <w:r>
        <w:rPr>
          <w:rFonts w:hint="eastAsia"/>
        </w:rPr>
        <w:t>小麦主要病虫草害防治及用药表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08"/>
        <w:gridCol w:w="2260"/>
        <w:gridCol w:w="2407"/>
        <w:gridCol w:w="23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08" w:type="dxa"/>
            <w:tcBorders>
              <w:top w:val="single" w:color="auto" w:sz="8" w:space="0"/>
              <w:bottom w:val="single" w:color="auto" w:sz="8" w:space="0"/>
            </w:tcBorders>
            <w:shd w:val="clear" w:color="auto" w:fill="auto"/>
            <w:vAlign w:val="center"/>
          </w:tcPr>
          <w:p>
            <w:pPr>
              <w:pStyle w:val="178"/>
            </w:pPr>
            <w:r>
              <w:rPr>
                <w:rFonts w:hint="eastAsia"/>
              </w:rPr>
              <w:t>主要防治对象</w:t>
            </w:r>
          </w:p>
        </w:tc>
        <w:tc>
          <w:tcPr>
            <w:tcW w:w="2260" w:type="dxa"/>
            <w:tcBorders>
              <w:top w:val="single" w:color="auto" w:sz="8" w:space="0"/>
              <w:bottom w:val="single" w:color="auto" w:sz="8" w:space="0"/>
            </w:tcBorders>
          </w:tcPr>
          <w:p>
            <w:pPr>
              <w:pStyle w:val="178"/>
            </w:pPr>
            <w:r>
              <w:rPr>
                <w:rFonts w:hint="eastAsia"/>
              </w:rPr>
              <w:t>主要杀虫剂成分</w:t>
            </w:r>
          </w:p>
        </w:tc>
        <w:tc>
          <w:tcPr>
            <w:tcW w:w="2407" w:type="dxa"/>
            <w:tcBorders>
              <w:top w:val="single" w:color="auto" w:sz="8" w:space="0"/>
              <w:bottom w:val="single" w:color="auto" w:sz="8" w:space="0"/>
            </w:tcBorders>
            <w:shd w:val="clear" w:color="auto" w:fill="auto"/>
            <w:vAlign w:val="center"/>
          </w:tcPr>
          <w:p>
            <w:pPr>
              <w:pStyle w:val="178"/>
            </w:pPr>
            <w:r>
              <w:rPr>
                <w:rFonts w:hint="eastAsia"/>
              </w:rPr>
              <w:t>用药期</w:t>
            </w:r>
          </w:p>
        </w:tc>
        <w:tc>
          <w:tcPr>
            <w:tcW w:w="2359" w:type="dxa"/>
            <w:tcBorders>
              <w:top w:val="single" w:color="auto" w:sz="8" w:space="0"/>
              <w:bottom w:val="single" w:color="auto" w:sz="8" w:space="0"/>
            </w:tcBorders>
            <w:shd w:val="clear" w:color="auto" w:fill="auto"/>
            <w:vAlign w:val="center"/>
          </w:tcPr>
          <w:p>
            <w:pPr>
              <w:pStyle w:val="178"/>
            </w:pPr>
            <w:r>
              <w:rPr>
                <w:rFonts w:hint="eastAsia"/>
              </w:rPr>
              <w:t>用药方式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0" w:hRule="atLeast"/>
          <w:jc w:val="center"/>
        </w:trPr>
        <w:tc>
          <w:tcPr>
            <w:tcW w:w="2308" w:type="dxa"/>
            <w:tcBorders>
              <w:top w:val="single" w:color="auto" w:sz="8" w:space="0"/>
              <w:bottom w:val="single" w:color="auto" w:sz="4" w:space="0"/>
            </w:tcBorders>
            <w:shd w:val="clear" w:color="auto" w:fill="auto"/>
            <w:vAlign w:val="center"/>
          </w:tcPr>
          <w:p>
            <w:pPr>
              <w:pStyle w:val="178"/>
            </w:pPr>
            <w:r>
              <w:rPr>
                <w:rFonts w:hint="eastAsia"/>
              </w:rPr>
              <w:t>全蚀病</w:t>
            </w:r>
          </w:p>
        </w:tc>
        <w:tc>
          <w:tcPr>
            <w:tcW w:w="2260" w:type="dxa"/>
            <w:tcBorders>
              <w:top w:val="single" w:color="auto" w:sz="8" w:space="0"/>
              <w:bottom w:val="single" w:color="auto" w:sz="4" w:space="0"/>
            </w:tcBorders>
          </w:tcPr>
          <w:p>
            <w:pPr>
              <w:pStyle w:val="178"/>
            </w:pPr>
            <w:r>
              <w:rPr>
                <w:rFonts w:hint="eastAsia"/>
              </w:rPr>
              <w:t>福美双、甲基托布津、多菌灵可湿性粉剂</w:t>
            </w:r>
          </w:p>
        </w:tc>
        <w:tc>
          <w:tcPr>
            <w:tcW w:w="2407" w:type="dxa"/>
            <w:tcBorders>
              <w:top w:val="single" w:color="auto" w:sz="8" w:space="0"/>
              <w:bottom w:val="single" w:color="auto" w:sz="4" w:space="0"/>
            </w:tcBorders>
            <w:shd w:val="clear" w:color="auto" w:fill="auto"/>
            <w:vAlign w:val="center"/>
          </w:tcPr>
          <w:p>
            <w:pPr>
              <w:pStyle w:val="178"/>
            </w:pPr>
            <w:r>
              <w:rPr>
                <w:rFonts w:hint="eastAsia"/>
              </w:rPr>
              <w:t>播前整地</w:t>
            </w:r>
          </w:p>
        </w:tc>
        <w:tc>
          <w:tcPr>
            <w:tcW w:w="2359" w:type="dxa"/>
            <w:tcBorders>
              <w:top w:val="single" w:color="auto" w:sz="8" w:space="0"/>
              <w:bottom w:val="single" w:color="auto" w:sz="4" w:space="0"/>
            </w:tcBorders>
            <w:shd w:val="clear" w:color="auto" w:fill="auto"/>
            <w:vAlign w:val="center"/>
          </w:tcPr>
          <w:p>
            <w:pPr>
              <w:pStyle w:val="178"/>
            </w:pPr>
            <w:r>
              <w:rPr>
                <w:rFonts w:hint="eastAsia"/>
              </w:rPr>
              <w:t>拌细沙土，耕地前均匀撒施地表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0" w:hRule="atLeast"/>
          <w:jc w:val="center"/>
        </w:trPr>
        <w:tc>
          <w:tcPr>
            <w:tcW w:w="2308" w:type="dxa"/>
            <w:tcBorders>
              <w:top w:val="single" w:color="auto" w:sz="4" w:space="0"/>
            </w:tcBorders>
            <w:shd w:val="clear" w:color="auto" w:fill="auto"/>
            <w:vAlign w:val="center"/>
          </w:tcPr>
          <w:p>
            <w:pPr>
              <w:pStyle w:val="178"/>
              <w:rPr>
                <w:rFonts w:hint="eastAsia" w:eastAsia="宋体"/>
                <w:lang w:eastAsia="zh-CN"/>
              </w:rPr>
            </w:pPr>
            <w:r>
              <w:rPr>
                <w:rFonts w:hint="eastAsia"/>
              </w:rPr>
              <w:t>锈病、茎基腐病、纹枯病、根腐病</w:t>
            </w:r>
            <w:r>
              <w:rPr>
                <w:rFonts w:hint="eastAsia"/>
                <w:lang w:eastAsia="zh-CN"/>
              </w:rPr>
              <w:t>、</w:t>
            </w:r>
            <w:r>
              <w:rPr>
                <w:rFonts w:hint="eastAsia"/>
              </w:rPr>
              <w:t>白粉病</w:t>
            </w:r>
          </w:p>
        </w:tc>
        <w:tc>
          <w:tcPr>
            <w:tcW w:w="2260" w:type="dxa"/>
            <w:tcBorders>
              <w:top w:val="single" w:color="auto" w:sz="4" w:space="0"/>
            </w:tcBorders>
          </w:tcPr>
          <w:p>
            <w:pPr>
              <w:pStyle w:val="178"/>
            </w:pPr>
            <w:r>
              <w:rPr>
                <w:rFonts w:hint="eastAsia"/>
              </w:rPr>
              <w:t>三唑酮可湿性粉剂、烯唑醇可湿性粉剂、丙环唑乳油、腈菌唑可湿性粉剂、甲基硫菌灵可湿性粉剂、戊唑·咪鲜胺水乳剂</w:t>
            </w:r>
          </w:p>
        </w:tc>
        <w:tc>
          <w:tcPr>
            <w:tcW w:w="2407" w:type="dxa"/>
            <w:tcBorders>
              <w:top w:val="single" w:color="auto" w:sz="4" w:space="0"/>
            </w:tcBorders>
            <w:shd w:val="clear" w:color="auto" w:fill="auto"/>
            <w:vAlign w:val="center"/>
          </w:tcPr>
          <w:p>
            <w:pPr>
              <w:pStyle w:val="178"/>
            </w:pPr>
            <w:r>
              <w:rPr>
                <w:rFonts w:hint="eastAsia"/>
              </w:rPr>
              <w:t>种子处理</w:t>
            </w:r>
            <w:r>
              <w:rPr>
                <w:rFonts w:hint="eastAsia"/>
                <w:lang w:eastAsia="zh-CN"/>
              </w:rPr>
              <w:t>、</w:t>
            </w:r>
            <w:r>
              <w:rPr>
                <w:rFonts w:hint="eastAsia"/>
              </w:rPr>
              <w:t>发病初期</w:t>
            </w:r>
          </w:p>
        </w:tc>
        <w:tc>
          <w:tcPr>
            <w:tcW w:w="2359" w:type="dxa"/>
            <w:tcBorders>
              <w:top w:val="single" w:color="auto" w:sz="4" w:space="0"/>
            </w:tcBorders>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0" w:hRule="atLeast"/>
          <w:jc w:val="center"/>
        </w:trPr>
        <w:tc>
          <w:tcPr>
            <w:tcW w:w="2308" w:type="dxa"/>
            <w:tcBorders>
              <w:top w:val="single" w:color="auto" w:sz="4" w:space="0"/>
            </w:tcBorders>
            <w:shd w:val="clear" w:color="auto" w:fill="auto"/>
            <w:vAlign w:val="center"/>
          </w:tcPr>
          <w:p>
            <w:pPr>
              <w:pStyle w:val="178"/>
            </w:pPr>
            <w:r>
              <w:rPr>
                <w:rFonts w:hint="eastAsia"/>
              </w:rPr>
              <w:t>赤霉病</w:t>
            </w:r>
          </w:p>
        </w:tc>
        <w:tc>
          <w:tcPr>
            <w:tcW w:w="2260" w:type="dxa"/>
            <w:tcBorders>
              <w:top w:val="single" w:color="auto" w:sz="4" w:space="0"/>
            </w:tcBorders>
          </w:tcPr>
          <w:p>
            <w:pPr>
              <w:pStyle w:val="178"/>
            </w:pPr>
            <w:r>
              <w:rPr>
                <w:rFonts w:hint="eastAsia"/>
              </w:rPr>
              <w:t>多·福·硫可湿性粉剂、氰烯菌酯悬浮剂、咪鲜胺锰盐·多菌灵可湿性粉剂</w:t>
            </w:r>
          </w:p>
        </w:tc>
        <w:tc>
          <w:tcPr>
            <w:tcW w:w="2407" w:type="dxa"/>
            <w:tcBorders>
              <w:top w:val="single" w:color="auto" w:sz="4" w:space="0"/>
            </w:tcBorders>
            <w:shd w:val="clear" w:color="auto" w:fill="auto"/>
            <w:vAlign w:val="center"/>
          </w:tcPr>
          <w:p>
            <w:pPr>
              <w:pStyle w:val="178"/>
            </w:pPr>
            <w:r>
              <w:rPr>
                <w:rFonts w:hint="eastAsia"/>
              </w:rPr>
              <w:t>开花期～灌浆期</w:t>
            </w:r>
          </w:p>
        </w:tc>
        <w:tc>
          <w:tcPr>
            <w:tcW w:w="2359" w:type="dxa"/>
            <w:tcBorders>
              <w:top w:val="single" w:color="auto" w:sz="4" w:space="0"/>
            </w:tcBorders>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1" w:hRule="atLeast"/>
          <w:jc w:val="center"/>
        </w:trPr>
        <w:tc>
          <w:tcPr>
            <w:tcW w:w="2308" w:type="dxa"/>
            <w:vMerge w:val="restart"/>
            <w:tcBorders>
              <w:top w:val="single" w:color="auto" w:sz="8" w:space="0"/>
            </w:tcBorders>
            <w:shd w:val="clear" w:color="auto" w:fill="auto"/>
            <w:vAlign w:val="center"/>
          </w:tcPr>
          <w:p>
            <w:pPr>
              <w:pStyle w:val="178"/>
            </w:pPr>
            <w:r>
              <w:rPr>
                <w:rFonts w:hint="eastAsia"/>
              </w:rPr>
              <w:t>地下害虫</w:t>
            </w:r>
          </w:p>
        </w:tc>
        <w:tc>
          <w:tcPr>
            <w:tcW w:w="2260" w:type="dxa"/>
            <w:vMerge w:val="restart"/>
            <w:tcBorders>
              <w:top w:val="single" w:color="auto" w:sz="8" w:space="0"/>
            </w:tcBorders>
            <w:vAlign w:val="center"/>
          </w:tcPr>
          <w:p>
            <w:pPr>
              <w:pStyle w:val="178"/>
            </w:pPr>
            <w:r>
              <w:rPr>
                <w:rFonts w:hint="eastAsia"/>
              </w:rPr>
              <w:t>辛硫磷乳油、甲基异柳磷乳油</w:t>
            </w:r>
          </w:p>
        </w:tc>
        <w:tc>
          <w:tcPr>
            <w:tcW w:w="2407" w:type="dxa"/>
            <w:tcBorders>
              <w:top w:val="single" w:color="auto" w:sz="8" w:space="0"/>
            </w:tcBorders>
            <w:shd w:val="clear" w:color="auto" w:fill="auto"/>
            <w:vAlign w:val="center"/>
          </w:tcPr>
          <w:p>
            <w:pPr>
              <w:pStyle w:val="178"/>
            </w:pPr>
            <w:r>
              <w:rPr>
                <w:rFonts w:hint="eastAsia"/>
              </w:rPr>
              <w:t>播前整地</w:t>
            </w:r>
          </w:p>
        </w:tc>
        <w:tc>
          <w:tcPr>
            <w:tcW w:w="2359" w:type="dxa"/>
            <w:tcBorders>
              <w:top w:val="single" w:color="auto" w:sz="8" w:space="0"/>
            </w:tcBorders>
            <w:shd w:val="clear" w:color="auto" w:fill="auto"/>
            <w:vAlign w:val="center"/>
          </w:tcPr>
          <w:p>
            <w:pPr>
              <w:pStyle w:val="178"/>
            </w:pPr>
            <w:r>
              <w:rPr>
                <w:rFonts w:hint="eastAsia"/>
              </w:rPr>
              <w:t xml:space="preserve">拌细砂土制成毒土，耕地前均匀撒施地表翻耕入土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1" w:hRule="atLeast"/>
          <w:jc w:val="center"/>
        </w:trPr>
        <w:tc>
          <w:tcPr>
            <w:tcW w:w="2308" w:type="dxa"/>
            <w:vMerge w:val="continue"/>
            <w:shd w:val="clear" w:color="auto" w:fill="auto"/>
            <w:vAlign w:val="center"/>
          </w:tcPr>
          <w:p>
            <w:pPr>
              <w:pStyle w:val="178"/>
            </w:pPr>
          </w:p>
        </w:tc>
        <w:tc>
          <w:tcPr>
            <w:tcW w:w="2260" w:type="dxa"/>
            <w:vMerge w:val="continue"/>
            <w:vAlign w:val="center"/>
          </w:tcPr>
          <w:p>
            <w:pPr>
              <w:pStyle w:val="178"/>
            </w:pPr>
          </w:p>
        </w:tc>
        <w:tc>
          <w:tcPr>
            <w:tcW w:w="2407" w:type="dxa"/>
            <w:tcBorders>
              <w:top w:val="single" w:color="auto" w:sz="8" w:space="0"/>
            </w:tcBorders>
            <w:shd w:val="clear" w:color="auto" w:fill="auto"/>
            <w:vAlign w:val="center"/>
          </w:tcPr>
          <w:p>
            <w:pPr>
              <w:pStyle w:val="178"/>
            </w:pPr>
            <w:r>
              <w:rPr>
                <w:rFonts w:hint="eastAsia"/>
              </w:rPr>
              <w:t>苗期</w:t>
            </w:r>
          </w:p>
        </w:tc>
        <w:tc>
          <w:tcPr>
            <w:tcW w:w="2359" w:type="dxa"/>
            <w:shd w:val="clear" w:color="auto" w:fill="auto"/>
            <w:vAlign w:val="center"/>
          </w:tcPr>
          <w:p>
            <w:pPr>
              <w:pStyle w:val="178"/>
            </w:pPr>
            <w:r>
              <w:rPr>
                <w:rFonts w:hint="eastAsia"/>
              </w:rPr>
              <w:t>死苗率到达3 %时，顺麦垄撒施防治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8" w:hRule="atLeast"/>
          <w:jc w:val="center"/>
        </w:trPr>
        <w:tc>
          <w:tcPr>
            <w:tcW w:w="2308" w:type="dxa"/>
            <w:vMerge w:val="continue"/>
            <w:shd w:val="clear" w:color="auto" w:fill="auto"/>
            <w:vAlign w:val="center"/>
          </w:tcPr>
          <w:p>
            <w:pPr>
              <w:pStyle w:val="178"/>
            </w:pPr>
          </w:p>
        </w:tc>
        <w:tc>
          <w:tcPr>
            <w:tcW w:w="2260" w:type="dxa"/>
            <w:vAlign w:val="center"/>
          </w:tcPr>
          <w:p>
            <w:pPr>
              <w:pStyle w:val="178"/>
            </w:pPr>
            <w:r>
              <w:rPr>
                <w:rFonts w:hint="eastAsia"/>
              </w:rPr>
              <w:t>辛硫磷乳油、二嗪磷乳油</w:t>
            </w:r>
          </w:p>
        </w:tc>
        <w:tc>
          <w:tcPr>
            <w:tcW w:w="2407" w:type="dxa"/>
            <w:tcBorders>
              <w:top w:val="single" w:color="auto" w:sz="8" w:space="0"/>
            </w:tcBorders>
            <w:shd w:val="clear" w:color="auto" w:fill="auto"/>
            <w:vAlign w:val="center"/>
          </w:tcPr>
          <w:p>
            <w:pPr>
              <w:pStyle w:val="178"/>
            </w:pPr>
            <w:r>
              <w:rPr>
                <w:rFonts w:hint="eastAsia"/>
              </w:rPr>
              <w:t>种子处理</w:t>
            </w:r>
          </w:p>
        </w:tc>
        <w:tc>
          <w:tcPr>
            <w:tcW w:w="2359" w:type="dxa"/>
            <w:shd w:val="clear" w:color="auto" w:fill="auto"/>
            <w:vAlign w:val="center"/>
          </w:tcPr>
          <w:p>
            <w:pPr>
              <w:pStyle w:val="178"/>
            </w:pPr>
            <w:r>
              <w:rPr>
                <w:rFonts w:hint="eastAsia"/>
              </w:rPr>
              <w:t>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2308" w:type="dxa"/>
            <w:vMerge w:val="restart"/>
            <w:shd w:val="clear" w:color="auto" w:fill="auto"/>
            <w:vAlign w:val="center"/>
          </w:tcPr>
          <w:p>
            <w:pPr>
              <w:pStyle w:val="178"/>
            </w:pPr>
            <w:r>
              <w:rPr>
                <w:rFonts w:hint="eastAsia"/>
              </w:rPr>
              <w:t>小麦红蜘蛛</w:t>
            </w:r>
          </w:p>
        </w:tc>
        <w:tc>
          <w:tcPr>
            <w:tcW w:w="2260" w:type="dxa"/>
            <w:vAlign w:val="center"/>
          </w:tcPr>
          <w:p>
            <w:pPr>
              <w:pStyle w:val="178"/>
            </w:pPr>
            <w:r>
              <w:rPr>
                <w:rFonts w:hint="eastAsia"/>
              </w:rPr>
              <w:t>甲拌磷乳油</w:t>
            </w:r>
          </w:p>
        </w:tc>
        <w:tc>
          <w:tcPr>
            <w:tcW w:w="2407" w:type="dxa"/>
            <w:shd w:val="clear" w:color="auto" w:fill="auto"/>
            <w:vAlign w:val="center"/>
          </w:tcPr>
          <w:p>
            <w:pPr>
              <w:pStyle w:val="178"/>
            </w:pPr>
            <w:r>
              <w:rPr>
                <w:rFonts w:hint="eastAsia"/>
              </w:rPr>
              <w:t>播种期</w:t>
            </w:r>
          </w:p>
        </w:tc>
        <w:tc>
          <w:tcPr>
            <w:tcW w:w="2359" w:type="dxa"/>
            <w:shd w:val="clear" w:color="auto" w:fill="auto"/>
            <w:vAlign w:val="center"/>
          </w:tcPr>
          <w:p>
            <w:pPr>
              <w:pStyle w:val="178"/>
            </w:pPr>
            <w:r>
              <w:rPr>
                <w:rFonts w:hint="eastAsia"/>
              </w:rPr>
              <w:t>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2308" w:type="dxa"/>
            <w:vMerge w:val="continue"/>
            <w:shd w:val="clear" w:color="auto" w:fill="auto"/>
            <w:vAlign w:val="center"/>
          </w:tcPr>
          <w:p>
            <w:pPr>
              <w:pStyle w:val="178"/>
            </w:pPr>
          </w:p>
        </w:tc>
        <w:tc>
          <w:tcPr>
            <w:tcW w:w="2260" w:type="dxa"/>
            <w:vAlign w:val="center"/>
          </w:tcPr>
          <w:p>
            <w:pPr>
              <w:pStyle w:val="178"/>
            </w:pPr>
            <w:r>
              <w:rPr>
                <w:rFonts w:hint="eastAsia"/>
              </w:rPr>
              <w:t>哒螨灵可湿性粉剂、阿维菌素乳油</w:t>
            </w:r>
          </w:p>
        </w:tc>
        <w:tc>
          <w:tcPr>
            <w:tcW w:w="2407" w:type="dxa"/>
            <w:shd w:val="clear" w:color="auto" w:fill="auto"/>
            <w:vAlign w:val="center"/>
          </w:tcPr>
          <w:p>
            <w:pPr>
              <w:pStyle w:val="178"/>
            </w:pPr>
            <w:r>
              <w:rPr>
                <w:rFonts w:hint="eastAsia"/>
              </w:rPr>
              <w:t>苗期</w:t>
            </w:r>
          </w:p>
        </w:tc>
        <w:tc>
          <w:tcPr>
            <w:tcW w:w="2359" w:type="dxa"/>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9" w:hRule="atLeast"/>
          <w:jc w:val="center"/>
        </w:trPr>
        <w:tc>
          <w:tcPr>
            <w:tcW w:w="2308" w:type="dxa"/>
            <w:vMerge w:val="restart"/>
            <w:shd w:val="clear" w:color="auto" w:fill="auto"/>
            <w:vAlign w:val="center"/>
          </w:tcPr>
          <w:p>
            <w:pPr>
              <w:pStyle w:val="178"/>
            </w:pPr>
            <w:r>
              <w:rPr>
                <w:rFonts w:hint="eastAsia"/>
              </w:rPr>
              <w:t>蚜虫</w:t>
            </w:r>
          </w:p>
        </w:tc>
        <w:tc>
          <w:tcPr>
            <w:tcW w:w="2260" w:type="dxa"/>
            <w:vAlign w:val="center"/>
          </w:tcPr>
          <w:p>
            <w:pPr>
              <w:pStyle w:val="178"/>
            </w:pPr>
            <w:r>
              <w:rPr>
                <w:rFonts w:hint="eastAsia"/>
              </w:rPr>
              <w:t>吡虫啉悬浮种衣剂</w:t>
            </w:r>
          </w:p>
        </w:tc>
        <w:tc>
          <w:tcPr>
            <w:tcW w:w="2407" w:type="dxa"/>
            <w:shd w:val="clear" w:color="auto" w:fill="auto"/>
            <w:vAlign w:val="center"/>
          </w:tcPr>
          <w:p>
            <w:pPr>
              <w:pStyle w:val="178"/>
            </w:pPr>
            <w:r>
              <w:rPr>
                <w:rFonts w:hint="eastAsia"/>
              </w:rPr>
              <w:t>播种期</w:t>
            </w:r>
          </w:p>
        </w:tc>
        <w:tc>
          <w:tcPr>
            <w:tcW w:w="2359" w:type="dxa"/>
            <w:shd w:val="clear" w:color="auto" w:fill="auto"/>
            <w:vAlign w:val="center"/>
          </w:tcPr>
          <w:p>
            <w:pPr>
              <w:pStyle w:val="178"/>
            </w:pPr>
            <w:r>
              <w:rPr>
                <w:rFonts w:hint="eastAsia"/>
              </w:rPr>
              <w:t>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8" w:hRule="atLeast"/>
          <w:jc w:val="center"/>
        </w:trPr>
        <w:tc>
          <w:tcPr>
            <w:tcW w:w="2308" w:type="dxa"/>
            <w:vMerge w:val="continue"/>
            <w:shd w:val="clear" w:color="auto" w:fill="auto"/>
            <w:vAlign w:val="center"/>
          </w:tcPr>
          <w:p>
            <w:pPr>
              <w:pStyle w:val="178"/>
            </w:pPr>
          </w:p>
        </w:tc>
        <w:tc>
          <w:tcPr>
            <w:tcW w:w="2260" w:type="dxa"/>
            <w:vAlign w:val="center"/>
          </w:tcPr>
          <w:p>
            <w:pPr>
              <w:pStyle w:val="178"/>
            </w:pPr>
            <w:r>
              <w:rPr>
                <w:rFonts w:hint="eastAsia"/>
              </w:rPr>
              <w:t>吡虫·辛硫磷乳油、苦参碱水剂、高效氯氰菊酯乳油</w:t>
            </w:r>
          </w:p>
        </w:tc>
        <w:tc>
          <w:tcPr>
            <w:tcW w:w="2407" w:type="dxa"/>
            <w:shd w:val="clear" w:color="auto" w:fill="auto"/>
            <w:vAlign w:val="center"/>
          </w:tcPr>
          <w:p>
            <w:pPr>
              <w:pStyle w:val="178"/>
            </w:pPr>
            <w:r>
              <w:rPr>
                <w:rFonts w:hint="eastAsia"/>
              </w:rPr>
              <w:t>苗期</w:t>
            </w:r>
          </w:p>
        </w:tc>
        <w:tc>
          <w:tcPr>
            <w:tcW w:w="2359" w:type="dxa"/>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2308" w:type="dxa"/>
            <w:vMerge w:val="restart"/>
            <w:shd w:val="clear" w:color="auto" w:fill="auto"/>
            <w:vAlign w:val="center"/>
          </w:tcPr>
          <w:p>
            <w:pPr>
              <w:pStyle w:val="178"/>
            </w:pPr>
            <w:r>
              <w:rPr>
                <w:rFonts w:hint="eastAsia"/>
              </w:rPr>
              <w:t>吸浆虫</w:t>
            </w:r>
          </w:p>
        </w:tc>
        <w:tc>
          <w:tcPr>
            <w:tcW w:w="2260" w:type="dxa"/>
          </w:tcPr>
          <w:p>
            <w:pPr>
              <w:pStyle w:val="178"/>
            </w:pPr>
            <w:r>
              <w:rPr>
                <w:rFonts w:hint="eastAsia"/>
              </w:rPr>
              <w:t>辛硫磷颗粒剂、毒死蜱颗粒剂</w:t>
            </w:r>
          </w:p>
        </w:tc>
        <w:tc>
          <w:tcPr>
            <w:tcW w:w="2407" w:type="dxa"/>
            <w:shd w:val="clear" w:color="auto" w:fill="auto"/>
            <w:vAlign w:val="center"/>
          </w:tcPr>
          <w:p>
            <w:pPr>
              <w:pStyle w:val="178"/>
            </w:pPr>
            <w:r>
              <w:rPr>
                <w:rFonts w:hint="eastAsia"/>
              </w:rPr>
              <w:t>抽穗期前3 d～5 d</w:t>
            </w:r>
          </w:p>
        </w:tc>
        <w:tc>
          <w:tcPr>
            <w:tcW w:w="2359" w:type="dxa"/>
            <w:shd w:val="clear" w:color="auto" w:fill="auto"/>
            <w:vAlign w:val="center"/>
          </w:tcPr>
          <w:p>
            <w:pPr>
              <w:pStyle w:val="178"/>
            </w:pPr>
            <w:r>
              <w:rPr>
                <w:rFonts w:hint="eastAsia"/>
              </w:rPr>
              <w:t>拌西沙土顺麦垄均匀撒施到地表，随后浇水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2308" w:type="dxa"/>
            <w:vMerge w:val="continue"/>
            <w:shd w:val="clear" w:color="auto" w:fill="auto"/>
            <w:vAlign w:val="center"/>
          </w:tcPr>
          <w:p>
            <w:pPr>
              <w:pStyle w:val="178"/>
            </w:pPr>
          </w:p>
        </w:tc>
        <w:tc>
          <w:tcPr>
            <w:tcW w:w="2260" w:type="dxa"/>
          </w:tcPr>
          <w:p>
            <w:pPr>
              <w:pStyle w:val="178"/>
            </w:pPr>
            <w:r>
              <w:rPr>
                <w:rFonts w:hint="eastAsia"/>
              </w:rPr>
              <w:t>毒死蜱乳油、吡虫啉可湿性粉剂、高氯氰菊酯</w:t>
            </w:r>
          </w:p>
        </w:tc>
        <w:tc>
          <w:tcPr>
            <w:tcW w:w="2407" w:type="dxa"/>
            <w:shd w:val="clear" w:color="auto" w:fill="auto"/>
            <w:vAlign w:val="center"/>
          </w:tcPr>
          <w:p>
            <w:pPr>
              <w:pStyle w:val="178"/>
            </w:pPr>
            <w:r>
              <w:rPr>
                <w:rFonts w:hint="eastAsia"/>
              </w:rPr>
              <w:t>开花期前</w:t>
            </w:r>
          </w:p>
        </w:tc>
        <w:tc>
          <w:tcPr>
            <w:tcW w:w="2359" w:type="dxa"/>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2308" w:type="dxa"/>
            <w:shd w:val="clear" w:color="auto" w:fill="auto"/>
            <w:vAlign w:val="center"/>
          </w:tcPr>
          <w:p>
            <w:pPr>
              <w:pStyle w:val="178"/>
            </w:pPr>
            <w:r>
              <w:rPr>
                <w:rFonts w:hint="eastAsia"/>
              </w:rPr>
              <w:t>阔叶杂草</w:t>
            </w:r>
          </w:p>
        </w:tc>
        <w:tc>
          <w:tcPr>
            <w:tcW w:w="2260" w:type="dxa"/>
          </w:tcPr>
          <w:p>
            <w:pPr>
              <w:pStyle w:val="178"/>
            </w:pPr>
            <w:r>
              <w:rPr>
                <w:rFonts w:hint="eastAsia"/>
              </w:rPr>
              <w:t xml:space="preserve">苯磺隆可湿性粉剂、2,4-D丁酯乳油、氯氟吡氧乙酸乳油 </w:t>
            </w:r>
          </w:p>
        </w:tc>
        <w:tc>
          <w:tcPr>
            <w:tcW w:w="2407" w:type="dxa"/>
            <w:vMerge w:val="restart"/>
            <w:shd w:val="clear" w:color="auto" w:fill="auto"/>
            <w:vAlign w:val="center"/>
          </w:tcPr>
          <w:p>
            <w:pPr>
              <w:pStyle w:val="178"/>
            </w:pPr>
            <w:r>
              <w:rPr>
                <w:rFonts w:hint="eastAsia"/>
              </w:rPr>
              <w:t>三叶期～拔节期</w:t>
            </w:r>
          </w:p>
        </w:tc>
        <w:tc>
          <w:tcPr>
            <w:tcW w:w="2359" w:type="dxa"/>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2308" w:type="dxa"/>
            <w:shd w:val="clear" w:color="auto" w:fill="auto"/>
            <w:vAlign w:val="center"/>
          </w:tcPr>
          <w:p>
            <w:pPr>
              <w:pStyle w:val="178"/>
            </w:pPr>
            <w:r>
              <w:rPr>
                <w:rFonts w:hint="eastAsia"/>
              </w:rPr>
              <w:t>禾本科杂草</w:t>
            </w:r>
          </w:p>
        </w:tc>
        <w:tc>
          <w:tcPr>
            <w:tcW w:w="2260" w:type="dxa"/>
          </w:tcPr>
          <w:p>
            <w:pPr>
              <w:pStyle w:val="178"/>
            </w:pPr>
            <w:r>
              <w:rPr>
                <w:rFonts w:hint="eastAsia"/>
              </w:rPr>
              <w:t>甲基二磺隆油悬浮剂</w:t>
            </w:r>
          </w:p>
        </w:tc>
        <w:tc>
          <w:tcPr>
            <w:tcW w:w="2407" w:type="dxa"/>
            <w:vMerge w:val="continue"/>
            <w:shd w:val="clear" w:color="auto" w:fill="auto"/>
            <w:vAlign w:val="center"/>
          </w:tcPr>
          <w:p>
            <w:pPr>
              <w:pStyle w:val="178"/>
            </w:pPr>
          </w:p>
        </w:tc>
        <w:tc>
          <w:tcPr>
            <w:tcW w:w="2359" w:type="dxa"/>
            <w:shd w:val="clear" w:color="auto" w:fill="auto"/>
            <w:vAlign w:val="center"/>
          </w:tcPr>
          <w:p>
            <w:pPr>
              <w:pStyle w:val="178"/>
            </w:pPr>
            <w:r>
              <w:rPr>
                <w:rFonts w:hint="eastAsia"/>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2308" w:type="dxa"/>
            <w:shd w:val="clear" w:color="auto" w:fill="auto"/>
            <w:vAlign w:val="center"/>
          </w:tcPr>
          <w:p>
            <w:pPr>
              <w:pStyle w:val="178"/>
            </w:pPr>
            <w:r>
              <w:rPr>
                <w:rFonts w:hint="eastAsia"/>
              </w:rPr>
              <w:t>禾本科杂草和阔叶杂草</w:t>
            </w:r>
          </w:p>
        </w:tc>
        <w:tc>
          <w:tcPr>
            <w:tcW w:w="2260" w:type="dxa"/>
          </w:tcPr>
          <w:p>
            <w:pPr>
              <w:pStyle w:val="178"/>
            </w:pPr>
            <w:r>
              <w:rPr>
                <w:rFonts w:hint="eastAsia"/>
              </w:rPr>
              <w:t>甲基碘磺隆钠盐·甲基二磺隆可分散粒剂</w:t>
            </w:r>
          </w:p>
        </w:tc>
        <w:tc>
          <w:tcPr>
            <w:tcW w:w="2407" w:type="dxa"/>
            <w:vMerge w:val="continue"/>
            <w:shd w:val="clear" w:color="auto" w:fill="auto"/>
            <w:vAlign w:val="center"/>
          </w:tcPr>
          <w:p>
            <w:pPr>
              <w:pStyle w:val="178"/>
            </w:pPr>
          </w:p>
        </w:tc>
        <w:tc>
          <w:tcPr>
            <w:tcW w:w="2359" w:type="dxa"/>
            <w:shd w:val="clear" w:color="auto" w:fill="auto"/>
            <w:vAlign w:val="center"/>
          </w:tcPr>
          <w:p>
            <w:pPr>
              <w:pStyle w:val="178"/>
            </w:pPr>
            <w:r>
              <w:rPr>
                <w:rFonts w:hint="eastAsia"/>
              </w:rPr>
              <w:t>喷雾</w:t>
            </w:r>
          </w:p>
        </w:tc>
      </w:tr>
    </w:tbl>
    <w:p>
      <w:pPr>
        <w:pStyle w:val="198"/>
        <w:rPr>
          <w:rFonts w:hint="eastAsia"/>
        </w:rPr>
      </w:pPr>
    </w:p>
    <w:p>
      <w:pPr>
        <w:pStyle w:val="199"/>
      </w:pPr>
    </w:p>
    <w:p>
      <w:pPr>
        <w:pStyle w:val="76"/>
        <w:spacing w:after="156"/>
        <w:sectPr>
          <w:headerReference r:id="rId14" w:type="default"/>
          <w:footerReference r:id="rId16" w:type="default"/>
          <w:headerReference r:id="rId15" w:type="even"/>
          <w:footerReference r:id="rId17" w:type="even"/>
          <w:pgSz w:w="11906" w:h="16838"/>
          <w:pgMar w:top="1928" w:right="1134" w:bottom="1134" w:left="1134" w:header="1418" w:footer="1134" w:gutter="284"/>
          <w:cols w:space="425" w:num="1"/>
          <w:formProt w:val="0"/>
          <w:docGrid w:type="lines" w:linePitch="312" w:charSpace="0"/>
        </w:sectPr>
      </w:pPr>
    </w:p>
    <w:p>
      <w:pPr>
        <w:widowControl/>
        <w:adjustRightInd/>
        <w:spacing w:line="240" w:lineRule="auto"/>
        <w:jc w:val="left"/>
        <w:rPr>
          <w:rFonts w:ascii="黑体" w:hAnsi="Times New Roman" w:eastAsia="黑体"/>
          <w:kern w:val="0"/>
          <w:szCs w:val="20"/>
        </w:rPr>
      </w:pPr>
    </w:p>
    <w:p>
      <w:pPr>
        <w:pStyle w:val="76"/>
        <w:spacing w:after="156"/>
      </w:pPr>
      <w:r>
        <w:br w:type="textWrapping"/>
      </w:r>
      <w:bookmarkStart w:id="106" w:name="_Toc181021960"/>
      <w:bookmarkStart w:id="107" w:name="_Toc181021905"/>
      <w:bookmarkStart w:id="108" w:name="_Toc181022065"/>
      <w:bookmarkStart w:id="109" w:name="_Toc181021864"/>
      <w:r>
        <w:rPr>
          <w:rFonts w:hint="eastAsia"/>
        </w:rPr>
        <w:t>（规范性）</w:t>
      </w:r>
      <w:r>
        <w:br w:type="textWrapping"/>
      </w:r>
      <w:r>
        <w:rPr>
          <w:rFonts w:hint="eastAsia"/>
        </w:rPr>
        <w:t>冬小麦宽幅沟播技术生产档案</w:t>
      </w:r>
      <w:bookmarkEnd w:id="106"/>
      <w:bookmarkEnd w:id="107"/>
      <w:bookmarkEnd w:id="108"/>
      <w:bookmarkEnd w:id="109"/>
    </w:p>
    <w:p>
      <w:pPr>
        <w:pStyle w:val="56"/>
        <w:ind w:firstLine="420"/>
      </w:pPr>
      <w:r>
        <w:rPr>
          <w:rFonts w:hint="eastAsia"/>
        </w:rPr>
        <w:t>冬小麦宽幅沟播技术生产档案表见表B.1</w:t>
      </w:r>
    </w:p>
    <w:p>
      <w:pPr>
        <w:pStyle w:val="77"/>
        <w:spacing w:before="156" w:after="156"/>
      </w:pPr>
      <w:r>
        <w:rPr>
          <w:rFonts w:hint="eastAsia"/>
        </w:rPr>
        <w:t>冬小麦宽幅沟播生产档案表</w:t>
      </w:r>
    </w:p>
    <w:tbl>
      <w:tblPr>
        <w:tblStyle w:val="27"/>
        <w:tblW w:w="120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96"/>
        <w:gridCol w:w="451"/>
        <w:gridCol w:w="451"/>
        <w:gridCol w:w="452"/>
        <w:gridCol w:w="453"/>
        <w:gridCol w:w="453"/>
        <w:gridCol w:w="454"/>
        <w:gridCol w:w="454"/>
        <w:gridCol w:w="454"/>
        <w:gridCol w:w="454"/>
        <w:gridCol w:w="454"/>
        <w:gridCol w:w="454"/>
        <w:gridCol w:w="454"/>
        <w:gridCol w:w="454"/>
        <w:gridCol w:w="454"/>
        <w:gridCol w:w="454"/>
        <w:gridCol w:w="454"/>
        <w:gridCol w:w="454"/>
        <w:gridCol w:w="454"/>
        <w:gridCol w:w="454"/>
        <w:gridCol w:w="451"/>
        <w:gridCol w:w="458"/>
        <w:gridCol w:w="454"/>
        <w:gridCol w:w="454"/>
        <w:gridCol w:w="454"/>
        <w:gridCol w:w="4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0" w:hRule="atLeast"/>
          <w:tblHeader/>
          <w:jc w:val="center"/>
        </w:trPr>
        <w:tc>
          <w:tcPr>
            <w:tcW w:w="696" w:type="dxa"/>
            <w:vMerge w:val="restart"/>
            <w:tcBorders>
              <w:top w:val="single" w:color="auto" w:sz="8" w:space="0"/>
            </w:tcBorders>
            <w:shd w:val="clear" w:color="auto" w:fill="auto"/>
            <w:vAlign w:val="center"/>
          </w:tcPr>
          <w:p>
            <w:pPr>
              <w:pStyle w:val="178"/>
            </w:pPr>
            <w:r>
              <w:rPr>
                <w:rFonts w:hint="eastAsia"/>
              </w:rPr>
              <w:t>项目</w:t>
            </w:r>
          </w:p>
        </w:tc>
        <w:tc>
          <w:tcPr>
            <w:tcW w:w="902" w:type="dxa"/>
            <w:gridSpan w:val="2"/>
            <w:tcBorders>
              <w:top w:val="single" w:color="auto" w:sz="8" w:space="0"/>
              <w:bottom w:val="single" w:color="auto" w:sz="4" w:space="0"/>
            </w:tcBorders>
            <w:shd w:val="clear" w:color="auto" w:fill="auto"/>
            <w:vAlign w:val="center"/>
          </w:tcPr>
          <w:p>
            <w:pPr>
              <w:pStyle w:val="178"/>
            </w:pPr>
            <w:r>
              <w:rPr>
                <w:rFonts w:hint="eastAsia"/>
              </w:rPr>
              <w:t>耕作整地</w:t>
            </w:r>
          </w:p>
        </w:tc>
        <w:tc>
          <w:tcPr>
            <w:tcW w:w="1358" w:type="dxa"/>
            <w:gridSpan w:val="3"/>
            <w:tcBorders>
              <w:top w:val="single" w:color="auto" w:sz="8" w:space="0"/>
              <w:bottom w:val="single" w:color="auto" w:sz="4" w:space="0"/>
            </w:tcBorders>
            <w:shd w:val="clear" w:color="auto" w:fill="auto"/>
            <w:vAlign w:val="center"/>
          </w:tcPr>
          <w:p>
            <w:pPr>
              <w:pStyle w:val="178"/>
            </w:pPr>
            <w:r>
              <w:rPr>
                <w:rFonts w:hint="eastAsia"/>
              </w:rPr>
              <w:t>播前准备</w:t>
            </w:r>
          </w:p>
        </w:tc>
        <w:tc>
          <w:tcPr>
            <w:tcW w:w="1362" w:type="dxa"/>
            <w:gridSpan w:val="3"/>
            <w:tcBorders>
              <w:top w:val="single" w:color="auto" w:sz="8" w:space="0"/>
            </w:tcBorders>
            <w:shd w:val="clear" w:color="auto" w:fill="auto"/>
            <w:vAlign w:val="center"/>
          </w:tcPr>
          <w:p>
            <w:pPr>
              <w:pStyle w:val="178"/>
            </w:pPr>
            <w:r>
              <w:rPr>
                <w:rFonts w:hint="eastAsia"/>
              </w:rPr>
              <w:t>播种</w:t>
            </w:r>
          </w:p>
        </w:tc>
        <w:tc>
          <w:tcPr>
            <w:tcW w:w="454" w:type="dxa"/>
            <w:vMerge w:val="restart"/>
            <w:tcBorders>
              <w:top w:val="single" w:color="auto" w:sz="8" w:space="0"/>
            </w:tcBorders>
            <w:shd w:val="clear" w:color="auto" w:fill="auto"/>
            <w:vAlign w:val="center"/>
          </w:tcPr>
          <w:p>
            <w:pPr>
              <w:pStyle w:val="178"/>
            </w:pPr>
            <w:r>
              <w:rPr>
                <w:rFonts w:hint="eastAsia"/>
              </w:rPr>
              <w:t>密</w:t>
            </w:r>
          </w:p>
          <w:p>
            <w:pPr>
              <w:pStyle w:val="178"/>
            </w:pPr>
            <w:r>
              <w:rPr>
                <w:rFonts w:hint="eastAsia"/>
              </w:rPr>
              <w:t>度</w:t>
            </w:r>
          </w:p>
        </w:tc>
        <w:tc>
          <w:tcPr>
            <w:tcW w:w="4086" w:type="dxa"/>
            <w:gridSpan w:val="9"/>
            <w:tcBorders>
              <w:top w:val="single" w:color="auto" w:sz="8" w:space="0"/>
            </w:tcBorders>
            <w:shd w:val="clear" w:color="auto" w:fill="auto"/>
            <w:vAlign w:val="center"/>
          </w:tcPr>
          <w:p>
            <w:pPr>
              <w:pStyle w:val="178"/>
            </w:pPr>
            <w:r>
              <w:rPr>
                <w:rFonts w:hint="eastAsia"/>
              </w:rPr>
              <w:t>田间管理</w:t>
            </w:r>
          </w:p>
        </w:tc>
        <w:tc>
          <w:tcPr>
            <w:tcW w:w="1817" w:type="dxa"/>
            <w:gridSpan w:val="4"/>
            <w:tcBorders>
              <w:top w:val="single" w:color="auto" w:sz="8" w:space="0"/>
            </w:tcBorders>
            <w:shd w:val="clear" w:color="auto" w:fill="auto"/>
            <w:vAlign w:val="center"/>
          </w:tcPr>
          <w:p>
            <w:pPr>
              <w:pStyle w:val="178"/>
            </w:pPr>
            <w:r>
              <w:rPr>
                <w:rFonts w:hint="eastAsia"/>
              </w:rPr>
              <w:t>病虫害防治</w:t>
            </w:r>
          </w:p>
        </w:tc>
        <w:tc>
          <w:tcPr>
            <w:tcW w:w="1365" w:type="dxa"/>
            <w:gridSpan w:val="3"/>
            <w:tcBorders>
              <w:top w:val="single" w:color="auto" w:sz="8" w:space="0"/>
            </w:tcBorders>
            <w:vAlign w:val="center"/>
          </w:tcPr>
          <w:p>
            <w:pPr>
              <w:pStyle w:val="178"/>
            </w:pPr>
            <w:r>
              <w:rPr>
                <w:rFonts w:hint="eastAsia"/>
              </w:rPr>
              <w:t>收获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696" w:type="dxa"/>
            <w:vMerge w:val="continue"/>
            <w:shd w:val="clear" w:color="auto" w:fill="auto"/>
            <w:vAlign w:val="center"/>
          </w:tcPr>
          <w:p>
            <w:pPr>
              <w:pStyle w:val="178"/>
            </w:pPr>
          </w:p>
        </w:tc>
        <w:tc>
          <w:tcPr>
            <w:tcW w:w="451" w:type="dxa"/>
            <w:vMerge w:val="restart"/>
            <w:tcBorders>
              <w:top w:val="single" w:color="auto" w:sz="4" w:space="0"/>
            </w:tcBorders>
            <w:shd w:val="clear" w:color="auto" w:fill="auto"/>
            <w:vAlign w:val="center"/>
          </w:tcPr>
          <w:p>
            <w:pPr>
              <w:pStyle w:val="178"/>
            </w:pPr>
            <w:r>
              <w:rPr>
                <w:rFonts w:hint="eastAsia"/>
              </w:rPr>
              <w:t>时</w:t>
            </w:r>
          </w:p>
          <w:p>
            <w:pPr>
              <w:pStyle w:val="178"/>
            </w:pPr>
            <w:r>
              <w:rPr>
                <w:rFonts w:hint="eastAsia"/>
              </w:rPr>
              <w:t>间</w:t>
            </w:r>
          </w:p>
        </w:tc>
        <w:tc>
          <w:tcPr>
            <w:tcW w:w="451" w:type="dxa"/>
            <w:vMerge w:val="restart"/>
            <w:tcBorders>
              <w:top w:val="single" w:color="auto" w:sz="4" w:space="0"/>
            </w:tcBorders>
            <w:shd w:val="clear" w:color="auto" w:fill="auto"/>
            <w:vAlign w:val="center"/>
          </w:tcPr>
          <w:p>
            <w:pPr>
              <w:pStyle w:val="178"/>
            </w:pPr>
            <w:r>
              <w:rPr>
                <w:rFonts w:hint="eastAsia"/>
              </w:rPr>
              <w:t>方</w:t>
            </w:r>
          </w:p>
          <w:p>
            <w:pPr>
              <w:pStyle w:val="178"/>
            </w:pPr>
            <w:r>
              <w:rPr>
                <w:rFonts w:hint="eastAsia"/>
              </w:rPr>
              <w:t>式</w:t>
            </w:r>
          </w:p>
        </w:tc>
        <w:tc>
          <w:tcPr>
            <w:tcW w:w="452" w:type="dxa"/>
            <w:vMerge w:val="restart"/>
            <w:tcBorders>
              <w:top w:val="single" w:color="auto" w:sz="4" w:space="0"/>
            </w:tcBorders>
            <w:shd w:val="clear" w:color="auto" w:fill="auto"/>
            <w:vAlign w:val="center"/>
          </w:tcPr>
          <w:p>
            <w:pPr>
              <w:pStyle w:val="178"/>
            </w:pPr>
            <w:r>
              <w:rPr>
                <w:rFonts w:hint="eastAsia"/>
              </w:rPr>
              <w:t>品</w:t>
            </w:r>
          </w:p>
          <w:p>
            <w:pPr>
              <w:pStyle w:val="178"/>
            </w:pPr>
            <w:r>
              <w:rPr>
                <w:rFonts w:hint="eastAsia"/>
              </w:rPr>
              <w:t>种</w:t>
            </w:r>
          </w:p>
        </w:tc>
        <w:tc>
          <w:tcPr>
            <w:tcW w:w="453" w:type="dxa"/>
            <w:vMerge w:val="restart"/>
            <w:tcBorders>
              <w:top w:val="single" w:color="auto" w:sz="4" w:space="0"/>
            </w:tcBorders>
            <w:shd w:val="clear" w:color="auto" w:fill="auto"/>
            <w:vAlign w:val="center"/>
          </w:tcPr>
          <w:p>
            <w:pPr>
              <w:pStyle w:val="178"/>
            </w:pPr>
            <w:r>
              <w:rPr>
                <w:rFonts w:hint="eastAsia"/>
              </w:rPr>
              <w:t>种</w:t>
            </w:r>
          </w:p>
          <w:p>
            <w:pPr>
              <w:pStyle w:val="178"/>
            </w:pPr>
            <w:r>
              <w:rPr>
                <w:rFonts w:hint="eastAsia"/>
              </w:rPr>
              <w:t>子</w:t>
            </w:r>
          </w:p>
          <w:p>
            <w:pPr>
              <w:pStyle w:val="178"/>
            </w:pPr>
            <w:r>
              <w:rPr>
                <w:rFonts w:hint="eastAsia"/>
              </w:rPr>
              <w:t>处</w:t>
            </w:r>
          </w:p>
          <w:p>
            <w:pPr>
              <w:pStyle w:val="178"/>
            </w:pPr>
            <w:r>
              <w:rPr>
                <w:rFonts w:hint="eastAsia"/>
              </w:rPr>
              <w:t>理</w:t>
            </w:r>
          </w:p>
        </w:tc>
        <w:tc>
          <w:tcPr>
            <w:tcW w:w="453" w:type="dxa"/>
            <w:vMerge w:val="restart"/>
            <w:shd w:val="clear" w:color="auto" w:fill="auto"/>
            <w:vAlign w:val="center"/>
          </w:tcPr>
          <w:p>
            <w:pPr>
              <w:pStyle w:val="178"/>
            </w:pPr>
            <w:r>
              <w:rPr>
                <w:rFonts w:hint="eastAsia"/>
              </w:rPr>
              <w:t>地</w:t>
            </w:r>
          </w:p>
          <w:p>
            <w:pPr>
              <w:pStyle w:val="178"/>
            </w:pPr>
            <w:r>
              <w:rPr>
                <w:rFonts w:hint="eastAsia"/>
              </w:rPr>
              <w:t>膜</w:t>
            </w:r>
          </w:p>
          <w:p>
            <w:pPr>
              <w:pStyle w:val="178"/>
            </w:pPr>
            <w:r>
              <w:rPr>
                <w:rFonts w:hint="eastAsia"/>
              </w:rPr>
              <w:t>选</w:t>
            </w:r>
          </w:p>
          <w:p>
            <w:pPr>
              <w:pStyle w:val="178"/>
            </w:pPr>
            <w:r>
              <w:rPr>
                <w:rFonts w:hint="eastAsia"/>
              </w:rPr>
              <w:t>择</w:t>
            </w:r>
          </w:p>
        </w:tc>
        <w:tc>
          <w:tcPr>
            <w:tcW w:w="454" w:type="dxa"/>
            <w:vMerge w:val="restart"/>
            <w:shd w:val="clear" w:color="auto" w:fill="auto"/>
            <w:vAlign w:val="center"/>
          </w:tcPr>
          <w:p>
            <w:pPr>
              <w:pStyle w:val="178"/>
            </w:pPr>
            <w:r>
              <w:rPr>
                <w:rFonts w:hint="eastAsia"/>
              </w:rPr>
              <w:t>播</w:t>
            </w:r>
          </w:p>
          <w:p>
            <w:pPr>
              <w:pStyle w:val="178"/>
            </w:pPr>
            <w:r>
              <w:rPr>
                <w:rFonts w:hint="eastAsia"/>
              </w:rPr>
              <w:t>期</w:t>
            </w:r>
          </w:p>
        </w:tc>
        <w:tc>
          <w:tcPr>
            <w:tcW w:w="454" w:type="dxa"/>
            <w:vMerge w:val="restart"/>
            <w:shd w:val="clear" w:color="auto" w:fill="auto"/>
            <w:vAlign w:val="center"/>
          </w:tcPr>
          <w:p>
            <w:pPr>
              <w:pStyle w:val="178"/>
            </w:pPr>
            <w:r>
              <w:rPr>
                <w:rFonts w:hint="eastAsia"/>
              </w:rPr>
              <w:t>播</w:t>
            </w:r>
          </w:p>
          <w:p>
            <w:pPr>
              <w:pStyle w:val="178"/>
            </w:pPr>
            <w:r>
              <w:rPr>
                <w:rFonts w:hint="eastAsia"/>
              </w:rPr>
              <w:t>量</w:t>
            </w:r>
          </w:p>
        </w:tc>
        <w:tc>
          <w:tcPr>
            <w:tcW w:w="454" w:type="dxa"/>
            <w:vMerge w:val="restart"/>
            <w:shd w:val="clear" w:color="auto" w:fill="auto"/>
            <w:vAlign w:val="center"/>
          </w:tcPr>
          <w:p>
            <w:pPr>
              <w:pStyle w:val="178"/>
            </w:pPr>
            <w:r>
              <w:rPr>
                <w:rFonts w:hint="eastAsia"/>
              </w:rPr>
              <w:t>播</w:t>
            </w:r>
          </w:p>
          <w:p>
            <w:pPr>
              <w:pStyle w:val="178"/>
            </w:pPr>
            <w:r>
              <w:rPr>
                <w:rFonts w:hint="eastAsia"/>
              </w:rPr>
              <w:t>种</w:t>
            </w:r>
          </w:p>
          <w:p>
            <w:pPr>
              <w:pStyle w:val="178"/>
            </w:pPr>
            <w:r>
              <w:rPr>
                <w:rFonts w:hint="eastAsia"/>
              </w:rPr>
              <w:t>方</w:t>
            </w:r>
          </w:p>
          <w:p>
            <w:pPr>
              <w:pStyle w:val="178"/>
            </w:pPr>
            <w:r>
              <w:rPr>
                <w:rFonts w:hint="eastAsia"/>
              </w:rPr>
              <w:t>式</w:t>
            </w:r>
          </w:p>
        </w:tc>
        <w:tc>
          <w:tcPr>
            <w:tcW w:w="454" w:type="dxa"/>
            <w:vMerge w:val="continue"/>
            <w:shd w:val="clear" w:color="auto" w:fill="auto"/>
            <w:vAlign w:val="center"/>
          </w:tcPr>
          <w:p>
            <w:pPr>
              <w:pStyle w:val="178"/>
            </w:pPr>
          </w:p>
        </w:tc>
        <w:tc>
          <w:tcPr>
            <w:tcW w:w="1362" w:type="dxa"/>
            <w:gridSpan w:val="3"/>
            <w:tcBorders>
              <w:top w:val="single" w:color="auto" w:sz="4" w:space="0"/>
              <w:bottom w:val="single" w:color="auto" w:sz="4" w:space="0"/>
            </w:tcBorders>
            <w:shd w:val="clear" w:color="auto" w:fill="auto"/>
            <w:vAlign w:val="center"/>
          </w:tcPr>
          <w:p>
            <w:pPr>
              <w:pStyle w:val="178"/>
            </w:pPr>
            <w:r>
              <w:rPr>
                <w:rFonts w:hint="eastAsia"/>
              </w:rPr>
              <w:t>所用肥料</w:t>
            </w:r>
          </w:p>
        </w:tc>
        <w:tc>
          <w:tcPr>
            <w:tcW w:w="908" w:type="dxa"/>
            <w:gridSpan w:val="2"/>
            <w:shd w:val="clear" w:color="auto" w:fill="auto"/>
            <w:vAlign w:val="center"/>
          </w:tcPr>
          <w:p>
            <w:pPr>
              <w:pStyle w:val="178"/>
            </w:pPr>
            <w:r>
              <w:rPr>
                <w:rFonts w:hint="eastAsia"/>
              </w:rPr>
              <w:t>控旺</w:t>
            </w:r>
          </w:p>
        </w:tc>
        <w:tc>
          <w:tcPr>
            <w:tcW w:w="1816" w:type="dxa"/>
            <w:gridSpan w:val="4"/>
            <w:shd w:val="clear" w:color="auto" w:fill="auto"/>
            <w:vAlign w:val="center"/>
          </w:tcPr>
          <w:p>
            <w:pPr>
              <w:pStyle w:val="178"/>
            </w:pPr>
            <w:r>
              <w:rPr>
                <w:rFonts w:hint="eastAsia"/>
              </w:rPr>
              <w:t>除草</w:t>
            </w:r>
          </w:p>
        </w:tc>
        <w:tc>
          <w:tcPr>
            <w:tcW w:w="454" w:type="dxa"/>
            <w:vMerge w:val="restart"/>
            <w:shd w:val="clear" w:color="auto" w:fill="auto"/>
            <w:vAlign w:val="center"/>
          </w:tcPr>
          <w:p>
            <w:pPr>
              <w:pStyle w:val="178"/>
            </w:pPr>
            <w:r>
              <w:rPr>
                <w:rFonts w:hint="eastAsia"/>
              </w:rPr>
              <w:t>物</w:t>
            </w:r>
          </w:p>
          <w:p>
            <w:pPr>
              <w:pStyle w:val="178"/>
            </w:pPr>
            <w:r>
              <w:rPr>
                <w:rFonts w:hint="eastAsia"/>
              </w:rPr>
              <w:t>理</w:t>
            </w:r>
          </w:p>
          <w:p>
            <w:pPr>
              <w:pStyle w:val="178"/>
            </w:pPr>
            <w:r>
              <w:rPr>
                <w:rFonts w:hint="eastAsia"/>
              </w:rPr>
              <w:t>防</w:t>
            </w:r>
          </w:p>
          <w:p>
            <w:pPr>
              <w:pStyle w:val="178"/>
            </w:pPr>
            <w:r>
              <w:rPr>
                <w:rFonts w:hint="eastAsia"/>
              </w:rPr>
              <w:t>治</w:t>
            </w:r>
          </w:p>
        </w:tc>
        <w:tc>
          <w:tcPr>
            <w:tcW w:w="451" w:type="dxa"/>
            <w:vMerge w:val="restart"/>
            <w:shd w:val="clear" w:color="auto" w:fill="auto"/>
            <w:vAlign w:val="center"/>
          </w:tcPr>
          <w:p>
            <w:pPr>
              <w:pStyle w:val="178"/>
            </w:pPr>
            <w:r>
              <w:rPr>
                <w:rFonts w:hint="eastAsia"/>
              </w:rPr>
              <w:t>生</w:t>
            </w:r>
          </w:p>
          <w:p>
            <w:pPr>
              <w:pStyle w:val="178"/>
            </w:pPr>
            <w:r>
              <w:rPr>
                <w:rFonts w:hint="eastAsia"/>
              </w:rPr>
              <w:t>物</w:t>
            </w:r>
          </w:p>
          <w:p>
            <w:pPr>
              <w:pStyle w:val="178"/>
            </w:pPr>
            <w:r>
              <w:rPr>
                <w:rFonts w:hint="eastAsia"/>
              </w:rPr>
              <w:t>防</w:t>
            </w:r>
          </w:p>
          <w:p>
            <w:pPr>
              <w:pStyle w:val="178"/>
            </w:pPr>
            <w:r>
              <w:rPr>
                <w:rFonts w:hint="eastAsia"/>
              </w:rPr>
              <w:t>治</w:t>
            </w:r>
          </w:p>
        </w:tc>
        <w:tc>
          <w:tcPr>
            <w:tcW w:w="912" w:type="dxa"/>
            <w:gridSpan w:val="2"/>
            <w:vMerge w:val="restart"/>
            <w:shd w:val="clear" w:color="auto" w:fill="auto"/>
            <w:vAlign w:val="center"/>
          </w:tcPr>
          <w:p>
            <w:pPr>
              <w:pStyle w:val="178"/>
            </w:pPr>
            <w:r>
              <w:rPr>
                <w:rFonts w:hint="eastAsia"/>
              </w:rPr>
              <w:t>化学防治</w:t>
            </w:r>
          </w:p>
        </w:tc>
        <w:tc>
          <w:tcPr>
            <w:tcW w:w="454" w:type="dxa"/>
            <w:vMerge w:val="restart"/>
            <w:shd w:val="clear" w:color="auto" w:fill="auto"/>
            <w:vAlign w:val="center"/>
          </w:tcPr>
          <w:p>
            <w:pPr>
              <w:pStyle w:val="178"/>
            </w:pPr>
            <w:r>
              <w:rPr>
                <w:rFonts w:hint="eastAsia"/>
              </w:rPr>
              <w:t>时</w:t>
            </w:r>
          </w:p>
          <w:p>
            <w:pPr>
              <w:pStyle w:val="178"/>
            </w:pPr>
            <w:r>
              <w:rPr>
                <w:rFonts w:hint="eastAsia"/>
              </w:rPr>
              <w:t>间</w:t>
            </w:r>
          </w:p>
        </w:tc>
        <w:tc>
          <w:tcPr>
            <w:tcW w:w="454" w:type="dxa"/>
            <w:vMerge w:val="restart"/>
            <w:vAlign w:val="center"/>
          </w:tcPr>
          <w:p>
            <w:pPr>
              <w:pStyle w:val="178"/>
            </w:pPr>
            <w:r>
              <w:rPr>
                <w:rFonts w:hint="eastAsia"/>
              </w:rPr>
              <w:t>方</w:t>
            </w:r>
          </w:p>
          <w:p>
            <w:pPr>
              <w:pStyle w:val="178"/>
            </w:pPr>
            <w:r>
              <w:rPr>
                <w:rFonts w:hint="eastAsia"/>
              </w:rPr>
              <w:t>式</w:t>
            </w:r>
          </w:p>
        </w:tc>
        <w:tc>
          <w:tcPr>
            <w:tcW w:w="457" w:type="dxa"/>
            <w:vMerge w:val="restart"/>
            <w:shd w:val="clear" w:color="auto" w:fill="auto"/>
            <w:vAlign w:val="center"/>
          </w:tcPr>
          <w:p>
            <w:pPr>
              <w:pStyle w:val="178"/>
            </w:pPr>
            <w:r>
              <w:rPr>
                <w:rFonts w:hint="eastAsia"/>
              </w:rPr>
              <w:t>产</w:t>
            </w:r>
          </w:p>
          <w:p>
            <w:pPr>
              <w:pStyle w:val="178"/>
            </w:pPr>
            <w:r>
              <w:rPr>
                <w:rFonts w:hint="eastAsia"/>
              </w:rPr>
              <w:t>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jc w:val="center"/>
        </w:trPr>
        <w:tc>
          <w:tcPr>
            <w:tcW w:w="696" w:type="dxa"/>
            <w:vMerge w:val="continue"/>
            <w:shd w:val="clear" w:color="auto" w:fill="auto"/>
            <w:vAlign w:val="center"/>
          </w:tcPr>
          <w:p>
            <w:pPr>
              <w:pStyle w:val="178"/>
            </w:pPr>
          </w:p>
        </w:tc>
        <w:tc>
          <w:tcPr>
            <w:tcW w:w="451" w:type="dxa"/>
            <w:vMerge w:val="continue"/>
            <w:shd w:val="clear" w:color="auto" w:fill="auto"/>
            <w:vAlign w:val="center"/>
          </w:tcPr>
          <w:p>
            <w:pPr>
              <w:pStyle w:val="178"/>
            </w:pPr>
          </w:p>
        </w:tc>
        <w:tc>
          <w:tcPr>
            <w:tcW w:w="451" w:type="dxa"/>
            <w:vMerge w:val="continue"/>
            <w:shd w:val="clear" w:color="auto" w:fill="auto"/>
            <w:vAlign w:val="center"/>
          </w:tcPr>
          <w:p>
            <w:pPr>
              <w:pStyle w:val="178"/>
            </w:pPr>
          </w:p>
        </w:tc>
        <w:tc>
          <w:tcPr>
            <w:tcW w:w="452" w:type="dxa"/>
            <w:vMerge w:val="continue"/>
            <w:shd w:val="clear" w:color="auto" w:fill="auto"/>
            <w:vAlign w:val="center"/>
          </w:tcPr>
          <w:p>
            <w:pPr>
              <w:pStyle w:val="178"/>
            </w:pPr>
          </w:p>
        </w:tc>
        <w:tc>
          <w:tcPr>
            <w:tcW w:w="453" w:type="dxa"/>
            <w:vMerge w:val="continue"/>
            <w:shd w:val="clear" w:color="auto" w:fill="auto"/>
            <w:vAlign w:val="center"/>
          </w:tcPr>
          <w:p>
            <w:pPr>
              <w:pStyle w:val="178"/>
            </w:pPr>
          </w:p>
        </w:tc>
        <w:tc>
          <w:tcPr>
            <w:tcW w:w="453" w:type="dxa"/>
            <w:vMerge w:val="continue"/>
            <w:tcBorders>
              <w:top w:val="single" w:color="auto" w:sz="4" w:space="0"/>
            </w:tcBorders>
            <w:shd w:val="clear" w:color="auto" w:fill="auto"/>
            <w:vAlign w:val="center"/>
          </w:tcPr>
          <w:p>
            <w:pPr>
              <w:pStyle w:val="178"/>
            </w:pPr>
          </w:p>
        </w:tc>
        <w:tc>
          <w:tcPr>
            <w:tcW w:w="454" w:type="dxa"/>
            <w:vMerge w:val="continue"/>
            <w:tcBorders>
              <w:top w:val="single" w:color="auto" w:sz="4" w:space="0"/>
            </w:tcBorders>
            <w:shd w:val="clear" w:color="auto" w:fill="auto"/>
            <w:vAlign w:val="center"/>
          </w:tcPr>
          <w:p>
            <w:pPr>
              <w:pStyle w:val="178"/>
            </w:pPr>
          </w:p>
        </w:tc>
        <w:tc>
          <w:tcPr>
            <w:tcW w:w="454" w:type="dxa"/>
            <w:vMerge w:val="continue"/>
            <w:tcBorders>
              <w:top w:val="single" w:color="auto" w:sz="4" w:space="0"/>
            </w:tcBorders>
            <w:shd w:val="clear" w:color="auto" w:fill="auto"/>
            <w:vAlign w:val="center"/>
          </w:tcPr>
          <w:p>
            <w:pPr>
              <w:pStyle w:val="178"/>
            </w:pPr>
          </w:p>
        </w:tc>
        <w:tc>
          <w:tcPr>
            <w:tcW w:w="454" w:type="dxa"/>
            <w:vMerge w:val="continue"/>
            <w:tcBorders>
              <w:top w:val="single" w:color="auto" w:sz="4" w:space="0"/>
            </w:tcBorders>
            <w:shd w:val="clear" w:color="auto" w:fill="auto"/>
            <w:vAlign w:val="center"/>
          </w:tcPr>
          <w:p>
            <w:pPr>
              <w:pStyle w:val="178"/>
            </w:pPr>
          </w:p>
        </w:tc>
        <w:tc>
          <w:tcPr>
            <w:tcW w:w="454" w:type="dxa"/>
            <w:vMerge w:val="continue"/>
            <w:shd w:val="clear" w:color="auto" w:fill="auto"/>
            <w:vAlign w:val="center"/>
          </w:tcPr>
          <w:p>
            <w:pPr>
              <w:pStyle w:val="178"/>
            </w:pPr>
          </w:p>
        </w:tc>
        <w:tc>
          <w:tcPr>
            <w:tcW w:w="454" w:type="dxa"/>
            <w:vMerge w:val="restart"/>
            <w:tcBorders>
              <w:top w:val="single" w:color="auto" w:sz="4" w:space="0"/>
            </w:tcBorders>
            <w:shd w:val="clear" w:color="auto" w:fill="auto"/>
            <w:vAlign w:val="center"/>
          </w:tcPr>
          <w:p>
            <w:pPr>
              <w:pStyle w:val="178"/>
            </w:pPr>
            <w:r>
              <w:rPr>
                <w:rFonts w:hint="eastAsia"/>
              </w:rPr>
              <w:t>方</w:t>
            </w:r>
          </w:p>
          <w:p>
            <w:pPr>
              <w:pStyle w:val="178"/>
            </w:pPr>
            <w:r>
              <w:rPr>
                <w:rFonts w:hint="eastAsia"/>
              </w:rPr>
              <w:t>式</w:t>
            </w:r>
          </w:p>
        </w:tc>
        <w:tc>
          <w:tcPr>
            <w:tcW w:w="454" w:type="dxa"/>
            <w:vMerge w:val="restart"/>
            <w:tcBorders>
              <w:top w:val="single" w:color="auto" w:sz="4" w:space="0"/>
            </w:tcBorders>
            <w:shd w:val="clear" w:color="auto" w:fill="auto"/>
            <w:vAlign w:val="center"/>
          </w:tcPr>
          <w:p>
            <w:pPr>
              <w:pStyle w:val="178"/>
            </w:pPr>
            <w:r>
              <w:rPr>
                <w:rFonts w:hint="eastAsia"/>
              </w:rPr>
              <w:t>名</w:t>
            </w:r>
          </w:p>
          <w:p>
            <w:pPr>
              <w:pStyle w:val="178"/>
            </w:pPr>
            <w:r>
              <w:rPr>
                <w:rFonts w:hint="eastAsia"/>
              </w:rPr>
              <w:t>称</w:t>
            </w:r>
          </w:p>
        </w:tc>
        <w:tc>
          <w:tcPr>
            <w:tcW w:w="454" w:type="dxa"/>
            <w:vMerge w:val="restart"/>
            <w:tcBorders>
              <w:top w:val="single" w:color="auto" w:sz="4" w:space="0"/>
            </w:tcBorders>
            <w:shd w:val="clear" w:color="auto" w:fill="auto"/>
            <w:vAlign w:val="center"/>
          </w:tcPr>
          <w:p>
            <w:pPr>
              <w:pStyle w:val="178"/>
            </w:pPr>
            <w:r>
              <w:rPr>
                <w:rFonts w:hint="eastAsia"/>
              </w:rPr>
              <w:t>数</w:t>
            </w:r>
          </w:p>
          <w:p>
            <w:pPr>
              <w:pStyle w:val="178"/>
            </w:pPr>
            <w:r>
              <w:rPr>
                <w:rFonts w:hint="eastAsia"/>
              </w:rPr>
              <w:t>量</w:t>
            </w:r>
          </w:p>
        </w:tc>
        <w:tc>
          <w:tcPr>
            <w:tcW w:w="454" w:type="dxa"/>
            <w:vMerge w:val="restart"/>
            <w:shd w:val="clear" w:color="auto" w:fill="auto"/>
            <w:vAlign w:val="center"/>
          </w:tcPr>
          <w:p>
            <w:pPr>
              <w:pStyle w:val="178"/>
            </w:pPr>
            <w:r>
              <w:rPr>
                <w:rFonts w:hint="eastAsia"/>
              </w:rPr>
              <w:t>药</w:t>
            </w:r>
          </w:p>
          <w:p>
            <w:pPr>
              <w:pStyle w:val="178"/>
            </w:pPr>
            <w:r>
              <w:rPr>
                <w:rFonts w:hint="eastAsia"/>
              </w:rPr>
              <w:t>剂</w:t>
            </w:r>
          </w:p>
        </w:tc>
        <w:tc>
          <w:tcPr>
            <w:tcW w:w="454" w:type="dxa"/>
            <w:vMerge w:val="restart"/>
            <w:shd w:val="clear" w:color="auto" w:fill="auto"/>
            <w:vAlign w:val="center"/>
          </w:tcPr>
          <w:p>
            <w:pPr>
              <w:pStyle w:val="178"/>
            </w:pPr>
            <w:r>
              <w:rPr>
                <w:rFonts w:hint="eastAsia"/>
              </w:rPr>
              <w:t>用</w:t>
            </w:r>
          </w:p>
          <w:p>
            <w:pPr>
              <w:pStyle w:val="178"/>
            </w:pPr>
            <w:r>
              <w:rPr>
                <w:rFonts w:hint="eastAsia"/>
              </w:rPr>
              <w:t>量</w:t>
            </w:r>
          </w:p>
        </w:tc>
        <w:tc>
          <w:tcPr>
            <w:tcW w:w="454" w:type="dxa"/>
            <w:vMerge w:val="restart"/>
            <w:shd w:val="clear" w:color="auto" w:fill="auto"/>
            <w:vAlign w:val="center"/>
          </w:tcPr>
          <w:p>
            <w:pPr>
              <w:pStyle w:val="178"/>
            </w:pPr>
            <w:r>
              <w:rPr>
                <w:rFonts w:hint="eastAsia"/>
              </w:rPr>
              <w:t>中</w:t>
            </w:r>
          </w:p>
          <w:p>
            <w:pPr>
              <w:pStyle w:val="178"/>
            </w:pPr>
            <w:r>
              <w:rPr>
                <w:rFonts w:hint="eastAsia"/>
              </w:rPr>
              <w:t>耕</w:t>
            </w:r>
          </w:p>
          <w:p>
            <w:pPr>
              <w:pStyle w:val="178"/>
            </w:pPr>
            <w:r>
              <w:rPr>
                <w:rFonts w:hint="eastAsia"/>
              </w:rPr>
              <w:t>除</w:t>
            </w:r>
          </w:p>
          <w:p>
            <w:pPr>
              <w:pStyle w:val="178"/>
            </w:pPr>
            <w:r>
              <w:rPr>
                <w:rFonts w:hint="eastAsia"/>
              </w:rPr>
              <w:t>草</w:t>
            </w:r>
          </w:p>
        </w:tc>
        <w:tc>
          <w:tcPr>
            <w:tcW w:w="1362" w:type="dxa"/>
            <w:gridSpan w:val="3"/>
            <w:tcBorders>
              <w:top w:val="single" w:color="auto" w:sz="4" w:space="0"/>
              <w:bottom w:val="single" w:color="auto" w:sz="4" w:space="0"/>
            </w:tcBorders>
            <w:shd w:val="clear" w:color="auto" w:fill="auto"/>
            <w:vAlign w:val="center"/>
          </w:tcPr>
          <w:p>
            <w:pPr>
              <w:pStyle w:val="178"/>
            </w:pPr>
            <w:r>
              <w:rPr>
                <w:rFonts w:hint="eastAsia"/>
              </w:rPr>
              <w:t>化学除草</w:t>
            </w:r>
          </w:p>
        </w:tc>
        <w:tc>
          <w:tcPr>
            <w:tcW w:w="454" w:type="dxa"/>
            <w:vMerge w:val="continue"/>
            <w:shd w:val="clear" w:color="auto" w:fill="auto"/>
            <w:vAlign w:val="center"/>
          </w:tcPr>
          <w:p>
            <w:pPr>
              <w:pStyle w:val="178"/>
            </w:pPr>
          </w:p>
        </w:tc>
        <w:tc>
          <w:tcPr>
            <w:tcW w:w="451" w:type="dxa"/>
            <w:vMerge w:val="continue"/>
            <w:shd w:val="clear" w:color="auto" w:fill="auto"/>
            <w:vAlign w:val="center"/>
          </w:tcPr>
          <w:p>
            <w:pPr>
              <w:pStyle w:val="178"/>
            </w:pPr>
          </w:p>
        </w:tc>
        <w:tc>
          <w:tcPr>
            <w:tcW w:w="912" w:type="dxa"/>
            <w:gridSpan w:val="2"/>
            <w:vMerge w:val="continue"/>
            <w:shd w:val="clear" w:color="auto" w:fill="auto"/>
            <w:vAlign w:val="center"/>
          </w:tcPr>
          <w:p>
            <w:pPr>
              <w:pStyle w:val="178"/>
            </w:pPr>
          </w:p>
        </w:tc>
        <w:tc>
          <w:tcPr>
            <w:tcW w:w="454" w:type="dxa"/>
            <w:vMerge w:val="continue"/>
          </w:tcPr>
          <w:p>
            <w:pPr>
              <w:pStyle w:val="178"/>
            </w:pPr>
          </w:p>
        </w:tc>
        <w:tc>
          <w:tcPr>
            <w:tcW w:w="454" w:type="dxa"/>
            <w:vMerge w:val="continue"/>
          </w:tcPr>
          <w:p>
            <w:pPr>
              <w:pStyle w:val="178"/>
            </w:pPr>
          </w:p>
        </w:tc>
        <w:tc>
          <w:tcPr>
            <w:tcW w:w="457"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8" w:hRule="atLeast"/>
          <w:tblHeader/>
          <w:jc w:val="center"/>
        </w:trPr>
        <w:tc>
          <w:tcPr>
            <w:tcW w:w="696" w:type="dxa"/>
            <w:vMerge w:val="continue"/>
            <w:tcBorders>
              <w:top w:val="single" w:color="auto" w:sz="4" w:space="0"/>
              <w:bottom w:val="single" w:color="auto" w:sz="4" w:space="0"/>
            </w:tcBorders>
            <w:shd w:val="clear" w:color="auto" w:fill="auto"/>
            <w:vAlign w:val="center"/>
          </w:tcPr>
          <w:p>
            <w:pPr>
              <w:pStyle w:val="178"/>
            </w:pPr>
          </w:p>
        </w:tc>
        <w:tc>
          <w:tcPr>
            <w:tcW w:w="451" w:type="dxa"/>
            <w:vMerge w:val="continue"/>
            <w:tcBorders>
              <w:top w:val="single" w:color="auto" w:sz="4" w:space="0"/>
              <w:bottom w:val="single" w:color="auto" w:sz="4" w:space="0"/>
            </w:tcBorders>
            <w:shd w:val="clear" w:color="auto" w:fill="auto"/>
            <w:vAlign w:val="center"/>
          </w:tcPr>
          <w:p>
            <w:pPr>
              <w:pStyle w:val="178"/>
            </w:pPr>
          </w:p>
        </w:tc>
        <w:tc>
          <w:tcPr>
            <w:tcW w:w="451" w:type="dxa"/>
            <w:vMerge w:val="continue"/>
            <w:tcBorders>
              <w:top w:val="single" w:color="auto" w:sz="4" w:space="0"/>
              <w:bottom w:val="single" w:color="auto" w:sz="4" w:space="0"/>
            </w:tcBorders>
            <w:shd w:val="clear" w:color="auto" w:fill="auto"/>
            <w:vAlign w:val="center"/>
          </w:tcPr>
          <w:p>
            <w:pPr>
              <w:pStyle w:val="178"/>
            </w:pPr>
          </w:p>
        </w:tc>
        <w:tc>
          <w:tcPr>
            <w:tcW w:w="452" w:type="dxa"/>
            <w:vMerge w:val="continue"/>
            <w:tcBorders>
              <w:top w:val="single" w:color="auto" w:sz="4" w:space="0"/>
              <w:bottom w:val="single" w:color="auto" w:sz="4" w:space="0"/>
            </w:tcBorders>
            <w:shd w:val="clear" w:color="auto" w:fill="auto"/>
            <w:vAlign w:val="center"/>
          </w:tcPr>
          <w:p>
            <w:pPr>
              <w:pStyle w:val="178"/>
            </w:pPr>
          </w:p>
        </w:tc>
        <w:tc>
          <w:tcPr>
            <w:tcW w:w="453" w:type="dxa"/>
            <w:vMerge w:val="continue"/>
            <w:tcBorders>
              <w:top w:val="single" w:color="auto" w:sz="4" w:space="0"/>
              <w:bottom w:val="single" w:color="auto" w:sz="4" w:space="0"/>
            </w:tcBorders>
            <w:shd w:val="clear" w:color="auto" w:fill="auto"/>
            <w:vAlign w:val="center"/>
          </w:tcPr>
          <w:p>
            <w:pPr>
              <w:pStyle w:val="178"/>
            </w:pPr>
          </w:p>
        </w:tc>
        <w:tc>
          <w:tcPr>
            <w:tcW w:w="453"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vMerge w:val="continue"/>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r>
              <w:rPr>
                <w:rFonts w:hint="eastAsia"/>
              </w:rPr>
              <w:t>方</w:t>
            </w:r>
          </w:p>
          <w:p>
            <w:pPr>
              <w:pStyle w:val="178"/>
            </w:pPr>
            <w:r>
              <w:rPr>
                <w:rFonts w:hint="eastAsia"/>
              </w:rPr>
              <w:t>式</w:t>
            </w:r>
          </w:p>
        </w:tc>
        <w:tc>
          <w:tcPr>
            <w:tcW w:w="454" w:type="dxa"/>
            <w:tcBorders>
              <w:top w:val="single" w:color="auto" w:sz="4" w:space="0"/>
              <w:bottom w:val="single" w:color="auto" w:sz="4" w:space="0"/>
            </w:tcBorders>
            <w:shd w:val="clear" w:color="auto" w:fill="auto"/>
            <w:vAlign w:val="center"/>
          </w:tcPr>
          <w:p>
            <w:pPr>
              <w:pStyle w:val="178"/>
            </w:pPr>
            <w:r>
              <w:rPr>
                <w:rFonts w:hint="eastAsia"/>
              </w:rPr>
              <w:t>药</w:t>
            </w:r>
          </w:p>
          <w:p>
            <w:pPr>
              <w:pStyle w:val="178"/>
            </w:pPr>
            <w:r>
              <w:rPr>
                <w:rFonts w:hint="eastAsia"/>
              </w:rPr>
              <w:t>剂</w:t>
            </w:r>
          </w:p>
        </w:tc>
        <w:tc>
          <w:tcPr>
            <w:tcW w:w="454" w:type="dxa"/>
            <w:tcBorders>
              <w:top w:val="single" w:color="auto" w:sz="4" w:space="0"/>
              <w:bottom w:val="single" w:color="auto" w:sz="4" w:space="0"/>
            </w:tcBorders>
            <w:shd w:val="clear" w:color="auto" w:fill="auto"/>
            <w:vAlign w:val="center"/>
          </w:tcPr>
          <w:p>
            <w:pPr>
              <w:pStyle w:val="178"/>
            </w:pPr>
            <w:r>
              <w:rPr>
                <w:rFonts w:hint="eastAsia"/>
              </w:rPr>
              <w:t>用</w:t>
            </w:r>
          </w:p>
          <w:p>
            <w:pPr>
              <w:pStyle w:val="178"/>
            </w:pPr>
            <w:r>
              <w:rPr>
                <w:rFonts w:hint="eastAsia"/>
              </w:rPr>
              <w:t>量</w:t>
            </w:r>
          </w:p>
        </w:tc>
        <w:tc>
          <w:tcPr>
            <w:tcW w:w="454" w:type="dxa"/>
            <w:vMerge w:val="continue"/>
            <w:tcBorders>
              <w:bottom w:val="single" w:color="auto" w:sz="4" w:space="0"/>
            </w:tcBorders>
            <w:shd w:val="clear" w:color="auto" w:fill="auto"/>
            <w:vAlign w:val="center"/>
          </w:tcPr>
          <w:p>
            <w:pPr>
              <w:pStyle w:val="178"/>
            </w:pPr>
          </w:p>
        </w:tc>
        <w:tc>
          <w:tcPr>
            <w:tcW w:w="451" w:type="dxa"/>
            <w:vMerge w:val="continue"/>
            <w:tcBorders>
              <w:bottom w:val="single" w:color="auto" w:sz="4" w:space="0"/>
            </w:tcBorders>
            <w:shd w:val="clear" w:color="auto" w:fill="auto"/>
            <w:vAlign w:val="center"/>
          </w:tcPr>
          <w:p>
            <w:pPr>
              <w:pStyle w:val="178"/>
            </w:pPr>
          </w:p>
        </w:tc>
        <w:tc>
          <w:tcPr>
            <w:tcW w:w="458" w:type="dxa"/>
            <w:tcBorders>
              <w:bottom w:val="single" w:color="auto" w:sz="4" w:space="0"/>
            </w:tcBorders>
            <w:shd w:val="clear" w:color="auto" w:fill="auto"/>
            <w:vAlign w:val="center"/>
          </w:tcPr>
          <w:p>
            <w:pPr>
              <w:pStyle w:val="178"/>
            </w:pPr>
            <w:r>
              <w:rPr>
                <w:rFonts w:hint="eastAsia"/>
              </w:rPr>
              <w:t>药</w:t>
            </w:r>
          </w:p>
          <w:p>
            <w:pPr>
              <w:pStyle w:val="178"/>
            </w:pPr>
            <w:r>
              <w:rPr>
                <w:rFonts w:hint="eastAsia"/>
              </w:rPr>
              <w:t>剂</w:t>
            </w:r>
          </w:p>
        </w:tc>
        <w:tc>
          <w:tcPr>
            <w:tcW w:w="454" w:type="dxa"/>
            <w:tcBorders>
              <w:bottom w:val="single" w:color="auto" w:sz="4" w:space="0"/>
            </w:tcBorders>
            <w:shd w:val="clear" w:color="auto" w:fill="auto"/>
            <w:vAlign w:val="center"/>
          </w:tcPr>
          <w:p>
            <w:pPr>
              <w:pStyle w:val="178"/>
            </w:pPr>
            <w:r>
              <w:rPr>
                <w:rFonts w:hint="eastAsia"/>
              </w:rPr>
              <w:t>用</w:t>
            </w:r>
          </w:p>
          <w:p>
            <w:pPr>
              <w:pStyle w:val="178"/>
            </w:pPr>
            <w:r>
              <w:rPr>
                <w:rFonts w:hint="eastAsia"/>
              </w:rPr>
              <w:t>量</w:t>
            </w:r>
          </w:p>
        </w:tc>
        <w:tc>
          <w:tcPr>
            <w:tcW w:w="454" w:type="dxa"/>
            <w:vMerge w:val="continue"/>
            <w:tcBorders>
              <w:bottom w:val="single" w:color="auto" w:sz="4" w:space="0"/>
            </w:tcBorders>
            <w:shd w:val="clear" w:color="auto" w:fill="auto"/>
            <w:vAlign w:val="center"/>
          </w:tcPr>
          <w:p>
            <w:pPr>
              <w:pStyle w:val="178"/>
            </w:pPr>
          </w:p>
        </w:tc>
        <w:tc>
          <w:tcPr>
            <w:tcW w:w="454" w:type="dxa"/>
            <w:vMerge w:val="continue"/>
            <w:tcBorders>
              <w:bottom w:val="single" w:color="auto" w:sz="4" w:space="0"/>
            </w:tcBorders>
          </w:tcPr>
          <w:p>
            <w:pPr>
              <w:pStyle w:val="178"/>
            </w:pPr>
          </w:p>
        </w:tc>
        <w:tc>
          <w:tcPr>
            <w:tcW w:w="457" w:type="dxa"/>
            <w:vMerge w:val="continue"/>
            <w:tcBorders>
              <w:bottom w:val="single" w:color="auto" w:sz="4"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696" w:type="dxa"/>
            <w:tcBorders>
              <w:top w:val="single" w:color="auto" w:sz="4" w:space="0"/>
              <w:bottom w:val="single" w:color="auto" w:sz="4" w:space="0"/>
            </w:tcBorders>
            <w:shd w:val="clear" w:color="auto" w:fill="auto"/>
            <w:vAlign w:val="center"/>
          </w:tcPr>
          <w:p>
            <w:pPr>
              <w:pStyle w:val="178"/>
            </w:pPr>
            <w:r>
              <w:rPr>
                <w:rFonts w:hint="eastAsia"/>
              </w:rPr>
              <w:t>内容</w:t>
            </w:r>
          </w:p>
        </w:tc>
        <w:tc>
          <w:tcPr>
            <w:tcW w:w="451" w:type="dxa"/>
            <w:tcBorders>
              <w:top w:val="single" w:color="auto" w:sz="4" w:space="0"/>
              <w:bottom w:val="single" w:color="auto" w:sz="4" w:space="0"/>
            </w:tcBorders>
            <w:shd w:val="clear" w:color="auto" w:fill="auto"/>
            <w:vAlign w:val="center"/>
          </w:tcPr>
          <w:p>
            <w:pPr>
              <w:pStyle w:val="178"/>
            </w:pPr>
          </w:p>
        </w:tc>
        <w:tc>
          <w:tcPr>
            <w:tcW w:w="451" w:type="dxa"/>
            <w:tcBorders>
              <w:top w:val="single" w:color="auto" w:sz="4" w:space="0"/>
              <w:bottom w:val="single" w:color="auto" w:sz="4" w:space="0"/>
            </w:tcBorders>
            <w:shd w:val="clear" w:color="auto" w:fill="auto"/>
            <w:vAlign w:val="center"/>
          </w:tcPr>
          <w:p>
            <w:pPr>
              <w:pStyle w:val="178"/>
            </w:pPr>
          </w:p>
        </w:tc>
        <w:tc>
          <w:tcPr>
            <w:tcW w:w="452" w:type="dxa"/>
            <w:tcBorders>
              <w:top w:val="single" w:color="auto" w:sz="4" w:space="0"/>
              <w:bottom w:val="single" w:color="auto" w:sz="4" w:space="0"/>
            </w:tcBorders>
            <w:shd w:val="clear" w:color="auto" w:fill="auto"/>
            <w:vAlign w:val="center"/>
          </w:tcPr>
          <w:p>
            <w:pPr>
              <w:pStyle w:val="178"/>
            </w:pPr>
          </w:p>
        </w:tc>
        <w:tc>
          <w:tcPr>
            <w:tcW w:w="453" w:type="dxa"/>
            <w:tcBorders>
              <w:top w:val="single" w:color="auto" w:sz="4" w:space="0"/>
              <w:bottom w:val="single" w:color="auto" w:sz="4" w:space="0"/>
            </w:tcBorders>
            <w:shd w:val="clear" w:color="auto" w:fill="auto"/>
            <w:vAlign w:val="center"/>
          </w:tcPr>
          <w:p>
            <w:pPr>
              <w:pStyle w:val="178"/>
            </w:pPr>
          </w:p>
        </w:tc>
        <w:tc>
          <w:tcPr>
            <w:tcW w:w="453"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1" w:type="dxa"/>
            <w:tcBorders>
              <w:top w:val="single" w:color="auto" w:sz="4" w:space="0"/>
              <w:bottom w:val="single" w:color="auto" w:sz="4" w:space="0"/>
            </w:tcBorders>
            <w:shd w:val="clear" w:color="auto" w:fill="auto"/>
            <w:vAlign w:val="center"/>
          </w:tcPr>
          <w:p>
            <w:pPr>
              <w:pStyle w:val="178"/>
            </w:pPr>
          </w:p>
        </w:tc>
        <w:tc>
          <w:tcPr>
            <w:tcW w:w="458"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shd w:val="clear" w:color="auto" w:fill="auto"/>
            <w:vAlign w:val="center"/>
          </w:tcPr>
          <w:p>
            <w:pPr>
              <w:pStyle w:val="178"/>
            </w:pPr>
          </w:p>
        </w:tc>
        <w:tc>
          <w:tcPr>
            <w:tcW w:w="454" w:type="dxa"/>
            <w:tcBorders>
              <w:top w:val="single" w:color="auto" w:sz="4" w:space="0"/>
              <w:bottom w:val="single" w:color="auto" w:sz="4" w:space="0"/>
            </w:tcBorders>
          </w:tcPr>
          <w:p>
            <w:pPr>
              <w:pStyle w:val="178"/>
            </w:pPr>
          </w:p>
        </w:tc>
        <w:tc>
          <w:tcPr>
            <w:tcW w:w="457" w:type="dxa"/>
            <w:tcBorders>
              <w:top w:val="single" w:color="auto" w:sz="4" w:space="0"/>
              <w:bottom w:val="single" w:color="auto" w:sz="4"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696" w:type="dxa"/>
            <w:tcBorders>
              <w:top w:val="single" w:color="auto" w:sz="4" w:space="0"/>
            </w:tcBorders>
            <w:shd w:val="clear" w:color="auto" w:fill="auto"/>
            <w:vAlign w:val="center"/>
          </w:tcPr>
          <w:p>
            <w:pPr>
              <w:pStyle w:val="178"/>
            </w:pPr>
            <w:r>
              <w:rPr>
                <w:rFonts w:hint="eastAsia"/>
              </w:rPr>
              <w:t>签名</w:t>
            </w:r>
          </w:p>
        </w:tc>
        <w:tc>
          <w:tcPr>
            <w:tcW w:w="451" w:type="dxa"/>
            <w:tcBorders>
              <w:top w:val="single" w:color="auto" w:sz="4" w:space="0"/>
            </w:tcBorders>
            <w:shd w:val="clear" w:color="auto" w:fill="auto"/>
            <w:vAlign w:val="center"/>
          </w:tcPr>
          <w:p>
            <w:pPr>
              <w:pStyle w:val="178"/>
            </w:pPr>
          </w:p>
        </w:tc>
        <w:tc>
          <w:tcPr>
            <w:tcW w:w="451" w:type="dxa"/>
            <w:tcBorders>
              <w:top w:val="single" w:color="auto" w:sz="4" w:space="0"/>
            </w:tcBorders>
            <w:shd w:val="clear" w:color="auto" w:fill="auto"/>
            <w:vAlign w:val="center"/>
          </w:tcPr>
          <w:p>
            <w:pPr>
              <w:pStyle w:val="178"/>
            </w:pPr>
          </w:p>
        </w:tc>
        <w:tc>
          <w:tcPr>
            <w:tcW w:w="452" w:type="dxa"/>
            <w:tcBorders>
              <w:top w:val="single" w:color="auto" w:sz="4" w:space="0"/>
            </w:tcBorders>
            <w:shd w:val="clear" w:color="auto" w:fill="auto"/>
            <w:vAlign w:val="center"/>
          </w:tcPr>
          <w:p>
            <w:pPr>
              <w:pStyle w:val="178"/>
            </w:pPr>
          </w:p>
        </w:tc>
        <w:tc>
          <w:tcPr>
            <w:tcW w:w="453" w:type="dxa"/>
            <w:tcBorders>
              <w:top w:val="single" w:color="auto" w:sz="4" w:space="0"/>
            </w:tcBorders>
            <w:shd w:val="clear" w:color="auto" w:fill="auto"/>
            <w:vAlign w:val="center"/>
          </w:tcPr>
          <w:p>
            <w:pPr>
              <w:pStyle w:val="178"/>
            </w:pPr>
          </w:p>
        </w:tc>
        <w:tc>
          <w:tcPr>
            <w:tcW w:w="453"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1" w:type="dxa"/>
            <w:tcBorders>
              <w:top w:val="single" w:color="auto" w:sz="4" w:space="0"/>
            </w:tcBorders>
            <w:shd w:val="clear" w:color="auto" w:fill="auto"/>
            <w:vAlign w:val="center"/>
          </w:tcPr>
          <w:p>
            <w:pPr>
              <w:pStyle w:val="178"/>
            </w:pPr>
          </w:p>
        </w:tc>
        <w:tc>
          <w:tcPr>
            <w:tcW w:w="458"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shd w:val="clear" w:color="auto" w:fill="auto"/>
            <w:vAlign w:val="center"/>
          </w:tcPr>
          <w:p>
            <w:pPr>
              <w:pStyle w:val="178"/>
            </w:pPr>
          </w:p>
        </w:tc>
        <w:tc>
          <w:tcPr>
            <w:tcW w:w="454" w:type="dxa"/>
            <w:tcBorders>
              <w:top w:val="single" w:color="auto" w:sz="4" w:space="0"/>
            </w:tcBorders>
          </w:tcPr>
          <w:p>
            <w:pPr>
              <w:pStyle w:val="178"/>
            </w:pPr>
          </w:p>
        </w:tc>
        <w:tc>
          <w:tcPr>
            <w:tcW w:w="457" w:type="dxa"/>
            <w:tcBorders>
              <w:top w:val="single" w:color="auto" w:sz="4" w:space="0"/>
            </w:tcBorders>
            <w:shd w:val="clear" w:color="auto" w:fill="auto"/>
            <w:vAlign w:val="center"/>
          </w:tcPr>
          <w:p>
            <w:pPr>
              <w:pStyle w:val="178"/>
            </w:pPr>
          </w:p>
        </w:tc>
      </w:tr>
    </w:tbl>
    <w:p>
      <w:pPr>
        <w:pStyle w:val="56"/>
        <w:ind w:firstLine="0" w:firstLineChars="0"/>
      </w:pPr>
    </w:p>
    <w:p>
      <w:pPr>
        <w:pStyle w:val="76"/>
        <w:numPr>
          <w:ilvl w:val="0"/>
          <w:numId w:val="0"/>
        </w:numPr>
        <w:spacing w:after="156"/>
        <w:rPr>
          <w:rFonts w:hint="eastAsia"/>
        </w:rPr>
        <w:sectPr>
          <w:headerReference r:id="rId18" w:type="default"/>
          <w:footerReference r:id="rId20" w:type="default"/>
          <w:headerReference r:id="rId19" w:type="even"/>
          <w:footerReference r:id="rId21" w:type="even"/>
          <w:pgSz w:w="16838" w:h="11906" w:orient="landscape"/>
          <w:pgMar w:top="1134" w:right="1871" w:bottom="1134" w:left="1134" w:header="1418" w:footer="1247" w:gutter="284"/>
          <w:cols w:space="425" w:num="1"/>
          <w:formProt w:val="0"/>
          <w:docGrid w:type="lines" w:linePitch="312" w:charSpace="0"/>
        </w:sectPr>
      </w:pPr>
      <w:bookmarkStart w:id="110" w:name="_Toc181021906"/>
      <w:bookmarkStart w:id="111" w:name="_Toc181021961"/>
      <w:bookmarkStart w:id="112" w:name="_Toc181021865"/>
      <w:bookmarkStart w:id="113" w:name="_Toc181022066"/>
      <w:bookmarkStart w:id="114" w:name="BookMark8"/>
      <w:r>
        <w:rPr>
          <w:rFonts w:hint="eastAsia"/>
          <w:sz w:val="48"/>
          <w:szCs w:val="48"/>
        </w:rPr>
        <w:drawing>
          <wp:inline distT="0" distB="0" distL="0" distR="0">
            <wp:extent cx="1485900" cy="317500"/>
            <wp:effectExtent l="0" t="0" r="0" b="6350"/>
            <wp:docPr id="1169196364" name="图片 5"/>
            <wp:cNvGraphicFramePr/>
            <a:graphic xmlns:a="http://schemas.openxmlformats.org/drawingml/2006/main">
              <a:graphicData uri="http://schemas.openxmlformats.org/drawingml/2006/picture">
                <pic:pic xmlns:pic="http://schemas.openxmlformats.org/drawingml/2006/picture">
                  <pic:nvPicPr>
                    <pic:cNvPr id="1169196364" name="图片 5"/>
                    <pic:cNvPicPr/>
                  </pic:nvPicPr>
                  <pic:blipFill>
                    <a:blip r:embed="rId24">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110"/>
      <w:bookmarkEnd w:id="111"/>
      <w:bookmarkEnd w:id="112"/>
      <w:bookmarkEnd w:id="113"/>
      <w:bookmarkEnd w:id="114"/>
    </w:p>
    <w:bookmarkEnd w:id="28"/>
    <w:p>
      <w:pPr>
        <w:pStyle w:val="56"/>
        <w:ind w:left="0" w:leftChars="0" w:firstLine="0" w:firstLineChars="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等线">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mc:AlternateContent>
        <mc:Choice Requires="wps">
          <w:drawing>
            <wp:anchor distT="0" distB="0" distL="114300" distR="114300" simplePos="0" relativeHeight="251662336" behindDoc="0" locked="0" layoutInCell="1" allowOverlap="1">
              <wp:simplePos x="0" y="0"/>
              <wp:positionH relativeFrom="page">
                <wp:posOffset>719455</wp:posOffset>
              </wp:positionH>
              <wp:positionV relativeFrom="page">
                <wp:posOffset>6628765</wp:posOffset>
              </wp:positionV>
              <wp:extent cx="1828800" cy="1828800"/>
              <wp:effectExtent l="0" t="0" r="0" b="5080"/>
              <wp:wrapNone/>
              <wp:docPr id="501861498"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52"/>
                          </w:pPr>
                        </w:p>
                      </w:txbxContent>
                    </wps:txbx>
                    <wps:bodyPr rot="0" spcFirstLastPara="0" vertOverflow="overflow" horzOverflow="overflow" vert="eaVert" wrap="none" lIns="91440" tIns="45720" rIns="91440" bIns="45720" numCol="1" spcCol="0" rtlCol="0" fromWordArt="false" anchor="b" anchorCtr="false" forceAA="false" compatLnSpc="true">
                      <a:spAutoFit/>
                    </wps:bodyPr>
                  </wps:wsp>
                </a:graphicData>
              </a:graphic>
            </wp:anchor>
          </w:drawing>
        </mc:Choice>
        <mc:Fallback>
          <w:pict>
            <v:shape id="文本框 1" o:spid="_x0000_s1026" o:spt="202" type="#_x0000_t202" style="position:absolute;left:0pt;margin-left:56.65pt;margin-top:521.95pt;height:144pt;width:144pt;mso-position-horizontal-relative:page;mso-position-vertical-relative:page;mso-wrap-style:none;z-index:251662336;v-text-anchor:bottom;mso-width-relative:page;mso-height-relative:page;" filled="f" stroked="f" coordsize="21600,21600" o:gfxdata="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Geobx2wAAAA0BAAAPAAAAAAAAAAEAIAAAADgA&#10;AABkcnMvZG93bnJldi54bWxQSwECFAAUAAAACACHTuJAIZ3crSkCAAAzBAAADgAAAAAAAAABACAA&#10;AABAAQAAZHJzL2Uyb0RvYy54bWxQSwUGAAAAAAYABgBZAQAA2wUAAAAA&#10;">
              <v:fill on="f" focussize="0,0"/>
              <v:stroke on="f" weight="0.5pt"/>
              <v:imagedata o:title=""/>
              <o:lock v:ext="edit" aspectratio="f"/>
              <v:textbox style="layout-flow:vertical-ideographic;mso-fit-shape-to-text:t;">
                <w:txbxContent>
                  <w:p>
                    <w:pPr>
                      <w:pStyle w:val="52"/>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4384"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566288400"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false" anchor="b" anchorCtr="false" forceAA="false" compatLnSpc="true">
                      <a:spAutoFit/>
                    </wps:bodyPr>
                  </wps:wsp>
                </a:graphicData>
              </a:graphic>
            </wp:anchor>
          </w:drawing>
        </mc:Choice>
        <mc:Fallback>
          <w:pict>
            <v:shape id="文本框 1" o:spid="_x0000_s1026" o:spt="202" type="#_x0000_t202" style="position:absolute;left:0pt;margin-left:56.65pt;margin-top:68pt;height:144pt;width:144pt;mso-position-horizontal-relative:page;mso-position-vertical-relative:page;mso-wrap-style:none;z-index:251664384;v-text-anchor:bottom;mso-width-relative:page;mso-height-relative:page;" filled="f" stroked="f" coordsize="21600,21600" o:gfxdata="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BYAAABkcnMvUEsB&#10;AhQAFAAAAAgAh07iQEgYhOXWAAAACwEAAA8AAAAAAAAAAQAgAAAAOAAAAGRycy9kb3ducmV2Lnht&#10;bFBLAQIUABQAAAAIAIdO4kCfGVzOHgIAACMEAAAOAAAAAAAAAAEAIAAAADsBAABkcnMvZTJvRG9j&#10;LnhtbFBLBQYAAAAABgAGAFkBAADLBQAAAAA=&#10;">
              <v:fill on="f" focussize="0,0"/>
              <v:stroke on="f" weight="0.5pt"/>
              <v:imagedata o:title=""/>
              <o:lock v:ext="edit" aspectratio="f"/>
              <v:textbox inset="0mm,0mm,0mm,0mm" style="layout-flow:vertical-ideographic;mso-fit-shape-to-text:t;">
                <w:txbxContent>
                  <w:p>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5229225</wp:posOffset>
              </wp:positionV>
              <wp:extent cx="1828800" cy="1828800"/>
              <wp:effectExtent l="0" t="0" r="0" b="0"/>
              <wp:wrapNone/>
              <wp:docPr id="22853266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61"/>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txbxContent>
                    </wps:txbx>
                    <wps:bodyPr rot="0" spcFirstLastPara="0" vertOverflow="overflow" horzOverflow="overflow" vert="eaVert" wrap="none" lIns="91440" tIns="45720" rIns="91440" bIns="45720" numCol="1" spcCol="0" rtlCol="0" fromWordArt="false" anchor="b" anchorCtr="false" forceAA="false" compatLnSpc="true">
                      <a:spAutoFit/>
                    </wps:bodyPr>
                  </wps:wsp>
                </a:graphicData>
              </a:graphic>
            </wp:anchor>
          </w:drawing>
        </mc:Choice>
        <mc:Fallback>
          <w:pict>
            <v:shape id="文本框 1" o:spid="_x0000_s1026" o:spt="202" type="#_x0000_t202" style="position:absolute;left:0pt;margin-left:751.15pt;margin-top:411.75pt;height:144pt;width:144pt;mso-position-horizontal-relative:page;mso-position-vertical-relative:page;mso-wrap-style:none;z-index:251659264;v-text-anchor:bottom;mso-width-relative:page;mso-height-relative:page;" filled="f" stroked="f" coordsize="21600,21600" o:gfxdata="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DGmcbg3AAAAA4BAAAPAAAAAAAAAAEAIAAAADgA&#10;AABkcnMvZG93bnJldi54bWxQSwECFAAUAAAACACHTuJAJG4Q5SgCAAAzBAAADgAAAAAAAAABACAA&#10;AABBAQAAZHJzL2Uyb0RvYy54bWxQSwUGAAAAAAYABgBZAQAA2wUAAAAA&#10;">
              <v:fill on="f" focussize="0,0"/>
              <v:stroke on="f" weight="0.5pt"/>
              <v:imagedata o:title=""/>
              <o:lock v:ext="edit" aspectratio="f"/>
              <v:textbox style="layout-flow:vertical-ideographic;mso-fit-shape-to-text:t;">
                <w:txbxContent>
                  <w:p>
                    <w:pPr>
                      <w:pStyle w:val="61"/>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mc:AlternateContent>
        <mc:Choice Requires="wps">
          <w:drawing>
            <wp:anchor distT="0" distB="0" distL="114300" distR="114300" simplePos="0" relativeHeight="251660288" behindDoc="0" locked="0" layoutInCell="1" allowOverlap="1">
              <wp:simplePos x="0" y="0"/>
              <wp:positionH relativeFrom="page">
                <wp:posOffset>9539605</wp:posOffset>
              </wp:positionH>
              <wp:positionV relativeFrom="page">
                <wp:posOffset>6727825</wp:posOffset>
              </wp:positionV>
              <wp:extent cx="1828800" cy="1828800"/>
              <wp:effectExtent l="0" t="0" r="0" b="0"/>
              <wp:wrapNone/>
              <wp:docPr id="1968013006"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61"/>
                            <w:rPr>
                              <w:rFonts w:hint="eastAsia"/>
                            </w:rPr>
                          </w:pPr>
                        </w:p>
                      </w:txbxContent>
                    </wps:txbx>
                    <wps:bodyPr rot="0" spcFirstLastPara="0" vertOverflow="overflow" horzOverflow="overflow" vert="eaVert" wrap="none" lIns="91440" tIns="45720" rIns="91440" bIns="45720" numCol="1" spcCol="0" rtlCol="0" fromWordArt="false" anchor="b" anchorCtr="false" forceAA="false" compatLnSpc="true">
                      <a:spAutoFit/>
                    </wps:bodyPr>
                  </wps:wsp>
                </a:graphicData>
              </a:graphic>
            </wp:anchor>
          </w:drawing>
        </mc:Choice>
        <mc:Fallback>
          <w:pict>
            <v:shape id="文本框 1" o:spid="_x0000_s1026" o:spt="202" type="#_x0000_t202" style="position:absolute;left:0pt;margin-left:751.15pt;margin-top:529.75pt;height:144pt;width:144pt;mso-position-horizontal-relative:page;mso-position-vertical-relative:page;mso-wrap-style:none;z-index:251660288;v-text-anchor:bottom;mso-width-relative:page;mso-height-relative:page;" filled="f" stroked="f" coordsize="21600,21600" o:gfxdata="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A/F8883QAAAA8BAAAPAAAAAAAAAAEAIAAA&#10;ADgAAABkcnMvZG93bnJldi54bWxQSwECFAAUAAAACACHTuJAY9UsjSoCAAA0BAAADgAAAAAAAAAB&#10;ACAAAABCAQAAZHJzL2Uyb0RvYy54bWxQSwUGAAAAAAYABgBZAQAA3gUAAAAA&#10;">
              <v:fill on="f" focussize="0,0"/>
              <v:stroke on="f" weight="0.5pt"/>
              <v:imagedata o:title=""/>
              <o:lock v:ext="edit" aspectratio="f"/>
              <v:textbox style="layout-flow:vertical-ideographic;mso-fit-shape-to-text:t;">
                <w:txbxContent>
                  <w:p>
                    <w:pPr>
                      <w:pStyle w:val="61"/>
                      <w:rPr>
                        <w:rFonts w:hint="eastAsia"/>
                      </w:rPr>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9539605</wp:posOffset>
              </wp:positionH>
              <wp:positionV relativeFrom="page">
                <wp:posOffset>5229225</wp:posOffset>
              </wp:positionV>
              <wp:extent cx="1828800" cy="1828800"/>
              <wp:effectExtent l="0" t="0" r="0" b="0"/>
              <wp:wrapNone/>
              <wp:docPr id="1626592608"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61"/>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txbxContent>
                    </wps:txbx>
                    <wps:bodyPr rot="0" spcFirstLastPara="0" vertOverflow="overflow" horzOverflow="overflow" vert="eaVert" wrap="none" lIns="91440" tIns="45720" rIns="91440" bIns="45720" numCol="1" spcCol="0" rtlCol="0" fromWordArt="false" anchor="b" anchorCtr="false" forceAA="false" compatLnSpc="true">
                      <a:spAutoFit/>
                    </wps:bodyPr>
                  </wps:wsp>
                </a:graphicData>
              </a:graphic>
            </wp:anchor>
          </w:drawing>
        </mc:Choice>
        <mc:Fallback>
          <w:pict>
            <v:shape id="文本框 1" o:spid="_x0000_s1026" o:spt="202" type="#_x0000_t202" style="position:absolute;left:0pt;margin-left:751.15pt;margin-top:411.75pt;height:144pt;width:144pt;mso-position-horizontal-relative:page;mso-position-vertical-relative:page;mso-wrap-style:none;z-index:251661312;v-text-anchor:bottom;mso-width-relative:page;mso-height-relative:page;" filled="f" stroked="f" coordsize="21600,21600" o:gfxdata="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xpnG4NwAAAAOAQAADwAAAAAAAAABACAAAAA4&#10;AAAAZHJzL2Rvd25yZXYueG1sUEsBAhQAFAAAAAgAh07iQNzjB+MpAgAANAQAAA4AAAAAAAAAAQAg&#10;AAAAQQEAAGRycy9lMm9Eb2MueG1sUEsFBgAAAAAGAAYAWQEAANwFAAAAAA==&#10;">
              <v:fill on="f" focussize="0,0"/>
              <v:stroke on="f" weight="0.5pt"/>
              <v:imagedata o:title=""/>
              <o:lock v:ext="edit" aspectratio="f"/>
              <v:textbox style="layout-flow:vertical-ideographic;mso-fit-shape-to-text:t;">
                <w:txbxContent>
                  <w:p>
                    <w:pPr>
                      <w:pStyle w:val="61"/>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mc:AlternateContent>
        <mc:Choice Requires="wps">
          <w:drawing>
            <wp:anchor distT="0" distB="0" distL="114300" distR="114300" simplePos="0" relativeHeight="251663360"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255718630"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txbx>
                      <w:txbxContent>
                        <w:p>
                          <w:pPr>
                            <w:pStyle w:val="62"/>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txbxContent>
                    </wps:txbx>
                    <wps:bodyPr rot="0" spcFirstLastPara="0" vertOverflow="overflow" horzOverflow="overflow" vert="eaVert" wrap="none" lIns="0" tIns="0" rIns="0" bIns="0" numCol="1" spcCol="0" rtlCol="0" fromWordArt="false" anchor="b" anchorCtr="false" forceAA="false" compatLnSpc="true">
                      <a:spAutoFit/>
                    </wps:bodyPr>
                  </wps:wsp>
                </a:graphicData>
              </a:graphic>
            </wp:anchor>
          </w:drawing>
        </mc:Choice>
        <mc:Fallback>
          <w:pict>
            <v:shape id="文本框 1" o:spid="_x0000_s1026" o:spt="202" type="#_x0000_t202" style="position:absolute;left:0pt;margin-left:765.35pt;margin-top:70.85pt;height:144pt;width:144pt;mso-position-horizontal-relative:page;mso-position-vertical-relative:page;mso-wrap-style:none;z-index:251663360;v-text-anchor:bottom;mso-width-relative:page;mso-height-relative:page;" filled="f" stroked="f" coordsize="21600,21600" o:gfxdata="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FgAAAGRy&#10;cy9QSwECFAAUAAAACACHTuJAEsi7HNkAAAANAQAADwAAAAAAAAABACAAAAA4AAAAZHJzL2Rvd25y&#10;ZXYueG1sUEsBAhQAFAAAAAgAh07iQD05Q4EgAgAAIwQAAA4AAAAAAAAAAQAgAAAAPgEAAGRycy9l&#10;Mm9Eb2MueG1sUEsFBgAAAAAGAAYAWQEAANAFAAAAAA==&#10;">
              <v:fill on="f" focussize="0,0"/>
              <v:stroke on="f" weight="0.5pt"/>
              <v:imagedata o:title=""/>
              <o:lock v:ext="edit" aspectratio="f"/>
              <v:textbox inset="0mm,0mm,0mm,0mm" style="layout-flow:vertical-ideographic;mso-fit-shape-to-text:t;">
                <w:txbxContent>
                  <w:p>
                    <w:pPr>
                      <w:pStyle w:val="62"/>
                      <w:rPr>
                        <w:rFonts w:hint="eastAsia"/>
                      </w:rPr>
                    </w:pPr>
                    <w:r>
                      <w:fldChar w:fldCharType="begin"/>
                    </w:r>
                    <w:r>
                      <w:instrText xml:space="preserve"> STYLEREF  标准文件_文件编号 \* MERGEFORMAT </w:instrText>
                    </w:r>
                    <w:r>
                      <w:fldChar w:fldCharType="separate"/>
                    </w:r>
                    <w:r>
                      <w:rPr>
                        <w:rFonts w:hint="eastAsia"/>
                      </w:rPr>
                      <w:t>DB 14/T XXXX—XXXX</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234"/>
      <w:lvlText w:val="%1)"/>
      <w:lvlJc w:val="left"/>
      <w:pPr>
        <w:tabs>
          <w:tab w:val="left" w:pos="851"/>
        </w:tabs>
        <w:ind w:left="851" w:hanging="426"/>
      </w:pPr>
      <w:rPr>
        <w:rFonts w:hint="eastAsia" w:ascii="宋体" w:hAnsi="Times New Roman" w:eastAsia="宋体"/>
        <w:sz w:val="21"/>
      </w:rPr>
    </w:lvl>
    <w:lvl w:ilvl="1" w:tentative="0">
      <w:start w:val="1"/>
      <w:numFmt w:val="lowerLetter"/>
      <w:pStyle w:val="232"/>
      <w:lvlText w:val="%2)"/>
      <w:lvlJc w:val="left"/>
      <w:pPr>
        <w:tabs>
          <w:tab w:val="left" w:pos="1310"/>
        </w:tabs>
        <w:ind w:left="1310" w:hanging="420"/>
      </w:pPr>
      <w:rPr>
        <w:rFonts w:hint="eastAsia"/>
      </w:rPr>
    </w:lvl>
    <w:lvl w:ilvl="2" w:tentative="0">
      <w:start w:val="1"/>
      <w:numFmt w:val="lowerRoman"/>
      <w:pStyle w:val="236"/>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true"/>
  <w:bordersDoNotSurroundFooter w:val="true"/>
  <w:attachedTemplate r:id="rId1"/>
  <w:documentProtection w:edit="forms" w:enforcement="1" w:cryptProviderType="rsaAES" w:cryptAlgorithmClass="hash" w:cryptAlgorithmType="typeAny" w:cryptAlgorithmSid="14" w:cryptSpinCount="100000" w:hash="yi7adU+NXSCaqx4iOhkNOX2sZGpVO8dBkPyhpK/znrX9yzvrsQ3O42+mQVbGHx57WLvFhyoYWXqTzx8WdnixqQ==" w:salt="Li70ekJPB6WhEN8jF2K9P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40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A4C"/>
    <w:rsid w:val="001E0AC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D6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040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D5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273"/>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14B"/>
    <w:rsid w:val="00651ACB"/>
    <w:rsid w:val="00651C47"/>
    <w:rsid w:val="00652AB2"/>
    <w:rsid w:val="00653FED"/>
    <w:rsid w:val="00654EC0"/>
    <w:rsid w:val="0065525B"/>
    <w:rsid w:val="00655D4F"/>
    <w:rsid w:val="00656D29"/>
    <w:rsid w:val="006640E5"/>
    <w:rsid w:val="006646F1"/>
    <w:rsid w:val="00664929"/>
    <w:rsid w:val="00664F62"/>
    <w:rsid w:val="006655E1"/>
    <w:rsid w:val="00671316"/>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772"/>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641"/>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1808"/>
    <w:rsid w:val="008620FC"/>
    <w:rsid w:val="008627A5"/>
    <w:rsid w:val="00863E05"/>
    <w:rsid w:val="00865ACA"/>
    <w:rsid w:val="00865D28"/>
    <w:rsid w:val="00865F85"/>
    <w:rsid w:val="00867C10"/>
    <w:rsid w:val="00870439"/>
    <w:rsid w:val="00870DA1"/>
    <w:rsid w:val="00877A4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60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3A8"/>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F9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90F"/>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8A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2C5"/>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E88"/>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7F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09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7781B"/>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41B"/>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C9"/>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021D"/>
    <w:rsid w:val="00F06D37"/>
    <w:rsid w:val="00F07B9D"/>
    <w:rsid w:val="00F11586"/>
    <w:rsid w:val="00F1183B"/>
    <w:rsid w:val="00F11C9F"/>
    <w:rsid w:val="00F12263"/>
    <w:rsid w:val="00F1409D"/>
    <w:rsid w:val="00F14214"/>
    <w:rsid w:val="00F157A9"/>
    <w:rsid w:val="00F2217B"/>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7ED"/>
    <w:rsid w:val="00FE1FBE"/>
    <w:rsid w:val="00FE3901"/>
    <w:rsid w:val="00FE39D3"/>
    <w:rsid w:val="00FE4BCE"/>
    <w:rsid w:val="00FE54AE"/>
    <w:rsid w:val="00FE576A"/>
    <w:rsid w:val="00FE7E79"/>
    <w:rsid w:val="00FF3E7D"/>
    <w:rsid w:val="00FF5B99"/>
    <w:rsid w:val="00FF730C"/>
    <w:rsid w:val="00FF73F4"/>
    <w:rsid w:val="00FF7CE4"/>
    <w:rsid w:val="00FF7E39"/>
    <w:rsid w:val="2ED36C29"/>
    <w:rsid w:val="37ED5E2D"/>
    <w:rsid w:val="5DBFF3E4"/>
    <w:rsid w:val="5F4AEFBC"/>
    <w:rsid w:val="5FE6AA0D"/>
    <w:rsid w:val="6E1B5091"/>
    <w:rsid w:val="6F9F726C"/>
    <w:rsid w:val="7BBFF077"/>
    <w:rsid w:val="A3FEC50D"/>
    <w:rsid w:val="AE3684AD"/>
    <w:rsid w:val="D6FBD1D5"/>
    <w:rsid w:val="D757D243"/>
    <w:rsid w:val="ECBFD95D"/>
    <w:rsid w:val="EDBF068A"/>
    <w:rsid w:val="F3ADF4F0"/>
    <w:rsid w:val="F3EE7A0F"/>
    <w:rsid w:val="F5EE0583"/>
    <w:rsid w:val="F7BB858C"/>
    <w:rsid w:val="FBFFEAE7"/>
    <w:rsid w:val="FEEBB70D"/>
    <w:rsid w:val="FF7E0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next w:val="230"/>
    <w:link w:val="233"/>
    <w:qFormat/>
    <w:uiPriority w:val="0"/>
    <w:pPr>
      <w:numPr>
        <w:ilvl w:val="1"/>
        <w:numId w:val="23"/>
      </w:numPr>
      <w:spacing w:before="156" w:beforeLines="50" w:after="156" w:afterLines="50"/>
      <w:ind w:left="0"/>
      <w:outlineLvl w:val="2"/>
    </w:pPr>
    <w:rPr>
      <w:rFonts w:ascii="黑体" w:hAnsi="Times New Roman" w:eastAsia="黑体" w:cs="Times New Roman"/>
      <w:sz w:val="21"/>
      <w:szCs w:val="21"/>
      <w:lang w:val="en-US" w:eastAsia="zh-CN" w:bidi="ar-SA"/>
    </w:rPr>
  </w:style>
  <w:style w:type="character" w:customStyle="1" w:styleId="233">
    <w:name w:val="一级条标题 Char"/>
    <w:link w:val="232"/>
    <w:qFormat/>
    <w:uiPriority w:val="0"/>
    <w:rPr>
      <w:rFonts w:ascii="黑体" w:hAnsi="Times New Roman" w:eastAsia="黑体"/>
      <w:sz w:val="21"/>
      <w:szCs w:val="21"/>
    </w:rPr>
  </w:style>
  <w:style w:type="paragraph" w:customStyle="1" w:styleId="234">
    <w:name w:val="章标题"/>
    <w:next w:val="230"/>
    <w:link w:val="235"/>
    <w:qFormat/>
    <w:uiPriority w:val="0"/>
    <w:pPr>
      <w:numPr>
        <w:ilvl w:val="0"/>
        <w:numId w:val="23"/>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35">
    <w:name w:val="章标题 Char"/>
    <w:link w:val="234"/>
    <w:qFormat/>
    <w:uiPriority w:val="0"/>
    <w:rPr>
      <w:rFonts w:ascii="黑体" w:hAnsi="Times New Roman" w:eastAsia="黑体"/>
      <w:sz w:val="21"/>
    </w:rPr>
  </w:style>
  <w:style w:type="paragraph" w:customStyle="1" w:styleId="236">
    <w:name w:val="二级条标题"/>
    <w:basedOn w:val="232"/>
    <w:next w:val="230"/>
    <w:link w:val="237"/>
    <w:qFormat/>
    <w:uiPriority w:val="0"/>
    <w:pPr>
      <w:numPr>
        <w:ilvl w:val="2"/>
      </w:numPr>
      <w:spacing w:before="50" w:after="50"/>
      <w:outlineLvl w:val="3"/>
    </w:pPr>
  </w:style>
  <w:style w:type="character" w:customStyle="1" w:styleId="237">
    <w:name w:val="二级条标题 Char"/>
    <w:link w:val="236"/>
    <w:qFormat/>
    <w:uiPriority w:val="0"/>
    <w:rPr>
      <w:rFonts w:ascii="黑体" w:hAnsi="Times New Roman" w:eastAsia="黑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jpeg"/><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108069D7EAC4676ABD17CD465FEFFB9"/>
        <w:style w:val=""/>
        <w:category>
          <w:name w:val="常规"/>
          <w:gallery w:val="placeholder"/>
        </w:category>
        <w:types>
          <w:type w:val="bbPlcHdr"/>
        </w:types>
        <w:behaviors>
          <w:behavior w:val="content"/>
        </w:behaviors>
        <w:description w:val=""/>
        <w:guid w:val="{91742AC8-A19C-4405-B6C0-BCF8467C1272}"/>
      </w:docPartPr>
      <w:docPartBody>
        <w:p>
          <w:pPr>
            <w:pStyle w:val="5"/>
          </w:pPr>
          <w:r>
            <w:rPr>
              <w:rStyle w:val="4"/>
              <w:rFonts w:hint="eastAsia"/>
            </w:rPr>
            <w:t>单击或点击此处输入文字。</w:t>
          </w:r>
        </w:p>
      </w:docPartBody>
    </w:docPart>
    <w:docPart>
      <w:docPartPr>
        <w:name w:val="6FF9258EC4B74B31BA6321381A57322E"/>
        <w:style w:val=""/>
        <w:category>
          <w:name w:val="常规"/>
          <w:gallery w:val="placeholder"/>
        </w:category>
        <w:types>
          <w:type w:val="bbPlcHdr"/>
        </w:types>
        <w:behaviors>
          <w:behavior w:val="content"/>
        </w:behaviors>
        <w:description w:val=""/>
        <w:guid w:val="{4E9BBC76-21CF-4CF2-82A1-06181E6E6CB2}"/>
      </w:docPartPr>
      <w:docPartBody>
        <w:p>
          <w:pPr>
            <w:pStyle w:val="6"/>
          </w:pPr>
          <w:r>
            <w:rPr>
              <w:rStyle w:val="4"/>
              <w:rFonts w:hint="eastAsia"/>
            </w:rPr>
            <w:t>选择一项。</w:t>
          </w:r>
        </w:p>
      </w:docPartBody>
    </w:docPart>
    <w:docPart>
      <w:docPartPr>
        <w:name w:val="70C2C407AA554E9094B44838560C073B"/>
        <w:style w:val=""/>
        <w:category>
          <w:name w:val="常规"/>
          <w:gallery w:val="placeholder"/>
        </w:category>
        <w:types>
          <w:type w:val="bbPlcHdr"/>
        </w:types>
        <w:behaviors>
          <w:behavior w:val="content"/>
        </w:behaviors>
        <w:description w:val=""/>
        <w:guid w:val="{5C038542-7F2F-4031-92F4-7B2D03BC9BA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_GB2312"/>
    <w:panose1 w:val="00000000000000000000"/>
    <w:charset w:val="86"/>
    <w:family w:val="auto"/>
    <w:pitch w:val="default"/>
    <w:sig w:usb0="00000000" w:usb1="00000000" w:usb2="00000000" w:usb3="00000000" w:csb0="00000000" w:csb1="00000000"/>
  </w:font>
  <w:font w:name="等线">
    <w:altName w:val="仿宋_GB2312"/>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6B"/>
    <w:rsid w:val="00320E6B"/>
    <w:rsid w:val="007B5109"/>
    <w:rsid w:val="0093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108069D7EAC4676ABD17CD465FEFFB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FF9258EC4B74B31BA6321381A57322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70C2C407AA554E9094B44838560C07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2052</Words>
  <Characters>2567</Characters>
  <Lines>427</Lines>
  <Paragraphs>384</Paragraphs>
  <TotalTime>0</TotalTime>
  <ScaleCrop>false</ScaleCrop>
  <LinksUpToDate>false</LinksUpToDate>
  <CharactersWithSpaces>4235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2024-10-29T21:51:00Z</dcterms:created>
  <dc:creator>QQ</dc:creator>
  <dc:description>&lt;config cover="true" show_menu="true" version="1.0.0" doctype="SDKXY"&gt;_x000d_
&lt;/config&gt;</dc:description>
  <cp:lastModifiedBy>baixin</cp:lastModifiedBy>
  <cp:lastPrinted>2020-09-01T02:00:00Z</cp:lastPrinted>
  <dcterms:modified xsi:type="dcterms:W3CDTF">2024-11-06T16:32:30Z</dcterms:modified>
  <dc:title>地方标准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