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adjustRightInd/>
        <w:spacing w:line="580" w:lineRule="exact"/>
        <w:jc w:val="both"/>
        <w:textAlignment w:val="auto"/>
        <w:rPr>
          <w:rFonts w:hint="eastAsia" w:ascii="黑体" w:eastAsia="黑体"/>
          <w:b/>
          <w:kern w:val="22"/>
          <w:sz w:val="52"/>
          <w:szCs w:val="52"/>
        </w:rPr>
      </w:pPr>
    </w:p>
    <w:p>
      <w:pPr>
        <w:keepNext w:val="0"/>
        <w:keepLines w:val="0"/>
        <w:pageBreakBefore w:val="0"/>
        <w:kinsoku/>
        <w:wordWrap/>
        <w:overflowPunct/>
        <w:topLinePunct w:val="0"/>
        <w:bidi w:val="0"/>
        <w:adjustRightInd/>
        <w:spacing w:line="580" w:lineRule="exact"/>
        <w:jc w:val="center"/>
        <w:textAlignment w:val="auto"/>
        <w:rPr>
          <w:rFonts w:hint="eastAsia" w:ascii="黑体" w:eastAsia="黑体"/>
          <w:b/>
          <w:kern w:val="22"/>
          <w:sz w:val="52"/>
          <w:szCs w:val="52"/>
        </w:rPr>
      </w:pPr>
    </w:p>
    <w:p>
      <w:pPr>
        <w:keepNext w:val="0"/>
        <w:keepLines w:val="0"/>
        <w:pageBreakBefore w:val="0"/>
        <w:kinsoku/>
        <w:wordWrap/>
        <w:overflowPunct/>
        <w:topLinePunct w:val="0"/>
        <w:bidi w:val="0"/>
        <w:adjustRightInd/>
        <w:spacing w:line="580" w:lineRule="exact"/>
        <w:jc w:val="center"/>
        <w:textAlignment w:val="auto"/>
        <w:rPr>
          <w:rFonts w:hint="eastAsia" w:ascii="黑体" w:eastAsia="黑体"/>
          <w:b/>
          <w:kern w:val="22"/>
          <w:sz w:val="52"/>
          <w:szCs w:val="52"/>
        </w:rPr>
      </w:pPr>
    </w:p>
    <w:p>
      <w:pPr>
        <w:keepNext w:val="0"/>
        <w:keepLines w:val="0"/>
        <w:pageBreakBefore w:val="0"/>
        <w:kinsoku/>
        <w:wordWrap/>
        <w:overflowPunct/>
        <w:topLinePunct w:val="0"/>
        <w:bidi w:val="0"/>
        <w:adjustRightInd/>
        <w:spacing w:line="580" w:lineRule="exact"/>
        <w:jc w:val="center"/>
        <w:textAlignment w:val="auto"/>
        <w:rPr>
          <w:rFonts w:ascii="黑体" w:eastAsia="黑体"/>
          <w:b/>
          <w:kern w:val="22"/>
          <w:sz w:val="52"/>
          <w:szCs w:val="52"/>
        </w:rPr>
      </w:pPr>
      <w:r>
        <w:rPr>
          <w:rFonts w:hint="eastAsia" w:ascii="黑体" w:eastAsia="黑体"/>
          <w:b/>
          <w:kern w:val="22"/>
          <w:sz w:val="52"/>
          <w:szCs w:val="52"/>
        </w:rPr>
        <w:t>山西省地方标准</w:t>
      </w:r>
    </w:p>
    <w:p>
      <w:pPr>
        <w:keepNext w:val="0"/>
        <w:keepLines w:val="0"/>
        <w:pageBreakBefore w:val="0"/>
        <w:kinsoku/>
        <w:wordWrap/>
        <w:overflowPunct/>
        <w:topLinePunct w:val="0"/>
        <w:bidi w:val="0"/>
        <w:adjustRightInd/>
        <w:spacing w:line="580" w:lineRule="exact"/>
        <w:jc w:val="center"/>
        <w:textAlignment w:val="auto"/>
        <w:rPr>
          <w:rFonts w:hint="eastAsia" w:ascii="黑体" w:eastAsia="黑体" w:cs="Times New Roman"/>
          <w:b/>
          <w:kern w:val="22"/>
          <w:sz w:val="52"/>
          <w:szCs w:val="52"/>
        </w:rPr>
      </w:pPr>
      <w:r>
        <w:rPr>
          <w:rFonts w:hint="eastAsia" w:ascii="黑体" w:eastAsia="黑体" w:cs="Times New Roman"/>
          <w:b/>
          <w:kern w:val="22"/>
          <w:sz w:val="52"/>
          <w:szCs w:val="52"/>
        </w:rPr>
        <w:t>《</w:t>
      </w:r>
      <w:bookmarkStart w:id="0" w:name="_Toc171719622"/>
      <w:r>
        <w:rPr>
          <w:rFonts w:hint="eastAsia" w:ascii="黑体" w:eastAsia="黑体" w:cs="Times New Roman"/>
          <w:b/>
          <w:kern w:val="22"/>
          <w:sz w:val="52"/>
          <w:szCs w:val="52"/>
          <w:lang w:val="en-US" w:eastAsia="zh-CN"/>
        </w:rPr>
        <w:t>冬小麦宽幅沟播技术规程</w:t>
      </w:r>
      <w:r>
        <w:rPr>
          <w:rFonts w:hint="eastAsia" w:ascii="黑体" w:eastAsia="黑体" w:cs="Times New Roman"/>
          <w:b/>
          <w:kern w:val="22"/>
          <w:sz w:val="52"/>
          <w:szCs w:val="52"/>
        </w:rPr>
        <w:t>》</w:t>
      </w:r>
    </w:p>
    <w:p>
      <w:pPr>
        <w:keepNext w:val="0"/>
        <w:keepLines w:val="0"/>
        <w:pageBreakBefore w:val="0"/>
        <w:kinsoku/>
        <w:wordWrap/>
        <w:overflowPunct/>
        <w:topLinePunct w:val="0"/>
        <w:bidi w:val="0"/>
        <w:adjustRightInd/>
        <w:spacing w:line="580" w:lineRule="exact"/>
        <w:jc w:val="center"/>
        <w:textAlignment w:val="auto"/>
        <w:rPr>
          <w:rFonts w:eastAsia="Times New Roman"/>
          <w:b/>
          <w:spacing w:val="20"/>
          <w:kern w:val="22"/>
          <w:sz w:val="44"/>
          <w:szCs w:val="44"/>
        </w:rPr>
      </w:pPr>
      <w:r>
        <w:rPr>
          <w:rFonts w:hint="eastAsia" w:ascii="楷体_GB2312" w:eastAsia="楷体_GB2312"/>
          <w:b/>
          <w:spacing w:val="20"/>
          <w:kern w:val="22"/>
          <w:sz w:val="44"/>
          <w:szCs w:val="44"/>
        </w:rPr>
        <w:t>编制说明</w:t>
      </w:r>
      <w:bookmarkEnd w:id="0"/>
    </w:p>
    <w:p>
      <w:pPr>
        <w:keepNext w:val="0"/>
        <w:keepLines w:val="0"/>
        <w:pageBreakBefore w:val="0"/>
        <w:kinsoku/>
        <w:wordWrap/>
        <w:overflowPunct/>
        <w:topLinePunct w:val="0"/>
        <w:bidi w:val="0"/>
        <w:adjustRightInd/>
        <w:spacing w:line="580" w:lineRule="exact"/>
        <w:textAlignment w:val="auto"/>
        <w:rPr>
          <w:rFonts w:eastAsia="Times New Roman"/>
          <w:b/>
          <w:kern w:val="22"/>
          <w:sz w:val="44"/>
          <w:szCs w:val="44"/>
        </w:rPr>
      </w:pPr>
    </w:p>
    <w:p>
      <w:pPr>
        <w:keepNext w:val="0"/>
        <w:keepLines w:val="0"/>
        <w:pageBreakBefore w:val="0"/>
        <w:kinsoku/>
        <w:wordWrap/>
        <w:overflowPunct/>
        <w:topLinePunct w:val="0"/>
        <w:bidi w:val="0"/>
        <w:adjustRightInd/>
        <w:spacing w:line="580" w:lineRule="exact"/>
        <w:textAlignment w:val="auto"/>
        <w:rPr>
          <w:rFonts w:eastAsia="Times New Roman"/>
          <w:b/>
          <w:kern w:val="22"/>
          <w:sz w:val="44"/>
          <w:szCs w:val="44"/>
        </w:rPr>
      </w:pPr>
    </w:p>
    <w:p>
      <w:pPr>
        <w:keepNext w:val="0"/>
        <w:keepLines w:val="0"/>
        <w:pageBreakBefore w:val="0"/>
        <w:kinsoku/>
        <w:wordWrap/>
        <w:overflowPunct/>
        <w:topLinePunct w:val="0"/>
        <w:bidi w:val="0"/>
        <w:adjustRightInd/>
        <w:spacing w:line="580" w:lineRule="exact"/>
        <w:textAlignment w:val="auto"/>
        <w:rPr>
          <w:rFonts w:eastAsia="Times New Roman"/>
          <w:b/>
          <w:kern w:val="22"/>
          <w:sz w:val="44"/>
          <w:szCs w:val="44"/>
        </w:rPr>
      </w:pPr>
    </w:p>
    <w:p>
      <w:pPr>
        <w:keepNext w:val="0"/>
        <w:keepLines w:val="0"/>
        <w:pageBreakBefore w:val="0"/>
        <w:kinsoku/>
        <w:wordWrap/>
        <w:overflowPunct/>
        <w:topLinePunct w:val="0"/>
        <w:bidi w:val="0"/>
        <w:adjustRightInd/>
        <w:spacing w:line="580" w:lineRule="exact"/>
        <w:textAlignment w:val="auto"/>
        <w:rPr>
          <w:rFonts w:eastAsia="Times New Roman"/>
          <w:b/>
          <w:kern w:val="22"/>
          <w:sz w:val="44"/>
          <w:szCs w:val="44"/>
        </w:rPr>
      </w:pPr>
    </w:p>
    <w:p>
      <w:pPr>
        <w:keepNext w:val="0"/>
        <w:keepLines w:val="0"/>
        <w:pageBreakBefore w:val="0"/>
        <w:kinsoku/>
        <w:wordWrap/>
        <w:overflowPunct/>
        <w:topLinePunct w:val="0"/>
        <w:bidi w:val="0"/>
        <w:adjustRightInd/>
        <w:spacing w:line="580" w:lineRule="exact"/>
        <w:ind w:firstLine="1911" w:firstLineChars="595"/>
        <w:textAlignment w:val="auto"/>
        <w:rPr>
          <w:rFonts w:ascii="宋体"/>
          <w:b/>
          <w:kern w:val="22"/>
          <w:sz w:val="32"/>
          <w:szCs w:val="32"/>
        </w:rPr>
      </w:pPr>
    </w:p>
    <w:p>
      <w:pPr>
        <w:keepNext w:val="0"/>
        <w:keepLines w:val="0"/>
        <w:pageBreakBefore w:val="0"/>
        <w:kinsoku/>
        <w:wordWrap/>
        <w:overflowPunct/>
        <w:topLinePunct w:val="0"/>
        <w:bidi w:val="0"/>
        <w:adjustRightInd/>
        <w:spacing w:line="580" w:lineRule="exact"/>
        <w:textAlignment w:val="auto"/>
        <w:rPr>
          <w:rFonts w:ascii="宋体"/>
          <w:b/>
          <w:kern w:val="22"/>
          <w:sz w:val="32"/>
          <w:szCs w:val="32"/>
        </w:rPr>
      </w:pPr>
    </w:p>
    <w:p>
      <w:pPr>
        <w:keepNext w:val="0"/>
        <w:keepLines w:val="0"/>
        <w:pageBreakBefore w:val="0"/>
        <w:kinsoku/>
        <w:wordWrap/>
        <w:overflowPunct/>
        <w:topLinePunct w:val="0"/>
        <w:bidi w:val="0"/>
        <w:adjustRightInd/>
        <w:spacing w:line="580" w:lineRule="exact"/>
        <w:textAlignment w:val="auto"/>
        <w:rPr>
          <w:rFonts w:ascii="宋体"/>
          <w:b/>
          <w:kern w:val="22"/>
          <w:sz w:val="10"/>
          <w:szCs w:val="10"/>
        </w:rPr>
      </w:pPr>
    </w:p>
    <w:p>
      <w:pPr>
        <w:keepNext w:val="0"/>
        <w:keepLines w:val="0"/>
        <w:pageBreakBefore w:val="0"/>
        <w:kinsoku/>
        <w:wordWrap/>
        <w:overflowPunct/>
        <w:topLinePunct w:val="0"/>
        <w:bidi w:val="0"/>
        <w:adjustRightInd/>
        <w:spacing w:line="580" w:lineRule="exact"/>
        <w:textAlignment w:val="auto"/>
        <w:rPr>
          <w:rFonts w:ascii="宋体"/>
          <w:b/>
          <w:kern w:val="22"/>
          <w:sz w:val="10"/>
          <w:szCs w:val="10"/>
        </w:rPr>
      </w:pPr>
    </w:p>
    <w:p>
      <w:pPr>
        <w:keepNext w:val="0"/>
        <w:keepLines w:val="0"/>
        <w:pageBreakBefore w:val="0"/>
        <w:kinsoku/>
        <w:wordWrap/>
        <w:overflowPunct/>
        <w:topLinePunct w:val="0"/>
        <w:bidi w:val="0"/>
        <w:adjustRightInd/>
        <w:spacing w:line="580" w:lineRule="exact"/>
        <w:textAlignment w:val="auto"/>
        <w:rPr>
          <w:rFonts w:ascii="宋体"/>
          <w:b/>
          <w:kern w:val="22"/>
          <w:sz w:val="10"/>
          <w:szCs w:val="10"/>
        </w:rPr>
      </w:pPr>
    </w:p>
    <w:p>
      <w:pPr>
        <w:keepNext w:val="0"/>
        <w:keepLines w:val="0"/>
        <w:pageBreakBefore w:val="0"/>
        <w:kinsoku/>
        <w:wordWrap/>
        <w:overflowPunct/>
        <w:topLinePunct w:val="0"/>
        <w:bidi w:val="0"/>
        <w:adjustRightInd/>
        <w:spacing w:line="580" w:lineRule="exact"/>
        <w:textAlignment w:val="auto"/>
        <w:rPr>
          <w:rFonts w:ascii="宋体"/>
          <w:b/>
          <w:kern w:val="22"/>
          <w:sz w:val="10"/>
          <w:szCs w:val="10"/>
        </w:rPr>
      </w:pPr>
    </w:p>
    <w:p>
      <w:pPr>
        <w:keepNext w:val="0"/>
        <w:keepLines w:val="0"/>
        <w:pageBreakBefore w:val="0"/>
        <w:kinsoku/>
        <w:wordWrap/>
        <w:overflowPunct/>
        <w:topLinePunct w:val="0"/>
        <w:bidi w:val="0"/>
        <w:adjustRightInd/>
        <w:spacing w:line="580" w:lineRule="exact"/>
        <w:textAlignment w:val="auto"/>
        <w:rPr>
          <w:rFonts w:ascii="宋体"/>
          <w:b/>
          <w:kern w:val="22"/>
          <w:sz w:val="10"/>
          <w:szCs w:val="10"/>
        </w:rPr>
      </w:pPr>
    </w:p>
    <w:p>
      <w:pPr>
        <w:pStyle w:val="2"/>
      </w:pPr>
    </w:p>
    <w:p>
      <w:pPr>
        <w:keepNext w:val="0"/>
        <w:keepLines w:val="0"/>
        <w:pageBreakBefore w:val="0"/>
        <w:kinsoku/>
        <w:wordWrap/>
        <w:overflowPunct/>
        <w:topLinePunct w:val="0"/>
        <w:bidi w:val="0"/>
        <w:adjustRightInd/>
        <w:spacing w:line="580" w:lineRule="exact"/>
        <w:textAlignment w:val="auto"/>
        <w:rPr>
          <w:rFonts w:ascii="宋体"/>
          <w:b/>
          <w:kern w:val="22"/>
          <w:sz w:val="10"/>
          <w:szCs w:val="10"/>
        </w:rPr>
      </w:pPr>
    </w:p>
    <w:p>
      <w:pPr>
        <w:keepNext w:val="0"/>
        <w:keepLines w:val="0"/>
        <w:pageBreakBefore w:val="0"/>
        <w:kinsoku/>
        <w:wordWrap/>
        <w:overflowPunct/>
        <w:topLinePunct w:val="0"/>
        <w:bidi w:val="0"/>
        <w:adjustRightInd/>
        <w:spacing w:line="580" w:lineRule="exact"/>
        <w:jc w:val="center"/>
        <w:textAlignment w:val="auto"/>
        <w:rPr>
          <w:rFonts w:ascii="宋体"/>
          <w:b/>
          <w:kern w:val="22"/>
          <w:sz w:val="10"/>
          <w:szCs w:val="10"/>
        </w:rPr>
      </w:pPr>
      <w:r>
        <w:rPr>
          <w:rFonts w:hint="eastAsia" w:ascii="宋体" w:hAnsi="宋体"/>
          <w:b/>
          <w:kern w:val="22"/>
          <w:sz w:val="32"/>
          <w:szCs w:val="32"/>
        </w:rPr>
        <w:t>编制单位：山西省农业技术推广服务中心</w:t>
      </w:r>
      <w:r>
        <w:rPr>
          <w:rFonts w:ascii="??_GB2312" w:hAnsi="宋体" w:eastAsia="Times New Roman"/>
          <w:sz w:val="32"/>
          <w:szCs w:val="32"/>
        </w:rPr>
        <w:t xml:space="preserve">      </w:t>
      </w:r>
      <w:r>
        <w:rPr>
          <w:rFonts w:ascii="宋体" w:hAnsi="宋体"/>
          <w:b/>
          <w:kern w:val="22"/>
          <w:sz w:val="32"/>
          <w:szCs w:val="32"/>
        </w:rPr>
        <w:t xml:space="preserve"> </w:t>
      </w:r>
    </w:p>
    <w:p>
      <w:pPr>
        <w:keepNext w:val="0"/>
        <w:keepLines w:val="0"/>
        <w:pageBreakBefore w:val="0"/>
        <w:kinsoku/>
        <w:wordWrap/>
        <w:overflowPunct/>
        <w:topLinePunct w:val="0"/>
        <w:bidi w:val="0"/>
        <w:adjustRightInd/>
        <w:spacing w:line="580" w:lineRule="exact"/>
        <w:jc w:val="center"/>
        <w:textAlignment w:val="auto"/>
        <w:rPr>
          <w:rFonts w:ascii="宋体"/>
          <w:b/>
          <w:sz w:val="30"/>
          <w:szCs w:val="30"/>
        </w:rPr>
        <w:sectPr>
          <w:headerReference r:id="rId5" w:type="first"/>
          <w:footerReference r:id="rId8" w:type="first"/>
          <w:headerReference r:id="rId3" w:type="default"/>
          <w:footerReference r:id="rId6" w:type="default"/>
          <w:headerReference r:id="rId4" w:type="even"/>
          <w:footerReference r:id="rId7" w:type="even"/>
          <w:pgSz w:w="11906" w:h="16838"/>
          <w:pgMar w:top="1418" w:right="1701" w:bottom="1531" w:left="1701" w:header="851" w:footer="992" w:gutter="0"/>
          <w:pgNumType w:start="0"/>
          <w:cols w:space="720" w:num="1"/>
          <w:titlePg/>
          <w:docGrid w:type="lines" w:linePitch="312" w:charSpace="0"/>
        </w:sectPr>
      </w:pPr>
      <w:r>
        <w:rPr>
          <w:rFonts w:hint="eastAsia" w:ascii="宋体" w:hAnsi="宋体" w:eastAsia="宋体"/>
          <w:b/>
          <w:sz w:val="32"/>
          <w:szCs w:val="32"/>
          <w:lang w:val="en-US" w:eastAsia="zh-CN"/>
        </w:rPr>
        <w:t xml:space="preserve"> 二零二四年</w:t>
      </w:r>
      <w:r>
        <w:rPr>
          <w:rFonts w:hint="eastAsia" w:ascii="宋体" w:hAnsi="宋体"/>
          <w:b/>
          <w:sz w:val="32"/>
          <w:szCs w:val="32"/>
          <w:lang w:val="en-US" w:eastAsia="zh-CN"/>
        </w:rPr>
        <w:t>十</w:t>
      </w:r>
      <w:r>
        <w:rPr>
          <w:rFonts w:hint="eastAsia" w:ascii="宋体" w:hAnsi="宋体"/>
          <w:b/>
          <w:sz w:val="32"/>
          <w:szCs w:val="32"/>
        </w:rPr>
        <w:t>月</w:t>
      </w:r>
    </w:p>
    <w:p>
      <w:pPr>
        <w:spacing w:line="600" w:lineRule="exact"/>
        <w:ind w:right="17" w:firstLine="642" w:firstLineChars="200"/>
        <w:rPr>
          <w:rFonts w:ascii="宋体" w:hAnsi="宋体" w:cs="宋体"/>
          <w:b/>
          <w:sz w:val="32"/>
          <w:szCs w:val="32"/>
        </w:rPr>
      </w:pPr>
      <w:r>
        <w:rPr>
          <w:rFonts w:hint="eastAsia" w:ascii="宋体" w:hAnsi="宋体" w:cs="宋体"/>
          <w:b/>
          <w:sz w:val="32"/>
          <w:szCs w:val="32"/>
        </w:rPr>
        <w:t>一、工作</w:t>
      </w:r>
      <w:r>
        <w:rPr>
          <w:rFonts w:hint="eastAsia" w:ascii="宋体" w:hAnsi="宋体" w:cs="宋体"/>
          <w:b/>
          <w:sz w:val="32"/>
          <w:szCs w:val="32"/>
          <w:lang w:eastAsia="zh-CN"/>
        </w:rPr>
        <w:t>简况</w:t>
      </w:r>
    </w:p>
    <w:p>
      <w:pPr>
        <w:spacing w:line="600" w:lineRule="exact"/>
        <w:ind w:right="17" w:firstLine="481" w:firstLineChars="150"/>
        <w:rPr>
          <w:rFonts w:hint="eastAsia" w:ascii="楷体_GB2312" w:hAnsi="宋体" w:eastAsia="楷体_GB2312"/>
          <w:b/>
          <w:sz w:val="32"/>
          <w:szCs w:val="32"/>
        </w:rPr>
      </w:pPr>
      <w:r>
        <w:rPr>
          <w:rFonts w:hint="eastAsia" w:ascii="楷体_GB2312" w:hAnsi="宋体" w:eastAsia="楷体_GB2312"/>
          <w:b/>
          <w:sz w:val="32"/>
          <w:szCs w:val="32"/>
        </w:rPr>
        <w:t>（一）任务来源</w:t>
      </w:r>
    </w:p>
    <w:p>
      <w:pPr>
        <w:spacing w:line="360" w:lineRule="auto"/>
        <w:ind w:firstLine="640" w:firstLineChars="200"/>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根据山西省市场监督管理局《山西省市场监督管理局关于印发&lt;2023年省级地方标准立项指南&gt;的通知》(晋市监发〔2023〕12号)文件精神，山西省农业技术推广服务中心结合我省实际，拟于2023年起草研制《山西省冬小麦宽幅沟播技术规程》地方标准，本标准的立项号为2023-07310。</w:t>
      </w:r>
    </w:p>
    <w:p>
      <w:pPr>
        <w:spacing w:line="360" w:lineRule="auto"/>
        <w:ind w:firstLine="640" w:firstLineChars="200"/>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山西省农业技术推广服务中心开展粮油作物发展研究，组织实施粮油产业发展项目，开展农业新技术的试验、示范和推广，承担农业技术推广计划和技术标准拟定的技术性工作。</w:t>
      </w:r>
    </w:p>
    <w:p>
      <w:pPr>
        <w:spacing w:line="600" w:lineRule="exact"/>
        <w:ind w:right="17" w:firstLine="481" w:firstLineChars="150"/>
        <w:rPr>
          <w:rFonts w:hint="eastAsia" w:ascii="楷体_GB2312" w:hAnsi="宋体" w:eastAsia="楷体_GB2312"/>
          <w:b/>
          <w:sz w:val="32"/>
          <w:szCs w:val="32"/>
        </w:rPr>
      </w:pPr>
      <w:r>
        <w:rPr>
          <w:rFonts w:hint="eastAsia" w:ascii="楷体_GB2312" w:hAnsi="宋体" w:eastAsia="楷体_GB2312"/>
          <w:b/>
          <w:sz w:val="32"/>
          <w:szCs w:val="32"/>
        </w:rPr>
        <w:t>（</w:t>
      </w:r>
      <w:r>
        <w:rPr>
          <w:rFonts w:hint="eastAsia" w:ascii="楷体_GB2312" w:hAnsi="宋体" w:eastAsia="楷体_GB2312"/>
          <w:b/>
          <w:sz w:val="32"/>
          <w:szCs w:val="32"/>
          <w:lang w:eastAsia="zh-CN"/>
        </w:rPr>
        <w:t>二</w:t>
      </w:r>
      <w:r>
        <w:rPr>
          <w:rFonts w:hint="eastAsia" w:ascii="楷体_GB2312" w:hAnsi="宋体" w:eastAsia="楷体_GB2312"/>
          <w:b/>
          <w:sz w:val="32"/>
          <w:szCs w:val="32"/>
        </w:rPr>
        <w:t>）起草单位和主要起草人</w:t>
      </w:r>
    </w:p>
    <w:p>
      <w:pPr>
        <w:spacing w:line="360" w:lineRule="auto"/>
        <w:ind w:firstLine="640" w:firstLineChars="200"/>
        <w:rPr>
          <w:rFonts w:hint="eastAsia" w:asciiTheme="minorEastAsia" w:hAnsiTheme="minorEastAsia" w:eastAsiaTheme="minorEastAsia" w:cstheme="minorEastAsia"/>
          <w:sz w:val="32"/>
          <w:szCs w:val="32"/>
          <w:lang w:val="en-US" w:eastAsia="zh-CN"/>
        </w:rPr>
      </w:pPr>
      <w:r>
        <w:rPr>
          <w:rFonts w:hint="default" w:asciiTheme="minorEastAsia" w:hAnsiTheme="minorEastAsia" w:eastAsiaTheme="minorEastAsia" w:cstheme="minorEastAsia"/>
          <w:sz w:val="32"/>
          <w:szCs w:val="32"/>
          <w:lang w:val="en" w:eastAsia="zh-CN"/>
        </w:rPr>
        <w:t>2</w:t>
      </w:r>
      <w:r>
        <w:rPr>
          <w:rFonts w:hint="eastAsia" w:asciiTheme="minorEastAsia" w:hAnsiTheme="minorEastAsia" w:eastAsiaTheme="minorEastAsia" w:cstheme="minorEastAsia"/>
          <w:sz w:val="32"/>
          <w:szCs w:val="32"/>
          <w:lang w:val="en-US" w:eastAsia="zh-CN"/>
        </w:rPr>
        <w:t>023年1月山西省农业技术推广服务中心成立了《山西省冬小麦宽幅沟播技术规程》标准编制工作组，明确了起草单位和人员分工，工作组主要成员均参加《旱地冬小麦宽窄行探墒沟播栽培技术规程》（DB14/T 1470-2017）、水地冬小麦种植技术规程（DB14/T 768-2013）等多项农业相关领域标准制修订工作，熟练掌握《地方标准技术审查工作规范》、《地方标准复审工作规范》、《地方标准制定工作规范》等标准编制流程、原则及技术要求。起草单位主要有山西省农业技术推广服务中心、山西农业大学农学院、山西省农产品质量安全中心、山西农业大学山西功能农业研究院、运城市农业技术推广与园艺产业发展工作站、临汾市现代农业发展中心、晋城市现代农业发展中心、太原市农业技术推广服务中心、洪洞县现代农业发展中心、神农科技集团有限公司。起草人有韩柏岳、孙敏、延晓倩、郭郁、任爱霞、林文、齐永红、王月超、徐隽铭、李玉琪、巩宇芬、刘丽青、芦明、王小泰、樊晋源、杨洋、鲁栋梁、谢莹、曹淼、张东平，主要起草人信息如下：</w:t>
      </w:r>
    </w:p>
    <w:tbl>
      <w:tblPr>
        <w:tblStyle w:val="10"/>
        <w:tblW w:w="95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0"/>
        <w:gridCol w:w="892"/>
        <w:gridCol w:w="1703"/>
        <w:gridCol w:w="3442"/>
        <w:gridCol w:w="2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000" w:type="dxa"/>
            <w:noWrap w:val="0"/>
            <w:vAlign w:val="center"/>
          </w:tcPr>
          <w:p>
            <w:pPr>
              <w:pStyle w:val="4"/>
              <w:keepNext w:val="0"/>
              <w:keepLines w:val="0"/>
              <w:pageBreakBefore w:val="0"/>
              <w:kinsoku/>
              <w:wordWrap/>
              <w:overflowPunct/>
              <w:topLinePunct w:val="0"/>
              <w:bidi w:val="0"/>
              <w:adjustRightInd/>
              <w:snapToGrid/>
              <w:spacing w:line="590" w:lineRule="exact"/>
              <w:jc w:val="center"/>
              <w:textAlignment w:val="auto"/>
              <w:rPr>
                <w:rFonts w:hint="eastAsia" w:ascii="楷体_GB2312" w:hAnsi="楷体_GB2312" w:eastAsia="楷体_GB2312" w:cs="楷体_GB2312"/>
                <w:b/>
                <w:bCs/>
                <w:sz w:val="32"/>
                <w:szCs w:val="32"/>
                <w:vertAlign w:val="baseline"/>
                <w:lang w:val="en-US" w:eastAsia="zh-CN"/>
              </w:rPr>
            </w:pPr>
            <w:r>
              <w:rPr>
                <w:rFonts w:hint="eastAsia" w:ascii="楷体_GB2312" w:hAnsi="楷体_GB2312" w:eastAsia="楷体_GB2312" w:cs="楷体_GB2312"/>
                <w:b/>
                <w:bCs/>
                <w:sz w:val="32"/>
                <w:szCs w:val="32"/>
                <w:vertAlign w:val="baseline"/>
                <w:lang w:val="en-US" w:eastAsia="zh-CN"/>
              </w:rPr>
              <w:t>姓名</w:t>
            </w:r>
          </w:p>
        </w:tc>
        <w:tc>
          <w:tcPr>
            <w:tcW w:w="892" w:type="dxa"/>
            <w:noWrap w:val="0"/>
            <w:vAlign w:val="center"/>
          </w:tcPr>
          <w:p>
            <w:pPr>
              <w:pStyle w:val="4"/>
              <w:keepNext w:val="0"/>
              <w:keepLines w:val="0"/>
              <w:pageBreakBefore w:val="0"/>
              <w:kinsoku/>
              <w:wordWrap/>
              <w:overflowPunct/>
              <w:topLinePunct w:val="0"/>
              <w:bidi w:val="0"/>
              <w:adjustRightInd/>
              <w:snapToGrid/>
              <w:spacing w:line="590" w:lineRule="exact"/>
              <w:jc w:val="center"/>
              <w:textAlignment w:val="auto"/>
              <w:rPr>
                <w:rFonts w:hint="eastAsia" w:ascii="楷体_GB2312" w:hAnsi="楷体_GB2312" w:eastAsia="楷体_GB2312" w:cs="楷体_GB2312"/>
                <w:b/>
                <w:bCs/>
                <w:sz w:val="32"/>
                <w:szCs w:val="32"/>
                <w:vertAlign w:val="baseline"/>
                <w:lang w:val="en-US" w:eastAsia="zh-CN"/>
              </w:rPr>
            </w:pPr>
            <w:r>
              <w:rPr>
                <w:rFonts w:hint="eastAsia" w:ascii="楷体_GB2312" w:hAnsi="楷体_GB2312" w:eastAsia="楷体_GB2312" w:cs="楷体_GB2312"/>
                <w:b/>
                <w:bCs/>
                <w:sz w:val="32"/>
                <w:szCs w:val="32"/>
                <w:vertAlign w:val="baseline"/>
                <w:lang w:val="en-US" w:eastAsia="zh-CN"/>
              </w:rPr>
              <w:t>性别</w:t>
            </w:r>
          </w:p>
        </w:tc>
        <w:tc>
          <w:tcPr>
            <w:tcW w:w="1703" w:type="dxa"/>
            <w:noWrap w:val="0"/>
            <w:vAlign w:val="center"/>
          </w:tcPr>
          <w:p>
            <w:pPr>
              <w:pStyle w:val="4"/>
              <w:keepNext w:val="0"/>
              <w:keepLines w:val="0"/>
              <w:pageBreakBefore w:val="0"/>
              <w:kinsoku/>
              <w:wordWrap/>
              <w:overflowPunct/>
              <w:topLinePunct w:val="0"/>
              <w:bidi w:val="0"/>
              <w:adjustRightInd/>
              <w:snapToGrid/>
              <w:spacing w:line="590" w:lineRule="exact"/>
              <w:jc w:val="center"/>
              <w:textAlignment w:val="auto"/>
              <w:rPr>
                <w:rFonts w:hint="eastAsia" w:ascii="楷体_GB2312" w:hAnsi="楷体_GB2312" w:eastAsia="楷体_GB2312" w:cs="楷体_GB2312"/>
                <w:b/>
                <w:bCs/>
                <w:sz w:val="32"/>
                <w:szCs w:val="32"/>
                <w:vertAlign w:val="baseline"/>
                <w:lang w:val="en-US" w:eastAsia="zh-CN"/>
              </w:rPr>
            </w:pPr>
            <w:r>
              <w:rPr>
                <w:rFonts w:hint="eastAsia" w:ascii="楷体_GB2312" w:hAnsi="楷体_GB2312" w:eastAsia="楷体_GB2312" w:cs="楷体_GB2312"/>
                <w:b/>
                <w:bCs/>
                <w:sz w:val="32"/>
                <w:szCs w:val="32"/>
                <w:vertAlign w:val="baseline"/>
                <w:lang w:val="en-US" w:eastAsia="zh-CN"/>
              </w:rPr>
              <w:t>职务/职称</w:t>
            </w:r>
          </w:p>
        </w:tc>
        <w:tc>
          <w:tcPr>
            <w:tcW w:w="3442" w:type="dxa"/>
            <w:noWrap w:val="0"/>
            <w:vAlign w:val="center"/>
          </w:tcPr>
          <w:p>
            <w:pPr>
              <w:pStyle w:val="4"/>
              <w:keepNext w:val="0"/>
              <w:keepLines w:val="0"/>
              <w:pageBreakBefore w:val="0"/>
              <w:kinsoku/>
              <w:wordWrap/>
              <w:overflowPunct/>
              <w:topLinePunct w:val="0"/>
              <w:bidi w:val="0"/>
              <w:adjustRightInd/>
              <w:snapToGrid/>
              <w:spacing w:line="590" w:lineRule="exact"/>
              <w:jc w:val="center"/>
              <w:textAlignment w:val="auto"/>
              <w:rPr>
                <w:rFonts w:hint="eastAsia" w:ascii="楷体_GB2312" w:hAnsi="楷体_GB2312" w:eastAsia="楷体_GB2312" w:cs="楷体_GB2312"/>
                <w:b/>
                <w:bCs/>
                <w:sz w:val="32"/>
                <w:szCs w:val="32"/>
                <w:vertAlign w:val="baseline"/>
                <w:lang w:val="en-US" w:eastAsia="zh-CN"/>
              </w:rPr>
            </w:pPr>
            <w:r>
              <w:rPr>
                <w:rFonts w:hint="eastAsia" w:ascii="楷体_GB2312" w:hAnsi="楷体_GB2312" w:eastAsia="楷体_GB2312" w:cs="楷体_GB2312"/>
                <w:b/>
                <w:bCs/>
                <w:sz w:val="32"/>
                <w:szCs w:val="32"/>
                <w:vertAlign w:val="baseline"/>
                <w:lang w:val="en-US" w:eastAsia="zh-CN"/>
              </w:rPr>
              <w:t>工作单位</w:t>
            </w:r>
          </w:p>
        </w:tc>
        <w:tc>
          <w:tcPr>
            <w:tcW w:w="2537" w:type="dxa"/>
            <w:noWrap w:val="0"/>
            <w:vAlign w:val="center"/>
          </w:tcPr>
          <w:p>
            <w:pPr>
              <w:pStyle w:val="4"/>
              <w:keepNext w:val="0"/>
              <w:keepLines w:val="0"/>
              <w:pageBreakBefore w:val="0"/>
              <w:kinsoku/>
              <w:wordWrap/>
              <w:overflowPunct/>
              <w:topLinePunct w:val="0"/>
              <w:bidi w:val="0"/>
              <w:adjustRightInd/>
              <w:snapToGrid/>
              <w:spacing w:line="590" w:lineRule="exact"/>
              <w:jc w:val="center"/>
              <w:textAlignment w:val="auto"/>
              <w:rPr>
                <w:rFonts w:hint="eastAsia" w:ascii="楷体_GB2312" w:hAnsi="楷体_GB2312" w:eastAsia="楷体_GB2312" w:cs="楷体_GB2312"/>
                <w:b/>
                <w:bCs/>
                <w:sz w:val="32"/>
                <w:szCs w:val="32"/>
                <w:vertAlign w:val="baseline"/>
                <w:lang w:val="en-US" w:eastAsia="zh-CN"/>
              </w:rPr>
            </w:pPr>
            <w:r>
              <w:rPr>
                <w:rFonts w:hint="eastAsia" w:ascii="楷体_GB2312" w:hAnsi="楷体_GB2312" w:eastAsia="楷体_GB2312" w:cs="楷体_GB2312"/>
                <w:b/>
                <w:bCs/>
                <w:sz w:val="32"/>
                <w:szCs w:val="32"/>
                <w:vertAlign w:val="baseline"/>
                <w:lang w:val="en-US" w:eastAsia="zh-CN"/>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000"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韩柏岳</w:t>
            </w:r>
          </w:p>
        </w:tc>
        <w:tc>
          <w:tcPr>
            <w:tcW w:w="892"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男</w:t>
            </w:r>
          </w:p>
        </w:tc>
        <w:tc>
          <w:tcPr>
            <w:tcW w:w="1703"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高级农艺师</w:t>
            </w:r>
          </w:p>
        </w:tc>
        <w:tc>
          <w:tcPr>
            <w:tcW w:w="3442"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山西省农业技术推广服务中心</w:t>
            </w:r>
          </w:p>
        </w:tc>
        <w:tc>
          <w:tcPr>
            <w:tcW w:w="2537"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负责组织协调与通稿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000"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孙  敏</w:t>
            </w:r>
          </w:p>
        </w:tc>
        <w:tc>
          <w:tcPr>
            <w:tcW w:w="892"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女</w:t>
            </w:r>
          </w:p>
        </w:tc>
        <w:tc>
          <w:tcPr>
            <w:tcW w:w="1703"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教授</w:t>
            </w:r>
          </w:p>
        </w:tc>
        <w:tc>
          <w:tcPr>
            <w:tcW w:w="3442"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eastAsia="宋体"/>
                <w:sz w:val="24"/>
                <w:szCs w:val="24"/>
                <w:lang w:val="en-US" w:eastAsia="zh-CN"/>
              </w:rPr>
            </w:pPr>
            <w:r>
              <w:rPr>
                <w:rFonts w:hint="eastAsia" w:eastAsia="宋体"/>
                <w:sz w:val="24"/>
                <w:szCs w:val="24"/>
                <w:lang w:val="en-US" w:eastAsia="zh-CN"/>
              </w:rPr>
              <w:t>山西农业大学山西功能农业研究院</w:t>
            </w:r>
          </w:p>
        </w:tc>
        <w:tc>
          <w:tcPr>
            <w:tcW w:w="2537"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eastAsia="宋体"/>
                <w:sz w:val="24"/>
                <w:szCs w:val="24"/>
                <w:lang w:val="en-US" w:eastAsia="zh-CN"/>
              </w:rPr>
            </w:pPr>
            <w:r>
              <w:rPr>
                <w:rFonts w:hint="eastAsia" w:eastAsia="宋体"/>
                <w:sz w:val="24"/>
                <w:szCs w:val="24"/>
                <w:lang w:val="en-US" w:eastAsia="zh-CN"/>
              </w:rPr>
              <w:t>负责政策性文件、科研项目材料汇总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000"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延晓倩</w:t>
            </w:r>
          </w:p>
        </w:tc>
        <w:tc>
          <w:tcPr>
            <w:tcW w:w="892"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女</w:t>
            </w:r>
          </w:p>
        </w:tc>
        <w:tc>
          <w:tcPr>
            <w:tcW w:w="1703"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农艺师</w:t>
            </w:r>
          </w:p>
        </w:tc>
        <w:tc>
          <w:tcPr>
            <w:tcW w:w="3442"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山西省农业技术推广服务中心</w:t>
            </w:r>
          </w:p>
        </w:tc>
        <w:tc>
          <w:tcPr>
            <w:tcW w:w="2537"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eastAsia="宋体"/>
                <w:sz w:val="24"/>
                <w:szCs w:val="24"/>
                <w:lang w:val="en-US" w:eastAsia="zh-CN"/>
              </w:rPr>
            </w:pPr>
            <w:r>
              <w:rPr>
                <w:rFonts w:hint="eastAsia" w:eastAsia="宋体"/>
                <w:sz w:val="24"/>
                <w:szCs w:val="24"/>
                <w:lang w:val="en-US" w:eastAsia="zh-CN"/>
              </w:rPr>
              <w:t>负责政策性文件、科研项目材料汇总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00"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郭</w:t>
            </w:r>
            <w:r>
              <w:rPr>
                <w:rFonts w:hint="eastAsia"/>
                <w:sz w:val="24"/>
                <w:szCs w:val="24"/>
                <w:lang w:val="en-US" w:eastAsia="zh-CN"/>
              </w:rPr>
              <w:t xml:space="preserve">  </w:t>
            </w:r>
            <w:r>
              <w:rPr>
                <w:rFonts w:hint="eastAsia" w:eastAsia="宋体"/>
                <w:sz w:val="24"/>
                <w:szCs w:val="24"/>
                <w:lang w:val="en-US" w:eastAsia="zh-CN"/>
              </w:rPr>
              <w:t>郁</w:t>
            </w:r>
          </w:p>
        </w:tc>
        <w:tc>
          <w:tcPr>
            <w:tcW w:w="892"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sz w:val="24"/>
                <w:szCs w:val="24"/>
                <w:lang w:val="en-US" w:eastAsia="zh-CN"/>
              </w:rPr>
              <w:t>女</w:t>
            </w:r>
          </w:p>
        </w:tc>
        <w:tc>
          <w:tcPr>
            <w:tcW w:w="1703"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农艺师</w:t>
            </w:r>
          </w:p>
        </w:tc>
        <w:tc>
          <w:tcPr>
            <w:tcW w:w="3442"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sz w:val="24"/>
                <w:szCs w:val="24"/>
                <w:lang w:val="en-US" w:eastAsia="zh-CN"/>
              </w:rPr>
              <w:t>山西省农产品质量安全中心</w:t>
            </w:r>
          </w:p>
        </w:tc>
        <w:tc>
          <w:tcPr>
            <w:tcW w:w="2537"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负责政策性文件、科研项目材料汇总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00"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任爱霞</w:t>
            </w:r>
          </w:p>
        </w:tc>
        <w:tc>
          <w:tcPr>
            <w:tcW w:w="892"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女</w:t>
            </w:r>
          </w:p>
        </w:tc>
        <w:tc>
          <w:tcPr>
            <w:tcW w:w="1703"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副教授</w:t>
            </w:r>
          </w:p>
        </w:tc>
        <w:tc>
          <w:tcPr>
            <w:tcW w:w="3442"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山西农业大学农学院</w:t>
            </w:r>
          </w:p>
        </w:tc>
        <w:tc>
          <w:tcPr>
            <w:tcW w:w="2537"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eastAsia="宋体"/>
                <w:sz w:val="24"/>
                <w:szCs w:val="24"/>
                <w:lang w:val="en-US" w:eastAsia="zh-CN"/>
              </w:rPr>
            </w:pPr>
            <w:r>
              <w:rPr>
                <w:rFonts w:hint="eastAsia" w:eastAsia="宋体"/>
                <w:sz w:val="24"/>
                <w:szCs w:val="24"/>
                <w:lang w:val="en-US" w:eastAsia="zh-CN"/>
              </w:rPr>
              <w:t>负责政策性文件、科研项目材料汇总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00"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林  文</w:t>
            </w:r>
          </w:p>
        </w:tc>
        <w:tc>
          <w:tcPr>
            <w:tcW w:w="892"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男</w:t>
            </w:r>
          </w:p>
        </w:tc>
        <w:tc>
          <w:tcPr>
            <w:tcW w:w="1703"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副教授</w:t>
            </w:r>
          </w:p>
        </w:tc>
        <w:tc>
          <w:tcPr>
            <w:tcW w:w="3442"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山西农业大学农学院</w:t>
            </w:r>
          </w:p>
        </w:tc>
        <w:tc>
          <w:tcPr>
            <w:tcW w:w="2537"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负责标准文本编写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000"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齐永红</w:t>
            </w:r>
          </w:p>
        </w:tc>
        <w:tc>
          <w:tcPr>
            <w:tcW w:w="892"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女</w:t>
            </w:r>
          </w:p>
        </w:tc>
        <w:tc>
          <w:tcPr>
            <w:tcW w:w="1703"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正高级农艺师</w:t>
            </w:r>
          </w:p>
        </w:tc>
        <w:tc>
          <w:tcPr>
            <w:tcW w:w="3442"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山西省农业技术推广服务中心</w:t>
            </w:r>
          </w:p>
        </w:tc>
        <w:tc>
          <w:tcPr>
            <w:tcW w:w="2537"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负责标准文本编写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000"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王月超</w:t>
            </w:r>
          </w:p>
        </w:tc>
        <w:tc>
          <w:tcPr>
            <w:tcW w:w="892"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男</w:t>
            </w:r>
          </w:p>
        </w:tc>
        <w:tc>
          <w:tcPr>
            <w:tcW w:w="1703"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讲师</w:t>
            </w:r>
          </w:p>
        </w:tc>
        <w:tc>
          <w:tcPr>
            <w:tcW w:w="3442"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山西农业大学农学院</w:t>
            </w:r>
          </w:p>
        </w:tc>
        <w:tc>
          <w:tcPr>
            <w:tcW w:w="2537"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负责标准文本编写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000"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徐隽铭</w:t>
            </w:r>
          </w:p>
        </w:tc>
        <w:tc>
          <w:tcPr>
            <w:tcW w:w="892"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男</w:t>
            </w:r>
          </w:p>
        </w:tc>
        <w:tc>
          <w:tcPr>
            <w:tcW w:w="1703" w:type="dxa"/>
            <w:noWrap w:val="0"/>
            <w:vAlign w:val="center"/>
          </w:tcPr>
          <w:p>
            <w:pPr>
              <w:spacing w:line="360" w:lineRule="auto"/>
              <w:jc w:val="center"/>
              <w:rPr>
                <w:rFonts w:hint="default" w:eastAsia="宋体"/>
                <w:sz w:val="24"/>
                <w:szCs w:val="24"/>
                <w:lang w:val="en-US" w:eastAsia="zh-CN"/>
              </w:rPr>
            </w:pPr>
            <w:r>
              <w:rPr>
                <w:rFonts w:hint="eastAsia"/>
                <w:sz w:val="24"/>
                <w:szCs w:val="24"/>
                <w:lang w:val="en-US" w:eastAsia="zh-CN"/>
              </w:rPr>
              <w:t>高级农艺师</w:t>
            </w:r>
          </w:p>
        </w:tc>
        <w:tc>
          <w:tcPr>
            <w:tcW w:w="3442"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eastAsia="宋体"/>
                <w:sz w:val="24"/>
                <w:szCs w:val="24"/>
                <w:lang w:val="en-US" w:eastAsia="zh-CN"/>
              </w:rPr>
            </w:pPr>
            <w:r>
              <w:rPr>
                <w:rFonts w:hint="eastAsia" w:eastAsia="宋体"/>
                <w:sz w:val="24"/>
                <w:szCs w:val="24"/>
                <w:lang w:val="en-US" w:eastAsia="zh-CN"/>
              </w:rPr>
              <w:t>运城市农业技术推广与园艺产业发展工作站</w:t>
            </w:r>
          </w:p>
        </w:tc>
        <w:tc>
          <w:tcPr>
            <w:tcW w:w="2537"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负责标准文本编写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000" w:type="dxa"/>
            <w:noWrap w:val="0"/>
            <w:vAlign w:val="center"/>
          </w:tcPr>
          <w:p>
            <w:pPr>
              <w:spacing w:line="360" w:lineRule="auto"/>
              <w:jc w:val="center"/>
              <w:rPr>
                <w:rFonts w:hint="eastAsia" w:eastAsia="宋体"/>
                <w:sz w:val="24"/>
                <w:szCs w:val="24"/>
                <w:lang w:val="en-US" w:eastAsia="zh-CN"/>
              </w:rPr>
            </w:pPr>
            <w:r>
              <w:rPr>
                <w:rFonts w:hint="eastAsia"/>
                <w:sz w:val="24"/>
                <w:szCs w:val="24"/>
                <w:lang w:val="en-US" w:eastAsia="zh-CN"/>
              </w:rPr>
              <w:t>李玉琪</w:t>
            </w:r>
          </w:p>
        </w:tc>
        <w:tc>
          <w:tcPr>
            <w:tcW w:w="892"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女</w:t>
            </w:r>
          </w:p>
        </w:tc>
        <w:tc>
          <w:tcPr>
            <w:tcW w:w="1703"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助理农艺师</w:t>
            </w:r>
          </w:p>
        </w:tc>
        <w:tc>
          <w:tcPr>
            <w:tcW w:w="3442"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山西省农业技术推广服务中心</w:t>
            </w:r>
          </w:p>
        </w:tc>
        <w:tc>
          <w:tcPr>
            <w:tcW w:w="2537"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负责标准文本编写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000"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巩宇芬</w:t>
            </w:r>
          </w:p>
        </w:tc>
        <w:tc>
          <w:tcPr>
            <w:tcW w:w="892"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女</w:t>
            </w:r>
          </w:p>
        </w:tc>
        <w:tc>
          <w:tcPr>
            <w:tcW w:w="1703"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高级农艺师</w:t>
            </w:r>
          </w:p>
        </w:tc>
        <w:tc>
          <w:tcPr>
            <w:tcW w:w="3442"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山西省农业技术推广服务中心</w:t>
            </w:r>
          </w:p>
        </w:tc>
        <w:tc>
          <w:tcPr>
            <w:tcW w:w="2537"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负责标准通稿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000"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刘丽青</w:t>
            </w:r>
          </w:p>
        </w:tc>
        <w:tc>
          <w:tcPr>
            <w:tcW w:w="892"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女</w:t>
            </w:r>
          </w:p>
        </w:tc>
        <w:tc>
          <w:tcPr>
            <w:tcW w:w="1703"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高级农艺师</w:t>
            </w:r>
          </w:p>
        </w:tc>
        <w:tc>
          <w:tcPr>
            <w:tcW w:w="3442"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山西省农业技术推广服务中心</w:t>
            </w:r>
          </w:p>
        </w:tc>
        <w:tc>
          <w:tcPr>
            <w:tcW w:w="2537"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负责标准通稿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000" w:type="dxa"/>
            <w:noWrap w:val="0"/>
            <w:vAlign w:val="center"/>
          </w:tcPr>
          <w:p>
            <w:pPr>
              <w:pStyle w:val="8"/>
              <w:keepNext w:val="0"/>
              <w:keepLines w:val="0"/>
              <w:widowControl/>
              <w:suppressLineNumbers w:val="0"/>
              <w:shd w:val="clear" w:fill="FFFFFF"/>
              <w:wordWrap/>
              <w:spacing w:before="0" w:beforeAutospacing="0" w:after="0" w:afterAutospacing="0"/>
              <w:ind w:left="0" w:right="0" w:firstLine="0"/>
              <w:jc w:val="left"/>
              <w:rPr>
                <w:rFonts w:hint="eastAsia" w:eastAsia="宋体"/>
                <w:sz w:val="24"/>
                <w:szCs w:val="24"/>
                <w:lang w:val="en-US" w:eastAsia="zh-CN"/>
              </w:rPr>
            </w:pPr>
            <w:r>
              <w:rPr>
                <w:b w:val="0"/>
                <w:i w:val="0"/>
                <w:caps w:val="0"/>
                <w:color w:val="000000"/>
                <w:spacing w:val="0"/>
                <w:sz w:val="21"/>
                <w:szCs w:val="21"/>
                <w:shd w:val="clear" w:fill="FFFFFF"/>
              </w:rPr>
              <w:t>芦</w:t>
            </w:r>
            <w:r>
              <w:rPr>
                <w:rFonts w:hint="eastAsia"/>
                <w:sz w:val="24"/>
                <w:szCs w:val="24"/>
                <w:lang w:val="en-US" w:eastAsia="zh-CN"/>
              </w:rPr>
              <w:t xml:space="preserve">  明</w:t>
            </w:r>
          </w:p>
        </w:tc>
        <w:tc>
          <w:tcPr>
            <w:tcW w:w="892" w:type="dxa"/>
            <w:noWrap w:val="0"/>
            <w:vAlign w:val="center"/>
          </w:tcPr>
          <w:p>
            <w:pPr>
              <w:spacing w:line="360" w:lineRule="auto"/>
              <w:jc w:val="center"/>
              <w:rPr>
                <w:rFonts w:hint="eastAsia" w:eastAsia="宋体"/>
                <w:sz w:val="24"/>
                <w:szCs w:val="24"/>
                <w:lang w:val="en-US" w:eastAsia="zh-CN"/>
              </w:rPr>
            </w:pPr>
            <w:r>
              <w:rPr>
                <w:rFonts w:hint="eastAsia"/>
                <w:sz w:val="24"/>
                <w:szCs w:val="24"/>
                <w:lang w:val="en-US" w:eastAsia="zh-CN"/>
              </w:rPr>
              <w:t>男</w:t>
            </w:r>
          </w:p>
        </w:tc>
        <w:tc>
          <w:tcPr>
            <w:tcW w:w="1703"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高级农艺师</w:t>
            </w:r>
          </w:p>
        </w:tc>
        <w:tc>
          <w:tcPr>
            <w:tcW w:w="3442"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临汾市现代农业发展中心</w:t>
            </w:r>
          </w:p>
        </w:tc>
        <w:tc>
          <w:tcPr>
            <w:tcW w:w="2537"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负责标准通稿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000"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王小泰</w:t>
            </w:r>
          </w:p>
        </w:tc>
        <w:tc>
          <w:tcPr>
            <w:tcW w:w="892"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男</w:t>
            </w:r>
          </w:p>
        </w:tc>
        <w:tc>
          <w:tcPr>
            <w:tcW w:w="1703"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推广研究员</w:t>
            </w:r>
          </w:p>
        </w:tc>
        <w:tc>
          <w:tcPr>
            <w:tcW w:w="3442"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洪洞县现代农业发展中心</w:t>
            </w:r>
          </w:p>
        </w:tc>
        <w:tc>
          <w:tcPr>
            <w:tcW w:w="2537"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eastAsia="宋体"/>
                <w:sz w:val="24"/>
                <w:szCs w:val="24"/>
                <w:lang w:val="en-US" w:eastAsia="zh-CN"/>
              </w:rPr>
            </w:pPr>
            <w:r>
              <w:rPr>
                <w:rFonts w:hint="eastAsia" w:eastAsia="宋体"/>
                <w:sz w:val="24"/>
                <w:szCs w:val="24"/>
                <w:lang w:val="en-US" w:eastAsia="zh-CN"/>
              </w:rPr>
              <w:t>负责标准通稿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00"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樊晋源</w:t>
            </w:r>
          </w:p>
        </w:tc>
        <w:tc>
          <w:tcPr>
            <w:tcW w:w="892" w:type="dxa"/>
            <w:noWrap w:val="0"/>
            <w:vAlign w:val="center"/>
          </w:tcPr>
          <w:p>
            <w:pPr>
              <w:spacing w:line="360" w:lineRule="auto"/>
              <w:jc w:val="center"/>
              <w:rPr>
                <w:rFonts w:hint="eastAsia" w:eastAsia="宋体"/>
                <w:sz w:val="24"/>
                <w:szCs w:val="24"/>
                <w:lang w:val="en-US" w:eastAsia="zh-CN"/>
              </w:rPr>
            </w:pPr>
            <w:r>
              <w:rPr>
                <w:rFonts w:hint="eastAsia"/>
                <w:sz w:val="24"/>
                <w:szCs w:val="24"/>
                <w:lang w:val="en-US" w:eastAsia="zh-CN"/>
              </w:rPr>
              <w:t>男</w:t>
            </w:r>
          </w:p>
        </w:tc>
        <w:tc>
          <w:tcPr>
            <w:tcW w:w="1703"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助理农艺师</w:t>
            </w:r>
          </w:p>
        </w:tc>
        <w:tc>
          <w:tcPr>
            <w:tcW w:w="3442"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山西省农业技术推广服务中心</w:t>
            </w:r>
          </w:p>
        </w:tc>
        <w:tc>
          <w:tcPr>
            <w:tcW w:w="2537"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负责标准通稿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1000"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杨  洋</w:t>
            </w:r>
          </w:p>
        </w:tc>
        <w:tc>
          <w:tcPr>
            <w:tcW w:w="892"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男</w:t>
            </w:r>
          </w:p>
        </w:tc>
        <w:tc>
          <w:tcPr>
            <w:tcW w:w="1703"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助理农艺师</w:t>
            </w:r>
          </w:p>
        </w:tc>
        <w:tc>
          <w:tcPr>
            <w:tcW w:w="3442"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山西省农业技术推广服务中心</w:t>
            </w:r>
          </w:p>
        </w:tc>
        <w:tc>
          <w:tcPr>
            <w:tcW w:w="2537" w:type="dxa"/>
            <w:noWrap w:val="0"/>
            <w:vAlign w:val="center"/>
          </w:tcPr>
          <w:p>
            <w:pPr>
              <w:spacing w:line="360" w:lineRule="auto"/>
              <w:jc w:val="both"/>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负责意见征求与汇总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1000" w:type="dxa"/>
            <w:noWrap w:val="0"/>
            <w:vAlign w:val="center"/>
          </w:tcPr>
          <w:p>
            <w:pPr>
              <w:spacing w:line="360" w:lineRule="auto"/>
              <w:jc w:val="center"/>
              <w:rPr>
                <w:rFonts w:hint="eastAsia" w:eastAsia="宋体"/>
                <w:sz w:val="24"/>
                <w:szCs w:val="24"/>
                <w:lang w:val="en-US" w:eastAsia="zh-CN"/>
              </w:rPr>
            </w:pPr>
            <w:r>
              <w:rPr>
                <w:rFonts w:hint="eastAsia"/>
                <w:sz w:val="24"/>
                <w:szCs w:val="24"/>
                <w:lang w:val="en-US" w:eastAsia="zh-CN"/>
              </w:rPr>
              <w:t>鲁栋梁</w:t>
            </w:r>
          </w:p>
        </w:tc>
        <w:tc>
          <w:tcPr>
            <w:tcW w:w="892"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男</w:t>
            </w:r>
          </w:p>
        </w:tc>
        <w:tc>
          <w:tcPr>
            <w:tcW w:w="1703"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农艺师</w:t>
            </w:r>
          </w:p>
        </w:tc>
        <w:tc>
          <w:tcPr>
            <w:tcW w:w="3442"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山西省农业技术推广服务中心</w:t>
            </w:r>
          </w:p>
        </w:tc>
        <w:tc>
          <w:tcPr>
            <w:tcW w:w="2537"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负责意见征求与汇总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1000"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谢</w:t>
            </w:r>
            <w:r>
              <w:rPr>
                <w:rFonts w:hint="eastAsia"/>
                <w:sz w:val="24"/>
                <w:szCs w:val="24"/>
                <w:lang w:val="en-US" w:eastAsia="zh-CN"/>
              </w:rPr>
              <w:t xml:space="preserve">  </w:t>
            </w:r>
            <w:r>
              <w:rPr>
                <w:rFonts w:hint="eastAsia" w:eastAsia="宋体"/>
                <w:sz w:val="24"/>
                <w:szCs w:val="24"/>
                <w:lang w:val="en-US" w:eastAsia="zh-CN"/>
              </w:rPr>
              <w:t>莹</w:t>
            </w:r>
          </w:p>
        </w:tc>
        <w:tc>
          <w:tcPr>
            <w:tcW w:w="892" w:type="dxa"/>
            <w:noWrap w:val="0"/>
            <w:vAlign w:val="center"/>
          </w:tcPr>
          <w:p>
            <w:pPr>
              <w:spacing w:line="360" w:lineRule="auto"/>
              <w:jc w:val="center"/>
              <w:rPr>
                <w:rFonts w:hint="eastAsia" w:eastAsia="宋体"/>
                <w:sz w:val="24"/>
                <w:szCs w:val="24"/>
                <w:lang w:val="en-US" w:eastAsia="zh-CN"/>
              </w:rPr>
            </w:pPr>
            <w:r>
              <w:rPr>
                <w:rFonts w:hint="eastAsia"/>
                <w:sz w:val="24"/>
                <w:szCs w:val="24"/>
                <w:lang w:val="en-US" w:eastAsia="zh-CN"/>
              </w:rPr>
              <w:t>女</w:t>
            </w:r>
          </w:p>
        </w:tc>
        <w:tc>
          <w:tcPr>
            <w:tcW w:w="1703"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助理农艺师</w:t>
            </w:r>
          </w:p>
        </w:tc>
        <w:tc>
          <w:tcPr>
            <w:tcW w:w="3442" w:type="dxa"/>
            <w:noWrap w:val="0"/>
            <w:vAlign w:val="center"/>
          </w:tcPr>
          <w:p>
            <w:pPr>
              <w:spacing w:line="360" w:lineRule="auto"/>
              <w:jc w:val="center"/>
              <w:rPr>
                <w:rFonts w:hint="eastAsia" w:eastAsia="宋体"/>
                <w:sz w:val="24"/>
                <w:szCs w:val="24"/>
                <w:lang w:val="en-US" w:eastAsia="zh-CN"/>
              </w:rPr>
            </w:pPr>
            <w:r>
              <w:rPr>
                <w:rFonts w:hint="eastAsia"/>
                <w:sz w:val="24"/>
                <w:szCs w:val="24"/>
                <w:lang w:val="en-US" w:eastAsia="zh-CN"/>
              </w:rPr>
              <w:t>神农科技集团有限公司</w:t>
            </w:r>
          </w:p>
        </w:tc>
        <w:tc>
          <w:tcPr>
            <w:tcW w:w="2537"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负责意见征求与汇总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1000"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曹  淼</w:t>
            </w:r>
          </w:p>
        </w:tc>
        <w:tc>
          <w:tcPr>
            <w:tcW w:w="892"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女</w:t>
            </w:r>
          </w:p>
        </w:tc>
        <w:tc>
          <w:tcPr>
            <w:tcW w:w="1703"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农艺师</w:t>
            </w:r>
          </w:p>
        </w:tc>
        <w:tc>
          <w:tcPr>
            <w:tcW w:w="3442"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太原市农业技术推广服务中心</w:t>
            </w:r>
          </w:p>
        </w:tc>
        <w:tc>
          <w:tcPr>
            <w:tcW w:w="2537" w:type="dxa"/>
            <w:noWrap w:val="0"/>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eastAsia="宋体"/>
                <w:sz w:val="24"/>
                <w:szCs w:val="24"/>
                <w:lang w:val="en-US" w:eastAsia="zh-CN"/>
              </w:rPr>
              <w:t>负责意见征求与汇总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1000"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张东平</w:t>
            </w:r>
          </w:p>
        </w:tc>
        <w:tc>
          <w:tcPr>
            <w:tcW w:w="892" w:type="dxa"/>
            <w:noWrap w:val="0"/>
            <w:vAlign w:val="center"/>
          </w:tcPr>
          <w:p>
            <w:pPr>
              <w:spacing w:line="360" w:lineRule="auto"/>
              <w:jc w:val="center"/>
              <w:rPr>
                <w:rFonts w:hint="default" w:eastAsia="宋体"/>
                <w:sz w:val="24"/>
                <w:szCs w:val="24"/>
                <w:lang w:val="en" w:eastAsia="zh-CN"/>
              </w:rPr>
            </w:pPr>
            <w:r>
              <w:rPr>
                <w:rFonts w:hint="eastAsia" w:eastAsia="宋体"/>
                <w:sz w:val="24"/>
                <w:szCs w:val="24"/>
                <w:lang w:val="en" w:eastAsia="zh-CN"/>
              </w:rPr>
              <w:t>女</w:t>
            </w:r>
          </w:p>
        </w:tc>
        <w:tc>
          <w:tcPr>
            <w:tcW w:w="1703"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农艺师</w:t>
            </w:r>
          </w:p>
        </w:tc>
        <w:tc>
          <w:tcPr>
            <w:tcW w:w="3442"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晋城市现代农业发展中心</w:t>
            </w:r>
          </w:p>
        </w:tc>
        <w:tc>
          <w:tcPr>
            <w:tcW w:w="2537" w:type="dxa"/>
            <w:noWrap w:val="0"/>
            <w:vAlign w:val="center"/>
          </w:tcPr>
          <w:p>
            <w:pPr>
              <w:spacing w:line="360" w:lineRule="auto"/>
              <w:jc w:val="center"/>
              <w:rPr>
                <w:rFonts w:hint="eastAsia" w:eastAsia="宋体"/>
                <w:sz w:val="24"/>
                <w:szCs w:val="24"/>
                <w:lang w:val="en-US" w:eastAsia="zh-CN"/>
              </w:rPr>
            </w:pPr>
            <w:r>
              <w:rPr>
                <w:rFonts w:hint="eastAsia" w:eastAsia="宋体"/>
                <w:sz w:val="24"/>
                <w:szCs w:val="24"/>
                <w:lang w:val="en-US" w:eastAsia="zh-CN"/>
              </w:rPr>
              <w:t>负责意见征求与汇总</w:t>
            </w:r>
          </w:p>
        </w:tc>
      </w:tr>
    </w:tbl>
    <w:p>
      <w:pPr>
        <w:spacing w:line="600" w:lineRule="exact"/>
        <w:ind w:right="17" w:firstLine="642" w:firstLineChars="200"/>
        <w:rPr>
          <w:rFonts w:hint="eastAsia"/>
          <w:lang w:val="en-US" w:eastAsia="zh-CN"/>
        </w:rPr>
      </w:pPr>
      <w:r>
        <w:rPr>
          <w:rFonts w:hint="eastAsia" w:ascii="宋体" w:hAnsi="宋体" w:cs="宋体"/>
          <w:b/>
          <w:sz w:val="32"/>
          <w:szCs w:val="32"/>
          <w:lang w:eastAsia="zh-CN"/>
        </w:rPr>
        <w:t>二</w:t>
      </w:r>
      <w:r>
        <w:rPr>
          <w:rFonts w:hint="eastAsia" w:ascii="宋体" w:hAnsi="宋体" w:cs="宋体"/>
          <w:b/>
          <w:sz w:val="32"/>
          <w:szCs w:val="32"/>
        </w:rPr>
        <w:t>、</w:t>
      </w:r>
      <w:r>
        <w:rPr>
          <w:rFonts w:hint="eastAsia" w:ascii="宋体" w:hAnsi="宋体" w:cs="宋体"/>
          <w:b/>
          <w:sz w:val="32"/>
          <w:szCs w:val="32"/>
          <w:lang w:eastAsia="zh-CN"/>
        </w:rPr>
        <w:t>制定标准的必要性和意义</w:t>
      </w:r>
    </w:p>
    <w:p>
      <w:pPr>
        <w:spacing w:line="360" w:lineRule="auto"/>
        <w:ind w:firstLine="640" w:firstLineChars="200"/>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民以食为天,粮为邦之本。提升粮食安全保障能力是应对各种风险挑战的基础性工作，更是稳定经济社会安全稳定发展的头等大事。小麦作为我国重要的口粮作物，在粮食安全和社会经济发展中具有重要战略地位。山西省小麦生产受生育期与雨季不同步,旱地秋季干旱、秋冬或秋冬春连旱频发,土壤瘠薄,耕层变浅.保水保肥力差,机械化水平较低,生产成本高、播种时间紧、机械分次作业繁琐等突出间题的长期影响,小麦播种质量普遍不高,单产水平在全国小麦主产省份中排名靠后。小麦宽幅沟播技术是利用小麦宽鳍沟播复式专用播种机械，一次性完成灭茬、深松、施肥、播种、镇压等5项作业,从而改变小麦种子空间分布排列方式,显著提高播种质量、优化改善群体结构、实现苗齐苗匀苗壮的小麦播种新技术。与传统小麦机械条播技术相比，实现了“三改”：即改深翻为深松,打破犁底层,收纳雨水,蓄水保墒；深耕深松肥料深施；改全旋为带状旋耕,开沟播种,造种床旋耕带,秸秆覆垄,垄带免耕；改线条苗带为宽幅苗带,优化小麦种子空间分布,优化群体结构。</w:t>
      </w:r>
    </w:p>
    <w:p>
      <w:pPr>
        <w:spacing w:line="360" w:lineRule="auto"/>
        <w:ind w:firstLine="640" w:firstLineChars="200"/>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宽幅沟播技术就是一项增产效果十分显著的栽培技术，该项技术在我省推广应用已有近三年。但由于无标准可循，部分宽幅沟播田因为开沟深度不宜、播种过深、行距过大、亩穗数不足等诸多技术问题，导致宽幅沟播效果不好甚至减产，在一定程度上影响了麦农应用宽幅沟播的积极性。因此，制定小麦宽幅沟播技术规程，实行标准化生产，是进一步推广小麦宽幅沟播技术，较大幅度提高小麦生产水平的前提和基础，同时也是有效解决小麦产品质量安全的有效途径。</w:t>
      </w:r>
    </w:p>
    <w:p>
      <w:pPr>
        <w:spacing w:line="360" w:lineRule="auto"/>
        <w:ind w:firstLine="640" w:firstLineChars="200"/>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 xml:space="preserve">为了从根本上解决目前小麦宽幅沟播技术存在的技术问题，提高小麦宽幅沟播的增产增收效果和质量安全水平，制定山西省冬小麦宽幅沟播技术规程势在必行，到目前为止全省还未颁布涉及全省范围内的宽幅沟播技术规程，经过努力，目前我们已完成了《山西省冬小麦宽幅沟播技术规程》初稿的起草编制工作。《山西省冬小麦宽幅沟播技术规程》的制定将填补了我省冬小麦宽幅沟播技术规程的空白，对推动山西冬小麦宽幅沟播的健康快速发展具有重要意义。   </w:t>
      </w:r>
    </w:p>
    <w:p>
      <w:pPr>
        <w:spacing w:line="360" w:lineRule="auto"/>
        <w:ind w:firstLine="640" w:firstLineChars="200"/>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冬小麦宽幅沟播技术是在冬小麦精量、半精量播种技术的基础上，以扩播幅、增行距、促匀播为核心，改传统密集条播、籽粒拥挤一条线为宽幅、分散式的栽培技术。冬小麦宽幅沟播栽培技术较传统条播播种行距增大，通风透光，每行都有“边行效应”；沟内播种使苗期保温防冻、抗倒伏；播种精量，加之农机和农艺相结合，增产增效显著。</w:t>
      </w:r>
    </w:p>
    <w:p>
      <w:pPr>
        <w:spacing w:line="600" w:lineRule="exact"/>
        <w:ind w:right="17" w:firstLine="642" w:firstLineChars="200"/>
        <w:rPr>
          <w:rFonts w:hint="eastAsia"/>
          <w:lang w:val="en-US" w:eastAsia="zh-CN"/>
        </w:rPr>
      </w:pPr>
      <w:r>
        <w:rPr>
          <w:rFonts w:hint="eastAsia" w:ascii="宋体" w:hAnsi="宋体" w:cs="宋体"/>
          <w:b/>
          <w:sz w:val="32"/>
          <w:szCs w:val="32"/>
          <w:lang w:eastAsia="zh-CN"/>
        </w:rPr>
        <w:t>三</w:t>
      </w:r>
      <w:r>
        <w:rPr>
          <w:rFonts w:hint="eastAsia" w:ascii="宋体" w:hAnsi="宋体" w:cs="宋体"/>
          <w:b/>
          <w:sz w:val="32"/>
          <w:szCs w:val="32"/>
        </w:rPr>
        <w:t>、</w:t>
      </w:r>
      <w:r>
        <w:rPr>
          <w:rFonts w:hint="eastAsia" w:ascii="宋体" w:hAnsi="宋体" w:cs="宋体"/>
          <w:b/>
          <w:sz w:val="32"/>
          <w:szCs w:val="32"/>
          <w:lang w:eastAsia="zh-CN"/>
        </w:rPr>
        <w:t>主要起草工作过程</w:t>
      </w:r>
    </w:p>
    <w:p>
      <w:pPr>
        <w:spacing w:line="360" w:lineRule="auto"/>
        <w:ind w:firstLine="640" w:firstLineChars="200"/>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（一）成立标准起草工作组：2023年1月。根据实际情况，成立标准起草工作组，进行了分工落实。由韩柏岳任工作组组长负责总体工作，其他人员负责标准调研、起草、征求意见、意见汇总、修改、送审等工作。</w:t>
      </w:r>
    </w:p>
    <w:p>
      <w:pPr>
        <w:spacing w:line="360" w:lineRule="auto"/>
        <w:ind w:firstLine="640" w:firstLineChars="200"/>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二）开展标准详细调研收集资料：2023年2月-2023年3月。研究并了解国家、行业和各省相关地方标准制定情况，对我省水、旱地冬小麦越冬期、返青期、拔节期等时期苗情进行了充分调研，总结分析了我省开展的冬小麦宽幅沟播等相关试验研究结果。全面了解和掌握情况，确定该标准起草修订的可行性与科学性，并收集相关资料。</w:t>
      </w:r>
    </w:p>
    <w:p>
      <w:pPr>
        <w:spacing w:line="360" w:lineRule="auto"/>
        <w:ind w:firstLine="640" w:firstLineChars="200"/>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（三）标准起草时间：2023年4月-2023年7月。在调研考察和收集资料基础上，由起草执笔制定本标准，并组织有关人员进行讨论，对标准内容和技术指标修订和补充完善。</w:t>
      </w:r>
    </w:p>
    <w:p>
      <w:pPr>
        <w:spacing w:line="360" w:lineRule="auto"/>
        <w:ind w:firstLine="640" w:firstLineChars="200"/>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四）完成标准征求意见和论证：2023年8月-2023年10月。进一步完善草案，形成征求意见稿，并向5家相关科研机构、涉农企业、种植专业合作社，2名相关领域专家发出征求意见表，标准修订组根据反馈回来的修改意见进行论证。</w:t>
      </w:r>
    </w:p>
    <w:p>
      <w:pPr>
        <w:spacing w:line="360" w:lineRule="auto"/>
        <w:ind w:firstLine="640" w:firstLineChars="200"/>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（五）完成标准送审稿：2023年10月-2023年12月。修订工作组根据专家意见认真修改后形成送审稿。</w:t>
      </w:r>
    </w:p>
    <w:p>
      <w:pPr>
        <w:pStyle w:val="13"/>
        <w:spacing w:line="360" w:lineRule="auto"/>
        <w:ind w:firstLine="642" w:firstLineChars="200"/>
        <w:rPr>
          <w:rFonts w:ascii="宋体" w:hAnsi="宋体"/>
          <w:b/>
          <w:sz w:val="32"/>
          <w:szCs w:val="32"/>
        </w:rPr>
      </w:pPr>
      <w:r>
        <w:rPr>
          <w:rFonts w:hint="eastAsia" w:ascii="宋体" w:hAnsi="宋体"/>
          <w:b/>
          <w:sz w:val="32"/>
          <w:szCs w:val="32"/>
          <w:lang w:eastAsia="zh-CN"/>
        </w:rPr>
        <w:t>四</w:t>
      </w:r>
      <w:r>
        <w:rPr>
          <w:rFonts w:hint="eastAsia" w:ascii="宋体" w:hAnsi="宋体"/>
          <w:b/>
          <w:sz w:val="32"/>
          <w:szCs w:val="32"/>
        </w:rPr>
        <w:t>、</w:t>
      </w:r>
      <w:r>
        <w:rPr>
          <w:rFonts w:hint="eastAsia" w:ascii="宋体" w:hAnsi="宋体"/>
          <w:b/>
          <w:sz w:val="32"/>
          <w:szCs w:val="32"/>
          <w:lang w:eastAsia="zh-CN"/>
        </w:rPr>
        <w:t>制定标准的原则和依据，</w:t>
      </w:r>
      <w:r>
        <w:rPr>
          <w:rFonts w:hint="eastAsia" w:ascii="宋体" w:hAnsi="宋体"/>
          <w:b/>
          <w:sz w:val="32"/>
          <w:szCs w:val="32"/>
        </w:rPr>
        <w:t>与现行法律、法规</w:t>
      </w:r>
      <w:r>
        <w:rPr>
          <w:rFonts w:hint="eastAsia" w:ascii="宋体" w:hAnsi="宋体"/>
          <w:b/>
          <w:sz w:val="32"/>
          <w:szCs w:val="32"/>
          <w:lang w:eastAsia="zh-CN"/>
        </w:rPr>
        <w:t>、标准</w:t>
      </w:r>
      <w:r>
        <w:rPr>
          <w:rFonts w:hint="eastAsia" w:ascii="宋体" w:hAnsi="宋体"/>
          <w:b/>
          <w:sz w:val="32"/>
          <w:szCs w:val="32"/>
        </w:rPr>
        <w:t>的关系</w:t>
      </w:r>
    </w:p>
    <w:p>
      <w:pPr>
        <w:spacing w:line="600" w:lineRule="exact"/>
        <w:ind w:firstLine="472" w:firstLineChars="147"/>
        <w:rPr>
          <w:rFonts w:ascii="楷体_GB2312" w:hAnsi="宋体" w:eastAsia="楷体_GB2312"/>
          <w:b/>
          <w:sz w:val="32"/>
          <w:szCs w:val="32"/>
        </w:rPr>
      </w:pPr>
      <w:r>
        <w:rPr>
          <w:rFonts w:hint="eastAsia" w:ascii="楷体_GB2312" w:hAnsi="宋体" w:eastAsia="楷体_GB2312"/>
          <w:b/>
          <w:sz w:val="32"/>
          <w:szCs w:val="32"/>
        </w:rPr>
        <w:t>（一）</w:t>
      </w:r>
      <w:r>
        <w:rPr>
          <w:rFonts w:hint="eastAsia" w:ascii="楷体_GB2312" w:hAnsi="宋体" w:eastAsia="楷体_GB2312"/>
          <w:b/>
          <w:sz w:val="32"/>
          <w:szCs w:val="32"/>
          <w:lang w:eastAsia="zh-CN"/>
        </w:rPr>
        <w:t>制定标准的</w:t>
      </w:r>
      <w:r>
        <w:rPr>
          <w:rFonts w:hint="eastAsia" w:ascii="楷体_GB2312" w:hAnsi="宋体" w:eastAsia="楷体_GB2312"/>
          <w:b/>
          <w:sz w:val="32"/>
          <w:szCs w:val="32"/>
        </w:rPr>
        <w:t>原则</w:t>
      </w:r>
    </w:p>
    <w:p>
      <w:pPr>
        <w:ind w:firstLine="640" w:firstLineChars="200"/>
        <w:jc w:val="left"/>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1、科学性原则</w:t>
      </w:r>
    </w:p>
    <w:p>
      <w:pPr>
        <w:spacing w:line="360" w:lineRule="auto"/>
        <w:ind w:firstLine="640" w:firstLineChars="200"/>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本标准是在试验示范的基础上，还搜集整理了大量的技术资料，并参照国家、地方有关标准，经过充分研讨后，形成了本标准相关内容。本标准文件中使用的各项参数指标均来自于试验数据或长期生产实践积累。</w:t>
      </w:r>
    </w:p>
    <w:p>
      <w:pPr>
        <w:ind w:firstLine="640"/>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2、适用性原则</w:t>
      </w: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本标准条款来自生产实践调查研究、相关试验结论，并经过多年田间验证、技术人员实践应用和反复修正，文本表述简洁规范，操作性强，适用于农业技术人员、种植专业合作社技术人员、种粮大户和普通麦农等生产应用。本标准所涉及的修订内容是在向行业领域内专家广泛征求意见基础上，通过协调各方意见形成的，因此适应性更广。</w:t>
      </w:r>
    </w:p>
    <w:p>
      <w:pPr>
        <w:numPr>
          <w:ilvl w:val="0"/>
          <w:numId w:val="2"/>
        </w:numPr>
        <w:ind w:left="640" w:leftChars="0" w:firstLine="0" w:firstLineChars="0"/>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规范性原则</w:t>
      </w:r>
    </w:p>
    <w:p>
      <w:pPr>
        <w:spacing w:line="360" w:lineRule="auto"/>
        <w:ind w:firstLine="640" w:firstLineChars="200"/>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本标准制定修订、及相关条款和技术内容与《中华人民共和国农业法》《中华人民共和国农业技术推广法》等现行法律、法规及标准等协调一致，严格按照GB/T 1.1-2020 标准化工作导则 第1部分：标准化文件的结构和起草规则的要求进行编写，符合地方标准制修订原则和山西省地方标准管理办法，适应当前农业高质量发展，可以提高冬小麦的单产。</w:t>
      </w:r>
    </w:p>
    <w:p>
      <w:pPr>
        <w:numPr>
          <w:numId w:val="0"/>
        </w:numPr>
        <w:ind w:firstLine="642" w:firstLineChars="200"/>
        <w:jc w:val="left"/>
        <w:rPr>
          <w:rFonts w:hint="eastAsia" w:ascii="宋体" w:hAnsi="宋体"/>
          <w:b/>
          <w:sz w:val="32"/>
          <w:szCs w:val="32"/>
        </w:rPr>
      </w:pPr>
      <w:r>
        <w:rPr>
          <w:rFonts w:hint="eastAsia" w:ascii="楷体_GB2312" w:hAnsi="宋体" w:eastAsia="楷体_GB2312"/>
          <w:b/>
          <w:sz w:val="32"/>
          <w:szCs w:val="32"/>
        </w:rPr>
        <w:t>（</w:t>
      </w:r>
      <w:r>
        <w:rPr>
          <w:rFonts w:hint="eastAsia" w:ascii="楷体_GB2312" w:hAnsi="宋体" w:eastAsia="楷体_GB2312"/>
          <w:b/>
          <w:sz w:val="32"/>
          <w:szCs w:val="32"/>
          <w:lang w:eastAsia="zh-CN"/>
        </w:rPr>
        <w:t>二</w:t>
      </w:r>
      <w:r>
        <w:rPr>
          <w:rFonts w:hint="eastAsia" w:ascii="楷体_GB2312" w:hAnsi="宋体" w:eastAsia="楷体_GB2312"/>
          <w:b/>
          <w:sz w:val="32"/>
          <w:szCs w:val="32"/>
        </w:rPr>
        <w:t>）</w:t>
      </w:r>
      <w:r>
        <w:rPr>
          <w:rFonts w:hint="eastAsia" w:ascii="楷体_GB2312" w:hAnsi="宋体" w:eastAsia="楷体_GB2312"/>
          <w:b/>
          <w:sz w:val="32"/>
          <w:szCs w:val="32"/>
          <w:lang w:eastAsia="zh-CN"/>
        </w:rPr>
        <w:t>制定标准的依据</w:t>
      </w:r>
    </w:p>
    <w:p>
      <w:pPr>
        <w:ind w:firstLine="640" w:firstLineChars="200"/>
        <w:jc w:val="left"/>
        <w:rPr>
          <w:rFonts w:hint="eastAsia" w:asciiTheme="minorEastAsia" w:hAnsiTheme="minorEastAsia" w:eastAsiaTheme="minorEastAsia" w:cstheme="minorEastAsia"/>
          <w:color w:val="000000"/>
          <w:sz w:val="32"/>
          <w:szCs w:val="32"/>
          <w:lang w:val="en-US" w:eastAsia="zh-CN"/>
        </w:rPr>
      </w:pPr>
      <w:r>
        <w:rPr>
          <w:rFonts w:hint="eastAsia" w:asciiTheme="minorEastAsia" w:hAnsiTheme="minorEastAsia" w:eastAsiaTheme="minorEastAsia" w:cstheme="minorEastAsia"/>
          <w:color w:val="000000"/>
          <w:sz w:val="32"/>
          <w:szCs w:val="32"/>
          <w:lang w:val="en-US" w:eastAsia="zh-CN"/>
        </w:rPr>
        <w:t>近几年来，我省在运城市和临汾市建立了冬小麦宽幅沟播种植区。为了规范冬小麦宽幅沟播的生产技术，确保增产增效，促进冬小麦宽幅沟播技术在全省的推广，山西省农业技术推广服务中心、洪洞县现代农业发展中心和山西硒康乐商贸有限公司等单位结合多年实验验证的基础，总结了冬小麦宽幅沟播生产质量控制经验，吸收了冬小麦宽幅沟播的最新研究成果，对冬小麦宽幅沟播的种植管理、施肥的控制、水分的利用、病虫草害防控等技术要求加以规范，技术水平居国内领先，具有较强的实用性和可操作性。通过种植区的试验，明确了冬小麦宽幅沟播的主要技术方法和路径，形成了一套符合山西实际的冬小麦宽幅沟播种植技术规程。</w:t>
      </w:r>
    </w:p>
    <w:p>
      <w:pPr>
        <w:ind w:firstLine="640" w:firstLineChars="200"/>
        <w:jc w:val="left"/>
        <w:rPr>
          <w:rFonts w:hint="eastAsia" w:asciiTheme="minorEastAsia" w:hAnsiTheme="minorEastAsia" w:eastAsiaTheme="minorEastAsia" w:cstheme="minorEastAsia"/>
          <w:color w:val="000000"/>
          <w:sz w:val="32"/>
          <w:szCs w:val="32"/>
          <w:lang w:val="en-US" w:eastAsia="zh-CN"/>
        </w:rPr>
      </w:pPr>
      <w:r>
        <w:rPr>
          <w:rFonts w:hint="eastAsia" w:asciiTheme="minorEastAsia" w:hAnsiTheme="minorEastAsia" w:eastAsiaTheme="minorEastAsia" w:cstheme="minorEastAsia"/>
          <w:color w:val="000000"/>
          <w:sz w:val="32"/>
          <w:szCs w:val="32"/>
          <w:lang w:val="en-US" w:eastAsia="zh-CN"/>
        </w:rPr>
        <w:t>目前，全国标准信息公共服务平台、地方标准信息服务平台与冬小麦宽幅播种技术有关的标准有</w:t>
      </w:r>
      <w:r>
        <w:rPr>
          <w:rFonts w:hint="default" w:asciiTheme="minorEastAsia" w:hAnsiTheme="minorEastAsia" w:eastAsiaTheme="minorEastAsia" w:cstheme="minorEastAsia"/>
          <w:color w:val="000000"/>
          <w:sz w:val="32"/>
          <w:szCs w:val="32"/>
          <w:lang w:val="en-US" w:eastAsia="zh-CN"/>
        </w:rPr>
        <w:fldChar w:fldCharType="begin"/>
      </w:r>
      <w:r>
        <w:rPr>
          <w:rFonts w:hint="default" w:asciiTheme="minorEastAsia" w:hAnsiTheme="minorEastAsia" w:eastAsiaTheme="minorEastAsia" w:cstheme="minorEastAsia"/>
          <w:color w:val="000000"/>
          <w:sz w:val="32"/>
          <w:szCs w:val="32"/>
          <w:lang w:val="en-US" w:eastAsia="zh-CN"/>
        </w:rPr>
        <w:instrText xml:space="preserve"> HYPERLINK "http://std.samr.gov.cn/db/search/stdDBDetailed?id=D896F4AB3F806D23E05397BE0A0A2ABA" \t "http://std.samr.gov.cn/search/_blank" </w:instrText>
      </w:r>
      <w:r>
        <w:rPr>
          <w:rFonts w:hint="default" w:asciiTheme="minorEastAsia" w:hAnsiTheme="minorEastAsia" w:eastAsiaTheme="minorEastAsia" w:cstheme="minorEastAsia"/>
          <w:color w:val="000000"/>
          <w:sz w:val="32"/>
          <w:szCs w:val="32"/>
          <w:lang w:val="en-US" w:eastAsia="zh-CN"/>
        </w:rPr>
        <w:fldChar w:fldCharType="separate"/>
      </w:r>
      <w:r>
        <w:rPr>
          <w:rFonts w:hint="eastAsia" w:asciiTheme="minorEastAsia" w:hAnsiTheme="minorEastAsia" w:eastAsiaTheme="minorEastAsia" w:cstheme="minorEastAsia"/>
          <w:color w:val="000000"/>
          <w:sz w:val="32"/>
          <w:szCs w:val="32"/>
          <w:lang w:val="en-US" w:eastAsia="zh-CN"/>
        </w:rPr>
        <w:t>山东省《冬小麦宽幅精播高产栽培技术规程（</w:t>
      </w:r>
      <w:r>
        <w:rPr>
          <w:rFonts w:hint="default" w:asciiTheme="minorEastAsia" w:hAnsiTheme="minorEastAsia" w:eastAsiaTheme="minorEastAsia" w:cstheme="minorEastAsia"/>
          <w:color w:val="000000"/>
          <w:sz w:val="32"/>
          <w:szCs w:val="32"/>
          <w:lang w:val="en-US" w:eastAsia="zh-CN"/>
        </w:rPr>
        <w:t>DB</w:t>
      </w:r>
      <w:r>
        <w:rPr>
          <w:rFonts w:hint="eastAsia" w:asciiTheme="minorEastAsia" w:hAnsiTheme="minorEastAsia" w:eastAsiaTheme="minorEastAsia" w:cstheme="minorEastAsia"/>
          <w:color w:val="000000"/>
          <w:sz w:val="32"/>
          <w:szCs w:val="32"/>
          <w:lang w:val="en-US" w:eastAsia="zh-CN"/>
        </w:rPr>
        <w:t xml:space="preserve"> 37</w:t>
      </w:r>
      <w:r>
        <w:rPr>
          <w:rFonts w:hint="default" w:asciiTheme="minorEastAsia" w:hAnsiTheme="minorEastAsia" w:eastAsiaTheme="minorEastAsia" w:cstheme="minorEastAsia"/>
          <w:color w:val="000000"/>
          <w:sz w:val="32"/>
          <w:szCs w:val="32"/>
          <w:lang w:val="en-US" w:eastAsia="zh-CN"/>
        </w:rPr>
        <w:t xml:space="preserve">/T </w:t>
      </w:r>
      <w:r>
        <w:rPr>
          <w:rFonts w:hint="eastAsia" w:asciiTheme="minorEastAsia" w:hAnsiTheme="minorEastAsia" w:eastAsiaTheme="minorEastAsia" w:cstheme="minorEastAsia"/>
          <w:color w:val="000000"/>
          <w:sz w:val="32"/>
          <w:szCs w:val="32"/>
          <w:lang w:val="en-US" w:eastAsia="zh-CN"/>
        </w:rPr>
        <w:t>3508</w:t>
      </w:r>
      <w:r>
        <w:rPr>
          <w:rFonts w:hint="default" w:asciiTheme="minorEastAsia" w:hAnsiTheme="minorEastAsia" w:eastAsiaTheme="minorEastAsia" w:cstheme="minorEastAsia"/>
          <w:color w:val="000000"/>
          <w:sz w:val="32"/>
          <w:szCs w:val="32"/>
          <w:lang w:val="en-US" w:eastAsia="zh-CN"/>
        </w:rPr>
        <w:t>-20</w:t>
      </w:r>
      <w:r>
        <w:rPr>
          <w:rFonts w:hint="eastAsia" w:asciiTheme="minorEastAsia" w:hAnsiTheme="minorEastAsia" w:eastAsiaTheme="minorEastAsia" w:cstheme="minorEastAsia"/>
          <w:color w:val="000000"/>
          <w:sz w:val="32"/>
          <w:szCs w:val="32"/>
          <w:lang w:val="en-US" w:eastAsia="zh-CN"/>
        </w:rPr>
        <w:t>19</w:t>
      </w:r>
      <w:r>
        <w:rPr>
          <w:rFonts w:hint="default" w:asciiTheme="minorEastAsia" w:hAnsiTheme="minorEastAsia" w:eastAsiaTheme="minorEastAsia" w:cstheme="minorEastAsia"/>
          <w:color w:val="000000"/>
          <w:sz w:val="32"/>
          <w:szCs w:val="32"/>
          <w:lang w:val="en-US" w:eastAsia="zh-CN"/>
        </w:rPr>
        <w:t> </w:t>
      </w:r>
      <w:r>
        <w:rPr>
          <w:rFonts w:hint="eastAsia" w:asciiTheme="minorEastAsia" w:hAnsiTheme="minorEastAsia" w:eastAsiaTheme="minorEastAsia" w:cstheme="minorEastAsia"/>
          <w:color w:val="000000"/>
          <w:sz w:val="32"/>
          <w:szCs w:val="32"/>
          <w:lang w:val="en-US" w:eastAsia="zh-CN"/>
        </w:rPr>
        <w:t>）》</w:t>
      </w:r>
      <w:r>
        <w:rPr>
          <w:rFonts w:hint="default" w:asciiTheme="minorEastAsia" w:hAnsiTheme="minorEastAsia" w:eastAsiaTheme="minorEastAsia" w:cstheme="minorEastAsia"/>
          <w:color w:val="000000"/>
          <w:sz w:val="32"/>
          <w:szCs w:val="32"/>
          <w:lang w:val="en-US" w:eastAsia="zh-CN"/>
        </w:rPr>
        <w:fldChar w:fldCharType="end"/>
      </w:r>
      <w:r>
        <w:rPr>
          <w:rFonts w:hint="eastAsia" w:asciiTheme="minorEastAsia" w:hAnsiTheme="minorEastAsia" w:eastAsiaTheme="minorEastAsia" w:cstheme="minorEastAsia"/>
          <w:color w:val="000000"/>
          <w:sz w:val="32"/>
          <w:szCs w:val="32"/>
          <w:lang w:val="en-US" w:eastAsia="zh-CN"/>
        </w:rPr>
        <w:t>、新疆维吾尔族自治区《南疆核麦间作模式下冬小麦宽幅栽培技术规程（DB 65/T 4354-2021）》、甘肃省《机械化小麦宽幅条播作业技术规范（DB62/T 2771-2017）》、甘肃省《小麦宽幅匀播高产栽培技术规程（</w:t>
      </w:r>
      <w:r>
        <w:rPr>
          <w:rFonts w:hint="default" w:asciiTheme="minorEastAsia" w:hAnsiTheme="minorEastAsia" w:eastAsiaTheme="minorEastAsia" w:cstheme="minorEastAsia"/>
          <w:color w:val="000000"/>
          <w:sz w:val="32"/>
          <w:szCs w:val="32"/>
          <w:lang w:val="en-US" w:eastAsia="zh-CN"/>
        </w:rPr>
        <w:t>DB</w:t>
      </w:r>
      <w:r>
        <w:rPr>
          <w:rFonts w:hint="eastAsia" w:asciiTheme="minorEastAsia" w:hAnsiTheme="minorEastAsia" w:eastAsiaTheme="minorEastAsia" w:cstheme="minorEastAsia"/>
          <w:color w:val="000000"/>
          <w:sz w:val="32"/>
          <w:szCs w:val="32"/>
          <w:lang w:val="en-US" w:eastAsia="zh-CN"/>
        </w:rPr>
        <w:t>6</w:t>
      </w:r>
      <w:r>
        <w:rPr>
          <w:rFonts w:hint="default" w:asciiTheme="minorEastAsia" w:hAnsiTheme="minorEastAsia" w:eastAsiaTheme="minorEastAsia" w:cstheme="minorEastAsia"/>
          <w:color w:val="000000"/>
          <w:sz w:val="32"/>
          <w:szCs w:val="32"/>
          <w:lang w:val="en-US" w:eastAsia="zh-CN"/>
        </w:rPr>
        <w:t xml:space="preserve">2/T </w:t>
      </w:r>
      <w:r>
        <w:rPr>
          <w:rFonts w:hint="eastAsia" w:asciiTheme="minorEastAsia" w:hAnsiTheme="minorEastAsia" w:eastAsiaTheme="minorEastAsia" w:cstheme="minorEastAsia"/>
          <w:color w:val="000000"/>
          <w:sz w:val="32"/>
          <w:szCs w:val="32"/>
          <w:lang w:val="en-US" w:eastAsia="zh-CN"/>
        </w:rPr>
        <w:t>2749</w:t>
      </w:r>
      <w:r>
        <w:rPr>
          <w:rFonts w:hint="default" w:asciiTheme="minorEastAsia" w:hAnsiTheme="minorEastAsia" w:eastAsiaTheme="minorEastAsia" w:cstheme="minorEastAsia"/>
          <w:color w:val="000000"/>
          <w:sz w:val="32"/>
          <w:szCs w:val="32"/>
          <w:lang w:val="en-US" w:eastAsia="zh-CN"/>
        </w:rPr>
        <w:t>-201</w:t>
      </w:r>
      <w:r>
        <w:rPr>
          <w:rFonts w:hint="eastAsia" w:asciiTheme="minorEastAsia" w:hAnsiTheme="minorEastAsia" w:eastAsiaTheme="minorEastAsia" w:cstheme="minorEastAsia"/>
          <w:color w:val="000000"/>
          <w:sz w:val="32"/>
          <w:szCs w:val="32"/>
          <w:lang w:val="en-US" w:eastAsia="zh-CN"/>
        </w:rPr>
        <w:t>6）》、濮阳市《小麦宽幅精播技术规程（</w:t>
      </w:r>
      <w:r>
        <w:rPr>
          <w:rFonts w:hint="default" w:asciiTheme="minorEastAsia" w:hAnsiTheme="minorEastAsia" w:eastAsiaTheme="minorEastAsia" w:cstheme="minorEastAsia"/>
          <w:color w:val="000000"/>
          <w:sz w:val="32"/>
          <w:szCs w:val="32"/>
          <w:lang w:val="en-US" w:eastAsia="zh-CN"/>
        </w:rPr>
        <w:t>DB</w:t>
      </w:r>
      <w:r>
        <w:rPr>
          <w:rFonts w:hint="eastAsia" w:asciiTheme="minorEastAsia" w:hAnsiTheme="minorEastAsia" w:eastAsiaTheme="minorEastAsia" w:cstheme="minorEastAsia"/>
          <w:color w:val="000000"/>
          <w:sz w:val="32"/>
          <w:szCs w:val="32"/>
          <w:lang w:val="en-US" w:eastAsia="zh-CN"/>
        </w:rPr>
        <w:t>4109</w:t>
      </w:r>
      <w:r>
        <w:rPr>
          <w:rFonts w:hint="default" w:asciiTheme="minorEastAsia" w:hAnsiTheme="minorEastAsia" w:eastAsiaTheme="minorEastAsia" w:cstheme="minorEastAsia"/>
          <w:color w:val="000000"/>
          <w:sz w:val="32"/>
          <w:szCs w:val="32"/>
          <w:lang w:val="en-US" w:eastAsia="zh-CN"/>
        </w:rPr>
        <w:t xml:space="preserve">/T </w:t>
      </w:r>
      <w:r>
        <w:rPr>
          <w:rFonts w:hint="eastAsia" w:asciiTheme="minorEastAsia" w:hAnsiTheme="minorEastAsia" w:eastAsiaTheme="minorEastAsia" w:cstheme="minorEastAsia"/>
          <w:color w:val="000000"/>
          <w:sz w:val="32"/>
          <w:szCs w:val="32"/>
          <w:lang w:val="en-US" w:eastAsia="zh-CN"/>
        </w:rPr>
        <w:t>003</w:t>
      </w:r>
      <w:r>
        <w:rPr>
          <w:rFonts w:hint="default" w:asciiTheme="minorEastAsia" w:hAnsiTheme="minorEastAsia" w:eastAsiaTheme="minorEastAsia" w:cstheme="minorEastAsia"/>
          <w:color w:val="000000"/>
          <w:sz w:val="32"/>
          <w:szCs w:val="32"/>
          <w:lang w:val="en-US" w:eastAsia="zh-CN"/>
        </w:rPr>
        <w:t>-201</w:t>
      </w:r>
      <w:r>
        <w:rPr>
          <w:rFonts w:hint="eastAsia" w:asciiTheme="minorEastAsia" w:hAnsiTheme="minorEastAsia" w:eastAsiaTheme="minorEastAsia" w:cstheme="minorEastAsia"/>
          <w:color w:val="000000"/>
          <w:sz w:val="32"/>
          <w:szCs w:val="32"/>
          <w:lang w:val="en-US" w:eastAsia="zh-CN"/>
        </w:rPr>
        <w:t>6）》。编制发布我省《山西省冬小麦宽幅沟播技术规程》将为我省冬小麦宽幅沟播种植生产提供可复制、可参考的公益性标准。</w:t>
      </w:r>
    </w:p>
    <w:p>
      <w:pPr>
        <w:numPr>
          <w:ilvl w:val="0"/>
          <w:numId w:val="0"/>
        </w:numPr>
        <w:ind w:firstLine="642" w:firstLineChars="200"/>
        <w:jc w:val="left"/>
        <w:rPr>
          <w:rFonts w:hint="eastAsia" w:ascii="宋体" w:hAnsi="宋体"/>
          <w:b/>
          <w:sz w:val="32"/>
          <w:szCs w:val="32"/>
        </w:rPr>
      </w:pPr>
      <w:r>
        <w:rPr>
          <w:rFonts w:hint="eastAsia" w:ascii="楷体_GB2312" w:hAnsi="宋体" w:eastAsia="楷体_GB2312"/>
          <w:b/>
          <w:sz w:val="32"/>
          <w:szCs w:val="32"/>
        </w:rPr>
        <w:t>（</w:t>
      </w:r>
      <w:r>
        <w:rPr>
          <w:rFonts w:hint="eastAsia" w:ascii="楷体_GB2312" w:hAnsi="宋体" w:eastAsia="楷体_GB2312"/>
          <w:b/>
          <w:sz w:val="32"/>
          <w:szCs w:val="32"/>
          <w:lang w:eastAsia="zh-CN"/>
        </w:rPr>
        <w:t>三</w:t>
      </w:r>
      <w:r>
        <w:rPr>
          <w:rFonts w:hint="eastAsia" w:ascii="楷体_GB2312" w:hAnsi="宋体" w:eastAsia="楷体_GB2312"/>
          <w:b/>
          <w:sz w:val="32"/>
          <w:szCs w:val="32"/>
        </w:rPr>
        <w:t>）</w:t>
      </w:r>
      <w:r>
        <w:rPr>
          <w:rFonts w:hint="eastAsia" w:ascii="楷体_GB2312" w:hAnsi="宋体" w:eastAsia="楷体_GB2312"/>
          <w:b/>
          <w:sz w:val="32"/>
          <w:szCs w:val="32"/>
          <w:lang w:eastAsia="zh-CN"/>
        </w:rPr>
        <w:t>与现行法律、法规、标准的关系</w:t>
      </w:r>
    </w:p>
    <w:p>
      <w:pPr>
        <w:ind w:firstLine="640" w:firstLineChars="200"/>
        <w:jc w:val="left"/>
        <w:rPr>
          <w:rFonts w:hint="eastAsia" w:ascii="宋体" w:hAnsi="宋体"/>
          <w:b/>
          <w:sz w:val="32"/>
          <w:szCs w:val="32"/>
        </w:rPr>
      </w:pPr>
      <w:r>
        <w:rPr>
          <w:rFonts w:hint="eastAsia" w:asciiTheme="minorEastAsia" w:hAnsiTheme="minorEastAsia" w:eastAsiaTheme="minorEastAsia" w:cstheme="minorEastAsia"/>
          <w:color w:val="000000"/>
          <w:sz w:val="32"/>
          <w:szCs w:val="32"/>
          <w:lang w:val="en-US" w:eastAsia="zh-CN"/>
        </w:rPr>
        <w:t>本技术规程编制严格按照国家标准GB/T 1.1-2020《标准化工作导则第1部分：标准的结构和编写》、《农业标准管理方法》、《山西省地方标准管理办法》以及《山西省标准化条例》的要求进行编写。严格遵循相关法律、法规、标准规定，与现行法律、法规、标准没有矛盾或冲突。</w:t>
      </w:r>
    </w:p>
    <w:p>
      <w:pPr>
        <w:ind w:firstLine="640" w:firstLineChars="200"/>
        <w:jc w:val="left"/>
        <w:rPr>
          <w:rFonts w:hint="eastAsia" w:asciiTheme="minorEastAsia" w:hAnsiTheme="minorEastAsia" w:eastAsiaTheme="minorEastAsia" w:cstheme="minorEastAsia"/>
          <w:color w:val="000000"/>
          <w:sz w:val="32"/>
          <w:szCs w:val="32"/>
          <w:lang w:val="en-US" w:eastAsia="zh-CN"/>
        </w:rPr>
      </w:pPr>
      <w:r>
        <w:rPr>
          <w:rFonts w:hint="eastAsia" w:asciiTheme="minorEastAsia" w:hAnsiTheme="minorEastAsia" w:eastAsiaTheme="minorEastAsia" w:cstheme="minorEastAsia"/>
          <w:color w:val="000000"/>
          <w:sz w:val="32"/>
          <w:szCs w:val="32"/>
          <w:lang w:val="en-US" w:eastAsia="zh-CN"/>
        </w:rPr>
        <w:t>本标准编制的原则是根据当前山西省冬小麦高产高效生产技术推广和发展的需求，力求所制定的标准具有科学性、实用性、前瞻性。本标准编写时注重细节、可操作性。针对冬小麦种植关键环节，本技术规程主要优势体现在群体发育好、增产增效明显、镇压保墒作用佳、省工省时等方面，并技术细节进行了系统性和规范性的总结，力争达到让使用者用得明白。</w:t>
      </w:r>
    </w:p>
    <w:p>
      <w:pPr>
        <w:pStyle w:val="13"/>
        <w:spacing w:line="360" w:lineRule="auto"/>
        <w:ind w:firstLine="642" w:firstLineChars="200"/>
        <w:rPr>
          <w:rFonts w:hint="eastAsia" w:ascii="楷体_GB2312" w:eastAsia="楷体_GB2312"/>
          <w:b/>
          <w:sz w:val="32"/>
          <w:szCs w:val="32"/>
        </w:rPr>
      </w:pPr>
      <w:r>
        <w:rPr>
          <w:rFonts w:hint="eastAsia" w:ascii="宋体" w:hAnsi="宋体"/>
          <w:b/>
          <w:sz w:val="32"/>
          <w:szCs w:val="32"/>
          <w:lang w:eastAsia="zh-CN"/>
        </w:rPr>
        <w:t>五</w:t>
      </w:r>
      <w:r>
        <w:rPr>
          <w:rFonts w:hint="eastAsia" w:ascii="宋体" w:hAnsi="宋体"/>
          <w:b/>
          <w:sz w:val="32"/>
          <w:szCs w:val="32"/>
        </w:rPr>
        <w:t>、</w:t>
      </w:r>
      <w:r>
        <w:rPr>
          <w:rFonts w:hint="eastAsia" w:ascii="宋体" w:hAnsi="宋体"/>
          <w:b/>
          <w:sz w:val="32"/>
          <w:szCs w:val="32"/>
          <w:lang w:eastAsia="zh-CN"/>
        </w:rPr>
        <w:t>主要条款说明</w:t>
      </w:r>
    </w:p>
    <w:p>
      <w:pPr>
        <w:ind w:firstLine="640" w:firstLineChars="200"/>
        <w:jc w:val="left"/>
        <w:rPr>
          <w:rFonts w:hint="eastAsia" w:asciiTheme="minorEastAsia" w:hAnsiTheme="minorEastAsia" w:eastAsiaTheme="minorEastAsia" w:cstheme="minorEastAsia"/>
          <w:color w:val="000000"/>
          <w:sz w:val="32"/>
          <w:szCs w:val="32"/>
          <w:lang w:val="en-US" w:eastAsia="zh-CN"/>
        </w:rPr>
      </w:pPr>
      <w:r>
        <w:rPr>
          <w:rFonts w:hint="eastAsia" w:asciiTheme="minorEastAsia" w:hAnsiTheme="minorEastAsia" w:eastAsiaTheme="minorEastAsia" w:cstheme="minorEastAsia"/>
          <w:color w:val="000000"/>
          <w:sz w:val="32"/>
          <w:szCs w:val="32"/>
          <w:lang w:val="en-US" w:eastAsia="zh-CN"/>
        </w:rPr>
        <w:t>《山西省冬小麦宽幅沟播技术规程》分为前言、正文两大部分。正文分为八章，第一章 范围，第二章 规范性引用文件，第三章 术语和定义，第四章</w:t>
      </w:r>
      <w:bookmarkStart w:id="1" w:name="_Toc65738216"/>
      <w:bookmarkStart w:id="2" w:name="_Toc7465"/>
      <w:bookmarkStart w:id="3" w:name="_Toc65739115"/>
      <w:r>
        <w:rPr>
          <w:rFonts w:hint="eastAsia" w:asciiTheme="minorEastAsia" w:hAnsiTheme="minorEastAsia" w:eastAsiaTheme="minorEastAsia" w:cstheme="minorEastAsia"/>
          <w:color w:val="000000"/>
          <w:sz w:val="32"/>
          <w:szCs w:val="32"/>
          <w:lang w:val="en-US" w:eastAsia="zh-CN"/>
        </w:rPr>
        <w:t xml:space="preserve"> </w:t>
      </w:r>
      <w:bookmarkEnd w:id="1"/>
      <w:bookmarkEnd w:id="2"/>
      <w:bookmarkEnd w:id="3"/>
      <w:r>
        <w:rPr>
          <w:rFonts w:hint="eastAsia" w:asciiTheme="minorEastAsia" w:hAnsiTheme="minorEastAsia" w:eastAsiaTheme="minorEastAsia" w:cstheme="minorEastAsia"/>
          <w:color w:val="000000"/>
          <w:sz w:val="32"/>
          <w:szCs w:val="32"/>
          <w:lang w:val="en-US" w:eastAsia="zh-CN"/>
        </w:rPr>
        <w:t>播前准备，第五章 播种技术，第六章</w:t>
      </w:r>
      <w:bookmarkStart w:id="4" w:name="_Toc22005"/>
      <w:bookmarkStart w:id="5" w:name="_Toc65739117"/>
      <w:bookmarkStart w:id="6" w:name="_Toc65738218"/>
      <w:r>
        <w:rPr>
          <w:rFonts w:hint="eastAsia" w:asciiTheme="minorEastAsia" w:hAnsiTheme="minorEastAsia" w:eastAsiaTheme="minorEastAsia" w:cstheme="minorEastAsia"/>
          <w:color w:val="000000"/>
          <w:sz w:val="32"/>
          <w:szCs w:val="32"/>
          <w:lang w:val="en-US" w:eastAsia="zh-CN"/>
        </w:rPr>
        <w:t xml:space="preserve"> </w:t>
      </w:r>
      <w:bookmarkEnd w:id="4"/>
      <w:bookmarkEnd w:id="5"/>
      <w:bookmarkEnd w:id="6"/>
      <w:r>
        <w:rPr>
          <w:rFonts w:hint="eastAsia" w:asciiTheme="minorEastAsia" w:hAnsiTheme="minorEastAsia" w:eastAsiaTheme="minorEastAsia" w:cstheme="minorEastAsia"/>
          <w:color w:val="000000"/>
          <w:sz w:val="32"/>
          <w:szCs w:val="32"/>
          <w:lang w:val="en-US" w:eastAsia="zh-CN"/>
        </w:rPr>
        <w:t>田间管理，</w:t>
      </w:r>
      <w:bookmarkStart w:id="7" w:name="_Toc23863"/>
      <w:r>
        <w:rPr>
          <w:rFonts w:hint="eastAsia" w:asciiTheme="minorEastAsia" w:hAnsiTheme="minorEastAsia" w:eastAsiaTheme="minorEastAsia" w:cstheme="minorEastAsia"/>
          <w:color w:val="000000"/>
          <w:sz w:val="32"/>
          <w:szCs w:val="32"/>
          <w:lang w:val="en-US" w:eastAsia="zh-CN"/>
        </w:rPr>
        <w:t xml:space="preserve">第七章 </w:t>
      </w:r>
      <w:bookmarkEnd w:id="7"/>
      <w:r>
        <w:rPr>
          <w:rFonts w:hint="eastAsia" w:asciiTheme="minorEastAsia" w:hAnsiTheme="minorEastAsia" w:eastAsiaTheme="minorEastAsia" w:cstheme="minorEastAsia"/>
          <w:color w:val="000000"/>
          <w:sz w:val="32"/>
          <w:szCs w:val="32"/>
          <w:lang w:val="en-US" w:eastAsia="zh-CN"/>
        </w:rPr>
        <w:t>收获和贮藏，第八章 生产档案。</w:t>
      </w:r>
    </w:p>
    <w:p>
      <w:pPr>
        <w:ind w:firstLine="640" w:firstLineChars="200"/>
        <w:jc w:val="left"/>
        <w:rPr>
          <w:rFonts w:hint="eastAsia" w:asciiTheme="minorEastAsia" w:hAnsiTheme="minorEastAsia" w:eastAsiaTheme="minorEastAsia" w:cstheme="minorEastAsia"/>
          <w:color w:val="000000"/>
          <w:sz w:val="32"/>
          <w:szCs w:val="32"/>
          <w:lang w:val="en-US" w:eastAsia="zh-CN"/>
        </w:rPr>
      </w:pPr>
      <w:r>
        <w:rPr>
          <w:rFonts w:hint="eastAsia" w:asciiTheme="minorEastAsia" w:hAnsiTheme="minorEastAsia" w:eastAsiaTheme="minorEastAsia" w:cstheme="minorEastAsia"/>
          <w:color w:val="000000"/>
          <w:sz w:val="32"/>
          <w:szCs w:val="32"/>
          <w:lang w:val="en-US" w:eastAsia="zh-CN"/>
        </w:rPr>
        <w:t>1、范围</w:t>
      </w:r>
    </w:p>
    <w:p>
      <w:pPr>
        <w:ind w:firstLine="640" w:firstLineChars="200"/>
        <w:jc w:val="left"/>
        <w:rPr>
          <w:rFonts w:hint="eastAsia" w:asciiTheme="minorEastAsia" w:hAnsiTheme="minorEastAsia" w:eastAsiaTheme="minorEastAsia" w:cstheme="minorEastAsia"/>
          <w:color w:val="000000"/>
          <w:sz w:val="32"/>
          <w:szCs w:val="32"/>
          <w:lang w:val="en-US" w:eastAsia="zh-CN"/>
        </w:rPr>
      </w:pPr>
      <w:r>
        <w:rPr>
          <w:rFonts w:hint="eastAsia" w:asciiTheme="minorEastAsia" w:hAnsiTheme="minorEastAsia" w:eastAsiaTheme="minorEastAsia" w:cstheme="minorEastAsia"/>
          <w:color w:val="000000"/>
          <w:sz w:val="32"/>
          <w:szCs w:val="32"/>
          <w:lang w:val="en-US" w:eastAsia="zh-CN"/>
        </w:rPr>
        <w:t>本标准规定了冬小麦宽幅沟播种植的术语和定义、播前准备、播种技术、田间管理、收获和贮藏及生产档案。</w:t>
      </w:r>
    </w:p>
    <w:p>
      <w:pPr>
        <w:ind w:firstLine="640" w:firstLineChars="200"/>
        <w:jc w:val="left"/>
        <w:rPr>
          <w:rFonts w:hint="eastAsia" w:asciiTheme="minorEastAsia" w:hAnsiTheme="minorEastAsia" w:eastAsiaTheme="minorEastAsia" w:cstheme="minorEastAsia"/>
          <w:color w:val="000000"/>
          <w:sz w:val="32"/>
          <w:szCs w:val="32"/>
          <w:lang w:val="en-US" w:eastAsia="zh-CN"/>
        </w:rPr>
      </w:pPr>
      <w:r>
        <w:rPr>
          <w:rFonts w:hint="eastAsia" w:asciiTheme="minorEastAsia" w:hAnsiTheme="minorEastAsia" w:eastAsiaTheme="minorEastAsia" w:cstheme="minorEastAsia"/>
          <w:color w:val="000000"/>
          <w:sz w:val="32"/>
          <w:szCs w:val="32"/>
          <w:lang w:val="en-US" w:eastAsia="zh-CN"/>
        </w:rPr>
        <w:t>本标准适用于山西省冬小麦宽幅沟播区域的栽培。</w:t>
      </w:r>
    </w:p>
    <w:p>
      <w:pPr>
        <w:ind w:firstLine="640" w:firstLineChars="200"/>
        <w:jc w:val="left"/>
        <w:rPr>
          <w:rFonts w:hint="eastAsia" w:asciiTheme="minorEastAsia" w:hAnsiTheme="minorEastAsia" w:eastAsiaTheme="minorEastAsia" w:cstheme="minorEastAsia"/>
          <w:color w:val="000000"/>
          <w:sz w:val="32"/>
          <w:szCs w:val="32"/>
          <w:lang w:val="en-US" w:eastAsia="zh-CN"/>
        </w:rPr>
      </w:pPr>
      <w:r>
        <w:rPr>
          <w:rFonts w:hint="eastAsia" w:asciiTheme="minorEastAsia" w:hAnsiTheme="minorEastAsia" w:eastAsiaTheme="minorEastAsia" w:cstheme="minorEastAsia"/>
          <w:color w:val="000000"/>
          <w:sz w:val="32"/>
          <w:szCs w:val="32"/>
          <w:lang w:val="en-US" w:eastAsia="zh-CN"/>
        </w:rPr>
        <w:t>2、规范性引用文件</w:t>
      </w:r>
    </w:p>
    <w:p>
      <w:pPr>
        <w:ind w:firstLine="640" w:firstLineChars="200"/>
        <w:jc w:val="left"/>
        <w:rPr>
          <w:rFonts w:hint="eastAsia" w:asciiTheme="minorEastAsia" w:hAnsiTheme="minorEastAsia" w:eastAsiaTheme="minorEastAsia" w:cstheme="minorEastAsia"/>
          <w:color w:val="000000"/>
          <w:sz w:val="32"/>
          <w:szCs w:val="32"/>
          <w:lang w:val="en-US" w:eastAsia="zh-CN"/>
        </w:rPr>
      </w:pPr>
      <w:r>
        <w:rPr>
          <w:rFonts w:hint="eastAsia" w:asciiTheme="minorEastAsia" w:hAnsiTheme="minorEastAsia" w:eastAsiaTheme="minorEastAsia" w:cstheme="minorEastAsia"/>
          <w:color w:val="000000"/>
          <w:sz w:val="32"/>
          <w:szCs w:val="32"/>
          <w:lang w:val="en-US" w:eastAsia="zh-CN"/>
        </w:rPr>
        <w:t>本规范所引用的国家、行业有关规范、规程均为现行且有效的，条文中给出编号，以便于使用时查找。</w:t>
      </w:r>
    </w:p>
    <w:p>
      <w:pPr>
        <w:ind w:firstLine="640" w:firstLineChars="200"/>
        <w:jc w:val="left"/>
        <w:rPr>
          <w:rFonts w:hint="eastAsia" w:asciiTheme="minorEastAsia" w:hAnsiTheme="minorEastAsia" w:eastAsiaTheme="minorEastAsia" w:cstheme="minorEastAsia"/>
          <w:color w:val="000000"/>
          <w:sz w:val="32"/>
          <w:szCs w:val="32"/>
          <w:lang w:val="en-US" w:eastAsia="zh-CN"/>
        </w:rPr>
      </w:pPr>
      <w:r>
        <w:rPr>
          <w:rFonts w:hint="eastAsia" w:asciiTheme="minorEastAsia" w:hAnsiTheme="minorEastAsia" w:eastAsiaTheme="minorEastAsia" w:cstheme="minorEastAsia"/>
          <w:color w:val="000000"/>
          <w:sz w:val="32"/>
          <w:szCs w:val="32"/>
          <w:lang w:val="en-US" w:eastAsia="zh-CN"/>
        </w:rPr>
        <w:t>3、术语和定义</w:t>
      </w:r>
    </w:p>
    <w:p>
      <w:pPr>
        <w:ind w:firstLine="640" w:firstLineChars="200"/>
        <w:jc w:val="left"/>
        <w:rPr>
          <w:rFonts w:hint="eastAsia" w:asciiTheme="minorEastAsia" w:hAnsiTheme="minorEastAsia" w:eastAsiaTheme="minorEastAsia" w:cstheme="minorEastAsia"/>
          <w:color w:val="000000"/>
          <w:sz w:val="32"/>
          <w:szCs w:val="32"/>
          <w:lang w:val="en-US" w:eastAsia="zh-CN"/>
        </w:rPr>
      </w:pPr>
      <w:r>
        <w:rPr>
          <w:rFonts w:hint="eastAsia" w:asciiTheme="minorEastAsia" w:hAnsiTheme="minorEastAsia" w:eastAsiaTheme="minorEastAsia" w:cstheme="minorEastAsia"/>
          <w:color w:val="000000"/>
          <w:sz w:val="32"/>
          <w:szCs w:val="32"/>
          <w:lang w:val="en-US" w:eastAsia="zh-CN"/>
        </w:rPr>
        <w:t>对宽幅沟播等术语进行了定义。</w:t>
      </w:r>
    </w:p>
    <w:p>
      <w:pPr>
        <w:ind w:firstLine="640" w:firstLineChars="200"/>
        <w:jc w:val="left"/>
        <w:rPr>
          <w:rFonts w:hint="eastAsia" w:asciiTheme="minorEastAsia" w:hAnsiTheme="minorEastAsia" w:eastAsiaTheme="minorEastAsia" w:cstheme="minorEastAsia"/>
          <w:color w:val="000000"/>
          <w:sz w:val="32"/>
          <w:szCs w:val="32"/>
          <w:lang w:val="en" w:eastAsia="zh-CN"/>
        </w:rPr>
      </w:pPr>
      <w:r>
        <w:rPr>
          <w:rFonts w:hint="default" w:asciiTheme="minorEastAsia" w:hAnsiTheme="minorEastAsia" w:eastAsiaTheme="minorEastAsia" w:cstheme="minorEastAsia"/>
          <w:color w:val="000000"/>
          <w:sz w:val="32"/>
          <w:szCs w:val="32"/>
          <w:lang w:val="en" w:eastAsia="zh-CN"/>
        </w:rPr>
        <w:t>4</w:t>
      </w:r>
      <w:r>
        <w:rPr>
          <w:rFonts w:hint="eastAsia" w:asciiTheme="minorEastAsia" w:hAnsiTheme="minorEastAsia" w:eastAsiaTheme="minorEastAsia" w:cstheme="minorEastAsia"/>
          <w:color w:val="000000"/>
          <w:sz w:val="32"/>
          <w:szCs w:val="32"/>
          <w:lang w:val="en" w:eastAsia="zh-CN"/>
        </w:rPr>
        <w:t>、宽幅播种</w:t>
      </w:r>
    </w:p>
    <w:p>
      <w:pPr>
        <w:ind w:firstLine="640" w:firstLineChars="200"/>
        <w:jc w:val="left"/>
        <w:rPr>
          <w:rFonts w:hint="eastAsia" w:asciiTheme="minorEastAsia" w:hAnsiTheme="minorEastAsia" w:eastAsiaTheme="minorEastAsia" w:cstheme="minorEastAsia"/>
          <w:color w:val="000000"/>
          <w:sz w:val="32"/>
          <w:szCs w:val="32"/>
          <w:lang w:val="en-US" w:eastAsia="zh-CN"/>
        </w:rPr>
      </w:pPr>
      <w:r>
        <w:rPr>
          <w:rFonts w:hint="eastAsia" w:asciiTheme="minorEastAsia" w:hAnsiTheme="minorEastAsia" w:eastAsiaTheme="minorEastAsia" w:cstheme="minorEastAsia"/>
          <w:color w:val="000000"/>
          <w:sz w:val="32"/>
          <w:szCs w:val="32"/>
          <w:lang w:val="en" w:eastAsia="zh-CN"/>
        </w:rPr>
        <w:t>宽幅沟播技术为种子分散式播种，有利于种子的均匀分布，通过增加行幅宽度，扩大小麦单株生长空间和营养面积，促进植株根系生长，提升植株的通风透光性，小麦宽幅沟播播种机后带镇压轮，能较好地压实土壤，保证出苗均匀、生长整齐。</w:t>
      </w:r>
    </w:p>
    <w:p>
      <w:pPr>
        <w:pStyle w:val="5"/>
        <w:spacing w:line="360" w:lineRule="auto"/>
        <w:ind w:left="641" w:firstLine="0" w:firstLineChars="0"/>
        <w:rPr>
          <w:rFonts w:hint="eastAsia" w:ascii="宋体" w:hAnsi="宋体"/>
          <w:b/>
          <w:sz w:val="32"/>
          <w:szCs w:val="32"/>
          <w:lang w:eastAsia="zh-CN"/>
        </w:rPr>
      </w:pPr>
      <w:r>
        <w:rPr>
          <w:rFonts w:hint="eastAsia" w:ascii="宋体" w:hAnsi="宋体"/>
          <w:b/>
          <w:sz w:val="32"/>
          <w:szCs w:val="32"/>
          <w:lang w:eastAsia="zh-CN"/>
        </w:rPr>
        <w:t>六、</w:t>
      </w:r>
      <w:r>
        <w:rPr>
          <w:rFonts w:hint="eastAsia" w:ascii="宋体" w:hAnsi="宋体"/>
          <w:b/>
          <w:sz w:val="32"/>
          <w:szCs w:val="32"/>
          <w:lang w:eastAsia="zh-CN"/>
        </w:rPr>
        <w:t>重大意见分歧的处理依据和结果</w:t>
      </w:r>
    </w:p>
    <w:p>
      <w:pPr>
        <w:spacing w:line="360" w:lineRule="auto"/>
        <w:ind w:firstLine="640" w:firstLineChars="200"/>
        <w:rPr>
          <w:rFonts w:hint="eastAsia" w:asciiTheme="minorEastAsia" w:hAnsiTheme="minorEastAsia" w:eastAsiaTheme="minorEastAsia" w:cstheme="minorEastAsia"/>
          <w:color w:val="000000"/>
          <w:sz w:val="32"/>
          <w:szCs w:val="32"/>
          <w:lang w:val="en-US" w:eastAsia="zh-CN"/>
        </w:rPr>
      </w:pPr>
      <w:r>
        <w:rPr>
          <w:rFonts w:hint="eastAsia" w:asciiTheme="minorEastAsia" w:hAnsiTheme="minorEastAsia" w:eastAsiaTheme="minorEastAsia" w:cstheme="minorEastAsia"/>
          <w:color w:val="000000"/>
          <w:sz w:val="32"/>
          <w:szCs w:val="32"/>
          <w:lang w:val="en-US" w:eastAsia="zh-CN"/>
        </w:rPr>
        <w:t>针对山西省农业标准化委员会评审专家提出意见和向应用单位征求意见，本标准制定组对收集到的意见进行了分类、归纳，针对每一条意见都进行了分析对比，与提出意见单位、个人沟通，无重大意见分析，最终采纳或协商后采纳修改建议</w:t>
      </w:r>
      <w:r>
        <w:rPr>
          <w:rFonts w:hint="eastAsia" w:eastAsia="宋体"/>
          <w:sz w:val="32"/>
          <w:szCs w:val="32"/>
          <w:lang w:eastAsia="zh-CN"/>
        </w:rPr>
        <w:t>（</w:t>
      </w:r>
      <w:r>
        <w:rPr>
          <w:rFonts w:hint="eastAsia" w:eastAsia="宋体"/>
          <w:sz w:val="32"/>
          <w:szCs w:val="32"/>
        </w:rPr>
        <w:t>征求意见情况</w:t>
      </w:r>
      <w:r>
        <w:rPr>
          <w:rFonts w:hint="eastAsia" w:eastAsia="宋体"/>
          <w:sz w:val="32"/>
          <w:szCs w:val="32"/>
          <w:lang w:eastAsia="zh-CN"/>
        </w:rPr>
        <w:t>见附表）</w:t>
      </w:r>
      <w:r>
        <w:rPr>
          <w:rFonts w:hint="eastAsia" w:asciiTheme="minorEastAsia" w:hAnsiTheme="minorEastAsia" w:eastAsiaTheme="minorEastAsia" w:cstheme="minorEastAsia"/>
          <w:color w:val="000000"/>
          <w:sz w:val="32"/>
          <w:szCs w:val="32"/>
          <w:lang w:val="en-US" w:eastAsia="zh-CN"/>
        </w:rPr>
        <w:t>。</w:t>
      </w:r>
    </w:p>
    <w:p>
      <w:pPr>
        <w:pStyle w:val="5"/>
        <w:spacing w:line="360" w:lineRule="auto"/>
        <w:ind w:left="641" w:firstLine="0" w:firstLineChars="0"/>
        <w:rPr>
          <w:rFonts w:hint="eastAsia" w:ascii="宋体" w:hAnsi="宋体" w:eastAsia="宋体"/>
          <w:b/>
          <w:sz w:val="32"/>
          <w:szCs w:val="32"/>
          <w:lang w:eastAsia="zh-CN"/>
        </w:rPr>
      </w:pPr>
      <w:r>
        <w:rPr>
          <w:rFonts w:hint="eastAsia" w:ascii="宋体" w:hAnsi="宋体"/>
          <w:b/>
          <w:sz w:val="32"/>
          <w:szCs w:val="32"/>
        </w:rPr>
        <w:t>七、</w:t>
      </w:r>
      <w:r>
        <w:rPr>
          <w:rFonts w:hint="eastAsia" w:ascii="宋体" w:hAnsi="宋体"/>
          <w:b/>
          <w:sz w:val="32"/>
          <w:szCs w:val="32"/>
        </w:rPr>
        <w:t>作为推荐性标准的建议</w:t>
      </w:r>
      <w:r>
        <w:rPr>
          <w:rFonts w:hint="eastAsia" w:ascii="宋体" w:hAnsi="宋体"/>
          <w:b/>
          <w:sz w:val="32"/>
          <w:szCs w:val="32"/>
          <w:lang w:eastAsia="zh-CN"/>
        </w:rPr>
        <w:t>及其理由</w:t>
      </w:r>
    </w:p>
    <w:p>
      <w:pPr>
        <w:spacing w:line="360" w:lineRule="auto"/>
        <w:ind w:firstLine="640" w:firstLineChars="200"/>
        <w:rPr>
          <w:sz w:val="32"/>
          <w:szCs w:val="32"/>
        </w:rPr>
      </w:pPr>
      <w:r>
        <w:rPr>
          <w:rFonts w:hint="eastAsia"/>
          <w:sz w:val="32"/>
          <w:szCs w:val="32"/>
        </w:rPr>
        <w:t>建议本标准为推荐性标准。</w:t>
      </w:r>
    </w:p>
    <w:p>
      <w:pPr>
        <w:pStyle w:val="5"/>
        <w:spacing w:line="360" w:lineRule="auto"/>
        <w:ind w:left="641" w:firstLine="0" w:firstLineChars="0"/>
        <w:rPr>
          <w:rFonts w:ascii="宋体" w:hAnsi="宋体"/>
          <w:b/>
          <w:sz w:val="32"/>
          <w:szCs w:val="32"/>
        </w:rPr>
      </w:pPr>
      <w:r>
        <w:rPr>
          <w:rFonts w:hint="eastAsia" w:ascii="宋体" w:hAnsi="宋体"/>
          <w:b/>
          <w:sz w:val="32"/>
          <w:szCs w:val="32"/>
        </w:rPr>
        <w:t>八、</w:t>
      </w:r>
      <w:r>
        <w:rPr>
          <w:rFonts w:hint="eastAsia" w:ascii="宋体" w:hAnsi="宋体"/>
          <w:b/>
          <w:sz w:val="32"/>
          <w:szCs w:val="32"/>
          <w:lang w:eastAsia="zh-CN"/>
        </w:rPr>
        <w:t>标准实施的</w:t>
      </w:r>
      <w:r>
        <w:rPr>
          <w:rFonts w:hint="eastAsia" w:ascii="宋体" w:hAnsi="宋体"/>
          <w:b/>
          <w:sz w:val="32"/>
          <w:szCs w:val="32"/>
        </w:rPr>
        <w:t>措施</w:t>
      </w:r>
      <w:r>
        <w:rPr>
          <w:rFonts w:hint="eastAsia" w:ascii="宋体" w:hAnsi="宋体"/>
          <w:b/>
          <w:sz w:val="32"/>
          <w:szCs w:val="32"/>
          <w:lang w:eastAsia="zh-CN"/>
        </w:rPr>
        <w:t>建议</w:t>
      </w:r>
    </w:p>
    <w:p>
      <w:pPr>
        <w:ind w:firstLine="640" w:firstLineChars="200"/>
        <w:jc w:val="left"/>
        <w:rPr>
          <w:rFonts w:hint="eastAsia" w:asciiTheme="minorEastAsia" w:hAnsiTheme="minorEastAsia" w:eastAsiaTheme="minorEastAsia" w:cstheme="minorEastAsia"/>
          <w:color w:val="000000"/>
          <w:sz w:val="32"/>
          <w:szCs w:val="32"/>
          <w:lang w:val="en-US" w:eastAsia="zh-CN"/>
        </w:rPr>
      </w:pPr>
      <w:r>
        <w:rPr>
          <w:rFonts w:hint="eastAsia" w:asciiTheme="minorEastAsia" w:hAnsiTheme="minorEastAsia" w:eastAsiaTheme="minorEastAsia" w:cstheme="minorEastAsia"/>
          <w:color w:val="000000"/>
          <w:sz w:val="32"/>
          <w:szCs w:val="32"/>
          <w:lang w:val="en-US" w:eastAsia="zh-CN"/>
        </w:rPr>
        <w:t>（一）加强组织领导，保障工作开展。山西省冬小麦宽幅沟播生产技术是实现小麦提质增效的一条有效途径，我省近年来对宽幅沟播生产技术进行了试验示范，取得了较高的产量和较好的种植效益。不断增强各级农技部门思想认识，强化责任意识，以点带面，促进本标准逐步实施，促进宽幅沟播生产技术发展，做好标准宣贯，确保落实落地。</w:t>
      </w:r>
    </w:p>
    <w:p>
      <w:pPr>
        <w:ind w:firstLine="640" w:firstLineChars="200"/>
        <w:jc w:val="left"/>
        <w:rPr>
          <w:rFonts w:hint="eastAsia" w:asciiTheme="minorEastAsia" w:hAnsiTheme="minorEastAsia" w:eastAsiaTheme="minorEastAsia" w:cstheme="minorEastAsia"/>
          <w:color w:val="000000"/>
          <w:sz w:val="32"/>
          <w:szCs w:val="32"/>
          <w:lang w:val="en-US" w:eastAsia="zh-CN"/>
        </w:rPr>
      </w:pPr>
      <w:r>
        <w:rPr>
          <w:rFonts w:hint="eastAsia" w:asciiTheme="minorEastAsia" w:hAnsiTheme="minorEastAsia" w:eastAsiaTheme="minorEastAsia" w:cstheme="minorEastAsia"/>
          <w:color w:val="000000"/>
          <w:sz w:val="32"/>
          <w:szCs w:val="32"/>
          <w:lang w:val="en-US" w:eastAsia="zh-CN"/>
        </w:rPr>
        <w:t>（二）加强技术培训，强化技术支撑。各级农业技术人员，深入田间第一线，强化技术指导，3-5年内在宽幅沟播种植技术生产基地培训出一批掌握该项技术的技术型种植户；同时充分利用报刊、网络、电视等各类媒体，多种形式进行专题介绍和宣传冬小麦宽幅沟播生产技术，以便将此项技术普及到实际生产中。</w:t>
      </w:r>
    </w:p>
    <w:p>
      <w:pPr>
        <w:ind w:firstLine="640" w:firstLineChars="200"/>
        <w:jc w:val="left"/>
        <w:rPr>
          <w:rFonts w:hint="eastAsia" w:asciiTheme="minorEastAsia" w:hAnsiTheme="minorEastAsia" w:eastAsiaTheme="minorEastAsia" w:cstheme="minorEastAsia"/>
          <w:color w:val="000000"/>
          <w:sz w:val="32"/>
          <w:szCs w:val="32"/>
          <w:lang w:val="en-US" w:eastAsia="zh-CN"/>
        </w:rPr>
      </w:pPr>
      <w:r>
        <w:rPr>
          <w:rFonts w:hint="eastAsia" w:asciiTheme="minorEastAsia" w:hAnsiTheme="minorEastAsia" w:eastAsiaTheme="minorEastAsia" w:cstheme="minorEastAsia"/>
          <w:color w:val="000000"/>
          <w:sz w:val="32"/>
          <w:szCs w:val="32"/>
          <w:lang w:val="en-US" w:eastAsia="zh-CN"/>
        </w:rPr>
        <w:t>（三）突出宣传引导，强化标准宣贯。依托示范基地开展培训指导和现场观摩，辐射带动大面的普及应用。同时充分利用报刊、网络、电视等各类媒体，多种形式进行专题介绍和宣传沟播富硒冬小麦种植技术，以便将此项技术普及到实际生产中。</w:t>
      </w:r>
    </w:p>
    <w:p>
      <w:pPr>
        <w:pStyle w:val="2"/>
        <w:ind w:left="0" w:leftChars="0" w:firstLine="0" w:firstLineChars="0"/>
        <w:rPr>
          <w:rFonts w:hint="eastAsia" w:ascii="宋体" w:hAnsi="宋体"/>
          <w:sz w:val="32"/>
          <w:szCs w:val="32"/>
        </w:rPr>
        <w:sectPr>
          <w:pgSz w:w="11906" w:h="16838"/>
          <w:pgMar w:top="1440" w:right="1800" w:bottom="1440" w:left="1800" w:header="851" w:footer="992" w:gutter="0"/>
          <w:cols w:space="425" w:num="1"/>
          <w:docGrid w:type="lines" w:linePitch="312" w:charSpace="0"/>
        </w:sectPr>
      </w:pPr>
    </w:p>
    <w:p>
      <w:pPr>
        <w:widowControl/>
        <w:spacing w:beforeAutospacing="0" w:afterAutospacing="0"/>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lang w:eastAsia="zh-CN"/>
        </w:rPr>
        <w:t>附表</w:t>
      </w:r>
    </w:p>
    <w:p>
      <w:pPr>
        <w:widowControl/>
        <w:spacing w:beforeAutospacing="0" w:afterAutospacing="0"/>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lang w:val="en-US" w:eastAsia="zh-CN"/>
        </w:rPr>
        <w:t>《冬小麦宽幅沟播技术规程》</w:t>
      </w:r>
      <w:r>
        <w:rPr>
          <w:rFonts w:hint="eastAsia" w:ascii="仿宋_GB2312" w:hAnsi="仿宋_GB2312" w:eastAsia="仿宋_GB2312" w:cs="仿宋_GB2312"/>
          <w:kern w:val="0"/>
          <w:sz w:val="24"/>
          <w:szCs w:val="24"/>
          <w:lang w:eastAsia="zh-CN"/>
        </w:rPr>
        <w:t>征求意见汇总处理表</w:t>
      </w:r>
    </w:p>
    <w:p>
      <w:pPr>
        <w:widowControl/>
        <w:spacing w:beforeAutospacing="0" w:afterAutospacing="0"/>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起草单位：山西</w:t>
      </w:r>
      <w:r>
        <w:rPr>
          <w:rFonts w:hint="eastAsia" w:ascii="仿宋_GB2312" w:hAnsi="仿宋_GB2312" w:eastAsia="仿宋_GB2312" w:cs="仿宋_GB2312"/>
          <w:kern w:val="0"/>
          <w:sz w:val="24"/>
          <w:szCs w:val="24"/>
          <w:lang w:eastAsia="zh-CN"/>
        </w:rPr>
        <w:t>省农业技术推广服务中心</w:t>
      </w:r>
      <w:r>
        <w:rPr>
          <w:rFonts w:hint="eastAsia"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lang w:val="en-US" w:eastAsia="zh-CN"/>
        </w:rPr>
        <w:t xml:space="preserve">    </w:t>
      </w:r>
      <w:r>
        <w:rPr>
          <w:rFonts w:hint="eastAsia" w:ascii="仿宋_GB2312" w:hAnsi="仿宋_GB2312" w:eastAsia="仿宋_GB2312" w:cs="仿宋_GB2312"/>
          <w:kern w:val="0"/>
          <w:sz w:val="24"/>
          <w:szCs w:val="24"/>
        </w:rPr>
        <w:t xml:space="preserve"> 承办人：</w:t>
      </w:r>
      <w:r>
        <w:rPr>
          <w:rFonts w:hint="eastAsia" w:ascii="仿宋_GB2312" w:hAnsi="仿宋_GB2312" w:eastAsia="仿宋_GB2312" w:cs="仿宋_GB2312"/>
          <w:kern w:val="0"/>
          <w:sz w:val="24"/>
          <w:szCs w:val="24"/>
          <w:lang w:val="en-US" w:eastAsia="zh-CN"/>
        </w:rPr>
        <w:t>韩柏岳</w:t>
      </w:r>
      <w:r>
        <w:rPr>
          <w:rFonts w:hint="eastAsia"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lang w:val="en-US" w:eastAsia="zh-CN"/>
        </w:rPr>
        <w:t xml:space="preserve">       </w:t>
      </w:r>
      <w:r>
        <w:rPr>
          <w:rFonts w:hint="eastAsia"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lang w:eastAsia="zh-CN"/>
        </w:rPr>
        <w:t>联系</w:t>
      </w:r>
      <w:r>
        <w:rPr>
          <w:rFonts w:hint="eastAsia" w:ascii="仿宋_GB2312" w:hAnsi="仿宋_GB2312" w:eastAsia="仿宋_GB2312" w:cs="仿宋_GB2312"/>
          <w:kern w:val="0"/>
          <w:sz w:val="24"/>
          <w:szCs w:val="24"/>
        </w:rPr>
        <w:t>电话：</w:t>
      </w:r>
      <w:r>
        <w:rPr>
          <w:rFonts w:hint="eastAsia" w:ascii="仿宋_GB2312" w:hAnsi="仿宋_GB2312" w:eastAsia="仿宋_GB2312" w:cs="仿宋_GB2312"/>
          <w:kern w:val="0"/>
          <w:sz w:val="24"/>
          <w:szCs w:val="24"/>
          <w:lang w:val="en-US" w:eastAsia="zh-CN"/>
        </w:rPr>
        <w:t>13453431021</w:t>
      </w:r>
      <w:r>
        <w:rPr>
          <w:rFonts w:hint="eastAsia"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lang w:val="en-US" w:eastAsia="zh-CN"/>
        </w:rPr>
        <w:t xml:space="preserve">      填写时间：</w:t>
      </w:r>
      <w:r>
        <w:rPr>
          <w:rFonts w:hint="eastAsia" w:ascii="仿宋_GB2312" w:hAnsi="仿宋_GB2312" w:eastAsia="仿宋_GB2312" w:cs="仿宋_GB2312"/>
          <w:kern w:val="0"/>
          <w:sz w:val="24"/>
          <w:szCs w:val="24"/>
        </w:rPr>
        <w:t>20</w:t>
      </w:r>
      <w:r>
        <w:rPr>
          <w:rFonts w:hint="eastAsia" w:ascii="仿宋_GB2312" w:hAnsi="仿宋_GB2312" w:eastAsia="仿宋_GB2312" w:cs="仿宋_GB2312"/>
          <w:kern w:val="0"/>
          <w:sz w:val="24"/>
          <w:szCs w:val="24"/>
          <w:lang w:val="en-US" w:eastAsia="zh-CN"/>
        </w:rPr>
        <w:t>23</w:t>
      </w:r>
      <w:r>
        <w:rPr>
          <w:rFonts w:hint="eastAsia" w:ascii="仿宋_GB2312" w:hAnsi="仿宋_GB2312" w:eastAsia="仿宋_GB2312" w:cs="仿宋_GB2312"/>
          <w:kern w:val="0"/>
          <w:sz w:val="24"/>
          <w:szCs w:val="24"/>
        </w:rPr>
        <w:t>年</w:t>
      </w:r>
      <w:r>
        <w:rPr>
          <w:rFonts w:hint="eastAsia" w:ascii="仿宋_GB2312" w:hAnsi="仿宋_GB2312" w:eastAsia="仿宋_GB2312" w:cs="仿宋_GB2312"/>
          <w:kern w:val="0"/>
          <w:sz w:val="24"/>
          <w:szCs w:val="24"/>
          <w:lang w:val="en-US" w:eastAsia="zh-CN"/>
        </w:rPr>
        <w:t>12</w:t>
      </w:r>
      <w:r>
        <w:rPr>
          <w:rFonts w:hint="eastAsia" w:ascii="仿宋_GB2312" w:hAnsi="仿宋_GB2312" w:eastAsia="仿宋_GB2312" w:cs="仿宋_GB2312"/>
          <w:kern w:val="0"/>
          <w:sz w:val="24"/>
          <w:szCs w:val="24"/>
        </w:rPr>
        <w:t>月</w:t>
      </w:r>
    </w:p>
    <w:tbl>
      <w:tblPr>
        <w:tblStyle w:val="9"/>
        <w:tblpPr w:leftFromText="180" w:rightFromText="180" w:vertAnchor="text" w:horzAnchor="page" w:tblpX="1753" w:tblpY="215"/>
        <w:tblOverlap w:val="never"/>
        <w:tblW w:w="1411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00"/>
        <w:gridCol w:w="1370"/>
        <w:gridCol w:w="2870"/>
        <w:gridCol w:w="2620"/>
        <w:gridCol w:w="4580"/>
        <w:gridCol w:w="20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00" w:type="dxa"/>
            <w:tcBorders>
              <w:top w:val="single" w:color="000000" w:sz="8" w:space="0"/>
              <w:left w:val="single" w:color="000000" w:sz="8" w:space="0"/>
              <w:bottom w:val="single" w:color="000000" w:sz="8" w:space="0"/>
              <w:right w:val="single" w:color="000000" w:sz="4" w:space="0"/>
            </w:tcBorders>
            <w:noWrap w:val="0"/>
            <w:vAlign w:val="center"/>
          </w:tcPr>
          <w:p>
            <w:pPr>
              <w:widowControl/>
              <w:spacing w:beforeAutospacing="0" w:afterAutospacing="0"/>
              <w:jc w:val="center"/>
              <w:rPr>
                <w:rFonts w:hint="eastAsia" w:ascii="仿宋_GB2312" w:hAnsi="仿宋_GB2312" w:eastAsia="仿宋_GB2312" w:cs="仿宋_GB2312"/>
                <w:b w:val="0"/>
                <w:bCs w:val="0"/>
                <w:kern w:val="0"/>
                <w:sz w:val="24"/>
                <w:szCs w:val="24"/>
                <w:lang w:val="en-US" w:eastAsia="zh-CN"/>
              </w:rPr>
            </w:pPr>
            <w:r>
              <w:rPr>
                <w:rFonts w:hint="eastAsia" w:ascii="仿宋_GB2312" w:hAnsi="仿宋_GB2312" w:eastAsia="仿宋_GB2312" w:cs="仿宋_GB2312"/>
                <w:b w:val="0"/>
                <w:bCs w:val="0"/>
                <w:kern w:val="0"/>
                <w:sz w:val="24"/>
                <w:szCs w:val="24"/>
                <w:lang w:val="en-US" w:eastAsia="zh-CN"/>
              </w:rPr>
              <w:t>序号</w:t>
            </w:r>
          </w:p>
        </w:tc>
        <w:tc>
          <w:tcPr>
            <w:tcW w:w="1370" w:type="dxa"/>
            <w:tcBorders>
              <w:top w:val="single" w:color="000000" w:sz="8" w:space="0"/>
              <w:left w:val="nil"/>
              <w:bottom w:val="single" w:color="000000" w:sz="8" w:space="0"/>
              <w:right w:val="single" w:color="000000" w:sz="4" w:space="0"/>
            </w:tcBorders>
            <w:noWrap w:val="0"/>
            <w:vAlign w:val="center"/>
          </w:tcPr>
          <w:p>
            <w:pPr>
              <w:widowControl/>
              <w:spacing w:afterAutospacing="0"/>
              <w:jc w:val="center"/>
              <w:rPr>
                <w:rFonts w:hint="eastAsia" w:ascii="仿宋_GB2312" w:hAnsi="仿宋_GB2312" w:eastAsia="仿宋_GB2312" w:cs="仿宋_GB2312"/>
                <w:b w:val="0"/>
                <w:bCs w:val="0"/>
                <w:kern w:val="0"/>
                <w:sz w:val="24"/>
                <w:szCs w:val="24"/>
                <w:lang w:val="en-US" w:eastAsia="zh-CN"/>
              </w:rPr>
            </w:pPr>
            <w:r>
              <w:rPr>
                <w:rFonts w:hint="eastAsia" w:ascii="仿宋_GB2312" w:hAnsi="仿宋_GB2312" w:eastAsia="仿宋_GB2312" w:cs="仿宋_GB2312"/>
                <w:b w:val="0"/>
                <w:bCs w:val="0"/>
                <w:kern w:val="0"/>
                <w:sz w:val="24"/>
                <w:szCs w:val="24"/>
                <w:lang w:val="en-US" w:eastAsia="zh-CN"/>
              </w:rPr>
              <w:t>标准章条编号</w:t>
            </w:r>
          </w:p>
        </w:tc>
        <w:tc>
          <w:tcPr>
            <w:tcW w:w="2870" w:type="dxa"/>
            <w:tcBorders>
              <w:top w:val="single" w:color="000000" w:sz="8" w:space="0"/>
              <w:left w:val="nil"/>
              <w:bottom w:val="single" w:color="000000" w:sz="8" w:space="0"/>
              <w:right w:val="single" w:color="000000" w:sz="4" w:space="0"/>
            </w:tcBorders>
            <w:noWrap w:val="0"/>
            <w:vAlign w:val="center"/>
          </w:tcPr>
          <w:p>
            <w:pPr>
              <w:widowControl/>
              <w:spacing w:afterAutospacing="0"/>
              <w:jc w:val="center"/>
              <w:rPr>
                <w:rFonts w:hint="eastAsia" w:ascii="仿宋_GB2312" w:hAnsi="仿宋_GB2312" w:eastAsia="仿宋_GB2312" w:cs="仿宋_GB2312"/>
                <w:b w:val="0"/>
                <w:bCs w:val="0"/>
                <w:kern w:val="0"/>
                <w:sz w:val="24"/>
                <w:szCs w:val="24"/>
                <w:lang w:val="en-US" w:eastAsia="zh-CN"/>
              </w:rPr>
            </w:pPr>
            <w:r>
              <w:rPr>
                <w:rFonts w:hint="eastAsia" w:ascii="仿宋_GB2312" w:hAnsi="仿宋_GB2312" w:eastAsia="仿宋_GB2312" w:cs="仿宋_GB2312"/>
                <w:b w:val="0"/>
                <w:bCs w:val="0"/>
                <w:kern w:val="0"/>
                <w:sz w:val="24"/>
                <w:szCs w:val="24"/>
                <w:lang w:val="en-US" w:eastAsia="zh-CN"/>
              </w:rPr>
              <w:t>意见内容</w:t>
            </w:r>
          </w:p>
        </w:tc>
        <w:tc>
          <w:tcPr>
            <w:tcW w:w="2620" w:type="dxa"/>
            <w:tcBorders>
              <w:top w:val="single" w:color="000000" w:sz="8" w:space="0"/>
              <w:left w:val="nil"/>
              <w:bottom w:val="single" w:color="000000" w:sz="8" w:space="0"/>
              <w:right w:val="single" w:color="000000" w:sz="4" w:space="0"/>
            </w:tcBorders>
            <w:noWrap w:val="0"/>
            <w:vAlign w:val="center"/>
          </w:tcPr>
          <w:p>
            <w:pPr>
              <w:widowControl/>
              <w:spacing w:afterAutospacing="0"/>
              <w:jc w:val="center"/>
              <w:rPr>
                <w:rFonts w:hint="eastAsia" w:ascii="仿宋_GB2312" w:hAnsi="仿宋_GB2312" w:eastAsia="仿宋_GB2312" w:cs="仿宋_GB2312"/>
                <w:b w:val="0"/>
                <w:bCs w:val="0"/>
                <w:kern w:val="0"/>
                <w:sz w:val="24"/>
                <w:szCs w:val="24"/>
                <w:lang w:val="en-US" w:eastAsia="zh-CN"/>
              </w:rPr>
            </w:pPr>
            <w:r>
              <w:rPr>
                <w:rFonts w:hint="eastAsia" w:ascii="仿宋_GB2312" w:hAnsi="仿宋_GB2312" w:eastAsia="仿宋_GB2312" w:cs="仿宋_GB2312"/>
                <w:b w:val="0"/>
                <w:bCs w:val="0"/>
                <w:kern w:val="0"/>
                <w:sz w:val="24"/>
                <w:szCs w:val="24"/>
                <w:lang w:val="en-US" w:eastAsia="zh-CN"/>
              </w:rPr>
              <w:t>提出单位</w:t>
            </w:r>
          </w:p>
          <w:p>
            <w:pPr>
              <w:widowControl/>
              <w:spacing w:afterAutospacing="0"/>
              <w:jc w:val="center"/>
              <w:rPr>
                <w:rFonts w:hint="eastAsia" w:ascii="仿宋_GB2312" w:hAnsi="仿宋_GB2312" w:eastAsia="仿宋_GB2312" w:cs="仿宋_GB2312"/>
                <w:b w:val="0"/>
                <w:bCs w:val="0"/>
                <w:kern w:val="0"/>
                <w:sz w:val="24"/>
                <w:szCs w:val="24"/>
                <w:lang w:val="en-US" w:eastAsia="zh-CN"/>
              </w:rPr>
            </w:pPr>
            <w:r>
              <w:rPr>
                <w:rFonts w:hint="eastAsia" w:ascii="仿宋_GB2312" w:hAnsi="仿宋_GB2312" w:eastAsia="仿宋_GB2312" w:cs="仿宋_GB2312"/>
                <w:b w:val="0"/>
                <w:bCs w:val="0"/>
                <w:kern w:val="0"/>
                <w:sz w:val="24"/>
                <w:szCs w:val="24"/>
                <w:lang w:val="en-US" w:eastAsia="zh-CN"/>
              </w:rPr>
              <w:t>（或个人）</w:t>
            </w:r>
          </w:p>
        </w:tc>
        <w:tc>
          <w:tcPr>
            <w:tcW w:w="4580" w:type="dxa"/>
            <w:tcBorders>
              <w:top w:val="single" w:color="000000" w:sz="8" w:space="0"/>
              <w:left w:val="nil"/>
              <w:bottom w:val="single" w:color="000000" w:sz="8" w:space="0"/>
              <w:right w:val="single" w:color="000000" w:sz="4" w:space="0"/>
            </w:tcBorders>
            <w:noWrap w:val="0"/>
            <w:vAlign w:val="center"/>
          </w:tcPr>
          <w:p>
            <w:pPr>
              <w:widowControl/>
              <w:spacing w:afterAutospacing="0"/>
              <w:jc w:val="center"/>
              <w:rPr>
                <w:rFonts w:hint="eastAsia" w:ascii="仿宋_GB2312" w:hAnsi="仿宋_GB2312" w:eastAsia="仿宋_GB2312" w:cs="仿宋_GB2312"/>
                <w:b w:val="0"/>
                <w:bCs w:val="0"/>
                <w:kern w:val="0"/>
                <w:sz w:val="24"/>
                <w:szCs w:val="24"/>
                <w:lang w:val="en-US" w:eastAsia="zh-CN"/>
              </w:rPr>
            </w:pPr>
            <w:r>
              <w:rPr>
                <w:rFonts w:hint="eastAsia" w:ascii="仿宋_GB2312" w:hAnsi="仿宋_GB2312" w:eastAsia="仿宋_GB2312" w:cs="仿宋_GB2312"/>
                <w:b w:val="0"/>
                <w:bCs w:val="0"/>
                <w:kern w:val="0"/>
                <w:sz w:val="24"/>
                <w:szCs w:val="24"/>
                <w:lang w:val="en-US" w:eastAsia="zh-CN"/>
              </w:rPr>
              <w:t>处理意见</w:t>
            </w:r>
          </w:p>
          <w:p>
            <w:pPr>
              <w:widowControl/>
              <w:spacing w:afterAutospacing="0"/>
              <w:jc w:val="center"/>
              <w:rPr>
                <w:rFonts w:hint="eastAsia" w:ascii="仿宋_GB2312" w:hAnsi="仿宋_GB2312" w:eastAsia="仿宋_GB2312" w:cs="仿宋_GB2312"/>
                <w:b w:val="0"/>
                <w:bCs w:val="0"/>
                <w:kern w:val="0"/>
                <w:sz w:val="24"/>
                <w:szCs w:val="24"/>
                <w:lang w:val="en-US" w:eastAsia="zh-CN"/>
              </w:rPr>
            </w:pPr>
            <w:r>
              <w:rPr>
                <w:rFonts w:hint="eastAsia" w:ascii="仿宋_GB2312" w:hAnsi="仿宋_GB2312" w:eastAsia="仿宋_GB2312" w:cs="仿宋_GB2312"/>
                <w:b w:val="0"/>
                <w:bCs w:val="0"/>
                <w:kern w:val="0"/>
                <w:sz w:val="24"/>
                <w:szCs w:val="24"/>
                <w:lang w:val="en-US" w:eastAsia="zh-CN"/>
              </w:rPr>
              <w:t>(采纳/不采纳)</w:t>
            </w:r>
          </w:p>
        </w:tc>
        <w:tc>
          <w:tcPr>
            <w:tcW w:w="2073" w:type="dxa"/>
            <w:tcBorders>
              <w:top w:val="single" w:color="000000" w:sz="8" w:space="0"/>
              <w:left w:val="nil"/>
              <w:bottom w:val="single" w:color="000000" w:sz="8" w:space="0"/>
              <w:right w:val="single" w:color="000000" w:sz="8" w:space="0"/>
            </w:tcBorders>
            <w:noWrap w:val="0"/>
            <w:vAlign w:val="center"/>
          </w:tcPr>
          <w:p>
            <w:pPr>
              <w:widowControl/>
              <w:spacing w:afterAutospacing="0"/>
              <w:jc w:val="center"/>
              <w:rPr>
                <w:rFonts w:hint="eastAsia" w:ascii="仿宋_GB2312" w:hAnsi="仿宋_GB2312" w:eastAsia="仿宋_GB2312" w:cs="仿宋_GB2312"/>
                <w:b w:val="0"/>
                <w:bCs w:val="0"/>
                <w:kern w:val="0"/>
                <w:sz w:val="24"/>
                <w:szCs w:val="24"/>
                <w:lang w:val="en-US" w:eastAsia="zh-CN"/>
              </w:rPr>
            </w:pPr>
            <w:r>
              <w:rPr>
                <w:rFonts w:hint="eastAsia" w:ascii="仿宋_GB2312" w:hAnsi="仿宋_GB2312" w:eastAsia="仿宋_GB2312" w:cs="仿宋_GB2312"/>
                <w:b w:val="0"/>
                <w:bCs w:val="0"/>
                <w:kern w:val="0"/>
                <w:sz w:val="24"/>
                <w:szCs w:val="24"/>
                <w:lang w:val="en-US" w:eastAsia="zh-CN"/>
              </w:rPr>
              <w:t>意见处理说明</w:t>
            </w:r>
          </w:p>
          <w:p>
            <w:pPr>
              <w:widowControl/>
              <w:spacing w:afterAutospacing="0"/>
              <w:jc w:val="center"/>
              <w:rPr>
                <w:rFonts w:hint="eastAsia" w:ascii="仿宋_GB2312" w:hAnsi="仿宋_GB2312" w:eastAsia="仿宋_GB2312" w:cs="仿宋_GB2312"/>
                <w:b w:val="0"/>
                <w:bCs w:val="0"/>
                <w:kern w:val="0"/>
                <w:sz w:val="24"/>
                <w:szCs w:val="24"/>
                <w:lang w:val="en-US" w:eastAsia="zh-CN"/>
              </w:rPr>
            </w:pPr>
            <w:r>
              <w:rPr>
                <w:rFonts w:hint="eastAsia" w:ascii="仿宋_GB2312" w:hAnsi="仿宋_GB2312" w:eastAsia="仿宋_GB2312" w:cs="仿宋_GB2312"/>
                <w:b w:val="0"/>
                <w:bCs w:val="0"/>
                <w:kern w:val="0"/>
                <w:sz w:val="24"/>
                <w:szCs w:val="24"/>
                <w:lang w:val="en-US" w:eastAsia="zh-CN"/>
              </w:rPr>
              <w:t>（不采纳理由等）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00" w:type="dxa"/>
            <w:tcBorders>
              <w:top w:val="single" w:color="000000" w:sz="8" w:space="0"/>
              <w:left w:val="single" w:color="000000" w:sz="8" w:space="0"/>
              <w:bottom w:val="single" w:color="000000" w:sz="4" w:space="0"/>
              <w:right w:val="single" w:color="000000" w:sz="4" w:space="0"/>
            </w:tcBorders>
            <w:noWrap w:val="0"/>
            <w:vAlign w:val="center"/>
          </w:tcPr>
          <w:p>
            <w:pPr>
              <w:widowControl/>
              <w:ind w:left="-80" w:firstLine="80"/>
              <w:jc w:val="center"/>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1</w:t>
            </w:r>
          </w:p>
        </w:tc>
        <w:tc>
          <w:tcPr>
            <w:tcW w:w="1370" w:type="dxa"/>
            <w:tcBorders>
              <w:top w:val="single" w:color="000000" w:sz="8" w:space="0"/>
              <w:left w:val="nil"/>
              <w:bottom w:val="single" w:color="000000" w:sz="4" w:space="0"/>
              <w:right w:val="single" w:color="000000" w:sz="4" w:space="0"/>
            </w:tcBorders>
            <w:noWrap w:val="0"/>
            <w:vAlign w:val="center"/>
          </w:tcPr>
          <w:p>
            <w:pPr>
              <w:widowControl/>
              <w:jc w:val="center"/>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4.2</w:t>
            </w:r>
          </w:p>
        </w:tc>
        <w:tc>
          <w:tcPr>
            <w:tcW w:w="2870" w:type="dxa"/>
            <w:tcBorders>
              <w:top w:val="single" w:color="000000" w:sz="8" w:space="0"/>
              <w:left w:val="nil"/>
              <w:bottom w:val="single" w:color="000000" w:sz="4" w:space="0"/>
              <w:right w:val="single" w:color="000000" w:sz="4" w:space="0"/>
            </w:tcBorders>
            <w:noWrap w:val="0"/>
            <w:vAlign w:val="center"/>
          </w:tcPr>
          <w:p>
            <w:pPr>
              <w:widowControl/>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增加对农机作业质量的规范要求</w:t>
            </w:r>
          </w:p>
        </w:tc>
        <w:tc>
          <w:tcPr>
            <w:tcW w:w="2620" w:type="dxa"/>
            <w:tcBorders>
              <w:top w:val="single" w:color="000000" w:sz="8" w:space="0"/>
              <w:left w:val="nil"/>
              <w:bottom w:val="single" w:color="000000" w:sz="4" w:space="0"/>
              <w:right w:val="single" w:color="000000" w:sz="4" w:space="0"/>
            </w:tcBorders>
            <w:noWrap w:val="0"/>
            <w:vAlign w:val="center"/>
          </w:tcPr>
          <w:p>
            <w:pPr>
              <w:widowControl/>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山西农业大学农学院</w:t>
            </w:r>
          </w:p>
        </w:tc>
        <w:tc>
          <w:tcPr>
            <w:tcW w:w="4580" w:type="dxa"/>
            <w:tcBorders>
              <w:top w:val="single" w:color="000000" w:sz="8" w:space="0"/>
              <w:left w:val="nil"/>
              <w:bottom w:val="single" w:color="000000" w:sz="4" w:space="0"/>
              <w:right w:val="single" w:color="000000" w:sz="4" w:space="0"/>
            </w:tcBorders>
            <w:noWrap w:val="0"/>
            <w:vAlign w:val="center"/>
          </w:tcPr>
          <w:p>
            <w:pPr>
              <w:widowControl/>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修改“秸秆长度小于5 cm”为“秸秆长度小于10 cm”。（采纳）</w:t>
            </w:r>
          </w:p>
        </w:tc>
        <w:tc>
          <w:tcPr>
            <w:tcW w:w="2073" w:type="dxa"/>
            <w:tcBorders>
              <w:top w:val="single" w:color="000000" w:sz="8" w:space="0"/>
              <w:left w:val="nil"/>
              <w:bottom w:val="single" w:color="000000" w:sz="4" w:space="0"/>
              <w:right w:val="single" w:color="000000" w:sz="8" w:space="0"/>
            </w:tcBorders>
            <w:noWrap w:val="0"/>
            <w:vAlign w:val="top"/>
          </w:tcPr>
          <w:p>
            <w:pPr>
              <w:widowControl/>
              <w:rPr>
                <w:rFonts w:hint="eastAsia" w:ascii="仿宋_GB2312" w:hAnsi="仿宋_GB2312" w:eastAsia="仿宋_GB2312" w:cs="仿宋_GB2312"/>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00" w:type="dxa"/>
            <w:tcBorders>
              <w:top w:val="single" w:color="000000" w:sz="4" w:space="0"/>
              <w:left w:val="single" w:color="000000" w:sz="8" w:space="0"/>
              <w:bottom w:val="single" w:color="000000" w:sz="4" w:space="0"/>
              <w:right w:val="single" w:color="000000" w:sz="4" w:space="0"/>
            </w:tcBorders>
            <w:noWrap w:val="0"/>
            <w:vAlign w:val="center"/>
          </w:tcPr>
          <w:p>
            <w:pPr>
              <w:widowControl/>
              <w:ind w:left="-80" w:firstLine="80"/>
              <w:jc w:val="center"/>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2</w:t>
            </w:r>
          </w:p>
        </w:tc>
        <w:tc>
          <w:tcPr>
            <w:tcW w:w="1370" w:type="dxa"/>
            <w:tcBorders>
              <w:top w:val="single" w:color="000000" w:sz="4" w:space="0"/>
              <w:left w:val="nil"/>
              <w:bottom w:val="single" w:color="000000" w:sz="4" w:space="0"/>
              <w:right w:val="single" w:color="000000" w:sz="4" w:space="0"/>
            </w:tcBorders>
            <w:noWrap w:val="0"/>
            <w:vAlign w:val="center"/>
          </w:tcPr>
          <w:p>
            <w:pPr>
              <w:widowControl/>
              <w:jc w:val="center"/>
              <w:rPr>
                <w:rFonts w:hint="default"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4.2</w:t>
            </w:r>
          </w:p>
        </w:tc>
        <w:tc>
          <w:tcPr>
            <w:tcW w:w="2870" w:type="dxa"/>
            <w:tcBorders>
              <w:top w:val="single" w:color="000000" w:sz="4" w:space="0"/>
              <w:left w:val="nil"/>
              <w:bottom w:val="single" w:color="000000" w:sz="4" w:space="0"/>
              <w:right w:val="single" w:color="000000" w:sz="4" w:space="0"/>
            </w:tcBorders>
            <w:noWrap w:val="0"/>
            <w:vAlign w:val="center"/>
          </w:tcPr>
          <w:p>
            <w:pPr>
              <w:widowControl/>
              <w:rPr>
                <w:rFonts w:hint="default"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对草土混匀深埋距离进一步规范准确</w:t>
            </w:r>
          </w:p>
        </w:tc>
        <w:tc>
          <w:tcPr>
            <w:tcW w:w="2620" w:type="dxa"/>
            <w:tcBorders>
              <w:top w:val="single" w:color="000000" w:sz="4" w:space="0"/>
              <w:left w:val="nil"/>
              <w:bottom w:val="single" w:color="000000" w:sz="4" w:space="0"/>
              <w:right w:val="single" w:color="000000" w:sz="4" w:space="0"/>
            </w:tcBorders>
            <w:noWrap w:val="0"/>
            <w:vAlign w:val="center"/>
          </w:tcPr>
          <w:p>
            <w:pPr>
              <w:widowControl/>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山西农业大学植保学院</w:t>
            </w:r>
          </w:p>
        </w:tc>
        <w:tc>
          <w:tcPr>
            <w:tcW w:w="4580" w:type="dxa"/>
            <w:tcBorders>
              <w:top w:val="single" w:color="000000" w:sz="4" w:space="0"/>
              <w:left w:val="nil"/>
              <w:bottom w:val="single" w:color="000000" w:sz="4" w:space="0"/>
              <w:right w:val="single" w:color="000000" w:sz="4" w:space="0"/>
            </w:tcBorders>
            <w:noWrap w:val="0"/>
            <w:vAlign w:val="center"/>
          </w:tcPr>
          <w:p>
            <w:pPr>
              <w:widowControl/>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“草土混匀深埋”改为“草土混匀，埋草深度达到12-15cm”。（采纳）</w:t>
            </w:r>
          </w:p>
        </w:tc>
        <w:tc>
          <w:tcPr>
            <w:tcW w:w="2073" w:type="dxa"/>
            <w:tcBorders>
              <w:top w:val="single" w:color="000000" w:sz="4" w:space="0"/>
              <w:left w:val="nil"/>
              <w:bottom w:val="single" w:color="000000" w:sz="4" w:space="0"/>
              <w:right w:val="single" w:color="000000" w:sz="8" w:space="0"/>
            </w:tcBorders>
            <w:noWrap w:val="0"/>
            <w:vAlign w:val="top"/>
          </w:tcPr>
          <w:p>
            <w:pPr>
              <w:widowControl/>
              <w:rPr>
                <w:rFonts w:hint="eastAsia" w:ascii="仿宋_GB2312" w:hAnsi="仿宋_GB2312" w:eastAsia="仿宋_GB2312" w:cs="仿宋_GB2312"/>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00" w:type="dxa"/>
            <w:tcBorders>
              <w:top w:val="single" w:color="000000" w:sz="4" w:space="0"/>
              <w:left w:val="single" w:color="000000" w:sz="8" w:space="0"/>
              <w:bottom w:val="single" w:color="000000" w:sz="4" w:space="0"/>
              <w:right w:val="single" w:color="000000" w:sz="4" w:space="0"/>
            </w:tcBorders>
            <w:noWrap w:val="0"/>
            <w:vAlign w:val="center"/>
          </w:tcPr>
          <w:p>
            <w:pPr>
              <w:widowControl/>
              <w:ind w:left="-80" w:firstLine="80"/>
              <w:jc w:val="center"/>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3</w:t>
            </w:r>
          </w:p>
        </w:tc>
        <w:tc>
          <w:tcPr>
            <w:tcW w:w="1370" w:type="dxa"/>
            <w:tcBorders>
              <w:top w:val="single" w:color="000000" w:sz="4" w:space="0"/>
              <w:left w:val="nil"/>
              <w:bottom w:val="single" w:color="000000" w:sz="4" w:space="0"/>
              <w:right w:val="single" w:color="000000" w:sz="4" w:space="0"/>
            </w:tcBorders>
            <w:noWrap w:val="0"/>
            <w:vAlign w:val="center"/>
          </w:tcPr>
          <w:p>
            <w:pPr>
              <w:widowControl/>
              <w:jc w:val="center"/>
              <w:rPr>
                <w:rFonts w:hint="default"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4.4</w:t>
            </w:r>
          </w:p>
        </w:tc>
        <w:tc>
          <w:tcPr>
            <w:tcW w:w="2870" w:type="dxa"/>
            <w:tcBorders>
              <w:top w:val="single" w:color="000000" w:sz="4" w:space="0"/>
              <w:left w:val="nil"/>
              <w:bottom w:val="single" w:color="000000" w:sz="4" w:space="0"/>
              <w:right w:val="single" w:color="000000" w:sz="4" w:space="0"/>
            </w:tcBorders>
            <w:noWrap w:val="0"/>
            <w:vAlign w:val="center"/>
          </w:tcPr>
          <w:p>
            <w:pPr>
              <w:widowControl/>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秸秆还田和整地均属整地的范畴</w:t>
            </w:r>
          </w:p>
        </w:tc>
        <w:tc>
          <w:tcPr>
            <w:tcW w:w="2620" w:type="dxa"/>
            <w:tcBorders>
              <w:top w:val="single" w:color="000000" w:sz="4" w:space="0"/>
              <w:left w:val="nil"/>
              <w:bottom w:val="single" w:color="000000" w:sz="4" w:space="0"/>
              <w:right w:val="single" w:color="000000" w:sz="4" w:space="0"/>
            </w:tcBorders>
            <w:noWrap w:val="0"/>
            <w:vAlign w:val="center"/>
          </w:tcPr>
          <w:p>
            <w:pPr>
              <w:widowControl/>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山西农业大学农学院</w:t>
            </w:r>
          </w:p>
        </w:tc>
        <w:tc>
          <w:tcPr>
            <w:tcW w:w="4580" w:type="dxa"/>
            <w:tcBorders>
              <w:top w:val="single" w:color="000000" w:sz="4" w:space="0"/>
              <w:left w:val="nil"/>
              <w:bottom w:val="single" w:color="000000" w:sz="4" w:space="0"/>
              <w:right w:val="single" w:color="000000" w:sz="4" w:space="0"/>
            </w:tcBorders>
            <w:noWrap w:val="0"/>
            <w:vAlign w:val="center"/>
          </w:tcPr>
          <w:p>
            <w:pPr>
              <w:widowControl/>
              <w:rPr>
                <w:rFonts w:hint="default"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将4.4整地和4.2秸秆还田放在一个小节内容更完整。（采纳）</w:t>
            </w:r>
          </w:p>
        </w:tc>
        <w:tc>
          <w:tcPr>
            <w:tcW w:w="2073" w:type="dxa"/>
            <w:tcBorders>
              <w:top w:val="single" w:color="000000" w:sz="4" w:space="0"/>
              <w:left w:val="nil"/>
              <w:bottom w:val="single" w:color="000000" w:sz="4" w:space="0"/>
              <w:right w:val="single" w:color="000000" w:sz="8" w:space="0"/>
            </w:tcBorders>
            <w:noWrap w:val="0"/>
            <w:vAlign w:val="top"/>
          </w:tcPr>
          <w:p>
            <w:pPr>
              <w:widowControl/>
              <w:rPr>
                <w:rFonts w:hint="eastAsia" w:ascii="仿宋_GB2312" w:hAnsi="仿宋_GB2312" w:eastAsia="仿宋_GB2312" w:cs="仿宋_GB2312"/>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00" w:type="dxa"/>
            <w:tcBorders>
              <w:top w:val="single" w:color="000000" w:sz="4" w:space="0"/>
              <w:left w:val="single" w:color="000000" w:sz="8" w:space="0"/>
              <w:bottom w:val="single" w:color="000000" w:sz="4" w:space="0"/>
              <w:right w:val="single" w:color="000000" w:sz="4" w:space="0"/>
            </w:tcBorders>
            <w:noWrap w:val="0"/>
            <w:vAlign w:val="center"/>
          </w:tcPr>
          <w:p>
            <w:pPr>
              <w:widowControl/>
              <w:ind w:left="-80" w:firstLine="80"/>
              <w:jc w:val="center"/>
              <w:rPr>
                <w:rFonts w:hint="default"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4</w:t>
            </w:r>
          </w:p>
        </w:tc>
        <w:tc>
          <w:tcPr>
            <w:tcW w:w="1370" w:type="dxa"/>
            <w:tcBorders>
              <w:top w:val="single" w:color="000000" w:sz="4" w:space="0"/>
              <w:left w:val="nil"/>
              <w:bottom w:val="single" w:color="000000" w:sz="4" w:space="0"/>
              <w:right w:val="single" w:color="000000" w:sz="4" w:space="0"/>
            </w:tcBorders>
            <w:noWrap w:val="0"/>
            <w:vAlign w:val="center"/>
          </w:tcPr>
          <w:p>
            <w:pPr>
              <w:widowControl/>
              <w:jc w:val="center"/>
              <w:rPr>
                <w:rFonts w:hint="default"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5.3</w:t>
            </w:r>
          </w:p>
        </w:tc>
        <w:tc>
          <w:tcPr>
            <w:tcW w:w="2870" w:type="dxa"/>
            <w:tcBorders>
              <w:top w:val="single" w:color="000000" w:sz="4" w:space="0"/>
              <w:left w:val="nil"/>
              <w:bottom w:val="single" w:color="000000" w:sz="4" w:space="0"/>
              <w:right w:val="single" w:color="000000" w:sz="4" w:space="0"/>
            </w:tcBorders>
            <w:noWrap w:val="0"/>
            <w:vAlign w:val="center"/>
          </w:tcPr>
          <w:p>
            <w:pPr>
              <w:widowControl/>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将单位统一为国际标准单位</w:t>
            </w:r>
          </w:p>
        </w:tc>
        <w:tc>
          <w:tcPr>
            <w:tcW w:w="2620" w:type="dxa"/>
            <w:tcBorders>
              <w:top w:val="single" w:color="000000" w:sz="4" w:space="0"/>
              <w:left w:val="nil"/>
              <w:bottom w:val="single" w:color="000000" w:sz="4" w:space="0"/>
              <w:right w:val="single" w:color="000000" w:sz="4" w:space="0"/>
            </w:tcBorders>
            <w:noWrap w:val="0"/>
            <w:vAlign w:val="center"/>
          </w:tcPr>
          <w:p>
            <w:pPr>
              <w:widowControl/>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山西农业大学农学院</w:t>
            </w:r>
          </w:p>
        </w:tc>
        <w:tc>
          <w:tcPr>
            <w:tcW w:w="4580" w:type="dxa"/>
            <w:tcBorders>
              <w:top w:val="single" w:color="000000" w:sz="4" w:space="0"/>
              <w:left w:val="nil"/>
              <w:bottom w:val="single" w:color="000000" w:sz="4" w:space="0"/>
              <w:right w:val="single" w:color="000000" w:sz="4" w:space="0"/>
            </w:tcBorders>
            <w:noWrap w:val="0"/>
            <w:vAlign w:val="center"/>
          </w:tcPr>
          <w:p>
            <w:pPr>
              <w:widowControl/>
              <w:rPr>
                <w:rFonts w:hint="default"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修改“毫升”为“ml</w:t>
            </w:r>
            <w:r>
              <w:rPr>
                <w:rFonts w:hint="default" w:ascii="仿宋_GB2312" w:hAnsi="仿宋_GB2312" w:eastAsia="仿宋_GB2312" w:cs="仿宋_GB2312"/>
                <w:b w:val="0"/>
                <w:bCs/>
                <w:kern w:val="2"/>
                <w:sz w:val="24"/>
                <w:szCs w:val="24"/>
                <w:lang w:val="en-US" w:eastAsia="zh-CN" w:bidi="ar-SA"/>
              </w:rPr>
              <w:t>”</w:t>
            </w:r>
            <w:r>
              <w:rPr>
                <w:rFonts w:hint="eastAsia" w:ascii="仿宋_GB2312" w:hAnsi="仿宋_GB2312" w:eastAsia="仿宋_GB2312" w:cs="仿宋_GB2312"/>
                <w:b w:val="0"/>
                <w:bCs/>
                <w:kern w:val="2"/>
                <w:sz w:val="24"/>
                <w:szCs w:val="24"/>
                <w:lang w:val="en-US" w:eastAsia="zh-CN" w:bidi="ar-SA"/>
              </w:rPr>
              <w:t>。(采纳）</w:t>
            </w:r>
          </w:p>
        </w:tc>
        <w:tc>
          <w:tcPr>
            <w:tcW w:w="2073" w:type="dxa"/>
            <w:tcBorders>
              <w:top w:val="single" w:color="000000" w:sz="4" w:space="0"/>
              <w:left w:val="nil"/>
              <w:bottom w:val="single" w:color="000000" w:sz="4" w:space="0"/>
              <w:right w:val="single" w:color="000000" w:sz="8" w:space="0"/>
            </w:tcBorders>
            <w:noWrap w:val="0"/>
            <w:vAlign w:val="top"/>
          </w:tcPr>
          <w:p>
            <w:pPr>
              <w:widowControl/>
              <w:rPr>
                <w:rFonts w:hint="eastAsia" w:ascii="仿宋_GB2312" w:hAnsi="仿宋_GB2312" w:eastAsia="仿宋_GB2312" w:cs="仿宋_GB2312"/>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00" w:type="dxa"/>
            <w:tcBorders>
              <w:top w:val="single" w:color="000000" w:sz="4" w:space="0"/>
              <w:left w:val="single" w:color="000000" w:sz="8" w:space="0"/>
              <w:bottom w:val="single" w:color="000000" w:sz="4" w:space="0"/>
              <w:right w:val="single" w:color="000000" w:sz="4" w:space="0"/>
            </w:tcBorders>
            <w:noWrap w:val="0"/>
            <w:vAlign w:val="center"/>
          </w:tcPr>
          <w:p>
            <w:pPr>
              <w:widowControl/>
              <w:ind w:left="-80" w:firstLine="80"/>
              <w:jc w:val="center"/>
              <w:rPr>
                <w:rFonts w:hint="default"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5</w:t>
            </w:r>
          </w:p>
        </w:tc>
        <w:tc>
          <w:tcPr>
            <w:tcW w:w="1370" w:type="dxa"/>
            <w:tcBorders>
              <w:top w:val="single" w:color="000000" w:sz="4" w:space="0"/>
              <w:left w:val="nil"/>
              <w:bottom w:val="single" w:color="000000" w:sz="4" w:space="0"/>
              <w:right w:val="single" w:color="000000" w:sz="4" w:space="0"/>
            </w:tcBorders>
            <w:noWrap w:val="0"/>
            <w:vAlign w:val="center"/>
          </w:tcPr>
          <w:p>
            <w:pPr>
              <w:widowControl/>
              <w:jc w:val="center"/>
              <w:rPr>
                <w:rFonts w:hint="default"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5.4</w:t>
            </w:r>
          </w:p>
        </w:tc>
        <w:tc>
          <w:tcPr>
            <w:tcW w:w="2870" w:type="dxa"/>
            <w:tcBorders>
              <w:top w:val="single" w:color="000000" w:sz="4" w:space="0"/>
              <w:left w:val="nil"/>
              <w:bottom w:val="single" w:color="000000" w:sz="4" w:space="0"/>
              <w:right w:val="single" w:color="000000" w:sz="4" w:space="0"/>
            </w:tcBorders>
            <w:noWrap w:val="0"/>
            <w:vAlign w:val="center"/>
          </w:tcPr>
          <w:p>
            <w:pPr>
              <w:widowControl/>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有机肥的不再分等级</w:t>
            </w:r>
          </w:p>
        </w:tc>
        <w:tc>
          <w:tcPr>
            <w:tcW w:w="2620" w:type="dxa"/>
            <w:tcBorders>
              <w:top w:val="single" w:color="000000" w:sz="4" w:space="0"/>
              <w:left w:val="nil"/>
              <w:bottom w:val="single" w:color="000000" w:sz="4" w:space="0"/>
              <w:right w:val="single" w:color="000000" w:sz="4" w:space="0"/>
            </w:tcBorders>
            <w:noWrap w:val="0"/>
            <w:vAlign w:val="center"/>
          </w:tcPr>
          <w:p>
            <w:pPr>
              <w:widowControl/>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山西农业大学植保学院</w:t>
            </w:r>
          </w:p>
        </w:tc>
        <w:tc>
          <w:tcPr>
            <w:tcW w:w="4580" w:type="dxa"/>
            <w:tcBorders>
              <w:top w:val="single" w:color="000000" w:sz="4" w:space="0"/>
              <w:left w:val="nil"/>
              <w:bottom w:val="single" w:color="000000" w:sz="4" w:space="0"/>
              <w:right w:val="single" w:color="000000" w:sz="4" w:space="0"/>
            </w:tcBorders>
            <w:noWrap w:val="0"/>
            <w:vAlign w:val="center"/>
          </w:tcPr>
          <w:p>
            <w:pPr>
              <w:widowControl/>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修改“亩施优质有机肥”为“亩施有机肥”(采纳）</w:t>
            </w:r>
          </w:p>
        </w:tc>
        <w:tc>
          <w:tcPr>
            <w:tcW w:w="2073" w:type="dxa"/>
            <w:tcBorders>
              <w:top w:val="single" w:color="000000" w:sz="4" w:space="0"/>
              <w:left w:val="nil"/>
              <w:bottom w:val="single" w:color="000000" w:sz="4" w:space="0"/>
              <w:right w:val="single" w:color="000000" w:sz="8" w:space="0"/>
            </w:tcBorders>
            <w:noWrap w:val="0"/>
            <w:vAlign w:val="top"/>
          </w:tcPr>
          <w:p>
            <w:pPr>
              <w:widowControl/>
              <w:rPr>
                <w:rFonts w:hint="eastAsia" w:ascii="仿宋_GB2312" w:hAnsi="仿宋_GB2312" w:eastAsia="仿宋_GB2312" w:cs="仿宋_GB2312"/>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00" w:type="dxa"/>
            <w:tcBorders>
              <w:top w:val="single" w:color="000000" w:sz="4" w:space="0"/>
              <w:left w:val="single" w:color="000000" w:sz="8" w:space="0"/>
              <w:bottom w:val="single" w:color="000000" w:sz="4" w:space="0"/>
              <w:right w:val="single" w:color="000000" w:sz="4" w:space="0"/>
            </w:tcBorders>
            <w:noWrap w:val="0"/>
            <w:vAlign w:val="center"/>
          </w:tcPr>
          <w:p>
            <w:pPr>
              <w:widowControl/>
              <w:ind w:left="-80" w:firstLine="80"/>
              <w:jc w:val="center"/>
              <w:rPr>
                <w:rFonts w:hint="default"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6</w:t>
            </w:r>
          </w:p>
        </w:tc>
        <w:tc>
          <w:tcPr>
            <w:tcW w:w="1370" w:type="dxa"/>
            <w:tcBorders>
              <w:top w:val="single" w:color="000000" w:sz="4" w:space="0"/>
              <w:left w:val="nil"/>
              <w:bottom w:val="single" w:color="000000" w:sz="4" w:space="0"/>
              <w:right w:val="single" w:color="000000" w:sz="4" w:space="0"/>
            </w:tcBorders>
            <w:noWrap w:val="0"/>
            <w:vAlign w:val="center"/>
          </w:tcPr>
          <w:p>
            <w:pPr>
              <w:widowControl/>
              <w:jc w:val="center"/>
              <w:rPr>
                <w:rFonts w:hint="default"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5.4</w:t>
            </w:r>
          </w:p>
        </w:tc>
        <w:tc>
          <w:tcPr>
            <w:tcW w:w="2870" w:type="dxa"/>
            <w:tcBorders>
              <w:top w:val="single" w:color="000000" w:sz="4" w:space="0"/>
              <w:left w:val="nil"/>
              <w:bottom w:val="single" w:color="000000" w:sz="4" w:space="0"/>
              <w:right w:val="single" w:color="000000" w:sz="4" w:space="0"/>
            </w:tcBorders>
            <w:noWrap w:val="0"/>
            <w:vAlign w:val="center"/>
          </w:tcPr>
          <w:p>
            <w:pPr>
              <w:widowControl/>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增加钾肥的用量</w:t>
            </w:r>
          </w:p>
        </w:tc>
        <w:tc>
          <w:tcPr>
            <w:tcW w:w="2620" w:type="dxa"/>
            <w:tcBorders>
              <w:top w:val="single" w:color="000000" w:sz="4" w:space="0"/>
              <w:left w:val="nil"/>
              <w:bottom w:val="single" w:color="000000" w:sz="4" w:space="0"/>
              <w:right w:val="single" w:color="000000" w:sz="4" w:space="0"/>
            </w:tcBorders>
            <w:noWrap w:val="0"/>
            <w:vAlign w:val="center"/>
          </w:tcPr>
          <w:p>
            <w:pPr>
              <w:widowControl/>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山西农业大学植保学院</w:t>
            </w:r>
          </w:p>
        </w:tc>
        <w:tc>
          <w:tcPr>
            <w:tcW w:w="4580" w:type="dxa"/>
            <w:tcBorders>
              <w:top w:val="single" w:color="000000" w:sz="4" w:space="0"/>
              <w:left w:val="nil"/>
              <w:bottom w:val="single" w:color="000000" w:sz="4" w:space="0"/>
              <w:right w:val="single" w:color="000000" w:sz="4" w:space="0"/>
            </w:tcBorders>
            <w:noWrap w:val="0"/>
            <w:vAlign w:val="center"/>
          </w:tcPr>
          <w:p>
            <w:pPr>
              <w:widowControl/>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增加“钾肥3 kg～5 kg”。(采纳）</w:t>
            </w:r>
          </w:p>
        </w:tc>
        <w:tc>
          <w:tcPr>
            <w:tcW w:w="2073" w:type="dxa"/>
            <w:tcBorders>
              <w:top w:val="single" w:color="000000" w:sz="4" w:space="0"/>
              <w:left w:val="nil"/>
              <w:bottom w:val="single" w:color="000000" w:sz="4" w:space="0"/>
              <w:right w:val="single" w:color="000000" w:sz="8" w:space="0"/>
            </w:tcBorders>
            <w:noWrap w:val="0"/>
            <w:vAlign w:val="top"/>
          </w:tcPr>
          <w:p>
            <w:pPr>
              <w:widowControl/>
              <w:rPr>
                <w:rFonts w:hint="eastAsia" w:ascii="仿宋_GB2312" w:hAnsi="仿宋_GB2312" w:eastAsia="仿宋_GB2312" w:cs="仿宋_GB2312"/>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00" w:type="dxa"/>
            <w:tcBorders>
              <w:top w:val="single" w:color="000000" w:sz="4" w:space="0"/>
              <w:left w:val="single" w:color="000000" w:sz="8" w:space="0"/>
              <w:bottom w:val="single" w:color="000000" w:sz="4" w:space="0"/>
              <w:right w:val="single" w:color="000000" w:sz="4" w:space="0"/>
            </w:tcBorders>
            <w:noWrap w:val="0"/>
            <w:vAlign w:val="center"/>
          </w:tcPr>
          <w:p>
            <w:pPr>
              <w:widowControl/>
              <w:ind w:left="-80" w:firstLine="80"/>
              <w:jc w:val="center"/>
              <w:rPr>
                <w:rFonts w:hint="default"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7</w:t>
            </w:r>
          </w:p>
        </w:tc>
        <w:tc>
          <w:tcPr>
            <w:tcW w:w="1370" w:type="dxa"/>
            <w:tcBorders>
              <w:top w:val="single" w:color="000000" w:sz="4" w:space="0"/>
              <w:left w:val="nil"/>
              <w:bottom w:val="single" w:color="000000" w:sz="4" w:space="0"/>
              <w:right w:val="single" w:color="000000" w:sz="4" w:space="0"/>
            </w:tcBorders>
            <w:noWrap w:val="0"/>
            <w:vAlign w:val="center"/>
          </w:tcPr>
          <w:p>
            <w:pPr>
              <w:widowControl/>
              <w:jc w:val="center"/>
              <w:rPr>
                <w:rFonts w:hint="default"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5.4</w:t>
            </w:r>
          </w:p>
        </w:tc>
        <w:tc>
          <w:tcPr>
            <w:tcW w:w="2870" w:type="dxa"/>
            <w:tcBorders>
              <w:top w:val="single" w:color="000000" w:sz="4" w:space="0"/>
              <w:left w:val="nil"/>
              <w:bottom w:val="single" w:color="000000" w:sz="4" w:space="0"/>
              <w:right w:val="single" w:color="000000" w:sz="4" w:space="0"/>
            </w:tcBorders>
            <w:noWrap w:val="0"/>
            <w:vAlign w:val="center"/>
          </w:tcPr>
          <w:p>
            <w:pPr>
              <w:widowControl/>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硫肥不好用，没有很好的硫肥</w:t>
            </w:r>
          </w:p>
        </w:tc>
        <w:tc>
          <w:tcPr>
            <w:tcW w:w="2620" w:type="dxa"/>
            <w:tcBorders>
              <w:top w:val="single" w:color="000000" w:sz="4" w:space="0"/>
              <w:left w:val="nil"/>
              <w:bottom w:val="single" w:color="000000" w:sz="4" w:space="0"/>
              <w:right w:val="single" w:color="000000" w:sz="4" w:space="0"/>
            </w:tcBorders>
            <w:noWrap w:val="0"/>
            <w:vAlign w:val="center"/>
          </w:tcPr>
          <w:p>
            <w:pPr>
              <w:widowControl/>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山西农业大学植保学院</w:t>
            </w:r>
          </w:p>
        </w:tc>
        <w:tc>
          <w:tcPr>
            <w:tcW w:w="4580" w:type="dxa"/>
            <w:tcBorders>
              <w:top w:val="single" w:color="000000" w:sz="4" w:space="0"/>
              <w:left w:val="nil"/>
              <w:bottom w:val="single" w:color="000000" w:sz="4" w:space="0"/>
              <w:right w:val="single" w:color="000000" w:sz="4" w:space="0"/>
            </w:tcBorders>
            <w:noWrap w:val="0"/>
            <w:vAlign w:val="center"/>
          </w:tcPr>
          <w:p>
            <w:pPr>
              <w:widowControl/>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“可适当增施硫肥”建议删除。（采纳）</w:t>
            </w:r>
          </w:p>
        </w:tc>
        <w:tc>
          <w:tcPr>
            <w:tcW w:w="2073" w:type="dxa"/>
            <w:tcBorders>
              <w:top w:val="single" w:color="000000" w:sz="4" w:space="0"/>
              <w:left w:val="nil"/>
              <w:bottom w:val="single" w:color="000000" w:sz="4" w:space="0"/>
              <w:right w:val="single" w:color="000000" w:sz="8" w:space="0"/>
            </w:tcBorders>
            <w:noWrap w:val="0"/>
            <w:vAlign w:val="top"/>
          </w:tcPr>
          <w:p>
            <w:pPr>
              <w:widowControl/>
              <w:rPr>
                <w:rFonts w:hint="eastAsia" w:ascii="仿宋_GB2312" w:hAnsi="仿宋_GB2312" w:eastAsia="仿宋_GB2312" w:cs="仿宋_GB2312"/>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00" w:type="dxa"/>
            <w:tcBorders>
              <w:top w:val="single" w:color="000000" w:sz="4" w:space="0"/>
              <w:left w:val="single" w:color="000000" w:sz="8" w:space="0"/>
              <w:bottom w:val="single" w:color="000000" w:sz="4" w:space="0"/>
              <w:right w:val="single" w:color="000000" w:sz="4" w:space="0"/>
            </w:tcBorders>
            <w:noWrap w:val="0"/>
            <w:vAlign w:val="center"/>
          </w:tcPr>
          <w:p>
            <w:pPr>
              <w:widowControl/>
              <w:ind w:left="-80" w:firstLine="80"/>
              <w:jc w:val="center"/>
              <w:rPr>
                <w:rFonts w:hint="default"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8</w:t>
            </w:r>
          </w:p>
        </w:tc>
        <w:tc>
          <w:tcPr>
            <w:tcW w:w="1370" w:type="dxa"/>
            <w:tcBorders>
              <w:top w:val="single" w:color="000000" w:sz="4" w:space="0"/>
              <w:left w:val="nil"/>
              <w:bottom w:val="single" w:color="000000" w:sz="4" w:space="0"/>
              <w:right w:val="single" w:color="000000" w:sz="4" w:space="0"/>
            </w:tcBorders>
            <w:noWrap w:val="0"/>
            <w:vAlign w:val="center"/>
          </w:tcPr>
          <w:p>
            <w:pPr>
              <w:widowControl/>
              <w:jc w:val="center"/>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5.5.4</w:t>
            </w:r>
          </w:p>
        </w:tc>
        <w:tc>
          <w:tcPr>
            <w:tcW w:w="2870" w:type="dxa"/>
            <w:tcBorders>
              <w:top w:val="single" w:color="000000" w:sz="4" w:space="0"/>
              <w:left w:val="nil"/>
              <w:bottom w:val="single" w:color="000000" w:sz="4" w:space="0"/>
              <w:right w:val="single" w:color="000000" w:sz="4" w:space="0"/>
            </w:tcBorders>
            <w:noWrap w:val="0"/>
            <w:vAlign w:val="center"/>
          </w:tcPr>
          <w:p>
            <w:pPr>
              <w:widowControl/>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宽幅播种中冬小麦亩播量和5.5.2播量重复，建议删除</w:t>
            </w:r>
          </w:p>
        </w:tc>
        <w:tc>
          <w:tcPr>
            <w:tcW w:w="2620" w:type="dxa"/>
            <w:tcBorders>
              <w:top w:val="single" w:color="000000" w:sz="4" w:space="0"/>
              <w:left w:val="nil"/>
              <w:bottom w:val="single" w:color="000000" w:sz="4" w:space="0"/>
              <w:right w:val="single" w:color="000000" w:sz="4" w:space="0"/>
            </w:tcBorders>
            <w:noWrap w:val="0"/>
            <w:vAlign w:val="center"/>
          </w:tcPr>
          <w:p>
            <w:pPr>
              <w:widowControl/>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山西农业大学农学院</w:t>
            </w:r>
          </w:p>
        </w:tc>
        <w:tc>
          <w:tcPr>
            <w:tcW w:w="4580" w:type="dxa"/>
            <w:tcBorders>
              <w:top w:val="single" w:color="000000" w:sz="4" w:space="0"/>
              <w:left w:val="nil"/>
              <w:bottom w:val="single" w:color="000000" w:sz="4" w:space="0"/>
              <w:right w:val="single" w:color="000000" w:sz="4" w:space="0"/>
            </w:tcBorders>
            <w:noWrap w:val="0"/>
            <w:vAlign w:val="center"/>
          </w:tcPr>
          <w:p>
            <w:pPr>
              <w:widowControl/>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“水地亩播量12.5～15公斤，旱地小麦亩播量7.5～10公斤。”建议删除。（采纳）</w:t>
            </w:r>
          </w:p>
        </w:tc>
        <w:tc>
          <w:tcPr>
            <w:tcW w:w="2073" w:type="dxa"/>
            <w:tcBorders>
              <w:top w:val="single" w:color="000000" w:sz="4" w:space="0"/>
              <w:left w:val="nil"/>
              <w:bottom w:val="single" w:color="000000" w:sz="4" w:space="0"/>
              <w:right w:val="single" w:color="000000" w:sz="8" w:space="0"/>
            </w:tcBorders>
            <w:noWrap w:val="0"/>
            <w:vAlign w:val="top"/>
          </w:tcPr>
          <w:p>
            <w:pPr>
              <w:widowControl/>
              <w:rPr>
                <w:rFonts w:hint="eastAsia" w:ascii="仿宋_GB2312" w:hAnsi="仿宋_GB2312" w:eastAsia="仿宋_GB2312" w:cs="仿宋_GB2312"/>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00" w:type="dxa"/>
            <w:tcBorders>
              <w:top w:val="single" w:color="000000" w:sz="4" w:space="0"/>
              <w:left w:val="single" w:color="000000" w:sz="8" w:space="0"/>
              <w:bottom w:val="single" w:color="000000" w:sz="4" w:space="0"/>
              <w:right w:val="single" w:color="000000" w:sz="4" w:space="0"/>
            </w:tcBorders>
            <w:noWrap w:val="0"/>
            <w:vAlign w:val="center"/>
          </w:tcPr>
          <w:p>
            <w:pPr>
              <w:widowControl/>
              <w:ind w:left="-80" w:firstLine="80"/>
              <w:jc w:val="center"/>
              <w:rPr>
                <w:rFonts w:hint="default"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9</w:t>
            </w:r>
          </w:p>
        </w:tc>
        <w:tc>
          <w:tcPr>
            <w:tcW w:w="1370" w:type="dxa"/>
            <w:tcBorders>
              <w:top w:val="single" w:color="000000" w:sz="4" w:space="0"/>
              <w:left w:val="nil"/>
              <w:bottom w:val="single" w:color="000000" w:sz="4" w:space="0"/>
              <w:right w:val="single" w:color="000000" w:sz="4" w:space="0"/>
            </w:tcBorders>
            <w:noWrap w:val="0"/>
            <w:vAlign w:val="center"/>
          </w:tcPr>
          <w:p>
            <w:pPr>
              <w:widowControl/>
              <w:jc w:val="center"/>
              <w:rPr>
                <w:rFonts w:hint="default"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6.2.22</w:t>
            </w:r>
          </w:p>
        </w:tc>
        <w:tc>
          <w:tcPr>
            <w:tcW w:w="2870" w:type="dxa"/>
            <w:tcBorders>
              <w:top w:val="single" w:color="000000" w:sz="4" w:space="0"/>
              <w:left w:val="nil"/>
              <w:bottom w:val="single" w:color="000000" w:sz="4" w:space="0"/>
              <w:right w:val="single" w:color="000000" w:sz="4" w:space="0"/>
            </w:tcBorders>
            <w:noWrap w:val="0"/>
            <w:vAlign w:val="center"/>
          </w:tcPr>
          <w:p>
            <w:pPr>
              <w:widowControl/>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病虫草害单独放一章</w:t>
            </w:r>
          </w:p>
        </w:tc>
        <w:tc>
          <w:tcPr>
            <w:tcW w:w="2620" w:type="dxa"/>
            <w:tcBorders>
              <w:top w:val="single" w:color="000000" w:sz="4" w:space="0"/>
              <w:left w:val="nil"/>
              <w:bottom w:val="single" w:color="000000" w:sz="4" w:space="0"/>
              <w:right w:val="single" w:color="000000" w:sz="4" w:space="0"/>
            </w:tcBorders>
            <w:noWrap w:val="0"/>
            <w:vAlign w:val="center"/>
          </w:tcPr>
          <w:p>
            <w:pPr>
              <w:widowControl/>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山西农业大学植保学院</w:t>
            </w:r>
          </w:p>
        </w:tc>
        <w:tc>
          <w:tcPr>
            <w:tcW w:w="4580" w:type="dxa"/>
            <w:tcBorders>
              <w:top w:val="single" w:color="000000" w:sz="4" w:space="0"/>
              <w:left w:val="nil"/>
              <w:bottom w:val="single" w:color="000000" w:sz="4" w:space="0"/>
              <w:right w:val="single" w:color="000000" w:sz="4" w:space="0"/>
            </w:tcBorders>
            <w:noWrap w:val="0"/>
            <w:vAlign w:val="center"/>
          </w:tcPr>
          <w:p>
            <w:pPr>
              <w:widowControl/>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病虫草害作为附录附后。（采纳）</w:t>
            </w:r>
          </w:p>
        </w:tc>
        <w:tc>
          <w:tcPr>
            <w:tcW w:w="2073" w:type="dxa"/>
            <w:tcBorders>
              <w:top w:val="single" w:color="000000" w:sz="4" w:space="0"/>
              <w:left w:val="nil"/>
              <w:bottom w:val="single" w:color="000000" w:sz="4" w:space="0"/>
              <w:right w:val="single" w:color="000000" w:sz="8" w:space="0"/>
            </w:tcBorders>
            <w:noWrap w:val="0"/>
            <w:vAlign w:val="top"/>
          </w:tcPr>
          <w:p>
            <w:pPr>
              <w:widowControl/>
              <w:rPr>
                <w:rFonts w:hint="eastAsia" w:ascii="仿宋_GB2312" w:hAnsi="仿宋_GB2312" w:eastAsia="仿宋_GB2312" w:cs="仿宋_GB2312"/>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00" w:type="dxa"/>
            <w:tcBorders>
              <w:top w:val="single" w:color="000000" w:sz="4" w:space="0"/>
              <w:left w:val="single" w:color="000000" w:sz="8" w:space="0"/>
              <w:bottom w:val="single" w:color="000000" w:sz="4" w:space="0"/>
              <w:right w:val="single" w:color="000000" w:sz="4" w:space="0"/>
            </w:tcBorders>
            <w:noWrap w:val="0"/>
            <w:vAlign w:val="center"/>
          </w:tcPr>
          <w:p>
            <w:pPr>
              <w:widowControl/>
              <w:ind w:left="-80" w:firstLine="80"/>
              <w:jc w:val="center"/>
              <w:rPr>
                <w:rFonts w:hint="default"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10</w:t>
            </w:r>
          </w:p>
        </w:tc>
        <w:tc>
          <w:tcPr>
            <w:tcW w:w="1370" w:type="dxa"/>
            <w:tcBorders>
              <w:top w:val="single" w:color="000000" w:sz="4" w:space="0"/>
              <w:left w:val="nil"/>
              <w:bottom w:val="single" w:color="000000" w:sz="4" w:space="0"/>
              <w:right w:val="single" w:color="000000" w:sz="4" w:space="0"/>
            </w:tcBorders>
            <w:noWrap w:val="0"/>
            <w:vAlign w:val="center"/>
          </w:tcPr>
          <w:p>
            <w:pPr>
              <w:widowControl/>
              <w:jc w:val="center"/>
              <w:rPr>
                <w:rFonts w:hint="default"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6.3.2.3</w:t>
            </w:r>
          </w:p>
        </w:tc>
        <w:tc>
          <w:tcPr>
            <w:tcW w:w="2870" w:type="dxa"/>
            <w:tcBorders>
              <w:top w:val="single" w:color="000000" w:sz="4" w:space="0"/>
              <w:left w:val="nil"/>
              <w:bottom w:val="single" w:color="000000" w:sz="4" w:space="0"/>
              <w:right w:val="single" w:color="000000" w:sz="4" w:space="0"/>
            </w:tcBorders>
            <w:noWrap w:val="0"/>
            <w:vAlign w:val="center"/>
          </w:tcPr>
          <w:p>
            <w:pPr>
              <w:widowControl/>
              <w:rPr>
                <w:rFonts w:hint="default"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GB 4285-1989已废止</w:t>
            </w:r>
          </w:p>
        </w:tc>
        <w:tc>
          <w:tcPr>
            <w:tcW w:w="2620" w:type="dxa"/>
            <w:tcBorders>
              <w:top w:val="single" w:color="000000" w:sz="4" w:space="0"/>
              <w:left w:val="nil"/>
              <w:bottom w:val="single" w:color="000000" w:sz="4" w:space="0"/>
              <w:right w:val="single" w:color="000000" w:sz="4" w:space="0"/>
            </w:tcBorders>
            <w:noWrap w:val="0"/>
            <w:vAlign w:val="center"/>
          </w:tcPr>
          <w:p>
            <w:pPr>
              <w:widowControl/>
              <w:jc w:val="center"/>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山西农业大学植保学院</w:t>
            </w:r>
          </w:p>
        </w:tc>
        <w:tc>
          <w:tcPr>
            <w:tcW w:w="4580" w:type="dxa"/>
            <w:tcBorders>
              <w:top w:val="single" w:color="000000" w:sz="4" w:space="0"/>
              <w:left w:val="nil"/>
              <w:bottom w:val="single" w:color="000000" w:sz="4" w:space="0"/>
              <w:right w:val="single" w:color="000000" w:sz="4" w:space="0"/>
            </w:tcBorders>
            <w:noWrap w:val="0"/>
            <w:vAlign w:val="center"/>
          </w:tcPr>
          <w:p>
            <w:pPr>
              <w:pStyle w:val="14"/>
              <w:keepNext w:val="0"/>
              <w:keepLines w:val="0"/>
              <w:pageBreakBefore w:val="0"/>
              <w:widowControl/>
              <w:kinsoku/>
              <w:wordWrap/>
              <w:overflowPunct/>
              <w:topLinePunct w:val="0"/>
              <w:autoSpaceDE w:val="0"/>
              <w:autoSpaceDN w:val="0"/>
              <w:bidi w:val="0"/>
              <w:adjustRightInd/>
              <w:snapToGrid/>
              <w:spacing w:before="0" w:beforeLines="0" w:after="0" w:afterLines="0" w:line="300" w:lineRule="exact"/>
              <w:ind w:left="0" w:leftChars="0" w:right="0" w:rightChars="0" w:firstLine="0" w:firstLineChars="0"/>
              <w:jc w:val="both"/>
              <w:textAlignment w:val="auto"/>
              <w:outlineLvl w:val="9"/>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“GB 4285-1989”建议删除。（采纳）</w:t>
            </w:r>
          </w:p>
        </w:tc>
        <w:tc>
          <w:tcPr>
            <w:tcW w:w="2073" w:type="dxa"/>
            <w:tcBorders>
              <w:top w:val="single" w:color="000000" w:sz="4" w:space="0"/>
              <w:left w:val="nil"/>
              <w:bottom w:val="single" w:color="000000" w:sz="4" w:space="0"/>
              <w:right w:val="single" w:color="000000" w:sz="8" w:space="0"/>
            </w:tcBorders>
            <w:noWrap w:val="0"/>
            <w:vAlign w:val="top"/>
          </w:tcPr>
          <w:p>
            <w:pPr>
              <w:widowControl/>
              <w:rPr>
                <w:rFonts w:hint="eastAsia" w:ascii="仿宋_GB2312" w:hAnsi="仿宋_GB2312" w:eastAsia="仿宋_GB2312" w:cs="仿宋_GB2312"/>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14" w:hRule="atLeast"/>
        </w:trPr>
        <w:tc>
          <w:tcPr>
            <w:tcW w:w="14113" w:type="dxa"/>
            <w:gridSpan w:val="6"/>
            <w:tcBorders>
              <w:top w:val="single" w:color="000000" w:sz="4" w:space="0"/>
              <w:left w:val="single" w:color="000000" w:sz="8" w:space="0"/>
              <w:bottom w:val="single" w:color="000000" w:sz="4" w:space="0"/>
              <w:right w:val="single" w:color="000000" w:sz="8" w:space="0"/>
            </w:tcBorders>
            <w:noWrap w:val="0"/>
            <w:vAlign w:val="center"/>
          </w:tcPr>
          <w:p>
            <w:pPr>
              <w:ind w:left="0" w:leftChars="0" w:right="0" w:rightChars="0" w:firstLine="0" w:firstLineChars="0"/>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说明：1、针对明确回复无意见的单位，请在“意见内容”中注明无意见，在“提出单位”中列出无意见单位名称。</w:t>
            </w:r>
          </w:p>
          <w:p>
            <w:pPr>
              <w:ind w:right="0" w:rightChars="0"/>
              <w:jc w:val="both"/>
              <w:rPr>
                <w:rFonts w:hint="eastAsia" w:ascii="仿宋_GB2312" w:hAnsi="仿宋_GB2312" w:eastAsia="仿宋_GB2312" w:cs="仿宋_GB2312"/>
                <w:i/>
                <w:iCs/>
                <w:sz w:val="24"/>
                <w:szCs w:val="24"/>
                <w:lang w:val="en-US" w:eastAsia="zh-CN"/>
              </w:rPr>
            </w:pPr>
            <w:bookmarkStart w:id="8" w:name="_GoBack"/>
            <w:bookmarkEnd w:id="8"/>
            <w:r>
              <w:rPr>
                <w:rFonts w:hint="eastAsia" w:ascii="仿宋_GB2312" w:hAnsi="仿宋_GB2312" w:eastAsia="仿宋_GB2312" w:cs="仿宋_GB2312"/>
                <w:b w:val="0"/>
                <w:bCs/>
                <w:kern w:val="2"/>
                <w:sz w:val="24"/>
                <w:szCs w:val="24"/>
                <w:lang w:val="en-US" w:eastAsia="zh-CN" w:bidi="ar-SA"/>
              </w:rPr>
              <w:t>2、发送征求意见稿单位数</w:t>
            </w:r>
            <w:r>
              <w:rPr>
                <w:rFonts w:hint="eastAsia" w:ascii="仿宋_GB2312" w:hAnsi="仿宋_GB2312" w:eastAsia="仿宋_GB2312" w:cs="仿宋_GB2312"/>
                <w:b w:val="0"/>
                <w:bCs/>
                <w:kern w:val="2"/>
                <w:sz w:val="24"/>
                <w:szCs w:val="24"/>
                <w:u w:val="single"/>
                <w:lang w:val="en-US" w:eastAsia="zh-CN" w:bidi="ar-SA"/>
              </w:rPr>
              <w:t>2</w:t>
            </w:r>
            <w:r>
              <w:rPr>
                <w:rFonts w:hint="eastAsia" w:ascii="仿宋_GB2312" w:hAnsi="仿宋_GB2312" w:eastAsia="仿宋_GB2312" w:cs="仿宋_GB2312"/>
                <w:b w:val="0"/>
                <w:bCs/>
                <w:kern w:val="2"/>
                <w:sz w:val="24"/>
                <w:szCs w:val="24"/>
                <w:lang w:val="en-US" w:eastAsia="zh-CN" w:bidi="ar-SA"/>
              </w:rPr>
              <w:t>个；回到征求意见稿回函的单位数</w:t>
            </w:r>
            <w:r>
              <w:rPr>
                <w:rFonts w:hint="eastAsia" w:ascii="仿宋_GB2312" w:hAnsi="仿宋_GB2312" w:eastAsia="仿宋_GB2312" w:cs="仿宋_GB2312"/>
                <w:b w:val="0"/>
                <w:bCs/>
                <w:kern w:val="2"/>
                <w:sz w:val="24"/>
                <w:szCs w:val="24"/>
                <w:u w:val="single"/>
                <w:lang w:val="en-US" w:eastAsia="zh-CN" w:bidi="ar-SA"/>
              </w:rPr>
              <w:t>2</w:t>
            </w:r>
            <w:r>
              <w:rPr>
                <w:rFonts w:hint="eastAsia" w:ascii="仿宋_GB2312" w:hAnsi="仿宋_GB2312" w:eastAsia="仿宋_GB2312" w:cs="仿宋_GB2312"/>
                <w:b w:val="0"/>
                <w:bCs/>
                <w:kern w:val="2"/>
                <w:sz w:val="24"/>
                <w:szCs w:val="24"/>
                <w:lang w:val="en-US" w:eastAsia="zh-CN" w:bidi="ar-SA"/>
              </w:rPr>
              <w:t>个；收到征求意见稿并提出意见的单位数</w:t>
            </w:r>
            <w:r>
              <w:rPr>
                <w:rFonts w:hint="eastAsia" w:ascii="仿宋_GB2312" w:hAnsi="仿宋_GB2312" w:eastAsia="仿宋_GB2312" w:cs="仿宋_GB2312"/>
                <w:b w:val="0"/>
                <w:bCs/>
                <w:kern w:val="2"/>
                <w:sz w:val="24"/>
                <w:szCs w:val="24"/>
                <w:u w:val="single"/>
                <w:lang w:val="en-US" w:eastAsia="zh-CN" w:bidi="ar-SA"/>
              </w:rPr>
              <w:t>2</w:t>
            </w:r>
            <w:r>
              <w:rPr>
                <w:rFonts w:hint="eastAsia" w:ascii="仿宋_GB2312" w:hAnsi="仿宋_GB2312" w:eastAsia="仿宋_GB2312" w:cs="仿宋_GB2312"/>
                <w:b w:val="0"/>
                <w:bCs/>
                <w:kern w:val="2"/>
                <w:sz w:val="24"/>
                <w:szCs w:val="24"/>
                <w:lang w:val="en-US" w:eastAsia="zh-CN" w:bidi="ar-SA"/>
              </w:rPr>
              <w:t>个；没有回函的单位数</w:t>
            </w:r>
            <w:r>
              <w:rPr>
                <w:rFonts w:hint="eastAsia" w:ascii="仿宋_GB2312" w:hAnsi="仿宋_GB2312" w:eastAsia="仿宋_GB2312" w:cs="仿宋_GB2312"/>
                <w:b w:val="0"/>
                <w:bCs/>
                <w:kern w:val="2"/>
                <w:sz w:val="24"/>
                <w:szCs w:val="24"/>
                <w:u w:val="single"/>
                <w:lang w:val="en-US" w:eastAsia="zh-CN" w:bidi="ar-SA"/>
              </w:rPr>
              <w:t>0</w:t>
            </w:r>
            <w:r>
              <w:rPr>
                <w:rFonts w:hint="eastAsia" w:ascii="仿宋_GB2312" w:hAnsi="仿宋_GB2312" w:eastAsia="仿宋_GB2312" w:cs="仿宋_GB2312"/>
                <w:b w:val="0"/>
                <w:bCs/>
                <w:kern w:val="2"/>
                <w:sz w:val="24"/>
                <w:szCs w:val="24"/>
                <w:u w:val="none"/>
                <w:lang w:val="en-US" w:eastAsia="zh-CN" w:bidi="ar-SA"/>
              </w:rPr>
              <w:t>个；共收到</w:t>
            </w:r>
            <w:r>
              <w:rPr>
                <w:rFonts w:hint="eastAsia" w:ascii="仿宋_GB2312" w:hAnsi="仿宋_GB2312" w:eastAsia="仿宋_GB2312" w:cs="仿宋_GB2312"/>
                <w:b w:val="0"/>
                <w:bCs/>
                <w:kern w:val="2"/>
                <w:sz w:val="24"/>
                <w:szCs w:val="24"/>
                <w:u w:val="single"/>
                <w:lang w:val="en-US" w:eastAsia="zh-CN" w:bidi="ar-SA"/>
              </w:rPr>
              <w:t>10</w:t>
            </w:r>
            <w:r>
              <w:rPr>
                <w:rFonts w:hint="eastAsia" w:ascii="仿宋_GB2312" w:hAnsi="仿宋_GB2312" w:eastAsia="仿宋_GB2312" w:cs="仿宋_GB2312"/>
                <w:b w:val="0"/>
                <w:bCs/>
                <w:kern w:val="2"/>
                <w:sz w:val="24"/>
                <w:szCs w:val="24"/>
                <w:u w:val="none"/>
                <w:lang w:val="en-US" w:eastAsia="zh-CN" w:bidi="ar-SA"/>
              </w:rPr>
              <w:t>条意见，采纳</w:t>
            </w:r>
            <w:r>
              <w:rPr>
                <w:rFonts w:hint="eastAsia" w:ascii="仿宋_GB2312" w:hAnsi="仿宋_GB2312" w:eastAsia="仿宋_GB2312" w:cs="仿宋_GB2312"/>
                <w:b w:val="0"/>
                <w:bCs/>
                <w:kern w:val="2"/>
                <w:sz w:val="24"/>
                <w:szCs w:val="24"/>
                <w:u w:val="single"/>
                <w:lang w:val="en-US" w:eastAsia="zh-CN" w:bidi="ar-SA"/>
              </w:rPr>
              <w:t>10</w:t>
            </w:r>
            <w:r>
              <w:rPr>
                <w:rFonts w:hint="eastAsia" w:ascii="仿宋_GB2312" w:hAnsi="仿宋_GB2312" w:eastAsia="仿宋_GB2312" w:cs="仿宋_GB2312"/>
                <w:b w:val="0"/>
                <w:bCs/>
                <w:kern w:val="2"/>
                <w:sz w:val="24"/>
                <w:szCs w:val="24"/>
                <w:u w:val="none"/>
                <w:lang w:val="en-US" w:eastAsia="zh-CN" w:bidi="ar-SA"/>
              </w:rPr>
              <w:t>条意见，部分采纳</w:t>
            </w:r>
            <w:r>
              <w:rPr>
                <w:rFonts w:hint="eastAsia" w:ascii="仿宋_GB2312" w:hAnsi="仿宋_GB2312" w:eastAsia="仿宋_GB2312" w:cs="仿宋_GB2312"/>
                <w:b w:val="0"/>
                <w:bCs/>
                <w:kern w:val="2"/>
                <w:sz w:val="24"/>
                <w:szCs w:val="24"/>
                <w:u w:val="single"/>
                <w:lang w:val="en-US" w:eastAsia="zh-CN" w:bidi="ar-SA"/>
              </w:rPr>
              <w:t>0</w:t>
            </w:r>
            <w:r>
              <w:rPr>
                <w:rFonts w:hint="eastAsia" w:ascii="仿宋_GB2312" w:hAnsi="仿宋_GB2312" w:eastAsia="仿宋_GB2312" w:cs="仿宋_GB2312"/>
                <w:b w:val="0"/>
                <w:bCs/>
                <w:kern w:val="2"/>
                <w:sz w:val="24"/>
                <w:szCs w:val="24"/>
                <w:u w:val="none"/>
                <w:lang w:val="en-US" w:eastAsia="zh-CN" w:bidi="ar-SA"/>
              </w:rPr>
              <w:t>条意见，未采纳</w:t>
            </w:r>
            <w:r>
              <w:rPr>
                <w:rFonts w:hint="eastAsia" w:ascii="仿宋_GB2312" w:hAnsi="仿宋_GB2312" w:eastAsia="仿宋_GB2312" w:cs="仿宋_GB2312"/>
                <w:b w:val="0"/>
                <w:bCs/>
                <w:kern w:val="2"/>
                <w:sz w:val="24"/>
                <w:szCs w:val="24"/>
                <w:u w:val="single"/>
                <w:lang w:val="en-US" w:eastAsia="zh-CN" w:bidi="ar-SA"/>
              </w:rPr>
              <w:t>0</w:t>
            </w:r>
            <w:r>
              <w:rPr>
                <w:rFonts w:hint="eastAsia" w:ascii="仿宋_GB2312" w:hAnsi="仿宋_GB2312" w:eastAsia="仿宋_GB2312" w:cs="仿宋_GB2312"/>
                <w:b w:val="0"/>
                <w:bCs/>
                <w:kern w:val="2"/>
                <w:sz w:val="24"/>
                <w:szCs w:val="24"/>
                <w:u w:val="none"/>
                <w:lang w:val="en-US" w:eastAsia="zh-CN" w:bidi="ar-SA"/>
              </w:rPr>
              <w:t>条意见。</w:t>
            </w:r>
          </w:p>
        </w:tc>
      </w:tr>
    </w:tbl>
    <w:p>
      <w:pPr>
        <w:rPr>
          <w:rFonts w:hint="eastAsia" w:ascii="仿宋_GB2312" w:hAnsi="仿宋_GB2312" w:eastAsia="仿宋_GB2312" w:cs="仿宋_GB2312"/>
          <w:sz w:val="24"/>
          <w:szCs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_GB2312">
    <w:altName w:val="DejaVu Math TeX Gyre"/>
    <w:panose1 w:val="00000000000000000000"/>
    <w:charset w:val="00"/>
    <w:family w:val="auto"/>
    <w:pitch w:val="default"/>
    <w:sig w:usb0="00000000" w:usb1="00000000" w:usb2="00000000" w:usb3="00000000" w:csb0="0000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DejaVu Math TeX Gyre">
    <w:panose1 w:val="02000503000000000000"/>
    <w:charset w:val="00"/>
    <w:family w:val="auto"/>
    <w:pitch w:val="default"/>
    <w:sig w:usb0="A10000EF" w:usb1="4201F9EE" w:usb2="02000000" w:usb3="00000000" w:csb0="60000193" w:csb1="0DD4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pPr>
      <w:pStyle w:val="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5"/>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5D359454"/>
    <w:multiLevelType w:val="singleLevel"/>
    <w:tmpl w:val="5D359454"/>
    <w:lvl w:ilvl="0" w:tentative="0">
      <w:start w:val="3"/>
      <w:numFmt w:val="decimal"/>
      <w:suff w:val="nothing"/>
      <w:lvlText w:val="%1、"/>
      <w:lvlJc w:val="left"/>
      <w:pPr>
        <w:ind w:left="640"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CB0EC4"/>
    <w:rsid w:val="02A40749"/>
    <w:rsid w:val="0DADBCE8"/>
    <w:rsid w:val="1EF92FA6"/>
    <w:rsid w:val="1FFD2E96"/>
    <w:rsid w:val="2FB75A7E"/>
    <w:rsid w:val="33FBC792"/>
    <w:rsid w:val="3477ADFD"/>
    <w:rsid w:val="397B38B3"/>
    <w:rsid w:val="3BEFD60E"/>
    <w:rsid w:val="3DDE54BA"/>
    <w:rsid w:val="3FB40F6B"/>
    <w:rsid w:val="4DB71B9D"/>
    <w:rsid w:val="4FE7A74B"/>
    <w:rsid w:val="59FF94A2"/>
    <w:rsid w:val="5B7DE0BD"/>
    <w:rsid w:val="5DBBD067"/>
    <w:rsid w:val="5ECED8D8"/>
    <w:rsid w:val="5F9D2C22"/>
    <w:rsid w:val="5FEF9AE5"/>
    <w:rsid w:val="6AF406AC"/>
    <w:rsid w:val="6D6B43A5"/>
    <w:rsid w:val="6D7E6448"/>
    <w:rsid w:val="6FBFFB3D"/>
    <w:rsid w:val="6FFDED90"/>
    <w:rsid w:val="73EE367E"/>
    <w:rsid w:val="75FC0CFC"/>
    <w:rsid w:val="77EEB742"/>
    <w:rsid w:val="77FA7019"/>
    <w:rsid w:val="77FD3844"/>
    <w:rsid w:val="77FE04F8"/>
    <w:rsid w:val="787E7717"/>
    <w:rsid w:val="79F7F87E"/>
    <w:rsid w:val="7AB10CD4"/>
    <w:rsid w:val="7BBF356F"/>
    <w:rsid w:val="7BFD7040"/>
    <w:rsid w:val="7DDF0163"/>
    <w:rsid w:val="7E7F6097"/>
    <w:rsid w:val="7EDBC727"/>
    <w:rsid w:val="7EFF561F"/>
    <w:rsid w:val="7F2E51BB"/>
    <w:rsid w:val="7F3FE42E"/>
    <w:rsid w:val="7F7E580D"/>
    <w:rsid w:val="7FBF2260"/>
    <w:rsid w:val="7FC339D1"/>
    <w:rsid w:val="7FFEC418"/>
    <w:rsid w:val="ABEF506D"/>
    <w:rsid w:val="B26BA267"/>
    <w:rsid w:val="B7DBCCF2"/>
    <w:rsid w:val="B7FB3997"/>
    <w:rsid w:val="B9AB68AE"/>
    <w:rsid w:val="BFCFD224"/>
    <w:rsid w:val="BFFD86E9"/>
    <w:rsid w:val="C7BF0F64"/>
    <w:rsid w:val="CD3DF54A"/>
    <w:rsid w:val="D2673C4C"/>
    <w:rsid w:val="E7FD67E6"/>
    <w:rsid w:val="E8DDA948"/>
    <w:rsid w:val="E9AF3557"/>
    <w:rsid w:val="EE6B822C"/>
    <w:rsid w:val="F5F5C715"/>
    <w:rsid w:val="F7FFF022"/>
    <w:rsid w:val="F8B7F59D"/>
    <w:rsid w:val="FD554AFF"/>
    <w:rsid w:val="FDF769A7"/>
    <w:rsid w:val="FEBFC8C4"/>
    <w:rsid w:val="FECAF3AA"/>
    <w:rsid w:val="FF6C7B66"/>
    <w:rsid w:val="FFD56BE4"/>
    <w:rsid w:val="FFDE659B"/>
    <w:rsid w:val="FFE02A03"/>
    <w:rsid w:val="FFEFF07A"/>
    <w:rsid w:val="FFF7C3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正文首行缩进 21"/>
    <w:basedOn w:val="3"/>
    <w:next w:val="4"/>
    <w:qFormat/>
    <w:uiPriority w:val="0"/>
    <w:pPr>
      <w:ind w:left="200" w:leftChars="200"/>
    </w:pPr>
    <w:rPr>
      <w:rFonts w:eastAsia="仿宋_GB2312"/>
      <w:sz w:val="32"/>
      <w:szCs w:val="32"/>
    </w:rPr>
  </w:style>
  <w:style w:type="paragraph" w:customStyle="1" w:styleId="3">
    <w:name w:val="正文文本缩进1"/>
    <w:basedOn w:val="1"/>
    <w:qFormat/>
    <w:uiPriority w:val="0"/>
    <w:pPr>
      <w:ind w:left="200" w:leftChars="200"/>
    </w:pPr>
    <w:rPr>
      <w:rFonts w:ascii="Calibri" w:hAnsi="Calibri" w:eastAsia="宋体" w:cs="Times New Roman"/>
    </w:rPr>
  </w:style>
  <w:style w:type="paragraph" w:styleId="4">
    <w:name w:val="Normal (Web)"/>
    <w:basedOn w:val="1"/>
    <w:next w:val="1"/>
    <w:qFormat/>
    <w:uiPriority w:val="0"/>
    <w:pPr>
      <w:spacing w:before="100" w:beforeAutospacing="1" w:after="100" w:afterAutospacing="1"/>
      <w:ind w:left="0" w:right="0"/>
      <w:jc w:val="left"/>
    </w:pPr>
    <w:rPr>
      <w:kern w:val="0"/>
      <w:sz w:val="24"/>
      <w:lang w:val="en-US" w:eastAsia="zh-CN" w:bidi="ar"/>
    </w:rPr>
  </w:style>
  <w:style w:type="paragraph" w:styleId="5">
    <w:name w:val="Normal Indent"/>
    <w:basedOn w:val="1"/>
    <w:qFormat/>
    <w:uiPriority w:val="0"/>
    <w:pPr>
      <w:ind w:firstLine="420" w:firstLineChars="200"/>
    </w:p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paragraph" w:customStyle="1" w:styleId="1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5">
    <w:name w:val="一级条标题"/>
    <w:next w:val="14"/>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7">
    <w:name w:val="page number"/>
    <w:basedOn w:val="11"/>
    <w:qFormat/>
    <w:uiPriority w:val="0"/>
  </w:style>
  <w:style w:type="paragraph" w:customStyle="1" w:styleId="18">
    <w:name w:val="目次、标准名称标题"/>
    <w:basedOn w:val="1"/>
    <w:next w:val="1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205</Words>
  <Characters>205</Characters>
  <Lines>0</Lines>
  <Paragraphs>0</Paragraphs>
  <TotalTime>5</TotalTime>
  <ScaleCrop>false</ScaleCrop>
  <LinksUpToDate>false</LinksUpToDate>
  <CharactersWithSpaces>217</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2022-12-13T17:45:00Z</dcterms:created>
  <dc:creator>戴润芳</dc:creator>
  <cp:lastModifiedBy>baixin</cp:lastModifiedBy>
  <cp:lastPrinted>2024-10-16T23:05:00Z</cp:lastPrinted>
  <dcterms:modified xsi:type="dcterms:W3CDTF">2024-11-06T16:53:49Z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B4D4A5CFDDD044A6858AB88A2BEB1260</vt:lpwstr>
  </property>
</Properties>
</file>