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w:t>
      </w:r>
      <w:r>
        <w:rPr>
          <w:rFonts w:hint="default" w:ascii="黑体" w:eastAsia="黑体" w:hAnsiTheme="minorHAnsi" w:cstheme="minorBidi"/>
          <w:b/>
          <w:kern w:val="22"/>
          <w:sz w:val="44"/>
          <w:szCs w:val="44"/>
          <w:lang w:val="en" w:eastAsia="zh-CN"/>
        </w:rPr>
        <w:t>玉米病虫草害综合防治技术规程</w:t>
      </w:r>
      <w:r>
        <w:rPr>
          <w:rFonts w:hint="eastAsia" w:ascii="黑体" w:eastAsia="黑体" w:hAnsiTheme="minorHAnsi" w:cstheme="minorBidi"/>
          <w:b/>
          <w:kern w:val="22"/>
          <w:sz w:val="44"/>
          <w:szCs w:val="44"/>
        </w:rPr>
        <w:t>》</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jc w:val="center"/>
        <w:rPr>
          <w:rFonts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spacing w:line="360" w:lineRule="auto"/>
        <w:jc w:val="center"/>
        <w:rPr>
          <w:rFonts w:hint="eastAsia" w:ascii="宋体" w:hAnsi="宋体" w:eastAsia="宋体"/>
          <w:b/>
          <w:kern w:val="22"/>
          <w:sz w:val="32"/>
          <w:szCs w:val="32"/>
        </w:rPr>
      </w:pPr>
      <w:r>
        <w:rPr>
          <w:rFonts w:hint="eastAsia" w:ascii="宋体" w:hAnsi="宋体"/>
          <w:b/>
          <w:kern w:val="22"/>
          <w:sz w:val="32"/>
          <w:szCs w:val="32"/>
        </w:rPr>
        <w:t>编制单位：</w:t>
      </w:r>
      <w:r>
        <w:rPr>
          <w:rFonts w:hint="eastAsia" w:ascii="宋体" w:hAnsi="宋体" w:eastAsia="宋体"/>
          <w:b/>
          <w:kern w:val="22"/>
          <w:sz w:val="32"/>
          <w:szCs w:val="32"/>
        </w:rPr>
        <w:t>山西省检验检测中心</w:t>
      </w:r>
    </w:p>
    <w:p>
      <w:pPr>
        <w:spacing w:line="360" w:lineRule="auto"/>
        <w:jc w:val="center"/>
        <w:rPr>
          <w:rFonts w:hint="eastAsia" w:ascii="宋体" w:hAnsi="宋体" w:eastAsia="宋体"/>
          <w:b/>
          <w:kern w:val="22"/>
          <w:sz w:val="32"/>
          <w:szCs w:val="32"/>
        </w:rPr>
      </w:pPr>
      <w:r>
        <w:rPr>
          <w:rFonts w:hint="eastAsia" w:ascii="宋体" w:hAnsi="宋体" w:eastAsia="宋体"/>
          <w:b/>
          <w:kern w:val="22"/>
          <w:sz w:val="32"/>
          <w:szCs w:val="32"/>
        </w:rPr>
        <w:t>（山西省标准计量技术</w:t>
      </w:r>
      <w:r>
        <w:rPr>
          <w:rFonts w:hint="eastAsia" w:ascii="宋体" w:hAnsi="宋体" w:eastAsia="宋体"/>
          <w:b/>
          <w:kern w:val="22"/>
          <w:sz w:val="32"/>
          <w:szCs w:val="32"/>
          <w:lang w:eastAsia="zh-CN"/>
        </w:rPr>
        <w:t>研究</w:t>
      </w:r>
      <w:r>
        <w:rPr>
          <w:rFonts w:hint="eastAsia" w:ascii="宋体" w:hAnsi="宋体" w:eastAsia="宋体"/>
          <w:b/>
          <w:kern w:val="22"/>
          <w:sz w:val="32"/>
          <w:szCs w:val="32"/>
        </w:rPr>
        <w:t>院）</w:t>
      </w:r>
    </w:p>
    <w:p>
      <w:pPr>
        <w:jc w:val="center"/>
        <w:rPr>
          <w:rFonts w:ascii="宋体" w:hAnsi="宋体"/>
          <w:b/>
          <w:sz w:val="32"/>
          <w:szCs w:val="32"/>
        </w:rPr>
      </w:pPr>
      <w:r>
        <w:rPr>
          <w:rFonts w:hint="eastAsia" w:ascii="宋体" w:hAnsi="宋体"/>
          <w:b/>
          <w:sz w:val="32"/>
          <w:szCs w:val="32"/>
        </w:rPr>
        <w:t xml:space="preserve"> 二〇</w:t>
      </w:r>
      <w:r>
        <w:rPr>
          <w:rFonts w:hint="eastAsia" w:ascii="宋体" w:hAnsi="宋体"/>
          <w:b/>
          <w:sz w:val="32"/>
          <w:szCs w:val="32"/>
          <w:lang w:eastAsia="zh-CN"/>
        </w:rPr>
        <w:t>二四</w:t>
      </w:r>
      <w:r>
        <w:rPr>
          <w:rFonts w:hint="eastAsia" w:ascii="宋体" w:hAnsi="宋体"/>
          <w:b/>
          <w:sz w:val="32"/>
          <w:szCs w:val="32"/>
        </w:rPr>
        <w:t>年</w:t>
      </w:r>
      <w:r>
        <w:rPr>
          <w:rFonts w:hint="eastAsia" w:ascii="宋体" w:hAnsi="宋体"/>
          <w:b/>
          <w:sz w:val="32"/>
          <w:szCs w:val="32"/>
          <w:lang w:val="en-US" w:eastAsia="zh-CN"/>
        </w:rPr>
        <w:t>十</w:t>
      </w:r>
      <w:r>
        <w:rPr>
          <w:rFonts w:hint="eastAsia" w:ascii="宋体" w:hAnsi="宋体"/>
          <w:b/>
          <w:sz w:val="32"/>
          <w:szCs w:val="32"/>
        </w:rPr>
        <w:t>月</w:t>
      </w: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
          <w:sz w:val="30"/>
          <w:szCs w:val="30"/>
        </w:rPr>
      </w:pPr>
      <w:r>
        <w:rPr>
          <w:rFonts w:hint="eastAsia" w:ascii="宋体" w:hAnsi="宋体"/>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
          <w:sz w:val="30"/>
          <w:szCs w:val="30"/>
        </w:rPr>
      </w:pPr>
      <w:r>
        <w:rPr>
          <w:rFonts w:hint="eastAsia" w:ascii="宋体" w:hAnsi="宋体"/>
          <w:b/>
          <w:sz w:val="30"/>
          <w:szCs w:val="30"/>
        </w:rPr>
        <w:t>《</w:t>
      </w:r>
      <w:r>
        <w:rPr>
          <w:rFonts w:hint="eastAsia" w:ascii="宋体" w:hAnsi="宋体" w:eastAsia="宋体"/>
          <w:b/>
          <w:sz w:val="30"/>
          <w:szCs w:val="30"/>
          <w:lang w:eastAsia="zh-CN"/>
        </w:rPr>
        <w:t>玉米病虫草害综合防治</w:t>
      </w:r>
      <w:r>
        <w:rPr>
          <w:rFonts w:hint="eastAsia" w:ascii="宋体" w:hAnsi="宋体"/>
          <w:b/>
          <w:sz w:val="30"/>
          <w:szCs w:val="30"/>
          <w:lang w:eastAsia="zh-CN"/>
        </w:rPr>
        <w:t>技术</w:t>
      </w:r>
      <w:r>
        <w:rPr>
          <w:rFonts w:hint="eastAsia" w:ascii="宋体" w:hAnsi="宋体"/>
          <w:b/>
          <w:sz w:val="30"/>
          <w:szCs w:val="30"/>
        </w:rPr>
        <w:t>规程》</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编制说明</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p>
    <w:p>
      <w:pPr>
        <w:spacing w:line="360" w:lineRule="auto"/>
        <w:ind w:firstLine="480" w:firstLineChars="200"/>
        <w:outlineLvl w:val="0"/>
        <w:rPr>
          <w:rFonts w:ascii="黑体" w:eastAsia="黑体"/>
          <w:sz w:val="24"/>
        </w:rPr>
      </w:pPr>
      <w:r>
        <w:rPr>
          <w:rFonts w:hint="eastAsia" w:ascii="黑体" w:eastAsia="黑体"/>
          <w:sz w:val="24"/>
        </w:rPr>
        <w:t>一、工作简况</w:t>
      </w:r>
    </w:p>
    <w:p>
      <w:pPr>
        <w:spacing w:line="360" w:lineRule="auto"/>
        <w:ind w:left="465"/>
        <w:outlineLvl w:val="1"/>
        <w:rPr>
          <w:rFonts w:ascii="楷体_GB2312" w:eastAsia="楷体_GB2312"/>
          <w:sz w:val="24"/>
        </w:rPr>
      </w:pPr>
      <w:r>
        <w:rPr>
          <w:rFonts w:hint="eastAsia" w:ascii="楷体_GB2312" w:eastAsia="楷体_GB2312"/>
          <w:sz w:val="24"/>
        </w:rPr>
        <w:t>1任务来源</w:t>
      </w:r>
    </w:p>
    <w:p>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lang w:val="en-US" w:eastAsia="zh-CN"/>
        </w:rPr>
        <w:t>按照</w:t>
      </w:r>
      <w:r>
        <w:rPr>
          <w:rFonts w:hint="eastAsia" w:ascii="仿宋_GB2312" w:hAnsi="宋体" w:eastAsia="仿宋_GB2312"/>
          <w:sz w:val="24"/>
        </w:rPr>
        <w:t>山西省市场监督管理局关于202</w:t>
      </w:r>
      <w:r>
        <w:rPr>
          <w:rFonts w:hint="eastAsia" w:ascii="仿宋_GB2312" w:hAnsi="宋体" w:eastAsia="仿宋_GB2312"/>
          <w:sz w:val="24"/>
          <w:lang w:val="en-US" w:eastAsia="zh-CN"/>
        </w:rPr>
        <w:t>4</w:t>
      </w:r>
      <w:r>
        <w:rPr>
          <w:rFonts w:hint="eastAsia" w:ascii="仿宋_GB2312" w:hAnsi="宋体" w:eastAsia="仿宋_GB2312"/>
          <w:sz w:val="24"/>
        </w:rPr>
        <w:t>年度</w:t>
      </w:r>
      <w:r>
        <w:rPr>
          <w:rFonts w:hint="eastAsia" w:ascii="仿宋_GB2312" w:hAnsi="宋体" w:eastAsia="仿宋_GB2312"/>
          <w:sz w:val="24"/>
          <w:lang w:eastAsia="zh-CN"/>
        </w:rPr>
        <w:t>第一批地方标准复审修订项目计划的通知</w:t>
      </w:r>
      <w:r>
        <w:rPr>
          <w:rFonts w:hint="eastAsia" w:ascii="仿宋_GB2312" w:hAnsi="宋体" w:eastAsia="仿宋_GB2312"/>
          <w:sz w:val="24"/>
        </w:rPr>
        <w:t>公告（山西省地方标准公告202</w:t>
      </w:r>
      <w:r>
        <w:rPr>
          <w:rFonts w:hint="eastAsia" w:ascii="仿宋_GB2312" w:hAnsi="宋体" w:eastAsia="仿宋_GB2312"/>
          <w:sz w:val="24"/>
          <w:lang w:val="en-US" w:eastAsia="zh-CN"/>
        </w:rPr>
        <w:t>4</w:t>
      </w:r>
      <w:r>
        <w:rPr>
          <w:rFonts w:hint="eastAsia" w:ascii="仿宋_GB2312" w:hAnsi="宋体" w:eastAsia="仿宋_GB2312"/>
          <w:sz w:val="24"/>
        </w:rPr>
        <w:t>年第</w:t>
      </w:r>
      <w:r>
        <w:rPr>
          <w:rFonts w:hint="eastAsia" w:ascii="仿宋_GB2312" w:hAnsi="宋体" w:eastAsia="仿宋_GB2312"/>
          <w:sz w:val="24"/>
          <w:lang w:val="en-US" w:eastAsia="zh-CN"/>
        </w:rPr>
        <w:t>50</w:t>
      </w:r>
      <w:r>
        <w:rPr>
          <w:rFonts w:hint="eastAsia" w:ascii="仿宋_GB2312" w:hAnsi="宋体" w:eastAsia="仿宋_GB2312"/>
          <w:sz w:val="24"/>
        </w:rPr>
        <w:t>号），《</w:t>
      </w:r>
      <w:r>
        <w:rPr>
          <w:rFonts w:hint="eastAsia" w:ascii="仿宋_GB2312" w:hAnsi="宋体" w:eastAsia="仿宋_GB2312"/>
          <w:sz w:val="24"/>
          <w:lang w:eastAsia="zh-CN"/>
        </w:rPr>
        <w:t>玉米病虫草害综合防治技术规程</w:t>
      </w:r>
      <w:r>
        <w:rPr>
          <w:rFonts w:hint="eastAsia" w:ascii="仿宋_GB2312" w:hAnsi="宋体" w:eastAsia="仿宋_GB2312"/>
          <w:sz w:val="24"/>
        </w:rPr>
        <w:t>》DB14/T</w:t>
      </w:r>
      <w:r>
        <w:rPr>
          <w:rFonts w:hint="eastAsia" w:ascii="仿宋_GB2312" w:hAnsi="宋体" w:eastAsia="仿宋_GB2312"/>
          <w:sz w:val="24"/>
          <w:lang w:val="en-US" w:eastAsia="zh-CN"/>
        </w:rPr>
        <w:t xml:space="preserve"> 759</w:t>
      </w:r>
      <w:r>
        <w:rPr>
          <w:rFonts w:hint="eastAsia" w:ascii="仿宋_GB2312" w:hAnsi="宋体" w:eastAsia="仿宋_GB2312"/>
          <w:sz w:val="24"/>
        </w:rPr>
        <w:t>-</w:t>
      </w:r>
      <w:r>
        <w:rPr>
          <w:rFonts w:hint="eastAsia" w:ascii="仿宋_GB2312" w:hAnsi="宋体" w:eastAsia="仿宋_GB2312"/>
          <w:sz w:val="24"/>
          <w:lang w:val="en-US" w:eastAsia="zh-CN"/>
        </w:rPr>
        <w:t>2013被</w:t>
      </w:r>
      <w:r>
        <w:rPr>
          <w:rFonts w:hint="eastAsia" w:ascii="仿宋_GB2312" w:hAnsi="宋体" w:eastAsia="仿宋_GB2312"/>
          <w:sz w:val="24"/>
        </w:rPr>
        <w:t>列</w:t>
      </w:r>
      <w:r>
        <w:rPr>
          <w:rFonts w:hint="eastAsia" w:ascii="仿宋_GB2312" w:hAnsi="宋体" w:eastAsia="仿宋_GB2312"/>
          <w:sz w:val="24"/>
          <w:lang w:val="en-US" w:eastAsia="zh-CN"/>
        </w:rPr>
        <w:t>入</w:t>
      </w:r>
      <w:r>
        <w:rPr>
          <w:rFonts w:hint="eastAsia" w:ascii="仿宋_GB2312" w:hAnsi="宋体" w:eastAsia="仿宋_GB2312"/>
          <w:sz w:val="24"/>
        </w:rPr>
        <w:t>山西省地方标准修订计划，本标准由山西省农业标准化技术委员会（SXS/TC19）归口。</w:t>
      </w:r>
    </w:p>
    <w:p>
      <w:pPr>
        <w:spacing w:line="360" w:lineRule="auto"/>
        <w:ind w:left="465"/>
        <w:outlineLvl w:val="1"/>
        <w:rPr>
          <w:rFonts w:ascii="仿宋_GB2312" w:hAnsi="宋体" w:eastAsia="仿宋_GB2312"/>
          <w:sz w:val="24"/>
        </w:rPr>
      </w:pPr>
      <w:r>
        <w:rPr>
          <w:rFonts w:hint="eastAsia" w:ascii="楷体_GB2312" w:eastAsia="楷体_GB2312"/>
          <w:sz w:val="24"/>
        </w:rPr>
        <w:t>2 起草</w:t>
      </w:r>
      <w:r>
        <w:rPr>
          <w:rFonts w:ascii="楷体_GB2312" w:eastAsia="楷体_GB2312"/>
          <w:sz w:val="24"/>
        </w:rPr>
        <w:t>单位和主要起草人</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本项目承担单位——山西省检验检测中心（山西省标准计量技术研究院）农产品与农药土壤肥料检验技术研究所为正处级事业单位，现有在职专业技术人员47人，大学本科以上学历达到98%，其中有研究员7人，享受国务院特殊津贴2人，省级学科带头人3人，“三晋”英才人才12人。拥有6000余万元的先进检测仪器和设备及7000平方米的检测场所，是专业从事农产品、农业投入品、农产品产地环境检验检测及相关技术研究的技术机构。多年来致力于相关农业行业及地方标准的制修订工作，先后主持完成了30余项农产品生产、质量安全等农业行业和地方标准的制修订，能够顺利完成本生产技术规程合作制定任务。</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rPr>
        <w:t>主要起草人：王慧兰</w:t>
      </w:r>
      <w:r>
        <w:rPr>
          <w:rFonts w:hint="eastAsia" w:ascii="宋体" w:hAnsi="宋体" w:eastAsia="宋体" w:cs="Times New Roman"/>
          <w:sz w:val="24"/>
          <w:lang w:eastAsia="zh-CN"/>
        </w:rPr>
        <w:t>、</w:t>
      </w:r>
      <w:r>
        <w:rPr>
          <w:rFonts w:hint="eastAsia" w:ascii="宋体" w:hAnsi="宋体" w:eastAsia="宋体" w:cs="Times New Roman"/>
          <w:sz w:val="24"/>
        </w:rPr>
        <w:t>刘俐君</w:t>
      </w:r>
      <w:r>
        <w:rPr>
          <w:rFonts w:hint="eastAsia" w:ascii="宋体" w:hAnsi="宋体" w:eastAsia="宋体" w:cs="Times New Roman"/>
          <w:sz w:val="24"/>
          <w:lang w:eastAsia="zh-CN"/>
        </w:rPr>
        <w:t>、张璇、王国桢、董琳、</w:t>
      </w:r>
      <w:r>
        <w:rPr>
          <w:rFonts w:hint="eastAsia" w:ascii="宋体" w:hAnsi="宋体" w:eastAsia="宋体" w:cs="Times New Roman"/>
          <w:sz w:val="24"/>
          <w:lang w:val="en-US" w:eastAsia="zh-CN"/>
        </w:rPr>
        <w:t>郭郁、曹淼、安耀卿、乔海燕。</w:t>
      </w:r>
    </w:p>
    <w:p>
      <w:pPr>
        <w:keepNext w:val="0"/>
        <w:keepLines w:val="0"/>
        <w:pageBreakBefore w:val="0"/>
        <w:widowControl w:val="0"/>
        <w:kinsoku/>
        <w:wordWrap/>
        <w:overflowPunct/>
        <w:topLinePunct w:val="0"/>
        <w:autoSpaceDE/>
        <w:autoSpaceDN/>
        <w:bidi w:val="0"/>
        <w:adjustRightInd/>
        <w:snapToGrid/>
        <w:spacing w:before="96" w:beforeLines="30" w:after="65" w:afterLines="20" w:line="420" w:lineRule="exact"/>
        <w:jc w:val="center"/>
        <w:textAlignment w:val="auto"/>
        <w:rPr>
          <w:rFonts w:hint="default" w:ascii="宋体" w:hAnsi="宋体" w:eastAsia="宋体" w:cs="Times New Roman"/>
          <w:b/>
          <w:bCs/>
          <w:sz w:val="24"/>
          <w:lang w:val="en-US" w:eastAsia="zh-CN"/>
        </w:rPr>
      </w:pPr>
      <w:r>
        <w:rPr>
          <w:rFonts w:hint="eastAsia" w:ascii="宋体" w:hAnsi="宋体" w:eastAsia="宋体" w:cs="Times New Roman"/>
          <w:b/>
          <w:bCs/>
          <w:sz w:val="24"/>
          <w:lang w:val="en-US" w:eastAsia="zh-CN"/>
        </w:rPr>
        <w:t>主要起草人信息</w:t>
      </w:r>
    </w:p>
    <w:tbl>
      <w:tblPr>
        <w:tblStyle w:val="12"/>
        <w:tblW w:w="87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873"/>
        <w:gridCol w:w="1702"/>
        <w:gridCol w:w="3488"/>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姓名</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性别</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职务/职称</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工作单位</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王慧兰</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女</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研究员</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山西省检验检测中心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（山西省标准计量技术研究院）</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rPr>
              <w:t>刘俐君</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女</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高级农艺师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山西省检验检测中心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（山西省标准计量技术研究院）</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技术骨干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lang w:eastAsia="zh-CN"/>
              </w:rPr>
              <w:t>张璇</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女</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高级农艺师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山西省检验检测中心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（山西省标准计量技术研究院）</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技术骨干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lang w:eastAsia="zh-CN"/>
              </w:rPr>
              <w:t>王国桢</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女</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正高级农艺师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山西省检验检测中心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（山西省标准计量技术研究院）</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技术骨干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lang w:eastAsia="zh-CN"/>
              </w:rPr>
              <w:t>董琳</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男</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高级农艺师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山西省检验检测中心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（山西省标准计量技术研究院）</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技术骨干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lang w:val="en-US" w:eastAsia="zh-CN"/>
              </w:rPr>
              <w:t>郭郁</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女</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Cs/>
                <w:spacing w:val="0"/>
                <w:sz w:val="21"/>
                <w:szCs w:val="21"/>
                <w:vertAlign w:val="baseline"/>
                <w:lang w:val="en-US" w:eastAsia="zh-CN"/>
              </w:rPr>
              <w:t>山西省农产品质量安全中心</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技术骨干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sz w:val="21"/>
                <w:szCs w:val="21"/>
                <w:lang w:val="en-US" w:eastAsia="zh-CN"/>
              </w:rPr>
              <w:t>曹淼</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男</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Cs/>
                <w:spacing w:val="-6"/>
                <w:kern w:val="2"/>
                <w:sz w:val="21"/>
                <w:szCs w:val="21"/>
                <w:vertAlign w:val="baseline"/>
                <w:lang w:val="en-US" w:eastAsia="zh-CN" w:bidi="ar-SA"/>
              </w:rPr>
              <w:t>太原市农业技术推广服务中心</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安耀卿</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男</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Cs/>
                <w:spacing w:val="-6"/>
                <w:kern w:val="2"/>
                <w:sz w:val="21"/>
                <w:szCs w:val="21"/>
                <w:vertAlign w:val="baseline"/>
                <w:lang w:val="en-US" w:eastAsia="zh-CN" w:bidi="ar-SA"/>
              </w:rPr>
              <w:t>太原市农业技术推广服务中心</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乔海燕</w:t>
            </w:r>
          </w:p>
        </w:tc>
        <w:tc>
          <w:tcPr>
            <w:tcW w:w="8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女</w:t>
            </w:r>
          </w:p>
        </w:tc>
        <w:tc>
          <w:tcPr>
            <w:tcW w:w="170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农艺师</w:t>
            </w:r>
          </w:p>
        </w:tc>
        <w:tc>
          <w:tcPr>
            <w:tcW w:w="348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Cs/>
                <w:spacing w:val="-6"/>
                <w:kern w:val="2"/>
                <w:sz w:val="21"/>
                <w:szCs w:val="21"/>
                <w:vertAlign w:val="baseline"/>
                <w:lang w:val="en-US" w:eastAsia="zh-CN" w:bidi="ar-SA"/>
              </w:rPr>
              <w:t>古交市农业技术推广服务中心</w:t>
            </w:r>
          </w:p>
        </w:tc>
        <w:tc>
          <w:tcPr>
            <w:tcW w:w="14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试验验证</w:t>
            </w:r>
          </w:p>
        </w:tc>
      </w:tr>
    </w:tbl>
    <w:p>
      <w:pPr>
        <w:spacing w:line="360" w:lineRule="auto"/>
        <w:ind w:firstLine="480" w:firstLineChars="200"/>
        <w:jc w:val="left"/>
        <w:outlineLvl w:val="1"/>
        <w:rPr>
          <w:rFonts w:ascii="仿宋_GB2312" w:hAnsi="宋体" w:eastAsia="仿宋_GB2312"/>
          <w:sz w:val="24"/>
        </w:rPr>
      </w:pPr>
    </w:p>
    <w:p>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480" w:firstLineChars="200"/>
        <w:jc w:val="left"/>
        <w:textAlignment w:val="auto"/>
        <w:rPr>
          <w:rFonts w:hint="eastAsia" w:ascii="宋体" w:hAnsi="宋体" w:cs="宋体"/>
          <w:bCs/>
          <w:spacing w:val="0"/>
          <w:sz w:val="24"/>
          <w:szCs w:val="24"/>
          <w:vertAlign w:val="baseline"/>
          <w:lang w:val="en" w:eastAsia="zh-CN"/>
        </w:rPr>
      </w:pPr>
      <w:r>
        <w:rPr>
          <w:rFonts w:hint="eastAsia" w:ascii="宋体" w:hAnsi="宋体" w:eastAsia="宋体" w:cs="宋体"/>
          <w:bCs/>
          <w:spacing w:val="0"/>
          <w:sz w:val="24"/>
          <w:szCs w:val="24"/>
          <w:vertAlign w:val="baseline"/>
          <w:lang w:val="en-US" w:eastAsia="zh-CN"/>
        </w:rPr>
        <w:t>玉米是我省分布范围最广、种植面积最大、总产量最高的粮食作物，是山西省现代农业产业技术体系中的第一大产业。原标准在过去10年对防治玉米病虫草害发挥了积极作用，但随着国家农药管理政策及环境治理要求的完善，部分农药及防治技术已不适用。</w:t>
      </w:r>
      <w:r>
        <w:rPr>
          <w:rFonts w:hint="default" w:ascii="宋体" w:hAnsi="宋体" w:eastAsia="宋体" w:cs="宋体"/>
          <w:bCs/>
          <w:spacing w:val="0"/>
          <w:sz w:val="24"/>
          <w:szCs w:val="24"/>
          <w:vertAlign w:val="baseline"/>
          <w:lang w:val="en" w:eastAsia="zh-CN"/>
        </w:rPr>
        <w:t>随着</w:t>
      </w:r>
      <w:r>
        <w:rPr>
          <w:rFonts w:hint="eastAsia" w:ascii="宋体" w:hAnsi="宋体" w:cs="宋体"/>
          <w:bCs/>
          <w:spacing w:val="0"/>
          <w:sz w:val="24"/>
          <w:szCs w:val="24"/>
          <w:vertAlign w:val="baseline"/>
          <w:lang w:val="en" w:eastAsia="zh-CN"/>
        </w:rPr>
        <w:t>环境</w:t>
      </w:r>
      <w:r>
        <w:rPr>
          <w:rFonts w:hint="default" w:ascii="宋体" w:hAnsi="宋体" w:eastAsia="宋体" w:cs="宋体"/>
          <w:bCs/>
          <w:spacing w:val="0"/>
          <w:sz w:val="24"/>
          <w:szCs w:val="24"/>
          <w:vertAlign w:val="baseline"/>
          <w:lang w:val="en" w:eastAsia="zh-CN"/>
        </w:rPr>
        <w:t>和</w:t>
      </w:r>
      <w:r>
        <w:rPr>
          <w:rFonts w:hint="eastAsia" w:ascii="宋体" w:hAnsi="宋体" w:cs="宋体"/>
          <w:bCs/>
          <w:spacing w:val="0"/>
          <w:sz w:val="24"/>
          <w:szCs w:val="24"/>
          <w:vertAlign w:val="baseline"/>
          <w:lang w:val="en" w:eastAsia="zh-CN"/>
        </w:rPr>
        <w:t>时代</w:t>
      </w:r>
      <w:r>
        <w:rPr>
          <w:rFonts w:hint="default" w:ascii="宋体" w:hAnsi="宋体" w:eastAsia="宋体" w:cs="宋体"/>
          <w:bCs/>
          <w:spacing w:val="0"/>
          <w:sz w:val="24"/>
          <w:szCs w:val="24"/>
          <w:vertAlign w:val="baseline"/>
          <w:lang w:val="en" w:eastAsia="zh-CN"/>
        </w:rPr>
        <w:t>的</w:t>
      </w:r>
      <w:r>
        <w:rPr>
          <w:rFonts w:hint="eastAsia" w:ascii="宋体" w:hAnsi="宋体" w:cs="宋体"/>
          <w:bCs/>
          <w:spacing w:val="0"/>
          <w:sz w:val="24"/>
          <w:szCs w:val="24"/>
          <w:vertAlign w:val="baseline"/>
          <w:lang w:val="en" w:eastAsia="zh-CN"/>
        </w:rPr>
        <w:t>发展，无论是从玉米播种品种、</w:t>
      </w:r>
      <w:r>
        <w:rPr>
          <w:rFonts w:hint="default" w:ascii="宋体" w:hAnsi="宋体" w:eastAsia="宋体" w:cs="宋体"/>
          <w:bCs/>
          <w:spacing w:val="0"/>
          <w:sz w:val="24"/>
          <w:szCs w:val="24"/>
          <w:vertAlign w:val="baseline"/>
          <w:lang w:val="en" w:eastAsia="zh-CN"/>
        </w:rPr>
        <w:t>农药使用种类和病虫害情况已经发生了</w:t>
      </w:r>
      <w:r>
        <w:rPr>
          <w:rFonts w:hint="eastAsia" w:ascii="宋体" w:hAnsi="宋体" w:cs="宋体"/>
          <w:bCs/>
          <w:spacing w:val="0"/>
          <w:sz w:val="24"/>
          <w:szCs w:val="24"/>
          <w:vertAlign w:val="baseline"/>
          <w:lang w:val="en" w:eastAsia="zh-CN"/>
        </w:rPr>
        <w:t>很大的</w:t>
      </w:r>
      <w:r>
        <w:rPr>
          <w:rFonts w:hint="default" w:ascii="宋体" w:hAnsi="宋体" w:eastAsia="宋体" w:cs="宋体"/>
          <w:bCs/>
          <w:spacing w:val="0"/>
          <w:sz w:val="24"/>
          <w:szCs w:val="24"/>
          <w:vertAlign w:val="baseline"/>
          <w:lang w:val="en" w:eastAsia="zh-CN"/>
        </w:rPr>
        <w:t>变化，</w:t>
      </w:r>
      <w:r>
        <w:rPr>
          <w:rFonts w:hint="eastAsia" w:ascii="宋体" w:hAnsi="宋体" w:cs="宋体"/>
          <w:bCs/>
          <w:spacing w:val="0"/>
          <w:sz w:val="24"/>
          <w:szCs w:val="24"/>
          <w:vertAlign w:val="baseline"/>
          <w:lang w:val="en" w:eastAsia="zh-CN"/>
        </w:rPr>
        <w:t>当时的标准已不适应现在的情况。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480" w:firstLineChars="200"/>
        <w:jc w:val="left"/>
        <w:textAlignment w:val="auto"/>
        <w:rPr>
          <w:rFonts w:hint="eastAsia" w:ascii="宋体" w:hAnsi="宋体" w:eastAsia="宋体" w:cs="宋体"/>
          <w:b w:val="0"/>
          <w:bCs/>
          <w:spacing w:val="0"/>
          <w:kern w:val="2"/>
          <w:sz w:val="24"/>
          <w:szCs w:val="24"/>
          <w:vertAlign w:val="baseline"/>
          <w:lang w:val="en-US" w:eastAsia="zh-CN" w:bidi="ar-SA"/>
        </w:rPr>
      </w:pPr>
      <w:r>
        <w:rPr>
          <w:rFonts w:hint="eastAsia" w:ascii="宋体" w:hAnsi="宋体" w:cs="宋体"/>
          <w:bCs/>
          <w:spacing w:val="0"/>
          <w:sz w:val="24"/>
          <w:szCs w:val="24"/>
          <w:vertAlign w:val="baseline"/>
          <w:lang w:val="en-US" w:eastAsia="zh-CN"/>
        </w:rPr>
        <w:t>甲拌磷，有剧毒，是一种内吸性杀螨剂</w:t>
      </w:r>
      <w:r>
        <w:rPr>
          <w:rFonts w:hint="eastAsia"/>
          <w:lang w:val="en-US" w:eastAsia="zh-CN"/>
        </w:rPr>
        <w:t>；</w:t>
      </w:r>
      <w:r>
        <w:rPr>
          <w:rFonts w:hint="default" w:ascii="宋体" w:hAnsi="宋体" w:cs="宋体"/>
          <w:bCs/>
          <w:spacing w:val="0"/>
          <w:sz w:val="24"/>
          <w:szCs w:val="24"/>
          <w:vertAlign w:val="baseline"/>
          <w:lang w:val="en" w:eastAsia="zh-CN"/>
        </w:rPr>
        <w:t>2022</w:t>
      </w:r>
      <w:r>
        <w:rPr>
          <w:rFonts w:hint="eastAsia" w:ascii="宋体" w:hAnsi="宋体" w:eastAsia="宋体" w:cs="宋体"/>
          <w:bCs/>
          <w:spacing w:val="0"/>
          <w:sz w:val="24"/>
          <w:szCs w:val="24"/>
          <w:vertAlign w:val="baseline"/>
          <w:lang w:val="en-US" w:eastAsia="zh-CN"/>
        </w:rPr>
        <w:t>年</w:t>
      </w:r>
      <w:r>
        <w:rPr>
          <w:rFonts w:hint="default" w:ascii="宋体" w:hAnsi="宋体" w:cs="宋体"/>
          <w:bCs/>
          <w:spacing w:val="0"/>
          <w:sz w:val="24"/>
          <w:szCs w:val="24"/>
          <w:vertAlign w:val="baseline"/>
          <w:lang w:val="en" w:eastAsia="zh-CN"/>
        </w:rPr>
        <w:t>3</w:t>
      </w:r>
      <w:r>
        <w:rPr>
          <w:rFonts w:hint="eastAsia" w:ascii="宋体" w:hAnsi="宋体" w:eastAsia="宋体" w:cs="宋体"/>
          <w:bCs/>
          <w:spacing w:val="0"/>
          <w:sz w:val="24"/>
          <w:szCs w:val="24"/>
          <w:vertAlign w:val="baseline"/>
          <w:lang w:val="en-US" w:eastAsia="zh-CN"/>
        </w:rPr>
        <w:t>月，为保障农产品质量安全、人畜安全和生态环境的安全，根据《中共中央国务院关于深化改革加强食品安全工作的意见》《农药管理条例》，经国务院同意，决定对甲拌磷等４种高毒农药采取淘汰措施，自</w:t>
      </w:r>
      <w:r>
        <w:rPr>
          <w:rFonts w:hint="default" w:ascii="宋体" w:hAnsi="宋体" w:cs="宋体"/>
          <w:bCs/>
          <w:spacing w:val="0"/>
          <w:sz w:val="24"/>
          <w:szCs w:val="24"/>
          <w:vertAlign w:val="baseline"/>
          <w:lang w:val="en" w:eastAsia="zh-CN"/>
        </w:rPr>
        <w:t>2024</w:t>
      </w:r>
      <w:r>
        <w:rPr>
          <w:rFonts w:hint="eastAsia" w:ascii="宋体" w:hAnsi="宋体" w:eastAsia="宋体" w:cs="宋体"/>
          <w:bCs/>
          <w:spacing w:val="0"/>
          <w:sz w:val="24"/>
          <w:szCs w:val="24"/>
          <w:vertAlign w:val="baseline"/>
          <w:lang w:val="en-US" w:eastAsia="zh-CN"/>
        </w:rPr>
        <w:t>年</w:t>
      </w:r>
      <w:r>
        <w:rPr>
          <w:rFonts w:hint="default" w:ascii="宋体" w:hAnsi="宋体" w:cs="宋体"/>
          <w:bCs/>
          <w:spacing w:val="0"/>
          <w:sz w:val="24"/>
          <w:szCs w:val="24"/>
          <w:vertAlign w:val="baseline"/>
          <w:lang w:val="en" w:eastAsia="zh-CN"/>
        </w:rPr>
        <w:t>9</w:t>
      </w:r>
      <w:r>
        <w:rPr>
          <w:rFonts w:hint="eastAsia" w:ascii="宋体" w:hAnsi="宋体" w:eastAsia="宋体" w:cs="宋体"/>
          <w:bCs/>
          <w:spacing w:val="0"/>
          <w:sz w:val="24"/>
          <w:szCs w:val="24"/>
          <w:vertAlign w:val="baseline"/>
          <w:lang w:val="en-US" w:eastAsia="zh-CN"/>
        </w:rPr>
        <w:t>月</w:t>
      </w:r>
      <w:r>
        <w:rPr>
          <w:rFonts w:hint="default" w:ascii="宋体" w:hAnsi="宋体" w:cs="宋体"/>
          <w:bCs/>
          <w:spacing w:val="0"/>
          <w:sz w:val="24"/>
          <w:szCs w:val="24"/>
          <w:vertAlign w:val="baseline"/>
          <w:lang w:val="en" w:eastAsia="zh-CN"/>
        </w:rPr>
        <w:t>1</w:t>
      </w:r>
      <w:r>
        <w:rPr>
          <w:rFonts w:hint="eastAsia" w:ascii="宋体" w:hAnsi="宋体" w:eastAsia="宋体" w:cs="宋体"/>
          <w:bCs/>
          <w:spacing w:val="0"/>
          <w:sz w:val="24"/>
          <w:szCs w:val="24"/>
          <w:vertAlign w:val="baseline"/>
          <w:lang w:val="en-US" w:eastAsia="zh-CN"/>
        </w:rPr>
        <w:t>日起禁止销售和使用。</w:t>
      </w:r>
      <w:r>
        <w:rPr>
          <w:rFonts w:hint="eastAsia" w:ascii="宋体" w:hAnsi="宋体" w:cs="宋体"/>
          <w:bCs/>
          <w:spacing w:val="0"/>
          <w:sz w:val="24"/>
          <w:szCs w:val="24"/>
          <w:vertAlign w:val="baseline"/>
          <w:lang w:val="en-US" w:eastAsia="zh-CN"/>
        </w:rPr>
        <w:t>故</w:t>
      </w:r>
      <w:r>
        <w:rPr>
          <w:rFonts w:hint="eastAsia" w:ascii="宋体" w:hAnsi="宋体" w:eastAsia="宋体" w:cs="宋体"/>
          <w:bCs/>
          <w:spacing w:val="0"/>
          <w:sz w:val="24"/>
          <w:szCs w:val="24"/>
          <w:vertAlign w:val="baseline"/>
          <w:lang w:val="en-US" w:eastAsia="zh-CN"/>
        </w:rPr>
        <w:t>删除了禁用农药甲拌磷的相关内容</w:t>
      </w:r>
      <w:r>
        <w:rPr>
          <w:rFonts w:hint="eastAsia" w:ascii="宋体" w:hAnsi="宋体" w:cs="宋体"/>
          <w:bCs/>
          <w:spacing w:val="0"/>
          <w:sz w:val="24"/>
          <w:szCs w:val="24"/>
          <w:vertAlign w:val="baseline"/>
          <w:lang w:val="en-US" w:eastAsia="zh-CN"/>
        </w:rPr>
        <w:t>。</w:t>
      </w:r>
      <w:r>
        <w:rPr>
          <w:rFonts w:hint="eastAsia" w:ascii="宋体" w:hAnsi="宋体" w:eastAsia="宋体" w:cs="宋体"/>
          <w:b w:val="0"/>
          <w:bCs/>
          <w:spacing w:val="0"/>
          <w:kern w:val="2"/>
          <w:sz w:val="24"/>
          <w:szCs w:val="24"/>
          <w:vertAlign w:val="baseline"/>
          <w:lang w:val="en-US" w:eastAsia="zh-CN" w:bidi="ar-SA"/>
        </w:rPr>
        <w:t>用50%福美双可湿性粉剂，按种子重量0.2%的药量拌种;或25%三唑酮可湿性粉剂，按种子重量0.3%的用药量拌种;或2%戊唑醇湿拌种剂用10克药，对少量水成糊状，拌玉米种子3～3.5Kg等；在玉米未出土前用15%三唑酮可湿性粉剂750～1000倍液，或用50%</w:t>
      </w:r>
      <w:r>
        <w:rPr>
          <w:rFonts w:hint="default" w:ascii="宋体" w:hAnsi="宋体" w:eastAsia="宋体" w:cs="宋体"/>
          <w:b w:val="0"/>
          <w:bCs/>
          <w:spacing w:val="0"/>
          <w:kern w:val="2"/>
          <w:sz w:val="24"/>
          <w:szCs w:val="24"/>
          <w:vertAlign w:val="baseline"/>
          <w:lang w:val="en-US" w:eastAsia="zh-CN" w:bidi="ar-SA"/>
        </w:rPr>
        <w:fldChar w:fldCharType="begin"/>
      </w:r>
      <w:r>
        <w:rPr>
          <w:rFonts w:hint="default" w:ascii="宋体" w:hAnsi="宋体" w:eastAsia="宋体" w:cs="宋体"/>
          <w:b w:val="0"/>
          <w:bCs/>
          <w:spacing w:val="0"/>
          <w:kern w:val="2"/>
          <w:sz w:val="24"/>
          <w:szCs w:val="24"/>
          <w:vertAlign w:val="baseline"/>
          <w:lang w:val="en-US" w:eastAsia="zh-CN" w:bidi="ar-SA"/>
        </w:rPr>
        <w:instrText xml:space="preserve"> HYPERLINK "https://baike.so.com/doc/6503010-7116540.html" \t "/home/baixin/Documents\\x/_blank" </w:instrText>
      </w:r>
      <w:r>
        <w:rPr>
          <w:rFonts w:hint="default" w:ascii="宋体" w:hAnsi="宋体" w:eastAsia="宋体" w:cs="宋体"/>
          <w:b w:val="0"/>
          <w:bCs/>
          <w:spacing w:val="0"/>
          <w:kern w:val="2"/>
          <w:sz w:val="24"/>
          <w:szCs w:val="24"/>
          <w:vertAlign w:val="baseline"/>
          <w:lang w:val="en-US" w:eastAsia="zh-CN" w:bidi="ar-SA"/>
        </w:rPr>
        <w:fldChar w:fldCharType="separate"/>
      </w:r>
      <w:r>
        <w:rPr>
          <w:rFonts w:hint="default" w:ascii="宋体" w:hAnsi="宋体" w:eastAsia="宋体" w:cs="宋体"/>
          <w:b w:val="0"/>
          <w:bCs/>
          <w:spacing w:val="0"/>
          <w:kern w:val="2"/>
          <w:sz w:val="24"/>
          <w:szCs w:val="24"/>
          <w:vertAlign w:val="baseline"/>
          <w:lang w:val="en-US" w:eastAsia="zh-CN" w:bidi="ar-SA"/>
        </w:rPr>
        <w:t>克菌丹</w:t>
      </w:r>
      <w:r>
        <w:rPr>
          <w:rFonts w:hint="default" w:ascii="宋体" w:hAnsi="宋体" w:eastAsia="宋体" w:cs="宋体"/>
          <w:b w:val="0"/>
          <w:bCs/>
          <w:spacing w:val="0"/>
          <w:kern w:val="2"/>
          <w:sz w:val="24"/>
          <w:szCs w:val="24"/>
          <w:vertAlign w:val="baseline"/>
          <w:lang w:val="en-US" w:eastAsia="zh-CN" w:bidi="ar-SA"/>
        </w:rPr>
        <w:fldChar w:fldCharType="end"/>
      </w:r>
      <w:r>
        <w:rPr>
          <w:rFonts w:hint="default" w:ascii="宋体" w:hAnsi="宋体" w:eastAsia="宋体" w:cs="宋体"/>
          <w:b w:val="0"/>
          <w:bCs/>
          <w:spacing w:val="0"/>
          <w:kern w:val="2"/>
          <w:sz w:val="24"/>
          <w:szCs w:val="24"/>
          <w:vertAlign w:val="baseline"/>
          <w:lang w:val="en-US" w:eastAsia="zh-CN" w:bidi="ar-SA"/>
        </w:rPr>
        <w:t>可湿性粉剂200倍液，进行土表喷雾，以减少初侵染菌源。在肿瘤未出现前，用</w:t>
      </w:r>
      <w:r>
        <w:rPr>
          <w:rFonts w:hint="default" w:ascii="宋体" w:hAnsi="宋体" w:eastAsia="宋体" w:cs="宋体"/>
          <w:b w:val="0"/>
          <w:bCs/>
          <w:spacing w:val="0"/>
          <w:kern w:val="2"/>
          <w:sz w:val="24"/>
          <w:szCs w:val="24"/>
          <w:vertAlign w:val="baseline"/>
          <w:lang w:val="en-US" w:eastAsia="zh-CN" w:bidi="ar-SA"/>
        </w:rPr>
        <w:fldChar w:fldCharType="begin"/>
      </w:r>
      <w:r>
        <w:rPr>
          <w:rFonts w:hint="default" w:ascii="宋体" w:hAnsi="宋体" w:eastAsia="宋体" w:cs="宋体"/>
          <w:b w:val="0"/>
          <w:bCs/>
          <w:spacing w:val="0"/>
          <w:kern w:val="2"/>
          <w:sz w:val="24"/>
          <w:szCs w:val="24"/>
          <w:vertAlign w:val="baseline"/>
          <w:lang w:val="en-US" w:eastAsia="zh-CN" w:bidi="ar-SA"/>
        </w:rPr>
        <w:instrText xml:space="preserve"> HYPERLINK "https://baike.so.com/doc/6445654-7116609.html" \t "/home/baixin/Documents\\x/_blank" </w:instrText>
      </w:r>
      <w:r>
        <w:rPr>
          <w:rFonts w:hint="default" w:ascii="宋体" w:hAnsi="宋体" w:eastAsia="宋体" w:cs="宋体"/>
          <w:b w:val="0"/>
          <w:bCs/>
          <w:spacing w:val="0"/>
          <w:kern w:val="2"/>
          <w:sz w:val="24"/>
          <w:szCs w:val="24"/>
          <w:vertAlign w:val="baseline"/>
          <w:lang w:val="en-US" w:eastAsia="zh-CN" w:bidi="ar-SA"/>
        </w:rPr>
        <w:fldChar w:fldCharType="separate"/>
      </w:r>
      <w:r>
        <w:rPr>
          <w:rFonts w:hint="default" w:ascii="宋体" w:hAnsi="宋体" w:eastAsia="宋体" w:cs="宋体"/>
          <w:b w:val="0"/>
          <w:bCs/>
          <w:spacing w:val="0"/>
          <w:kern w:val="2"/>
          <w:sz w:val="24"/>
          <w:szCs w:val="24"/>
          <w:vertAlign w:val="baseline"/>
          <w:lang w:val="en-US" w:eastAsia="zh-CN" w:bidi="ar-SA"/>
        </w:rPr>
        <w:t>三唑酮</w:t>
      </w:r>
      <w:r>
        <w:rPr>
          <w:rFonts w:hint="default" w:ascii="宋体" w:hAnsi="宋体" w:eastAsia="宋体" w:cs="宋体"/>
          <w:b w:val="0"/>
          <w:bCs/>
          <w:spacing w:val="0"/>
          <w:kern w:val="2"/>
          <w:sz w:val="24"/>
          <w:szCs w:val="24"/>
          <w:vertAlign w:val="baseline"/>
          <w:lang w:val="en-US" w:eastAsia="zh-CN" w:bidi="ar-SA"/>
        </w:rPr>
        <w:fldChar w:fldCharType="end"/>
      </w:r>
      <w:r>
        <w:rPr>
          <w:rFonts w:hint="default" w:ascii="宋体" w:hAnsi="宋体" w:eastAsia="宋体" w:cs="宋体"/>
          <w:b w:val="0"/>
          <w:bCs/>
          <w:spacing w:val="0"/>
          <w:kern w:val="2"/>
          <w:sz w:val="24"/>
          <w:szCs w:val="24"/>
          <w:vertAlign w:val="baseline"/>
          <w:lang w:val="en-US" w:eastAsia="zh-CN" w:bidi="ar-SA"/>
        </w:rPr>
        <w:t>、</w:t>
      </w:r>
      <w:r>
        <w:rPr>
          <w:rFonts w:hint="default" w:ascii="宋体" w:hAnsi="宋体" w:eastAsia="宋体" w:cs="宋体"/>
          <w:b w:val="0"/>
          <w:bCs/>
          <w:spacing w:val="0"/>
          <w:kern w:val="2"/>
          <w:sz w:val="24"/>
          <w:szCs w:val="24"/>
          <w:vertAlign w:val="baseline"/>
          <w:lang w:val="en-US" w:eastAsia="zh-CN" w:bidi="ar-SA"/>
        </w:rPr>
        <w:fldChar w:fldCharType="begin"/>
      </w:r>
      <w:r>
        <w:rPr>
          <w:rFonts w:hint="default" w:ascii="宋体" w:hAnsi="宋体" w:eastAsia="宋体" w:cs="宋体"/>
          <w:b w:val="0"/>
          <w:bCs/>
          <w:spacing w:val="0"/>
          <w:kern w:val="2"/>
          <w:sz w:val="24"/>
          <w:szCs w:val="24"/>
          <w:vertAlign w:val="baseline"/>
          <w:lang w:val="en-US" w:eastAsia="zh-CN" w:bidi="ar-SA"/>
        </w:rPr>
        <w:instrText xml:space="preserve"> HYPERLINK "https://baike.so.com/doc/5579150-5792520.html" \t "/home/baixin/Documents\\x/_blank" </w:instrText>
      </w:r>
      <w:r>
        <w:rPr>
          <w:rFonts w:hint="default" w:ascii="宋体" w:hAnsi="宋体" w:eastAsia="宋体" w:cs="宋体"/>
          <w:b w:val="0"/>
          <w:bCs/>
          <w:spacing w:val="0"/>
          <w:kern w:val="2"/>
          <w:sz w:val="24"/>
          <w:szCs w:val="24"/>
          <w:vertAlign w:val="baseline"/>
          <w:lang w:val="en-US" w:eastAsia="zh-CN" w:bidi="ar-SA"/>
        </w:rPr>
        <w:fldChar w:fldCharType="separate"/>
      </w:r>
      <w:r>
        <w:rPr>
          <w:rFonts w:hint="default" w:ascii="宋体" w:hAnsi="宋体" w:eastAsia="宋体" w:cs="宋体"/>
          <w:b w:val="0"/>
          <w:bCs/>
          <w:spacing w:val="0"/>
          <w:kern w:val="2"/>
          <w:sz w:val="24"/>
          <w:szCs w:val="24"/>
          <w:vertAlign w:val="baseline"/>
          <w:lang w:val="en-US" w:eastAsia="zh-CN" w:bidi="ar-SA"/>
        </w:rPr>
        <w:t>烯唑醇</w:t>
      </w:r>
      <w:r>
        <w:rPr>
          <w:rFonts w:hint="default" w:ascii="宋体" w:hAnsi="宋体" w:eastAsia="宋体" w:cs="宋体"/>
          <w:b w:val="0"/>
          <w:bCs/>
          <w:spacing w:val="0"/>
          <w:kern w:val="2"/>
          <w:sz w:val="24"/>
          <w:szCs w:val="24"/>
          <w:vertAlign w:val="baseline"/>
          <w:lang w:val="en-US" w:eastAsia="zh-CN" w:bidi="ar-SA"/>
        </w:rPr>
        <w:fldChar w:fldCharType="end"/>
      </w:r>
      <w:r>
        <w:rPr>
          <w:rFonts w:hint="default" w:ascii="宋体" w:hAnsi="宋体" w:eastAsia="宋体" w:cs="宋体"/>
          <w:b w:val="0"/>
          <w:bCs/>
          <w:spacing w:val="0"/>
          <w:kern w:val="2"/>
          <w:sz w:val="24"/>
          <w:szCs w:val="24"/>
          <w:vertAlign w:val="baseline"/>
          <w:lang w:val="en-US" w:eastAsia="zh-CN" w:bidi="ar-SA"/>
        </w:rPr>
        <w:t>、</w:t>
      </w:r>
      <w:r>
        <w:rPr>
          <w:rFonts w:hint="default" w:ascii="宋体" w:hAnsi="宋体" w:eastAsia="宋体" w:cs="宋体"/>
          <w:b w:val="0"/>
          <w:bCs/>
          <w:spacing w:val="0"/>
          <w:kern w:val="2"/>
          <w:sz w:val="24"/>
          <w:szCs w:val="24"/>
          <w:vertAlign w:val="baseline"/>
          <w:lang w:val="en-US" w:eastAsia="zh-CN" w:bidi="ar-SA"/>
        </w:rPr>
        <w:fldChar w:fldCharType="begin"/>
      </w:r>
      <w:r>
        <w:rPr>
          <w:rFonts w:hint="default" w:ascii="宋体" w:hAnsi="宋体" w:eastAsia="宋体" w:cs="宋体"/>
          <w:b w:val="0"/>
          <w:bCs/>
          <w:spacing w:val="0"/>
          <w:kern w:val="2"/>
          <w:sz w:val="24"/>
          <w:szCs w:val="24"/>
          <w:vertAlign w:val="baseline"/>
          <w:lang w:val="en-US" w:eastAsia="zh-CN" w:bidi="ar-SA"/>
        </w:rPr>
        <w:instrText xml:space="preserve"> HYPERLINK "https://baike.so.com/doc/5425531-5663751.html" \t "/home/baixin/Documents\\x/_blank" </w:instrText>
      </w:r>
      <w:r>
        <w:rPr>
          <w:rFonts w:hint="default" w:ascii="宋体" w:hAnsi="宋体" w:eastAsia="宋体" w:cs="宋体"/>
          <w:b w:val="0"/>
          <w:bCs/>
          <w:spacing w:val="0"/>
          <w:kern w:val="2"/>
          <w:sz w:val="24"/>
          <w:szCs w:val="24"/>
          <w:vertAlign w:val="baseline"/>
          <w:lang w:val="en-US" w:eastAsia="zh-CN" w:bidi="ar-SA"/>
        </w:rPr>
        <w:fldChar w:fldCharType="separate"/>
      </w:r>
      <w:r>
        <w:rPr>
          <w:rFonts w:hint="default" w:ascii="宋体" w:hAnsi="宋体" w:eastAsia="宋体" w:cs="宋体"/>
          <w:b w:val="0"/>
          <w:bCs/>
          <w:spacing w:val="0"/>
          <w:kern w:val="2"/>
          <w:sz w:val="24"/>
          <w:szCs w:val="24"/>
          <w:vertAlign w:val="baseline"/>
          <w:lang w:val="en-US" w:eastAsia="zh-CN" w:bidi="ar-SA"/>
        </w:rPr>
        <w:t>福美双</w:t>
      </w:r>
      <w:r>
        <w:rPr>
          <w:rFonts w:hint="default" w:ascii="宋体" w:hAnsi="宋体" w:eastAsia="宋体" w:cs="宋体"/>
          <w:b w:val="0"/>
          <w:bCs/>
          <w:spacing w:val="0"/>
          <w:kern w:val="2"/>
          <w:sz w:val="24"/>
          <w:szCs w:val="24"/>
          <w:vertAlign w:val="baseline"/>
          <w:lang w:val="en-US" w:eastAsia="zh-CN" w:bidi="ar-SA"/>
        </w:rPr>
        <w:fldChar w:fldCharType="end"/>
      </w:r>
      <w:r>
        <w:rPr>
          <w:rFonts w:hint="default" w:ascii="宋体" w:hAnsi="宋体" w:eastAsia="宋体" w:cs="宋体"/>
          <w:b w:val="0"/>
          <w:bCs/>
          <w:spacing w:val="0"/>
          <w:kern w:val="2"/>
          <w:sz w:val="24"/>
          <w:szCs w:val="24"/>
          <w:vertAlign w:val="baseline"/>
          <w:lang w:val="en-US" w:eastAsia="zh-CN" w:bidi="ar-SA"/>
        </w:rPr>
        <w:t>等杀菌剂对植株喷药，以降低发病率</w:t>
      </w:r>
      <w:r>
        <w:rPr>
          <w:rFonts w:hint="eastAsia" w:ascii="宋体" w:hAnsi="宋体" w:eastAsia="宋体" w:cs="宋体"/>
          <w:b w:val="0"/>
          <w:bCs/>
          <w:spacing w:val="0"/>
          <w:kern w:val="2"/>
          <w:sz w:val="24"/>
          <w:szCs w:val="24"/>
          <w:vertAlign w:val="baseline"/>
          <w:lang w:val="en-US" w:eastAsia="zh-CN" w:bidi="ar-SA"/>
        </w:rPr>
        <w:t>。</w:t>
      </w:r>
      <w:r>
        <w:rPr>
          <w:rFonts w:hint="eastAsia" w:ascii="宋体" w:hAnsi="宋体" w:cs="宋体"/>
          <w:bCs/>
          <w:spacing w:val="0"/>
          <w:sz w:val="24"/>
          <w:szCs w:val="24"/>
          <w:vertAlign w:val="baseline"/>
          <w:lang w:val="en-US" w:eastAsia="zh-CN"/>
        </w:rPr>
        <w:t>病虫害防治有区域性特点，</w:t>
      </w:r>
      <w:r>
        <w:rPr>
          <w:rFonts w:hint="eastAsia" w:ascii="宋体" w:hAnsi="宋体" w:cs="宋体"/>
          <w:b w:val="0"/>
          <w:bCs/>
          <w:spacing w:val="0"/>
          <w:kern w:val="2"/>
          <w:sz w:val="24"/>
          <w:szCs w:val="24"/>
          <w:vertAlign w:val="baseline"/>
          <w:lang w:val="en-US" w:eastAsia="zh-CN" w:bidi="ar-SA"/>
        </w:rPr>
        <w:t>同时增加了</w:t>
      </w:r>
      <w:r>
        <w:rPr>
          <w:rFonts w:hint="eastAsia" w:ascii="宋体" w:hAnsi="宋体" w:eastAsia="宋体" w:cs="宋体"/>
          <w:b w:val="0"/>
          <w:bCs/>
          <w:spacing w:val="0"/>
          <w:kern w:val="2"/>
          <w:sz w:val="24"/>
          <w:szCs w:val="24"/>
          <w:vertAlign w:val="baseline"/>
          <w:lang w:val="en-US" w:eastAsia="zh-CN" w:bidi="ar-SA"/>
        </w:rPr>
        <w:t>玉米缺素症的防治</w:t>
      </w:r>
      <w:r>
        <w:rPr>
          <w:rFonts w:hint="eastAsia" w:ascii="宋体" w:hAnsi="宋体" w:cs="宋体"/>
          <w:b w:val="0"/>
          <w:bCs/>
          <w:spacing w:val="0"/>
          <w:kern w:val="2"/>
          <w:sz w:val="24"/>
          <w:szCs w:val="24"/>
          <w:vertAlign w:val="baseline"/>
          <w:lang w:val="en-US" w:eastAsia="zh-CN" w:bidi="ar-SA"/>
        </w:rPr>
        <w:t>。</w:t>
      </w:r>
      <w:r>
        <w:rPr>
          <w:rFonts w:hint="eastAsia" w:ascii="宋体" w:hAnsi="宋体" w:eastAsia="宋体" w:cs="宋体"/>
          <w:bCs/>
          <w:spacing w:val="0"/>
          <w:sz w:val="24"/>
          <w:szCs w:val="24"/>
          <w:vertAlign w:val="baseline"/>
          <w:lang w:val="en-US" w:eastAsia="zh-CN"/>
        </w:rPr>
        <w:t>玉米的用途从食用转变为饲用和多用途工业原料</w:t>
      </w:r>
      <w:r>
        <w:rPr>
          <w:rFonts w:hint="default" w:ascii="宋体" w:hAnsi="宋体" w:eastAsia="宋体" w:cs="宋体"/>
          <w:bCs/>
          <w:spacing w:val="0"/>
          <w:sz w:val="24"/>
          <w:szCs w:val="24"/>
          <w:vertAlign w:val="baseline"/>
          <w:lang w:val="en" w:eastAsia="zh-CN"/>
        </w:rPr>
        <w:t>等形式</w:t>
      </w:r>
      <w:r>
        <w:rPr>
          <w:rFonts w:hint="eastAsia" w:ascii="宋体" w:hAnsi="宋体" w:eastAsia="宋体" w:cs="宋体"/>
          <w:bCs/>
          <w:spacing w:val="0"/>
          <w:sz w:val="24"/>
          <w:szCs w:val="24"/>
          <w:vertAlign w:val="baseline"/>
          <w:lang w:val="en-US" w:eastAsia="zh-CN"/>
        </w:rPr>
        <w:t>的变化，对玉米高产稳产及质量安全的需求也日益显著，而玉米病虫草害是影响玉米产量及质量安全的重要因素。</w:t>
      </w:r>
    </w:p>
    <w:p>
      <w:pPr>
        <w:keepNext w:val="0"/>
        <w:keepLines w:val="0"/>
        <w:pageBreakBefore w:val="0"/>
        <w:widowControl w:val="0"/>
        <w:kinsoku/>
        <w:wordWrap/>
        <w:overflowPunct/>
        <w:topLinePunct w:val="0"/>
        <w:autoSpaceDE/>
        <w:autoSpaceDN/>
        <w:bidi w:val="0"/>
        <w:spacing w:line="500" w:lineRule="exact"/>
        <w:textAlignment w:val="auto"/>
        <w:rPr>
          <w:rFonts w:hint="eastAsia" w:ascii="宋体" w:hAnsi="宋体"/>
          <w:sz w:val="24"/>
        </w:rPr>
      </w:pPr>
      <w:r>
        <w:rPr>
          <w:rFonts w:hint="eastAsia" w:ascii="宋体" w:hAnsi="宋体" w:cs="宋体"/>
          <w:bCs/>
          <w:spacing w:val="0"/>
          <w:sz w:val="24"/>
          <w:szCs w:val="24"/>
          <w:vertAlign w:val="baseline"/>
          <w:lang w:val="en-US" w:eastAsia="zh-CN"/>
        </w:rPr>
        <w:t>　　</w:t>
      </w:r>
      <w:r>
        <w:rPr>
          <w:rFonts w:hint="eastAsia" w:ascii="宋体" w:hAnsi="宋体" w:eastAsia="宋体" w:cs="宋体"/>
          <w:bCs/>
          <w:spacing w:val="0"/>
          <w:sz w:val="24"/>
          <w:szCs w:val="24"/>
          <w:vertAlign w:val="baseline"/>
          <w:lang w:val="en-US" w:eastAsia="zh-CN"/>
        </w:rPr>
        <w:t>在当前省委、省政府“质量强省”战略目标形势下，急需结合我省玉米生产实际制定病虫草害综合防治技术规范，促进我省的玉米病虫草害综合防治工作的规范化、标准化和先进性。新修订的《玉米病虫草害综合防治技术规程》拟优先选用农业防治、生物防治、物理防治等绿色防治技术，辅助化学防治技术，以减轻农药污染，提高玉米产量和质量。同时针对玉米病虫草害防治过程中产生的农药残留影响提出的质量要求，为我省玉米优质高产稳产提供强有力的技术保障，为我省农业生产安全、农产品质量安全、农业生态安全以及农业高质量发展保驾护航。</w:t>
      </w:r>
    </w:p>
    <w:p>
      <w:pPr>
        <w:numPr>
          <w:ilvl w:val="0"/>
          <w:numId w:val="3"/>
        </w:numPr>
        <w:spacing w:line="360" w:lineRule="auto"/>
        <w:ind w:firstLine="480" w:firstLineChars="200"/>
        <w:outlineLvl w:val="0"/>
        <w:rPr>
          <w:rFonts w:ascii="黑体" w:eastAsia="黑体"/>
          <w:sz w:val="24"/>
        </w:rPr>
      </w:pPr>
      <w:r>
        <w:rPr>
          <w:rFonts w:ascii="黑体" w:eastAsia="黑体"/>
          <w:sz w:val="24"/>
        </w:rPr>
        <w:t>主要</w:t>
      </w:r>
      <w:r>
        <w:rPr>
          <w:rFonts w:hint="eastAsia" w:ascii="黑体" w:eastAsia="黑体"/>
          <w:sz w:val="24"/>
        </w:rPr>
        <w:t>修订</w:t>
      </w:r>
      <w:r>
        <w:rPr>
          <w:rFonts w:ascii="黑体" w:eastAsia="黑体"/>
          <w:sz w:val="24"/>
        </w:rPr>
        <w:t>工作过程</w:t>
      </w:r>
    </w:p>
    <w:p>
      <w:pPr>
        <w:spacing w:line="400" w:lineRule="exact"/>
        <w:ind w:firstLine="480" w:firstLineChars="200"/>
        <w:rPr>
          <w:rFonts w:eastAsia="仿宋_GB2312"/>
          <w:bCs/>
          <w:sz w:val="24"/>
        </w:rPr>
      </w:pPr>
      <w:r>
        <w:rPr>
          <w:rFonts w:hint="eastAsia" w:eastAsia="仿宋_GB2312"/>
          <w:bCs/>
          <w:sz w:val="24"/>
        </w:rPr>
        <w:t>1、成立标准修订工作组</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rPr>
          <w:rFonts w:hint="eastAsia" w:ascii="宋体" w:hAnsi="宋体"/>
          <w:sz w:val="24"/>
        </w:rPr>
      </w:pPr>
      <w:r>
        <w:rPr>
          <w:rFonts w:hint="eastAsia" w:ascii="宋体" w:hAnsi="宋体"/>
          <w:sz w:val="24"/>
        </w:rPr>
        <w:t>在接到标准制修订</w:t>
      </w:r>
      <w:r>
        <w:rPr>
          <w:rFonts w:hint="eastAsia" w:ascii="宋体" w:hAnsi="宋体"/>
          <w:sz w:val="24"/>
          <w:lang w:val="en-US" w:eastAsia="zh-CN"/>
        </w:rPr>
        <w:t>建议</w:t>
      </w:r>
      <w:r>
        <w:rPr>
          <w:rFonts w:hint="eastAsia" w:ascii="宋体" w:hAnsi="宋体"/>
          <w:sz w:val="24"/>
        </w:rPr>
        <w:t>后，标准起草单位立刻成立了标准起草协作小组。主要起草人对玉米病虫草害综合防治技术均有较深入的研究或丰富的实践经验。项目组收集省内外相关资料，明确了工作重点，安排了标准编制计划。</w:t>
      </w:r>
    </w:p>
    <w:p>
      <w:pPr>
        <w:spacing w:line="400" w:lineRule="exact"/>
        <w:ind w:firstLine="480" w:firstLineChars="200"/>
        <w:rPr>
          <w:rFonts w:eastAsia="仿宋_GB2312"/>
          <w:bCs/>
          <w:sz w:val="24"/>
        </w:rPr>
      </w:pPr>
      <w:r>
        <w:rPr>
          <w:rFonts w:hint="eastAsia" w:eastAsia="仿宋_GB2312"/>
          <w:bCs/>
          <w:sz w:val="24"/>
        </w:rPr>
        <w:t>2、调研考察</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rPr>
          <w:rFonts w:hint="eastAsia" w:ascii="宋体" w:hAnsi="宋体"/>
          <w:sz w:val="24"/>
        </w:rPr>
      </w:pPr>
      <w:r>
        <w:rPr>
          <w:rFonts w:hint="eastAsia" w:ascii="宋体" w:hAnsi="宋体"/>
          <w:sz w:val="24"/>
        </w:rPr>
        <w:t>20</w:t>
      </w:r>
      <w:r>
        <w:rPr>
          <w:rFonts w:hint="default" w:ascii="宋体" w:hAnsi="宋体"/>
          <w:sz w:val="24"/>
          <w:lang w:val="en"/>
        </w:rPr>
        <w:t>2</w:t>
      </w:r>
      <w:r>
        <w:rPr>
          <w:rFonts w:hint="eastAsia" w:ascii="宋体" w:hAnsi="宋体"/>
          <w:sz w:val="24"/>
        </w:rPr>
        <w:t>3年</w:t>
      </w:r>
      <w:r>
        <w:rPr>
          <w:rFonts w:hint="eastAsia" w:ascii="宋体" w:hAnsi="宋体"/>
          <w:sz w:val="24"/>
          <w:lang w:val="en-US" w:eastAsia="zh-CN"/>
        </w:rPr>
        <w:t>12</w:t>
      </w:r>
      <w:r>
        <w:rPr>
          <w:rFonts w:hint="eastAsia" w:ascii="宋体" w:hAnsi="宋体"/>
          <w:sz w:val="24"/>
        </w:rPr>
        <w:t>月</w:t>
      </w:r>
      <w:r>
        <w:rPr>
          <w:rFonts w:hint="eastAsia" w:ascii="宋体" w:hAnsi="宋体"/>
          <w:sz w:val="24"/>
          <w:lang w:eastAsia="zh-CN"/>
        </w:rPr>
        <w:t>中旬</w:t>
      </w:r>
      <w:r>
        <w:rPr>
          <w:rFonts w:hint="eastAsia" w:ascii="宋体" w:hAnsi="宋体"/>
          <w:sz w:val="24"/>
        </w:rPr>
        <w:t>，标准起草小组认真</w:t>
      </w:r>
      <w:r>
        <w:rPr>
          <w:rFonts w:hint="eastAsia" w:ascii="宋体" w:hAnsi="宋体"/>
          <w:sz w:val="24"/>
          <w:lang w:val="en-US" w:eastAsia="zh-CN"/>
        </w:rPr>
        <w:t>分析原标准存在的问题和不足，调研分析玉米生产中病虫草发生情况及防治措施情况。认真学习农业农村部关于农药使用的相关政策。</w:t>
      </w:r>
      <w:r>
        <w:rPr>
          <w:rFonts w:hint="eastAsia" w:ascii="宋体" w:hAnsi="宋体"/>
          <w:sz w:val="24"/>
        </w:rPr>
        <w:t>研读了GB/T 1.1-20</w:t>
      </w:r>
      <w:r>
        <w:rPr>
          <w:rFonts w:hint="eastAsia" w:ascii="宋体" w:hAnsi="宋体"/>
          <w:sz w:val="24"/>
          <w:lang w:val="en-US" w:eastAsia="zh-CN"/>
        </w:rPr>
        <w:t>20</w:t>
      </w:r>
      <w:r>
        <w:rPr>
          <w:rFonts w:hint="eastAsia" w:ascii="宋体" w:hAnsi="宋体"/>
          <w:sz w:val="24"/>
        </w:rPr>
        <w:t>标准化工作导则 第</w:t>
      </w:r>
      <w:r>
        <w:rPr>
          <w:rFonts w:hint="eastAsia" w:ascii="宋体" w:hAnsi="宋体"/>
          <w:sz w:val="24"/>
          <w:lang w:val="en-US" w:eastAsia="zh-CN"/>
        </w:rPr>
        <w:t>1</w:t>
      </w:r>
      <w:r>
        <w:rPr>
          <w:rFonts w:hint="eastAsia" w:ascii="宋体" w:hAnsi="宋体"/>
          <w:sz w:val="24"/>
        </w:rPr>
        <w:t>部分：</w:t>
      </w:r>
      <w:r>
        <w:rPr>
          <w:rFonts w:hint="eastAsia" w:ascii="宋体" w:hAnsi="宋体" w:eastAsia="宋体" w:cs="Times New Roman"/>
          <w:sz w:val="24"/>
          <w:lang w:val="en-US" w:eastAsia="zh-CN"/>
        </w:rPr>
        <w:t>标准化文件的结构和起草规则</w:t>
      </w:r>
      <w:r>
        <w:rPr>
          <w:rFonts w:hint="eastAsia" w:ascii="宋体" w:hAnsi="宋体"/>
          <w:sz w:val="24"/>
        </w:rPr>
        <w:t>后，按GB/T 1.1-20</w:t>
      </w:r>
      <w:r>
        <w:rPr>
          <w:rFonts w:hint="eastAsia" w:ascii="宋体" w:hAnsi="宋体"/>
          <w:sz w:val="24"/>
          <w:lang w:val="en-US" w:eastAsia="zh-CN"/>
        </w:rPr>
        <w:t>20</w:t>
      </w:r>
      <w:r>
        <w:rPr>
          <w:rFonts w:hint="eastAsia" w:ascii="宋体" w:hAnsi="宋体"/>
          <w:sz w:val="24"/>
        </w:rPr>
        <w:t>给出的规则起草本标准，以确保本标准</w:t>
      </w:r>
      <w:r>
        <w:rPr>
          <w:rFonts w:hint="eastAsia" w:ascii="宋体" w:hAnsi="宋体"/>
          <w:sz w:val="24"/>
          <w:lang w:val="en-US" w:eastAsia="zh-CN"/>
        </w:rPr>
        <w:t>内容科学、适用，</w:t>
      </w:r>
      <w:r>
        <w:rPr>
          <w:rFonts w:hint="eastAsia" w:ascii="宋体" w:hAnsi="宋体"/>
          <w:sz w:val="24"/>
        </w:rPr>
        <w:t>结构表</w:t>
      </w:r>
      <w:r>
        <w:rPr>
          <w:rFonts w:hint="eastAsia" w:ascii="宋体" w:hAnsi="宋体"/>
          <w:sz w:val="24"/>
          <w:lang w:val="en-US" w:eastAsia="zh-CN"/>
        </w:rPr>
        <w:t>述</w:t>
      </w:r>
      <w:r>
        <w:rPr>
          <w:rFonts w:hint="eastAsia" w:ascii="宋体" w:hAnsi="宋体"/>
          <w:sz w:val="24"/>
        </w:rPr>
        <w:t>规范</w:t>
      </w:r>
      <w:r>
        <w:rPr>
          <w:rFonts w:hint="eastAsia" w:ascii="宋体" w:hAnsi="宋体"/>
          <w:sz w:val="24"/>
          <w:lang w:eastAsia="zh-CN"/>
        </w:rPr>
        <w:t>、</w:t>
      </w:r>
      <w:r>
        <w:rPr>
          <w:rFonts w:hint="eastAsia" w:ascii="宋体" w:hAnsi="宋体"/>
          <w:sz w:val="24"/>
          <w:lang w:val="en-US" w:eastAsia="zh-CN"/>
        </w:rPr>
        <w:t>合理</w:t>
      </w:r>
      <w:r>
        <w:rPr>
          <w:rFonts w:hint="eastAsia" w:ascii="宋体" w:hAnsi="宋体"/>
          <w:sz w:val="24"/>
        </w:rPr>
        <w:t>。</w:t>
      </w:r>
    </w:p>
    <w:p>
      <w:pPr>
        <w:spacing w:line="400" w:lineRule="exact"/>
        <w:ind w:firstLine="480" w:firstLineChars="200"/>
        <w:rPr>
          <w:rFonts w:eastAsia="仿宋_GB2312"/>
          <w:bCs/>
          <w:sz w:val="24"/>
        </w:rPr>
      </w:pPr>
      <w:r>
        <w:rPr>
          <w:rFonts w:hint="eastAsia" w:eastAsia="仿宋_GB2312"/>
          <w:bCs/>
          <w:sz w:val="24"/>
        </w:rPr>
        <w:t>3、收集资料</w:t>
      </w:r>
    </w:p>
    <w:p>
      <w:pPr>
        <w:keepNext w:val="0"/>
        <w:keepLines w:val="0"/>
        <w:pageBreakBefore w:val="0"/>
        <w:widowControl w:val="0"/>
        <w:kinsoku/>
        <w:wordWrap/>
        <w:overflowPunct/>
        <w:topLinePunct w:val="0"/>
        <w:autoSpaceDE/>
        <w:autoSpaceDN/>
        <w:bidi w:val="0"/>
        <w:spacing w:line="500" w:lineRule="exact"/>
        <w:ind w:firstLine="480" w:firstLineChars="200"/>
        <w:textAlignment w:val="auto"/>
      </w:pPr>
      <w:r>
        <w:rPr>
          <w:rFonts w:hint="eastAsia" w:ascii="宋体" w:hAnsi="宋体"/>
          <w:sz w:val="24"/>
        </w:rPr>
        <w:t>20</w:t>
      </w:r>
      <w:r>
        <w:rPr>
          <w:rFonts w:hint="eastAsia" w:ascii="宋体" w:hAnsi="宋体"/>
          <w:sz w:val="24"/>
          <w:lang w:val="en-US" w:eastAsia="zh-CN"/>
        </w:rPr>
        <w:t>2</w:t>
      </w:r>
      <w:r>
        <w:rPr>
          <w:rFonts w:hint="eastAsia" w:ascii="宋体" w:hAnsi="宋体"/>
          <w:sz w:val="24"/>
        </w:rPr>
        <w:t>3年</w:t>
      </w:r>
      <w:r>
        <w:rPr>
          <w:rFonts w:hint="eastAsia" w:ascii="宋体" w:hAnsi="宋体"/>
          <w:sz w:val="24"/>
          <w:lang w:val="en-US" w:eastAsia="zh-CN"/>
        </w:rPr>
        <w:t>12</w:t>
      </w:r>
      <w:r>
        <w:rPr>
          <w:rFonts w:hint="eastAsia" w:ascii="宋体" w:hAnsi="宋体"/>
          <w:sz w:val="24"/>
        </w:rPr>
        <w:t>月</w:t>
      </w:r>
      <w:r>
        <w:rPr>
          <w:rFonts w:hint="eastAsia" w:ascii="宋体" w:hAnsi="宋体"/>
          <w:sz w:val="24"/>
          <w:lang w:eastAsia="zh-CN"/>
        </w:rPr>
        <w:t>底</w:t>
      </w:r>
      <w:r>
        <w:rPr>
          <w:rFonts w:hint="eastAsia" w:ascii="宋体" w:hAnsi="宋体"/>
          <w:sz w:val="24"/>
        </w:rPr>
        <w:t>，对起草小组成员进行了详细分工，在总结了山西玉米的生长规律和主要病虫草害发生情况的基础上，积极收集省内外相关材料，阅读了大量有关玉米病虫草害综合防治技术方面的学术论文、专著、和技术文章以及技术标准、技术规程和技术规范。</w:t>
      </w:r>
    </w:p>
    <w:p>
      <w:pPr>
        <w:spacing w:line="400" w:lineRule="exact"/>
        <w:ind w:firstLine="480" w:firstLineChars="200"/>
        <w:rPr>
          <w:rFonts w:eastAsia="仿宋_GB2312"/>
          <w:bCs/>
          <w:sz w:val="24"/>
        </w:rPr>
      </w:pPr>
      <w:r>
        <w:rPr>
          <w:rFonts w:hint="eastAsia" w:eastAsia="仿宋_GB2312"/>
          <w:bCs/>
          <w:sz w:val="24"/>
        </w:rPr>
        <w:t>4、修订文本</w:t>
      </w:r>
    </w:p>
    <w:p>
      <w:pPr>
        <w:spacing w:line="400" w:lineRule="exact"/>
        <w:ind w:firstLine="480" w:firstLineChars="200"/>
        <w:rPr>
          <w:rFonts w:eastAsia="仿宋_GB2312"/>
          <w:bCs/>
          <w:sz w:val="24"/>
        </w:rPr>
      </w:pPr>
      <w:r>
        <w:rPr>
          <w:rFonts w:hint="eastAsia" w:eastAsia="仿宋_GB2312"/>
          <w:bCs/>
          <w:sz w:val="24"/>
          <w:lang w:val="en-US" w:eastAsia="zh-CN"/>
        </w:rPr>
        <w:t>2024年对文本进行修订，形成征求意见稿。</w:t>
      </w:r>
    </w:p>
    <w:p>
      <w:pPr>
        <w:spacing w:line="400" w:lineRule="exact"/>
        <w:ind w:firstLine="480" w:firstLineChars="200"/>
        <w:rPr>
          <w:rFonts w:eastAsia="仿宋_GB2312"/>
          <w:bCs/>
          <w:sz w:val="24"/>
        </w:rPr>
      </w:pPr>
      <w:r>
        <w:rPr>
          <w:rFonts w:hint="eastAsia" w:eastAsia="仿宋_GB2312"/>
          <w:bCs/>
          <w:sz w:val="24"/>
        </w:rPr>
        <w:t>5、技术评审</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2024年10月初次评审上会。</w:t>
      </w:r>
    </w:p>
    <w:p>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lang w:eastAsia="zh-CN"/>
        </w:rPr>
        <w:t>制修</w:t>
      </w:r>
      <w:r>
        <w:rPr>
          <w:rFonts w:ascii="黑体" w:eastAsia="黑体"/>
          <w:sz w:val="24"/>
        </w:rPr>
        <w:t>订标准的原则和依据，与现行法律、法规、标准的关系</w:t>
      </w:r>
    </w:p>
    <w:p>
      <w:pPr>
        <w:keepNext w:val="0"/>
        <w:keepLines w:val="0"/>
        <w:pageBreakBefore w:val="0"/>
        <w:kinsoku/>
        <w:wordWrap/>
        <w:overflowPunct/>
        <w:topLinePunct w:val="0"/>
        <w:autoSpaceDE/>
        <w:autoSpaceDN/>
        <w:bidi w:val="0"/>
        <w:snapToGrid/>
        <w:spacing w:line="500" w:lineRule="exact"/>
        <w:ind w:firstLine="480" w:firstLineChars="200"/>
        <w:textAlignment w:val="auto"/>
        <w:rPr>
          <w:rFonts w:hint="eastAsia" w:ascii="黑体" w:eastAsia="黑体"/>
          <w:sz w:val="30"/>
          <w:szCs w:val="30"/>
        </w:rPr>
      </w:pPr>
      <w:r>
        <w:rPr>
          <w:rFonts w:hint="eastAsia" w:ascii="宋体" w:hAnsi="宋体" w:eastAsia="宋体" w:cs="Times New Roman"/>
          <w:sz w:val="24"/>
        </w:rPr>
        <w:t>严格贯彻国家有关方针、政策和法规，各项技术内容不违背我国目前颁布的相关法律、法规和标准，</w:t>
      </w:r>
      <w:r>
        <w:rPr>
          <w:rFonts w:hint="eastAsia" w:ascii="宋体" w:hAnsi="宋体"/>
          <w:sz w:val="24"/>
        </w:rPr>
        <w:t>本标准符合我国现行的《中华人民共和国农业法》、《中华人民共和国植物检疫条例》和《农药管理条例》的相关规定和精神，符合我国食品安全、生态安全以及可持续农业发展的战略要求。</w:t>
      </w:r>
      <w:r>
        <w:rPr>
          <w:rFonts w:hint="eastAsia" w:ascii="宋体" w:hAnsi="宋体" w:eastAsia="宋体" w:cs="Times New Roman"/>
          <w:sz w:val="24"/>
        </w:rPr>
        <w:t>主要技术指标立足我省</w:t>
      </w:r>
      <w:r>
        <w:rPr>
          <w:rFonts w:hint="eastAsia" w:ascii="宋体" w:hAnsi="宋体" w:eastAsia="宋体" w:cs="Times New Roman"/>
          <w:sz w:val="24"/>
          <w:lang w:eastAsia="zh-CN"/>
        </w:rPr>
        <w:t>玉米种植</w:t>
      </w:r>
      <w:r>
        <w:rPr>
          <w:rFonts w:hint="eastAsia" w:ascii="宋体" w:hAnsi="宋体" w:eastAsia="宋体" w:cs="Times New Roman"/>
          <w:sz w:val="24"/>
        </w:rPr>
        <w:t>现状，适用性和操作性更强。</w:t>
      </w:r>
    </w:p>
    <w:p>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pPr>
        <w:spacing w:line="400" w:lineRule="exact"/>
        <w:ind w:firstLine="480" w:firstLineChars="200"/>
        <w:rPr>
          <w:rFonts w:hint="eastAsia" w:eastAsia="仿宋_GB2312"/>
          <w:bCs/>
          <w:sz w:val="24"/>
          <w:lang w:eastAsia="zh-CN"/>
        </w:rPr>
      </w:pPr>
      <w:r>
        <w:rPr>
          <w:rFonts w:hint="eastAsia" w:eastAsia="仿宋_GB2312"/>
          <w:bCs/>
          <w:sz w:val="24"/>
          <w:lang w:eastAsia="zh-CN"/>
        </w:rPr>
        <w:t>标准起草组以“合法性、安全性、适应性、协调性和先进性”为修订原则，以文本结构更加合理、表述更加准确、技术指标更加科学为修订目标，从两个方面对文本进行了修订，其中：</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w:t>
      </w:r>
      <w:r>
        <w:rPr>
          <w:rFonts w:hint="eastAsia" w:eastAsia="仿宋_GB2312"/>
          <w:bCs/>
          <w:sz w:val="24"/>
          <w:lang w:eastAsia="zh-CN"/>
        </w:rPr>
        <w:t>涉及</w:t>
      </w:r>
      <w:r>
        <w:rPr>
          <w:rFonts w:hint="eastAsia" w:eastAsia="仿宋_GB2312"/>
          <w:bCs/>
          <w:sz w:val="24"/>
          <w:lang w:eastAsia="zh-CN"/>
        </w:rPr>
        <w:t>结构性调整的主要有</w:t>
      </w:r>
      <w:r>
        <w:rPr>
          <w:rFonts w:hint="eastAsia" w:eastAsia="仿宋_GB2312"/>
          <w:bCs/>
          <w:sz w:val="24"/>
          <w:lang w:val="en-US" w:eastAsia="zh-CN"/>
        </w:rPr>
        <w:t>6项：</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w:t>
      </w:r>
      <w:r>
        <w:rPr>
          <w:rFonts w:hint="eastAsia" w:eastAsia="仿宋_GB2312"/>
          <w:bCs/>
          <w:sz w:val="24"/>
          <w:lang w:eastAsia="zh-CN"/>
        </w:rPr>
        <w:t>增加了</w:t>
      </w:r>
      <w:r>
        <w:rPr>
          <w:rFonts w:hint="eastAsia" w:eastAsia="仿宋_GB2312"/>
          <w:bCs/>
          <w:sz w:val="24"/>
          <w:lang w:val="en-US" w:eastAsia="zh-CN"/>
        </w:rPr>
        <w:t>质量要求。修订原因：降低风险，提高玉米种植过程及食用的安全性。</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（2）删除了农药甲拌磷的相关内容。修订原因：甲拌磷为禁用农药。</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（3）增加了草地贪夜蛾、</w:t>
      </w:r>
      <w:r>
        <w:rPr>
          <w:rFonts w:hint="eastAsia" w:eastAsia="仿宋_GB2312"/>
          <w:bCs/>
          <w:sz w:val="24"/>
          <w:lang w:val="en-US" w:eastAsia="zh-CN"/>
        </w:rPr>
        <w:t>玉米缺素症的防治。修订原因：山西地区玉米有此病害。</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（4）</w:t>
      </w:r>
      <w:r>
        <w:rPr>
          <w:rFonts w:hint="eastAsia" w:eastAsia="仿宋_GB2312"/>
          <w:bCs/>
          <w:sz w:val="24"/>
          <w:lang w:eastAsia="zh-CN"/>
        </w:rPr>
        <w:t>删除了虫害防治物理防治过时技术</w:t>
      </w:r>
      <w:r>
        <w:rPr>
          <w:rFonts w:hint="eastAsia" w:eastAsia="仿宋_GB2312"/>
          <w:bCs/>
          <w:sz w:val="24"/>
          <w:lang w:val="en-US" w:eastAsia="zh-CN"/>
        </w:rPr>
        <w:t>5.3</w:t>
      </w:r>
      <w:r>
        <w:rPr>
          <w:rFonts w:hint="eastAsia" w:eastAsia="仿宋_GB2312"/>
          <w:bCs/>
          <w:sz w:val="24"/>
          <w:lang w:val="en-US" w:eastAsia="zh-CN"/>
        </w:rPr>
        <w:t>。修订原因：与时俱进，合理运用合适宜的技术。</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（5）增加了玉米各个生育期综合防治6.1～6.6。修订原因：从实际出发更具有可操作性，故按玉米生育期编写综合防治具体内容。</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（6）</w:t>
      </w:r>
      <w:r>
        <w:rPr>
          <w:rFonts w:hint="eastAsia" w:eastAsia="仿宋_GB2312"/>
          <w:bCs/>
          <w:sz w:val="24"/>
          <w:lang w:eastAsia="zh-CN"/>
        </w:rPr>
        <w:t>增加了附录</w:t>
      </w:r>
      <w:r>
        <w:rPr>
          <w:rFonts w:hint="eastAsia" w:eastAsia="仿宋_GB2312"/>
          <w:bCs/>
          <w:sz w:val="24"/>
          <w:lang w:val="en-US" w:eastAsia="zh-CN"/>
        </w:rPr>
        <w:t>A （资料性）</w:t>
      </w:r>
      <w:r>
        <w:rPr>
          <w:rFonts w:hint="eastAsia" w:eastAsia="仿宋_GB2312"/>
          <w:bCs/>
          <w:sz w:val="24"/>
          <w:lang w:eastAsia="zh-CN"/>
        </w:rPr>
        <w:t>玉米病害防治使用药剂推荐表：</w:t>
      </w:r>
      <w:r>
        <w:rPr>
          <w:rFonts w:hint="eastAsia" w:eastAsia="仿宋_GB2312"/>
          <w:bCs/>
          <w:sz w:val="24"/>
          <w:lang w:eastAsia="zh-CN"/>
        </w:rPr>
        <w:t>附录</w:t>
      </w:r>
      <w:r>
        <w:rPr>
          <w:rFonts w:hint="eastAsia" w:eastAsia="仿宋_GB2312"/>
          <w:bCs/>
          <w:sz w:val="24"/>
          <w:lang w:val="en-US" w:eastAsia="zh-CN"/>
        </w:rPr>
        <w:t>B （资料性）</w:t>
      </w:r>
      <w:r>
        <w:rPr>
          <w:rFonts w:hint="eastAsia" w:eastAsia="仿宋_GB2312"/>
          <w:bCs/>
          <w:sz w:val="24"/>
          <w:lang w:eastAsia="zh-CN"/>
        </w:rPr>
        <w:t>玉米虫害防治使用药剂推荐表；</w:t>
      </w:r>
      <w:r>
        <w:rPr>
          <w:rFonts w:hint="eastAsia" w:eastAsia="仿宋_GB2312"/>
          <w:bCs/>
          <w:sz w:val="24"/>
          <w:lang w:eastAsia="zh-CN"/>
        </w:rPr>
        <w:t>附录</w:t>
      </w:r>
      <w:r>
        <w:rPr>
          <w:rFonts w:hint="eastAsia" w:eastAsia="仿宋_GB2312"/>
          <w:bCs/>
          <w:sz w:val="24"/>
          <w:lang w:val="en-US" w:eastAsia="zh-CN"/>
        </w:rPr>
        <w:t>C （资料性）</w:t>
      </w:r>
      <w:r>
        <w:rPr>
          <w:rFonts w:hint="eastAsia" w:eastAsia="仿宋_GB2312"/>
          <w:bCs/>
          <w:sz w:val="24"/>
          <w:lang w:eastAsia="zh-CN"/>
        </w:rPr>
        <w:t>玉米草害防治使用药剂推荐表；</w:t>
      </w:r>
      <w:r>
        <w:rPr>
          <w:rFonts w:hint="eastAsia" w:eastAsia="仿宋_GB2312"/>
          <w:bCs/>
          <w:sz w:val="24"/>
          <w:lang w:eastAsia="zh-CN"/>
        </w:rPr>
        <w:t>附录</w:t>
      </w:r>
      <w:r>
        <w:rPr>
          <w:rFonts w:hint="eastAsia" w:eastAsia="仿宋_GB2312"/>
          <w:bCs/>
          <w:sz w:val="24"/>
          <w:lang w:val="en-US" w:eastAsia="zh-CN"/>
        </w:rPr>
        <w:t>D（资料性）</w:t>
      </w:r>
      <w:r>
        <w:rPr>
          <w:rFonts w:hint="eastAsia" w:eastAsia="仿宋_GB2312"/>
          <w:bCs/>
          <w:sz w:val="24"/>
          <w:lang w:eastAsia="zh-CN"/>
        </w:rPr>
        <w:t>玉米病害症状详单。</w:t>
      </w:r>
      <w:r>
        <w:rPr>
          <w:rFonts w:hint="eastAsia" w:eastAsia="仿宋_GB2312"/>
          <w:bCs/>
          <w:sz w:val="24"/>
          <w:lang w:val="en-US" w:eastAsia="zh-CN"/>
        </w:rPr>
        <w:t>修订原因：细化了综合防治具体内容。</w:t>
      </w:r>
    </w:p>
    <w:p>
      <w:pPr>
        <w:pStyle w:val="18"/>
        <w:rPr>
          <w:rFonts w:hint="eastAsia" w:ascii="Times New Roman" w:hAnsi="Times New Roman" w:eastAsia="仿宋_GB2312" w:cs="Times New Roman"/>
          <w:bCs/>
          <w:kern w:val="2"/>
          <w:sz w:val="24"/>
          <w:szCs w:val="24"/>
          <w:lang w:val="en-US" w:eastAsia="zh-CN" w:bidi="ar-SA"/>
        </w:rPr>
      </w:pPr>
    </w:p>
    <w:p>
      <w:pPr>
        <w:numPr>
          <w:ilvl w:val="0"/>
          <w:numId w:val="0"/>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2、涉及表述与编辑性修改的主要有3项：</w:t>
      </w:r>
    </w:p>
    <w:p>
      <w:pPr>
        <w:spacing w:line="400" w:lineRule="exact"/>
        <w:ind w:firstLine="480" w:firstLineChars="200"/>
        <w:rPr>
          <w:rFonts w:hint="eastAsia" w:eastAsia="仿宋_GB2312"/>
          <w:bCs/>
          <w:sz w:val="24"/>
          <w:lang w:eastAsia="zh-CN"/>
        </w:rPr>
      </w:pPr>
      <w:r>
        <w:rPr>
          <w:rFonts w:hint="eastAsia" w:eastAsia="仿宋_GB2312"/>
          <w:bCs/>
          <w:sz w:val="24"/>
          <w:lang w:eastAsia="zh-CN"/>
        </w:rPr>
        <w:t>（</w:t>
      </w:r>
      <w:r>
        <w:rPr>
          <w:rFonts w:hint="eastAsia" w:eastAsia="仿宋_GB2312"/>
          <w:bCs/>
          <w:sz w:val="24"/>
          <w:lang w:val="en-US" w:eastAsia="zh-CN"/>
        </w:rPr>
        <w:t>1</w:t>
      </w:r>
      <w:r>
        <w:rPr>
          <w:rFonts w:hint="eastAsia" w:eastAsia="仿宋_GB2312"/>
          <w:bCs/>
          <w:sz w:val="24"/>
          <w:lang w:eastAsia="zh-CN"/>
        </w:rPr>
        <w:t>）</w:t>
      </w:r>
      <w:r>
        <w:rPr>
          <w:rFonts w:hint="eastAsia" w:eastAsia="仿宋_GB2312"/>
          <w:bCs/>
          <w:sz w:val="24"/>
          <w:lang w:val="en-US" w:eastAsia="zh-CN"/>
        </w:rPr>
        <w:t>更改了范围里的文件适用内容</w:t>
      </w:r>
      <w:r>
        <w:rPr>
          <w:rFonts w:hint="eastAsia" w:eastAsia="仿宋_GB2312"/>
          <w:bCs/>
          <w:sz w:val="24"/>
          <w:lang w:eastAsia="zh-CN"/>
        </w:rPr>
        <w:t>。修订原因：</w:t>
      </w:r>
      <w:r>
        <w:rPr>
          <w:rFonts w:hint="eastAsia" w:eastAsia="仿宋_GB2312"/>
          <w:bCs/>
          <w:sz w:val="24"/>
          <w:lang w:val="en-US" w:eastAsia="zh-CN"/>
        </w:rPr>
        <w:t>表述不准确</w:t>
      </w:r>
      <w:r>
        <w:rPr>
          <w:rFonts w:hint="eastAsia" w:eastAsia="仿宋_GB2312"/>
          <w:bCs/>
          <w:sz w:val="24"/>
          <w:lang w:eastAsia="zh-CN"/>
        </w:rPr>
        <w:t>。</w:t>
      </w:r>
    </w:p>
    <w:p>
      <w:pPr>
        <w:spacing w:line="400" w:lineRule="exact"/>
        <w:ind w:firstLine="480" w:firstLineChars="200"/>
        <w:rPr>
          <w:rFonts w:hint="eastAsia" w:eastAsia="仿宋_GB2312"/>
          <w:bCs/>
          <w:sz w:val="24"/>
          <w:lang w:eastAsia="zh-CN"/>
        </w:rPr>
      </w:pPr>
      <w:r>
        <w:rPr>
          <w:rFonts w:hint="eastAsia" w:eastAsia="仿宋_GB2312"/>
          <w:bCs/>
          <w:sz w:val="24"/>
          <w:lang w:eastAsia="zh-CN"/>
        </w:rPr>
        <w:t>（</w:t>
      </w:r>
      <w:r>
        <w:rPr>
          <w:rFonts w:hint="eastAsia" w:eastAsia="仿宋_GB2312"/>
          <w:bCs/>
          <w:sz w:val="24"/>
          <w:lang w:val="en-US" w:eastAsia="zh-CN"/>
        </w:rPr>
        <w:t>2</w:t>
      </w:r>
      <w:r>
        <w:rPr>
          <w:rFonts w:hint="eastAsia" w:eastAsia="仿宋_GB2312"/>
          <w:bCs/>
          <w:sz w:val="24"/>
          <w:lang w:eastAsia="zh-CN"/>
        </w:rPr>
        <w:t>）删除了</w:t>
      </w:r>
      <w:r>
        <w:rPr>
          <w:rFonts w:hint="eastAsia" w:eastAsia="仿宋_GB2312"/>
          <w:bCs/>
          <w:sz w:val="24"/>
          <w:lang w:val="en-US" w:eastAsia="zh-CN"/>
        </w:rPr>
        <w:t>3 术语和定义相关内容</w:t>
      </w:r>
      <w:r>
        <w:rPr>
          <w:rFonts w:hint="eastAsia" w:eastAsia="仿宋_GB2312"/>
          <w:bCs/>
          <w:sz w:val="24"/>
          <w:lang w:eastAsia="zh-CN"/>
        </w:rPr>
        <w:t>。修订原因：无</w:t>
      </w:r>
      <w:r>
        <w:rPr>
          <w:rFonts w:hint="eastAsia" w:eastAsia="仿宋_GB2312"/>
          <w:bCs/>
          <w:sz w:val="24"/>
          <w:lang w:val="en-US" w:eastAsia="zh-CN"/>
        </w:rPr>
        <w:t>需要定义的术语及定义</w:t>
      </w:r>
      <w:r>
        <w:rPr>
          <w:rFonts w:hint="eastAsia" w:eastAsia="仿宋_GB2312"/>
          <w:bCs/>
          <w:sz w:val="24"/>
          <w:lang w:eastAsia="zh-CN"/>
        </w:rPr>
        <w:t>。</w:t>
      </w:r>
    </w:p>
    <w:p>
      <w:pPr>
        <w:spacing w:line="400" w:lineRule="exact"/>
        <w:ind w:firstLine="480" w:firstLineChars="200"/>
        <w:rPr>
          <w:rFonts w:hint="eastAsia" w:eastAsia="仿宋_GB2312"/>
          <w:bCs/>
          <w:sz w:val="24"/>
          <w:lang w:eastAsia="zh-CN"/>
        </w:rPr>
      </w:pPr>
      <w:r>
        <w:rPr>
          <w:rFonts w:hint="eastAsia" w:eastAsia="仿宋_GB2312"/>
          <w:bCs/>
          <w:sz w:val="24"/>
          <w:lang w:eastAsia="zh-CN"/>
        </w:rPr>
        <w:t>（</w:t>
      </w:r>
      <w:r>
        <w:rPr>
          <w:rFonts w:hint="eastAsia" w:eastAsia="仿宋_GB2312"/>
          <w:bCs/>
          <w:sz w:val="24"/>
          <w:lang w:val="en-US" w:eastAsia="zh-CN"/>
        </w:rPr>
        <w:t>3</w:t>
      </w:r>
      <w:r>
        <w:rPr>
          <w:rFonts w:hint="eastAsia" w:eastAsia="仿宋_GB2312"/>
          <w:bCs/>
          <w:sz w:val="24"/>
          <w:lang w:eastAsia="zh-CN"/>
        </w:rPr>
        <w:t>）</w:t>
      </w:r>
      <w:r>
        <w:rPr>
          <w:rFonts w:hint="eastAsia" w:eastAsia="仿宋_GB2312"/>
          <w:bCs/>
          <w:sz w:val="24"/>
          <w:lang w:val="en-US" w:eastAsia="zh-CN"/>
        </w:rPr>
        <w:t>更改了防治原则内容</w:t>
      </w:r>
      <w:r>
        <w:rPr>
          <w:rFonts w:hint="eastAsia" w:eastAsia="仿宋_GB2312"/>
          <w:bCs/>
          <w:sz w:val="24"/>
          <w:lang w:eastAsia="zh-CN"/>
        </w:rPr>
        <w:t>。</w:t>
      </w:r>
      <w:r>
        <w:rPr>
          <w:rFonts w:hint="eastAsia" w:eastAsia="仿宋_GB2312"/>
          <w:bCs/>
          <w:sz w:val="24"/>
          <w:lang w:val="en-US" w:eastAsia="zh-CN"/>
        </w:rPr>
        <w:t>修</w:t>
      </w:r>
      <w:r>
        <w:rPr>
          <w:rFonts w:hint="eastAsia" w:eastAsia="仿宋_GB2312"/>
          <w:bCs/>
          <w:sz w:val="24"/>
          <w:lang w:eastAsia="zh-CN"/>
        </w:rPr>
        <w:t>订</w:t>
      </w:r>
      <w:r>
        <w:rPr>
          <w:rFonts w:hint="eastAsia" w:eastAsia="仿宋_GB2312"/>
          <w:bCs/>
          <w:sz w:val="24"/>
          <w:lang w:val="en-US" w:eastAsia="zh-CN"/>
        </w:rPr>
        <w:t>原因：应用现有的防治原则</w:t>
      </w:r>
      <w:r>
        <w:rPr>
          <w:rFonts w:hint="eastAsia" w:eastAsia="仿宋_GB2312"/>
          <w:bCs/>
          <w:sz w:val="24"/>
          <w:lang w:eastAsia="zh-CN"/>
        </w:rPr>
        <w:t>。</w:t>
      </w:r>
    </w:p>
    <w:p>
      <w:pPr>
        <w:spacing w:line="400" w:lineRule="exact"/>
        <w:ind w:firstLine="480" w:firstLineChars="200"/>
        <w:rPr>
          <w:rFonts w:hint="eastAsia" w:eastAsia="仿宋_GB2312"/>
          <w:bCs/>
          <w:sz w:val="24"/>
          <w:lang w:eastAsia="zh-CN"/>
        </w:rPr>
      </w:pPr>
      <w:r>
        <w:rPr>
          <w:rFonts w:hint="eastAsia" w:eastAsia="仿宋_GB2312"/>
          <w:bCs/>
          <w:sz w:val="24"/>
          <w:lang w:eastAsia="zh-CN"/>
        </w:rPr>
        <w:t>（</w:t>
      </w:r>
      <w:r>
        <w:rPr>
          <w:rFonts w:hint="eastAsia" w:eastAsia="仿宋_GB2312"/>
          <w:bCs/>
          <w:sz w:val="24"/>
          <w:lang w:val="en-US" w:eastAsia="zh-CN"/>
        </w:rPr>
        <w:t>4</w:t>
      </w:r>
      <w:r>
        <w:rPr>
          <w:rFonts w:hint="eastAsia" w:eastAsia="仿宋_GB2312"/>
          <w:bCs/>
          <w:sz w:val="24"/>
          <w:lang w:eastAsia="zh-CN"/>
        </w:rPr>
        <w:t>）</w:t>
      </w:r>
      <w:r>
        <w:rPr>
          <w:rFonts w:hint="eastAsia" w:eastAsia="仿宋_GB2312"/>
          <w:bCs/>
          <w:sz w:val="24"/>
          <w:lang w:val="en-US" w:eastAsia="zh-CN"/>
        </w:rPr>
        <w:t>增加及更新了用药种类5.4。修</w:t>
      </w:r>
      <w:r>
        <w:rPr>
          <w:rFonts w:hint="eastAsia" w:eastAsia="仿宋_GB2312"/>
          <w:bCs/>
          <w:sz w:val="24"/>
          <w:lang w:eastAsia="zh-CN"/>
        </w:rPr>
        <w:t>订</w:t>
      </w:r>
      <w:r>
        <w:rPr>
          <w:rFonts w:hint="eastAsia" w:eastAsia="仿宋_GB2312"/>
          <w:bCs/>
          <w:sz w:val="24"/>
          <w:lang w:val="en-US" w:eastAsia="zh-CN"/>
        </w:rPr>
        <w:t>原因：使用了低毒高效的农药</w:t>
      </w:r>
      <w:r>
        <w:rPr>
          <w:rFonts w:hint="eastAsia" w:eastAsia="仿宋_GB2312"/>
          <w:bCs/>
          <w:sz w:val="24"/>
          <w:lang w:eastAsia="zh-CN"/>
        </w:rPr>
        <w:t>。</w:t>
      </w:r>
    </w:p>
    <w:p>
      <w:pPr>
        <w:numPr>
          <w:ilvl w:val="0"/>
          <w:numId w:val="0"/>
        </w:numPr>
        <w:spacing w:line="400" w:lineRule="exact"/>
        <w:ind w:firstLine="480" w:firstLineChars="200"/>
        <w:rPr>
          <w:rFonts w:hint="eastAsia" w:eastAsia="仿宋_GB2312"/>
          <w:bCs/>
          <w:sz w:val="24"/>
        </w:rPr>
      </w:pPr>
      <w:r>
        <w:rPr>
          <w:rFonts w:hint="eastAsia" w:eastAsia="仿宋_GB2312"/>
          <w:bCs/>
          <w:sz w:val="24"/>
          <w:lang w:val="en-US" w:eastAsia="zh-CN"/>
        </w:rPr>
        <w:t>3、涉及</w:t>
      </w:r>
      <w:r>
        <w:rPr>
          <w:rFonts w:hint="eastAsia" w:eastAsia="仿宋_GB2312"/>
          <w:bCs/>
          <w:sz w:val="24"/>
        </w:rPr>
        <w:t>到的技术指标主要有</w:t>
      </w:r>
      <w:r>
        <w:rPr>
          <w:rFonts w:hint="eastAsia" w:eastAsia="仿宋_GB2312"/>
          <w:b/>
          <w:bCs w:val="0"/>
          <w:sz w:val="24"/>
          <w:lang w:val="en-US" w:eastAsia="zh-CN"/>
        </w:rPr>
        <w:t>３</w:t>
      </w:r>
      <w:r>
        <w:rPr>
          <w:rFonts w:hint="eastAsia" w:eastAsia="仿宋_GB2312"/>
          <w:bCs/>
          <w:sz w:val="24"/>
        </w:rPr>
        <w:t>项：</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（1）删除农药甲拌磷。修订原因及试验验证分析：甲拌磷为禁用农药，对环境污染严重，危害人畜健康。</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（2）增加农药种类。修订原因及试验验证分析：使用低毒高效农药。</w:t>
      </w:r>
    </w:p>
    <w:p>
      <w:pPr>
        <w:spacing w:line="360" w:lineRule="auto"/>
        <w:ind w:firstLine="480" w:firstLineChars="200"/>
        <w:outlineLvl w:val="0"/>
        <w:rPr>
          <w:rFonts w:hint="eastAsia"/>
          <w:lang w:eastAsia="zh-CN"/>
        </w:rPr>
      </w:pPr>
      <w:r>
        <w:rPr>
          <w:rFonts w:hint="eastAsia" w:ascii="仿宋_GB2312" w:hAnsi="宋体" w:eastAsia="仿宋_GB2312"/>
          <w:sz w:val="24"/>
          <w:lang w:val="en-US" w:eastAsia="zh-CN"/>
        </w:rPr>
        <w:t>（3）更新防治方法</w:t>
      </w:r>
      <w:r>
        <w:rPr>
          <w:rFonts w:hint="eastAsia" w:eastAsia="仿宋_GB2312"/>
          <w:bCs/>
          <w:sz w:val="24"/>
          <w:lang w:eastAsia="zh-CN"/>
        </w:rPr>
        <w:t>。修订原因</w:t>
      </w:r>
      <w:r>
        <w:rPr>
          <w:rFonts w:hint="eastAsia" w:eastAsia="仿宋_GB2312"/>
          <w:bCs/>
          <w:sz w:val="24"/>
          <w:lang w:val="en-US" w:eastAsia="zh-CN"/>
        </w:rPr>
        <w:t>及试验验证分析</w:t>
      </w:r>
      <w:r>
        <w:rPr>
          <w:rFonts w:hint="eastAsia" w:eastAsia="仿宋_GB2312"/>
          <w:bCs/>
          <w:sz w:val="24"/>
          <w:lang w:eastAsia="zh-CN"/>
        </w:rPr>
        <w:t>：使用现有的先进防治方法。综合论述</w:t>
      </w:r>
      <w:bookmarkStart w:id="0" w:name="_GoBack"/>
      <w:bookmarkEnd w:id="0"/>
    </w:p>
    <w:p>
      <w:pPr>
        <w:numPr>
          <w:ilvl w:val="0"/>
          <w:numId w:val="0"/>
        </w:numPr>
        <w:spacing w:line="400" w:lineRule="exact"/>
        <w:ind w:firstLine="480" w:firstLineChars="200"/>
        <w:rPr>
          <w:rFonts w:hint="default" w:eastAsia="仿宋_GB2312"/>
          <w:bCs/>
          <w:sz w:val="24"/>
          <w:lang w:val="en" w:eastAsia="zh-CN"/>
        </w:rPr>
      </w:pPr>
      <w:r>
        <w:rPr>
          <w:rFonts w:hint="eastAsia" w:eastAsia="仿宋_GB2312"/>
          <w:bCs/>
          <w:sz w:val="24"/>
          <w:lang w:val="en-US" w:eastAsia="zh-CN"/>
        </w:rPr>
        <w:t>1、更新完善</w:t>
      </w:r>
      <w:r>
        <w:rPr>
          <w:rFonts w:hint="default" w:eastAsia="仿宋_GB2312"/>
          <w:bCs/>
          <w:sz w:val="24"/>
          <w:lang w:val="en" w:eastAsia="zh-CN"/>
        </w:rPr>
        <w:t>农药化肥</w:t>
      </w:r>
      <w:r>
        <w:rPr>
          <w:rFonts w:hint="eastAsia" w:eastAsia="仿宋_GB2312"/>
          <w:bCs/>
          <w:sz w:val="24"/>
          <w:lang w:val="en-US" w:eastAsia="zh-CN"/>
        </w:rPr>
        <w:t>的使用</w:t>
      </w:r>
      <w:r>
        <w:rPr>
          <w:rFonts w:hint="default" w:eastAsia="仿宋_GB2312"/>
          <w:bCs/>
          <w:sz w:val="24"/>
          <w:lang w:val="en" w:eastAsia="zh-CN"/>
        </w:rPr>
        <w:t>情况</w:t>
      </w:r>
      <w:r>
        <w:rPr>
          <w:rFonts w:hint="eastAsia" w:eastAsia="仿宋_GB2312"/>
          <w:bCs/>
          <w:sz w:val="24"/>
          <w:lang w:val="en-US" w:eastAsia="zh-CN"/>
        </w:rPr>
        <w:t>，</w:t>
      </w:r>
      <w:r>
        <w:rPr>
          <w:rFonts w:hint="default" w:eastAsia="仿宋_GB2312"/>
          <w:bCs/>
          <w:sz w:val="24"/>
          <w:lang w:val="en" w:eastAsia="zh-CN"/>
        </w:rPr>
        <w:t>使标准内容及时和生产实际相匹配，为</w:t>
      </w:r>
      <w:r>
        <w:rPr>
          <w:rFonts w:hint="eastAsia" w:eastAsia="仿宋_GB2312"/>
          <w:bCs/>
          <w:sz w:val="24"/>
          <w:lang w:val="en-US" w:eastAsia="zh-CN"/>
        </w:rPr>
        <w:t>玉米的丰产稳产提供了有力保障</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结合</w:t>
      </w:r>
      <w:r>
        <w:rPr>
          <w:rFonts w:hint="default" w:eastAsia="仿宋_GB2312"/>
          <w:bCs/>
          <w:sz w:val="24"/>
          <w:lang w:val="en" w:eastAsia="zh-CN"/>
        </w:rPr>
        <w:t>生产实际和</w:t>
      </w:r>
      <w:r>
        <w:rPr>
          <w:rFonts w:hint="eastAsia" w:eastAsia="仿宋_GB2312"/>
          <w:bCs/>
          <w:sz w:val="24"/>
          <w:lang w:val="en-US" w:eastAsia="zh-CN"/>
        </w:rPr>
        <w:t>即将编制的玉米生产系列技术规程地方标准的应用，对我省种植面积第一大作物——玉米的丰产稳产提供了有力保障。预期每亩玉米可避免减产损失5%左右，相当于增产5%左右，对我省玉米产业发展具有显著的经济和社会效益。大力发展粮食产业经济，加快</w:t>
      </w:r>
      <w:r>
        <w:rPr>
          <w:rFonts w:hint="eastAsia" w:eastAsia="仿宋_GB2312"/>
          <w:bCs/>
          <w:sz w:val="24"/>
          <w:lang w:val="en" w:eastAsia="zh-CN"/>
        </w:rPr>
        <w:t>玉米深加工与转化</w:t>
      </w:r>
      <w:r>
        <w:rPr>
          <w:rFonts w:hint="eastAsia" w:eastAsia="仿宋_GB2312"/>
          <w:bCs/>
          <w:sz w:val="24"/>
          <w:lang w:val="en-US" w:eastAsia="zh-CN"/>
        </w:rPr>
        <w:t>，</w:t>
      </w:r>
      <w:r>
        <w:rPr>
          <w:rFonts w:hint="eastAsia" w:eastAsia="仿宋_GB2312"/>
          <w:bCs/>
          <w:sz w:val="24"/>
          <w:lang w:val="en" w:eastAsia="zh-CN"/>
        </w:rPr>
        <w:t>促进玉米规模化种植。</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2、规范了化学农药的用量、用法和重点防治部位</w:t>
      </w:r>
      <w:r>
        <w:rPr>
          <w:rFonts w:hint="default" w:eastAsia="仿宋_GB2312"/>
          <w:bCs/>
          <w:sz w:val="24"/>
          <w:lang w:val="en" w:eastAsia="zh-CN"/>
        </w:rPr>
        <w:t>，</w:t>
      </w:r>
      <w:r>
        <w:rPr>
          <w:rFonts w:hint="eastAsia" w:eastAsia="仿宋_GB2312"/>
          <w:bCs/>
          <w:sz w:val="24"/>
          <w:lang w:val="en-US" w:eastAsia="zh-CN"/>
        </w:rPr>
        <w:t>保护了农业生态环境可持续发展</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防治技术手段多，衔接性好，能确保有效控制玉米生产过程中的病害、虫害、杂草等有害生物的危害。突出了综合防治技术的应用，规范了化学农药的用量、用法和重点防治部位，在提高玉米产量的同时，也保护了玉米田的生态环境与生物多样性，将对我省可持续农业的发展起到积极的促进作用，保障了农业可持续发展。要坚持资源节约、绿色循环，建立健全与资源环境相匹配、集约高效可持续的长效发展机制。对我省农业环境具有显著的生态效益。健全完善适应高质量发展要求的长效体制机制，对于增强粮食安全保障能力、促进农业提质增效、更好满足人民美好生活需要具有重要意义。</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3、增加了质量要求，提升玉米产业的优质化和高品质</w:t>
      </w:r>
      <w:r>
        <w:rPr>
          <w:rFonts w:hint="default" w:eastAsia="仿宋_GB2312"/>
          <w:bCs/>
          <w:sz w:val="24"/>
          <w:lang w:val="en" w:eastAsia="zh-CN"/>
        </w:rPr>
        <w:t>，</w:t>
      </w:r>
      <w:r>
        <w:rPr>
          <w:rFonts w:hint="eastAsia" w:eastAsia="仿宋_GB2312"/>
          <w:bCs/>
          <w:sz w:val="24"/>
          <w:lang w:val="en-US" w:eastAsia="zh-CN"/>
        </w:rPr>
        <w:t>促进我省粮食产业高质量发展。</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玉米是我省分布范围最广、种植面积最大、总产量最高的粮食作物,是山西省现代农业产业技术体系中的第一大产业。要坚持质量第一、效益优先，加快推进粮食产业创新发展、转型升级、提质增效。要坚持问题导向、底线思维，妥善解决粮食产业链条不长、质量效益不高、核心竞争力不强等实际问题，不断提高守底线、保安全的能力和水平。</w:t>
      </w:r>
    </w:p>
    <w:p>
      <w:pPr>
        <w:numPr>
          <w:ilvl w:val="0"/>
          <w:numId w:val="0"/>
        </w:numPr>
        <w:spacing w:line="400" w:lineRule="exact"/>
        <w:ind w:firstLine="480" w:firstLineChars="200"/>
        <w:rPr>
          <w:rFonts w:hint="eastAsia"/>
          <w:lang w:eastAsia="zh-CN"/>
        </w:rPr>
      </w:pPr>
      <w:r>
        <w:rPr>
          <w:rFonts w:hint="eastAsia" w:eastAsia="仿宋_GB2312"/>
          <w:bCs/>
          <w:sz w:val="24"/>
          <w:lang w:val="en-US" w:eastAsia="zh-CN"/>
        </w:rPr>
        <w:t>要以习近平新时代中国特色社会主义思想为指导，全面落实总体国家安全观，大力实施国家粮食安全战略和乡村振兴战略，稳步提升粮食产业综合素质、效益和竞争力，加快建设粮食产业强国，为实现更高层次、更高质量、更有效率、更可持续的国家粮食安全提供重要产业支撑。</w:t>
      </w:r>
    </w:p>
    <w:p>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pPr>
        <w:spacing w:line="360" w:lineRule="auto"/>
        <w:ind w:firstLine="480" w:firstLineChars="200"/>
        <w:jc w:val="left"/>
        <w:rPr>
          <w:rFonts w:hint="eastAsia" w:ascii="仿宋_GB2312" w:hAnsi="宋体" w:eastAsia="仿宋_GB2312"/>
          <w:sz w:val="24"/>
          <w:lang w:eastAsia="zh-CN"/>
        </w:rPr>
      </w:pPr>
      <w:r>
        <w:rPr>
          <w:rFonts w:hint="eastAsia" w:ascii="仿宋_GB2312" w:hAnsi="宋体" w:eastAsia="仿宋_GB2312"/>
          <w:sz w:val="24"/>
          <w:lang w:val="en-US" w:eastAsia="zh-CN"/>
        </w:rPr>
        <w:t>无重大意见分歧。</w:t>
      </w:r>
    </w:p>
    <w:p>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pPr>
        <w:numPr>
          <w:ilvl w:val="0"/>
          <w:numId w:val="0"/>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新乡市地方标准DB4107</w:t>
      </w:r>
      <w:r>
        <w:rPr>
          <w:rFonts w:hint="default" w:eastAsia="仿宋_GB2312"/>
          <w:bCs/>
          <w:sz w:val="24"/>
          <w:lang w:val="en" w:eastAsia="zh-CN"/>
        </w:rPr>
        <w:t>/</w:t>
      </w:r>
      <w:r>
        <w:rPr>
          <w:rFonts w:hint="eastAsia" w:eastAsia="仿宋_GB2312"/>
          <w:bCs/>
          <w:sz w:val="24"/>
          <w:lang w:val="en-US" w:eastAsia="zh-CN"/>
        </w:rPr>
        <w:t>T 492-2022 《玉米病虫草害综合防治技术规范》2022年6月发布。都有农药合理使用准则，我们还增加了2763 食品安全国家标准 食品中农药最大残留限量。它们的病虫草害比较笼统，没有玉米这一作物的针对性，玉米螟，蚜虫，红蜘蛛，我们还增加了玉米缺素症的防治（即元素失衡）。</w:t>
      </w:r>
    </w:p>
    <w:p>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eastAsia="黑体"/>
          <w:sz w:val="24"/>
          <w:lang w:eastAsia="zh-CN"/>
        </w:rPr>
        <w:t>、</w:t>
      </w:r>
      <w:r>
        <w:rPr>
          <w:rFonts w:hint="eastAsia" w:ascii="黑体" w:hAnsi="黑体" w:eastAsia="黑体"/>
          <w:sz w:val="24"/>
          <w:szCs w:val="24"/>
        </w:rPr>
        <w:t>作为推荐性标准或者强制性标准的建议及其理由。</w:t>
      </w:r>
    </w:p>
    <w:p>
      <w:pPr>
        <w:keepNext w:val="0"/>
        <w:keepLines w:val="0"/>
        <w:pageBreakBefore w:val="0"/>
        <w:kinsoku/>
        <w:wordWrap/>
        <w:overflowPunct/>
        <w:topLinePunct w:val="0"/>
        <w:autoSpaceDE/>
        <w:autoSpaceDN/>
        <w:bidi w:val="0"/>
        <w:snapToGrid/>
        <w:spacing w:line="500" w:lineRule="exact"/>
        <w:ind w:firstLine="480" w:firstLineChars="200"/>
        <w:textAlignment w:val="auto"/>
        <w:rPr>
          <w:rFonts w:hint="eastAsia" w:ascii="宋体" w:hAnsi="宋体"/>
          <w:sz w:val="24"/>
        </w:rPr>
      </w:pPr>
      <w:r>
        <w:rPr>
          <w:rFonts w:hint="eastAsia" w:ascii="宋体" w:hAnsi="宋体"/>
          <w:sz w:val="24"/>
        </w:rPr>
        <w:t>建议《玉米病虫草害综合防治</w:t>
      </w:r>
      <w:r>
        <w:rPr>
          <w:rFonts w:hint="eastAsia" w:ascii="宋体" w:hAnsi="宋体"/>
          <w:sz w:val="24"/>
          <w:lang w:eastAsia="zh-CN"/>
        </w:rPr>
        <w:t>及质量控制</w:t>
      </w:r>
      <w:r>
        <w:rPr>
          <w:rFonts w:hint="eastAsia" w:ascii="宋体" w:hAnsi="宋体"/>
          <w:sz w:val="24"/>
        </w:rPr>
        <w:t>技术规程》作为推荐性山西省地方标准颁布实施。</w:t>
      </w:r>
    </w:p>
    <w:p>
      <w:pPr>
        <w:spacing w:line="360" w:lineRule="auto"/>
        <w:ind w:firstLine="480" w:firstLineChars="200"/>
        <w:outlineLvl w:val="0"/>
        <w:rPr>
          <w:rFonts w:hint="eastAsia" w:eastAsia="仿宋_GB2312"/>
          <w:bCs/>
          <w:sz w:val="24"/>
          <w:lang w:val="en-US" w:eastAsia="zh-CN"/>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要得到社会的广泛认可，还需要不断加强宣传力度，持续接受市场检验。</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加大标准的宣贯力度。标准的制订是为了推进我省优质农产品产业的健康发展，存在的问题：施肥原则、病虫害防治、生产档案等问题的存在都是因为对标准不知晓或不熟悉导致，加强对生产、经营、交易及检测等相关行业的宣传培训，利用电联+互联网等方式、借助下乡抽样等工作机会进行深入交流宣贯，使理论实际更紧密贴合，从而对生产实践进行更好的指导，使标准能够更好更快的执行开来。</w:t>
      </w:r>
    </w:p>
    <w:p>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2、建立典型示范基地，配套专项资金在主产区进行试验示范，在关键时期、关键环节开展技术支撑，形成较强的推广模式。</w:t>
      </w:r>
    </w:p>
    <w:p>
      <w:pPr>
        <w:numPr>
          <w:ilvl w:val="0"/>
          <w:numId w:val="0"/>
        </w:numPr>
        <w:spacing w:line="400" w:lineRule="exact"/>
        <w:ind w:firstLine="480" w:firstLineChars="200"/>
        <w:rPr>
          <w:rFonts w:hint="eastAsia"/>
          <w:lang w:val="en-US" w:eastAsia="zh-CN"/>
        </w:rPr>
        <w:sectPr>
          <w:footerReference r:id="rId3" w:type="default"/>
          <w:pgSz w:w="11906" w:h="16838"/>
          <w:pgMar w:top="1440" w:right="1803" w:bottom="1440" w:left="1803" w:header="851" w:footer="992" w:gutter="0"/>
          <w:pgNumType w:start="1"/>
          <w:cols w:space="0" w:num="1"/>
          <w:titlePg/>
          <w:rtlGutter w:val="0"/>
          <w:docGrid w:type="lines" w:linePitch="319" w:charSpace="0"/>
        </w:sectPr>
      </w:pPr>
      <w:r>
        <w:rPr>
          <w:rFonts w:hint="eastAsia" w:eastAsia="仿宋_GB2312"/>
          <w:bCs/>
          <w:sz w:val="24"/>
          <w:lang w:val="en-US" w:eastAsia="zh-CN"/>
        </w:rPr>
        <w:t>3、以点带面，引领周边经济发展，以示范基地带动周边种植合作社和农户，在全省大面积种植推广。玉米通过实施有机栽培，能够实现“安全+营养”的双重目标，其产品的附加值将更高。</w:t>
      </w:r>
    </w:p>
    <w:p>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《玉米病虫草害综合防治技术规程》征求意见汇总处理表</w:t>
      </w:r>
    </w:p>
    <w:p>
      <w:pPr>
        <w:ind w:firstLine="480" w:firstLineChars="200"/>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eastAsia="zh-CN"/>
        </w:rPr>
        <w:t>：山西省检验检测中心　　　　　承</w:t>
      </w:r>
      <w:r>
        <w:rPr>
          <w:rFonts w:hint="eastAsia" w:ascii="仿宋_GB2312" w:hAnsi="宋体" w:eastAsia="仿宋_GB2312"/>
          <w:sz w:val="24"/>
        </w:rPr>
        <w:t>办人</w:t>
      </w:r>
      <w:r>
        <w:rPr>
          <w:rFonts w:hint="eastAsia" w:ascii="仿宋_GB2312" w:hAnsi="宋体" w:eastAsia="仿宋_GB2312"/>
          <w:sz w:val="24"/>
          <w:lang w:eastAsia="zh-CN"/>
        </w:rPr>
        <w:t>：刘俐君　　　　</w:t>
      </w:r>
      <w:r>
        <w:rPr>
          <w:rFonts w:hint="eastAsia" w:ascii="仿宋_GB2312" w:hAnsi="宋体" w:eastAsia="仿宋_GB2312"/>
          <w:sz w:val="24"/>
        </w:rPr>
        <w:t>联系电话</w:t>
      </w:r>
      <w:r>
        <w:rPr>
          <w:rFonts w:hint="eastAsia" w:ascii="仿宋_GB2312" w:hAnsi="宋体" w:eastAsia="仿宋_GB2312"/>
          <w:sz w:val="24"/>
          <w:lang w:eastAsia="zh-CN"/>
        </w:rPr>
        <w:t>：</w:t>
      </w:r>
      <w:r>
        <w:rPr>
          <w:rFonts w:hint="default" w:ascii="仿宋_GB2312" w:hAnsi="宋体" w:eastAsia="仿宋_GB2312"/>
          <w:sz w:val="24"/>
          <w:lang w:val="en"/>
        </w:rPr>
        <w:t>15903467750</w:t>
      </w:r>
      <w:r>
        <w:rPr>
          <w:rFonts w:hint="eastAsia" w:ascii="仿宋_GB2312" w:hAnsi="宋体" w:eastAsia="仿宋_GB2312"/>
          <w:sz w:val="24"/>
          <w:lang w:val="en" w:eastAsia="zh-CN"/>
        </w:rPr>
        <w:t>　　　</w:t>
      </w:r>
      <w:r>
        <w:rPr>
          <w:rFonts w:hint="eastAsia" w:ascii="仿宋_GB2312" w:hAnsi="宋体" w:eastAsia="仿宋_GB2312"/>
          <w:sz w:val="24"/>
        </w:rPr>
        <w:t>填写时间</w:t>
      </w:r>
      <w:r>
        <w:rPr>
          <w:rFonts w:hint="default" w:ascii="仿宋_GB2312" w:hAnsi="宋体" w:eastAsia="仿宋_GB2312"/>
          <w:sz w:val="24"/>
          <w:lang w:val="en"/>
        </w:rPr>
        <w:t>2024</w:t>
      </w:r>
      <w:r>
        <w:rPr>
          <w:rFonts w:hint="eastAsia" w:ascii="仿宋_GB2312" w:hAnsi="宋体" w:eastAsia="仿宋_GB2312"/>
          <w:sz w:val="24"/>
        </w:rPr>
        <w:t>年</w:t>
      </w:r>
      <w:r>
        <w:rPr>
          <w:rFonts w:hint="default" w:ascii="仿宋_GB2312" w:hAnsi="宋体" w:eastAsia="仿宋_GB2312"/>
          <w:sz w:val="24"/>
          <w:lang w:val="en"/>
        </w:rPr>
        <w:t>10</w:t>
      </w:r>
      <w:r>
        <w:rPr>
          <w:rFonts w:hint="eastAsia" w:ascii="仿宋_GB2312" w:hAnsi="宋体" w:eastAsia="仿宋_GB2312"/>
          <w:sz w:val="24"/>
        </w:rPr>
        <w:t>月</w:t>
      </w:r>
      <w:r>
        <w:rPr>
          <w:rFonts w:hint="default" w:ascii="仿宋_GB2312" w:hAnsi="宋体" w:eastAsia="仿宋_GB2312"/>
          <w:sz w:val="24"/>
          <w:lang w:val="en"/>
        </w:rPr>
        <w:t>17</w:t>
      </w:r>
      <w:r>
        <w:rPr>
          <w:rFonts w:hint="eastAsia" w:ascii="仿宋_GB2312" w:hAnsi="宋体" w:eastAsia="仿宋_GB2312"/>
          <w:sz w:val="24"/>
        </w:rPr>
        <w:t>日</w:t>
      </w:r>
    </w:p>
    <w:tbl>
      <w:tblPr>
        <w:tblStyle w:val="12"/>
        <w:tblW w:w="14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370"/>
        <w:gridCol w:w="4830"/>
        <w:gridCol w:w="3410"/>
        <w:gridCol w:w="2020"/>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jc w:val="center"/>
        </w:trPr>
        <w:tc>
          <w:tcPr>
            <w:tcW w:w="700" w:type="dxa"/>
            <w:noWrap w:val="0"/>
            <w:vAlign w:val="center"/>
          </w:tcPr>
          <w:p>
            <w:pPr>
              <w:jc w:val="center"/>
              <w:rPr>
                <w:rFonts w:ascii="仿宋_GB2312" w:hAnsi="宋体" w:eastAsia="仿宋_GB2312"/>
                <w:sz w:val="24"/>
              </w:rPr>
            </w:pPr>
            <w:r>
              <w:rPr>
                <w:rFonts w:hint="eastAsia" w:ascii="仿宋_GB2312" w:hAnsi="宋体" w:eastAsia="仿宋_GB2312"/>
                <w:sz w:val="24"/>
              </w:rPr>
              <w:t>序号</w:t>
            </w:r>
          </w:p>
        </w:tc>
        <w:tc>
          <w:tcPr>
            <w:tcW w:w="1370" w:type="dxa"/>
            <w:noWrap w:val="0"/>
            <w:vAlign w:val="center"/>
          </w:tcPr>
          <w:p>
            <w:pPr>
              <w:jc w:val="center"/>
              <w:rPr>
                <w:rFonts w:ascii="仿宋_GB2312" w:hAnsi="宋体" w:eastAsia="仿宋_GB2312"/>
                <w:sz w:val="24"/>
              </w:rPr>
            </w:pPr>
            <w:r>
              <w:rPr>
                <w:rFonts w:hint="eastAsia" w:ascii="仿宋_GB2312" w:hAnsi="宋体" w:eastAsia="仿宋_GB2312"/>
                <w:sz w:val="24"/>
              </w:rPr>
              <w:t>标准章条编号</w:t>
            </w:r>
          </w:p>
        </w:tc>
        <w:tc>
          <w:tcPr>
            <w:tcW w:w="4830" w:type="dxa"/>
            <w:noWrap w:val="0"/>
            <w:vAlign w:val="center"/>
          </w:tcPr>
          <w:p>
            <w:pPr>
              <w:jc w:val="center"/>
              <w:rPr>
                <w:rFonts w:ascii="仿宋_GB2312" w:hAnsi="宋体" w:eastAsia="仿宋_GB2312"/>
                <w:sz w:val="24"/>
              </w:rPr>
            </w:pPr>
            <w:r>
              <w:rPr>
                <w:rFonts w:hint="eastAsia" w:ascii="仿宋_GB2312" w:hAnsi="宋体" w:eastAsia="仿宋_GB2312"/>
                <w:sz w:val="24"/>
              </w:rPr>
              <w:t>意见内容</w:t>
            </w:r>
          </w:p>
        </w:tc>
        <w:tc>
          <w:tcPr>
            <w:tcW w:w="3410" w:type="dxa"/>
            <w:noWrap w:val="0"/>
            <w:vAlign w:val="center"/>
          </w:tcPr>
          <w:p>
            <w:pPr>
              <w:jc w:val="center"/>
              <w:rPr>
                <w:rFonts w:ascii="仿宋_GB2312" w:hAnsi="宋体" w:eastAsia="仿宋_GB2312"/>
                <w:sz w:val="24"/>
              </w:rPr>
            </w:pPr>
            <w:r>
              <w:rPr>
                <w:rFonts w:hint="eastAsia" w:ascii="仿宋_GB2312" w:hAnsi="宋体" w:eastAsia="仿宋_GB2312"/>
                <w:sz w:val="24"/>
              </w:rPr>
              <w:t>提出单位</w:t>
            </w:r>
          </w:p>
          <w:p>
            <w:pPr>
              <w:jc w:val="center"/>
              <w:rPr>
                <w:rFonts w:ascii="仿宋_GB2312" w:hAnsi="宋体" w:eastAsia="仿宋_GB2312"/>
                <w:sz w:val="24"/>
              </w:rPr>
            </w:pPr>
            <w:r>
              <w:rPr>
                <w:rFonts w:hint="eastAsia" w:ascii="仿宋_GB2312" w:hAnsi="宋体" w:eastAsia="仿宋_GB2312"/>
                <w:sz w:val="24"/>
              </w:rPr>
              <w:t>（或个人）</w:t>
            </w:r>
          </w:p>
        </w:tc>
        <w:tc>
          <w:tcPr>
            <w:tcW w:w="2020" w:type="dxa"/>
            <w:noWrap w:val="0"/>
            <w:vAlign w:val="center"/>
          </w:tcPr>
          <w:p>
            <w:pPr>
              <w:jc w:val="center"/>
              <w:rPr>
                <w:rFonts w:ascii="仿宋_GB2312" w:hAnsi="宋体" w:eastAsia="仿宋_GB2312"/>
                <w:sz w:val="24"/>
              </w:rPr>
            </w:pPr>
            <w:r>
              <w:rPr>
                <w:rFonts w:hint="eastAsia" w:ascii="仿宋_GB2312" w:hAnsi="宋体" w:eastAsia="仿宋_GB2312"/>
                <w:sz w:val="24"/>
              </w:rPr>
              <w:t>处理意见</w:t>
            </w:r>
          </w:p>
          <w:p>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2024" w:type="dxa"/>
            <w:noWrap w:val="0"/>
            <w:vAlign w:val="center"/>
          </w:tcPr>
          <w:p>
            <w:pPr>
              <w:jc w:val="center"/>
              <w:rPr>
                <w:rFonts w:ascii="仿宋_GB2312" w:hAnsi="宋体" w:eastAsia="仿宋_GB2312"/>
                <w:sz w:val="24"/>
              </w:rPr>
            </w:pPr>
            <w:r>
              <w:rPr>
                <w:rFonts w:hint="eastAsia" w:ascii="仿宋_GB2312" w:hAnsi="宋体" w:eastAsia="仿宋_GB2312"/>
                <w:sz w:val="24"/>
              </w:rPr>
              <w:t>意见处理说明</w:t>
            </w:r>
          </w:p>
          <w:p>
            <w:pPr>
              <w:jc w:val="center"/>
              <w:rPr>
                <w:rFonts w:ascii="仿宋_GB2312" w:hAnsi="宋体" w:eastAsia="仿宋_GB2312"/>
                <w:sz w:val="24"/>
              </w:rPr>
            </w:pPr>
            <w:r>
              <w:rPr>
                <w:rFonts w:hint="eastAsia" w:ascii="仿宋_GB2312" w:hAnsi="宋体" w:eastAsia="仿宋_GB2312"/>
                <w:sz w:val="24"/>
              </w:rPr>
              <w:t>（不采纳理由等）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0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１</w:t>
            </w:r>
          </w:p>
        </w:tc>
        <w:tc>
          <w:tcPr>
            <w:tcW w:w="1370" w:type="dxa"/>
            <w:noWrap w:val="0"/>
            <w:vAlign w:val="center"/>
          </w:tcPr>
          <w:p>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6.1～6.6</w:t>
            </w:r>
          </w:p>
        </w:tc>
        <w:tc>
          <w:tcPr>
            <w:tcW w:w="4830" w:type="dxa"/>
            <w:noWrap w:val="0"/>
            <w:vAlign w:val="center"/>
          </w:tcPr>
          <w:p>
            <w:pPr>
              <w:jc w:val="left"/>
              <w:rPr>
                <w:rFonts w:hint="eastAsia" w:ascii="仿宋_GB2312" w:hAnsi="宋体" w:eastAsia="仿宋_GB2312"/>
                <w:sz w:val="24"/>
                <w:lang w:eastAsia="zh-CN"/>
              </w:rPr>
            </w:pPr>
            <w:r>
              <w:rPr>
                <w:rFonts w:hint="eastAsia" w:ascii="仿宋_GB2312" w:hAnsi="宋体" w:eastAsia="仿宋_GB2312"/>
                <w:sz w:val="24"/>
                <w:lang w:eastAsia="zh-CN"/>
              </w:rPr>
              <w:t>提出从实际和可操作性出发，修改文本结构，从玉米的各个生育期编写病虫害防治内容</w:t>
            </w:r>
          </w:p>
        </w:tc>
        <w:tc>
          <w:tcPr>
            <w:tcW w:w="341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山西省植物保护植物检疫总站</w:t>
            </w:r>
          </w:p>
        </w:tc>
        <w:tc>
          <w:tcPr>
            <w:tcW w:w="202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采纳</w:t>
            </w:r>
          </w:p>
        </w:tc>
        <w:tc>
          <w:tcPr>
            <w:tcW w:w="2024"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00" w:type="dxa"/>
            <w:noWrap w:val="0"/>
            <w:vAlign w:val="center"/>
          </w:tcPr>
          <w:p>
            <w:pPr>
              <w:jc w:val="center"/>
              <w:rPr>
                <w:rFonts w:hint="default" w:ascii="仿宋_GB2312" w:hAnsi="宋体" w:eastAsia="仿宋_GB2312"/>
                <w:sz w:val="24"/>
                <w:lang w:val="en" w:eastAsia="zh-CN"/>
              </w:rPr>
            </w:pPr>
            <w:r>
              <w:rPr>
                <w:rFonts w:hint="default" w:ascii="仿宋_GB2312" w:hAnsi="宋体" w:eastAsia="仿宋_GB2312"/>
                <w:sz w:val="24"/>
                <w:lang w:val="en" w:eastAsia="zh-CN"/>
              </w:rPr>
              <w:t>2</w:t>
            </w:r>
          </w:p>
        </w:tc>
        <w:tc>
          <w:tcPr>
            <w:tcW w:w="1370" w:type="dxa"/>
            <w:noWrap w:val="0"/>
            <w:vAlign w:val="center"/>
          </w:tcPr>
          <w:p>
            <w:pPr>
              <w:jc w:val="center"/>
              <w:rPr>
                <w:rFonts w:hint="default" w:ascii="仿宋_GB2312" w:hAnsi="宋体" w:eastAsia="仿宋_GB2312"/>
                <w:sz w:val="24"/>
                <w:lang w:val="en"/>
              </w:rPr>
            </w:pPr>
            <w:r>
              <w:rPr>
                <w:rFonts w:hint="eastAsia" w:ascii="仿宋_GB2312" w:hAnsi="宋体" w:eastAsia="仿宋_GB2312"/>
                <w:sz w:val="24"/>
                <w:lang w:val="en" w:eastAsia="zh-CN"/>
              </w:rPr>
              <w:t>附录</w:t>
            </w:r>
            <w:r>
              <w:rPr>
                <w:rFonts w:hint="eastAsia" w:ascii="仿宋_GB2312" w:hAnsi="宋体" w:eastAsia="仿宋_GB2312"/>
                <w:sz w:val="24"/>
                <w:lang w:val="en-US" w:eastAsia="zh-CN"/>
              </w:rPr>
              <w:t>A</w:t>
            </w:r>
          </w:p>
        </w:tc>
        <w:tc>
          <w:tcPr>
            <w:tcW w:w="483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增加和更新了农药使用种类</w:t>
            </w:r>
          </w:p>
        </w:tc>
        <w:tc>
          <w:tcPr>
            <w:tcW w:w="341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山西农业大学植物保护学院</w:t>
            </w:r>
          </w:p>
        </w:tc>
        <w:tc>
          <w:tcPr>
            <w:tcW w:w="202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采纳</w:t>
            </w:r>
          </w:p>
        </w:tc>
        <w:tc>
          <w:tcPr>
            <w:tcW w:w="2024"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00" w:type="dxa"/>
            <w:noWrap w:val="0"/>
            <w:vAlign w:val="center"/>
          </w:tcPr>
          <w:p>
            <w:pPr>
              <w:jc w:val="center"/>
              <w:rPr>
                <w:rFonts w:hint="default" w:ascii="仿宋_GB2312" w:hAnsi="宋体" w:eastAsia="仿宋_GB2312"/>
                <w:sz w:val="24"/>
                <w:lang w:val="en" w:eastAsia="zh-CN"/>
              </w:rPr>
            </w:pPr>
            <w:r>
              <w:rPr>
                <w:rFonts w:hint="default" w:ascii="仿宋_GB2312" w:hAnsi="宋体" w:eastAsia="仿宋_GB2312"/>
                <w:sz w:val="24"/>
                <w:lang w:val="en" w:eastAsia="zh-CN"/>
              </w:rPr>
              <w:t>3</w:t>
            </w:r>
          </w:p>
        </w:tc>
        <w:tc>
          <w:tcPr>
            <w:tcW w:w="1370" w:type="dxa"/>
            <w:noWrap w:val="0"/>
            <w:vAlign w:val="center"/>
          </w:tcPr>
          <w:p>
            <w:pPr>
              <w:jc w:val="center"/>
              <w:rPr>
                <w:rFonts w:hint="default" w:ascii="仿宋_GB2312" w:hAnsi="宋体" w:eastAsia="仿宋_GB2312"/>
                <w:sz w:val="24"/>
                <w:lang w:val="en-US" w:eastAsia="zh-CN"/>
              </w:rPr>
            </w:pPr>
            <w:r>
              <w:rPr>
                <w:rFonts w:hint="eastAsia" w:ascii="仿宋_GB2312" w:hAnsi="宋体" w:eastAsia="仿宋_GB2312"/>
                <w:sz w:val="24"/>
                <w:lang w:val="en" w:eastAsia="zh-CN"/>
              </w:rPr>
              <w:t>附录</w:t>
            </w:r>
            <w:r>
              <w:rPr>
                <w:rFonts w:hint="eastAsia" w:ascii="仿宋_GB2312" w:hAnsi="宋体" w:eastAsia="仿宋_GB2312"/>
                <w:sz w:val="24"/>
                <w:lang w:val="en-US" w:eastAsia="zh-CN"/>
              </w:rPr>
              <w:t>B、C</w:t>
            </w:r>
          </w:p>
        </w:tc>
        <w:tc>
          <w:tcPr>
            <w:tcW w:w="483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更新了农药使用种类</w:t>
            </w:r>
          </w:p>
        </w:tc>
        <w:tc>
          <w:tcPr>
            <w:tcW w:w="341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长治市植物保护植物检疫总站</w:t>
            </w:r>
          </w:p>
        </w:tc>
        <w:tc>
          <w:tcPr>
            <w:tcW w:w="202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采纳</w:t>
            </w:r>
          </w:p>
        </w:tc>
        <w:tc>
          <w:tcPr>
            <w:tcW w:w="2024"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00" w:type="dxa"/>
            <w:noWrap w:val="0"/>
            <w:vAlign w:val="center"/>
          </w:tcPr>
          <w:p>
            <w:pPr>
              <w:jc w:val="center"/>
              <w:rPr>
                <w:rFonts w:hint="default" w:ascii="仿宋_GB2312" w:hAnsi="宋体" w:eastAsia="仿宋_GB2312"/>
                <w:sz w:val="24"/>
                <w:lang w:val="en" w:eastAsia="zh-CN"/>
              </w:rPr>
            </w:pPr>
            <w:r>
              <w:rPr>
                <w:rFonts w:hint="default" w:ascii="仿宋_GB2312" w:hAnsi="宋体" w:eastAsia="仿宋_GB2312"/>
                <w:sz w:val="24"/>
                <w:lang w:val="en" w:eastAsia="zh-CN"/>
              </w:rPr>
              <w:t>4</w:t>
            </w:r>
          </w:p>
        </w:tc>
        <w:tc>
          <w:tcPr>
            <w:tcW w:w="1370" w:type="dxa"/>
            <w:noWrap w:val="0"/>
            <w:vAlign w:val="center"/>
          </w:tcPr>
          <w:p>
            <w:pPr>
              <w:jc w:val="center"/>
              <w:rPr>
                <w:rFonts w:hint="default" w:ascii="仿宋_GB2312" w:hAnsi="宋体" w:eastAsia="仿宋_GB2312"/>
                <w:sz w:val="24"/>
                <w:lang w:val="en"/>
              </w:rPr>
            </w:pPr>
            <w:r>
              <w:rPr>
                <w:rFonts w:hint="eastAsia" w:ascii="仿宋_GB2312" w:hAnsi="宋体" w:eastAsia="仿宋_GB2312"/>
                <w:sz w:val="24"/>
                <w:lang w:val="en-US" w:eastAsia="zh-CN"/>
              </w:rPr>
              <w:t>5</w:t>
            </w:r>
            <w:r>
              <w:rPr>
                <w:rFonts w:hint="default" w:ascii="仿宋_GB2312" w:hAnsi="宋体" w:eastAsia="仿宋_GB2312"/>
                <w:sz w:val="24"/>
                <w:lang w:val="en"/>
              </w:rPr>
              <w:t>.3</w:t>
            </w:r>
          </w:p>
        </w:tc>
        <w:tc>
          <w:tcPr>
            <w:tcW w:w="483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删除物理防治过时内容</w:t>
            </w:r>
          </w:p>
        </w:tc>
        <w:tc>
          <w:tcPr>
            <w:tcW w:w="341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晋中市植物保护植物检疫站</w:t>
            </w:r>
          </w:p>
        </w:tc>
        <w:tc>
          <w:tcPr>
            <w:tcW w:w="2020" w:type="dxa"/>
            <w:noWrap w:val="0"/>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采纳</w:t>
            </w:r>
          </w:p>
        </w:tc>
        <w:tc>
          <w:tcPr>
            <w:tcW w:w="2024"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4354" w:type="dxa"/>
            <w:gridSpan w:val="6"/>
            <w:noWrap w:val="0"/>
            <w:vAlign w:val="center"/>
          </w:tcPr>
          <w:p>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个，收到征求意见稿回函的单位数</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个，收到征求意见稿并提出意见的单位数</w:t>
            </w:r>
            <w:r>
              <w:rPr>
                <w:rFonts w:ascii="Times New Roman" w:hAnsi="Times New Roman" w:eastAsia="宋体" w:cs="Times New Roman"/>
                <w:szCs w:val="21"/>
                <w:u w:val="single"/>
              </w:rPr>
              <w:t xml:space="preserve"> </w:t>
            </w:r>
            <w:r>
              <w:rPr>
                <w:rFonts w:hint="eastAsia" w:ascii="仿宋_GB2312" w:hAnsi="宋体" w:eastAsia="仿宋_GB2312"/>
                <w:sz w:val="24"/>
              </w:rPr>
              <w:t>个，没有回函的单位数</w:t>
            </w:r>
            <w:r>
              <w:rPr>
                <w:rFonts w:ascii="Times New Roman" w:hAnsi="Times New Roman" w:eastAsia="宋体" w:cs="Times New Roman"/>
                <w:szCs w:val="21"/>
                <w:u w:val="single"/>
              </w:rPr>
              <w:t xml:space="preserve"> </w:t>
            </w:r>
            <w:r>
              <w:rPr>
                <w:rFonts w:hint="eastAsia" w:ascii="仿宋_GB2312" w:hAnsi="宋体" w:eastAsia="仿宋_GB2312"/>
                <w:sz w:val="24"/>
              </w:rPr>
              <w:t>个，共收到</w:t>
            </w:r>
            <w:r>
              <w:rPr>
                <w:rFonts w:ascii="Times New Roman" w:hAnsi="Times New Roman" w:eastAsia="宋体" w:cs="Times New Roman"/>
                <w:szCs w:val="21"/>
                <w:u w:val="single"/>
              </w:rPr>
              <w:t xml:space="preserve">  </w:t>
            </w:r>
            <w:r>
              <w:rPr>
                <w:rFonts w:hint="eastAsia" w:ascii="仿宋_GB2312" w:hAnsi="宋体" w:eastAsia="仿宋_GB2312"/>
                <w:sz w:val="24"/>
              </w:rPr>
              <w:t>条意见，采纳</w:t>
            </w:r>
            <w:r>
              <w:rPr>
                <w:rFonts w:ascii="Times New Roman" w:hAnsi="Times New Roman" w:eastAsia="宋体" w:cs="Times New Roman"/>
                <w:szCs w:val="21"/>
                <w:u w:val="single"/>
              </w:rPr>
              <w:t xml:space="preserve">  </w:t>
            </w:r>
            <w:r>
              <w:rPr>
                <w:rFonts w:hint="eastAsia" w:ascii="仿宋_GB2312" w:hAnsi="宋体" w:eastAsia="仿宋_GB2312"/>
                <w:sz w:val="24"/>
              </w:rPr>
              <w:t>条意见，部分采纳</w:t>
            </w:r>
            <w:r>
              <w:rPr>
                <w:rFonts w:ascii="Times New Roman" w:hAnsi="Times New Roman" w:eastAsia="宋体" w:cs="Times New Roman"/>
                <w:szCs w:val="21"/>
                <w:u w:val="single"/>
              </w:rPr>
              <w:t xml:space="preserve"> </w:t>
            </w:r>
            <w:r>
              <w:rPr>
                <w:rFonts w:hint="eastAsia" w:ascii="仿宋_GB2312" w:hAnsi="宋体" w:eastAsia="仿宋_GB2312"/>
                <w:sz w:val="24"/>
              </w:rPr>
              <w:t>条意见，未采纳</w:t>
            </w:r>
            <w:r>
              <w:rPr>
                <w:rFonts w:ascii="Times New Roman" w:hAnsi="Times New Roman" w:eastAsia="宋体" w:cs="Times New Roman"/>
                <w:szCs w:val="21"/>
                <w:u w:val="single"/>
              </w:rPr>
              <w:t xml:space="preserve"> </w:t>
            </w:r>
            <w:r>
              <w:rPr>
                <w:rFonts w:hint="eastAsia" w:ascii="仿宋_GB2312" w:hAnsi="宋体" w:eastAsia="仿宋_GB2312"/>
                <w:sz w:val="24"/>
              </w:rPr>
              <w:t>条意见。</w:t>
            </w:r>
          </w:p>
        </w:tc>
      </w:tr>
    </w:tbl>
    <w:p>
      <w:pPr>
        <w:rPr>
          <w:rFonts w:hint="default"/>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angal">
    <w:altName w:val="方正宋体S-超大字符集(SIP)"/>
    <w:panose1 w:val="00000400000000000000"/>
    <w:charset w:val="01"/>
    <w:family w:val="roman"/>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modern"/>
    <w:pitch w:val="default"/>
    <w:sig w:usb0="00000000" w:usb1="00000000" w:usb2="0000001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仿宋_GB2312">
    <w:altName w:val="方正仿宋_GBK"/>
    <w:panose1 w:val="02010609030101010101"/>
    <w:charset w:val="00"/>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2</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F5523"/>
    <w:multiLevelType w:val="singleLevel"/>
    <w:tmpl w:val="CDDF5523"/>
    <w:lvl w:ilvl="0" w:tentative="0">
      <w:start w:val="3"/>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NotTrackMoves/>
  <w:documentProtection w:enforcement="0"/>
  <w:defaultTabStop w:val="420"/>
  <w:drawingGridHorizontalSpacing w:val="105"/>
  <w:drawingGridVerticalSpacing w:val="159"/>
  <w:displayHorizontalDrawingGridEvery w:val="1"/>
  <w:displayVerticalDrawingGridEvery w:val="2"/>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YzIxM2MxZGU2OGFmNmY5NzBhNDkyYTViNjQ4OWI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755C1B8"/>
    <w:rsid w:val="07FFC9F7"/>
    <w:rsid w:val="0F3FCFD7"/>
    <w:rsid w:val="15BCD71E"/>
    <w:rsid w:val="17ED1A18"/>
    <w:rsid w:val="1EFD6D4D"/>
    <w:rsid w:val="1FCF2D6B"/>
    <w:rsid w:val="2BE2A1DF"/>
    <w:rsid w:val="2DBE12D0"/>
    <w:rsid w:val="2EDD9A8A"/>
    <w:rsid w:val="2FAE3B37"/>
    <w:rsid w:val="367B52E6"/>
    <w:rsid w:val="372FC19D"/>
    <w:rsid w:val="3BEF04E9"/>
    <w:rsid w:val="3CDB1431"/>
    <w:rsid w:val="3D25D500"/>
    <w:rsid w:val="3EEF98DD"/>
    <w:rsid w:val="3EF758A0"/>
    <w:rsid w:val="3F2932FF"/>
    <w:rsid w:val="3F6BB4F8"/>
    <w:rsid w:val="3F9FD22F"/>
    <w:rsid w:val="3FBB5001"/>
    <w:rsid w:val="3FBE6883"/>
    <w:rsid w:val="3FD7AE93"/>
    <w:rsid w:val="3FFE6F6F"/>
    <w:rsid w:val="3FFF4C4D"/>
    <w:rsid w:val="470749E1"/>
    <w:rsid w:val="4763BB2E"/>
    <w:rsid w:val="49951D39"/>
    <w:rsid w:val="4C3DC6CB"/>
    <w:rsid w:val="4F7B247E"/>
    <w:rsid w:val="4FAB3883"/>
    <w:rsid w:val="4FB2DE83"/>
    <w:rsid w:val="52FDB2AE"/>
    <w:rsid w:val="5767109E"/>
    <w:rsid w:val="57CEF8DE"/>
    <w:rsid w:val="57D94567"/>
    <w:rsid w:val="57FDEFDC"/>
    <w:rsid w:val="5CFF1606"/>
    <w:rsid w:val="5DB786A3"/>
    <w:rsid w:val="5DB81931"/>
    <w:rsid w:val="5DBFF780"/>
    <w:rsid w:val="5DF6712C"/>
    <w:rsid w:val="5DFFCE9C"/>
    <w:rsid w:val="5EBDA8D0"/>
    <w:rsid w:val="5EDFD8BB"/>
    <w:rsid w:val="5FB81DCD"/>
    <w:rsid w:val="5FFF6AF8"/>
    <w:rsid w:val="5FFFC472"/>
    <w:rsid w:val="5FFFC539"/>
    <w:rsid w:val="63BD8BA4"/>
    <w:rsid w:val="677DE175"/>
    <w:rsid w:val="67DB29FB"/>
    <w:rsid w:val="67EBBE25"/>
    <w:rsid w:val="67FEBE70"/>
    <w:rsid w:val="69E9D4EF"/>
    <w:rsid w:val="6AFE9395"/>
    <w:rsid w:val="6B6F241C"/>
    <w:rsid w:val="6B7FB8F4"/>
    <w:rsid w:val="6BEA3FA9"/>
    <w:rsid w:val="6BF71187"/>
    <w:rsid w:val="6BFACF4F"/>
    <w:rsid w:val="6BFEE3C0"/>
    <w:rsid w:val="6BFF0146"/>
    <w:rsid w:val="6D7E4E44"/>
    <w:rsid w:val="6DA97DD2"/>
    <w:rsid w:val="6DED101C"/>
    <w:rsid w:val="6DFFA187"/>
    <w:rsid w:val="6EFD90F7"/>
    <w:rsid w:val="6FB3D734"/>
    <w:rsid w:val="6FEE6927"/>
    <w:rsid w:val="6FF60013"/>
    <w:rsid w:val="6FFE4E37"/>
    <w:rsid w:val="6FFF7E5F"/>
    <w:rsid w:val="72BF6FB0"/>
    <w:rsid w:val="72DE18B7"/>
    <w:rsid w:val="7329008F"/>
    <w:rsid w:val="7399B05B"/>
    <w:rsid w:val="73D9FF1F"/>
    <w:rsid w:val="75B56517"/>
    <w:rsid w:val="76D957D7"/>
    <w:rsid w:val="77BF6714"/>
    <w:rsid w:val="77C6AB6B"/>
    <w:rsid w:val="77DA9C9D"/>
    <w:rsid w:val="77F61089"/>
    <w:rsid w:val="77FF4F98"/>
    <w:rsid w:val="77FFC67B"/>
    <w:rsid w:val="77FFF366"/>
    <w:rsid w:val="79F6124E"/>
    <w:rsid w:val="79FF0142"/>
    <w:rsid w:val="7A6F9E14"/>
    <w:rsid w:val="7AD7B1BF"/>
    <w:rsid w:val="7AFE9031"/>
    <w:rsid w:val="7B9FB94F"/>
    <w:rsid w:val="7BFB120F"/>
    <w:rsid w:val="7BFD473E"/>
    <w:rsid w:val="7BFE23B4"/>
    <w:rsid w:val="7BFEA5AC"/>
    <w:rsid w:val="7BFF20BA"/>
    <w:rsid w:val="7D7AD351"/>
    <w:rsid w:val="7DFB965E"/>
    <w:rsid w:val="7DFD3BC1"/>
    <w:rsid w:val="7DFE89FD"/>
    <w:rsid w:val="7EB7545C"/>
    <w:rsid w:val="7EBB9A32"/>
    <w:rsid w:val="7EE3EDB9"/>
    <w:rsid w:val="7EF3EE92"/>
    <w:rsid w:val="7EF7CBCA"/>
    <w:rsid w:val="7EFE1350"/>
    <w:rsid w:val="7F47560B"/>
    <w:rsid w:val="7F6555FF"/>
    <w:rsid w:val="7F773A59"/>
    <w:rsid w:val="7F7F1836"/>
    <w:rsid w:val="7F7FF4BF"/>
    <w:rsid w:val="7FCB4FE2"/>
    <w:rsid w:val="7FCF3ABD"/>
    <w:rsid w:val="7FD35E87"/>
    <w:rsid w:val="7FDDAAC1"/>
    <w:rsid w:val="7FDE9EE2"/>
    <w:rsid w:val="7FDEFCE2"/>
    <w:rsid w:val="7FDF1E95"/>
    <w:rsid w:val="7FF3958A"/>
    <w:rsid w:val="7FF4D38E"/>
    <w:rsid w:val="7FF4F3E3"/>
    <w:rsid w:val="7FF56034"/>
    <w:rsid w:val="7FFB0EA7"/>
    <w:rsid w:val="7FFF63D1"/>
    <w:rsid w:val="7FFF9BF8"/>
    <w:rsid w:val="7FFFE1B0"/>
    <w:rsid w:val="7FFFFA37"/>
    <w:rsid w:val="91CF69B4"/>
    <w:rsid w:val="91FB1772"/>
    <w:rsid w:val="93EEA786"/>
    <w:rsid w:val="999D8C6A"/>
    <w:rsid w:val="9CFB7DEA"/>
    <w:rsid w:val="9DBF0551"/>
    <w:rsid w:val="9F5E02C8"/>
    <w:rsid w:val="9FDBD56F"/>
    <w:rsid w:val="9FFFD5C5"/>
    <w:rsid w:val="A77ED0D2"/>
    <w:rsid w:val="ABB853AB"/>
    <w:rsid w:val="ADAF1DB9"/>
    <w:rsid w:val="ADB7A347"/>
    <w:rsid w:val="B36F6AA2"/>
    <w:rsid w:val="B3F7906C"/>
    <w:rsid w:val="B5FF0B5B"/>
    <w:rsid w:val="B63F3CEB"/>
    <w:rsid w:val="B76B45F2"/>
    <w:rsid w:val="B7DFFA12"/>
    <w:rsid w:val="B7FF9EEA"/>
    <w:rsid w:val="B8FFD884"/>
    <w:rsid w:val="B9BFFC3D"/>
    <w:rsid w:val="BBFCE3E0"/>
    <w:rsid w:val="BCB8B563"/>
    <w:rsid w:val="BD7F9CF0"/>
    <w:rsid w:val="BDE226DE"/>
    <w:rsid w:val="BE776D64"/>
    <w:rsid w:val="BFB2785F"/>
    <w:rsid w:val="BFDEE314"/>
    <w:rsid w:val="BFDF3CC8"/>
    <w:rsid w:val="BFFE0B22"/>
    <w:rsid w:val="C9E723B4"/>
    <w:rsid w:val="C9FFFB1C"/>
    <w:rsid w:val="CA398483"/>
    <w:rsid w:val="CAFFD04F"/>
    <w:rsid w:val="D5FE192F"/>
    <w:rsid w:val="D733DE3F"/>
    <w:rsid w:val="D77FFB9D"/>
    <w:rsid w:val="DCBFA577"/>
    <w:rsid w:val="DDD709A7"/>
    <w:rsid w:val="DDDB2668"/>
    <w:rsid w:val="DE577D8B"/>
    <w:rsid w:val="DE9F73BF"/>
    <w:rsid w:val="DEF1ACCF"/>
    <w:rsid w:val="DFFB0938"/>
    <w:rsid w:val="E86A210B"/>
    <w:rsid w:val="E997F6E5"/>
    <w:rsid w:val="E9FEAF74"/>
    <w:rsid w:val="EB7DFDD5"/>
    <w:rsid w:val="EBBAD495"/>
    <w:rsid w:val="EBF7DD20"/>
    <w:rsid w:val="EC3D1978"/>
    <w:rsid w:val="ED8E76DA"/>
    <w:rsid w:val="EEFD3FCF"/>
    <w:rsid w:val="EF5D70A8"/>
    <w:rsid w:val="EFBF8843"/>
    <w:rsid w:val="EFF1BF01"/>
    <w:rsid w:val="EFF33B58"/>
    <w:rsid w:val="EFFFBD64"/>
    <w:rsid w:val="F1DBAD94"/>
    <w:rsid w:val="F27E6CA8"/>
    <w:rsid w:val="F3FB8300"/>
    <w:rsid w:val="F3FEE76C"/>
    <w:rsid w:val="F47E2CF5"/>
    <w:rsid w:val="F6FB5F5B"/>
    <w:rsid w:val="F73732C6"/>
    <w:rsid w:val="F75DEB1C"/>
    <w:rsid w:val="F76FE69E"/>
    <w:rsid w:val="F77BD378"/>
    <w:rsid w:val="F7B94291"/>
    <w:rsid w:val="F7BC4593"/>
    <w:rsid w:val="F7BDD9D5"/>
    <w:rsid w:val="F7F817AB"/>
    <w:rsid w:val="F7FE7906"/>
    <w:rsid w:val="F8DA3C19"/>
    <w:rsid w:val="F99FDFB2"/>
    <w:rsid w:val="F9FF8379"/>
    <w:rsid w:val="FA69417C"/>
    <w:rsid w:val="FAFF8666"/>
    <w:rsid w:val="FBF93123"/>
    <w:rsid w:val="FBFBF721"/>
    <w:rsid w:val="FCB7D595"/>
    <w:rsid w:val="FCFB87BB"/>
    <w:rsid w:val="FD3F6602"/>
    <w:rsid w:val="FDFC088E"/>
    <w:rsid w:val="FDFFAE80"/>
    <w:rsid w:val="FEF54ED8"/>
    <w:rsid w:val="FEFD7F3B"/>
    <w:rsid w:val="FEFFD74D"/>
    <w:rsid w:val="FEFFE988"/>
    <w:rsid w:val="FFB957B4"/>
    <w:rsid w:val="FFBDFA1B"/>
    <w:rsid w:val="FFBFE70B"/>
    <w:rsid w:val="FFCD1E70"/>
    <w:rsid w:val="FFDFFDCA"/>
    <w:rsid w:val="FFE1234A"/>
    <w:rsid w:val="FFE799A1"/>
    <w:rsid w:val="FFED8CEE"/>
    <w:rsid w:val="FFEF77DA"/>
    <w:rsid w:val="FFFC3656"/>
    <w:rsid w:val="FFFF4212"/>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6"/>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99"/>
    <w:pPr>
      <w:suppressLineNumbers/>
      <w:suppressAutoHyphens/>
      <w:spacing w:before="120" w:after="120"/>
    </w:pPr>
    <w:rPr>
      <w:rFonts w:cs="Mangal"/>
      <w:i/>
      <w:iCs/>
      <w:kern w:val="21"/>
      <w:sz w:val="24"/>
      <w:lang w:eastAsia="ar-SA"/>
    </w:rPr>
  </w:style>
  <w:style w:type="paragraph" w:styleId="5">
    <w:name w:val="Body Text"/>
    <w:basedOn w:val="1"/>
    <w:link w:val="26"/>
    <w:qFormat/>
    <w:uiPriority w:val="0"/>
    <w:pPr>
      <w:spacing w:after="120"/>
    </w:pPr>
  </w:style>
  <w:style w:type="paragraph" w:styleId="6">
    <w:name w:val="Date"/>
    <w:basedOn w:val="1"/>
    <w:next w:val="1"/>
    <w:link w:val="25"/>
    <w:semiHidden/>
    <w:unhideWhenUsed/>
    <w:qFormat/>
    <w:uiPriority w:val="99"/>
    <w:pPr>
      <w:ind w:left="100" w:leftChars="2500"/>
    </w:p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99"/>
    <w:rPr>
      <w:rFonts w:cs="Times New Roman"/>
      <w:b/>
    </w:rPr>
  </w:style>
  <w:style w:type="character" w:customStyle="1" w:styleId="15">
    <w:name w:val="标题 1 Char"/>
    <w:link w:val="2"/>
    <w:qFormat/>
    <w:locked/>
    <w:uiPriority w:val="99"/>
    <w:rPr>
      <w:rFonts w:cs="Times New Roman"/>
      <w:b/>
      <w:kern w:val="1"/>
      <w:sz w:val="44"/>
      <w:lang w:eastAsia="ar-SA" w:bidi="ar-SA"/>
    </w:rPr>
  </w:style>
  <w:style w:type="character" w:customStyle="1" w:styleId="16">
    <w:name w:val="标题 3 Char"/>
    <w:link w:val="3"/>
    <w:qFormat/>
    <w:locked/>
    <w:uiPriority w:val="99"/>
    <w:rPr>
      <w:rFonts w:cs="Times New Roman"/>
      <w:b/>
      <w:kern w:val="21"/>
      <w:sz w:val="32"/>
      <w:lang w:eastAsia="ar-SA" w:bidi="ar-SA"/>
    </w:rPr>
  </w:style>
  <w:style w:type="paragraph" w:styleId="17">
    <w:name w:val="List Paragraph"/>
    <w:basedOn w:val="1"/>
    <w:qFormat/>
    <w:uiPriority w:val="99"/>
    <w:pPr>
      <w:suppressAutoHyphens/>
      <w:ind w:firstLine="420" w:firstLineChars="200"/>
    </w:pPr>
    <w:rPr>
      <w:kern w:val="21"/>
      <w:lang w:eastAsia="ar-SA"/>
    </w:r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locked/>
    <w:uiPriority w:val="0"/>
    <w:rPr>
      <w:rFonts w:ascii="宋体" w:cs="Times New Roman"/>
      <w:sz w:val="21"/>
      <w:lang w:val="en-US" w:eastAsia="zh-CN" w:bidi="ar-SA"/>
    </w:rPr>
  </w:style>
  <w:style w:type="character" w:customStyle="1" w:styleId="20">
    <w:name w:val="页眉 Char"/>
    <w:link w:val="9"/>
    <w:qFormat/>
    <w:uiPriority w:val="99"/>
    <w:rPr>
      <w:sz w:val="18"/>
      <w:szCs w:val="18"/>
    </w:rPr>
  </w:style>
  <w:style w:type="character" w:customStyle="1" w:styleId="21">
    <w:name w:val="页脚 Char"/>
    <w:link w:val="8"/>
    <w:qFormat/>
    <w:uiPriority w:val="99"/>
    <w:rPr>
      <w:sz w:val="18"/>
      <w:szCs w:val="18"/>
    </w:rPr>
  </w:style>
  <w:style w:type="character" w:customStyle="1" w:styleId="22">
    <w:name w:val="批注框文本 Char"/>
    <w:link w:val="7"/>
    <w:semiHidden/>
    <w:qFormat/>
    <w:uiPriority w:val="99"/>
    <w:rPr>
      <w:kern w:val="2"/>
      <w:sz w:val="18"/>
      <w:szCs w:val="18"/>
    </w:rPr>
  </w:style>
  <w:style w:type="table" w:customStyle="1" w:styleId="23">
    <w:name w:val="浅色底纹1"/>
    <w:basedOn w:val="11"/>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4">
    <w:name w:val="浅色底纹2"/>
    <w:basedOn w:val="11"/>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5">
    <w:name w:val="日期 Char"/>
    <w:basedOn w:val="13"/>
    <w:link w:val="6"/>
    <w:semiHidden/>
    <w:qFormat/>
    <w:uiPriority w:val="99"/>
    <w:rPr>
      <w:kern w:val="2"/>
      <w:sz w:val="21"/>
      <w:szCs w:val="24"/>
    </w:rPr>
  </w:style>
  <w:style w:type="character" w:customStyle="1" w:styleId="26">
    <w:name w:val="正文文本 Char"/>
    <w:basedOn w:val="13"/>
    <w:link w:val="5"/>
    <w:qFormat/>
    <w:uiPriority w:val="0"/>
    <w:rPr>
      <w:kern w:val="2"/>
      <w:sz w:val="21"/>
      <w:szCs w:val="24"/>
    </w:rPr>
  </w:style>
  <w:style w:type="paragraph" w:customStyle="1" w:styleId="27">
    <w:name w:val="标准文件_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标准文件_段 Char"/>
    <w:link w:val="27"/>
    <w:qFormat/>
    <w:uiPriority w:val="0"/>
    <w:rPr>
      <w:rFonts w:ascii="宋体"/>
      <w:sz w:val="21"/>
    </w:rPr>
  </w:style>
  <w:style w:type="paragraph" w:customStyle="1" w:styleId="29">
    <w:name w:val="一级条标题"/>
    <w:next w:val="18"/>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0">
    <w:name w:val="二级条标题"/>
    <w:basedOn w:val="29"/>
    <w:next w:val="18"/>
    <w:qFormat/>
    <w:uiPriority w:val="0"/>
    <w:pPr>
      <w:numPr>
        <w:ilvl w:val="2"/>
        <w:numId w:val="1"/>
      </w:numPr>
      <w:spacing w:before="50" w:after="50"/>
      <w:outlineLvl w:val="3"/>
    </w:pPr>
  </w:style>
  <w:style w:type="paragraph" w:customStyle="1" w:styleId="31">
    <w:name w:val="附录表标题"/>
    <w:basedOn w:val="1"/>
    <w:next w:val="18"/>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1040</Words>
  <Characters>5934</Characters>
  <Lines>49</Lines>
  <Paragraphs>13</Paragraphs>
  <TotalTime>5</TotalTime>
  <ScaleCrop>false</ScaleCrop>
  <LinksUpToDate>false</LinksUpToDate>
  <CharactersWithSpaces>6961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2016-02-28T07:17:00Z</dcterms:created>
  <dc:creator>lenovo</dc:creator>
  <cp:lastModifiedBy>baixin</cp:lastModifiedBy>
  <cp:lastPrinted>2017-01-22T07:31:00Z</cp:lastPrinted>
  <dcterms:modified xsi:type="dcterms:W3CDTF">2024-11-07T19:24:29Z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