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65.020.01</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16</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3"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pPr>
        <w:pStyle w:val="50"/>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w:t>
      </w:r>
      <w:r>
        <w:rPr>
          <w:rFonts w:ascii="黑体" w:eastAsia="黑体"/>
          <w:b w:val="0"/>
          <w:w w:val="100"/>
          <w:sz w:val="48"/>
        </w:rPr>
        <w:t>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14/T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玉米病虫草害综合防治技术规程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点击此处添加标准名称的英文译名</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w:t>
      </w:r>
      <w:r>
        <w:rPr>
          <w:rFonts w:hAnsi="黑体"/>
          <w:w w:val="100"/>
          <w:sz w:val="28"/>
        </w:rPr>
        <w:t>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181975531"/>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"_Toc181975564" </w:instrText>
      </w:r>
      <w:r>
        <w:fldChar w:fldCharType="separate"/>
      </w:r>
      <w:r>
        <w:rPr>
          <w:rStyle w:val="32"/>
          <w:rFonts w:hint="eastAsia"/>
        </w:rPr>
        <w:t>前言</w:t>
      </w:r>
      <w:r>
        <w:tab/>
      </w:r>
      <w:r>
        <w:fldChar w:fldCharType="begin"/>
      </w:r>
      <w:r>
        <w:instrText xml:space="preserve"> PAGEREF _Toc181975564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"_Toc181975565" </w:instrText>
      </w:r>
      <w:r>
        <w:fldChar w:fldCharType="separate"/>
      </w:r>
      <w:r>
        <w:rPr>
          <w:rStyle w:val="32"/>
        </w:rPr>
        <w:t xml:space="preserve">1 </w:t>
      </w:r>
      <w:r>
        <w:rPr>
          <w:rStyle w:val="32"/>
          <w:rFonts w:hint="eastAsia"/>
        </w:rPr>
        <w:t xml:space="preserve"> 范围</w:t>
      </w:r>
      <w:r>
        <w:tab/>
      </w:r>
      <w:r>
        <w:fldChar w:fldCharType="begin"/>
      </w:r>
      <w:r>
        <w:instrText xml:space="preserve"> PAGEREF _Toc181975565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"_Toc181975566"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_Toc181975566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"_Toc181975567"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_Toc181975567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"_Toc181975568" </w:instrText>
      </w:r>
      <w:r>
        <w:fldChar w:fldCharType="separate"/>
      </w:r>
      <w:r>
        <w:rPr>
          <w:rStyle w:val="32"/>
        </w:rPr>
        <w:t xml:space="preserve">4 </w:t>
      </w:r>
      <w:r>
        <w:rPr>
          <w:rStyle w:val="32"/>
          <w:rFonts w:hint="eastAsia"/>
        </w:rPr>
        <w:t xml:space="preserve"> 防治原则和防治对象</w:t>
      </w:r>
      <w:r>
        <w:tab/>
      </w:r>
      <w:r>
        <w:fldChar w:fldCharType="begin"/>
      </w:r>
      <w:r>
        <w:instrText xml:space="preserve"> PAGEREF _Toc181975568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"_Toc181975569" </w:instrText>
      </w:r>
      <w:r>
        <w:fldChar w:fldCharType="separate"/>
      </w:r>
      <w:r>
        <w:rPr>
          <w:rStyle w:val="32"/>
        </w:rPr>
        <w:t xml:space="preserve">5 </w:t>
      </w:r>
      <w:r>
        <w:rPr>
          <w:rStyle w:val="32"/>
          <w:rFonts w:hint="eastAsia"/>
        </w:rPr>
        <w:t xml:space="preserve"> 玉米综合防治</w:t>
      </w:r>
      <w:r>
        <w:tab/>
      </w:r>
      <w:r>
        <w:fldChar w:fldCharType="begin"/>
      </w:r>
      <w:r>
        <w:instrText xml:space="preserve"> PAGEREF _Toc181975569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"_Toc181975570" </w:instrText>
      </w:r>
      <w:r>
        <w:fldChar w:fldCharType="separate"/>
      </w:r>
      <w:r>
        <w:rPr>
          <w:rStyle w:val="32"/>
        </w:rPr>
        <w:t xml:space="preserve">6 </w:t>
      </w:r>
      <w:r>
        <w:rPr>
          <w:rStyle w:val="32"/>
          <w:rFonts w:hint="eastAsia"/>
        </w:rPr>
        <w:t xml:space="preserve"> 玉米生育期</w:t>
      </w:r>
      <w:r>
        <w:tab/>
      </w:r>
      <w:r>
        <w:fldChar w:fldCharType="begin"/>
      </w:r>
      <w:r>
        <w:instrText xml:space="preserve"> PAGEREF _Toc181975570 \h </w:instrText>
      </w:r>
      <w:r>
        <w:fldChar w:fldCharType="separate"/>
      </w:r>
      <w:r>
        <w:t>6</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"_Toc181975571" </w:instrText>
      </w:r>
      <w:r>
        <w:fldChar w:fldCharType="separate"/>
      </w:r>
      <w:r>
        <w:rPr>
          <w:rStyle w:val="32"/>
        </w:rPr>
        <w:t xml:space="preserve">7 </w:t>
      </w:r>
      <w:r>
        <w:rPr>
          <w:rStyle w:val="32"/>
          <w:rFonts w:hint="eastAsia"/>
        </w:rPr>
        <w:t xml:space="preserve"> 质量要求</w:t>
      </w:r>
      <w:r>
        <w:tab/>
      </w:r>
      <w:r>
        <w:fldChar w:fldCharType="begin"/>
      </w:r>
      <w:r>
        <w:instrText xml:space="preserve"> PAGEREF _Toc181975571 \h </w:instrText>
      </w:r>
      <w:r>
        <w:fldChar w:fldCharType="separate"/>
      </w:r>
      <w:r>
        <w:t>8</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"_Toc181975572" </w:instrText>
      </w:r>
      <w:r>
        <w:fldChar w:fldCharType="separate"/>
      </w:r>
      <w:r>
        <w:rPr>
          <w:rStyle w:val="32"/>
          <w:rFonts w:hint="eastAsia"/>
        </w:rPr>
        <w:t>附录A（资料性）</w:t>
      </w:r>
      <w:r>
        <w:rPr>
          <w:rStyle w:val="32"/>
        </w:rPr>
        <w:t xml:space="preserve">  </w:t>
      </w:r>
      <w:r>
        <w:rPr>
          <w:rStyle w:val="32"/>
          <w:rFonts w:hint="eastAsia"/>
        </w:rPr>
        <w:t>玉米病害防治使用药剂见表</w:t>
      </w:r>
      <w:r>
        <w:rPr>
          <w:rStyle w:val="32"/>
        </w:rPr>
        <w:t>A.1</w:t>
      </w:r>
      <w:r>
        <w:tab/>
      </w:r>
      <w:r>
        <w:fldChar w:fldCharType="begin"/>
      </w:r>
      <w:r>
        <w:instrText xml:space="preserve"> PAGEREF _Toc181975572 \h </w:instrText>
      </w:r>
      <w:r>
        <w:fldChar w:fldCharType="separate"/>
      </w:r>
      <w:r>
        <w:t>9</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"_Toc181975573" </w:instrText>
      </w:r>
      <w:r>
        <w:fldChar w:fldCharType="separate"/>
      </w:r>
      <w:r>
        <w:rPr>
          <w:rStyle w:val="32"/>
          <w:rFonts w:hint="eastAsia"/>
        </w:rPr>
        <w:t>附录B（资料性）</w:t>
      </w:r>
      <w:r>
        <w:rPr>
          <w:rStyle w:val="32"/>
        </w:rPr>
        <w:t xml:space="preserve">  </w:t>
      </w:r>
      <w:r>
        <w:rPr>
          <w:rStyle w:val="32"/>
          <w:rFonts w:hint="eastAsia"/>
        </w:rPr>
        <w:t>玉米虫害防治使用药剂见表</w:t>
      </w:r>
      <w:r>
        <w:rPr>
          <w:rStyle w:val="32"/>
        </w:rPr>
        <w:t>B.1</w:t>
      </w:r>
      <w:r>
        <w:tab/>
      </w:r>
      <w:r>
        <w:fldChar w:fldCharType="begin"/>
      </w:r>
      <w:r>
        <w:instrText xml:space="preserve"> PAGEREF _Toc181975573 \h </w:instrText>
      </w:r>
      <w:r>
        <w:fldChar w:fldCharType="separate"/>
      </w:r>
      <w:r>
        <w:t>10</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"_Toc181975574" </w:instrText>
      </w:r>
      <w:r>
        <w:fldChar w:fldCharType="separate"/>
      </w:r>
      <w:r>
        <w:rPr>
          <w:rStyle w:val="32"/>
          <w:rFonts w:hint="eastAsia"/>
        </w:rPr>
        <w:t>附录C（资料性）</w:t>
      </w:r>
      <w:r>
        <w:rPr>
          <w:rStyle w:val="32"/>
        </w:rPr>
        <w:t xml:space="preserve">  </w:t>
      </w:r>
      <w:r>
        <w:rPr>
          <w:rStyle w:val="32"/>
          <w:rFonts w:hint="eastAsia"/>
        </w:rPr>
        <w:t>玉米害防治使用药剂见表</w:t>
      </w:r>
      <w:r>
        <w:rPr>
          <w:rStyle w:val="32"/>
        </w:rPr>
        <w:t>C.1</w:t>
      </w:r>
      <w:r>
        <w:tab/>
      </w:r>
      <w:r>
        <w:fldChar w:fldCharType="begin"/>
      </w:r>
      <w:r>
        <w:instrText xml:space="preserve"> PAGEREF _Toc181975574 \h </w:instrText>
      </w:r>
      <w:r>
        <w:fldChar w:fldCharType="separate"/>
      </w:r>
      <w:r>
        <w:t>11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"_Toc181975575" </w:instrText>
      </w:r>
      <w:r>
        <w:fldChar w:fldCharType="separate"/>
      </w:r>
      <w:r>
        <w:rPr>
          <w:rStyle w:val="32"/>
          <w:rFonts w:hint="eastAsia"/>
        </w:rPr>
        <w:t>附录D（资料性）</w:t>
      </w:r>
      <w:r>
        <w:rPr>
          <w:rStyle w:val="32"/>
        </w:rPr>
        <w:t xml:space="preserve">  </w:t>
      </w:r>
      <w:r>
        <w:rPr>
          <w:rStyle w:val="32"/>
          <w:rFonts w:hint="eastAsia"/>
        </w:rPr>
        <w:t>玉米病害症状详单</w:t>
      </w:r>
      <w:r>
        <w:tab/>
      </w:r>
      <w:r>
        <w:fldChar w:fldCharType="begin"/>
      </w:r>
      <w:r>
        <w:instrText xml:space="preserve"> PAGEREF _Toc181975575 \h </w:instrText>
      </w:r>
      <w:r>
        <w:fldChar w:fldCharType="separate"/>
      </w:r>
      <w:r>
        <w:t>12</w:t>
      </w:r>
      <w:r>
        <w:fldChar w:fldCharType="end"/>
      </w:r>
      <w:r>
        <w:fldChar w:fldCharType="end"/>
      </w:r>
    </w:p>
    <w:p>
      <w:pPr>
        <w:pStyle w:val="91"/>
        <w:spacing w:after="468"/>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after="468"/>
      </w:pPr>
      <w:bookmarkStart w:id="23" w:name="_Toc181975564"/>
      <w:bookmarkStart w:id="24" w:name="BookMark2"/>
      <w:r>
        <w:rPr>
          <w:spacing w:val="320"/>
        </w:rPr>
        <w:t>前</w:t>
      </w:r>
      <w:r>
        <w:t>言</w:t>
      </w:r>
      <w:bookmarkEnd w:id="22"/>
      <w:bookmarkEnd w:id="23"/>
    </w:p>
    <w:p>
      <w:pPr>
        <w:pStyle w:val="56"/>
        <w:ind w:firstLine="420"/>
      </w:pPr>
      <w:r>
        <w:rPr>
          <w:rFonts w:hint="eastAsia"/>
        </w:rPr>
        <w:t>本文件按照GB/T 1.1—2020《标准化工作导则  第1部分：标准化文件的结构和起草规则》的规定起草。</w:t>
      </w:r>
    </w:p>
    <w:p>
      <w:pPr>
        <w:pStyle w:val="56"/>
        <w:ind w:firstLine="420"/>
        <w:rPr>
          <w:szCs w:val="21"/>
        </w:rPr>
      </w:pPr>
      <w:r>
        <w:rPr>
          <w:rFonts w:hint="eastAsia"/>
        </w:rPr>
        <w:t xml:space="preserve">本文件代替DB14/T </w:t>
      </w:r>
      <w:r>
        <w:rPr>
          <w:rFonts w:hint="eastAsia"/>
          <w:lang w:val="en-US" w:eastAsia="zh-CN"/>
        </w:rPr>
        <w:t>759</w:t>
      </w:r>
      <w:r>
        <w:rPr>
          <w:rFonts w:hint="eastAsia"/>
        </w:rPr>
        <w:t>—</w:t>
      </w:r>
      <w:r>
        <w:rPr>
          <w:rFonts w:hint="eastAsia"/>
          <w:lang w:val="en-US" w:eastAsia="zh-CN"/>
        </w:rPr>
        <w:t>2013</w:t>
      </w:r>
      <w:r>
        <w:rPr>
          <w:rFonts w:hint="eastAsia"/>
        </w:rPr>
        <w:t xml:space="preserve">《玉米病虫草害综合防治技术规程》，与DB14/T </w:t>
      </w:r>
      <w:r>
        <w:rPr>
          <w:rFonts w:hint="eastAsia"/>
          <w:lang w:val="en-US" w:eastAsia="zh-CN"/>
        </w:rPr>
        <w:t>759</w:t>
      </w:r>
      <w:r>
        <w:rPr>
          <w:rFonts w:hint="eastAsia"/>
        </w:rPr>
        <w:t>—</w:t>
      </w:r>
      <w:r>
        <w:rPr>
          <w:rFonts w:hint="eastAsia"/>
          <w:lang w:val="en-US" w:eastAsia="zh-CN"/>
        </w:rPr>
        <w:t>2013</w:t>
      </w:r>
      <w:r>
        <w:rPr>
          <w:rFonts w:hint="eastAsia"/>
        </w:rPr>
        <w:t>相比，除结构调整和编辑性改动外，主要技术变化如下:：</w:t>
      </w:r>
    </w:p>
    <w:p>
      <w:pPr>
        <w:pStyle w:val="56"/>
        <w:ind w:firstLine="420"/>
        <w:rPr>
          <w:szCs w:val="21"/>
        </w:rPr>
      </w:pPr>
      <w:r>
        <w:rPr>
          <w:rFonts w:hint="eastAsia"/>
        </w:rPr>
        <w:t>——更改了范围里的文件适用内容（见1,2013版的1）；</w:t>
      </w:r>
    </w:p>
    <w:p>
      <w:pPr>
        <w:pStyle w:val="56"/>
        <w:ind w:firstLine="420"/>
        <w:rPr>
          <w:color w:val="000000"/>
          <w:szCs w:val="21"/>
        </w:rPr>
      </w:pPr>
      <w:r>
        <w:rPr>
          <w:rFonts w:hint="eastAsia"/>
        </w:rPr>
        <w:t>——增加了规范性引用文件 （见2,2013版的2）</w:t>
      </w:r>
      <w:r>
        <w:rPr>
          <w:rFonts w:hint="eastAsia"/>
          <w:color w:val="000000"/>
        </w:rPr>
        <w:t>；</w:t>
      </w:r>
    </w:p>
    <w:p>
      <w:pPr>
        <w:pStyle w:val="56"/>
        <w:ind w:firstLine="420"/>
        <w:rPr>
          <w:color w:val="000000"/>
          <w:szCs w:val="21"/>
        </w:rPr>
      </w:pPr>
      <w:r>
        <w:rPr>
          <w:rFonts w:hint="eastAsia"/>
        </w:rPr>
        <w:t>——删除了规范性引用文件 （见2,2013版的2）</w:t>
      </w:r>
      <w:r>
        <w:rPr>
          <w:rFonts w:hint="eastAsia"/>
          <w:color w:val="000000"/>
        </w:rPr>
        <w:t>；</w:t>
      </w:r>
    </w:p>
    <w:p>
      <w:pPr>
        <w:pStyle w:val="56"/>
        <w:ind w:firstLine="420"/>
        <w:rPr>
          <w:color w:val="000000"/>
          <w:szCs w:val="21"/>
        </w:rPr>
      </w:pPr>
      <w:r>
        <w:rPr>
          <w:rFonts w:hint="eastAsia"/>
          <w:color w:val="000000"/>
        </w:rPr>
        <w:t>——删除了术语和定义(见2013版的3.1～3.2）；</w:t>
      </w:r>
    </w:p>
    <w:p>
      <w:pPr>
        <w:pStyle w:val="56"/>
        <w:ind w:firstLine="420"/>
        <w:rPr>
          <w:color w:val="000000"/>
          <w:szCs w:val="21"/>
        </w:rPr>
      </w:pPr>
      <w:r>
        <w:rPr>
          <w:rFonts w:hint="eastAsia"/>
          <w:color w:val="000000"/>
        </w:rPr>
        <w:t>——更改了防治原则内容（见4.1，2013版的4.1）；</w:t>
      </w:r>
    </w:p>
    <w:p>
      <w:pPr>
        <w:pStyle w:val="56"/>
        <w:ind w:firstLine="420"/>
        <w:rPr>
          <w:szCs w:val="21"/>
        </w:rPr>
      </w:pPr>
      <w:r>
        <w:rPr>
          <w:rFonts w:hint="eastAsia"/>
        </w:rPr>
        <w:t>——增加了玉米缺素症、草地贪夜蛾，(见4.2、附录D，2013版的4.2）；</w:t>
      </w:r>
    </w:p>
    <w:p>
      <w:pPr>
        <w:pStyle w:val="56"/>
        <w:ind w:firstLine="420"/>
        <w:rPr>
          <w:szCs w:val="21"/>
        </w:rPr>
      </w:pPr>
      <w:r>
        <w:rPr>
          <w:rFonts w:hint="eastAsia"/>
        </w:rPr>
        <w:t>——更改了草害内容(见4.2，2013版的4.2）；</w:t>
      </w:r>
    </w:p>
    <w:p>
      <w:pPr>
        <w:pStyle w:val="56"/>
        <w:ind w:firstLine="420"/>
        <w:rPr>
          <w:kern w:val="2"/>
          <w:szCs w:val="21"/>
        </w:rPr>
      </w:pPr>
      <w:r>
        <w:rPr>
          <w:rFonts w:hint="eastAsia"/>
        </w:rPr>
        <w:t>——增加了生物农药控制 （见5.2.3，2013版的5.2）；</w:t>
      </w:r>
    </w:p>
    <w:p>
      <w:pPr>
        <w:pStyle w:val="56"/>
        <w:ind w:firstLine="420"/>
        <w:rPr>
          <w:szCs w:val="21"/>
        </w:rPr>
      </w:pPr>
      <w:r>
        <w:rPr>
          <w:rFonts w:hint="eastAsia"/>
        </w:rPr>
        <w:t>——更改了化学防治相关内容（见5.4，2013版的5.3）；</w:t>
      </w:r>
    </w:p>
    <w:p>
      <w:pPr>
        <w:pStyle w:val="56"/>
        <w:ind w:firstLine="420"/>
        <w:rPr>
          <w:szCs w:val="21"/>
        </w:rPr>
      </w:pPr>
      <w:r>
        <w:rPr>
          <w:rFonts w:hint="eastAsia"/>
        </w:rPr>
        <w:t>——删除了虫害防治物理防治过时技术（见5.3，2013版的6.2.5、6.2.6）；</w:t>
      </w:r>
    </w:p>
    <w:p>
      <w:pPr>
        <w:pStyle w:val="56"/>
        <w:ind w:firstLine="420"/>
        <w:rPr>
          <w:szCs w:val="21"/>
        </w:rPr>
      </w:pPr>
      <w:r>
        <w:rPr>
          <w:rFonts w:hint="eastAsia"/>
        </w:rPr>
        <w:t>——增加了玉米生育期相关内容（见6.1～6.6）；</w:t>
      </w:r>
    </w:p>
    <w:p>
      <w:pPr>
        <w:pStyle w:val="56"/>
        <w:ind w:firstLine="420"/>
        <w:rPr>
          <w:szCs w:val="21"/>
        </w:rPr>
      </w:pPr>
      <w:r>
        <w:rPr>
          <w:rFonts w:hint="eastAsia"/>
        </w:rPr>
        <w:t>——删除了化学防治相关内容（见5.4，2013版的6.4.9）；</w:t>
      </w:r>
    </w:p>
    <w:p>
      <w:pPr>
        <w:pStyle w:val="56"/>
        <w:ind w:firstLine="420"/>
        <w:rPr>
          <w:szCs w:val="21"/>
        </w:rPr>
      </w:pPr>
      <w:r>
        <w:rPr>
          <w:rFonts w:hint="eastAsia"/>
        </w:rPr>
        <w:t>——更改了草害防治相关内容（见5.1、5.4，2013版的7.1、7.2）；</w:t>
      </w:r>
    </w:p>
    <w:p>
      <w:pPr>
        <w:pStyle w:val="56"/>
        <w:ind w:firstLine="420"/>
        <w:rPr>
          <w:szCs w:val="21"/>
        </w:rPr>
      </w:pPr>
      <w:r>
        <w:rPr>
          <w:rFonts w:hint="eastAsia"/>
        </w:rPr>
        <w:t>——增加了质量要求（见7）；</w:t>
      </w:r>
    </w:p>
    <w:p>
      <w:pPr>
        <w:pStyle w:val="56"/>
        <w:ind w:firstLine="420"/>
      </w:pPr>
      <w:r>
        <w:rPr>
          <w:rFonts w:hint="eastAsia"/>
        </w:rPr>
        <w:t xml:space="preserve">——增加了附录A A.1 玉米病害防治使用药剂推荐表；附录B B.1玉米虫害防治使用药剂推荐表；附录C </w:t>
      </w:r>
      <w:r>
        <w:t>C</w:t>
      </w:r>
      <w:r>
        <w:rPr>
          <w:rFonts w:hint="eastAsia"/>
        </w:rPr>
        <w:t>.1玉</w:t>
      </w:r>
      <w:r>
        <w:t>米虫草</w:t>
      </w:r>
      <w:r>
        <w:rPr>
          <w:rFonts w:hint="eastAsia"/>
        </w:rPr>
        <w:t>害</w:t>
      </w:r>
      <w:r>
        <w:t>防治使用</w:t>
      </w:r>
      <w:r>
        <w:rPr>
          <w:rFonts w:hint="eastAsia"/>
        </w:rPr>
        <w:t>药剂</w:t>
      </w:r>
      <w:r>
        <w:t>推荐表</w:t>
      </w:r>
      <w:r>
        <w:rPr>
          <w:rFonts w:hint="eastAsia"/>
        </w:rPr>
        <w:t>；</w:t>
      </w:r>
      <w:r>
        <w:t>附录</w:t>
      </w:r>
      <w:r>
        <w:rPr>
          <w:rFonts w:hint="eastAsia"/>
        </w:rPr>
        <w:t>D玉</w:t>
      </w:r>
      <w:r>
        <w:t>米病害</w:t>
      </w:r>
      <w:r>
        <w:rPr>
          <w:rFonts w:hint="eastAsia"/>
        </w:rPr>
        <w:t>状</w:t>
      </w:r>
      <w:r>
        <w:t>详单</w:t>
      </w:r>
      <w:r>
        <w:rPr>
          <w:rFonts w:hint="eastAsia"/>
        </w:rPr>
        <w:t>。</w:t>
      </w:r>
    </w:p>
    <w:p>
      <w:pPr>
        <w:pStyle w:val="56"/>
        <w:ind w:firstLine="420"/>
        <w:rPr>
          <w:kern w:val="2"/>
          <w:szCs w:val="21"/>
        </w:rPr>
      </w:pPr>
      <w:r>
        <w:rPr>
          <w:rFonts w:hint="eastAsia"/>
        </w:rPr>
        <w:t>本文件由山西省农业农村厅提出、组织实施和监督检查。</w:t>
      </w:r>
    </w:p>
    <w:p>
      <w:pPr>
        <w:pStyle w:val="56"/>
        <w:ind w:firstLine="420"/>
        <w:rPr>
          <w:szCs w:val="21"/>
        </w:rPr>
      </w:pPr>
      <w:r>
        <w:rPr>
          <w:rFonts w:hint="eastAsia"/>
        </w:rPr>
        <w:t>本文件由山西省市场监督管理局对标准的组织实施情况进行监督检查。</w:t>
      </w:r>
    </w:p>
    <w:p>
      <w:pPr>
        <w:pStyle w:val="56"/>
        <w:ind w:firstLine="420"/>
        <w:rPr>
          <w:szCs w:val="21"/>
        </w:rPr>
      </w:pPr>
      <w:r>
        <w:rPr>
          <w:rFonts w:hint="eastAsia"/>
        </w:rPr>
        <w:t>本文件由山西省农业标准化技术委员会(SXS/TC 19)归口。</w:t>
      </w:r>
    </w:p>
    <w:p>
      <w:pPr>
        <w:pStyle w:val="56"/>
        <w:ind w:firstLine="420"/>
        <w:rPr>
          <w:kern w:val="2"/>
          <w:szCs w:val="21"/>
        </w:rPr>
      </w:pPr>
      <w:r>
        <w:rPr>
          <w:rFonts w:hint="eastAsia"/>
        </w:rPr>
        <w:t>本文件起草单位：山西省检验检测中心（山西省标准计量技术研究院）。</w:t>
      </w:r>
    </w:p>
    <w:p>
      <w:pPr>
        <w:pStyle w:val="56"/>
        <w:ind w:firstLine="420"/>
      </w:pPr>
      <w:r>
        <w:rPr>
          <w:rFonts w:hint="eastAsia"/>
        </w:rPr>
        <w:t>本文件主要起草人：王慧兰、刘俐君、张璇、王国桢、董琳、郭郁、曹淼、安耀卿、乔海燕。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本文件及其所代替文件的历次版本发布情况为：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eastAsia="zh-CN"/>
        </w:rPr>
      </w:pPr>
      <w:r>
        <w:rPr>
          <w:rFonts w:hint="eastAsia"/>
        </w:rPr>
        <w:t>——</w:t>
      </w:r>
      <w:r>
        <w:rPr>
          <w:rFonts w:hint="eastAsia"/>
          <w:lang w:val="en-US" w:eastAsia="zh-CN"/>
        </w:rPr>
        <w:t>2013</w:t>
      </w:r>
      <w:r>
        <w:rPr>
          <w:rFonts w:hint="eastAsia"/>
        </w:rPr>
        <w:t>年首次发布</w:t>
      </w:r>
      <w:r>
        <w:rPr>
          <w:rFonts w:hint="eastAsia"/>
          <w:lang w:eastAsia="zh-CN"/>
        </w:rPr>
        <w:t>为</w:t>
      </w:r>
      <w:r>
        <w:rPr>
          <w:rFonts w:hint="eastAsia"/>
        </w:rPr>
        <w:t>DB</w:t>
      </w:r>
      <w:r>
        <w:rPr>
          <w:rFonts w:hint="eastAsia"/>
          <w:lang w:val="en-US" w:eastAsia="zh-CN"/>
        </w:rPr>
        <w:t>14</w:t>
      </w:r>
      <w:r>
        <w:rPr>
          <w:rFonts w:hint="eastAsia"/>
        </w:rPr>
        <w:t xml:space="preserve">/T </w:t>
      </w:r>
      <w:r>
        <w:rPr>
          <w:rFonts w:hint="eastAsia"/>
          <w:lang w:val="en-US" w:eastAsia="zh-CN"/>
        </w:rPr>
        <w:t>759</w:t>
      </w:r>
      <w:r>
        <w:rPr>
          <w:rFonts w:hint="eastAsia"/>
        </w:rPr>
        <w:t>—</w:t>
      </w:r>
      <w:r>
        <w:rPr>
          <w:rFonts w:hint="eastAsia"/>
          <w:lang w:val="en-US" w:eastAsia="zh-CN"/>
        </w:rPr>
        <w:t>2013</w:t>
      </w:r>
      <w:r>
        <w:rPr>
          <w:rFonts w:hint="eastAsia"/>
          <w:lang w:eastAsia="zh-CN"/>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宋体"/>
          <w:lang w:eastAsia="zh-CN"/>
        </w:rPr>
      </w:pPr>
      <w:r>
        <w:rPr>
          <w:rFonts w:hint="eastAsia"/>
        </w:rPr>
        <w:t>——</w:t>
      </w:r>
      <w:r>
        <w:rPr>
          <w:rFonts w:hint="eastAsia"/>
          <w:lang w:eastAsia="zh-CN"/>
        </w:rPr>
        <w:t>本次为</w:t>
      </w:r>
      <w:r>
        <w:rPr>
          <w:rFonts w:hint="eastAsia"/>
        </w:rPr>
        <w:t>第</w:t>
      </w:r>
      <w:r>
        <w:rPr>
          <w:rFonts w:hint="eastAsia"/>
          <w:lang w:eastAsia="zh-CN"/>
        </w:rPr>
        <w:t>一</w:t>
      </w:r>
      <w:r>
        <w:rPr>
          <w:rFonts w:hint="eastAsia"/>
        </w:rPr>
        <w:t>次修订</w:t>
      </w:r>
      <w:r>
        <w:rPr>
          <w:rFonts w:hint="eastAsia"/>
          <w:lang w:eastAsia="zh-CN"/>
        </w:rPr>
        <w:t>。</w:t>
      </w:r>
    </w:p>
    <w:p>
      <w:pPr>
        <w:pStyle w:val="56"/>
        <w:ind w:firstLine="420"/>
        <w:sectPr>
          <w:pgSz w:w="11906" w:h="16838"/>
          <w:pgMar w:top="2410"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1755792EB5F64638A170C3D3269F65BF"/>
        </w:placeholder>
      </w:sdtPr>
      <w:sdtContent>
        <w:p>
          <w:pPr>
            <w:pStyle w:val="177"/>
            <w:spacing w:before="3" w:beforeLines="1" w:after="686" w:afterLines="220"/>
          </w:pPr>
          <w:bookmarkStart w:id="26" w:name="NEW_STAND_NAME"/>
          <w:r>
            <w:rPr>
              <w:rFonts w:hint="eastAsia"/>
            </w:rPr>
            <w:t>玉米病虫草害综合防治技术规程</w:t>
          </w:r>
          <w:r>
            <w:t>     </w:t>
          </w:r>
        </w:p>
      </w:sdtContent>
    </w:sdt>
    <w:bookmarkEnd w:id="26"/>
    <w:p>
      <w:pPr>
        <w:pStyle w:val="104"/>
        <w:spacing w:before="312" w:after="312"/>
      </w:pPr>
      <w:bookmarkStart w:id="27" w:name="_Toc17233333"/>
      <w:bookmarkStart w:id="28" w:name="_Toc26718930"/>
      <w:bookmarkStart w:id="29" w:name="_Toc24884218"/>
      <w:bookmarkStart w:id="30" w:name="_Toc26648465"/>
      <w:bookmarkStart w:id="31" w:name="_Toc26986530"/>
      <w:bookmarkStart w:id="32" w:name="_Toc181975565"/>
      <w:bookmarkStart w:id="33" w:name="_Toc24884211"/>
      <w:bookmarkStart w:id="34" w:name="_Toc26986771"/>
      <w:bookmarkStart w:id="35" w:name="_Toc17233325"/>
      <w:bookmarkStart w:id="36" w:name="_Toc181975532"/>
      <w:r>
        <w:rPr>
          <w:rFonts w:hint="eastAsia"/>
        </w:rPr>
        <w:t>范围</w:t>
      </w:r>
      <w:bookmarkEnd w:id="27"/>
      <w:bookmarkEnd w:id="28"/>
      <w:bookmarkEnd w:id="29"/>
      <w:bookmarkEnd w:id="30"/>
      <w:bookmarkEnd w:id="31"/>
      <w:bookmarkEnd w:id="32"/>
      <w:bookmarkEnd w:id="33"/>
      <w:bookmarkEnd w:id="34"/>
      <w:bookmarkEnd w:id="35"/>
      <w:bookmarkEnd w:id="36"/>
    </w:p>
    <w:p>
      <w:pPr>
        <w:pStyle w:val="56"/>
        <w:ind w:firstLine="420"/>
        <w:rPr>
          <w:szCs w:val="21"/>
        </w:rPr>
      </w:pPr>
      <w:bookmarkStart w:id="37" w:name="_Toc26986772"/>
      <w:bookmarkStart w:id="38" w:name="_Toc24884219"/>
      <w:bookmarkStart w:id="39" w:name="_Toc26648466"/>
      <w:bookmarkStart w:id="40" w:name="_Toc24884212"/>
      <w:bookmarkStart w:id="41" w:name="_Toc17233326"/>
      <w:bookmarkStart w:id="42" w:name="_Toc26718931"/>
      <w:bookmarkStart w:id="43" w:name="_Toc26986531"/>
      <w:bookmarkStart w:id="44" w:name="_Toc17233334"/>
      <w:r>
        <w:rPr>
          <w:rFonts w:hint="eastAsia"/>
        </w:rPr>
        <w:t>本文件根据玉米主要病虫草害种类和发生规律，规定了防治原则和防治对象、病害防治、虫害防治、草害防治和质量要求等内容。</w:t>
      </w:r>
    </w:p>
    <w:p>
      <w:pPr>
        <w:pStyle w:val="56"/>
        <w:ind w:firstLine="420"/>
      </w:pPr>
      <w:r>
        <w:rPr>
          <w:rFonts w:hint="eastAsia"/>
        </w:rPr>
        <w:t>本文件适用于山西省玉米种植区玉米病虫草害的防治。</w:t>
      </w:r>
    </w:p>
    <w:p>
      <w:pPr>
        <w:pStyle w:val="104"/>
        <w:spacing w:before="312" w:after="312"/>
      </w:pPr>
      <w:bookmarkStart w:id="45" w:name="_Toc181975533"/>
      <w:bookmarkStart w:id="46" w:name="_Toc181975566"/>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5FC960E69FF549DBB9FEBDE0A277CEA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szCs w:val="21"/>
        </w:rPr>
      </w:pPr>
      <w:r>
        <w:rPr>
          <w:rFonts w:hint="eastAsia"/>
        </w:rPr>
        <w:t>GB 2763 食品安全国家标准 食品中农药最大残留限量</w:t>
      </w:r>
    </w:p>
    <w:p>
      <w:pPr>
        <w:pStyle w:val="56"/>
        <w:ind w:firstLine="420"/>
      </w:pPr>
      <w:r>
        <w:rPr>
          <w:rFonts w:hint="eastAsia"/>
        </w:rPr>
        <w:t>GB 2763.1 食品安全国家标准 食品中2,4-滴丁酸钠盐等112种农药最大残留限量</w:t>
      </w:r>
    </w:p>
    <w:p>
      <w:pPr>
        <w:pStyle w:val="56"/>
        <w:ind w:firstLine="420"/>
      </w:pPr>
      <w:r>
        <w:rPr>
          <w:rFonts w:hint="eastAsia"/>
        </w:rPr>
        <w:t xml:space="preserve">GB/T 8321（所有部分） 农药合理使用准则 </w:t>
      </w:r>
    </w:p>
    <w:p>
      <w:pPr>
        <w:pStyle w:val="56"/>
        <w:ind w:firstLine="420"/>
      </w:pPr>
      <w:r>
        <w:rPr>
          <w:rFonts w:hint="eastAsia"/>
        </w:rPr>
        <w:t>NY/T 496 肥料合理使用准则  通则</w:t>
      </w:r>
    </w:p>
    <w:p>
      <w:pPr>
        <w:pStyle w:val="56"/>
        <w:ind w:firstLine="420"/>
        <w:rPr>
          <w:color w:val="FF0000"/>
        </w:rPr>
      </w:pPr>
      <w:r>
        <w:rPr>
          <w:rFonts w:hint="eastAsia"/>
        </w:rPr>
        <w:t>NY/T 1276 农药安全使用规范总则</w:t>
      </w:r>
    </w:p>
    <w:p>
      <w:pPr>
        <w:pStyle w:val="56"/>
        <w:ind w:firstLine="420"/>
      </w:pPr>
      <w:r>
        <w:rPr>
          <w:rFonts w:hint="eastAsia"/>
        </w:rPr>
        <w:t>NY/T 1997 除草剂安全使用技术规范通则</w:t>
      </w:r>
    </w:p>
    <w:p>
      <w:pPr>
        <w:pStyle w:val="104"/>
        <w:spacing w:before="312" w:after="312"/>
      </w:pPr>
      <w:bookmarkStart w:id="47" w:name="_Toc181975567"/>
      <w:bookmarkStart w:id="48" w:name="_Toc181975534"/>
      <w:r>
        <w:rPr>
          <w:rFonts w:hint="eastAsia"/>
          <w:szCs w:val="21"/>
        </w:rPr>
        <w:t>术语和定义</w:t>
      </w:r>
      <w:bookmarkEnd w:id="47"/>
      <w:bookmarkEnd w:id="48"/>
    </w:p>
    <w:sdt>
      <w:sdtPr>
        <w:id w:val="-1909835108"/>
        <w:placeholder>
          <w:docPart w:val="1B61F322FF0F47718E3E74D9B258286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9" w:name="_Toc26986532"/>
          <w:bookmarkEnd w:id="49"/>
          <w:r>
            <w:t>本文件没有需要界定的术语和定义。</w:t>
          </w:r>
        </w:p>
      </w:sdtContent>
    </w:sdt>
    <w:p>
      <w:pPr>
        <w:pStyle w:val="104"/>
        <w:spacing w:before="312" w:after="312"/>
      </w:pPr>
      <w:bookmarkStart w:id="50" w:name="_Toc181975568"/>
      <w:bookmarkStart w:id="51" w:name="_Toc181111516"/>
      <w:bookmarkStart w:id="52" w:name="_Toc181975535"/>
      <w:r>
        <w:rPr>
          <w:rFonts w:hint="eastAsia"/>
        </w:rPr>
        <w:t>防治原则和防治对象</w:t>
      </w:r>
      <w:bookmarkEnd w:id="50"/>
      <w:bookmarkEnd w:id="51"/>
      <w:bookmarkEnd w:id="52"/>
    </w:p>
    <w:p>
      <w:pPr>
        <w:pStyle w:val="105"/>
        <w:spacing w:before="156" w:after="156"/>
      </w:pPr>
      <w:bookmarkStart w:id="53" w:name="_Toc181975536"/>
      <w:bookmarkStart w:id="54" w:name="_Toc181111517"/>
      <w:r>
        <w:rPr>
          <w:rFonts w:hint="eastAsia"/>
        </w:rPr>
        <w:t>防治</w:t>
      </w:r>
      <w:r>
        <w:t>原则</w:t>
      </w:r>
      <w:bookmarkEnd w:id="53"/>
      <w:bookmarkEnd w:id="54"/>
    </w:p>
    <w:p>
      <w:pPr>
        <w:pStyle w:val="56"/>
        <w:ind w:firstLine="420"/>
        <w:rPr>
          <w:szCs w:val="21"/>
        </w:rPr>
      </w:pPr>
      <w:bookmarkStart w:id="55" w:name="_Toc181111518"/>
      <w:r>
        <w:rPr>
          <w:rFonts w:hint="eastAsia"/>
          <w:color w:val="000000"/>
        </w:rPr>
        <w:t>加强检疫，选用抗病品种、实行轮作、田园清洁等农业防治为基础，</w:t>
      </w:r>
      <w:r>
        <w:rPr>
          <w:rFonts w:hint="eastAsia"/>
        </w:rPr>
        <w:t>坚持“预防为主，综合防治”的原则，</w:t>
      </w:r>
      <w:r>
        <w:rPr>
          <w:rFonts w:hint="eastAsia"/>
          <w:color w:val="000000"/>
        </w:rPr>
        <w:t>合理运用农业、化学、生物、物理系列配套防治措施，</w:t>
      </w:r>
      <w:r>
        <w:rPr>
          <w:rFonts w:hint="eastAsia"/>
        </w:rPr>
        <w:t>使用安全、高效、低毒、低残留农药进行防治，运用一喷多促等手段，实现农药精准施用。</w:t>
      </w:r>
    </w:p>
    <w:p>
      <w:pPr>
        <w:pStyle w:val="56"/>
        <w:ind w:firstLine="420"/>
      </w:pPr>
      <w:r>
        <w:rPr>
          <w:rFonts w:hint="eastAsia"/>
        </w:rPr>
        <w:t>化学防治时，执行GB/T 8321（所有部分）《农药合理使用准则 》和NY/T 1276 《农药安全使用规范总则》的有关规定。禁止使用国家明令禁止的高毒、剧毒、高残留的农药品种。</w:t>
      </w:r>
    </w:p>
    <w:p>
      <w:pPr>
        <w:pStyle w:val="105"/>
        <w:spacing w:before="156" w:after="156"/>
      </w:pPr>
      <w:bookmarkStart w:id="56" w:name="_Toc181975537"/>
      <w:r>
        <w:rPr>
          <w:rFonts w:hint="eastAsia"/>
        </w:rPr>
        <w:t>防治对</w:t>
      </w:r>
      <w:bookmarkEnd w:id="55"/>
      <w:r>
        <w:rPr>
          <w:rFonts w:hint="eastAsia"/>
        </w:rPr>
        <w:t>象</w:t>
      </w:r>
      <w:bookmarkEnd w:id="56"/>
    </w:p>
    <w:p>
      <w:pPr>
        <w:pStyle w:val="56"/>
        <w:ind w:firstLine="420"/>
        <w:rPr>
          <w:szCs w:val="21"/>
        </w:rPr>
      </w:pPr>
      <w:bookmarkStart w:id="57" w:name="_Toc181111519"/>
      <w:r>
        <w:rPr>
          <w:rFonts w:hint="eastAsia"/>
        </w:rPr>
        <w:t>病害：矮花叶病、粗缩病、丝黑穗病、瘤黑粉病、大斑病、小斑病、纹枯病、茎腐病、穗腐病、玉米缺素症。</w:t>
      </w:r>
    </w:p>
    <w:p>
      <w:pPr>
        <w:pStyle w:val="56"/>
        <w:ind w:firstLine="420"/>
      </w:pPr>
      <w:r>
        <w:rPr>
          <w:rFonts w:hint="eastAsia"/>
        </w:rPr>
        <w:t>虫害：蝼蛄、蛴螬、金针虫、小地老虎、二点委夜蛾、玉米耕葵粉蚧、粘虫、黏虫、玉米螟、棉铃虫、草地贪夜蛾、蓟马、灰飞虱、蚜虫、红蜘蛛。</w:t>
      </w:r>
    </w:p>
    <w:p>
      <w:pPr>
        <w:pStyle w:val="56"/>
        <w:ind w:firstLine="420"/>
      </w:pPr>
      <w:r>
        <w:rPr>
          <w:rFonts w:hint="eastAsia"/>
        </w:rPr>
        <w:t>草害：玉米种植田常见各类杂草。</w:t>
      </w:r>
    </w:p>
    <w:bookmarkEnd w:id="57"/>
    <w:p>
      <w:pPr>
        <w:pStyle w:val="104"/>
        <w:spacing w:before="312" w:after="312"/>
        <w:rPr>
          <w:szCs w:val="21"/>
        </w:rPr>
      </w:pPr>
      <w:bookmarkStart w:id="58" w:name="_Toc181975569"/>
      <w:bookmarkStart w:id="59" w:name="_Toc181975538"/>
      <w:bookmarkStart w:id="60" w:name="_Toc181111520"/>
      <w:r>
        <w:rPr>
          <w:rFonts w:hint="eastAsia"/>
        </w:rPr>
        <w:t>玉米综合防治</w:t>
      </w:r>
      <w:bookmarkEnd w:id="58"/>
      <w:bookmarkEnd w:id="59"/>
    </w:p>
    <w:p>
      <w:pPr>
        <w:pStyle w:val="105"/>
        <w:spacing w:before="156" w:after="156"/>
      </w:pPr>
      <w:bookmarkStart w:id="61" w:name="_Toc181975539"/>
      <w:r>
        <w:rPr>
          <w:rFonts w:hint="eastAsia"/>
        </w:rPr>
        <w:t>农业</w:t>
      </w:r>
      <w:r>
        <w:t>防治</w:t>
      </w:r>
      <w:bookmarkEnd w:id="60"/>
      <w:bookmarkEnd w:id="61"/>
    </w:p>
    <w:p>
      <w:pPr>
        <w:pStyle w:val="56"/>
        <w:ind w:firstLine="420"/>
        <w:rPr>
          <w:szCs w:val="21"/>
        </w:rPr>
      </w:pPr>
      <w:bookmarkStart w:id="62" w:name="_Toc181111521"/>
      <w:r>
        <w:rPr>
          <w:rFonts w:hint="eastAsia"/>
        </w:rPr>
        <w:t>病害：选用抗病品种，及时中耕，合理深耕，轮作倒茬，测土配方施肥，适时浇水，培育壮苗，增强抗病能力。病害发生初期及时人工清除病株、病部，防止病害扩散。玉米收获后彻底清除田间遗留的病株残体，带出田外深埋或集中烧毁，及时清除秸秆根茬。重病田严禁秸杆还田。</w:t>
      </w:r>
    </w:p>
    <w:p>
      <w:pPr>
        <w:pStyle w:val="56"/>
        <w:ind w:firstLine="420"/>
      </w:pPr>
      <w:r>
        <w:rPr>
          <w:rFonts w:hint="eastAsia"/>
        </w:rPr>
        <w:t>虫害：选用抗虫品种，将发生虫害的叶片或植株及时清除。适当调整播种期，使作物生长避开病虫害高发期。加强田间管理，增强抗虫能力。玉米收获后及时深翻，消灭部分虫源。实施轮作。不施带虫源的厩肥。</w:t>
      </w:r>
    </w:p>
    <w:p>
      <w:pPr>
        <w:pStyle w:val="56"/>
        <w:ind w:firstLine="420"/>
      </w:pPr>
      <w:r>
        <w:rPr>
          <w:rFonts w:hint="eastAsia"/>
        </w:rPr>
        <w:t>草害：合理轮作，改变杂草的生态环境，减少杂草种子在土壤中的积累；选用纯净、无杂草种子的玉米良种；在玉米播种前进行深翻深度达到20-30厘米左右，将杂草种子深埋于土壤深层；合理密植充分利用阳光和土壤养分，促进玉米生长健壮，增加对杂草的竞争能力；在玉米生长期间进行中耕，清除杂草；玉米秸秆还田，适当深翻将秸秆埋入地下，抑制杂草种子萌发。</w:t>
      </w:r>
    </w:p>
    <w:p>
      <w:pPr>
        <w:pStyle w:val="105"/>
        <w:spacing w:before="156" w:after="156"/>
      </w:pPr>
      <w:bookmarkStart w:id="63" w:name="_Toc181975540"/>
      <w:r>
        <w:rPr>
          <w:rFonts w:hint="eastAsia"/>
        </w:rPr>
        <w:t>生</w:t>
      </w:r>
      <w:r>
        <w:t>物防治</w:t>
      </w:r>
      <w:bookmarkEnd w:id="62"/>
      <w:bookmarkEnd w:id="63"/>
    </w:p>
    <w:p>
      <w:pPr>
        <w:pStyle w:val="56"/>
        <w:ind w:firstLine="420"/>
        <w:rPr>
          <w:szCs w:val="21"/>
        </w:rPr>
      </w:pPr>
      <w:bookmarkStart w:id="64" w:name="_Toc181111522"/>
      <w:r>
        <w:rPr>
          <w:rFonts w:hint="eastAsia"/>
        </w:rPr>
        <w:t>病害：使用生物制剂、生物农药控制（抑制）病害的发生。药剂使用方法详见标签或详见附录A.1：玉米病害防治使用药剂推荐表。</w:t>
      </w:r>
    </w:p>
    <w:p>
      <w:pPr>
        <w:pStyle w:val="56"/>
        <w:ind w:firstLine="420"/>
      </w:pPr>
      <w:r>
        <w:rPr>
          <w:rFonts w:hint="eastAsia"/>
        </w:rPr>
        <w:t>虫害：保护利用自然天敌、种植诱集作物、使用生物农药和生物制剂相结合的方式进行防治。防治方法详见附录B.1：玉米虫害防治使用药剂推荐表。</w:t>
      </w:r>
    </w:p>
    <w:p>
      <w:pPr>
        <w:pStyle w:val="65"/>
        <w:spacing w:before="156" w:after="156"/>
        <w:rPr>
          <w:szCs w:val="21"/>
        </w:rPr>
      </w:pPr>
      <w:r>
        <w:rPr>
          <w:rFonts w:hint="eastAsia"/>
        </w:rPr>
        <w:t>保护利用自然天敌</w:t>
      </w:r>
    </w:p>
    <w:p>
      <w:pPr>
        <w:pStyle w:val="56"/>
        <w:ind w:firstLine="420"/>
        <w:rPr>
          <w:szCs w:val="21"/>
        </w:rPr>
      </w:pPr>
      <w:r>
        <w:rPr>
          <w:rFonts w:hint="eastAsia"/>
        </w:rPr>
        <w:t>保护和利用田间原生天敌，杀灭害虫。在玉米种植过程中，注意保护寄生蜂、瓢虫和蜘蛛等自然天敌，通过天敌的自然数量增长，有效控制害虫数量，此外，通过人工引入天敌的方式控制一些外来害虫，例如引入赤眼蜂，可有效控制玉米螟的数量，利用七星瓢虫防治玉米蚜虫。</w:t>
      </w:r>
    </w:p>
    <w:p>
      <w:pPr>
        <w:pStyle w:val="65"/>
        <w:spacing w:before="156" w:after="156"/>
        <w:rPr>
          <w:szCs w:val="21"/>
        </w:rPr>
      </w:pPr>
      <w:r>
        <w:rPr>
          <w:rFonts w:hint="eastAsia"/>
        </w:rPr>
        <w:t>种植诱集作物</w:t>
      </w:r>
    </w:p>
    <w:p>
      <w:pPr>
        <w:pStyle w:val="56"/>
        <w:ind w:firstLine="420"/>
        <w:rPr>
          <w:szCs w:val="21"/>
        </w:rPr>
      </w:pPr>
      <w:r>
        <w:rPr>
          <w:rFonts w:hint="eastAsia"/>
        </w:rPr>
        <w:t>在农田周围种植一些对某类害虫有诱集效果的植物，引诱害虫取食或产卵，减少对玉米的危害。例如，种植紫花苜蓿吸引玉米螟幼虫取食，同时紫花苜蓿为害虫天敌提供了栖息和繁殖场所，减少了害虫对玉米的为害。</w:t>
      </w:r>
    </w:p>
    <w:p>
      <w:pPr>
        <w:pStyle w:val="65"/>
        <w:spacing w:before="156" w:after="156"/>
        <w:rPr>
          <w:szCs w:val="21"/>
        </w:rPr>
      </w:pPr>
      <w:r>
        <w:rPr>
          <w:rFonts w:hint="eastAsia"/>
        </w:rPr>
        <w:t>生物农药应用</w:t>
      </w:r>
    </w:p>
    <w:p>
      <w:pPr>
        <w:pStyle w:val="56"/>
        <w:ind w:firstLine="420"/>
        <w:rPr>
          <w:szCs w:val="21"/>
        </w:rPr>
      </w:pPr>
      <w:r>
        <w:rPr>
          <w:rFonts w:hint="eastAsia"/>
        </w:rPr>
        <w:t>包括微生物农药、农用抗生素、植物源农药、生物化学农药、天敌昆虫农药及植物生长调节剂等。</w:t>
      </w:r>
    </w:p>
    <w:p>
      <w:pPr>
        <w:pStyle w:val="56"/>
        <w:ind w:firstLine="420"/>
      </w:pPr>
      <w:r>
        <w:rPr>
          <w:rFonts w:hint="eastAsia"/>
        </w:rPr>
        <w:t>如阿维菌素是一种生物源农药，具有杀虫、杀螨和杀菌的作用，在玉米螟和蚜虫等害虫发生期，使用阿维菌素进行喷雾防治，可以有效控制害虫的数量；井冈霉素是一种广谱抗生素，对玉米纹枯病、大斑病等病害有较好的防治效果。</w:t>
      </w:r>
    </w:p>
    <w:p>
      <w:pPr>
        <w:pStyle w:val="65"/>
        <w:spacing w:before="156" w:after="156"/>
        <w:rPr>
          <w:szCs w:val="21"/>
        </w:rPr>
      </w:pPr>
      <w:r>
        <w:rPr>
          <w:rFonts w:hint="eastAsia"/>
        </w:rPr>
        <w:t>使用生物制剂</w:t>
      </w:r>
    </w:p>
    <w:p>
      <w:pPr>
        <w:pStyle w:val="56"/>
        <w:ind w:firstLine="420"/>
        <w:rPr>
          <w:szCs w:val="21"/>
        </w:rPr>
      </w:pPr>
      <w:r>
        <w:rPr>
          <w:rFonts w:hint="eastAsia"/>
        </w:rPr>
        <w:t>使用阿维菌素、井岗枯芽菌、苏云金杆菌等生物农药防治病虫。药剂使用方法详见标签或详见附录B.1：玉米虫害防治使用药剂推荐表。</w:t>
      </w:r>
    </w:p>
    <w:bookmarkEnd w:id="64"/>
    <w:p>
      <w:pPr>
        <w:pStyle w:val="105"/>
        <w:spacing w:before="156" w:after="156"/>
      </w:pPr>
      <w:bookmarkStart w:id="65" w:name="_Toc181975541"/>
      <w:r>
        <w:rPr>
          <w:rFonts w:hint="eastAsia"/>
        </w:rPr>
        <w:t>物理防治</w:t>
      </w:r>
      <w:bookmarkEnd w:id="65"/>
    </w:p>
    <w:p>
      <w:pPr>
        <w:pStyle w:val="56"/>
        <w:ind w:firstLine="420"/>
        <w:rPr>
          <w:szCs w:val="21"/>
        </w:rPr>
      </w:pPr>
      <w:r>
        <w:rPr>
          <w:rFonts w:hint="eastAsia"/>
        </w:rPr>
        <w:t>物理防治主要是针对虫害。</w:t>
      </w:r>
    </w:p>
    <w:p>
      <w:pPr>
        <w:pStyle w:val="65"/>
        <w:spacing w:before="156" w:after="156"/>
        <w:rPr>
          <w:szCs w:val="21"/>
        </w:rPr>
      </w:pPr>
      <w:r>
        <w:rPr>
          <w:rFonts w:hint="eastAsia"/>
        </w:rPr>
        <w:t>安装频振杀虫灯</w:t>
      </w:r>
    </w:p>
    <w:p>
      <w:pPr>
        <w:pStyle w:val="56"/>
        <w:ind w:firstLine="420"/>
        <w:rPr>
          <w:szCs w:val="21"/>
        </w:rPr>
      </w:pPr>
      <w:r>
        <w:rPr>
          <w:rFonts w:hint="eastAsia"/>
        </w:rPr>
        <w:t>安装方式可选吊挂式、木工式或横担式，用铁丝固定防止刮风摇摆，选择220V交流电源，顺干架空线路，禁止随地挂线，杀虫灯悬挂高度应略高于玉米。两灯之间距离视虫害严重程度和每灯诱捕半径而定。开灯时间为每晚8：00时到次日凌晨6：00时，关灯后立即收集袋内虫体，将诱杀的害虫彻底杀死后深埋，再用毛刷将灯上的虫垢打扫干净。每星期彻底清扫灯箱一次，擦灯管一次。挂灯时间从五月上旬至八月中旬止。可有效降低田间落卵量，减轻玉米螟危害，同时可诱杀粘虫、草地螟、地老虎、金龟子和灯蛾等害虫。</w:t>
      </w:r>
    </w:p>
    <w:p>
      <w:pPr>
        <w:pStyle w:val="65"/>
        <w:spacing w:before="156" w:after="156"/>
        <w:rPr>
          <w:szCs w:val="21"/>
        </w:rPr>
      </w:pPr>
      <w:r>
        <w:rPr>
          <w:rFonts w:hint="eastAsia"/>
        </w:rPr>
        <w:t>糖醋液诱杀粘虫、小地老虎等成虫</w:t>
      </w:r>
    </w:p>
    <w:p>
      <w:pPr>
        <w:pStyle w:val="56"/>
        <w:ind w:firstLine="420"/>
        <w:rPr>
          <w:szCs w:val="21"/>
        </w:rPr>
      </w:pPr>
      <w:r>
        <w:rPr>
          <w:rFonts w:hint="eastAsia"/>
        </w:rPr>
        <w:t>按红糖1.5份,食用醋2份，白酒0.5份，水1份的比例配制糖醋液，再加1%的90%敌百虫晶体或其他杀虫剂。将现配的糖醋液盛于浅盆中放置田间诱杀害虫成虫，两盆间距约500m,2d～3d更换一次。</w:t>
      </w:r>
    </w:p>
    <w:p>
      <w:pPr>
        <w:pStyle w:val="65"/>
        <w:spacing w:before="156" w:after="156"/>
        <w:rPr>
          <w:szCs w:val="21"/>
        </w:rPr>
      </w:pPr>
      <w:r>
        <w:rPr>
          <w:rFonts w:hint="eastAsia"/>
        </w:rPr>
        <w:t>黄、蓝板诱杀</w:t>
      </w:r>
    </w:p>
    <w:p>
      <w:pPr>
        <w:pStyle w:val="56"/>
        <w:ind w:firstLine="420"/>
        <w:rPr>
          <w:szCs w:val="21"/>
        </w:rPr>
      </w:pPr>
      <w:r>
        <w:rPr>
          <w:rFonts w:hint="eastAsia"/>
        </w:rPr>
        <w:t>利用害虫对黄蓝色的敏感性，将涂有机油或黏合剂的黄蓝板放置在农田中，吸引蚜虫、飞虱、蓟马等小型害虫黏附在黄板上。</w:t>
      </w:r>
    </w:p>
    <w:p>
      <w:pPr>
        <w:pStyle w:val="65"/>
        <w:spacing w:before="156" w:after="156"/>
        <w:rPr>
          <w:szCs w:val="21"/>
        </w:rPr>
      </w:pPr>
      <w:r>
        <w:rPr>
          <w:rFonts w:hint="eastAsia"/>
        </w:rPr>
        <w:t>性诱剂诱杀玉米螟</w:t>
      </w:r>
    </w:p>
    <w:p>
      <w:pPr>
        <w:pStyle w:val="56"/>
        <w:ind w:firstLine="420"/>
      </w:pPr>
      <w:r>
        <w:rPr>
          <w:rFonts w:hint="eastAsia"/>
        </w:rPr>
        <w:t>用人工合成的玉米螟性信息素诱芯（含量0.1mg～0.4mg）在成虫发生期，将一个直径20cm的水盆架在略高于玉米顶部的地方，盆中盛水并加入少量洗衣粉，用铁丝将诱芯悬挂在水盆中央，使雄虫在围绕诱芯飞动时落水淹死。水盆间距约50m,每天将水盆中的死蛾捞出并添加水和洗衣粉。</w:t>
      </w:r>
    </w:p>
    <w:p>
      <w:pPr>
        <w:pStyle w:val="65"/>
        <w:spacing w:before="156" w:after="156"/>
        <w:rPr>
          <w:szCs w:val="21"/>
        </w:rPr>
      </w:pPr>
      <w:r>
        <w:rPr>
          <w:rFonts w:hint="eastAsia"/>
        </w:rPr>
        <w:t>防虫网</w:t>
      </w:r>
    </w:p>
    <w:p>
      <w:pPr>
        <w:pStyle w:val="56"/>
        <w:ind w:firstLine="420"/>
        <w:rPr>
          <w:szCs w:val="21"/>
        </w:rPr>
      </w:pPr>
      <w:r>
        <w:rPr>
          <w:rFonts w:hint="eastAsia"/>
        </w:rPr>
        <w:t>使用防虫网将玉米田周围，通风口等部位封盖起来可以阻挡害虫侵入，实践中成本相对较高。</w:t>
      </w:r>
    </w:p>
    <w:p>
      <w:pPr>
        <w:pStyle w:val="105"/>
        <w:spacing w:before="156" w:after="156"/>
        <w:rPr>
          <w:szCs w:val="21"/>
        </w:rPr>
      </w:pPr>
      <w:bookmarkStart w:id="66" w:name="_Toc181975542"/>
      <w:r>
        <w:rPr>
          <w:rFonts w:hint="eastAsia"/>
        </w:rPr>
        <w:t>化学防治</w:t>
      </w:r>
      <w:bookmarkEnd w:id="66"/>
    </w:p>
    <w:p>
      <w:pPr>
        <w:pStyle w:val="56"/>
        <w:ind w:firstLine="420"/>
        <w:rPr>
          <w:szCs w:val="21"/>
        </w:rPr>
      </w:pPr>
      <w:r>
        <w:rPr>
          <w:rFonts w:hint="eastAsia"/>
        </w:rPr>
        <w:t>玉米常见的病害种类有：矮花叶病、粗缩病、丝黑穗病、瘤黑粉病、大斑病、小斑病、纹枯病、茎腐病、穗腐病、玉米缺素症等。规模化种植可使用无人机喷洒等技术，实现农药精准施用。药剂使用方法详见标签或详见附录A.1：玉米病害防治使用药剂推荐表。</w:t>
      </w:r>
    </w:p>
    <w:p>
      <w:pPr>
        <w:pStyle w:val="56"/>
        <w:ind w:firstLine="420"/>
      </w:pPr>
      <w:r>
        <w:rPr>
          <w:rFonts w:hint="eastAsia"/>
        </w:rPr>
        <w:t>玉米常见虫害种类有蓟马、玉米耕葵粉蚧、二点委夜蛾、粘虫、玉米螟、棉铃虫、草地贪夜蛾和玉米红蜘蛛等，根据病虫发生情况选用高效、低毒、低残留农药和高效植保药械，适期、适法对症用药。防治方法详见附录A.2：玉米虫害防治使用药剂推荐表。</w:t>
      </w:r>
    </w:p>
    <w:p>
      <w:pPr>
        <w:pStyle w:val="56"/>
        <w:ind w:firstLine="420"/>
      </w:pPr>
      <w:r>
        <w:rPr>
          <w:rFonts w:hint="eastAsia"/>
        </w:rPr>
        <w:t>玉米常见草害分为播后苗前除草和茎叶期除草。打好玉米田除草剂，玉米苗后除草剂的最佳使用期，是玉米的3-5叶期，杂草的2-4叶期，这是最安全、除草效果最好的时期，超出这个范围后，如果再除大草、小老草，喷药时一定要让草洗个澡，采取定向喷雾，避开玉米心叶，同时要避开中午高温，减少药害发生。除草的同时一定要防治飞虱、蓟马，预防玉米粗缩病的发生，还能杀死虫卵。播后苗前施药时间宜早不宜迟，夏玉米提倡播后苗前除草；茎叶期施药可全田施药，也可采用苗带施药法，在施药中均匀喷雾于土壤表面，做到不重喷、不漏喷。地膜覆盖玉米田或苗带施药时，应根据实际喷洒面积计算药量。施药要选择无风或风小的天气。除草剂的使用执行NY/T 1997 《除草剂安全使用技术规范通则》的规定。药剂使用方法详见标签或详见附录C.1：玉米草害防治使用药剂推荐表。</w:t>
      </w:r>
    </w:p>
    <w:p>
      <w:pPr>
        <w:pStyle w:val="104"/>
        <w:spacing w:before="312" w:after="312"/>
        <w:rPr>
          <w:szCs w:val="21"/>
        </w:rPr>
      </w:pPr>
      <w:bookmarkStart w:id="67" w:name="_Toc181975570"/>
      <w:bookmarkStart w:id="68" w:name="_Toc181975543"/>
      <w:r>
        <w:rPr>
          <w:rFonts w:hint="eastAsia"/>
        </w:rPr>
        <w:t>玉米生育期</w:t>
      </w:r>
      <w:bookmarkEnd w:id="67"/>
      <w:bookmarkEnd w:id="68"/>
    </w:p>
    <w:p>
      <w:pPr>
        <w:pStyle w:val="56"/>
        <w:ind w:firstLine="420"/>
        <w:rPr>
          <w:szCs w:val="21"/>
        </w:rPr>
      </w:pPr>
      <w:r>
        <w:rPr>
          <w:rFonts w:hint="eastAsia"/>
        </w:rPr>
        <w:t>药剂使用方法详见标签或详见附录A.1：玉米草害防治使用药剂推荐表；附录B.1：玉米草害防治使用药剂推荐表；附录C.1：玉米草害防治使用药剂推荐表。</w:t>
      </w:r>
    </w:p>
    <w:p>
      <w:pPr>
        <w:pStyle w:val="105"/>
        <w:spacing w:before="156" w:after="156"/>
        <w:rPr>
          <w:szCs w:val="21"/>
        </w:rPr>
      </w:pPr>
      <w:bookmarkStart w:id="69" w:name="_Toc181975544"/>
      <w:r>
        <w:rPr>
          <w:rFonts w:hint="eastAsia"/>
        </w:rPr>
        <w:t>包衣拌种</w:t>
      </w:r>
      <w:bookmarkEnd w:id="69"/>
    </w:p>
    <w:p>
      <w:pPr>
        <w:pStyle w:val="65"/>
        <w:spacing w:before="156" w:after="156"/>
        <w:rPr>
          <w:szCs w:val="21"/>
        </w:rPr>
      </w:pPr>
      <w:r>
        <w:rPr>
          <w:rFonts w:hint="eastAsia"/>
        </w:rPr>
        <w:t>杀菌剂拌种剂</w:t>
      </w:r>
    </w:p>
    <w:p>
      <w:pPr>
        <w:pStyle w:val="56"/>
        <w:ind w:firstLine="420"/>
        <w:rPr>
          <w:szCs w:val="21"/>
        </w:rPr>
      </w:pPr>
      <w:r>
        <w:rPr>
          <w:rFonts w:hint="eastAsia"/>
        </w:rPr>
        <w:t>杀菌剂拌种剂主要用于预防种子传播的病原菌，如玉米穗腐病、玉米杆腐病、玉米锈病。</w:t>
      </w:r>
    </w:p>
    <w:p>
      <w:pPr>
        <w:pStyle w:val="65"/>
        <w:spacing w:before="156" w:after="156"/>
        <w:rPr>
          <w:szCs w:val="21"/>
        </w:rPr>
      </w:pPr>
      <w:r>
        <w:rPr>
          <w:rFonts w:hint="eastAsia"/>
        </w:rPr>
        <w:t>杀虫剂拌种剂</w:t>
      </w:r>
    </w:p>
    <w:p>
      <w:pPr>
        <w:pStyle w:val="56"/>
        <w:ind w:firstLine="420"/>
        <w:rPr>
          <w:szCs w:val="21"/>
        </w:rPr>
      </w:pPr>
      <w:r>
        <w:rPr>
          <w:rFonts w:hint="eastAsia"/>
        </w:rPr>
        <w:t>杀虫剂拌种剂主要用于预防种子玉米象、螟虫等虫害的发生。</w:t>
      </w:r>
    </w:p>
    <w:p>
      <w:pPr>
        <w:pStyle w:val="65"/>
        <w:spacing w:before="156" w:after="156"/>
        <w:rPr>
          <w:szCs w:val="21"/>
        </w:rPr>
      </w:pPr>
      <w:r>
        <w:rPr>
          <w:rFonts w:hint="eastAsia"/>
        </w:rPr>
        <w:t>生物拌种剂</w:t>
      </w:r>
    </w:p>
    <w:p>
      <w:pPr>
        <w:pStyle w:val="56"/>
        <w:ind w:firstLine="420"/>
        <w:rPr>
          <w:szCs w:val="21"/>
        </w:rPr>
      </w:pPr>
      <w:r>
        <w:rPr>
          <w:rFonts w:hint="eastAsia"/>
        </w:rPr>
        <w:t>生物拌种剂主要由一些微生物制成，如枯草牙苞杆菌、拟青霉素菌等，可以在种子表面形成一层保护膜，预防种子传播的病原菌和害虫侵害。</w:t>
      </w:r>
    </w:p>
    <w:p>
      <w:pPr>
        <w:pStyle w:val="105"/>
        <w:spacing w:before="156" w:after="156"/>
        <w:rPr>
          <w:szCs w:val="21"/>
        </w:rPr>
      </w:pPr>
      <w:bookmarkStart w:id="70" w:name="_Toc181975545"/>
      <w:r>
        <w:rPr>
          <w:rFonts w:hint="eastAsia"/>
        </w:rPr>
        <w:t>苗期</w:t>
      </w:r>
      <w:r>
        <w:rPr>
          <w:rFonts w:ascii="MS Mincho" w:hAnsi="MS Mincho" w:cs="MS Mincho"/>
        </w:rPr>
        <w:t> </w:t>
      </w:r>
      <w:bookmarkEnd w:id="70"/>
    </w:p>
    <w:p>
      <w:pPr>
        <w:pStyle w:val="65"/>
        <w:spacing w:before="156" w:after="156"/>
        <w:rPr>
          <w:szCs w:val="21"/>
        </w:rPr>
      </w:pPr>
      <w:r>
        <w:rPr>
          <w:rFonts w:hint="eastAsia"/>
        </w:rPr>
        <w:t>病害防治</w:t>
      </w:r>
    </w:p>
    <w:p>
      <w:pPr>
        <w:pStyle w:val="56"/>
        <w:ind w:firstLine="420"/>
        <w:rPr>
          <w:kern w:val="2"/>
          <w:szCs w:val="21"/>
        </w:rPr>
      </w:pPr>
      <w:r>
        <w:rPr>
          <w:rFonts w:hint="eastAsia"/>
        </w:rPr>
        <w:t>玉米苗期主要防治的病害有粗缩病、根腐病、矮花叶病。</w:t>
      </w:r>
    </w:p>
    <w:p>
      <w:pPr>
        <w:pStyle w:val="65"/>
        <w:spacing w:before="156" w:after="156"/>
        <w:rPr>
          <w:szCs w:val="21"/>
        </w:rPr>
      </w:pPr>
      <w:r>
        <w:rPr>
          <w:rFonts w:hint="eastAsia"/>
        </w:rPr>
        <w:t>虫害防治</w:t>
      </w:r>
    </w:p>
    <w:p>
      <w:pPr>
        <w:pStyle w:val="56"/>
        <w:ind w:firstLine="420"/>
        <w:rPr>
          <w:szCs w:val="21"/>
        </w:rPr>
      </w:pPr>
      <w:r>
        <w:rPr>
          <w:rFonts w:hint="eastAsia"/>
        </w:rPr>
        <w:t>玉米苗期的地下害虫主要是地老虎、蝼蛄危害。幼苗期的地老虎一般在夜间危害玉米苗，通常从玉米苗的茎基部把其咬断从而使其植株不能成活，而白天它则躺在浅土层或者其他可隐身之处藏身。蝼蛄就是农民口中的土狗儿，它能在地上地下穿行，使其玉米苗的根系与土层之间隔开，或者把根系弄断，这样就造成幼苗缺水而亡，有时还会啃食玉米苗与其下面的母体。</w:t>
      </w:r>
    </w:p>
    <w:p>
      <w:pPr>
        <w:pStyle w:val="56"/>
        <w:ind w:firstLine="420"/>
      </w:pPr>
      <w:r>
        <w:rPr>
          <w:rFonts w:hint="eastAsia"/>
        </w:rPr>
        <w:t>地上害虫 玉米苗期地上害虫较多，危害较重的是贪夜蛾、玉米螟、玉米粘虫、黏虫、蓟马、玉米蚜、甜菜夜蛾、玉米螨、二点委夜蛾、玉米灰飞虱及蝗虫等。其中贪夜蛾、玉米螟、粘虫及黏虫在玉米的苗期危害最重，如不及时防治，对玉米的产量影响较大。</w:t>
      </w:r>
      <w:r>
        <w:rPr>
          <w:rFonts w:ascii="MS Mincho" w:hAnsi="MS Mincho" w:cs="MS Mincho"/>
        </w:rPr>
        <w:t> </w:t>
      </w:r>
    </w:p>
    <w:p>
      <w:pPr>
        <w:pStyle w:val="105"/>
        <w:spacing w:before="156" w:after="156"/>
        <w:rPr>
          <w:szCs w:val="21"/>
        </w:rPr>
      </w:pPr>
      <w:bookmarkStart w:id="71" w:name="_Toc181975546"/>
      <w:r>
        <w:rPr>
          <w:rFonts w:hint="eastAsia"/>
        </w:rPr>
        <w:t>拔节期</w:t>
      </w:r>
      <w:bookmarkEnd w:id="71"/>
    </w:p>
    <w:p>
      <w:pPr>
        <w:pStyle w:val="65"/>
        <w:spacing w:before="156" w:after="156"/>
        <w:rPr>
          <w:szCs w:val="21"/>
        </w:rPr>
      </w:pPr>
      <w:r>
        <w:rPr>
          <w:rFonts w:hint="eastAsia"/>
        </w:rPr>
        <w:t>病害防治</w:t>
      </w:r>
    </w:p>
    <w:p>
      <w:pPr>
        <w:pStyle w:val="56"/>
        <w:ind w:firstLine="420"/>
        <w:rPr>
          <w:szCs w:val="21"/>
        </w:rPr>
      </w:pPr>
      <w:r>
        <w:rPr>
          <w:rFonts w:hint="eastAsia"/>
        </w:rPr>
        <w:t>拔节期玉米主要病害为小叶斑病、锈病和大叶斑病。玉米大小叶斑病主要危害叶片。其发生的原因主要有四个方面:品种、气候、种植和土壤。针对田间出现大（小）叶斑病的情况，及时进行防治是十分必要的。常用的农药有三唑酮、多菌灵、苯醚甲环唑、吡咯烷酮等，玉米锈病也是一种常见病，影响玉米正常光合作用，导致产量和品质下降。对于玉来锈病，可用的化学药剂有苯并丙环唑、戊唑醇、噻呋胺等，根据防治情况，不能一次喷洒，间隔7-10天可多次喷洒。</w:t>
      </w:r>
    </w:p>
    <w:p>
      <w:pPr>
        <w:pStyle w:val="65"/>
        <w:spacing w:before="156" w:after="156"/>
        <w:rPr>
          <w:szCs w:val="21"/>
        </w:rPr>
      </w:pPr>
      <w:r>
        <w:rPr>
          <w:rFonts w:hint="eastAsia"/>
        </w:rPr>
        <w:t>虫害防治</w:t>
      </w:r>
    </w:p>
    <w:p>
      <w:pPr>
        <w:pStyle w:val="56"/>
        <w:ind w:firstLine="420"/>
        <w:rPr>
          <w:szCs w:val="21"/>
        </w:rPr>
      </w:pPr>
      <w:r>
        <w:rPr>
          <w:rFonts w:ascii="MS Mincho" w:hAnsi="MS Mincho" w:cs="MS Mincho"/>
        </w:rPr>
        <w:t> </w:t>
      </w:r>
      <w:r>
        <w:rPr>
          <w:rFonts w:hint="eastAsia"/>
        </w:rPr>
        <w:t>玉米拔节期主要是防治玉米螟、粘虫等。玉米粘虫主要为害叶片。防治玉米粘虫常用阿维菌素、高效氯氰菊酯和氯虫腈。玉米螟主要危害玉米叶片，不同于粘虫。防治玉米螟的杀虫剂有阿维菌素、氯虫腈、阿维菌素、苏云金杆菌等。</w:t>
      </w:r>
    </w:p>
    <w:p>
      <w:pPr>
        <w:pStyle w:val="105"/>
        <w:spacing w:before="156" w:after="156"/>
        <w:rPr>
          <w:szCs w:val="21"/>
        </w:rPr>
      </w:pPr>
      <w:bookmarkStart w:id="72" w:name="_Toc181975547"/>
      <w:r>
        <w:rPr>
          <w:rFonts w:hint="eastAsia"/>
        </w:rPr>
        <w:t>大喇叭期</w:t>
      </w:r>
      <w:bookmarkEnd w:id="72"/>
    </w:p>
    <w:p>
      <w:pPr>
        <w:pStyle w:val="65"/>
        <w:spacing w:before="156" w:after="156"/>
      </w:pPr>
      <w:r>
        <w:rPr>
          <w:rFonts w:hint="eastAsia"/>
        </w:rPr>
        <w:t>病害防治</w:t>
      </w:r>
    </w:p>
    <w:p>
      <w:pPr>
        <w:pStyle w:val="56"/>
        <w:ind w:firstLine="420"/>
        <w:rPr>
          <w:kern w:val="2"/>
          <w:szCs w:val="21"/>
        </w:rPr>
      </w:pPr>
      <w:r>
        <w:rPr>
          <w:rFonts w:hint="eastAsia"/>
        </w:rPr>
        <w:t>大喇叭口期主要病害有玉米纹枯病、茎腐病等，茎腐病一般在玉米灌浆期开始发病，乳熟期末期至蜡熟期为显症高峰期。</w:t>
      </w:r>
    </w:p>
    <w:p>
      <w:pPr>
        <w:pStyle w:val="65"/>
        <w:spacing w:before="156" w:after="156"/>
        <w:rPr>
          <w:szCs w:val="21"/>
        </w:rPr>
      </w:pPr>
      <w:r>
        <w:rPr>
          <w:rFonts w:hint="eastAsia"/>
        </w:rPr>
        <w:t>虫害防治</w:t>
      </w:r>
    </w:p>
    <w:p>
      <w:pPr>
        <w:pStyle w:val="56"/>
        <w:ind w:firstLine="420"/>
        <w:rPr>
          <w:szCs w:val="21"/>
        </w:rPr>
      </w:pPr>
      <w:r>
        <w:rPr>
          <w:rFonts w:hint="eastAsia"/>
        </w:rPr>
        <w:t>大喇叭口期主要虫害有玉米螟、粘虫等。</w:t>
      </w:r>
    </w:p>
    <w:p>
      <w:pPr>
        <w:pStyle w:val="65"/>
        <w:spacing w:before="156" w:after="156"/>
        <w:rPr>
          <w:szCs w:val="21"/>
        </w:rPr>
      </w:pPr>
      <w:r>
        <w:rPr>
          <w:rFonts w:hint="eastAsia"/>
        </w:rPr>
        <w:t>混合喷施</w:t>
      </w:r>
    </w:p>
    <w:p>
      <w:pPr>
        <w:pStyle w:val="56"/>
        <w:ind w:firstLine="420"/>
        <w:rPr>
          <w:szCs w:val="21"/>
        </w:rPr>
      </w:pPr>
      <w:r>
        <w:rPr>
          <w:rFonts w:hint="eastAsia"/>
        </w:rPr>
        <w:t>玉米大喇叭口期，单独施用叱唑醚菌酯，是广谱高效的杀菌剂，可以防治白粉病、霜霉病、褐枯病、黑腐病、炭疽病、锈病等多种病害的发生，叱唑醚菌酯能够抑制病菌线粒体的合成，最终导致病菌细胞死亡。</w:t>
      </w:r>
    </w:p>
    <w:p>
      <w:pPr>
        <w:pStyle w:val="56"/>
        <w:ind w:firstLine="420"/>
      </w:pPr>
      <w:r>
        <w:rPr>
          <w:rFonts w:hint="eastAsia"/>
        </w:rPr>
        <w:t>玉米大喇叭口期，磷酸二氢钾+芸苔素+此唑醚菌酯”是玉米叶面喷施的“黄金配方”，喷施后玉米不容易患病，植株对环境的适应能力会更加强，可以显著的提高玉米的产量。“磷酸二氢钾+芸苔素+叱唑醚菌酯”叶面混合喷施，具有很好的协同作用，玉米的产量会显著的提升，三者混合喷施不会发生肥害和药害。每亩我们可以用“98%克磷酸二氢钾100克+0.01%芸苔素10毫升+20%吐唑醚菌酯乳油20毫升”，兑水30公斤进行叶面喷施，喷施时宜在晴天上午10点以前或者傍晚5点以后（也可以选择在阴天喷施），蒸发量小的情况下药液停留的时间长，有利于叶片吸收，可以提高药效。</w:t>
      </w:r>
    </w:p>
    <w:p>
      <w:pPr>
        <w:pStyle w:val="105"/>
        <w:spacing w:before="156" w:after="156"/>
        <w:rPr>
          <w:szCs w:val="21"/>
        </w:rPr>
      </w:pPr>
      <w:bookmarkStart w:id="73" w:name="_Toc181975548"/>
      <w:r>
        <w:rPr>
          <w:rFonts w:hint="eastAsia"/>
        </w:rPr>
        <w:t>灌浆期</w:t>
      </w:r>
      <w:bookmarkEnd w:id="73"/>
    </w:p>
    <w:p>
      <w:pPr>
        <w:pStyle w:val="56"/>
        <w:ind w:firstLine="420"/>
        <w:rPr>
          <w:szCs w:val="21"/>
        </w:rPr>
      </w:pPr>
      <w:r>
        <w:rPr>
          <w:rFonts w:hint="eastAsia"/>
        </w:rPr>
        <w:t>玉米灌浆期主要是防治虫害和水分的供应，才能保证玉米优质高产。防治好玉米大斑病等叶斑病，保护好棒三叶及以上叶片。防止得穗腐病。</w:t>
      </w:r>
    </w:p>
    <w:p>
      <w:pPr>
        <w:pStyle w:val="65"/>
        <w:spacing w:before="156" w:after="156"/>
        <w:rPr>
          <w:szCs w:val="21"/>
        </w:rPr>
      </w:pPr>
      <w:r>
        <w:rPr>
          <w:rFonts w:hint="eastAsia"/>
        </w:rPr>
        <w:t>病害防治</w:t>
      </w:r>
    </w:p>
    <w:p>
      <w:pPr>
        <w:pStyle w:val="56"/>
        <w:ind w:firstLine="420"/>
        <w:rPr>
          <w:szCs w:val="21"/>
        </w:rPr>
      </w:pPr>
      <w:r>
        <w:rPr>
          <w:rFonts w:hint="eastAsia"/>
        </w:rPr>
        <w:t>防治好玉米大斑病等叶斑病，保护好棒三叶及以上叶片。防止得穗腐病。</w:t>
      </w:r>
    </w:p>
    <w:p>
      <w:pPr>
        <w:pStyle w:val="56"/>
        <w:ind w:firstLine="420"/>
      </w:pPr>
      <w:r>
        <w:rPr>
          <w:rFonts w:hint="eastAsia"/>
        </w:rPr>
        <w:t>玉米缺素症的防治，注重水肥管理。由于夏玉米灌浆时间长，干物质积累量多，所以需要的水分和养分量也多。应根据地力情况，酌情追施攻粒肥（要以速效氮肥为主），满足养分需求。同时要加强水分管理，玉米灌浆期对水分需求量大，较耐涝。</w:t>
      </w:r>
    </w:p>
    <w:p>
      <w:pPr>
        <w:pStyle w:val="65"/>
        <w:spacing w:before="156" w:after="156"/>
        <w:rPr>
          <w:szCs w:val="21"/>
        </w:rPr>
      </w:pPr>
      <w:r>
        <w:rPr>
          <w:rFonts w:hint="eastAsia"/>
        </w:rPr>
        <w:t>虫害防治</w:t>
      </w:r>
    </w:p>
    <w:p>
      <w:pPr>
        <w:pStyle w:val="56"/>
        <w:ind w:firstLine="420"/>
        <w:rPr>
          <w:szCs w:val="21"/>
        </w:rPr>
      </w:pPr>
      <w:r>
        <w:rPr>
          <w:rFonts w:hint="eastAsia"/>
        </w:rPr>
        <w:t>玉米灌浆期常有玉米螟、粘虫、棉铃虫、蚜虫等危害。</w:t>
      </w:r>
    </w:p>
    <w:p>
      <w:pPr>
        <w:pStyle w:val="105"/>
        <w:spacing w:before="156" w:after="156"/>
        <w:rPr>
          <w:szCs w:val="21"/>
        </w:rPr>
      </w:pPr>
      <w:bookmarkStart w:id="74" w:name="_Toc181975549"/>
      <w:r>
        <w:rPr>
          <w:rFonts w:hint="eastAsia"/>
        </w:rPr>
        <w:t>成熟期</w:t>
      </w:r>
      <w:bookmarkEnd w:id="74"/>
    </w:p>
    <w:p>
      <w:pPr>
        <w:pStyle w:val="65"/>
        <w:spacing w:before="156" w:after="156"/>
        <w:rPr>
          <w:szCs w:val="21"/>
        </w:rPr>
      </w:pPr>
      <w:r>
        <w:rPr>
          <w:rFonts w:hint="eastAsia"/>
        </w:rPr>
        <w:t>病害防治</w:t>
      </w:r>
    </w:p>
    <w:p>
      <w:pPr>
        <w:pStyle w:val="56"/>
        <w:ind w:firstLine="420"/>
        <w:rPr>
          <w:szCs w:val="21"/>
        </w:rPr>
      </w:pPr>
      <w:r>
        <w:rPr>
          <w:rFonts w:hint="eastAsia"/>
        </w:rPr>
        <w:t>病害主要有大斑病、小斑病、锈病等。</w:t>
      </w:r>
    </w:p>
    <w:p>
      <w:pPr>
        <w:pStyle w:val="65"/>
        <w:spacing w:before="156" w:after="156"/>
        <w:rPr>
          <w:szCs w:val="21"/>
        </w:rPr>
      </w:pPr>
      <w:r>
        <w:rPr>
          <w:rFonts w:hint="eastAsia"/>
        </w:rPr>
        <w:t>虫害防治</w:t>
      </w:r>
    </w:p>
    <w:p>
      <w:pPr>
        <w:pStyle w:val="56"/>
        <w:ind w:firstLine="420"/>
        <w:rPr>
          <w:szCs w:val="21"/>
        </w:rPr>
      </w:pPr>
      <w:r>
        <w:rPr>
          <w:rFonts w:hint="eastAsia"/>
        </w:rPr>
        <w:t>虫害主要有蚜虫、玉米螟、粘虫等。</w:t>
      </w:r>
    </w:p>
    <w:p>
      <w:pPr>
        <w:pStyle w:val="104"/>
        <w:spacing w:before="312" w:after="312"/>
        <w:rPr>
          <w:szCs w:val="21"/>
        </w:rPr>
      </w:pPr>
      <w:bookmarkStart w:id="75" w:name="_Toc181975571"/>
      <w:bookmarkStart w:id="76" w:name="_Toc181975550"/>
      <w:r>
        <w:rPr>
          <w:rFonts w:hint="eastAsia"/>
        </w:rPr>
        <w:t>质量要求</w:t>
      </w:r>
      <w:bookmarkEnd w:id="75"/>
      <w:bookmarkEnd w:id="76"/>
    </w:p>
    <w:p>
      <w:pPr>
        <w:pStyle w:val="56"/>
        <w:ind w:firstLine="420"/>
      </w:pPr>
      <w:r>
        <w:rPr>
          <w:rFonts w:hint="eastAsia"/>
        </w:rPr>
        <w:t>玉米收获后，质量安全农药残留检测指标、检测方法及限量执行GB 2763及GB 2763.1的规定。</w:t>
      </w: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0" w:firstLineChars="0"/>
        <w:rPr>
          <w:rFonts w:hint="eastAsia"/>
          <w:szCs w:val="21"/>
        </w:rPr>
      </w:pPr>
    </w:p>
    <w:bookmarkEnd w:id="25"/>
    <w:p>
      <w:pPr>
        <w:pStyle w:val="198"/>
        <w:rPr>
          <w:vanish w:val="0"/>
        </w:rPr>
      </w:pPr>
      <w:bookmarkStart w:id="77" w:name="BookMark5"/>
    </w:p>
    <w:p>
      <w:pPr>
        <w:pStyle w:val="199"/>
        <w:rPr>
          <w:vanish w:val="0"/>
        </w:rPr>
      </w:pPr>
    </w:p>
    <w:p>
      <w:pPr>
        <w:pStyle w:val="76"/>
        <w:spacing w:before="78" w:after="156"/>
      </w:pPr>
      <w:r>
        <w:br w:type="textWrapping"/>
      </w:r>
      <w:bookmarkStart w:id="78" w:name="_Toc181975551"/>
      <w:bookmarkStart w:id="79" w:name="_Toc181975572"/>
      <w:r>
        <w:rPr>
          <w:rFonts w:hint="eastAsia"/>
        </w:rPr>
        <w:t>（资料性）</w:t>
      </w:r>
      <w:r>
        <w:br w:type="textWrapping"/>
      </w:r>
      <w:r>
        <w:rPr>
          <w:rFonts w:hint="eastAsia"/>
        </w:rPr>
        <w:t>玉米病害防治使用药剂见表A.1</w:t>
      </w:r>
      <w:bookmarkEnd w:id="78"/>
      <w:bookmarkEnd w:id="79"/>
    </w:p>
    <w:p>
      <w:pPr>
        <w:pStyle w:val="77"/>
        <w:spacing w:before="156" w:after="156"/>
      </w:pPr>
      <w:r>
        <w:rPr>
          <w:rFonts w:hint="eastAsia"/>
        </w:rPr>
        <w:t>玉米</w:t>
      </w:r>
      <w:r>
        <w:t>病害</w:t>
      </w:r>
      <w:r>
        <w:rPr>
          <w:rFonts w:hint="eastAsia"/>
        </w:rPr>
        <w:t>防</w:t>
      </w:r>
      <w:r>
        <w:t>治</w:t>
      </w:r>
      <w:r>
        <w:rPr>
          <w:rFonts w:hint="eastAsia"/>
        </w:rPr>
        <w:t>使</w:t>
      </w:r>
      <w:r>
        <w:t>用药剂推荐表</w:t>
      </w:r>
    </w:p>
    <w:tbl>
      <w:tblPr>
        <w:tblStyle w:val="235"/>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5"/>
        <w:gridCol w:w="2244"/>
        <w:gridCol w:w="4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防治对象</w:t>
            </w:r>
          </w:p>
        </w:tc>
        <w:tc>
          <w:tcPr>
            <w:tcW w:w="2244"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防治适期</w:t>
            </w:r>
          </w:p>
        </w:tc>
        <w:tc>
          <w:tcPr>
            <w:tcW w:w="4773"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防治方法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矮花叶病</w:t>
            </w:r>
          </w:p>
        </w:tc>
        <w:tc>
          <w:tcPr>
            <w:tcW w:w="2244"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苗期</w:t>
            </w:r>
          </w:p>
        </w:tc>
        <w:tc>
          <w:tcPr>
            <w:tcW w:w="4773" w:type="dxa"/>
            <w:tcBorders>
              <w:top w:val="single" w:color="auto" w:sz="4" w:space="0"/>
              <w:left w:val="single" w:color="auto" w:sz="4" w:space="0"/>
              <w:bottom w:val="single" w:color="auto" w:sz="4" w:space="0"/>
              <w:right w:val="single" w:color="auto" w:sz="4" w:space="0"/>
            </w:tcBorders>
          </w:tcPr>
          <w:p>
            <w:pPr>
              <w:adjustRightInd/>
              <w:spacing w:line="240" w:lineRule="auto"/>
              <w:rPr>
                <w:rFonts w:ascii="Times New Roman" w:hAnsi="Times New Roman"/>
              </w:rPr>
            </w:pPr>
            <w:r>
              <w:rPr>
                <w:rFonts w:hint="eastAsia" w:ascii="Times New Roman" w:hAnsi="Times New Roman"/>
                <w:color w:val="000000"/>
              </w:rPr>
              <w:t>以防治灰飞虱和蚜虫为主，防治</w:t>
            </w:r>
            <w:r>
              <w:rPr>
                <w:rFonts w:hint="eastAsia" w:ascii="Times New Roman" w:hAnsi="Times New Roman"/>
              </w:rPr>
              <w:t>矮花叶病为辅，每666.7㎡喷洒</w:t>
            </w:r>
            <w:r>
              <w:rPr>
                <w:rFonts w:hint="eastAsia" w:ascii="Times New Roman" w:hAnsi="Times New Roman"/>
                <w:color w:val="000000"/>
              </w:rPr>
              <w:t>70%的吡虫啉水分散粒剂1</w:t>
            </w:r>
            <w:r>
              <w:rPr>
                <w:rFonts w:ascii="Times New Roman" w:hAnsi="Times New Roman"/>
                <w:color w:val="000000"/>
              </w:rPr>
              <w:t>g~3g,</w:t>
            </w:r>
            <w:r>
              <w:rPr>
                <w:rFonts w:hint="eastAsia" w:ascii="Times New Roman" w:hAnsi="Times New Roman"/>
                <w:color w:val="000000"/>
              </w:rPr>
              <w:t xml:space="preserve">或21%噻虫嗪悬浮种衣剂10 </w:t>
            </w:r>
            <w:r>
              <w:rPr>
                <w:rFonts w:ascii="Times New Roman" w:hAnsi="Times New Roman"/>
                <w:color w:val="000000"/>
              </w:rPr>
              <w:t>mL</w:t>
            </w:r>
            <w:r>
              <w:rPr>
                <w:rFonts w:hint="eastAsia" w:ascii="Times New Roman" w:hAnsi="Times New Roman"/>
                <w:color w:val="000000"/>
              </w:rPr>
              <w:t xml:space="preserve">～15 </w:t>
            </w:r>
            <w:r>
              <w:rPr>
                <w:rFonts w:ascii="Times New Roman" w:hAnsi="Times New Roman"/>
                <w:color w:val="000000"/>
              </w:rPr>
              <w:t>mL</w:t>
            </w:r>
            <w:r>
              <w:rPr>
                <w:rFonts w:ascii="汉仪细圆B5" w:hAnsi="汉仪细圆B5"/>
                <w:color w:val="000000"/>
              </w:rPr>
              <w:t>＋</w:t>
            </w:r>
            <w:r>
              <w:rPr>
                <w:rFonts w:hint="eastAsia" w:ascii="Times New Roman" w:hAnsi="Times New Roman"/>
                <w:color w:val="000000"/>
              </w:rPr>
              <w:t xml:space="preserve">5%氨基寡糖素水剂75 </w:t>
            </w:r>
            <w:r>
              <w:rPr>
                <w:rFonts w:ascii="Times New Roman" w:hAnsi="Times New Roman"/>
                <w:color w:val="000000"/>
              </w:rPr>
              <w:t>mL</w:t>
            </w:r>
            <w:r>
              <w:rPr>
                <w:rFonts w:hint="eastAsia" w:ascii="Times New Roman" w:hAnsi="Times New Roman"/>
                <w:color w:val="000000"/>
              </w:rPr>
              <w:t xml:space="preserve">～100 </w:t>
            </w:r>
            <w:r>
              <w:rPr>
                <w:rFonts w:ascii="Times New Roman" w:hAnsi="Times New Roman"/>
                <w:color w:val="000000"/>
              </w:rPr>
              <w:t>mL</w:t>
            </w:r>
            <w:r>
              <w:rPr>
                <w:rFonts w:hint="eastAsia" w:ascii="Times New Roman" w:hAnsi="Times New Roman"/>
                <w:color w:val="000000"/>
              </w:rPr>
              <w:t>,</w:t>
            </w:r>
            <w:r>
              <w:rPr>
                <w:rFonts w:hint="eastAsia" w:ascii="Times New Roman" w:hAnsi="Times New Roman"/>
              </w:rPr>
              <w:t>或6%低聚糖素水剂62</w:t>
            </w:r>
            <w:r>
              <w:rPr>
                <w:rFonts w:ascii="Times New Roman" w:hAnsi="Times New Roman"/>
              </w:rPr>
              <w:t>mL</w:t>
            </w:r>
            <w:r>
              <w:rPr>
                <w:rFonts w:hint="eastAsia" w:ascii="Times New Roman" w:hAnsi="Times New Roman"/>
              </w:rPr>
              <w:t>～83</w:t>
            </w:r>
            <w:r>
              <w:rPr>
                <w:rFonts w:ascii="Times New Roman" w:hAnsi="Times New Roman"/>
              </w:rPr>
              <w:t>mL</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粗缩病</w:t>
            </w:r>
          </w:p>
        </w:tc>
        <w:tc>
          <w:tcPr>
            <w:tcW w:w="2244"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苗期</w:t>
            </w:r>
          </w:p>
        </w:tc>
        <w:tc>
          <w:tcPr>
            <w:tcW w:w="4773"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color w:val="000000"/>
              </w:rPr>
            </w:pPr>
            <w:r>
              <w:rPr>
                <w:rFonts w:hint="eastAsia" w:ascii="Times New Roman" w:hAnsi="Times New Roman"/>
                <w:color w:val="000000"/>
              </w:rPr>
              <w:t>以防治灰飞虱和蚜虫为主，防治</w:t>
            </w:r>
            <w:r>
              <w:rPr>
                <w:rFonts w:hint="eastAsia" w:ascii="Times New Roman" w:hAnsi="Times New Roman"/>
              </w:rPr>
              <w:t>粗缩病为辅，每666.7㎡喷洒70%的吡虫啉水分散粒剂1</w:t>
            </w:r>
            <w:r>
              <w:rPr>
                <w:rFonts w:ascii="Times New Roman" w:hAnsi="Times New Roman"/>
              </w:rPr>
              <w:t>g~3g,</w:t>
            </w:r>
            <w:r>
              <w:rPr>
                <w:rFonts w:hint="eastAsia" w:ascii="Times New Roman" w:hAnsi="Times New Roman"/>
              </w:rPr>
              <w:t xml:space="preserve">或21%噻虫嗪悬浮种衣剂10 </w:t>
            </w:r>
            <w:r>
              <w:rPr>
                <w:rFonts w:ascii="Times New Roman" w:hAnsi="Times New Roman"/>
              </w:rPr>
              <w:t>mL</w:t>
            </w:r>
            <w:r>
              <w:rPr>
                <w:rFonts w:hint="eastAsia" w:ascii="Times New Roman" w:hAnsi="Times New Roman"/>
              </w:rPr>
              <w:t xml:space="preserve">～15 </w:t>
            </w:r>
            <w:r>
              <w:rPr>
                <w:rFonts w:ascii="Times New Roman" w:hAnsi="Times New Roman"/>
              </w:rPr>
              <w:t>mL</w:t>
            </w:r>
            <w:r>
              <w:rPr>
                <w:rFonts w:ascii="汉仪细圆B5" w:hAnsi="汉仪细圆B5"/>
              </w:rPr>
              <w:t>＋</w:t>
            </w:r>
            <w:r>
              <w:rPr>
                <w:rFonts w:hint="eastAsia" w:ascii="Times New Roman" w:hAnsi="Times New Roman"/>
              </w:rPr>
              <w:t xml:space="preserve">5%氨基寡糖素水剂75 </w:t>
            </w:r>
            <w:r>
              <w:rPr>
                <w:rFonts w:ascii="Times New Roman" w:hAnsi="Times New Roman"/>
              </w:rPr>
              <w:t>mL</w:t>
            </w:r>
            <w:r>
              <w:rPr>
                <w:rFonts w:hint="eastAsia" w:ascii="Times New Roman" w:hAnsi="Times New Roman"/>
              </w:rPr>
              <w:t xml:space="preserve">～100 </w:t>
            </w:r>
            <w:r>
              <w:rPr>
                <w:rFonts w:ascii="Times New Roman" w:hAnsi="Times New Roman"/>
              </w:rPr>
              <w:t>mL</w:t>
            </w:r>
            <w:r>
              <w:rPr>
                <w:rFonts w:hint="eastAsia" w:ascii="Times New Roman" w:hAnsi="Times New Roman"/>
              </w:rPr>
              <w:t>,或或6%低聚糖素水剂62</w:t>
            </w:r>
            <w:r>
              <w:rPr>
                <w:rFonts w:ascii="Times New Roman" w:hAnsi="Times New Roman"/>
              </w:rPr>
              <w:t>mL</w:t>
            </w:r>
            <w:r>
              <w:rPr>
                <w:rFonts w:hint="eastAsia" w:ascii="Times New Roman" w:hAnsi="Times New Roman"/>
              </w:rPr>
              <w:t>～83</w:t>
            </w:r>
            <w:r>
              <w:rPr>
                <w:rFonts w:ascii="Times New Roman" w:hAnsi="Times New Roman"/>
              </w:rPr>
              <w:t>mL</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15"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丝黑穗病</w:t>
            </w:r>
          </w:p>
        </w:tc>
        <w:tc>
          <w:tcPr>
            <w:tcW w:w="2244"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种子处理</w:t>
            </w:r>
          </w:p>
        </w:tc>
        <w:tc>
          <w:tcPr>
            <w:tcW w:w="4773" w:type="dxa"/>
            <w:tcBorders>
              <w:top w:val="single" w:color="auto" w:sz="4" w:space="0"/>
              <w:left w:val="single" w:color="auto" w:sz="4" w:space="0"/>
              <w:bottom w:val="single" w:color="auto" w:sz="4" w:space="0"/>
              <w:right w:val="single" w:color="auto" w:sz="4" w:space="0"/>
            </w:tcBorders>
          </w:tcPr>
          <w:p>
            <w:pPr>
              <w:adjustRightInd/>
              <w:spacing w:line="240" w:lineRule="auto"/>
              <w:rPr>
                <w:rFonts w:ascii="Times New Roman" w:hAnsi="Times New Roman"/>
              </w:rPr>
            </w:pPr>
            <w:r>
              <w:rPr>
                <w:rFonts w:hint="eastAsia" w:ascii="Times New Roman" w:hAnsi="Times New Roman"/>
              </w:rPr>
              <w:t>每100K</w:t>
            </w:r>
            <w:r>
              <w:rPr>
                <w:rFonts w:ascii="Times New Roman" w:hAnsi="Times New Roman"/>
              </w:rPr>
              <w:t>g</w:t>
            </w:r>
            <w:r>
              <w:rPr>
                <w:rFonts w:hint="eastAsia" w:ascii="Times New Roman" w:hAnsi="Times New Roman"/>
              </w:rPr>
              <w:t>种子60</w:t>
            </w:r>
            <w:r>
              <w:rPr>
                <w:rFonts w:ascii="Times New Roman" w:hAnsi="Times New Roman"/>
              </w:rPr>
              <w:t xml:space="preserve">g/L </w:t>
            </w:r>
            <w:r>
              <w:rPr>
                <w:rFonts w:hint="eastAsia" w:ascii="Times New Roman" w:hAnsi="Times New Roman"/>
              </w:rPr>
              <w:t>的戊唑醇悬浮种衣剂100</w:t>
            </w:r>
            <w:r>
              <w:rPr>
                <w:rFonts w:ascii="Times New Roman" w:hAnsi="Times New Roman"/>
              </w:rPr>
              <w:t>mL</w:t>
            </w:r>
            <w:r>
              <w:rPr>
                <w:rFonts w:hint="eastAsia" w:ascii="Times New Roman" w:hAnsi="Times New Roman"/>
              </w:rPr>
              <w:t>～200</w:t>
            </w:r>
            <w:r>
              <w:rPr>
                <w:rFonts w:ascii="Times New Roman" w:hAnsi="Times New Roman"/>
              </w:rPr>
              <w:t>mL</w:t>
            </w:r>
            <w:r>
              <w:rPr>
                <w:rFonts w:hint="eastAsia" w:ascii="Times New Roman" w:hAnsi="Times New Roman"/>
              </w:rPr>
              <w:t>，或40%的苯醚甲环唑灭悬浮剂100</w:t>
            </w:r>
            <w:r>
              <w:rPr>
                <w:rFonts w:ascii="Times New Roman" w:hAnsi="Times New Roman"/>
              </w:rPr>
              <w:t>mL</w:t>
            </w:r>
            <w:r>
              <w:rPr>
                <w:rFonts w:hint="eastAsia" w:ascii="Times New Roman" w:hAnsi="Times New Roman"/>
              </w:rPr>
              <w:t>～200</w:t>
            </w:r>
            <w:r>
              <w:rPr>
                <w:rFonts w:ascii="Times New Roman" w:hAnsi="Times New Roman"/>
              </w:rPr>
              <w:t>mL</w:t>
            </w:r>
            <w:r>
              <w:rPr>
                <w:rFonts w:hint="eastAsia" w:ascii="Times New Roman" w:hAnsi="Times New Roman"/>
              </w:rPr>
              <w:t>，或3%苯醚甲环唑悬浮种衣剂333～400</w:t>
            </w:r>
            <w:r>
              <w:rPr>
                <w:rFonts w:ascii="Times New Roman" w:hAnsi="Times New Roman"/>
              </w:rPr>
              <w:t>g,</w:t>
            </w:r>
            <w:r>
              <w:rPr>
                <w:rFonts w:hint="eastAsia" w:ascii="Times New Roman" w:hAnsi="Times New Roman"/>
              </w:rPr>
              <w:t>或22.4%氟唑菌苯胺种子处理悬浮剂100</w:t>
            </w:r>
            <w:r>
              <w:rPr>
                <w:rFonts w:ascii="Times New Roman" w:hAnsi="Times New Roman"/>
              </w:rPr>
              <w:t>mL</w:t>
            </w:r>
            <w:r>
              <w:rPr>
                <w:rFonts w:hint="eastAsia" w:ascii="Times New Roman" w:hAnsi="Times New Roman"/>
              </w:rPr>
              <w:t>～200</w:t>
            </w:r>
            <w:r>
              <w:rPr>
                <w:rFonts w:ascii="Times New Roman" w:hAnsi="Times New Roman"/>
              </w:rPr>
              <w:t>mL</w:t>
            </w:r>
            <w:r>
              <w:rPr>
                <w:rFonts w:hint="eastAsia" w:ascii="Times New Roman" w:hAnsi="Times New Roman"/>
              </w:rPr>
              <w:t>包衣。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瘤黑粉病</w:t>
            </w:r>
          </w:p>
        </w:tc>
        <w:tc>
          <w:tcPr>
            <w:tcW w:w="2244" w:type="dxa"/>
            <w:tcBorders>
              <w:top w:val="single" w:color="auto" w:sz="4" w:space="0"/>
              <w:left w:val="single" w:color="auto" w:sz="4" w:space="0"/>
              <w:bottom w:val="single" w:color="auto" w:sz="4" w:space="0"/>
              <w:right w:val="single" w:color="auto" w:sz="4" w:space="0"/>
            </w:tcBorders>
          </w:tcPr>
          <w:p>
            <w:pPr>
              <w:adjustRightInd/>
              <w:spacing w:line="240" w:lineRule="auto"/>
              <w:rPr>
                <w:rFonts w:ascii="Times New Roman" w:hAnsi="Times New Roman"/>
              </w:rPr>
            </w:pPr>
          </w:p>
        </w:tc>
        <w:tc>
          <w:tcPr>
            <w:tcW w:w="4773" w:type="dxa"/>
            <w:tcBorders>
              <w:top w:val="single" w:color="auto" w:sz="4" w:space="0"/>
              <w:left w:val="single" w:color="auto" w:sz="4" w:space="0"/>
              <w:bottom w:val="single" w:color="auto" w:sz="4" w:space="0"/>
              <w:right w:val="single" w:color="auto" w:sz="4" w:space="0"/>
            </w:tcBorders>
          </w:tcPr>
          <w:p>
            <w:pPr>
              <w:adjustRightInd/>
              <w:spacing w:line="240" w:lineRule="auto"/>
              <w:rPr>
                <w:rFonts w:ascii="Times New Roman" w:hAnsi="Times New Roman"/>
              </w:rPr>
            </w:pPr>
            <w:r>
              <w:rPr>
                <w:rFonts w:hint="eastAsia" w:ascii="Times New Roman" w:hAnsi="Times New Roman"/>
              </w:rPr>
              <w:t>每100K</w:t>
            </w:r>
            <w:r>
              <w:rPr>
                <w:rFonts w:ascii="Times New Roman" w:hAnsi="Times New Roman"/>
              </w:rPr>
              <w:t>g</w:t>
            </w:r>
            <w:r>
              <w:rPr>
                <w:rFonts w:hint="eastAsia" w:ascii="Times New Roman" w:hAnsi="Times New Roman"/>
              </w:rPr>
              <w:t>种子44%的氟唑环菌胺悬浮种衣剂30</w:t>
            </w:r>
            <w:r>
              <w:rPr>
                <w:rFonts w:ascii="Times New Roman" w:hAnsi="Times New Roman"/>
              </w:rPr>
              <w:t>mL</w:t>
            </w:r>
            <w:r>
              <w:rPr>
                <w:rFonts w:hint="eastAsia" w:ascii="Times New Roman" w:hAnsi="Times New Roman"/>
              </w:rPr>
              <w:t>～90</w:t>
            </w:r>
            <w:r>
              <w:rPr>
                <w:rFonts w:ascii="Times New Roman" w:hAnsi="Times New Roman"/>
              </w:rPr>
              <w:t>mL</w:t>
            </w:r>
            <w:r>
              <w:rPr>
                <w:rFonts w:hint="eastAsia" w:ascii="Times New Roman" w:hAnsi="Times New Roman"/>
              </w:rPr>
              <w:t>，或40%的苯醚甲环唑悬浮种衣剂12.5</w:t>
            </w:r>
            <w:r>
              <w:rPr>
                <w:rFonts w:ascii="Times New Roman" w:hAnsi="Times New Roman"/>
              </w:rPr>
              <w:t>mL</w:t>
            </w:r>
            <w:r>
              <w:rPr>
                <w:rFonts w:hint="eastAsia" w:ascii="Times New Roman" w:hAnsi="Times New Roman"/>
              </w:rPr>
              <w:t>～15.0</w:t>
            </w:r>
            <w:r>
              <w:rPr>
                <w:rFonts w:ascii="Times New Roman" w:hAnsi="Times New Roman"/>
              </w:rPr>
              <w:t>mL</w:t>
            </w:r>
            <w:r>
              <w:rPr>
                <w:rFonts w:hint="eastAsia" w:ascii="Times New Roman" w:hAnsi="Times New Roman"/>
              </w:rPr>
              <w:t>包衣。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玉米大斑病、小斑病</w:t>
            </w:r>
          </w:p>
        </w:tc>
        <w:tc>
          <w:tcPr>
            <w:tcW w:w="2244"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发病初期</w:t>
            </w:r>
          </w:p>
        </w:tc>
        <w:tc>
          <w:tcPr>
            <w:tcW w:w="4773" w:type="dxa"/>
            <w:tcBorders>
              <w:top w:val="single" w:color="auto" w:sz="4" w:space="0"/>
              <w:left w:val="single" w:color="auto" w:sz="4" w:space="0"/>
              <w:bottom w:val="single" w:color="auto" w:sz="4" w:space="0"/>
              <w:right w:val="single" w:color="auto" w:sz="4" w:space="0"/>
            </w:tcBorders>
          </w:tcPr>
          <w:p>
            <w:pPr>
              <w:adjustRightInd/>
              <w:spacing w:line="240" w:lineRule="auto"/>
              <w:rPr>
                <w:rFonts w:ascii="Times New Roman" w:hAnsi="Times New Roman"/>
              </w:rPr>
            </w:pPr>
            <w:r>
              <w:rPr>
                <w:rFonts w:hint="eastAsia" w:ascii="Times New Roman" w:hAnsi="Times New Roman"/>
              </w:rPr>
              <w:t xml:space="preserve">每666.7㎡喷洒250 </w:t>
            </w:r>
            <w:r>
              <w:rPr>
                <w:rFonts w:ascii="Times New Roman" w:hAnsi="Times New Roman"/>
              </w:rPr>
              <w:t>g/L</w:t>
            </w:r>
            <w:r>
              <w:rPr>
                <w:rFonts w:hint="eastAsia" w:ascii="Times New Roman" w:hAnsi="Times New Roman"/>
              </w:rPr>
              <w:t xml:space="preserve">吡唑醚菌酯悬浮剂40 </w:t>
            </w:r>
            <w:r>
              <w:rPr>
                <w:rFonts w:ascii="Times New Roman" w:hAnsi="Times New Roman"/>
              </w:rPr>
              <w:t>mL</w:t>
            </w:r>
            <w:r>
              <w:rPr>
                <w:rFonts w:hint="eastAsia" w:ascii="Times New Roman" w:hAnsi="Times New Roman"/>
              </w:rPr>
              <w:t xml:space="preserve">～50 </w:t>
            </w:r>
            <w:r>
              <w:rPr>
                <w:rFonts w:ascii="Times New Roman" w:hAnsi="Times New Roman"/>
              </w:rPr>
              <w:t>mL</w:t>
            </w:r>
            <w:r>
              <w:rPr>
                <w:rFonts w:hint="eastAsia" w:ascii="Times New Roman" w:hAnsi="Times New Roman"/>
              </w:rPr>
              <w:t>，或70%的丙森锌可湿性粉剂100</w:t>
            </w:r>
            <w:r>
              <w:rPr>
                <w:rFonts w:ascii="Times New Roman" w:hAnsi="Times New Roman"/>
              </w:rPr>
              <w:t xml:space="preserve"> g</w:t>
            </w:r>
            <w:r>
              <w:rPr>
                <w:rFonts w:hint="eastAsia" w:ascii="Times New Roman" w:hAnsi="Times New Roman"/>
              </w:rPr>
              <w:t>～150</w:t>
            </w:r>
            <w:r>
              <w:rPr>
                <w:rFonts w:ascii="Times New Roman" w:hAnsi="Times New Roman"/>
              </w:rPr>
              <w:t xml:space="preserve"> g,</w:t>
            </w:r>
            <w:r>
              <w:rPr>
                <w:rFonts w:hint="eastAsia" w:ascii="Times New Roman" w:hAnsi="Times New Roman"/>
              </w:rPr>
              <w:t>或24%的井冈霉素水剂30</w:t>
            </w:r>
            <w:r>
              <w:rPr>
                <w:rFonts w:ascii="Times New Roman" w:hAnsi="Times New Roman"/>
              </w:rPr>
              <w:t>mL</w:t>
            </w:r>
            <w:r>
              <w:rPr>
                <w:rFonts w:hint="eastAsia" w:ascii="Times New Roman" w:hAnsi="Times New Roman"/>
              </w:rPr>
              <w:t xml:space="preserve">～40 </w:t>
            </w:r>
            <w:r>
              <w:rPr>
                <w:rFonts w:ascii="Times New Roman" w:hAnsi="Times New Roman"/>
              </w:rPr>
              <w:t>mL</w:t>
            </w:r>
            <w:r>
              <w:rPr>
                <w:rFonts w:hint="eastAsia" w:ascii="Times New Roman" w:hAnsi="Times New Roman"/>
              </w:rPr>
              <w:t>，或200亿芽孢</w:t>
            </w:r>
            <w:r>
              <w:rPr>
                <w:rFonts w:ascii="Times New Roman" w:hAnsi="Times New Roman"/>
              </w:rPr>
              <w:t>/mL</w:t>
            </w:r>
            <w:r>
              <w:rPr>
                <w:rFonts w:hint="eastAsia" w:ascii="Times New Roman" w:hAnsi="Times New Roman"/>
              </w:rPr>
              <w:t xml:space="preserve">枯草芽孢杆菌可分散油悬浮剂70 </w:t>
            </w:r>
            <w:r>
              <w:rPr>
                <w:rFonts w:ascii="Times New Roman" w:hAnsi="Times New Roman"/>
              </w:rPr>
              <w:t>mL</w:t>
            </w:r>
            <w:r>
              <w:rPr>
                <w:rFonts w:hint="eastAsia" w:ascii="Times New Roman" w:hAnsi="Times New Roman"/>
              </w:rPr>
              <w:t xml:space="preserve">～80 </w:t>
            </w:r>
            <w:r>
              <w:rPr>
                <w:rFonts w:ascii="Times New Roman" w:hAnsi="Times New Roman"/>
              </w:rPr>
              <w:t>mL</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纹枯病</w:t>
            </w:r>
          </w:p>
        </w:tc>
        <w:tc>
          <w:tcPr>
            <w:tcW w:w="2244"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发病初期</w:t>
            </w:r>
          </w:p>
        </w:tc>
        <w:tc>
          <w:tcPr>
            <w:tcW w:w="4773" w:type="dxa"/>
            <w:tcBorders>
              <w:top w:val="single" w:color="auto" w:sz="4" w:space="0"/>
              <w:left w:val="single" w:color="auto" w:sz="4" w:space="0"/>
              <w:bottom w:val="single" w:color="auto" w:sz="4" w:space="0"/>
              <w:right w:val="single" w:color="auto" w:sz="4" w:space="0"/>
            </w:tcBorders>
          </w:tcPr>
          <w:p>
            <w:pPr>
              <w:adjustRightInd/>
              <w:spacing w:line="240" w:lineRule="auto"/>
              <w:rPr>
                <w:rFonts w:ascii="Times New Roman" w:hAnsi="Times New Roman"/>
              </w:rPr>
            </w:pPr>
            <w:r>
              <w:rPr>
                <w:rFonts w:hint="eastAsia" w:ascii="Times New Roman" w:hAnsi="Times New Roman"/>
              </w:rPr>
              <w:t>每666.7㎡喷洒24%的井冈霉素水剂30</w:t>
            </w:r>
            <w:r>
              <w:rPr>
                <w:rFonts w:ascii="Times New Roman" w:hAnsi="Times New Roman"/>
              </w:rPr>
              <w:t>mL</w:t>
            </w:r>
            <w:r>
              <w:rPr>
                <w:rFonts w:hint="eastAsia" w:ascii="Times New Roman" w:hAnsi="Times New Roman"/>
              </w:rPr>
              <w:t xml:space="preserve">～40 </w:t>
            </w:r>
            <w:r>
              <w:rPr>
                <w:rFonts w:ascii="Times New Roman" w:hAnsi="Times New Roman"/>
              </w:rPr>
              <w:t>mL</w:t>
            </w:r>
            <w:r>
              <w:rPr>
                <w:rFonts w:hint="eastAsia" w:ascii="Times New Roman" w:hAnsi="Times New Roman"/>
              </w:rPr>
              <w:t xml:space="preserve">，或430 </w:t>
            </w:r>
            <w:r>
              <w:rPr>
                <w:rFonts w:ascii="Times New Roman" w:hAnsi="Times New Roman"/>
              </w:rPr>
              <w:t>g/L</w:t>
            </w:r>
            <w:r>
              <w:rPr>
                <w:rFonts w:hint="eastAsia" w:ascii="Times New Roman" w:hAnsi="Times New Roman"/>
                <w:color w:val="000000"/>
              </w:rPr>
              <w:t>戊唑醇</w:t>
            </w:r>
            <w:r>
              <w:rPr>
                <w:rFonts w:hint="eastAsia" w:ascii="Times New Roman" w:hAnsi="Times New Roman"/>
              </w:rPr>
              <w:t xml:space="preserve">悬浮剂10 </w:t>
            </w:r>
            <w:r>
              <w:rPr>
                <w:rFonts w:ascii="Times New Roman" w:hAnsi="Times New Roman"/>
              </w:rPr>
              <w:t>mL</w:t>
            </w:r>
            <w:r>
              <w:rPr>
                <w:rFonts w:hint="eastAsia" w:ascii="Times New Roman" w:hAnsi="Times New Roman"/>
              </w:rPr>
              <w:t xml:space="preserve">～15 </w:t>
            </w:r>
            <w:r>
              <w:rPr>
                <w:rFonts w:ascii="Times New Roman" w:hAnsi="Times New Roman"/>
              </w:rPr>
              <w:t>mL</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15"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color w:val="000000"/>
              </w:rPr>
              <w:t>茎腐病</w:t>
            </w:r>
          </w:p>
        </w:tc>
        <w:tc>
          <w:tcPr>
            <w:tcW w:w="2244"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种子处理</w:t>
            </w:r>
          </w:p>
        </w:tc>
        <w:tc>
          <w:tcPr>
            <w:tcW w:w="4773" w:type="dxa"/>
            <w:tcBorders>
              <w:top w:val="single" w:color="auto" w:sz="4" w:space="0"/>
              <w:left w:val="single" w:color="auto" w:sz="4" w:space="0"/>
              <w:bottom w:val="single" w:color="auto" w:sz="4" w:space="0"/>
              <w:right w:val="single" w:color="auto" w:sz="4" w:space="0"/>
            </w:tcBorders>
          </w:tcPr>
          <w:p>
            <w:pPr>
              <w:adjustRightInd/>
              <w:spacing w:line="240" w:lineRule="auto"/>
              <w:rPr>
                <w:rFonts w:ascii="Times New Roman" w:hAnsi="Times New Roman"/>
              </w:rPr>
            </w:pPr>
            <w:r>
              <w:rPr>
                <w:rFonts w:hint="eastAsia" w:ascii="Times New Roman" w:hAnsi="Times New Roman"/>
              </w:rPr>
              <w:t>每100K</w:t>
            </w:r>
            <w:r>
              <w:rPr>
                <w:rFonts w:ascii="Times New Roman" w:hAnsi="Times New Roman"/>
              </w:rPr>
              <w:t>g</w:t>
            </w:r>
            <w:r>
              <w:rPr>
                <w:rFonts w:hint="eastAsia" w:ascii="Times New Roman" w:hAnsi="Times New Roman"/>
              </w:rPr>
              <w:t>种子25</w:t>
            </w:r>
            <w:r>
              <w:rPr>
                <w:rFonts w:ascii="Times New Roman" w:hAnsi="Times New Roman"/>
              </w:rPr>
              <w:t>g/L</w:t>
            </w:r>
            <w:r>
              <w:rPr>
                <w:rFonts w:hint="eastAsia" w:ascii="Times New Roman" w:hAnsi="Times New Roman"/>
              </w:rPr>
              <w:t>的咯菌腈悬浮种衣剂100</w:t>
            </w:r>
            <w:r>
              <w:rPr>
                <w:rFonts w:ascii="Times New Roman" w:hAnsi="Times New Roman"/>
              </w:rPr>
              <w:t>mL</w:t>
            </w:r>
            <w:r>
              <w:rPr>
                <w:rFonts w:hint="eastAsia" w:ascii="Times New Roman" w:hAnsi="Times New Roman"/>
              </w:rPr>
              <w:t>～200</w:t>
            </w:r>
            <w:r>
              <w:rPr>
                <w:rFonts w:ascii="Times New Roman" w:hAnsi="Times New Roman"/>
              </w:rPr>
              <w:t>mL</w:t>
            </w:r>
            <w:r>
              <w:rPr>
                <w:rFonts w:hint="eastAsia" w:ascii="Times New Roman" w:hAnsi="Times New Roman"/>
              </w:rPr>
              <w:t>，或11%的精甲-咯-嘧菌悬浮种衣剂200</w:t>
            </w:r>
            <w:r>
              <w:rPr>
                <w:rFonts w:ascii="Times New Roman" w:hAnsi="Times New Roman"/>
              </w:rPr>
              <w:t>mL</w:t>
            </w:r>
            <w:r>
              <w:rPr>
                <w:rFonts w:hint="eastAsia" w:ascii="Times New Roman" w:hAnsi="Times New Roman"/>
              </w:rPr>
              <w:t>～300</w:t>
            </w:r>
            <w:r>
              <w:rPr>
                <w:rFonts w:ascii="Times New Roman" w:hAnsi="Times New Roman"/>
              </w:rPr>
              <w:t>mL</w:t>
            </w:r>
            <w:r>
              <w:rPr>
                <w:rFonts w:hint="eastAsia" w:ascii="Times New Roman" w:hAnsi="Times New Roman"/>
              </w:rPr>
              <w:t>，或18%吡唑醚菌酯种子处理悬浮剂包衣。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color w:val="000000"/>
              </w:rPr>
              <w:t>穗腐病</w:t>
            </w:r>
          </w:p>
        </w:tc>
        <w:tc>
          <w:tcPr>
            <w:tcW w:w="2244"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种子处理</w:t>
            </w:r>
          </w:p>
        </w:tc>
        <w:tc>
          <w:tcPr>
            <w:tcW w:w="4773" w:type="dxa"/>
            <w:tcBorders>
              <w:top w:val="single" w:color="auto" w:sz="4" w:space="0"/>
              <w:left w:val="single" w:color="auto" w:sz="4" w:space="0"/>
              <w:bottom w:val="single" w:color="auto" w:sz="4" w:space="0"/>
              <w:right w:val="single" w:color="auto" w:sz="4" w:space="0"/>
            </w:tcBorders>
          </w:tcPr>
          <w:p>
            <w:pPr>
              <w:adjustRightInd/>
              <w:spacing w:line="240" w:lineRule="auto"/>
              <w:rPr>
                <w:rFonts w:ascii="Times New Roman" w:hAnsi="Times New Roman"/>
              </w:rPr>
            </w:pPr>
            <w:r>
              <w:rPr>
                <w:rFonts w:hint="eastAsia" w:ascii="Times New Roman" w:hAnsi="Times New Roman"/>
              </w:rPr>
              <w:t>每100K</w:t>
            </w:r>
            <w:r>
              <w:rPr>
                <w:rFonts w:ascii="Times New Roman" w:hAnsi="Times New Roman"/>
              </w:rPr>
              <w:t>g</w:t>
            </w:r>
            <w:r>
              <w:rPr>
                <w:rFonts w:hint="eastAsia" w:ascii="Times New Roman" w:hAnsi="Times New Roman"/>
              </w:rPr>
              <w:t>种子25</w:t>
            </w:r>
            <w:r>
              <w:rPr>
                <w:rFonts w:ascii="Times New Roman" w:hAnsi="Times New Roman"/>
              </w:rPr>
              <w:t>g/L</w:t>
            </w:r>
            <w:r>
              <w:rPr>
                <w:rFonts w:hint="eastAsia" w:ascii="Times New Roman" w:hAnsi="Times New Roman"/>
              </w:rPr>
              <w:t>的咯菌腈悬浮种衣剂100</w:t>
            </w:r>
            <w:r>
              <w:rPr>
                <w:rFonts w:ascii="Times New Roman" w:hAnsi="Times New Roman"/>
              </w:rPr>
              <w:t>mL</w:t>
            </w:r>
            <w:r>
              <w:rPr>
                <w:rFonts w:hint="eastAsia" w:ascii="Times New Roman" w:hAnsi="Times New Roman"/>
              </w:rPr>
              <w:t>～200</w:t>
            </w:r>
            <w:r>
              <w:rPr>
                <w:rFonts w:ascii="Times New Roman" w:hAnsi="Times New Roman"/>
              </w:rPr>
              <w:t>mL</w:t>
            </w:r>
            <w:r>
              <w:rPr>
                <w:rFonts w:hint="eastAsia" w:ascii="Times New Roman" w:hAnsi="Times New Roman"/>
              </w:rPr>
              <w:t>，或18%吡唑醚菌酯种子处理悬浮剂包衣。</w:t>
            </w:r>
          </w:p>
        </w:tc>
      </w:tr>
    </w:tbl>
    <w:p>
      <w:pPr>
        <w:pStyle w:val="56"/>
        <w:ind w:firstLine="0" w:firstLineChars="0"/>
      </w:pPr>
    </w:p>
    <w:p>
      <w:pPr>
        <w:pStyle w:val="56"/>
        <w:ind w:firstLine="420"/>
        <w:sectPr>
          <w:pgSz w:w="11906" w:h="16838"/>
          <w:pgMar w:top="2410"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before="78" w:after="156"/>
      </w:pPr>
      <w:r>
        <w:br w:type="textWrapping"/>
      </w:r>
      <w:bookmarkStart w:id="80" w:name="_Toc181975573"/>
      <w:bookmarkStart w:id="81" w:name="_Toc181975552"/>
      <w:r>
        <w:rPr>
          <w:rFonts w:hint="eastAsia"/>
        </w:rPr>
        <w:t>（资料性）</w:t>
      </w:r>
      <w:r>
        <w:br w:type="textWrapping"/>
      </w:r>
      <w:r>
        <w:rPr>
          <w:rFonts w:hint="eastAsia"/>
        </w:rPr>
        <w:t>玉米虫害防治使用药剂见表</w:t>
      </w:r>
      <w:r>
        <w:t>B</w:t>
      </w:r>
      <w:r>
        <w:rPr>
          <w:rFonts w:hint="eastAsia"/>
        </w:rPr>
        <w:t>.1</w:t>
      </w:r>
      <w:bookmarkEnd w:id="80"/>
      <w:bookmarkEnd w:id="81"/>
    </w:p>
    <w:p>
      <w:pPr>
        <w:pStyle w:val="77"/>
        <w:spacing w:before="156" w:after="156"/>
      </w:pPr>
      <w:r>
        <w:rPr>
          <w:rFonts w:hint="eastAsia"/>
        </w:rPr>
        <w:t>玉</w:t>
      </w:r>
      <w:r>
        <w:t>米</w:t>
      </w:r>
      <w:r>
        <w:rPr>
          <w:rFonts w:hint="eastAsia"/>
        </w:rPr>
        <w:t>虫害防治使用药剂推荐表</w:t>
      </w:r>
    </w:p>
    <w:tbl>
      <w:tblPr>
        <w:tblStyle w:val="236"/>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5"/>
        <w:gridCol w:w="2244"/>
        <w:gridCol w:w="4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防治对象</w:t>
            </w:r>
          </w:p>
        </w:tc>
        <w:tc>
          <w:tcPr>
            <w:tcW w:w="2244"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防治适期</w:t>
            </w:r>
          </w:p>
        </w:tc>
        <w:tc>
          <w:tcPr>
            <w:tcW w:w="4773"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防治方法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地下害虫（蝼蛄、蛴螬、金针虫）</w:t>
            </w:r>
          </w:p>
        </w:tc>
        <w:tc>
          <w:tcPr>
            <w:tcW w:w="2244"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种子处理及苗期</w:t>
            </w:r>
          </w:p>
        </w:tc>
        <w:tc>
          <w:tcPr>
            <w:tcW w:w="4773"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从40%溴酰·噻虫嗪种子处理悬浮剂300-450或50%的氯虫苯甲酰胺种子处理悬浮剂380-530g或35%吡虫·硫双威悬浮种衣剂1400-1800</w:t>
            </w:r>
            <w:r>
              <w:rPr>
                <w:rFonts w:ascii="Times New Roman" w:hAnsi="Times New Roman"/>
              </w:rPr>
              <w:t>mL</w:t>
            </w:r>
            <w:r>
              <w:rPr>
                <w:rFonts w:hint="eastAsia" w:ascii="Times New Roman" w:hAnsi="Times New Roman"/>
              </w:rPr>
              <w:t>拌种。40%的毒死蜱乳油150g-180g，苗期灌根，或200g/L氯虫苯甲酰胺悬浮剂3.3ml-6.6mL茎基部喷雾，或3%辛硫磷颗粒剂3kg-4kg播前沟施。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小地老虎、二点委夜蛾、</w:t>
            </w:r>
            <w:r>
              <w:rPr>
                <w:rFonts w:hint="eastAsia" w:ascii="Times New Roman" w:hAnsi="Times New Roman"/>
                <w:color w:val="000000"/>
              </w:rPr>
              <w:t>玉米耕葵粉蚧</w:t>
            </w:r>
          </w:p>
        </w:tc>
        <w:tc>
          <w:tcPr>
            <w:tcW w:w="2244" w:type="dxa"/>
            <w:tcBorders>
              <w:top w:val="single" w:color="auto" w:sz="4" w:space="0"/>
              <w:left w:val="single" w:color="auto" w:sz="4" w:space="0"/>
              <w:bottom w:val="single" w:color="auto" w:sz="4" w:space="0"/>
              <w:right w:val="single" w:color="auto" w:sz="4" w:space="0"/>
            </w:tcBorders>
          </w:tcPr>
          <w:p>
            <w:pPr>
              <w:adjustRightInd/>
              <w:spacing w:line="240" w:lineRule="auto"/>
              <w:rPr>
                <w:rFonts w:ascii="Times New Roman" w:hAnsi="Times New Roman"/>
              </w:rPr>
            </w:pPr>
            <w:r>
              <w:rPr>
                <w:rFonts w:hint="eastAsia" w:ascii="Times New Roman" w:hAnsi="Times New Roman"/>
              </w:rPr>
              <w:t>幼虫三龄前</w:t>
            </w:r>
          </w:p>
        </w:tc>
        <w:tc>
          <w:tcPr>
            <w:tcW w:w="4773" w:type="dxa"/>
            <w:tcBorders>
              <w:top w:val="single" w:color="auto" w:sz="4" w:space="0"/>
              <w:left w:val="single" w:color="auto" w:sz="4" w:space="0"/>
              <w:bottom w:val="single" w:color="auto" w:sz="4" w:space="0"/>
              <w:right w:val="single" w:color="auto" w:sz="4" w:space="0"/>
            </w:tcBorders>
          </w:tcPr>
          <w:p>
            <w:pPr>
              <w:adjustRightInd/>
              <w:spacing w:line="240" w:lineRule="auto"/>
              <w:rPr>
                <w:rFonts w:ascii="Times New Roman" w:hAnsi="Times New Roman"/>
              </w:rPr>
            </w:pPr>
            <w:r>
              <w:rPr>
                <w:rFonts w:hint="eastAsia" w:ascii="Times New Roman" w:hAnsi="Times New Roman"/>
              </w:rPr>
              <w:t xml:space="preserve">每666.7㎡选用40%的毒死蜱乳油150 </w:t>
            </w:r>
            <w:r>
              <w:rPr>
                <w:rFonts w:ascii="Times New Roman" w:hAnsi="Times New Roman"/>
              </w:rPr>
              <w:t>mL</w:t>
            </w:r>
            <w:r>
              <w:rPr>
                <w:rFonts w:hint="eastAsia" w:ascii="Times New Roman" w:hAnsi="Times New Roman"/>
              </w:rPr>
              <w:t xml:space="preserve">～180 </w:t>
            </w:r>
            <w:r>
              <w:rPr>
                <w:rFonts w:ascii="Times New Roman" w:hAnsi="Times New Roman"/>
              </w:rPr>
              <w:t>mL</w:t>
            </w:r>
            <w:r>
              <w:rPr>
                <w:rFonts w:hint="eastAsia" w:ascii="Times New Roman" w:hAnsi="Times New Roman"/>
              </w:rPr>
              <w:t xml:space="preserve">或40%辛硫磷乳油400 </w:t>
            </w:r>
            <w:r>
              <w:rPr>
                <w:rFonts w:ascii="Times New Roman" w:hAnsi="Times New Roman"/>
              </w:rPr>
              <w:t>mL</w:t>
            </w:r>
            <w:r>
              <w:rPr>
                <w:rFonts w:hint="eastAsia" w:ascii="Times New Roman" w:hAnsi="Times New Roman"/>
              </w:rPr>
              <w:t xml:space="preserve">～600 </w:t>
            </w:r>
            <w:r>
              <w:rPr>
                <w:rFonts w:ascii="Times New Roman" w:hAnsi="Times New Roman"/>
              </w:rPr>
              <w:t>mL</w:t>
            </w:r>
            <w:r>
              <w:rPr>
                <w:rFonts w:hint="eastAsia" w:ascii="Times New Roman" w:hAnsi="Times New Roman"/>
              </w:rPr>
              <w:t>灌根。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15"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黏虫、玉米螟、棉铃虫</w:t>
            </w:r>
          </w:p>
        </w:tc>
        <w:tc>
          <w:tcPr>
            <w:tcW w:w="2244"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黏虫幼虫三龄前、玉米螟、棉铃虫钻蛀前</w:t>
            </w:r>
          </w:p>
        </w:tc>
        <w:tc>
          <w:tcPr>
            <w:tcW w:w="4773" w:type="dxa"/>
            <w:tcBorders>
              <w:top w:val="single" w:color="auto" w:sz="4" w:space="0"/>
              <w:left w:val="single" w:color="auto" w:sz="4" w:space="0"/>
              <w:bottom w:val="single" w:color="auto" w:sz="4" w:space="0"/>
              <w:right w:val="single" w:color="auto" w:sz="4" w:space="0"/>
            </w:tcBorders>
          </w:tcPr>
          <w:p>
            <w:pPr>
              <w:adjustRightInd/>
              <w:spacing w:line="240" w:lineRule="auto"/>
              <w:rPr>
                <w:rFonts w:ascii="Times New Roman" w:hAnsi="Times New Roman"/>
              </w:rPr>
            </w:pPr>
            <w:r>
              <w:rPr>
                <w:rFonts w:hint="eastAsia" w:ascii="Times New Roman" w:hAnsi="Times New Roman"/>
              </w:rPr>
              <w:t xml:space="preserve">每666.7㎡喷洒30%的乙酰甲胺磷乳油120 </w:t>
            </w:r>
            <w:r>
              <w:rPr>
                <w:rFonts w:ascii="Times New Roman" w:hAnsi="Times New Roman"/>
              </w:rPr>
              <w:t>mL</w:t>
            </w:r>
            <w:r>
              <w:rPr>
                <w:rFonts w:hint="eastAsia" w:ascii="Times New Roman" w:hAnsi="Times New Roman"/>
              </w:rPr>
              <w:t xml:space="preserve">～240 </w:t>
            </w:r>
            <w:r>
              <w:rPr>
                <w:rFonts w:ascii="Times New Roman" w:hAnsi="Times New Roman"/>
              </w:rPr>
              <w:t>mL</w:t>
            </w:r>
            <w:r>
              <w:rPr>
                <w:rFonts w:hint="eastAsia" w:ascii="Times New Roman" w:hAnsi="Times New Roman"/>
              </w:rPr>
              <w:t>或20</w:t>
            </w:r>
            <w:r>
              <w:rPr>
                <w:rFonts w:ascii="Times New Roman" w:hAnsi="Times New Roman"/>
              </w:rPr>
              <w:t>0 g/L</w:t>
            </w:r>
            <w:r>
              <w:rPr>
                <w:rFonts w:hint="eastAsia" w:ascii="Times New Roman" w:hAnsi="Times New Roman"/>
              </w:rPr>
              <w:t xml:space="preserve">氯虫苯甲酰胺悬浮液10 </w:t>
            </w:r>
            <w:r>
              <w:rPr>
                <w:rFonts w:ascii="Times New Roman" w:hAnsi="Times New Roman"/>
              </w:rPr>
              <w:t>mL</w:t>
            </w:r>
            <w:r>
              <w:rPr>
                <w:rFonts w:hint="eastAsia" w:ascii="Times New Roman" w:hAnsi="Times New Roman"/>
              </w:rPr>
              <w:t xml:space="preserve">～15 </w:t>
            </w:r>
            <w:r>
              <w:rPr>
                <w:rFonts w:ascii="Times New Roman" w:hAnsi="Times New Roman"/>
              </w:rPr>
              <w:t>mL</w:t>
            </w:r>
            <w:r>
              <w:rPr>
                <w:rFonts w:hint="eastAsia" w:ascii="Times New Roman" w:hAnsi="Times New Roman"/>
              </w:rPr>
              <w:t xml:space="preserve">,或10%高效氯氟氰菊酯水乳剂15 </w:t>
            </w:r>
            <w:r>
              <w:rPr>
                <w:rFonts w:ascii="Times New Roman" w:hAnsi="Times New Roman"/>
              </w:rPr>
              <w:t>mL</w:t>
            </w:r>
            <w:r>
              <w:rPr>
                <w:rFonts w:hint="eastAsia" w:ascii="Times New Roman" w:hAnsi="Times New Roman"/>
              </w:rPr>
              <w:t xml:space="preserve">～20 </w:t>
            </w:r>
            <w:r>
              <w:rPr>
                <w:rFonts w:ascii="Times New Roman" w:hAnsi="Times New Roman"/>
              </w:rPr>
              <w:t>mL</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草地贪夜蛾</w:t>
            </w:r>
          </w:p>
        </w:tc>
        <w:tc>
          <w:tcPr>
            <w:tcW w:w="2244"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幼虫三龄前</w:t>
            </w:r>
          </w:p>
        </w:tc>
        <w:tc>
          <w:tcPr>
            <w:tcW w:w="4773" w:type="dxa"/>
            <w:tcBorders>
              <w:top w:val="single" w:color="auto" w:sz="4" w:space="0"/>
              <w:left w:val="single" w:color="auto" w:sz="4" w:space="0"/>
              <w:bottom w:val="single" w:color="auto" w:sz="4" w:space="0"/>
              <w:right w:val="single" w:color="auto" w:sz="4" w:space="0"/>
            </w:tcBorders>
          </w:tcPr>
          <w:p>
            <w:pPr>
              <w:adjustRightInd/>
              <w:spacing w:line="240" w:lineRule="auto"/>
              <w:rPr>
                <w:rFonts w:ascii="Times New Roman" w:hAnsi="Times New Roman"/>
              </w:rPr>
            </w:pPr>
            <w:r>
              <w:rPr>
                <w:rFonts w:hint="eastAsia" w:ascii="Times New Roman" w:hAnsi="Times New Roman"/>
              </w:rPr>
              <w:t xml:space="preserve">每666.7㎡喷洒200 </w:t>
            </w:r>
            <w:r>
              <w:rPr>
                <w:rFonts w:ascii="Times New Roman" w:hAnsi="Times New Roman"/>
              </w:rPr>
              <w:t>g/L</w:t>
            </w:r>
            <w:r>
              <w:rPr>
                <w:rFonts w:hint="eastAsia" w:ascii="Times New Roman" w:hAnsi="Times New Roman"/>
              </w:rPr>
              <w:t>氯虫苯甲酰胺悬浮剂15</w:t>
            </w:r>
            <w:r>
              <w:rPr>
                <w:rFonts w:ascii="Times New Roman" w:hAnsi="Times New Roman"/>
              </w:rPr>
              <w:t>mL</w:t>
            </w:r>
            <w:r>
              <w:rPr>
                <w:rFonts w:hint="eastAsia" w:ascii="Times New Roman" w:hAnsi="Times New Roman"/>
              </w:rPr>
              <w:t xml:space="preserve">或10%的虫螨腈悬浮剂50 </w:t>
            </w:r>
            <w:r>
              <w:rPr>
                <w:rFonts w:ascii="Times New Roman" w:hAnsi="Times New Roman"/>
              </w:rPr>
              <w:t>mL</w:t>
            </w:r>
            <w:r>
              <w:rPr>
                <w:rFonts w:hint="eastAsia" w:ascii="Times New Roman" w:hAnsi="Times New Roman"/>
              </w:rPr>
              <w:t>，或32000</w:t>
            </w:r>
            <w:r>
              <w:rPr>
                <w:rFonts w:ascii="Times New Roman" w:hAnsi="Times New Roman"/>
              </w:rPr>
              <w:t xml:space="preserve"> </w:t>
            </w:r>
            <w:r>
              <w:rPr>
                <w:rFonts w:hint="eastAsia" w:ascii="Times New Roman" w:hAnsi="Times New Roman"/>
              </w:rPr>
              <w:t>IU</w:t>
            </w:r>
            <w:r>
              <w:rPr>
                <w:rFonts w:ascii="Times New Roman" w:hAnsi="Times New Roman"/>
              </w:rPr>
              <w:t>/mg</w:t>
            </w:r>
            <w:r>
              <w:rPr>
                <w:rFonts w:hint="eastAsia" w:ascii="Times New Roman" w:hAnsi="Times New Roman"/>
              </w:rPr>
              <w:t xml:space="preserve">苏云金杆菌可湿性粉剂225 </w:t>
            </w:r>
            <w:r>
              <w:rPr>
                <w:rFonts w:ascii="Times New Roman" w:hAnsi="Times New Roman"/>
              </w:rPr>
              <w:t>g~300 g,</w:t>
            </w:r>
            <w:r>
              <w:rPr>
                <w:rFonts w:hint="eastAsia" w:ascii="Times New Roman" w:hAnsi="Times New Roman"/>
              </w:rPr>
              <w:t>或80亿孢子</w:t>
            </w:r>
            <w:r>
              <w:rPr>
                <w:rFonts w:ascii="Times New Roman" w:hAnsi="Times New Roman"/>
              </w:rPr>
              <w:t>/mL</w:t>
            </w:r>
            <w:r>
              <w:rPr>
                <w:rFonts w:hint="eastAsia" w:ascii="Times New Roman" w:hAnsi="Times New Roman"/>
              </w:rPr>
              <w:t>金龟子绿僵菌CQM</w:t>
            </w:r>
            <w:r>
              <w:rPr>
                <w:rFonts w:ascii="Times New Roman" w:hAnsi="Times New Roman"/>
              </w:rPr>
              <w:t>a421</w:t>
            </w:r>
            <w:r>
              <w:rPr>
                <w:rFonts w:hint="eastAsia" w:ascii="Times New Roman" w:hAnsi="Times New Roman"/>
              </w:rPr>
              <w:t xml:space="preserve">可分散油悬浮剂60 </w:t>
            </w:r>
            <w:r>
              <w:rPr>
                <w:rFonts w:ascii="Times New Roman" w:hAnsi="Times New Roman"/>
              </w:rPr>
              <w:t>mL</w:t>
            </w:r>
            <w:r>
              <w:rPr>
                <w:rFonts w:hint="eastAsia" w:ascii="Times New Roman" w:hAnsi="Times New Roman"/>
              </w:rPr>
              <w:t>～90</w:t>
            </w:r>
            <w:r>
              <w:rPr>
                <w:rFonts w:ascii="Times New Roman" w:hAnsi="Times New Roman"/>
              </w:rPr>
              <w:t>mL</w:t>
            </w:r>
            <w:r>
              <w:rPr>
                <w:rFonts w:hint="eastAsia" w:ascii="Times New Roman" w:hAnsi="Times New Roman"/>
              </w:rPr>
              <w:t xml:space="preserve">，或1%甲氨基阿维菌素苯甲酸盐水乳剂100 </w:t>
            </w:r>
            <w:r>
              <w:rPr>
                <w:rFonts w:ascii="Times New Roman" w:hAnsi="Times New Roman"/>
              </w:rPr>
              <w:t>mL</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color w:val="000000"/>
              </w:rPr>
              <w:t>蓟马、灰飞虱、蚜虫</w:t>
            </w:r>
          </w:p>
        </w:tc>
        <w:tc>
          <w:tcPr>
            <w:tcW w:w="2244"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播种前</w:t>
            </w:r>
          </w:p>
        </w:tc>
        <w:tc>
          <w:tcPr>
            <w:tcW w:w="4773" w:type="dxa"/>
            <w:tcBorders>
              <w:top w:val="single" w:color="auto" w:sz="4" w:space="0"/>
              <w:left w:val="single" w:color="auto" w:sz="4" w:space="0"/>
              <w:bottom w:val="single" w:color="auto" w:sz="4" w:space="0"/>
              <w:right w:val="single" w:color="auto" w:sz="4" w:space="0"/>
            </w:tcBorders>
          </w:tcPr>
          <w:p>
            <w:pPr>
              <w:adjustRightInd/>
              <w:spacing w:line="240" w:lineRule="auto"/>
              <w:rPr>
                <w:rFonts w:ascii="Times New Roman" w:hAnsi="Times New Roman"/>
              </w:rPr>
            </w:pPr>
            <w:r>
              <w:rPr>
                <w:rFonts w:hint="eastAsia" w:ascii="Times New Roman" w:hAnsi="Times New Roman"/>
              </w:rPr>
              <w:t>每100</w:t>
            </w:r>
            <w:r>
              <w:rPr>
                <w:rFonts w:ascii="Times New Roman" w:hAnsi="Times New Roman"/>
              </w:rPr>
              <w:t xml:space="preserve"> kg</w:t>
            </w:r>
            <w:r>
              <w:rPr>
                <w:rFonts w:hint="eastAsia" w:ascii="Times New Roman" w:hAnsi="Times New Roman"/>
              </w:rPr>
              <w:t xml:space="preserve">种子选用35%噻虫嗪悬浮种衣剂400 </w:t>
            </w:r>
            <w:r>
              <w:rPr>
                <w:rFonts w:ascii="Times New Roman" w:hAnsi="Times New Roman"/>
              </w:rPr>
              <w:t>mL</w:t>
            </w:r>
            <w:r>
              <w:rPr>
                <w:rFonts w:hint="eastAsia" w:ascii="Times New Roman" w:hAnsi="Times New Roman"/>
              </w:rPr>
              <w:t xml:space="preserve">～600 </w:t>
            </w:r>
            <w:r>
              <w:rPr>
                <w:rFonts w:ascii="Times New Roman" w:hAnsi="Times New Roman"/>
              </w:rPr>
              <w:t>mL</w:t>
            </w:r>
            <w:r>
              <w:rPr>
                <w:rFonts w:hint="eastAsia" w:ascii="Times New Roman" w:hAnsi="Times New Roman"/>
              </w:rPr>
              <w:t xml:space="preserve">，或600 </w:t>
            </w:r>
            <w:r>
              <w:rPr>
                <w:rFonts w:ascii="Times New Roman" w:hAnsi="Times New Roman"/>
              </w:rPr>
              <w:t>g/L</w:t>
            </w:r>
            <w:r>
              <w:rPr>
                <w:rFonts w:hint="eastAsia" w:ascii="Times New Roman" w:hAnsi="Times New Roman"/>
              </w:rPr>
              <w:t xml:space="preserve">吡虫啉悬浮种衣剂200 </w:t>
            </w:r>
            <w:r>
              <w:rPr>
                <w:rFonts w:ascii="Times New Roman" w:hAnsi="Times New Roman"/>
              </w:rPr>
              <w:t>mL</w:t>
            </w:r>
            <w:r>
              <w:rPr>
                <w:rFonts w:hint="eastAsia" w:ascii="Times New Roman" w:hAnsi="Times New Roman"/>
              </w:rPr>
              <w:t xml:space="preserve">～600 </w:t>
            </w:r>
            <w:r>
              <w:rPr>
                <w:rFonts w:ascii="Times New Roman" w:hAnsi="Times New Roman"/>
              </w:rPr>
              <w:t>mL</w:t>
            </w:r>
            <w:r>
              <w:rPr>
                <w:rFonts w:hint="eastAsia" w:ascii="Times New Roman" w:hAnsi="Times New Roman"/>
              </w:rPr>
              <w:t>进行包衣。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红蜘蛛</w:t>
            </w:r>
          </w:p>
        </w:tc>
        <w:tc>
          <w:tcPr>
            <w:tcW w:w="2244"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始发初期</w:t>
            </w:r>
          </w:p>
        </w:tc>
        <w:tc>
          <w:tcPr>
            <w:tcW w:w="4773" w:type="dxa"/>
            <w:tcBorders>
              <w:top w:val="single" w:color="auto" w:sz="4" w:space="0"/>
              <w:left w:val="single" w:color="auto" w:sz="4" w:space="0"/>
              <w:bottom w:val="single" w:color="auto" w:sz="4" w:space="0"/>
              <w:right w:val="single" w:color="auto" w:sz="4" w:space="0"/>
            </w:tcBorders>
          </w:tcPr>
          <w:p>
            <w:pPr>
              <w:adjustRightInd/>
              <w:spacing w:line="240" w:lineRule="auto"/>
              <w:rPr>
                <w:rFonts w:ascii="Times New Roman" w:hAnsi="Times New Roman"/>
              </w:rPr>
            </w:pPr>
            <w:r>
              <w:rPr>
                <w:rFonts w:hint="eastAsia" w:ascii="Times New Roman" w:hAnsi="Times New Roman"/>
              </w:rPr>
              <w:t xml:space="preserve">每666.7㎡喷洒20%的唑螨酯悬浮剂7 </w:t>
            </w:r>
            <w:r>
              <w:rPr>
                <w:rFonts w:ascii="Times New Roman" w:hAnsi="Times New Roman"/>
              </w:rPr>
              <w:t>mL</w:t>
            </w:r>
            <w:r>
              <w:rPr>
                <w:rFonts w:hint="eastAsia" w:ascii="Times New Roman" w:hAnsi="Times New Roman"/>
              </w:rPr>
              <w:t xml:space="preserve">～10 </w:t>
            </w:r>
            <w:r>
              <w:rPr>
                <w:rFonts w:ascii="Times New Roman" w:hAnsi="Times New Roman"/>
              </w:rPr>
              <w:t>mL</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15" w:type="dxa"/>
            <w:tcBorders>
              <w:top w:val="single" w:color="auto" w:sz="4" w:space="0"/>
              <w:left w:val="single" w:color="auto" w:sz="4" w:space="0"/>
              <w:bottom w:val="single" w:color="auto" w:sz="4" w:space="0"/>
              <w:right w:val="single" w:color="auto" w:sz="4" w:space="0"/>
            </w:tcBorders>
          </w:tcPr>
          <w:p>
            <w:pPr>
              <w:adjustRightInd/>
              <w:spacing w:line="240" w:lineRule="auto"/>
              <w:rPr>
                <w:rFonts w:ascii="宋体" w:hAnsi="宋体"/>
              </w:rPr>
            </w:pPr>
            <w:r>
              <w:rPr>
                <w:rFonts w:hint="eastAsia" w:ascii="Times New Roman" w:hAnsi="Times New Roman"/>
              </w:rPr>
              <w:t>蚜虫</w:t>
            </w:r>
          </w:p>
        </w:tc>
        <w:tc>
          <w:tcPr>
            <w:tcW w:w="2244" w:type="dxa"/>
            <w:tcBorders>
              <w:top w:val="single" w:color="auto" w:sz="4" w:space="0"/>
              <w:left w:val="single" w:color="auto" w:sz="4" w:space="0"/>
              <w:bottom w:val="single" w:color="auto" w:sz="4" w:space="0"/>
              <w:right w:val="single" w:color="auto" w:sz="4" w:space="0"/>
            </w:tcBorders>
          </w:tcPr>
          <w:p>
            <w:pPr>
              <w:adjustRightInd/>
              <w:spacing w:line="240" w:lineRule="auto"/>
              <w:rPr>
                <w:rFonts w:ascii="Times New Roman" w:hAnsi="Times New Roman"/>
              </w:rPr>
            </w:pPr>
            <w:r>
              <w:rPr>
                <w:rFonts w:hint="eastAsia" w:ascii="Times New Roman" w:hAnsi="Times New Roman"/>
              </w:rPr>
              <w:t>始发初期</w:t>
            </w:r>
          </w:p>
        </w:tc>
        <w:tc>
          <w:tcPr>
            <w:tcW w:w="4773" w:type="dxa"/>
            <w:tcBorders>
              <w:top w:val="single" w:color="auto" w:sz="4" w:space="0"/>
              <w:left w:val="single" w:color="auto" w:sz="4" w:space="0"/>
              <w:bottom w:val="single" w:color="auto" w:sz="4" w:space="0"/>
              <w:right w:val="single" w:color="auto" w:sz="4" w:space="0"/>
            </w:tcBorders>
          </w:tcPr>
          <w:p>
            <w:pPr>
              <w:adjustRightInd/>
              <w:spacing w:line="240" w:lineRule="auto"/>
              <w:rPr>
                <w:rFonts w:ascii="Times New Roman" w:hAnsi="Times New Roman"/>
              </w:rPr>
            </w:pPr>
            <w:r>
              <w:rPr>
                <w:rFonts w:hint="eastAsia" w:ascii="Times New Roman" w:hAnsi="Times New Roman"/>
              </w:rPr>
              <w:t>每666.7㎡喷洒25</w:t>
            </w:r>
            <w:r>
              <w:rPr>
                <w:rFonts w:ascii="Times New Roman" w:hAnsi="Times New Roman"/>
              </w:rPr>
              <w:t>g/L</w:t>
            </w:r>
            <w:r>
              <w:rPr>
                <w:rFonts w:hint="eastAsia" w:ascii="Times New Roman" w:hAnsi="Times New Roman"/>
              </w:rPr>
              <w:t xml:space="preserve">溴氰菊酯乳油10 </w:t>
            </w:r>
            <w:r>
              <w:rPr>
                <w:rFonts w:ascii="Times New Roman" w:hAnsi="Times New Roman"/>
              </w:rPr>
              <w:t>mL</w:t>
            </w:r>
            <w:r>
              <w:rPr>
                <w:rFonts w:hint="eastAsia" w:ascii="Times New Roman" w:hAnsi="Times New Roman"/>
              </w:rPr>
              <w:t xml:space="preserve">～20 </w:t>
            </w:r>
            <w:r>
              <w:rPr>
                <w:rFonts w:ascii="Times New Roman" w:hAnsi="Times New Roman"/>
              </w:rPr>
              <w:t>mL</w:t>
            </w:r>
            <w:r>
              <w:rPr>
                <w:rFonts w:hint="eastAsia" w:ascii="Times New Roman" w:hAnsi="Times New Roman"/>
              </w:rPr>
              <w:t>,或</w:t>
            </w:r>
            <w:r>
              <w:rPr>
                <w:rFonts w:hint="eastAsia" w:ascii="Times New Roman" w:hAnsi="Times New Roman"/>
                <w:color w:val="000000"/>
              </w:rPr>
              <w:t xml:space="preserve">70%吡虫啉可湿性粉剂5 </w:t>
            </w:r>
            <w:r>
              <w:rPr>
                <w:rFonts w:ascii="Times New Roman" w:hAnsi="Times New Roman"/>
                <w:color w:val="000000"/>
              </w:rPr>
              <w:t>g~</w:t>
            </w:r>
            <w:r>
              <w:rPr>
                <w:rFonts w:hint="eastAsia" w:ascii="Times New Roman" w:hAnsi="Times New Roman"/>
                <w:color w:val="000000"/>
              </w:rPr>
              <w:t xml:space="preserve">6 </w:t>
            </w:r>
            <w:r>
              <w:rPr>
                <w:rFonts w:ascii="Times New Roman" w:hAnsi="Times New Roman"/>
                <w:color w:val="000000"/>
              </w:rPr>
              <w:t>g</w:t>
            </w:r>
            <w:r>
              <w:rPr>
                <w:rFonts w:hint="eastAsia" w:ascii="Times New Roman" w:hAnsi="Times New Roman"/>
                <w:color w:val="000000"/>
              </w:rPr>
              <w:t>，</w:t>
            </w:r>
            <w:r>
              <w:rPr>
                <w:rFonts w:hint="eastAsia" w:ascii="Times New Roman" w:hAnsi="Times New Roman"/>
              </w:rPr>
              <w:t xml:space="preserve">或30%噻虫嗪悬浮剂微囊悬浮剂10 </w:t>
            </w:r>
            <w:r>
              <w:rPr>
                <w:rFonts w:ascii="Times New Roman" w:hAnsi="Times New Roman"/>
              </w:rPr>
              <w:t>mL</w:t>
            </w:r>
            <w:r>
              <w:rPr>
                <w:rFonts w:hint="eastAsia" w:ascii="Times New Roman" w:hAnsi="Times New Roman"/>
              </w:rPr>
              <w:t xml:space="preserve">～15 </w:t>
            </w:r>
            <w:r>
              <w:rPr>
                <w:rFonts w:ascii="Times New Roman" w:hAnsi="Times New Roman"/>
              </w:rPr>
              <w:t>mL</w:t>
            </w:r>
            <w:r>
              <w:rPr>
                <w:rFonts w:hint="eastAsia" w:ascii="Times New Roman" w:hAnsi="Times New Roman"/>
              </w:rPr>
              <w:t>。</w:t>
            </w:r>
          </w:p>
        </w:tc>
      </w:tr>
    </w:tbl>
    <w:p>
      <w:pPr>
        <w:pStyle w:val="56"/>
        <w:ind w:firstLine="420"/>
      </w:pPr>
    </w:p>
    <w:p>
      <w:pPr>
        <w:pStyle w:val="56"/>
        <w:ind w:firstLine="420"/>
      </w:pPr>
    </w:p>
    <w:p>
      <w:pPr>
        <w:pStyle w:val="56"/>
        <w:ind w:firstLine="420"/>
      </w:pPr>
    </w:p>
    <w:p>
      <w:pPr>
        <w:pStyle w:val="56"/>
        <w:ind w:firstLine="420"/>
        <w:sectPr>
          <w:pgSz w:w="11906" w:h="16838"/>
          <w:pgMar w:top="2410"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before="78" w:after="156"/>
      </w:pPr>
      <w:r>
        <w:br w:type="textWrapping"/>
      </w:r>
      <w:bookmarkStart w:id="82" w:name="_Toc181975553"/>
      <w:bookmarkStart w:id="83" w:name="_Toc181975574"/>
      <w:r>
        <w:rPr>
          <w:rFonts w:hint="eastAsia"/>
        </w:rPr>
        <w:t>（资料性）</w:t>
      </w:r>
      <w:r>
        <w:br w:type="textWrapping"/>
      </w:r>
      <w:r>
        <w:rPr>
          <w:rFonts w:hint="eastAsia"/>
        </w:rPr>
        <w:t>玉米害防治使用药剂见表C.1</w:t>
      </w:r>
      <w:bookmarkEnd w:id="82"/>
      <w:bookmarkEnd w:id="83"/>
    </w:p>
    <w:p>
      <w:pPr>
        <w:pStyle w:val="77"/>
        <w:spacing w:before="156" w:after="156"/>
      </w:pPr>
      <w:r>
        <w:rPr>
          <w:rFonts w:hint="eastAsia"/>
        </w:rPr>
        <w:t>玉米</w:t>
      </w:r>
      <w:r>
        <w:t>草</w:t>
      </w:r>
      <w:r>
        <w:rPr>
          <w:rFonts w:hint="eastAsia"/>
        </w:rPr>
        <w:t>害</w:t>
      </w:r>
      <w:r>
        <w:t>防治使用</w:t>
      </w:r>
      <w:r>
        <w:rPr>
          <w:rFonts w:hint="eastAsia"/>
        </w:rPr>
        <w:t>药剂</w:t>
      </w:r>
      <w:r>
        <w:t>推荐表</w:t>
      </w:r>
    </w:p>
    <w:tbl>
      <w:tblPr>
        <w:tblStyle w:val="2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gridCol w:w="3443"/>
        <w:gridCol w:w="3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rPr>
                <w:rFonts w:ascii="宋体" w:hAnsi="宋体" w:cs="宋体"/>
                <w:kern w:val="0"/>
              </w:rPr>
            </w:pPr>
            <w:r>
              <w:rPr>
                <w:rFonts w:hint="eastAsia" w:ascii="宋体" w:hAnsi="宋体" w:cs="宋体"/>
                <w:kern w:val="0"/>
              </w:rPr>
              <w:t>类别</w:t>
            </w:r>
          </w:p>
        </w:tc>
        <w:tc>
          <w:tcPr>
            <w:tcW w:w="3443"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jc w:val="center"/>
              <w:rPr>
                <w:rFonts w:ascii="宋体" w:hAnsi="宋体" w:cs="宋体"/>
                <w:kern w:val="0"/>
              </w:rPr>
            </w:pPr>
            <w:r>
              <w:rPr>
                <w:rFonts w:hint="eastAsia" w:ascii="宋体" w:hAnsi="宋体" w:cs="宋体"/>
                <w:kern w:val="0"/>
              </w:rPr>
              <w:t>推荐除草剂名称</w:t>
            </w:r>
          </w:p>
        </w:tc>
        <w:tc>
          <w:tcPr>
            <w:tcW w:w="3710"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jc w:val="center"/>
              <w:rPr>
                <w:rFonts w:ascii="宋体" w:hAnsi="宋体" w:cs="宋体"/>
                <w:kern w:val="0"/>
              </w:rPr>
            </w:pPr>
            <w:r>
              <w:rPr>
                <w:rFonts w:hint="eastAsia" w:ascii="宋体" w:hAnsi="宋体" w:cs="宋体"/>
                <w:kern w:val="0"/>
              </w:rPr>
              <w:t>推荐用药量</w:t>
            </w:r>
          </w:p>
          <w:p>
            <w:pPr>
              <w:widowControl/>
              <w:autoSpaceDE w:val="0"/>
              <w:autoSpaceDN w:val="0"/>
              <w:adjustRightInd/>
              <w:spacing w:line="240" w:lineRule="auto"/>
              <w:ind w:firstLine="420" w:firstLineChars="200"/>
              <w:jc w:val="center"/>
              <w:rPr>
                <w:rFonts w:ascii="宋体" w:hAnsi="宋体" w:cs="宋体"/>
                <w:kern w:val="0"/>
              </w:rPr>
            </w:pPr>
            <w:r>
              <w:rPr>
                <w:rFonts w:hint="eastAsia" w:ascii="宋体" w:hAnsi="宋体" w:cs="宋体"/>
                <w:kern w:val="0"/>
              </w:rPr>
              <w:t>（每</w:t>
            </w:r>
            <w:r>
              <w:rPr>
                <w:rFonts w:hint="eastAsia" w:ascii="宋体" w:hAnsi="宋体" w:cs="宋体"/>
                <w:color w:val="000000"/>
                <w:kern w:val="0"/>
              </w:rPr>
              <w:t>666.7m</w:t>
            </w:r>
            <w:r>
              <w:rPr>
                <w:rFonts w:hint="eastAsia" w:ascii="宋体" w:hAnsi="宋体" w:cs="宋体"/>
                <w:color w:val="000000"/>
                <w:kern w:val="0"/>
                <w:vertAlign w:val="superscript"/>
              </w:rPr>
              <w:t>2</w:t>
            </w:r>
            <w:r>
              <w:rPr>
                <w:rFonts w:hint="eastAsia" w:ascii="宋体" w:hAnsi="宋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Merge w:val="restart"/>
            <w:tcBorders>
              <w:top w:val="nil"/>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rPr>
                <w:rFonts w:ascii="宋体" w:hAnsi="宋体" w:cs="宋体"/>
                <w:kern w:val="0"/>
              </w:rPr>
            </w:pPr>
            <w:r>
              <w:rPr>
                <w:rFonts w:hint="eastAsia" w:ascii="宋体" w:hAnsi="宋体" w:cs="宋体"/>
                <w:kern w:val="0"/>
              </w:rPr>
              <w:t>苗前</w:t>
            </w:r>
          </w:p>
        </w:tc>
        <w:tc>
          <w:tcPr>
            <w:tcW w:w="3443"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jc w:val="center"/>
              <w:rPr>
                <w:rFonts w:ascii="宋体" w:hAnsi="宋体" w:cs="宋体"/>
                <w:kern w:val="0"/>
              </w:rPr>
            </w:pPr>
            <w:r>
              <w:rPr>
                <w:rFonts w:hint="eastAsia" w:ascii="宋体" w:hAnsi="宋体" w:cs="宋体"/>
                <w:kern w:val="0"/>
              </w:rPr>
              <w:t>50%乙草胺乳油</w:t>
            </w:r>
          </w:p>
        </w:tc>
        <w:tc>
          <w:tcPr>
            <w:tcW w:w="3710"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jc w:val="center"/>
              <w:rPr>
                <w:rFonts w:ascii="宋体" w:hAnsi="宋体" w:cs="宋体"/>
                <w:kern w:val="0"/>
              </w:rPr>
            </w:pPr>
            <w:r>
              <w:rPr>
                <w:rFonts w:hint="eastAsia" w:ascii="宋体" w:hAnsi="宋体" w:cs="宋体"/>
                <w:kern w:val="0"/>
              </w:rPr>
              <w:t>80-150mL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cs="宋体"/>
                <w:kern w:val="0"/>
              </w:rPr>
            </w:pPr>
          </w:p>
        </w:tc>
        <w:tc>
          <w:tcPr>
            <w:tcW w:w="3443"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jc w:val="center"/>
              <w:rPr>
                <w:rFonts w:ascii="宋体" w:hAnsi="宋体" w:cs="宋体"/>
                <w:kern w:val="0"/>
              </w:rPr>
            </w:pPr>
            <w:r>
              <w:rPr>
                <w:rFonts w:hint="eastAsia" w:ascii="宋体" w:hAnsi="宋体" w:cs="宋体"/>
                <w:kern w:val="0"/>
              </w:rPr>
              <w:t>50%异丙草胺乳油</w:t>
            </w:r>
          </w:p>
        </w:tc>
        <w:tc>
          <w:tcPr>
            <w:tcW w:w="3710"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jc w:val="center"/>
              <w:rPr>
                <w:rFonts w:ascii="宋体" w:hAnsi="宋体" w:cs="宋体"/>
                <w:kern w:val="0"/>
              </w:rPr>
            </w:pPr>
            <w:r>
              <w:rPr>
                <w:rFonts w:hint="eastAsia" w:ascii="宋体" w:hAnsi="宋体" w:cs="宋体"/>
                <w:kern w:val="0"/>
              </w:rPr>
              <w:t>100-140mL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cs="宋体"/>
                <w:kern w:val="0"/>
              </w:rPr>
            </w:pPr>
          </w:p>
        </w:tc>
        <w:tc>
          <w:tcPr>
            <w:tcW w:w="3443"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jc w:val="center"/>
              <w:rPr>
                <w:rFonts w:ascii="宋体" w:hAnsi="宋体" w:cs="宋体"/>
                <w:kern w:val="0"/>
              </w:rPr>
            </w:pPr>
            <w:r>
              <w:rPr>
                <w:rFonts w:hint="eastAsia" w:ascii="宋体" w:hAnsi="宋体" w:cs="宋体"/>
                <w:kern w:val="0"/>
              </w:rPr>
              <w:t>72%异丙甲草胺乳油</w:t>
            </w:r>
          </w:p>
        </w:tc>
        <w:tc>
          <w:tcPr>
            <w:tcW w:w="3710"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jc w:val="center"/>
              <w:rPr>
                <w:rFonts w:ascii="宋体" w:hAnsi="宋体" w:cs="宋体"/>
                <w:kern w:val="0"/>
              </w:rPr>
            </w:pPr>
            <w:r>
              <w:rPr>
                <w:rFonts w:hint="eastAsia" w:ascii="宋体" w:hAnsi="宋体" w:cs="宋体"/>
                <w:kern w:val="0"/>
              </w:rPr>
              <w:t>150-200mL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cs="宋体"/>
                <w:kern w:val="0"/>
              </w:rPr>
            </w:pPr>
          </w:p>
        </w:tc>
        <w:tc>
          <w:tcPr>
            <w:tcW w:w="3443"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jc w:val="center"/>
              <w:rPr>
                <w:rFonts w:ascii="宋体" w:hAnsi="宋体" w:cs="宋体"/>
                <w:kern w:val="0"/>
              </w:rPr>
            </w:pPr>
            <w:r>
              <w:rPr>
                <w:rFonts w:hint="eastAsia" w:ascii="宋体" w:hAnsi="宋体" w:cs="宋体"/>
                <w:kern w:val="0"/>
              </w:rPr>
              <w:t>75%异噁唑草酮水分散粒剂</w:t>
            </w:r>
          </w:p>
        </w:tc>
        <w:tc>
          <w:tcPr>
            <w:tcW w:w="3710"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jc w:val="center"/>
              <w:rPr>
                <w:rFonts w:ascii="宋体" w:hAnsi="宋体" w:cs="宋体"/>
                <w:kern w:val="0"/>
              </w:rPr>
            </w:pPr>
            <w:r>
              <w:rPr>
                <w:rFonts w:hint="eastAsia" w:ascii="宋体" w:hAnsi="宋体" w:cs="宋体"/>
                <w:kern w:val="0"/>
              </w:rPr>
              <w:t>8-10g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cs="宋体"/>
                <w:kern w:val="0"/>
              </w:rPr>
            </w:pPr>
          </w:p>
        </w:tc>
        <w:tc>
          <w:tcPr>
            <w:tcW w:w="3443"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jc w:val="center"/>
              <w:rPr>
                <w:rFonts w:ascii="宋体" w:hAnsi="宋体" w:cs="宋体"/>
                <w:kern w:val="0"/>
              </w:rPr>
            </w:pPr>
            <w:r>
              <w:rPr>
                <w:rFonts w:hint="eastAsia" w:ascii="宋体" w:hAnsi="宋体" w:cs="宋体"/>
                <w:kern w:val="0"/>
              </w:rPr>
              <w:t>50%莠去津可湿性粉剂</w:t>
            </w:r>
          </w:p>
        </w:tc>
        <w:tc>
          <w:tcPr>
            <w:tcW w:w="3710"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jc w:val="center"/>
              <w:rPr>
                <w:rFonts w:ascii="宋体" w:hAnsi="宋体" w:cs="宋体"/>
                <w:kern w:val="0"/>
              </w:rPr>
            </w:pPr>
            <w:r>
              <w:rPr>
                <w:rFonts w:hint="eastAsia" w:ascii="宋体" w:hAnsi="宋体" w:cs="宋体"/>
                <w:kern w:val="0"/>
              </w:rPr>
              <w:t>150-200g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cs="宋体"/>
                <w:kern w:val="0"/>
              </w:rPr>
            </w:pPr>
          </w:p>
        </w:tc>
        <w:tc>
          <w:tcPr>
            <w:tcW w:w="3443"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jc w:val="center"/>
              <w:rPr>
                <w:rFonts w:ascii="宋体" w:hAnsi="宋体" w:cs="宋体"/>
                <w:kern w:val="0"/>
              </w:rPr>
            </w:pPr>
            <w:r>
              <w:rPr>
                <w:rFonts w:hint="eastAsia" w:ascii="宋体" w:hAnsi="宋体" w:cs="宋体"/>
                <w:kern w:val="0"/>
              </w:rPr>
              <w:t>80%唑嘧磺草胺水分散粒剂</w:t>
            </w:r>
          </w:p>
        </w:tc>
        <w:tc>
          <w:tcPr>
            <w:tcW w:w="3710"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jc w:val="center"/>
              <w:rPr>
                <w:rFonts w:ascii="宋体" w:hAnsi="宋体" w:cs="宋体"/>
                <w:kern w:val="0"/>
              </w:rPr>
            </w:pPr>
            <w:r>
              <w:rPr>
                <w:rFonts w:hint="eastAsia" w:ascii="宋体" w:hAnsi="宋体" w:cs="宋体"/>
                <w:kern w:val="0"/>
              </w:rPr>
              <w:t>2-3g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14" w:type="dxa"/>
            <w:vMerge w:val="restart"/>
            <w:tcBorders>
              <w:top w:val="nil"/>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rPr>
                <w:rFonts w:ascii="宋体" w:hAnsi="宋体" w:cs="宋体"/>
                <w:kern w:val="0"/>
              </w:rPr>
            </w:pPr>
            <w:r>
              <w:rPr>
                <w:rFonts w:hint="eastAsia" w:ascii="宋体" w:hAnsi="宋体" w:cs="宋体"/>
                <w:kern w:val="0"/>
              </w:rPr>
              <w:t>苗后</w:t>
            </w:r>
          </w:p>
        </w:tc>
        <w:tc>
          <w:tcPr>
            <w:tcW w:w="3443"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jc w:val="center"/>
              <w:rPr>
                <w:rFonts w:ascii="宋体" w:hAnsi="宋体" w:cs="宋体"/>
                <w:kern w:val="0"/>
              </w:rPr>
            </w:pPr>
            <w:r>
              <w:rPr>
                <w:rFonts w:hint="eastAsia" w:ascii="宋体" w:hAnsi="宋体" w:cs="宋体"/>
                <w:kern w:val="0"/>
              </w:rPr>
              <w:t>40g/L烟嘧磺隆可分散油悬浮剂</w:t>
            </w:r>
          </w:p>
        </w:tc>
        <w:tc>
          <w:tcPr>
            <w:tcW w:w="3710"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jc w:val="center"/>
              <w:rPr>
                <w:rFonts w:ascii="宋体" w:hAnsi="宋体" w:cs="宋体"/>
                <w:kern w:val="0"/>
              </w:rPr>
            </w:pPr>
            <w:r>
              <w:rPr>
                <w:rFonts w:hint="eastAsia" w:ascii="宋体" w:hAnsi="宋体" w:cs="宋体"/>
                <w:kern w:val="0"/>
              </w:rPr>
              <w:t>80-100mL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cs="宋体"/>
                <w:kern w:val="0"/>
              </w:rPr>
            </w:pPr>
          </w:p>
        </w:tc>
        <w:tc>
          <w:tcPr>
            <w:tcW w:w="3443"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jc w:val="center"/>
              <w:rPr>
                <w:rFonts w:ascii="宋体" w:hAnsi="宋体" w:cs="宋体"/>
                <w:kern w:val="0"/>
              </w:rPr>
            </w:pPr>
            <w:r>
              <w:rPr>
                <w:rFonts w:hint="eastAsia" w:ascii="宋体" w:hAnsi="宋体" w:cs="宋体"/>
                <w:kern w:val="0"/>
              </w:rPr>
              <w:t>20%硝磺草酮可分散油悬浮剂</w:t>
            </w:r>
          </w:p>
        </w:tc>
        <w:tc>
          <w:tcPr>
            <w:tcW w:w="3710"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jc w:val="center"/>
              <w:rPr>
                <w:rFonts w:ascii="宋体" w:hAnsi="宋体" w:cs="宋体"/>
                <w:kern w:val="0"/>
              </w:rPr>
            </w:pPr>
            <w:r>
              <w:rPr>
                <w:rFonts w:hint="eastAsia" w:ascii="宋体" w:hAnsi="宋体" w:cs="宋体"/>
                <w:kern w:val="0"/>
              </w:rPr>
              <w:t>80-120mL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cs="宋体"/>
                <w:kern w:val="0"/>
              </w:rPr>
            </w:pPr>
          </w:p>
        </w:tc>
        <w:tc>
          <w:tcPr>
            <w:tcW w:w="3443"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jc w:val="center"/>
              <w:rPr>
                <w:rFonts w:ascii="宋体" w:hAnsi="宋体" w:cs="宋体"/>
                <w:kern w:val="0"/>
              </w:rPr>
            </w:pPr>
            <w:r>
              <w:rPr>
                <w:rFonts w:hint="eastAsia" w:ascii="宋体" w:hAnsi="宋体" w:cs="宋体"/>
                <w:kern w:val="0"/>
              </w:rPr>
              <w:t>30%苯唑草酮可分散油悬浮剂</w:t>
            </w:r>
          </w:p>
        </w:tc>
        <w:tc>
          <w:tcPr>
            <w:tcW w:w="3710"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jc w:val="center"/>
              <w:rPr>
                <w:rFonts w:ascii="宋体" w:hAnsi="宋体" w:cs="宋体"/>
                <w:kern w:val="0"/>
              </w:rPr>
            </w:pPr>
            <w:r>
              <w:rPr>
                <w:rFonts w:hint="eastAsia" w:ascii="宋体" w:hAnsi="宋体" w:cs="宋体"/>
                <w:kern w:val="0"/>
              </w:rPr>
              <w:t>5-6mL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cs="宋体"/>
                <w:kern w:val="0"/>
              </w:rPr>
            </w:pPr>
          </w:p>
        </w:tc>
        <w:tc>
          <w:tcPr>
            <w:tcW w:w="3443"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jc w:val="center"/>
              <w:rPr>
                <w:rFonts w:ascii="宋体" w:hAnsi="宋体" w:cs="宋体"/>
                <w:kern w:val="0"/>
              </w:rPr>
            </w:pPr>
            <w:r>
              <w:rPr>
                <w:rFonts w:hint="eastAsia" w:ascii="宋体" w:hAnsi="宋体" w:cs="宋体"/>
                <w:kern w:val="0"/>
              </w:rPr>
              <w:t>200g/L氯氟吡氧乙酸乳油</w:t>
            </w:r>
          </w:p>
        </w:tc>
        <w:tc>
          <w:tcPr>
            <w:tcW w:w="3710"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spacing w:line="240" w:lineRule="auto"/>
              <w:ind w:firstLine="420" w:firstLineChars="200"/>
              <w:jc w:val="center"/>
              <w:rPr>
                <w:rFonts w:ascii="宋体" w:hAnsi="宋体" w:cs="宋体"/>
                <w:kern w:val="0"/>
              </w:rPr>
            </w:pPr>
            <w:r>
              <w:rPr>
                <w:rFonts w:hint="eastAsia" w:ascii="宋体" w:hAnsi="宋体" w:cs="宋体"/>
                <w:kern w:val="0"/>
              </w:rPr>
              <w:t>50-70mL</w:t>
            </w:r>
          </w:p>
        </w:tc>
      </w:tr>
    </w:tbl>
    <w:p>
      <w:pPr>
        <w:pStyle w:val="56"/>
        <w:ind w:firstLine="420"/>
      </w:pPr>
    </w:p>
    <w:p>
      <w:pPr>
        <w:pStyle w:val="56"/>
        <w:ind w:firstLine="420"/>
        <w:sectPr>
          <w:pgSz w:w="11906" w:h="16838"/>
          <w:pgMar w:top="2410"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before="78" w:after="156"/>
      </w:pPr>
      <w:r>
        <w:br w:type="textWrapping"/>
      </w:r>
      <w:bookmarkStart w:id="84" w:name="_Toc181975554"/>
      <w:bookmarkStart w:id="85" w:name="_Toc181975575"/>
      <w:r>
        <w:rPr>
          <w:rFonts w:hint="eastAsia"/>
        </w:rPr>
        <w:t>（资料性）</w:t>
      </w:r>
      <w:r>
        <w:br w:type="textWrapping"/>
      </w:r>
      <w:r>
        <w:rPr>
          <w:rFonts w:hint="eastAsia"/>
        </w:rPr>
        <w:t>玉米病害症状详单</w:t>
      </w:r>
      <w:bookmarkEnd w:id="84"/>
      <w:bookmarkEnd w:id="85"/>
    </w:p>
    <w:p>
      <w:pPr>
        <w:pStyle w:val="78"/>
        <w:spacing w:before="156" w:after="156"/>
        <w:rPr>
          <w:kern w:val="0"/>
          <w:szCs w:val="21"/>
        </w:rPr>
      </w:pPr>
      <w:r>
        <w:rPr>
          <w:rFonts w:hint="eastAsia"/>
        </w:rPr>
        <w:t xml:space="preserve"> </w:t>
      </w:r>
      <w:bookmarkStart w:id="86" w:name="_Toc181975555"/>
      <w:r>
        <w:rPr>
          <w:rFonts w:hint="eastAsia"/>
        </w:rPr>
        <w:t>矮花叶病</w:t>
      </w:r>
      <w:bookmarkEnd w:id="86"/>
      <w:r>
        <w:rPr>
          <w:rFonts w:hint="eastAsia"/>
        </w:rPr>
        <w:t xml:space="preserve"> </w:t>
      </w:r>
    </w:p>
    <w:p>
      <w:pPr>
        <w:pStyle w:val="56"/>
        <w:ind w:firstLine="420"/>
        <w:rPr>
          <w:kern w:val="2"/>
          <w:szCs w:val="21"/>
        </w:rPr>
      </w:pPr>
      <w:r>
        <w:rPr>
          <w:rFonts w:hint="eastAsia"/>
        </w:rPr>
        <w:t>玉米3叶期即可出现症状，在心叶基部叶脉间出现许多椭圆形褪绿色小点，沿叶脉发展为断续的条点状，病斑逐渐扩展，形成较宽的褪绿色条纹，至全叶形成黄、绿两色相间的花叶症状。感病品种苗期感病后，株高仅为正常植株的1/3-1/2，叶片变黄，不能抽穗或抽而不实。</w:t>
      </w:r>
    </w:p>
    <w:p>
      <w:pPr>
        <w:pStyle w:val="78"/>
        <w:spacing w:before="156" w:after="156"/>
        <w:rPr>
          <w:kern w:val="0"/>
          <w:szCs w:val="21"/>
        </w:rPr>
      </w:pPr>
      <w:bookmarkStart w:id="87" w:name="_Toc181975556"/>
      <w:r>
        <w:rPr>
          <w:rFonts w:hint="eastAsia"/>
        </w:rPr>
        <w:t>粗缩病</w:t>
      </w:r>
      <w:bookmarkEnd w:id="87"/>
    </w:p>
    <w:p>
      <w:pPr>
        <w:pStyle w:val="56"/>
        <w:ind w:firstLine="420"/>
        <w:rPr>
          <w:rFonts w:hAnsi="宋体"/>
          <w:kern w:val="2"/>
          <w:szCs w:val="21"/>
        </w:rPr>
      </w:pPr>
      <w:r>
        <w:rPr>
          <w:rFonts w:hint="eastAsia" w:hAnsi="宋体"/>
          <w:color w:val="000000"/>
        </w:rPr>
        <w:t>苗期受害最重，开始在心叶基部及中脉两侧产生透明的油浸状褪绿虚线条点，逐渐扩至整个叶片。植株叶片宽短僵直，叶色浓绿，节间粗短，顶叶簇生状如君子兰。叶背、叶鞘及</w:t>
      </w:r>
      <w:r>
        <w:fldChar w:fldCharType="begin"/>
      </w:r>
      <w:r>
        <w:instrText xml:space="preserve"> HYPERLINK "http://www.so.com/s?q=%E8%8B%9E%E5%8F%B6&amp;ie=utf-8&amp;src=internal_wenda_recommend_textn" </w:instrText>
      </w:r>
      <w:r>
        <w:fldChar w:fldCharType="separate"/>
      </w:r>
      <w:r>
        <w:rPr>
          <w:rStyle w:val="32"/>
          <w:rFonts w:hint="eastAsia" w:hAnsi="宋体"/>
          <w:color w:val="000000"/>
        </w:rPr>
        <w:t>苞叶</w:t>
      </w:r>
      <w:r>
        <w:rPr>
          <w:rStyle w:val="32"/>
          <w:rFonts w:hint="eastAsia" w:hAnsi="宋体"/>
          <w:color w:val="000000"/>
        </w:rPr>
        <w:fldChar w:fldCharType="end"/>
      </w:r>
      <w:r>
        <w:rPr>
          <w:rFonts w:hint="eastAsia" w:hAnsi="宋体"/>
          <w:color w:val="000000"/>
        </w:rPr>
        <w:t>的叶脉上具有粗细不一的蜡白色条状突起，有明显的粗糙感。至</w:t>
      </w:r>
      <w:r>
        <w:rPr>
          <w:rFonts w:hint="eastAsia"/>
          <w:color w:val="000000"/>
        </w:rPr>
        <w:t>9至10</w:t>
      </w:r>
      <w:r>
        <w:fldChar w:fldCharType="begin"/>
      </w:r>
      <w:r>
        <w:instrText xml:space="preserve"> HYPERLINK "http://www.so.com/s?q=%E5%8F%B6%E6%9C%9F&amp;ie=utf-8&amp;src=internal_wenda_recommend_textn" </w:instrText>
      </w:r>
      <w:r>
        <w:fldChar w:fldCharType="separate"/>
      </w:r>
      <w:r>
        <w:rPr>
          <w:rStyle w:val="32"/>
          <w:rFonts w:hint="eastAsia" w:hAnsi="宋体"/>
          <w:color w:val="000000"/>
        </w:rPr>
        <w:t>叶期</w:t>
      </w:r>
      <w:r>
        <w:rPr>
          <w:rStyle w:val="32"/>
          <w:rFonts w:hint="eastAsia" w:hAnsi="宋体"/>
          <w:color w:val="000000"/>
        </w:rPr>
        <w:fldChar w:fldCharType="end"/>
      </w:r>
      <w:r>
        <w:rPr>
          <w:rFonts w:hint="eastAsia" w:hAnsi="宋体"/>
          <w:color w:val="000000"/>
        </w:rPr>
        <w:t>，病株矮化现象更为明显，高度不到健株一半，雄穗退化，雌穗畸形，严重时不能结实。</w:t>
      </w:r>
    </w:p>
    <w:p>
      <w:pPr>
        <w:pStyle w:val="78"/>
        <w:spacing w:before="156" w:after="156"/>
        <w:rPr>
          <w:kern w:val="2"/>
          <w:szCs w:val="21"/>
        </w:rPr>
      </w:pPr>
      <w:bookmarkStart w:id="88" w:name="_Toc181975557"/>
      <w:r>
        <w:rPr>
          <w:rFonts w:hint="eastAsia"/>
        </w:rPr>
        <w:t>丝黑穗病</w:t>
      </w:r>
      <w:bookmarkEnd w:id="88"/>
    </w:p>
    <w:p>
      <w:pPr>
        <w:pStyle w:val="56"/>
        <w:ind w:firstLine="420"/>
        <w:rPr>
          <w:szCs w:val="21"/>
        </w:rPr>
      </w:pPr>
      <w:r>
        <w:rPr>
          <w:rFonts w:hint="eastAsia"/>
        </w:rPr>
        <w:t>雄性花器变形，雄花基部膨大，内为一包黑粉，不能形成雄穗。雌穗受害果穗变短，基部粗大，除苞叶外，整个果穗为一包黑粉和散乱的丝状物。</w:t>
      </w:r>
    </w:p>
    <w:p>
      <w:pPr>
        <w:pStyle w:val="78"/>
        <w:spacing w:before="156" w:after="156"/>
        <w:rPr>
          <w:kern w:val="2"/>
          <w:szCs w:val="21"/>
        </w:rPr>
      </w:pPr>
      <w:bookmarkStart w:id="89" w:name="_Toc181975558"/>
      <w:r>
        <w:rPr>
          <w:rFonts w:hint="eastAsia"/>
        </w:rPr>
        <w:t>瘤黑粉病</w:t>
      </w:r>
      <w:bookmarkEnd w:id="89"/>
    </w:p>
    <w:p>
      <w:pPr>
        <w:pStyle w:val="56"/>
        <w:ind w:firstLine="420"/>
        <w:rPr>
          <w:szCs w:val="21"/>
        </w:rPr>
      </w:pPr>
      <w:r>
        <w:rPr>
          <w:rFonts w:hint="eastAsia"/>
        </w:rPr>
        <w:t>植株地上幼嫩组织和器官均可发病，病部的典型特征是产生肿瘤。病瘤初呈银白色，有光泽，内部白色，肉质多汁，并迅速膨大，常能冲破苞叶而外露，表面变暗，略带淡紫红色，内部则变灰至黑色，失水后当外膜破裂时，散出大量黑粉。果穗发病可部分或全部变成较大肿瘤，叶上发病则形成密集成串小瘤。</w:t>
      </w:r>
    </w:p>
    <w:p>
      <w:pPr>
        <w:pStyle w:val="78"/>
        <w:spacing w:before="156" w:after="156"/>
        <w:rPr>
          <w:kern w:val="2"/>
          <w:szCs w:val="21"/>
        </w:rPr>
      </w:pPr>
      <w:bookmarkStart w:id="90" w:name="_Toc181975559"/>
      <w:r>
        <w:rPr>
          <w:rFonts w:hint="eastAsia"/>
        </w:rPr>
        <w:t>大斑病</w:t>
      </w:r>
      <w:bookmarkEnd w:id="90"/>
    </w:p>
    <w:p>
      <w:pPr>
        <w:pStyle w:val="56"/>
        <w:ind w:firstLine="420"/>
        <w:rPr>
          <w:kern w:val="2"/>
          <w:szCs w:val="21"/>
        </w:rPr>
      </w:pPr>
      <w:r>
        <w:rPr>
          <w:rFonts w:hint="eastAsia"/>
        </w:rPr>
        <w:t>玉米大斑病通常从下部叶片开始发病，逐渐向上扩展。发病初期，叶片上会出现水渍状青灰色或灰绿色小斑点，然后沿叶脉向两端扩展，形成中央为黄褐色或青灰色、边缘为暗褐色的棱形斑。病斑中间颜色较浅，边缘较深。在严重发病时，多个病斑连片，导致植株枯死。</w:t>
      </w:r>
    </w:p>
    <w:p>
      <w:pPr>
        <w:pStyle w:val="78"/>
        <w:spacing w:before="156" w:after="156"/>
        <w:rPr>
          <w:kern w:val="2"/>
          <w:szCs w:val="21"/>
        </w:rPr>
      </w:pPr>
      <w:bookmarkStart w:id="91" w:name="_Toc181975560"/>
      <w:r>
        <w:rPr>
          <w:rFonts w:hint="eastAsia"/>
        </w:rPr>
        <w:t>纹枯病</w:t>
      </w:r>
      <w:bookmarkEnd w:id="91"/>
    </w:p>
    <w:p>
      <w:pPr>
        <w:pStyle w:val="56"/>
        <w:ind w:firstLine="420"/>
        <w:rPr>
          <w:kern w:val="2"/>
          <w:szCs w:val="21"/>
        </w:rPr>
      </w:pPr>
      <w:r>
        <w:rPr>
          <w:rFonts w:hint="eastAsia"/>
        </w:rPr>
        <w:t>玉米纹枯病主要危害玉米叶鞘、叶片、茎秆和果穗。发病初期多在基部1-2茎节叶鞘上产生暗绿色水渍状病斑，后扩展合成不规则或云纹状大病斑。病斑中部灰褐色，边缘深褐色，由下向上蔓延扩展。果穗发病后秃顶，籽粒细扁或变褐腐烂。严重时根茎部组织变为灰白色，次生根黄褐色或腐烂。</w:t>
      </w:r>
    </w:p>
    <w:p>
      <w:pPr>
        <w:pStyle w:val="78"/>
        <w:spacing w:before="156" w:after="156"/>
        <w:rPr>
          <w:kern w:val="2"/>
          <w:szCs w:val="21"/>
        </w:rPr>
      </w:pPr>
      <w:bookmarkStart w:id="92" w:name="_Toc181975561"/>
      <w:r>
        <w:rPr>
          <w:rFonts w:hint="eastAsia"/>
        </w:rPr>
        <w:t>茎腐病</w:t>
      </w:r>
      <w:bookmarkEnd w:id="92"/>
    </w:p>
    <w:p>
      <w:pPr>
        <w:pStyle w:val="56"/>
        <w:ind w:firstLine="420"/>
        <w:rPr>
          <w:szCs w:val="21"/>
        </w:rPr>
      </w:pPr>
      <w:r>
        <w:rPr>
          <w:rFonts w:hint="eastAsia"/>
        </w:rPr>
        <w:t>一般在玉米灌浆期开始发病，乳熟期末期至蜡熟期为显症高峰期。茎部症状开始在茎基节间产生纵向扩展的不规则状褐色病魔，随后缢缩，变软或变硬，后期茎内部空松。</w:t>
      </w:r>
    </w:p>
    <w:p>
      <w:pPr>
        <w:pStyle w:val="78"/>
        <w:spacing w:before="156" w:after="156"/>
        <w:rPr>
          <w:kern w:val="2"/>
          <w:szCs w:val="21"/>
        </w:rPr>
      </w:pPr>
      <w:bookmarkStart w:id="93" w:name="_Toc181975562"/>
      <w:r>
        <w:rPr>
          <w:rFonts w:hint="eastAsia"/>
        </w:rPr>
        <w:t>穗腐病</w:t>
      </w:r>
      <w:bookmarkEnd w:id="93"/>
    </w:p>
    <w:p>
      <w:pPr>
        <w:pStyle w:val="56"/>
        <w:ind w:firstLine="420"/>
        <w:rPr>
          <w:szCs w:val="21"/>
        </w:rPr>
      </w:pPr>
      <w:r>
        <w:rPr>
          <w:rFonts w:hint="eastAsia"/>
        </w:rPr>
        <w:t>玉米果穗顶端或中部变色，出现粉红色、蓝绿色、黑灰色、暗褐色或黄褐色霉层。病粒无光泽，不饱满，质脆，内部空虚。</w:t>
      </w:r>
    </w:p>
    <w:p>
      <w:pPr>
        <w:pStyle w:val="78"/>
        <w:spacing w:before="156" w:after="156"/>
        <w:rPr>
          <w:kern w:val="2"/>
          <w:szCs w:val="21"/>
        </w:rPr>
      </w:pPr>
      <w:bookmarkStart w:id="94" w:name="_Toc181975563"/>
      <w:r>
        <w:rPr>
          <w:rFonts w:hint="eastAsia"/>
        </w:rPr>
        <w:t>玉米缺素症</w:t>
      </w:r>
      <w:bookmarkEnd w:id="94"/>
    </w:p>
    <w:p>
      <w:pPr>
        <w:pStyle w:val="56"/>
        <w:ind w:firstLine="420"/>
        <w:rPr>
          <w:rFonts w:hint="eastAsia"/>
        </w:rPr>
      </w:pPr>
      <w:r>
        <w:rPr>
          <w:rFonts w:hint="eastAsia"/>
        </w:rPr>
        <w:t>幼苗矮化、瘦弱、叶丛黄绿，叶片从叶尖延中脉变黄，形成“Ｖ”形黄化部分，至全株黄化，严重缺氮，植株穗小时补充氮肥。叶尖叶缘失绿呈紫红色，以后变成暗紫褐色，果穗小或歪扭时补充磷肥。肥料施用执行 NY/T 496 《肥料合理使用准则  通则》的规定。</w:t>
      </w:r>
    </w:p>
    <w:p>
      <w:pPr>
        <w:pStyle w:val="56"/>
        <w:ind w:firstLine="420"/>
        <w:rPr>
          <w:rFonts w:hint="eastAsia"/>
          <w:szCs w:val="21"/>
        </w:rPr>
      </w:pPr>
    </w:p>
    <w:p>
      <w:pPr>
        <w:pStyle w:val="56"/>
        <w:ind w:firstLine="420"/>
        <w:jc w:val="center"/>
        <w:rPr>
          <w:rFonts w:hint="eastAsia"/>
          <w:szCs w:val="21"/>
        </w:rPr>
        <w:sectPr>
          <w:pgSz w:w="11906" w:h="16838"/>
          <w:pgMar w:top="2410" w:right="1134" w:bottom="1134" w:left="1134" w:header="1418" w:footer="1134" w:gutter="284"/>
          <w:cols w:space="425" w:num="1"/>
          <w:formProt w:val="0"/>
          <w:docGrid w:type="lines" w:linePitch="312" w:charSpace="0"/>
        </w:sectPr>
      </w:pPr>
      <w:bookmarkStart w:id="95" w:name="BookMark8"/>
      <w:r>
        <w:rPr>
          <w:rFonts w:hint="eastAsia"/>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4">
                      <a:extLst>
                        <a:ext uri="{28A0092B-C50C-407E-A947-70E740481C1C}">
                          <a14:useLocalDpi xmlns:a14="http://schemas.microsoft.com/office/drawing/2010/main" val="false"/>
                        </a:ext>
                      </a:extLst>
                    </a:blip>
                    <a:stretch>
                      <a:fillRect/>
                    </a:stretch>
                  </pic:blipFill>
                  <pic:spPr>
                    <a:xfrm>
                      <a:off x="0" y="0"/>
                      <a:ext cx="1485900" cy="317500"/>
                    </a:xfrm>
                    <a:prstGeom prst="rect">
                      <a:avLst/>
                    </a:prstGeom>
                  </pic:spPr>
                </pic:pic>
              </a:graphicData>
            </a:graphic>
          </wp:inline>
        </w:drawing>
      </w:r>
      <w:bookmarkEnd w:id="95"/>
    </w:p>
    <w:bookmarkEnd w:id="77"/>
    <w:p>
      <w:pPr>
        <w:pStyle w:val="198"/>
        <w:numPr>
          <w:ilvl w:val="0"/>
          <w:numId w:val="0"/>
        </w:numPr>
        <w:jc w:val="both"/>
        <w:rPr>
          <w:rFonts w:hint="eastAsia"/>
          <w:vanish w:val="0"/>
        </w:rPr>
      </w:pPr>
      <w:bookmarkStart w:id="96" w:name="_GoBack"/>
      <w:bookmarkEnd w:id="96"/>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Arial">
    <w:altName w:val="DejaVu Sans"/>
    <w:panose1 w:val="020B0604020202020204"/>
    <w:charset w:val="00"/>
    <w:family w:val="swiss"/>
    <w:pitch w:val="default"/>
    <w:sig w:usb0="00000000" w:usb1="00000000" w:usb2="00000009" w:usb3="00000000" w:csb0="000001FF" w:csb1="00000000"/>
  </w:font>
  <w:font w:name="等线">
    <w:altName w:val="汉仪中宋简"/>
    <w:panose1 w:val="02010600030101010101"/>
    <w:charset w:val="86"/>
    <w:family w:val="auto"/>
    <w:pitch w:val="default"/>
    <w:sig w:usb0="00000000" w:usb1="00000000" w:usb2="00000016" w:usb3="00000000" w:csb0="0004000F" w:csb1="00000000"/>
  </w:font>
  <w:font w:name="等线 Light">
    <w:altName w:val="汉仪中宋简"/>
    <w:panose1 w:val="02010600030101010101"/>
    <w:charset w:val="86"/>
    <w:family w:val="auto"/>
    <w:pitch w:val="default"/>
    <w:sig w:usb0="00000000" w:usb1="00000000" w:usb2="00000016" w:usb3="00000000" w:csb0="0004000F" w:csb1="00000000"/>
  </w:font>
  <w:font w:name="MS Mincho">
    <w:altName w:val="方正书宋_GBK"/>
    <w:panose1 w:val="02020609040205080304"/>
    <w:charset w:val="80"/>
    <w:family w:val="modern"/>
    <w:pitch w:val="default"/>
    <w:sig w:usb0="00000000" w:usb1="00000000" w:usb2="00000012" w:usb3="00000000" w:csb0="0002009F" w:csb1="00000000"/>
  </w:font>
  <w:font w:name="汉仪细圆B5">
    <w:altName w:val="文泉驿微米黑"/>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 w:name="等线">
    <w:altName w:val="文泉驿微米黑"/>
    <w:panose1 w:val="00000000000000000000"/>
    <w:charset w:val="00"/>
    <w:family w:val="auto"/>
    <w:pitch w:val="default"/>
    <w:sig w:usb0="00000000" w:usb1="00000000" w:usb2="00000000" w:usb3="00000000" w:csb0="00000000" w:csb1="00000000"/>
  </w:font>
  <w:font w:name="Noto Sans CJK JP Bold">
    <w:panose1 w:val="020B0800000000000000"/>
    <w:charset w:val="86"/>
    <w:family w:val="auto"/>
    <w:pitch w:val="default"/>
    <w:sig w:usb0="30000003" w:usb1="2BDF3C10" w:usb2="00000016" w:usb3="00000000" w:csb0="602E0107" w:csb1="0000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13</w:t>
    </w:r>
    <w:r>
      <w:fldChar w:fldCharType="end"/>
    </w:r>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14/T XXXX—2024</w:t>
    </w:r>
    <w:r>
      <w:fldChar w:fldCharType="end"/>
    </w:r>
  </w:p>
  <w:p/>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14/T XXXX—2024</w:t>
    </w:r>
    <w:r>
      <w:fldChar w:fldCharType="end"/>
    </w:r>
  </w:p>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attachedTemplate r:id="rId1"/>
  <w:documentProtection w:edit="forms" w:enforcement="1" w:cryptProviderType="rsaAES" w:cryptAlgorithmClass="hash" w:cryptAlgorithmType="typeAny" w:cryptAlgorithmSid="14" w:cryptSpinCount="100000" w:hash="yVP83SfDvOyduv1trSbbio3vLVwNqvuvTGeUWsChTWFHwXtSArjQW72BneFkkTgUljkOtoZ1nV8ZV/AdgmF3XQ==" w:salt="XY00GOoPp58PKB42H8vyr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F6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1B42"/>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49F9"/>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0F7326"/>
    <w:rsid w:val="00104926"/>
    <w:rsid w:val="00113B1E"/>
    <w:rsid w:val="0011711C"/>
    <w:rsid w:val="0012059C"/>
    <w:rsid w:val="00124E4F"/>
    <w:rsid w:val="001260B7"/>
    <w:rsid w:val="001265CB"/>
    <w:rsid w:val="001321C6"/>
    <w:rsid w:val="001325C4"/>
    <w:rsid w:val="00133010"/>
    <w:rsid w:val="001331BC"/>
    <w:rsid w:val="001338EE"/>
    <w:rsid w:val="00133AAE"/>
    <w:rsid w:val="00135323"/>
    <w:rsid w:val="001356C4"/>
    <w:rsid w:val="00140B8B"/>
    <w:rsid w:val="00141114"/>
    <w:rsid w:val="00142969"/>
    <w:rsid w:val="001445E7"/>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9B9"/>
    <w:rsid w:val="001E1B6A"/>
    <w:rsid w:val="001E2484"/>
    <w:rsid w:val="001E3CC4"/>
    <w:rsid w:val="001E4882"/>
    <w:rsid w:val="001E73AB"/>
    <w:rsid w:val="001F092D"/>
    <w:rsid w:val="001F143A"/>
    <w:rsid w:val="001F1605"/>
    <w:rsid w:val="001F2508"/>
    <w:rsid w:val="001F3EB7"/>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3B30"/>
    <w:rsid w:val="002D42B5"/>
    <w:rsid w:val="002D4F1A"/>
    <w:rsid w:val="002D6EC6"/>
    <w:rsid w:val="002D79AC"/>
    <w:rsid w:val="002E039D"/>
    <w:rsid w:val="002E4A1F"/>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60D2"/>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8C0"/>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24D"/>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A5E"/>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6F69"/>
    <w:rsid w:val="005479DA"/>
    <w:rsid w:val="00547BCC"/>
    <w:rsid w:val="0055013B"/>
    <w:rsid w:val="00551094"/>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11DF"/>
    <w:rsid w:val="005F284E"/>
    <w:rsid w:val="005F4712"/>
    <w:rsid w:val="006015CE"/>
    <w:rsid w:val="00604784"/>
    <w:rsid w:val="00606419"/>
    <w:rsid w:val="00607D29"/>
    <w:rsid w:val="00612823"/>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E4E4C"/>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1D7C"/>
    <w:rsid w:val="008620FC"/>
    <w:rsid w:val="008627A5"/>
    <w:rsid w:val="00863E05"/>
    <w:rsid w:val="00865ACA"/>
    <w:rsid w:val="00865D28"/>
    <w:rsid w:val="00865F85"/>
    <w:rsid w:val="00867C10"/>
    <w:rsid w:val="00870439"/>
    <w:rsid w:val="00870DA1"/>
    <w:rsid w:val="008763D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3B22"/>
    <w:rsid w:val="009245F5"/>
    <w:rsid w:val="009249EC"/>
    <w:rsid w:val="009273B3"/>
    <w:rsid w:val="009305B5"/>
    <w:rsid w:val="009429D5"/>
    <w:rsid w:val="00942BF1"/>
    <w:rsid w:val="00945180"/>
    <w:rsid w:val="00945428"/>
    <w:rsid w:val="0094607B"/>
    <w:rsid w:val="00952EDF"/>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7A1"/>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ED4"/>
    <w:rsid w:val="009C4CFA"/>
    <w:rsid w:val="009C5070"/>
    <w:rsid w:val="009D112C"/>
    <w:rsid w:val="009D47FA"/>
    <w:rsid w:val="009D4C5B"/>
    <w:rsid w:val="009D50D2"/>
    <w:rsid w:val="009D6BCA"/>
    <w:rsid w:val="009E0F62"/>
    <w:rsid w:val="009E297D"/>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194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16AA6"/>
    <w:rsid w:val="00B21F61"/>
    <w:rsid w:val="00B261F1"/>
    <w:rsid w:val="00B265BC"/>
    <w:rsid w:val="00B31FB1"/>
    <w:rsid w:val="00B33952"/>
    <w:rsid w:val="00B33C5E"/>
    <w:rsid w:val="00B342F4"/>
    <w:rsid w:val="00B34369"/>
    <w:rsid w:val="00B34DC2"/>
    <w:rsid w:val="00B378E5"/>
    <w:rsid w:val="00B4346D"/>
    <w:rsid w:val="00B440F4"/>
    <w:rsid w:val="00B447A5"/>
    <w:rsid w:val="00B45C3F"/>
    <w:rsid w:val="00B4654C"/>
    <w:rsid w:val="00B47293"/>
    <w:rsid w:val="00B50E50"/>
    <w:rsid w:val="00B52120"/>
    <w:rsid w:val="00B54ABC"/>
    <w:rsid w:val="00B54DDE"/>
    <w:rsid w:val="00B56FBE"/>
    <w:rsid w:val="00B60ACF"/>
    <w:rsid w:val="00B62B58"/>
    <w:rsid w:val="00B65149"/>
    <w:rsid w:val="00B65FF2"/>
    <w:rsid w:val="00B66567"/>
    <w:rsid w:val="00B66F52"/>
    <w:rsid w:val="00B66FE5"/>
    <w:rsid w:val="00B72880"/>
    <w:rsid w:val="00B758BF"/>
    <w:rsid w:val="00B76BC6"/>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D6F9F"/>
    <w:rsid w:val="00BE22F3"/>
    <w:rsid w:val="00BE5B52"/>
    <w:rsid w:val="00BE7B8D"/>
    <w:rsid w:val="00BF0993"/>
    <w:rsid w:val="00BF10A9"/>
    <w:rsid w:val="00BF1703"/>
    <w:rsid w:val="00BF231C"/>
    <w:rsid w:val="00BF51E5"/>
    <w:rsid w:val="00BF74A6"/>
    <w:rsid w:val="00C00708"/>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F07"/>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2EA7"/>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370C"/>
    <w:rsid w:val="00D578F3"/>
    <w:rsid w:val="00D66846"/>
    <w:rsid w:val="00D66883"/>
    <w:rsid w:val="00D675FB"/>
    <w:rsid w:val="00D71F25"/>
    <w:rsid w:val="00D72A9C"/>
    <w:rsid w:val="00D77031"/>
    <w:rsid w:val="00D84941"/>
    <w:rsid w:val="00D84FA1"/>
    <w:rsid w:val="00D851F0"/>
    <w:rsid w:val="00D86DB7"/>
    <w:rsid w:val="00D926D0"/>
    <w:rsid w:val="00D93030"/>
    <w:rsid w:val="00D94968"/>
    <w:rsid w:val="00D950E1"/>
    <w:rsid w:val="00D952A6"/>
    <w:rsid w:val="00D97F99"/>
    <w:rsid w:val="00DA1E08"/>
    <w:rsid w:val="00DA24F8"/>
    <w:rsid w:val="00DA28E8"/>
    <w:rsid w:val="00DA38D3"/>
    <w:rsid w:val="00DA3932"/>
    <w:rsid w:val="00DA3AFC"/>
    <w:rsid w:val="00DA64F8"/>
    <w:rsid w:val="00DA6C15"/>
    <w:rsid w:val="00DB0258"/>
    <w:rsid w:val="00DB38EE"/>
    <w:rsid w:val="00DB392B"/>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0442"/>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7EF7D153"/>
    <w:rsid w:val="CFAF9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uiPriority w:val="0"/>
    <w:pPr>
      <w:spacing w:after="120"/>
    </w:pPr>
  </w:style>
  <w:style w:type="paragraph" w:styleId="14">
    <w:name w:val="toc 5"/>
    <w:basedOn w:val="1"/>
    <w:next w:val="1"/>
    <w:unhideWhenUsed/>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Char"/>
    <w:link w:val="2"/>
    <w:qFormat/>
    <w:uiPriority w:val="0"/>
    <w:rPr>
      <w:rFonts w:ascii="Times New Roman" w:hAnsi="Times New Roman" w:eastAsia="宋体" w:cs="Times New Roman"/>
      <w:b/>
      <w:bCs/>
      <w:kern w:val="44"/>
      <w:sz w:val="44"/>
      <w:szCs w:val="44"/>
    </w:rPr>
  </w:style>
  <w:style w:type="character" w:customStyle="1" w:styleId="35">
    <w:name w:val="标题 2 Char"/>
    <w:link w:val="3"/>
    <w:uiPriority w:val="0"/>
    <w:rPr>
      <w:rFonts w:ascii="Arial" w:hAnsi="Arial" w:eastAsia="黑体" w:cs="Times New Roman"/>
      <w:b/>
      <w:bCs/>
      <w:sz w:val="32"/>
      <w:szCs w:val="32"/>
    </w:rPr>
  </w:style>
  <w:style w:type="character" w:customStyle="1" w:styleId="36">
    <w:name w:val="标题 3 Char"/>
    <w:link w:val="4"/>
    <w:uiPriority w:val="0"/>
    <w:rPr>
      <w:rFonts w:ascii="Times New Roman" w:hAnsi="Times New Roman" w:eastAsia="宋体" w:cs="Times New Roman"/>
      <w:b/>
      <w:bCs/>
      <w:sz w:val="32"/>
      <w:szCs w:val="32"/>
    </w:rPr>
  </w:style>
  <w:style w:type="character" w:customStyle="1" w:styleId="37">
    <w:name w:val="标题 4 Char"/>
    <w:link w:val="5"/>
    <w:uiPriority w:val="0"/>
    <w:rPr>
      <w:rFonts w:ascii="Arial" w:hAnsi="Arial" w:eastAsia="黑体" w:cs="Times New Roman"/>
      <w:b/>
      <w:bCs/>
      <w:sz w:val="28"/>
      <w:szCs w:val="28"/>
    </w:rPr>
  </w:style>
  <w:style w:type="character" w:customStyle="1" w:styleId="38">
    <w:name w:val="标题 5 Char"/>
    <w:link w:val="6"/>
    <w:uiPriority w:val="0"/>
    <w:rPr>
      <w:rFonts w:ascii="Times New Roman" w:hAnsi="Times New Roman" w:eastAsia="宋体" w:cs="Times New Roman"/>
      <w:b/>
      <w:bCs/>
      <w:sz w:val="28"/>
      <w:szCs w:val="28"/>
    </w:rPr>
  </w:style>
  <w:style w:type="character" w:customStyle="1" w:styleId="39">
    <w:name w:val="标题 6 Char"/>
    <w:link w:val="7"/>
    <w:uiPriority w:val="0"/>
    <w:rPr>
      <w:rFonts w:ascii="Arial" w:hAnsi="Arial" w:eastAsia="黑体" w:cs="Times New Roman"/>
      <w:b/>
      <w:bCs/>
      <w:sz w:val="24"/>
      <w:szCs w:val="24"/>
    </w:rPr>
  </w:style>
  <w:style w:type="character" w:customStyle="1" w:styleId="40">
    <w:name w:val="标题 7 Char"/>
    <w:link w:val="8"/>
    <w:uiPriority w:val="0"/>
    <w:rPr>
      <w:rFonts w:ascii="Times New Roman" w:hAnsi="Times New Roman" w:eastAsia="宋体" w:cs="Times New Roman"/>
      <w:b/>
      <w:bCs/>
      <w:sz w:val="24"/>
      <w:szCs w:val="24"/>
    </w:rPr>
  </w:style>
  <w:style w:type="character" w:customStyle="1" w:styleId="41">
    <w:name w:val="标题 8 Char"/>
    <w:link w:val="9"/>
    <w:uiPriority w:val="0"/>
    <w:rPr>
      <w:rFonts w:ascii="Arial" w:hAnsi="Arial" w:eastAsia="黑体" w:cs="Times New Roman"/>
      <w:sz w:val="24"/>
      <w:szCs w:val="24"/>
    </w:rPr>
  </w:style>
  <w:style w:type="character" w:customStyle="1" w:styleId="42">
    <w:name w:val="标题 9 Char"/>
    <w:link w:val="10"/>
    <w:qFormat/>
    <w:uiPriority w:val="0"/>
    <w:rPr>
      <w:rFonts w:ascii="Arial" w:hAnsi="Arial" w:eastAsia="黑体" w:cs="Times New Roman"/>
      <w:szCs w:val="21"/>
    </w:rPr>
  </w:style>
  <w:style w:type="character" w:customStyle="1" w:styleId="43">
    <w:name w:val="页眉 Char"/>
    <w:link w:val="18"/>
    <w:uiPriority w:val="99"/>
    <w:rPr>
      <w:rFonts w:ascii="Times New Roman" w:hAnsi="Times New Roman" w:eastAsia="宋体" w:cs="Times New Roman"/>
      <w:sz w:val="18"/>
      <w:szCs w:val="18"/>
    </w:rPr>
  </w:style>
  <w:style w:type="character" w:customStyle="1" w:styleId="44">
    <w:name w:val="页脚 Char"/>
    <w:link w:val="17"/>
    <w:qFormat/>
    <w:uiPriority w:val="99"/>
    <w:rPr>
      <w:rFonts w:ascii="宋体" w:hAnsi="Times New Roman" w:eastAsia="宋体" w:cs="Times New Roman"/>
      <w:sz w:val="18"/>
      <w:szCs w:val="18"/>
    </w:rPr>
  </w:style>
  <w:style w:type="character" w:customStyle="1" w:styleId="45">
    <w:name w:val="批注框文本 Char"/>
    <w:link w:val="16"/>
    <w:semiHidden/>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rPr>
  </w:style>
  <w:style w:type="character" w:customStyle="1" w:styleId="48">
    <w:name w:val="标题 Char"/>
    <w:link w:val="25"/>
    <w:uiPriority w:val="0"/>
    <w:rPr>
      <w:rFonts w:ascii="Arial" w:hAnsi="Arial" w:eastAsia="宋体" w:cs="Arial"/>
      <w:b/>
      <w:bCs/>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uiPriority w:val="0"/>
    <w:pPr>
      <w:spacing w:line="240" w:lineRule="auto"/>
    </w:pPr>
    <w:rPr>
      <w:rFonts w:ascii="宋体" w:hAnsi="宋体"/>
      <w:iCs/>
    </w:rPr>
  </w:style>
  <w:style w:type="paragraph" w:customStyle="1" w:styleId="144">
    <w:name w:val="目录 41"/>
    <w:basedOn w:val="1"/>
    <w:next w:val="1"/>
    <w:semiHidden/>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vAnchor="page" w:hAnchor="page" w:x="1419" w:y="14097"/>
    </w:pPr>
  </w:style>
  <w:style w:type="paragraph" w:customStyle="1" w:styleId="194">
    <w:name w:val="其他实施日期"/>
    <w:basedOn w:val="154"/>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basedOn w:val="28"/>
    <w:link w:val="230"/>
    <w:qFormat/>
    <w:uiPriority w:val="0"/>
    <w:rPr>
      <w:rFonts w:ascii="宋体" w:hAnsi="Times New Roman"/>
      <w:sz w:val="21"/>
    </w:rPr>
  </w:style>
  <w:style w:type="table" w:customStyle="1" w:styleId="232">
    <w:name w:val="网格型1"/>
    <w:basedOn w:val="26"/>
    <w:unhideWhenUsed/>
    <w:uiPriority w:val="99"/>
    <w:rPr>
      <w:rFonts w:ascii="宋体" w:hAns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33">
    <w:name w:val="网格型3"/>
    <w:basedOn w:val="26"/>
    <w:unhideWhenUsed/>
    <w:uiPriority w:val="99"/>
    <w:rPr>
      <w:rFonts w:ascii="宋体" w:hAns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34">
    <w:name w:val="网格型2"/>
    <w:basedOn w:val="26"/>
    <w:unhideWhenUsed/>
    <w:uiPriority w:val="99"/>
    <w:rPr>
      <w:rFonts w:ascii="宋体" w:hAns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35">
    <w:name w:val="网格型4"/>
    <w:basedOn w:val="26"/>
    <w:unhideWhenUsed/>
    <w:qFormat/>
    <w:uiPriority w:val="99"/>
    <w:rPr>
      <w:rFonts w:ascii="宋体" w:hAns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36">
    <w:name w:val="网格型5"/>
    <w:basedOn w:val="26"/>
    <w:unhideWhenUsed/>
    <w:uiPriority w:val="99"/>
    <w:rPr>
      <w:rFonts w:ascii="宋体" w:hAns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37">
    <w:name w:val="网格型6"/>
    <w:basedOn w:val="26"/>
    <w:unhideWhenUsed/>
    <w:uiPriority w:val="99"/>
    <w:rPr>
      <w:rFonts w:ascii="宋体" w:hAns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38">
    <w:name w:val="二级条标题"/>
    <w:basedOn w:val="1"/>
    <w:next w:val="1"/>
    <w:uiPriority w:val="0"/>
    <w:pPr>
      <w:widowControl/>
      <w:adjustRightInd/>
      <w:spacing w:beforeLines="50" w:afterLines="50" w:line="240" w:lineRule="auto"/>
      <w:jc w:val="left"/>
      <w:outlineLvl w:val="3"/>
    </w:pPr>
    <w:rPr>
      <w:rFonts w:ascii="黑体" w:hAnsi="黑体" w:eastAsia="黑体" w:cs="宋体"/>
      <w:kern w:val="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baixin/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755792EB5F64638A170C3D3269F65BF"/>
        <w:style w:val=""/>
        <w:category>
          <w:name w:val="常规"/>
          <w:gallery w:val="placeholder"/>
        </w:category>
        <w:types>
          <w:type w:val="bbPlcHdr"/>
        </w:types>
        <w:behaviors>
          <w:behavior w:val="content"/>
        </w:behaviors>
        <w:description w:val=""/>
        <w:guid w:val="{7BC4F007-3735-498F-B317-AC1AB111C59B}"/>
      </w:docPartPr>
      <w:docPartBody>
        <w:p>
          <w:pPr>
            <w:pStyle w:val="5"/>
          </w:pPr>
          <w:r>
            <w:rPr>
              <w:rStyle w:val="4"/>
              <w:rFonts w:hint="eastAsia"/>
            </w:rPr>
            <w:t>单击或点击此处输入文字。</w:t>
          </w:r>
        </w:p>
      </w:docPartBody>
    </w:docPart>
    <w:docPart>
      <w:docPartPr>
        <w:name w:val="5FC960E69FF549DBB9FEBDE0A277CEA6"/>
        <w:style w:val=""/>
        <w:category>
          <w:name w:val="常规"/>
          <w:gallery w:val="placeholder"/>
        </w:category>
        <w:types>
          <w:type w:val="bbPlcHdr"/>
        </w:types>
        <w:behaviors>
          <w:behavior w:val="content"/>
        </w:behaviors>
        <w:description w:val=""/>
        <w:guid w:val="{DB43AD8A-7BA5-4D93-9AA8-006E0F629AC0}"/>
      </w:docPartPr>
      <w:docPartBody>
        <w:p>
          <w:pPr>
            <w:pStyle w:val="6"/>
          </w:pPr>
          <w:r>
            <w:rPr>
              <w:rStyle w:val="4"/>
              <w:rFonts w:hint="eastAsia"/>
            </w:rPr>
            <w:t>选择一项。</w:t>
          </w:r>
        </w:p>
      </w:docPartBody>
    </w:docPart>
    <w:docPart>
      <w:docPartPr>
        <w:name w:val="1B61F322FF0F47718E3E74D9B258286B"/>
        <w:style w:val=""/>
        <w:category>
          <w:name w:val="常规"/>
          <w:gallery w:val="placeholder"/>
        </w:category>
        <w:types>
          <w:type w:val="bbPlcHdr"/>
        </w:types>
        <w:behaviors>
          <w:behavior w:val="content"/>
        </w:behaviors>
        <w:description w:val=""/>
        <w:guid w:val="{594AED87-968F-45BE-A8C9-445F71D60F32}"/>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w:altName w:val="文泉驿微米黑"/>
    <w:panose1 w:val="00000000000000000000"/>
    <w:charset w:val="86"/>
    <w:family w:val="auto"/>
    <w:pitch w:val="default"/>
    <w:sig w:usb0="00000000" w:usb1="00000000" w:usb2="00000000" w:usb3="00000000" w:csb0="00000000" w:csb1="00000000"/>
  </w:font>
  <w:font w:name="等线">
    <w:altName w:val="文泉驿微米黑"/>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文泉驿微米黑">
    <w:panose1 w:val="020B0606030804020204"/>
    <w:charset w:val="86"/>
    <w:family w:val="auto"/>
    <w:pitch w:val="default"/>
    <w:sig w:usb0="E10002EF" w:usb1="6BDFFCFB" w:usb2="00800036" w:usb3="00000000" w:csb0="603E019F" w:csb1="DFD7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8AD"/>
    <w:rsid w:val="002F5A22"/>
    <w:rsid w:val="003218A0"/>
    <w:rsid w:val="00426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1755792EB5F64638A170C3D3269F65B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FC960E69FF549DBB9FEBDE0A277CEA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B61F322FF0F47718E3E74D9B258286B"/>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15</Pages>
  <Words>1505</Words>
  <Characters>8581</Characters>
  <Lines>71</Lines>
  <Paragraphs>20</Paragraphs>
  <TotalTime>1</TotalTime>
  <ScaleCrop>false</ScaleCrop>
  <LinksUpToDate>false</LinksUpToDate>
  <CharactersWithSpaces>10066</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2024-11-08T11:40:00Z</dcterms:created>
  <dc:creator>zr</dc:creator>
  <dc:description>&lt;config cover="true" show_menu="true" version="1.0.0" doctype="SDKXY"&gt;_x000d_
&lt;/config&gt;</dc:description>
  <cp:lastModifiedBy>baixin</cp:lastModifiedBy>
  <cp:lastPrinted>2024-11-08T16:33:00Z</cp:lastPrinted>
  <dcterms:modified xsi:type="dcterms:W3CDTF">2024-11-11T16:28:12Z</dcterms:modified>
  <dc:title>地方标准</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2052-11.8.2.10290</vt:lpwstr>
  </property>
</Properties>
</file>