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3ACE1">
      <w:pPr>
        <w:jc w:val="center"/>
        <w:rPr>
          <w:rFonts w:ascii="宋体"/>
          <w:b/>
          <w:sz w:val="32"/>
          <w:szCs w:val="32"/>
        </w:rPr>
      </w:pPr>
    </w:p>
    <w:p w14:paraId="4BAC60EB">
      <w:pPr>
        <w:jc w:val="center"/>
        <w:rPr>
          <w:rFonts w:ascii="宋体"/>
          <w:b/>
          <w:sz w:val="32"/>
          <w:szCs w:val="32"/>
        </w:rPr>
      </w:pPr>
    </w:p>
    <w:p w14:paraId="25C88A84">
      <w:pPr>
        <w:jc w:val="center"/>
        <w:rPr>
          <w:rFonts w:ascii="宋体"/>
          <w:b/>
          <w:sz w:val="32"/>
          <w:szCs w:val="32"/>
        </w:rPr>
      </w:pPr>
    </w:p>
    <w:p w14:paraId="641B0719">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363C9E29">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《紫花苜蓿栽培利用技术规程》</w:t>
      </w:r>
    </w:p>
    <w:p w14:paraId="6559FB3F">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33418DAA">
      <w:pPr>
        <w:ind w:firstLine="643" w:firstLineChars="200"/>
        <w:rPr>
          <w:rFonts w:ascii="仿宋" w:hAnsi="仿宋" w:eastAsia="仿宋"/>
          <w:b/>
          <w:sz w:val="32"/>
          <w:szCs w:val="32"/>
        </w:rPr>
      </w:pPr>
    </w:p>
    <w:p w14:paraId="19D7B525">
      <w:pPr>
        <w:ind w:firstLine="643" w:firstLineChars="200"/>
        <w:rPr>
          <w:rFonts w:ascii="仿宋" w:hAnsi="仿宋" w:eastAsia="仿宋"/>
          <w:b/>
          <w:sz w:val="32"/>
          <w:szCs w:val="32"/>
        </w:rPr>
      </w:pPr>
    </w:p>
    <w:p w14:paraId="0258510E">
      <w:pPr>
        <w:ind w:firstLine="643" w:firstLineChars="200"/>
        <w:rPr>
          <w:rFonts w:ascii="仿宋" w:hAnsi="仿宋" w:eastAsia="仿宋"/>
          <w:b/>
          <w:sz w:val="32"/>
          <w:szCs w:val="32"/>
        </w:rPr>
      </w:pPr>
    </w:p>
    <w:p w14:paraId="728282A3">
      <w:pPr>
        <w:ind w:firstLine="643" w:firstLineChars="200"/>
        <w:rPr>
          <w:rFonts w:ascii="仿宋" w:hAnsi="仿宋" w:eastAsia="仿宋"/>
          <w:b/>
          <w:sz w:val="32"/>
          <w:szCs w:val="32"/>
        </w:rPr>
      </w:pPr>
    </w:p>
    <w:p w14:paraId="4C7859BA">
      <w:pPr>
        <w:ind w:firstLine="643" w:firstLineChars="200"/>
        <w:rPr>
          <w:rFonts w:ascii="仿宋" w:hAnsi="仿宋" w:eastAsia="仿宋"/>
          <w:b/>
          <w:sz w:val="32"/>
          <w:szCs w:val="32"/>
        </w:rPr>
      </w:pPr>
    </w:p>
    <w:p w14:paraId="5B3949CF">
      <w:pPr>
        <w:ind w:firstLine="643" w:firstLineChars="200"/>
        <w:rPr>
          <w:rFonts w:ascii="仿宋" w:hAnsi="仿宋" w:eastAsia="仿宋"/>
          <w:b/>
          <w:sz w:val="32"/>
          <w:szCs w:val="32"/>
        </w:rPr>
      </w:pPr>
    </w:p>
    <w:p w14:paraId="0F110A05">
      <w:pPr>
        <w:ind w:firstLine="643" w:firstLineChars="200"/>
        <w:rPr>
          <w:rFonts w:ascii="仿宋" w:hAnsi="仿宋" w:eastAsia="仿宋"/>
          <w:b/>
          <w:sz w:val="32"/>
          <w:szCs w:val="32"/>
        </w:rPr>
      </w:pPr>
    </w:p>
    <w:p w14:paraId="11D9069C">
      <w:pPr>
        <w:ind w:firstLine="643" w:firstLineChars="200"/>
        <w:jc w:val="center"/>
        <w:rPr>
          <w:rFonts w:ascii="仿宋" w:hAnsi="仿宋" w:eastAsia="仿宋"/>
          <w:b/>
          <w:sz w:val="32"/>
          <w:szCs w:val="32"/>
        </w:rPr>
      </w:pPr>
    </w:p>
    <w:p w14:paraId="7026A271">
      <w:pPr>
        <w:ind w:firstLine="643" w:firstLineChars="200"/>
        <w:jc w:val="center"/>
        <w:rPr>
          <w:rFonts w:ascii="宋体"/>
          <w:b/>
          <w:sz w:val="32"/>
          <w:szCs w:val="32"/>
        </w:rPr>
      </w:pPr>
    </w:p>
    <w:p w14:paraId="53556AF6">
      <w:pPr>
        <w:ind w:firstLine="643" w:firstLineChars="200"/>
        <w:jc w:val="center"/>
        <w:rPr>
          <w:rFonts w:ascii="宋体"/>
          <w:b/>
          <w:sz w:val="32"/>
          <w:szCs w:val="32"/>
        </w:rPr>
      </w:pPr>
    </w:p>
    <w:p w14:paraId="1240B86F">
      <w:pPr>
        <w:ind w:firstLine="643" w:firstLineChars="200"/>
        <w:jc w:val="center"/>
        <w:rPr>
          <w:rFonts w:ascii="宋体"/>
          <w:b/>
          <w:sz w:val="32"/>
          <w:szCs w:val="32"/>
        </w:rPr>
      </w:pPr>
    </w:p>
    <w:p w14:paraId="53B0AEE1">
      <w:pPr>
        <w:spacing w:line="360" w:lineRule="auto"/>
        <w:jc w:val="center"/>
        <w:rPr>
          <w:rFonts w:ascii="宋体" w:hAnsi="宋体"/>
          <w:b/>
          <w:kern w:val="22"/>
          <w:sz w:val="10"/>
          <w:szCs w:val="10"/>
        </w:rPr>
      </w:pPr>
      <w:r>
        <w:rPr>
          <w:rFonts w:hint="eastAsia" w:ascii="宋体" w:hAnsi="宋体"/>
          <w:b/>
          <w:kern w:val="22"/>
          <w:sz w:val="32"/>
          <w:szCs w:val="32"/>
        </w:rPr>
        <w:t>编制单位：山西农业大学</w:t>
      </w:r>
    </w:p>
    <w:p w14:paraId="4122B444">
      <w:pPr>
        <w:jc w:val="center"/>
        <w:rPr>
          <w:rFonts w:ascii="宋体" w:hAnsi="宋体"/>
          <w:b/>
          <w:sz w:val="32"/>
          <w:szCs w:val="32"/>
        </w:rPr>
      </w:pPr>
      <w:r>
        <w:rPr>
          <w:rFonts w:hint="eastAsia" w:ascii="宋体" w:hAnsi="宋体"/>
          <w:b/>
          <w:sz w:val="32"/>
          <w:szCs w:val="32"/>
        </w:rPr>
        <w:t xml:space="preserve"> 二〇二四年十月</w:t>
      </w:r>
    </w:p>
    <w:p w14:paraId="5E3AF789">
      <w:pPr>
        <w:jc w:val="center"/>
        <w:rPr>
          <w:rFonts w:ascii="宋体" w:hAnsi="宋体"/>
          <w:b/>
          <w:sz w:val="32"/>
          <w:szCs w:val="32"/>
        </w:rPr>
      </w:pPr>
    </w:p>
    <w:p w14:paraId="044D3DDB">
      <w:pPr>
        <w:jc w:val="center"/>
        <w:rPr>
          <w:rFonts w:ascii="宋体" w:hAnsi="宋体"/>
          <w:b/>
          <w:sz w:val="32"/>
          <w:szCs w:val="32"/>
        </w:rPr>
      </w:pPr>
    </w:p>
    <w:p w14:paraId="3308A3EB">
      <w:pPr>
        <w:jc w:val="center"/>
        <w:rPr>
          <w:rFonts w:ascii="宋体" w:hAnsi="宋体"/>
          <w:b/>
          <w:sz w:val="32"/>
          <w:szCs w:val="32"/>
        </w:rPr>
      </w:pPr>
    </w:p>
    <w:p w14:paraId="223822D3">
      <w:pPr>
        <w:spacing w:line="520" w:lineRule="exact"/>
        <w:jc w:val="center"/>
        <w:rPr>
          <w:rFonts w:ascii="宋体"/>
          <w:b/>
          <w:sz w:val="30"/>
          <w:szCs w:val="30"/>
        </w:rPr>
      </w:pPr>
      <w:r>
        <w:rPr>
          <w:rFonts w:hint="eastAsia" w:ascii="宋体" w:hAnsi="宋体"/>
          <w:b/>
          <w:sz w:val="30"/>
          <w:szCs w:val="30"/>
        </w:rPr>
        <w:t>山西省地方标准</w:t>
      </w:r>
    </w:p>
    <w:p w14:paraId="7178AD37">
      <w:pPr>
        <w:spacing w:line="520" w:lineRule="exact"/>
        <w:jc w:val="center"/>
        <w:rPr>
          <w:rFonts w:ascii="宋体"/>
          <w:b/>
          <w:sz w:val="30"/>
          <w:szCs w:val="30"/>
        </w:rPr>
      </w:pPr>
      <w:r>
        <w:rPr>
          <w:rFonts w:hint="eastAsia" w:ascii="宋体" w:hAnsi="宋体"/>
          <w:b/>
          <w:sz w:val="30"/>
          <w:szCs w:val="30"/>
        </w:rPr>
        <w:t>《紫花苜蓿栽培利用技术规程》</w:t>
      </w:r>
    </w:p>
    <w:p w14:paraId="04DD7D8A">
      <w:pPr>
        <w:spacing w:line="520" w:lineRule="exact"/>
        <w:jc w:val="center"/>
        <w:rPr>
          <w:rFonts w:ascii="宋体"/>
          <w:b/>
          <w:sz w:val="30"/>
          <w:szCs w:val="30"/>
        </w:rPr>
      </w:pPr>
      <w:r>
        <w:rPr>
          <w:rFonts w:hint="eastAsia" w:ascii="宋体" w:hAnsi="宋体"/>
          <w:b/>
          <w:sz w:val="30"/>
          <w:szCs w:val="30"/>
        </w:rPr>
        <w:t>编制说明</w:t>
      </w:r>
    </w:p>
    <w:p w14:paraId="151633C7">
      <w:pPr>
        <w:spacing w:line="360" w:lineRule="auto"/>
        <w:ind w:firstLine="480" w:firstLineChars="200"/>
        <w:outlineLvl w:val="0"/>
        <w:rPr>
          <w:rFonts w:ascii="黑体" w:eastAsia="黑体"/>
          <w:sz w:val="24"/>
        </w:rPr>
      </w:pPr>
      <w:r>
        <w:rPr>
          <w:rFonts w:hint="eastAsia" w:ascii="黑体" w:eastAsia="黑体"/>
          <w:sz w:val="24"/>
        </w:rPr>
        <w:t>一、工作简况</w:t>
      </w:r>
    </w:p>
    <w:p w14:paraId="09C606C4">
      <w:pPr>
        <w:spacing w:line="360" w:lineRule="auto"/>
        <w:ind w:left="465"/>
        <w:outlineLvl w:val="1"/>
        <w:rPr>
          <w:rFonts w:ascii="楷体_GB2312" w:eastAsia="楷体_GB2312"/>
          <w:sz w:val="24"/>
        </w:rPr>
      </w:pPr>
      <w:r>
        <w:rPr>
          <w:rFonts w:hint="eastAsia" w:ascii="楷体_GB2312" w:eastAsia="楷体_GB2312"/>
          <w:sz w:val="24"/>
        </w:rPr>
        <w:t>1任务来源</w:t>
      </w:r>
    </w:p>
    <w:p w14:paraId="11A293A2">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 xml:space="preserve">按照山西省市场监督管理局关于2023年度省级地方标准复审结论公告，《紫花苜蓿栽培利用技术规程》DB14/T </w:t>
      </w:r>
      <w:r>
        <w:rPr>
          <w:rFonts w:ascii="仿宋_GB2312" w:hAnsi="宋体" w:eastAsia="仿宋_GB2312"/>
          <w:sz w:val="24"/>
        </w:rPr>
        <w:t>761—2013</w:t>
      </w:r>
      <w:r>
        <w:rPr>
          <w:rFonts w:hint="eastAsia" w:ascii="仿宋_GB2312" w:hAnsi="宋体" w:eastAsia="仿宋_GB2312"/>
          <w:sz w:val="24"/>
        </w:rPr>
        <w:t>被列入山西省地方标准修订计划，本标准由山西省农业标准化技术委员会（SXS/TC19）归口。</w:t>
      </w:r>
    </w:p>
    <w:p w14:paraId="0EF295CB">
      <w:pPr>
        <w:spacing w:line="360" w:lineRule="auto"/>
        <w:ind w:left="465"/>
        <w:outlineLvl w:val="1"/>
        <w:rPr>
          <w:rFonts w:ascii="楷体_GB2312" w:eastAsia="楷体_GB2312"/>
          <w:sz w:val="24"/>
        </w:rPr>
      </w:pPr>
      <w:r>
        <w:rPr>
          <w:rFonts w:hint="eastAsia" w:ascii="楷体_GB2312" w:eastAsia="楷体_GB2312"/>
          <w:sz w:val="24"/>
        </w:rPr>
        <w:t>2 起草</w:t>
      </w:r>
      <w:r>
        <w:rPr>
          <w:rFonts w:ascii="楷体_GB2312" w:eastAsia="楷体_GB2312"/>
          <w:sz w:val="24"/>
        </w:rPr>
        <w:t>单位和主要起草人</w:t>
      </w:r>
    </w:p>
    <w:p w14:paraId="5BE0768C">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rPr>
        <w:t>山西农业大学和山西省林业和草原工程总站承担</w:t>
      </w:r>
      <w:r>
        <w:rPr>
          <w:rFonts w:ascii="仿宋_GB2312" w:hAnsi="宋体" w:eastAsia="仿宋_GB2312"/>
          <w:sz w:val="24"/>
        </w:rPr>
        <w:t>。</w:t>
      </w:r>
    </w:p>
    <w:p w14:paraId="4F2D77F0">
      <w:pPr>
        <w:spacing w:line="360" w:lineRule="auto"/>
        <w:ind w:firstLine="480" w:firstLineChars="200"/>
        <w:jc w:val="center"/>
        <w:outlineLvl w:val="1"/>
        <w:rPr>
          <w:rFonts w:ascii="仿宋_GB2312" w:hAnsi="宋体" w:eastAsia="仿宋_GB2312"/>
          <w:sz w:val="24"/>
        </w:rPr>
      </w:pPr>
      <w:r>
        <w:rPr>
          <w:rFonts w:ascii="仿宋_GB2312" w:hAnsi="宋体" w:eastAsia="仿宋_GB2312"/>
          <w:sz w:val="24"/>
        </w:rPr>
        <w:t>主要起草人信息</w:t>
      </w:r>
    </w:p>
    <w:tbl>
      <w:tblPr>
        <w:tblStyle w:val="13"/>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709"/>
        <w:gridCol w:w="1985"/>
        <w:gridCol w:w="3118"/>
        <w:gridCol w:w="1617"/>
      </w:tblGrid>
      <w:tr w14:paraId="1445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1145E6C">
            <w:pPr>
              <w:spacing w:line="400" w:lineRule="exact"/>
              <w:jc w:val="center"/>
              <w:rPr>
                <w:rFonts w:ascii="仿宋_GB2312" w:hAnsi="仿宋" w:eastAsia="仿宋_GB2312" w:cs="Courier New"/>
                <w:sz w:val="24"/>
              </w:rPr>
            </w:pPr>
            <w:r>
              <w:rPr>
                <w:rFonts w:hint="eastAsia" w:ascii="仿宋_GB2312" w:hAnsi="仿宋" w:eastAsia="仿宋_GB2312" w:cs="Courier New"/>
                <w:sz w:val="24"/>
              </w:rPr>
              <w:t>姓名</w:t>
            </w:r>
          </w:p>
        </w:tc>
        <w:tc>
          <w:tcPr>
            <w:tcW w:w="709" w:type="dxa"/>
          </w:tcPr>
          <w:p w14:paraId="4FCD5982">
            <w:pPr>
              <w:spacing w:line="400" w:lineRule="exact"/>
              <w:jc w:val="center"/>
              <w:rPr>
                <w:rFonts w:ascii="仿宋_GB2312" w:hAnsi="仿宋" w:eastAsia="仿宋_GB2312" w:cs="Courier New"/>
                <w:sz w:val="24"/>
              </w:rPr>
            </w:pPr>
            <w:r>
              <w:rPr>
                <w:rFonts w:hint="eastAsia" w:ascii="仿宋_GB2312" w:hAnsi="仿宋" w:eastAsia="仿宋_GB2312" w:cs="Courier New"/>
                <w:sz w:val="24"/>
              </w:rPr>
              <w:t>性别</w:t>
            </w:r>
          </w:p>
        </w:tc>
        <w:tc>
          <w:tcPr>
            <w:tcW w:w="1985" w:type="dxa"/>
          </w:tcPr>
          <w:p w14:paraId="3085000F">
            <w:pPr>
              <w:spacing w:line="400" w:lineRule="exact"/>
              <w:jc w:val="center"/>
              <w:rPr>
                <w:rFonts w:ascii="仿宋_GB2312" w:hAnsi="仿宋" w:eastAsia="仿宋_GB2312" w:cs="Courier New"/>
                <w:sz w:val="24"/>
              </w:rPr>
            </w:pPr>
            <w:r>
              <w:rPr>
                <w:rFonts w:hint="eastAsia" w:ascii="仿宋_GB2312" w:hAnsi="仿宋" w:eastAsia="仿宋_GB2312" w:cs="Courier New"/>
                <w:sz w:val="24"/>
              </w:rPr>
              <w:t>职务/职称</w:t>
            </w:r>
          </w:p>
        </w:tc>
        <w:tc>
          <w:tcPr>
            <w:tcW w:w="3118" w:type="dxa"/>
          </w:tcPr>
          <w:p w14:paraId="6FE7B439">
            <w:pPr>
              <w:spacing w:line="400" w:lineRule="exact"/>
              <w:jc w:val="center"/>
              <w:rPr>
                <w:rFonts w:ascii="仿宋_GB2312" w:hAnsi="仿宋" w:eastAsia="仿宋_GB2312" w:cs="Courier New"/>
                <w:sz w:val="24"/>
              </w:rPr>
            </w:pPr>
            <w:r>
              <w:rPr>
                <w:rFonts w:hint="eastAsia" w:ascii="仿宋_GB2312" w:hAnsi="仿宋" w:eastAsia="仿宋_GB2312" w:cs="Courier New"/>
                <w:sz w:val="24"/>
              </w:rPr>
              <w:t>工作单位</w:t>
            </w:r>
          </w:p>
        </w:tc>
        <w:tc>
          <w:tcPr>
            <w:tcW w:w="1617" w:type="dxa"/>
          </w:tcPr>
          <w:p w14:paraId="53469750">
            <w:pPr>
              <w:spacing w:line="400" w:lineRule="exact"/>
              <w:jc w:val="center"/>
              <w:rPr>
                <w:rFonts w:ascii="仿宋_GB2312" w:hAnsi="仿宋" w:eastAsia="仿宋_GB2312" w:cs="Courier New"/>
                <w:sz w:val="24"/>
              </w:rPr>
            </w:pPr>
            <w:r>
              <w:rPr>
                <w:rFonts w:hint="eastAsia" w:ascii="仿宋_GB2312" w:hAnsi="仿宋" w:eastAsia="仿宋_GB2312" w:cs="Courier New"/>
                <w:sz w:val="24"/>
              </w:rPr>
              <w:t>任务分工</w:t>
            </w:r>
          </w:p>
        </w:tc>
      </w:tr>
      <w:tr w14:paraId="7474A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55025B3">
            <w:pPr>
              <w:spacing w:line="400" w:lineRule="exact"/>
              <w:jc w:val="center"/>
              <w:rPr>
                <w:rFonts w:ascii="仿宋_GB2312" w:hAnsi="仿宋" w:eastAsia="仿宋_GB2312" w:cs="Courier New"/>
                <w:sz w:val="24"/>
              </w:rPr>
            </w:pPr>
            <w:r>
              <w:rPr>
                <w:rFonts w:hint="eastAsia" w:ascii="仿宋_GB2312" w:hAnsi="仿宋" w:eastAsia="仿宋_GB2312" w:cs="Courier New"/>
                <w:sz w:val="24"/>
              </w:rPr>
              <w:t>姚继广</w:t>
            </w:r>
          </w:p>
        </w:tc>
        <w:tc>
          <w:tcPr>
            <w:tcW w:w="709" w:type="dxa"/>
          </w:tcPr>
          <w:p w14:paraId="5DD272E8">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0AF3F564">
            <w:pPr>
              <w:spacing w:line="400" w:lineRule="exact"/>
              <w:jc w:val="center"/>
              <w:rPr>
                <w:rFonts w:ascii="仿宋_GB2312" w:hAnsi="仿宋" w:eastAsia="仿宋_GB2312" w:cs="Courier New"/>
                <w:sz w:val="24"/>
              </w:rPr>
            </w:pPr>
            <w:r>
              <w:rPr>
                <w:rFonts w:hint="eastAsia" w:ascii="仿宋_GB2312" w:hAnsi="仿宋" w:eastAsia="仿宋_GB2312" w:cs="Courier New"/>
                <w:sz w:val="24"/>
              </w:rPr>
              <w:t>副厅长/研究员</w:t>
            </w:r>
          </w:p>
        </w:tc>
        <w:tc>
          <w:tcPr>
            <w:tcW w:w="3118" w:type="dxa"/>
          </w:tcPr>
          <w:p w14:paraId="3DC66A1F">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山西省农业农村厅</w:t>
            </w:r>
          </w:p>
        </w:tc>
        <w:tc>
          <w:tcPr>
            <w:tcW w:w="1617" w:type="dxa"/>
          </w:tcPr>
          <w:p w14:paraId="4B3D39CF">
            <w:pPr>
              <w:spacing w:line="400" w:lineRule="exact"/>
              <w:jc w:val="center"/>
              <w:rPr>
                <w:rFonts w:ascii="仿宋_GB2312" w:hAnsi="仿宋" w:eastAsia="仿宋_GB2312" w:cs="Courier New"/>
                <w:sz w:val="24"/>
              </w:rPr>
            </w:pPr>
            <w:r>
              <w:rPr>
                <w:rFonts w:hint="eastAsia" w:ascii="仿宋_GB2312" w:hAnsi="仿宋" w:eastAsia="仿宋_GB2312" w:cs="Courier New"/>
                <w:sz w:val="24"/>
              </w:rPr>
              <w:t>组织</w:t>
            </w:r>
          </w:p>
        </w:tc>
      </w:tr>
      <w:tr w14:paraId="139E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356A280">
            <w:pPr>
              <w:spacing w:line="400" w:lineRule="exact"/>
              <w:jc w:val="center"/>
              <w:rPr>
                <w:rFonts w:ascii="仿宋_GB2312" w:hAnsi="仿宋" w:eastAsia="仿宋_GB2312" w:cs="Courier New"/>
                <w:sz w:val="24"/>
              </w:rPr>
            </w:pPr>
            <w:r>
              <w:rPr>
                <w:rFonts w:hint="eastAsia" w:ascii="仿宋_GB2312" w:hAnsi="仿宋" w:eastAsia="仿宋_GB2312" w:cs="Courier New"/>
                <w:sz w:val="24"/>
              </w:rPr>
              <w:t>石永红</w:t>
            </w:r>
          </w:p>
        </w:tc>
        <w:tc>
          <w:tcPr>
            <w:tcW w:w="709" w:type="dxa"/>
          </w:tcPr>
          <w:p w14:paraId="10FDBBDA">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11B76145">
            <w:pPr>
              <w:spacing w:line="400" w:lineRule="exact"/>
              <w:jc w:val="center"/>
              <w:rPr>
                <w:rFonts w:ascii="仿宋_GB2312" w:hAnsi="仿宋" w:eastAsia="仿宋_GB2312" w:cs="Courier New"/>
                <w:sz w:val="24"/>
              </w:rPr>
            </w:pPr>
            <w:r>
              <w:rPr>
                <w:rFonts w:hint="eastAsia" w:ascii="仿宋_GB2312" w:hAnsi="仿宋" w:eastAsia="仿宋_GB2312" w:cs="Courier New"/>
                <w:sz w:val="24"/>
              </w:rPr>
              <w:t>研究员</w:t>
            </w:r>
          </w:p>
        </w:tc>
        <w:tc>
          <w:tcPr>
            <w:tcW w:w="3118" w:type="dxa"/>
          </w:tcPr>
          <w:p w14:paraId="5EBD1F72">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山西农业大学</w:t>
            </w:r>
          </w:p>
        </w:tc>
        <w:tc>
          <w:tcPr>
            <w:tcW w:w="1617" w:type="dxa"/>
          </w:tcPr>
          <w:p w14:paraId="2B3C00AC">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调研、收集资料、起草</w:t>
            </w:r>
          </w:p>
        </w:tc>
      </w:tr>
      <w:tr w14:paraId="1D8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416E548">
            <w:pPr>
              <w:spacing w:line="400" w:lineRule="exact"/>
              <w:jc w:val="center"/>
              <w:rPr>
                <w:rFonts w:ascii="仿宋_GB2312" w:hAnsi="仿宋" w:eastAsia="仿宋_GB2312" w:cs="Courier New"/>
                <w:sz w:val="24"/>
              </w:rPr>
            </w:pPr>
            <w:r>
              <w:rPr>
                <w:rFonts w:hint="eastAsia" w:ascii="仿宋_GB2312" w:hAnsi="仿宋" w:eastAsia="仿宋_GB2312" w:cs="Courier New"/>
                <w:sz w:val="24"/>
              </w:rPr>
              <w:t>刘  旗</w:t>
            </w:r>
          </w:p>
        </w:tc>
        <w:tc>
          <w:tcPr>
            <w:tcW w:w="709" w:type="dxa"/>
          </w:tcPr>
          <w:p w14:paraId="29BB36B4">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2ADE79E5">
            <w:pPr>
              <w:spacing w:line="400" w:lineRule="exact"/>
              <w:jc w:val="center"/>
              <w:rPr>
                <w:rFonts w:ascii="仿宋_GB2312" w:hAnsi="仿宋" w:eastAsia="仿宋_GB2312" w:cs="Courier New"/>
                <w:sz w:val="24"/>
              </w:rPr>
            </w:pPr>
            <w:r>
              <w:rPr>
                <w:rFonts w:hint="eastAsia" w:ascii="仿宋_GB2312" w:hAnsi="仿宋" w:eastAsia="仿宋_GB2312" w:cs="Courier New"/>
                <w:sz w:val="24"/>
              </w:rPr>
              <w:t>高级畜牧师</w:t>
            </w:r>
          </w:p>
        </w:tc>
        <w:tc>
          <w:tcPr>
            <w:tcW w:w="3118" w:type="dxa"/>
          </w:tcPr>
          <w:p w14:paraId="196FD028">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山西省林业和草原工程总站</w:t>
            </w:r>
          </w:p>
        </w:tc>
        <w:tc>
          <w:tcPr>
            <w:tcW w:w="1617" w:type="dxa"/>
          </w:tcPr>
          <w:p w14:paraId="015C9F7B">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w:t>
            </w:r>
          </w:p>
        </w:tc>
      </w:tr>
      <w:tr w14:paraId="5B78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B40EBE8">
            <w:pPr>
              <w:spacing w:line="400" w:lineRule="exact"/>
              <w:jc w:val="center"/>
              <w:rPr>
                <w:rFonts w:ascii="仿宋_GB2312" w:hAnsi="仿宋" w:eastAsia="仿宋_GB2312" w:cs="Courier New"/>
                <w:sz w:val="24"/>
              </w:rPr>
            </w:pPr>
            <w:r>
              <w:rPr>
                <w:rFonts w:hint="eastAsia" w:ascii="仿宋_GB2312" w:hAnsi="仿宋" w:eastAsia="仿宋_GB2312" w:cs="Courier New"/>
                <w:sz w:val="24"/>
              </w:rPr>
              <w:t>吴欣明</w:t>
            </w:r>
          </w:p>
        </w:tc>
        <w:tc>
          <w:tcPr>
            <w:tcW w:w="709" w:type="dxa"/>
          </w:tcPr>
          <w:p w14:paraId="29FC7270">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7D40D170">
            <w:pPr>
              <w:spacing w:line="400" w:lineRule="exact"/>
              <w:jc w:val="center"/>
              <w:rPr>
                <w:rFonts w:ascii="仿宋_GB2312" w:hAnsi="仿宋" w:eastAsia="仿宋_GB2312" w:cs="Courier New"/>
                <w:sz w:val="24"/>
              </w:rPr>
            </w:pPr>
            <w:r>
              <w:rPr>
                <w:rFonts w:hint="eastAsia" w:ascii="仿宋_GB2312" w:hAnsi="仿宋" w:eastAsia="仿宋_GB2312" w:cs="Courier New"/>
                <w:sz w:val="24"/>
              </w:rPr>
              <w:t>副研究员</w:t>
            </w:r>
          </w:p>
        </w:tc>
        <w:tc>
          <w:tcPr>
            <w:tcW w:w="3118" w:type="dxa"/>
          </w:tcPr>
          <w:p w14:paraId="74E79DC1">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山西农业大学</w:t>
            </w:r>
          </w:p>
        </w:tc>
        <w:tc>
          <w:tcPr>
            <w:tcW w:w="1617" w:type="dxa"/>
          </w:tcPr>
          <w:p w14:paraId="3C292844">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调研、收集资料、起草</w:t>
            </w:r>
          </w:p>
        </w:tc>
      </w:tr>
      <w:tr w14:paraId="2A7E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C51DCC4">
            <w:pPr>
              <w:spacing w:line="400" w:lineRule="exact"/>
              <w:jc w:val="center"/>
              <w:rPr>
                <w:rFonts w:ascii="仿宋_GB2312" w:hAnsi="仿宋" w:eastAsia="仿宋_GB2312" w:cs="Courier New"/>
                <w:sz w:val="24"/>
              </w:rPr>
            </w:pPr>
            <w:r>
              <w:rPr>
                <w:rFonts w:hint="eastAsia" w:ascii="仿宋_GB2312" w:hAnsi="仿宋" w:eastAsia="仿宋_GB2312" w:cs="Courier New"/>
                <w:sz w:val="24"/>
              </w:rPr>
              <w:t>景  斌</w:t>
            </w:r>
          </w:p>
        </w:tc>
        <w:tc>
          <w:tcPr>
            <w:tcW w:w="709" w:type="dxa"/>
          </w:tcPr>
          <w:p w14:paraId="26481A4A">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7B4D6DEB">
            <w:pPr>
              <w:spacing w:line="400" w:lineRule="exact"/>
              <w:jc w:val="center"/>
              <w:rPr>
                <w:rFonts w:ascii="仿宋_GB2312" w:hAnsi="仿宋" w:eastAsia="仿宋_GB2312" w:cs="Courier New"/>
                <w:sz w:val="24"/>
              </w:rPr>
            </w:pPr>
            <w:r>
              <w:rPr>
                <w:rFonts w:hint="eastAsia" w:ascii="仿宋_GB2312" w:hAnsi="仿宋" w:eastAsia="仿宋_GB2312" w:cs="Courier New"/>
                <w:sz w:val="24"/>
              </w:rPr>
              <w:t>畜牧师</w:t>
            </w:r>
          </w:p>
        </w:tc>
        <w:tc>
          <w:tcPr>
            <w:tcW w:w="3118" w:type="dxa"/>
          </w:tcPr>
          <w:p w14:paraId="62D0DF8E">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山西省林业和草原工程总站</w:t>
            </w:r>
          </w:p>
        </w:tc>
        <w:tc>
          <w:tcPr>
            <w:tcW w:w="1617" w:type="dxa"/>
          </w:tcPr>
          <w:p w14:paraId="6ABC3E56">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w:t>
            </w:r>
          </w:p>
        </w:tc>
      </w:tr>
      <w:tr w14:paraId="57CF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76ABDBA">
            <w:pPr>
              <w:spacing w:line="400" w:lineRule="exact"/>
              <w:jc w:val="center"/>
              <w:rPr>
                <w:rFonts w:ascii="仿宋_GB2312" w:hAnsi="仿宋" w:eastAsia="仿宋_GB2312" w:cs="Courier New"/>
                <w:sz w:val="24"/>
              </w:rPr>
            </w:pPr>
            <w:r>
              <w:rPr>
                <w:rFonts w:hint="eastAsia" w:ascii="仿宋_GB2312" w:hAnsi="仿宋" w:eastAsia="仿宋_GB2312" w:cs="Courier New"/>
                <w:sz w:val="24"/>
              </w:rPr>
              <w:t>张  燕</w:t>
            </w:r>
          </w:p>
        </w:tc>
        <w:tc>
          <w:tcPr>
            <w:tcW w:w="709" w:type="dxa"/>
          </w:tcPr>
          <w:p w14:paraId="52F25BA0">
            <w:pPr>
              <w:spacing w:line="400" w:lineRule="exact"/>
              <w:jc w:val="center"/>
              <w:rPr>
                <w:rFonts w:ascii="仿宋_GB2312" w:hAnsi="仿宋" w:eastAsia="仿宋_GB2312" w:cs="Courier New"/>
                <w:sz w:val="24"/>
              </w:rPr>
            </w:pPr>
            <w:r>
              <w:rPr>
                <w:rFonts w:hint="eastAsia" w:ascii="仿宋_GB2312" w:hAnsi="仿宋" w:eastAsia="仿宋_GB2312" w:cs="Courier New"/>
                <w:sz w:val="24"/>
              </w:rPr>
              <w:t>女</w:t>
            </w:r>
          </w:p>
        </w:tc>
        <w:tc>
          <w:tcPr>
            <w:tcW w:w="1985" w:type="dxa"/>
          </w:tcPr>
          <w:p w14:paraId="7438FF61">
            <w:pPr>
              <w:spacing w:line="400" w:lineRule="exact"/>
              <w:jc w:val="center"/>
              <w:rPr>
                <w:rFonts w:ascii="仿宋_GB2312" w:hAnsi="仿宋" w:eastAsia="仿宋_GB2312" w:cs="Courier New"/>
                <w:sz w:val="24"/>
              </w:rPr>
            </w:pPr>
            <w:r>
              <w:rPr>
                <w:rFonts w:hint="eastAsia" w:ascii="仿宋_GB2312" w:hAnsi="仿宋" w:eastAsia="仿宋_GB2312" w:cs="Courier New"/>
                <w:sz w:val="24"/>
              </w:rPr>
              <w:t>副研究员</w:t>
            </w:r>
          </w:p>
        </w:tc>
        <w:tc>
          <w:tcPr>
            <w:tcW w:w="3118" w:type="dxa"/>
          </w:tcPr>
          <w:p w14:paraId="5222018F">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山西农业大学</w:t>
            </w:r>
          </w:p>
        </w:tc>
        <w:tc>
          <w:tcPr>
            <w:tcW w:w="1617" w:type="dxa"/>
          </w:tcPr>
          <w:p w14:paraId="4D23DF43">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调研、资料收集</w:t>
            </w:r>
          </w:p>
        </w:tc>
      </w:tr>
      <w:tr w14:paraId="49EB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313F022D">
            <w:pPr>
              <w:spacing w:line="400" w:lineRule="exact"/>
              <w:jc w:val="center"/>
              <w:rPr>
                <w:rFonts w:ascii="仿宋_GB2312" w:hAnsi="仿宋" w:eastAsia="仿宋_GB2312" w:cs="Courier New"/>
                <w:sz w:val="24"/>
              </w:rPr>
            </w:pPr>
            <w:r>
              <w:rPr>
                <w:rFonts w:hint="eastAsia" w:ascii="仿宋_GB2312" w:hAnsi="仿宋" w:eastAsia="仿宋_GB2312" w:cs="Courier New"/>
                <w:sz w:val="24"/>
              </w:rPr>
              <w:t>郭  璞</w:t>
            </w:r>
          </w:p>
        </w:tc>
        <w:tc>
          <w:tcPr>
            <w:tcW w:w="709" w:type="dxa"/>
          </w:tcPr>
          <w:p w14:paraId="1813A4D1">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686720C8">
            <w:pPr>
              <w:spacing w:line="400" w:lineRule="exact"/>
              <w:jc w:val="center"/>
              <w:rPr>
                <w:rFonts w:ascii="仿宋_GB2312" w:hAnsi="仿宋" w:eastAsia="仿宋_GB2312" w:cs="Courier New"/>
                <w:sz w:val="24"/>
              </w:rPr>
            </w:pPr>
            <w:r>
              <w:rPr>
                <w:rFonts w:hint="eastAsia" w:ascii="仿宋_GB2312" w:hAnsi="仿宋" w:eastAsia="仿宋_GB2312" w:cs="Courier New"/>
                <w:sz w:val="24"/>
              </w:rPr>
              <w:t>助理研究员</w:t>
            </w:r>
          </w:p>
        </w:tc>
        <w:tc>
          <w:tcPr>
            <w:tcW w:w="3118" w:type="dxa"/>
          </w:tcPr>
          <w:p w14:paraId="4A112546">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山西农业大学</w:t>
            </w:r>
          </w:p>
        </w:tc>
        <w:tc>
          <w:tcPr>
            <w:tcW w:w="1617" w:type="dxa"/>
          </w:tcPr>
          <w:p w14:paraId="5D7CF91F">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调研、资料收集</w:t>
            </w:r>
          </w:p>
        </w:tc>
      </w:tr>
      <w:tr w14:paraId="2368A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9A4D169">
            <w:pPr>
              <w:spacing w:line="400" w:lineRule="exact"/>
              <w:jc w:val="center"/>
              <w:rPr>
                <w:rFonts w:ascii="仿宋_GB2312" w:hAnsi="仿宋" w:eastAsia="仿宋_GB2312" w:cs="Courier New"/>
                <w:sz w:val="24"/>
              </w:rPr>
            </w:pPr>
            <w:r>
              <w:rPr>
                <w:rFonts w:hint="eastAsia" w:ascii="仿宋_GB2312" w:hAnsi="仿宋" w:eastAsia="仿宋_GB2312" w:cs="Courier New"/>
                <w:sz w:val="24"/>
              </w:rPr>
              <w:t>池惠武</w:t>
            </w:r>
          </w:p>
        </w:tc>
        <w:tc>
          <w:tcPr>
            <w:tcW w:w="709" w:type="dxa"/>
          </w:tcPr>
          <w:p w14:paraId="71E056E1">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54C0C69C">
            <w:pPr>
              <w:spacing w:line="400" w:lineRule="exact"/>
              <w:jc w:val="center"/>
              <w:rPr>
                <w:rFonts w:ascii="仿宋_GB2312" w:hAnsi="仿宋" w:eastAsia="仿宋_GB2312" w:cs="Courier New"/>
                <w:sz w:val="24"/>
              </w:rPr>
            </w:pPr>
            <w:r>
              <w:rPr>
                <w:rFonts w:hint="eastAsia" w:ascii="仿宋_GB2312" w:hAnsi="仿宋" w:eastAsia="仿宋_GB2312" w:cs="Courier New"/>
                <w:sz w:val="24"/>
              </w:rPr>
              <w:t>助理研究员</w:t>
            </w:r>
          </w:p>
        </w:tc>
        <w:tc>
          <w:tcPr>
            <w:tcW w:w="3118" w:type="dxa"/>
          </w:tcPr>
          <w:p w14:paraId="4676CB83">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山西农业大学</w:t>
            </w:r>
          </w:p>
        </w:tc>
        <w:tc>
          <w:tcPr>
            <w:tcW w:w="1617" w:type="dxa"/>
          </w:tcPr>
          <w:p w14:paraId="2C3A7BB7">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调研、资料收集</w:t>
            </w:r>
          </w:p>
        </w:tc>
      </w:tr>
      <w:tr w14:paraId="0B8A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A766C73">
            <w:pPr>
              <w:spacing w:line="400" w:lineRule="exact"/>
              <w:jc w:val="center"/>
              <w:rPr>
                <w:rFonts w:ascii="仿宋_GB2312" w:hAnsi="仿宋" w:eastAsia="仿宋_GB2312" w:cs="Courier New"/>
                <w:sz w:val="24"/>
              </w:rPr>
            </w:pPr>
            <w:r>
              <w:rPr>
                <w:rFonts w:hint="eastAsia" w:ascii="仿宋_GB2312" w:hAnsi="仿宋" w:eastAsia="仿宋_GB2312" w:cs="Courier New"/>
                <w:sz w:val="24"/>
              </w:rPr>
              <w:t>闫科技</w:t>
            </w:r>
          </w:p>
        </w:tc>
        <w:tc>
          <w:tcPr>
            <w:tcW w:w="709" w:type="dxa"/>
          </w:tcPr>
          <w:p w14:paraId="4E386C4E">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21CB5D9B">
            <w:pPr>
              <w:spacing w:line="400" w:lineRule="exact"/>
              <w:jc w:val="center"/>
              <w:rPr>
                <w:rFonts w:ascii="仿宋_GB2312" w:hAnsi="仿宋" w:eastAsia="仿宋_GB2312" w:cs="Courier New"/>
                <w:sz w:val="24"/>
              </w:rPr>
            </w:pPr>
            <w:r>
              <w:rPr>
                <w:rFonts w:hint="eastAsia" w:ascii="仿宋_GB2312" w:hAnsi="仿宋" w:eastAsia="仿宋_GB2312" w:cs="Courier New"/>
                <w:sz w:val="24"/>
              </w:rPr>
              <w:t>高级畜牧师</w:t>
            </w:r>
          </w:p>
        </w:tc>
        <w:tc>
          <w:tcPr>
            <w:tcW w:w="3118" w:type="dxa"/>
          </w:tcPr>
          <w:p w14:paraId="706C6769">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山西省林业和草原工程总站</w:t>
            </w:r>
          </w:p>
        </w:tc>
        <w:tc>
          <w:tcPr>
            <w:tcW w:w="1617" w:type="dxa"/>
          </w:tcPr>
          <w:p w14:paraId="62741B86">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w:t>
            </w:r>
          </w:p>
        </w:tc>
      </w:tr>
      <w:tr w14:paraId="78E5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1D70C28">
            <w:pPr>
              <w:spacing w:line="400" w:lineRule="exact"/>
              <w:jc w:val="center"/>
              <w:rPr>
                <w:rFonts w:ascii="仿宋_GB2312" w:hAnsi="仿宋" w:eastAsia="仿宋_GB2312" w:cs="Courier New"/>
                <w:sz w:val="24"/>
              </w:rPr>
            </w:pPr>
            <w:r>
              <w:rPr>
                <w:rFonts w:hint="eastAsia" w:ascii="仿宋_GB2312" w:hAnsi="仿宋" w:eastAsia="仿宋_GB2312" w:cs="Courier New"/>
                <w:sz w:val="24"/>
              </w:rPr>
              <w:t>刘建宁</w:t>
            </w:r>
          </w:p>
        </w:tc>
        <w:tc>
          <w:tcPr>
            <w:tcW w:w="709" w:type="dxa"/>
          </w:tcPr>
          <w:p w14:paraId="40022BCF">
            <w:pPr>
              <w:spacing w:line="400" w:lineRule="exact"/>
              <w:jc w:val="center"/>
              <w:rPr>
                <w:rFonts w:ascii="仿宋_GB2312" w:hAnsi="仿宋" w:eastAsia="仿宋_GB2312" w:cs="Courier New"/>
                <w:sz w:val="24"/>
              </w:rPr>
            </w:pPr>
            <w:r>
              <w:rPr>
                <w:rFonts w:hint="eastAsia" w:ascii="仿宋_GB2312" w:hAnsi="仿宋" w:eastAsia="仿宋_GB2312" w:cs="Courier New"/>
                <w:sz w:val="24"/>
              </w:rPr>
              <w:t>男</w:t>
            </w:r>
          </w:p>
        </w:tc>
        <w:tc>
          <w:tcPr>
            <w:tcW w:w="1985" w:type="dxa"/>
          </w:tcPr>
          <w:p w14:paraId="2EBB60BA">
            <w:pPr>
              <w:spacing w:line="400" w:lineRule="exact"/>
              <w:jc w:val="center"/>
              <w:rPr>
                <w:rFonts w:ascii="仿宋_GB2312" w:hAnsi="仿宋" w:eastAsia="仿宋_GB2312" w:cs="Courier New"/>
                <w:sz w:val="24"/>
              </w:rPr>
            </w:pPr>
            <w:r>
              <w:rPr>
                <w:rFonts w:hint="eastAsia" w:ascii="仿宋_GB2312" w:hAnsi="仿宋" w:eastAsia="仿宋_GB2312" w:cs="Courier New"/>
                <w:sz w:val="24"/>
              </w:rPr>
              <w:t>研究员</w:t>
            </w:r>
          </w:p>
        </w:tc>
        <w:tc>
          <w:tcPr>
            <w:tcW w:w="3118" w:type="dxa"/>
          </w:tcPr>
          <w:p w14:paraId="3DE37212">
            <w:pPr>
              <w:spacing w:line="400" w:lineRule="exact"/>
              <w:jc w:val="center"/>
              <w:rPr>
                <w:rFonts w:ascii="仿宋_GB2312" w:hAnsi="仿宋" w:eastAsia="仿宋_GB2312" w:cs="Courier New"/>
                <w:sz w:val="24"/>
              </w:rPr>
            </w:pPr>
            <w:r>
              <w:rPr>
                <w:rFonts w:hint="eastAsia" w:ascii="仿宋_GB2312" w:hAnsi="仿宋" w:eastAsia="仿宋_GB2312" w:cs="Courier New"/>
                <w:sz w:val="24"/>
              </w:rPr>
              <w:t>山西农业大学</w:t>
            </w:r>
          </w:p>
        </w:tc>
        <w:tc>
          <w:tcPr>
            <w:tcW w:w="1617" w:type="dxa"/>
          </w:tcPr>
          <w:p w14:paraId="3E975B44">
            <w:pPr>
              <w:spacing w:line="400" w:lineRule="exact"/>
              <w:jc w:val="center"/>
              <w:rPr>
                <w:rFonts w:ascii="仿宋_GB2312" w:hAnsi="仿宋" w:eastAsia="仿宋_GB2312" w:cs="Courier New"/>
                <w:sz w:val="24"/>
              </w:rPr>
            </w:pPr>
            <w:r>
              <w:rPr>
                <w:rFonts w:hint="eastAsia" w:ascii="仿宋_GB2312" w:hAnsi="仿宋_GB2312" w:eastAsia="仿宋_GB2312" w:cs="仿宋_GB2312"/>
                <w:kern w:val="21"/>
                <w:sz w:val="24"/>
              </w:rPr>
              <w:t>调研、资料收集</w:t>
            </w:r>
          </w:p>
        </w:tc>
      </w:tr>
    </w:tbl>
    <w:p w14:paraId="71054FC6">
      <w:pPr>
        <w:spacing w:line="360" w:lineRule="auto"/>
        <w:ind w:firstLine="480" w:firstLineChars="200"/>
        <w:outlineLvl w:val="0"/>
        <w:rPr>
          <w:rFonts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14:paraId="1860395D">
      <w:pPr>
        <w:spacing w:line="360" w:lineRule="auto"/>
        <w:ind w:firstLine="480" w:firstLineChars="200"/>
        <w:rPr>
          <w:rFonts w:ascii="仿宋_GB2312" w:hAnsi="仿宋" w:eastAsia="仿宋_GB2312"/>
          <w:sz w:val="24"/>
        </w:rPr>
      </w:pPr>
      <w:r>
        <w:rPr>
          <w:rFonts w:hint="eastAsia" w:ascii="仿宋_GB2312" w:hAnsi="仿宋" w:eastAsia="仿宋_GB2312"/>
          <w:sz w:val="24"/>
        </w:rPr>
        <w:t>紫花苜蓿是重要的豆科牧草，其种植历史悠久，并在世界各国广泛种植。近年来，我国畜牧业尤其奶业发展迅速，对苜蓿饲草的需求量整体呈增加趋势，每年从国外进口苜蓿干草百万吨以上。随着苜蓿规模化生产技术水平及机械化程度的不断提升，十年前制订的紫花苜蓿栽培利用技术规程中一些规范性引用文件和技术指标等已不适用于当前的生产技术需求。因此，开展紫花苜蓿栽培利用技术规程的修订工作显得尤为必要，该标准的修订必将为本区域紫花苜蓿的规模化生产及加工利用提供更加坚实的技术支撑。</w:t>
      </w:r>
    </w:p>
    <w:p w14:paraId="78AF48F3">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起草组先后承担了国家牧草产业技术体系试验站建设等项目，对苜蓿建植管理与收获加工利用进行了大量的研究。同时，起草组从2014年开始多次深入实地对我省已实施的高产苜蓿基地建设的建植管理、收获加工与利用等进行了细致的调查分析和研究总结，为本标准的制定积累了大量试验数据。</w:t>
      </w:r>
    </w:p>
    <w:p w14:paraId="0FB4D918">
      <w:pPr>
        <w:spacing w:line="360" w:lineRule="auto"/>
        <w:ind w:firstLine="480" w:firstLineChars="200"/>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14:paraId="7D30385A">
      <w:pPr>
        <w:spacing w:line="400" w:lineRule="exact"/>
        <w:ind w:firstLine="480" w:firstLineChars="200"/>
        <w:rPr>
          <w:rFonts w:eastAsia="仿宋_GB2312"/>
          <w:bCs/>
          <w:sz w:val="24"/>
        </w:rPr>
      </w:pPr>
      <w:r>
        <w:rPr>
          <w:rFonts w:hint="eastAsia" w:eastAsia="仿宋_GB2312"/>
          <w:bCs/>
          <w:sz w:val="24"/>
        </w:rPr>
        <w:t>1、成立标准修订工作组</w:t>
      </w:r>
    </w:p>
    <w:p w14:paraId="36D28935">
      <w:pPr>
        <w:spacing w:line="400" w:lineRule="exact"/>
        <w:ind w:firstLine="420" w:firstLineChars="200"/>
        <w:rPr>
          <w:rFonts w:eastAsia="仿宋_GB2312"/>
          <w:bCs/>
          <w:sz w:val="24"/>
        </w:rPr>
      </w:pPr>
      <w:r>
        <w:rPr>
          <w:rFonts w:hint="eastAsia"/>
        </w:rPr>
        <w:t xml:space="preserve"> </w:t>
      </w:r>
      <w:r>
        <w:rPr>
          <w:rFonts w:hint="eastAsia" w:eastAsia="仿宋_GB2312"/>
          <w:bCs/>
          <w:sz w:val="24"/>
        </w:rPr>
        <w:t>2022年由</w:t>
      </w:r>
      <w:r>
        <w:rPr>
          <w:rFonts w:hint="eastAsia" w:ascii="仿宋_GB2312" w:hAnsi="宋体" w:eastAsia="仿宋_GB2312"/>
          <w:sz w:val="24"/>
        </w:rPr>
        <w:t>山西省市场监督管理局</w:t>
      </w:r>
      <w:r>
        <w:rPr>
          <w:rFonts w:hint="eastAsia" w:eastAsia="仿宋_GB2312"/>
          <w:bCs/>
          <w:sz w:val="24"/>
        </w:rPr>
        <w:t>下发《公告》</w:t>
      </w:r>
      <w:r>
        <w:rPr>
          <w:rFonts w:hint="eastAsia" w:ascii="仿宋_GB2312" w:hAnsi="宋体" w:eastAsia="仿宋_GB2312"/>
          <w:sz w:val="24"/>
        </w:rPr>
        <w:t>（山西省地方标准公告2022年第20号）</w:t>
      </w:r>
      <w:r>
        <w:rPr>
          <w:rFonts w:hint="eastAsia" w:eastAsia="仿宋_GB2312"/>
          <w:bCs/>
          <w:sz w:val="24"/>
        </w:rPr>
        <w:t>安排地方标准进行修订的任务，接到任务后，着手安排原标准制定人石永红等进行准备工作。组织成立了该标准的修订小组。随之制定了工作方案，确定了项目工作内容、进度、目标及分工，任务落实到人，各项工作由专人负责，严格按工作计划执行。在工作中定期进行进展报告和检查，确保按时完成标准制定工作。</w:t>
      </w:r>
    </w:p>
    <w:p w14:paraId="300B2B57">
      <w:pPr>
        <w:spacing w:line="400" w:lineRule="exact"/>
        <w:ind w:firstLine="480" w:firstLineChars="200"/>
        <w:rPr>
          <w:rFonts w:eastAsia="仿宋_GB2312"/>
          <w:bCs/>
          <w:sz w:val="24"/>
        </w:rPr>
      </w:pPr>
      <w:r>
        <w:rPr>
          <w:rFonts w:hint="eastAsia" w:eastAsia="仿宋_GB2312"/>
          <w:bCs/>
          <w:sz w:val="24"/>
        </w:rPr>
        <w:t>2、调研考察</w:t>
      </w:r>
    </w:p>
    <w:p w14:paraId="1D510BC5">
      <w:pPr>
        <w:spacing w:line="400" w:lineRule="exact"/>
        <w:ind w:firstLine="480" w:firstLineChars="200"/>
        <w:rPr>
          <w:rFonts w:eastAsia="仿宋_GB2312"/>
          <w:bCs/>
          <w:sz w:val="24"/>
        </w:rPr>
      </w:pPr>
      <w:r>
        <w:rPr>
          <w:rFonts w:hint="eastAsia" w:eastAsia="仿宋_GB2312"/>
          <w:bCs/>
          <w:sz w:val="24"/>
        </w:rPr>
        <w:t>标准的修订过程中，修订小组对紫花苜蓿栽培利用的最新技术及存在的问题等进行了大量详细的调查研究。多次深入朔州市、大同市、运城市等高产苜蓿生产示范基地进行了实地调研，并与省内饲草生产有关专家咨询、交流各自的经验和做法，了解和掌握我省紫花苜蓿种植管理与收获加工利用等方面的新技术及存在的问题，使本技术规程的修订得到有力的技术支持。</w:t>
      </w:r>
    </w:p>
    <w:p w14:paraId="3432B5BF">
      <w:pPr>
        <w:spacing w:line="400" w:lineRule="exact"/>
        <w:ind w:firstLine="480" w:firstLineChars="200"/>
        <w:rPr>
          <w:rFonts w:eastAsia="仿宋_GB2312"/>
          <w:bCs/>
          <w:sz w:val="24"/>
        </w:rPr>
      </w:pPr>
      <w:r>
        <w:rPr>
          <w:rFonts w:hint="eastAsia" w:eastAsia="仿宋_GB2312"/>
          <w:bCs/>
          <w:sz w:val="24"/>
        </w:rPr>
        <w:t>3、收集资料</w:t>
      </w:r>
    </w:p>
    <w:p w14:paraId="568FC06A">
      <w:pPr>
        <w:spacing w:line="360" w:lineRule="auto"/>
        <w:ind w:firstLine="480" w:firstLineChars="200"/>
        <w:jc w:val="left"/>
        <w:rPr>
          <w:rFonts w:eastAsia="仿宋_GB2312"/>
          <w:bCs/>
          <w:sz w:val="24"/>
        </w:rPr>
      </w:pPr>
      <w:r>
        <w:rPr>
          <w:rFonts w:hint="eastAsia" w:eastAsia="仿宋_GB2312"/>
          <w:bCs/>
          <w:sz w:val="24"/>
        </w:rPr>
        <w:t>标准修订工作组成立后，首先进行相关标准和技术资料的搜集、查阅、整理和汇总，标准中编制过程中，起草工作组认真学习了GB/T 1.1-2020《标准化工作导则  第1部分：标准化文件的结构和起草规则》，了解了标准书写结构、书写方式；查阅了NY/T 2697《饲草青贮技术规程 紫花苜蓿》、NY/T 2699《牧草机械收获技术规程 苜蓿干草》、NY/T 2700《草地测土施肥技术规程 紫花苜蓿》、NY/T 2701《人工草地杂草防除技术规程 紫花苜蓿》、NY/T 2702《紫花苜蓿主要病害防治技术规程》及NY/T 2994《苜蓿田主要虫害防治技术规程》等标准及国家有关法律法规等，同时收集了国内有关苜蓿栽培利用方面的相关资料文献及研究学习了其它兄弟省市苜蓿种植技术的经验和做法。在此基础上结合多年的苜蓿生产试验研究结果以及田间试验统计分析，编制了修订初稿。</w:t>
      </w:r>
    </w:p>
    <w:p w14:paraId="2F1D1136">
      <w:pPr>
        <w:spacing w:line="400" w:lineRule="exact"/>
        <w:ind w:firstLine="480" w:firstLineChars="200"/>
        <w:rPr>
          <w:rFonts w:eastAsia="仿宋_GB2312"/>
          <w:bCs/>
          <w:sz w:val="24"/>
        </w:rPr>
      </w:pPr>
      <w:r>
        <w:rPr>
          <w:rFonts w:hint="eastAsia" w:eastAsia="仿宋_GB2312"/>
          <w:bCs/>
          <w:sz w:val="24"/>
        </w:rPr>
        <w:t>4、修订文本</w:t>
      </w:r>
    </w:p>
    <w:p w14:paraId="79DCECD2">
      <w:pPr>
        <w:spacing w:line="400" w:lineRule="exact"/>
        <w:ind w:firstLine="480" w:firstLineChars="200"/>
        <w:rPr>
          <w:rFonts w:eastAsia="仿宋_GB2312"/>
          <w:bCs/>
          <w:sz w:val="24"/>
        </w:rPr>
      </w:pPr>
      <w:r>
        <w:rPr>
          <w:rFonts w:hint="eastAsia" w:eastAsia="仿宋_GB2312"/>
          <w:bCs/>
          <w:sz w:val="24"/>
        </w:rPr>
        <w:t xml:space="preserve">在标准修订过程中，主要起草人深入苜蓿生产一线，与基层业务部门及企业人员深入交流、沟通，实地了解在苜蓿生产中的技术、经验和存在问题，并及时解决，以实现标准的实用性和可操作性；同时请教国内苜蓿生产的相关专家、教授学者，借鉴各地的成功经验和各位专家提供的宝贵经验，结合我省的实际现状，归纳整理试验研究和文献资料。经过修订小组成员的多次研讨和生产地调研，在原标准基础上形成修订初稿。 </w:t>
      </w:r>
    </w:p>
    <w:p w14:paraId="506A0199">
      <w:pPr>
        <w:spacing w:line="400" w:lineRule="exact"/>
        <w:ind w:firstLine="480" w:firstLineChars="200"/>
        <w:rPr>
          <w:rFonts w:eastAsia="仿宋_GB2312"/>
          <w:bCs/>
          <w:sz w:val="24"/>
        </w:rPr>
      </w:pPr>
      <w:r>
        <w:rPr>
          <w:rFonts w:hint="eastAsia" w:eastAsia="仿宋_GB2312"/>
          <w:bCs/>
          <w:sz w:val="24"/>
        </w:rPr>
        <w:t>5、技术评审</w:t>
      </w:r>
    </w:p>
    <w:p w14:paraId="6127635C">
      <w:p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2024年10月17日上午，由</w:t>
      </w:r>
      <w:r>
        <w:rPr>
          <w:rFonts w:hint="eastAsia" w:ascii="仿宋_GB2312" w:hAnsi="宋体" w:eastAsia="仿宋_GB2312"/>
          <w:sz w:val="24"/>
        </w:rPr>
        <w:t>山西省农业标准化技术委员会</w:t>
      </w:r>
      <w:r>
        <w:rPr>
          <w:rFonts w:hint="eastAsia" w:ascii="仿宋_GB2312" w:hAnsi="宋体" w:eastAsia="仿宋_GB2312"/>
          <w:sz w:val="24"/>
          <w:lang w:val="en-US" w:eastAsia="zh-CN"/>
        </w:rPr>
        <w:t>组织5名专家对修订的《</w:t>
      </w:r>
      <w:r>
        <w:rPr>
          <w:rFonts w:hint="eastAsia" w:ascii="仿宋_GB2312" w:hAnsi="宋体" w:eastAsia="仿宋_GB2312"/>
          <w:sz w:val="24"/>
        </w:rPr>
        <w:t>紫花苜蓿栽培利用技术规程</w:t>
      </w:r>
      <w:r>
        <w:rPr>
          <w:rFonts w:hint="eastAsia" w:ascii="仿宋_GB2312" w:hAnsi="宋体" w:eastAsia="仿宋_GB2312"/>
          <w:sz w:val="24"/>
          <w:lang w:val="en-US" w:eastAsia="zh-CN"/>
        </w:rPr>
        <w:t>》进行了技术初审，一致同意通过技术初审。</w:t>
      </w:r>
    </w:p>
    <w:p w14:paraId="18E75A84">
      <w:pPr>
        <w:numPr>
          <w:ilvl w:val="0"/>
          <w:numId w:val="3"/>
        </w:numPr>
        <w:spacing w:line="400" w:lineRule="exact"/>
        <w:ind w:firstLine="480" w:firstLineChars="200"/>
        <w:rPr>
          <w:rFonts w:eastAsia="仿宋_GB2312"/>
          <w:bCs/>
          <w:sz w:val="24"/>
        </w:rPr>
      </w:pPr>
      <w:r>
        <w:rPr>
          <w:rFonts w:hint="eastAsia" w:eastAsia="仿宋_GB2312"/>
          <w:bCs/>
          <w:sz w:val="24"/>
        </w:rPr>
        <w:t>征求意见</w:t>
      </w:r>
    </w:p>
    <w:p w14:paraId="6FA64A41">
      <w:pPr>
        <w:spacing w:line="400" w:lineRule="exact"/>
        <w:rPr>
          <w:rFonts w:hint="eastAsia" w:eastAsia="仿宋_GB2312"/>
          <w:bCs/>
          <w:sz w:val="24"/>
          <w:lang w:val="en-US"/>
        </w:rPr>
      </w:pPr>
      <w:r>
        <w:rPr>
          <w:rFonts w:hint="eastAsia" w:eastAsia="仿宋_GB2312"/>
          <w:bCs/>
          <w:sz w:val="24"/>
        </w:rPr>
        <w:t xml:space="preserve">    </w:t>
      </w:r>
      <w:r>
        <w:rPr>
          <w:rFonts w:hint="eastAsia" w:eastAsia="仿宋_GB2312"/>
          <w:bCs/>
          <w:sz w:val="24"/>
          <w:lang w:val="en-US" w:eastAsia="zh-CN"/>
        </w:rPr>
        <w:t>本标准在制订过程中，向我省苜蓿主产区朔州市和大同市业务主管部门和企业朔州市草牧业中心、大同市现代农业发展中心、朔城区农业农村局以及朔州市骏宝辰农业科技有限公司、阳高县牧友恒泰草业公司五家单位的5名专家征集修改意见和建议，反馈回2名专家提出了修改建议，予以采纳，其他3名专家未提出的修改意见</w:t>
      </w:r>
      <w:bookmarkStart w:id="0" w:name="_Hlk505848026"/>
      <w:r>
        <w:rPr>
          <w:rFonts w:hint="eastAsia" w:eastAsia="仿宋_GB2312"/>
          <w:bCs/>
          <w:sz w:val="24"/>
          <w:lang w:val="en-US" w:eastAsia="zh-CN"/>
        </w:rPr>
        <w:t>，征求意见过程中未出现重大分歧意见。具体见《征求意见汇总处理表》。</w:t>
      </w:r>
      <w:bookmarkEnd w:id="0"/>
    </w:p>
    <w:p w14:paraId="1CDCE111">
      <w:pPr>
        <w:numPr>
          <w:ilvl w:val="0"/>
          <w:numId w:val="3"/>
        </w:numPr>
        <w:spacing w:line="400" w:lineRule="exact"/>
        <w:ind w:firstLine="480" w:firstLineChars="200"/>
        <w:rPr>
          <w:rFonts w:eastAsia="仿宋_GB2312"/>
          <w:bCs/>
          <w:sz w:val="24"/>
        </w:rPr>
      </w:pPr>
      <w:r>
        <w:rPr>
          <w:rFonts w:hint="eastAsia" w:eastAsia="仿宋_GB2312"/>
          <w:bCs/>
          <w:sz w:val="24"/>
        </w:rPr>
        <w:t>完善文本</w:t>
      </w:r>
    </w:p>
    <w:p w14:paraId="37405C0C">
      <w:pPr>
        <w:spacing w:line="400" w:lineRule="exact"/>
        <w:ind w:firstLine="480" w:firstLineChars="200"/>
        <w:rPr>
          <w:rFonts w:eastAsia="仿宋_GB2312"/>
          <w:bCs/>
          <w:sz w:val="24"/>
        </w:rPr>
      </w:pPr>
      <w:r>
        <w:rPr>
          <w:rFonts w:hint="eastAsia" w:eastAsia="仿宋_GB2312"/>
          <w:bCs/>
          <w:sz w:val="24"/>
        </w:rPr>
        <w:t>（进一步修改完善后形成标准送审稿，标委会表决......）</w:t>
      </w:r>
    </w:p>
    <w:p w14:paraId="09A9D89F">
      <w:pPr>
        <w:numPr>
          <w:ilvl w:val="0"/>
          <w:numId w:val="3"/>
        </w:numPr>
        <w:spacing w:line="400" w:lineRule="exact"/>
        <w:ind w:firstLine="480" w:firstLineChars="200"/>
        <w:rPr>
          <w:rFonts w:eastAsia="仿宋_GB2312"/>
          <w:bCs/>
          <w:sz w:val="24"/>
        </w:rPr>
      </w:pPr>
      <w:r>
        <w:rPr>
          <w:rFonts w:hint="eastAsia" w:eastAsia="仿宋_GB2312"/>
          <w:bCs/>
          <w:sz w:val="24"/>
        </w:rPr>
        <w:t>形成报批稿、提交报批材料......</w:t>
      </w:r>
    </w:p>
    <w:p w14:paraId="56A8FBD5">
      <w:pPr>
        <w:spacing w:line="400" w:lineRule="exact"/>
        <w:ind w:firstLine="480" w:firstLineChars="200"/>
        <w:rPr>
          <w:rFonts w:eastAsia="仿宋_GB2312"/>
          <w:bCs/>
          <w:sz w:val="24"/>
        </w:rPr>
      </w:pPr>
      <w:r>
        <w:rPr>
          <w:rFonts w:hint="eastAsia" w:eastAsia="仿宋_GB2312"/>
          <w:bCs/>
          <w:sz w:val="24"/>
        </w:rPr>
        <w:t>......</w:t>
      </w:r>
    </w:p>
    <w:p w14:paraId="3A6C5326">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rPr>
        <w:t>制修</w:t>
      </w:r>
      <w:r>
        <w:rPr>
          <w:rFonts w:ascii="黑体" w:eastAsia="黑体"/>
          <w:sz w:val="24"/>
        </w:rPr>
        <w:t>订标准的原则和依据，与现行法律、法规、标准的关系</w:t>
      </w:r>
    </w:p>
    <w:p w14:paraId="33975601">
      <w:pPr>
        <w:spacing w:line="400" w:lineRule="exact"/>
        <w:ind w:firstLine="420" w:firstLineChars="200"/>
      </w:pPr>
      <w:r>
        <w:rPr>
          <w:rFonts w:hint="eastAsia"/>
        </w:rPr>
        <w:t>（一）修订标准的原则</w:t>
      </w:r>
    </w:p>
    <w:p w14:paraId="7B2D71FE">
      <w:pPr>
        <w:spacing w:line="400" w:lineRule="exact"/>
        <w:ind w:firstLine="420" w:firstLineChars="200"/>
        <w:rPr>
          <w:rFonts w:eastAsia="仿宋_GB2312"/>
          <w:bCs/>
          <w:sz w:val="24"/>
        </w:rPr>
      </w:pPr>
      <w:r>
        <w:rPr>
          <w:rFonts w:hint="eastAsia"/>
        </w:rPr>
        <w:t xml:space="preserve"> </w:t>
      </w:r>
      <w:r>
        <w:rPr>
          <w:rFonts w:hint="eastAsia" w:eastAsia="仿宋_GB2312"/>
          <w:bCs/>
          <w:sz w:val="24"/>
        </w:rPr>
        <w:t>1、科学性原则</w:t>
      </w:r>
    </w:p>
    <w:p w14:paraId="7CE09515">
      <w:pPr>
        <w:spacing w:line="400" w:lineRule="exact"/>
        <w:ind w:firstLine="480" w:firstLineChars="200"/>
        <w:rPr>
          <w:rFonts w:eastAsia="仿宋_GB2312"/>
          <w:bCs/>
          <w:sz w:val="24"/>
        </w:rPr>
      </w:pPr>
      <w:r>
        <w:rPr>
          <w:rFonts w:hint="eastAsia" w:eastAsia="仿宋_GB2312"/>
          <w:bCs/>
          <w:sz w:val="24"/>
        </w:rPr>
        <w:t>本标准是在我省近十年来对苜蓿生产技术研究与应用的基础上修订的。在综合分析近10年的数据基础上，通过项目调查、研究、试验形成本标准相关内容。每项措施均是经理论到实践再到理论总结提炼而成，经生产实践检验具有明显的效果，使标准更具有专业性和可靠性。标准修订初稿、初审稿、征求意见稿、编制说明经我省同行专家和标准起草工作组内部会议修改完善。</w:t>
      </w:r>
    </w:p>
    <w:p w14:paraId="7524F6A1">
      <w:pPr>
        <w:spacing w:line="400" w:lineRule="exact"/>
        <w:ind w:firstLine="480" w:firstLineChars="200"/>
        <w:rPr>
          <w:rFonts w:eastAsia="仿宋_GB2312"/>
          <w:bCs/>
          <w:sz w:val="24"/>
        </w:rPr>
      </w:pPr>
      <w:r>
        <w:rPr>
          <w:rFonts w:hint="eastAsia" w:eastAsia="仿宋_GB2312"/>
          <w:bCs/>
          <w:sz w:val="24"/>
        </w:rPr>
        <w:t>2、可行性原则</w:t>
      </w:r>
    </w:p>
    <w:p w14:paraId="22D6A15A">
      <w:pPr>
        <w:spacing w:line="400" w:lineRule="exact"/>
        <w:ind w:firstLine="480" w:firstLineChars="200"/>
        <w:rPr>
          <w:rFonts w:eastAsia="仿宋_GB2312"/>
          <w:bCs/>
          <w:sz w:val="24"/>
        </w:rPr>
      </w:pPr>
      <w:r>
        <w:rPr>
          <w:rFonts w:hint="eastAsia" w:eastAsia="仿宋_GB2312"/>
          <w:bCs/>
          <w:sz w:val="24"/>
        </w:rPr>
        <w:t>本标准编写时注重细节、可操作性。针对苜蓿栽培利用的主要技术进行了系统性、规范性的梳理，使标准更加贴近生产实践，能够满足苜蓿生产利用的实际需求。</w:t>
      </w:r>
    </w:p>
    <w:p w14:paraId="5D6E982D">
      <w:pPr>
        <w:spacing w:line="400" w:lineRule="exact"/>
        <w:ind w:firstLine="480" w:firstLineChars="200"/>
        <w:rPr>
          <w:rFonts w:eastAsia="仿宋_GB2312"/>
          <w:bCs/>
          <w:sz w:val="24"/>
        </w:rPr>
      </w:pPr>
      <w:r>
        <w:rPr>
          <w:rFonts w:hint="eastAsia" w:eastAsia="仿宋_GB2312"/>
          <w:bCs/>
          <w:sz w:val="24"/>
        </w:rPr>
        <w:t>3、适用性原则</w:t>
      </w:r>
    </w:p>
    <w:p w14:paraId="744701B3">
      <w:pPr>
        <w:spacing w:line="400" w:lineRule="exact"/>
        <w:ind w:firstLine="480" w:firstLineChars="200"/>
        <w:rPr>
          <w:rFonts w:eastAsia="仿宋_GB2312"/>
          <w:bCs/>
          <w:sz w:val="24"/>
        </w:rPr>
      </w:pPr>
      <w:r>
        <w:rPr>
          <w:rFonts w:hint="eastAsia" w:eastAsia="仿宋_GB2312"/>
          <w:bCs/>
          <w:sz w:val="24"/>
        </w:rPr>
        <w:t>本着理论源于实践，实践检验理论的原则，本标准特别突出苜蓿栽培利用技术在生产上的系统性和实用性，内容上通俗易懂，使基层技术人员易学、易懂，便于掌握。</w:t>
      </w:r>
    </w:p>
    <w:p w14:paraId="3D5130E8">
      <w:pPr>
        <w:spacing w:line="400" w:lineRule="exact"/>
        <w:ind w:firstLine="480" w:firstLineChars="200"/>
        <w:rPr>
          <w:rFonts w:eastAsia="仿宋_GB2312"/>
          <w:bCs/>
          <w:sz w:val="24"/>
        </w:rPr>
      </w:pPr>
      <w:r>
        <w:rPr>
          <w:rFonts w:hint="eastAsia" w:eastAsia="仿宋_GB2312"/>
          <w:bCs/>
          <w:sz w:val="24"/>
        </w:rPr>
        <w:t>（二）修订标准的依据</w:t>
      </w:r>
    </w:p>
    <w:p w14:paraId="0DF738D3">
      <w:pPr>
        <w:spacing w:line="400" w:lineRule="exact"/>
        <w:ind w:firstLine="480" w:firstLineChars="200"/>
        <w:rPr>
          <w:rFonts w:eastAsia="仿宋_GB2312"/>
          <w:bCs/>
          <w:sz w:val="24"/>
        </w:rPr>
      </w:pPr>
      <w:r>
        <w:rPr>
          <w:rFonts w:hint="eastAsia" w:eastAsia="仿宋_GB2312"/>
          <w:bCs/>
          <w:sz w:val="24"/>
        </w:rPr>
        <w:t>山西省市场监督管理局关于2023年度省级地方标准复审结论征求意见函。</w:t>
      </w:r>
    </w:p>
    <w:p w14:paraId="277898E6">
      <w:pPr>
        <w:spacing w:line="400" w:lineRule="exact"/>
        <w:ind w:firstLine="480" w:firstLineChars="200"/>
        <w:rPr>
          <w:rFonts w:eastAsia="仿宋_GB2312"/>
          <w:bCs/>
          <w:sz w:val="24"/>
        </w:rPr>
      </w:pPr>
      <w:r>
        <w:rPr>
          <w:rFonts w:hint="eastAsia" w:eastAsia="仿宋_GB2312"/>
          <w:bCs/>
          <w:sz w:val="24"/>
        </w:rPr>
        <w:t>（三）与现行法律、法规、标准的关系</w:t>
      </w:r>
    </w:p>
    <w:p w14:paraId="30F176CA">
      <w:pPr>
        <w:spacing w:line="400" w:lineRule="exact"/>
        <w:ind w:firstLine="480" w:firstLineChars="200"/>
        <w:rPr>
          <w:rFonts w:eastAsia="仿宋_GB2312"/>
          <w:bCs/>
          <w:sz w:val="24"/>
        </w:rPr>
      </w:pPr>
      <w:r>
        <w:rPr>
          <w:rFonts w:hint="eastAsia" w:eastAsia="仿宋_GB2312"/>
          <w:bCs/>
          <w:sz w:val="24"/>
        </w:rPr>
        <w:t>本标准符合《中华人民共和国标准化法》、《中华人民共和国草原法》等现行相关法律法规的规定。与现行的法律、法规和国家标准、行业标准保持一致，与现行法律法规没有矛盾或冲突。</w:t>
      </w:r>
    </w:p>
    <w:p w14:paraId="66E03DAD">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14:paraId="5AEA5F96">
      <w:pPr>
        <w:spacing w:line="400" w:lineRule="exact"/>
        <w:ind w:firstLine="480" w:firstLineChars="200"/>
        <w:rPr>
          <w:rFonts w:eastAsia="仿宋_GB2312"/>
          <w:bCs/>
          <w:sz w:val="24"/>
        </w:rPr>
      </w:pPr>
      <w:r>
        <w:rPr>
          <w:rFonts w:hint="eastAsia" w:eastAsia="仿宋_GB2312"/>
          <w:bCs/>
          <w:sz w:val="24"/>
        </w:rPr>
        <w:t>标准起草组以“合法性、安全性、适应性、协调性和先进性”为修订原则，以文本结构更加合理、表述更加准确、技术指标更加科学为修订目标，从3个方面对文本进行了修订，其中：</w:t>
      </w:r>
    </w:p>
    <w:p w14:paraId="5078DFB8">
      <w:pPr>
        <w:spacing w:line="400" w:lineRule="exact"/>
        <w:ind w:firstLine="480" w:firstLineChars="200"/>
        <w:rPr>
          <w:rFonts w:eastAsia="仿宋_GB2312"/>
          <w:bCs/>
          <w:sz w:val="24"/>
        </w:rPr>
      </w:pPr>
      <w:r>
        <w:rPr>
          <w:rFonts w:hint="eastAsia" w:eastAsia="仿宋_GB2312"/>
          <w:bCs/>
          <w:sz w:val="24"/>
        </w:rPr>
        <w:t>1、涉及结构性调整的主要有3项：</w:t>
      </w:r>
    </w:p>
    <w:p w14:paraId="1E88A0DF">
      <w:pPr>
        <w:spacing w:line="400" w:lineRule="exact"/>
        <w:ind w:firstLine="480" w:firstLineChars="200"/>
        <w:rPr>
          <w:rFonts w:eastAsia="仿宋_GB2312"/>
          <w:bCs/>
          <w:sz w:val="24"/>
        </w:rPr>
      </w:pPr>
      <w:r>
        <w:rPr>
          <w:rFonts w:hint="eastAsia" w:eastAsia="仿宋_GB2312"/>
          <w:bCs/>
          <w:sz w:val="24"/>
        </w:rPr>
        <w:t>（1）增加了更新。修订原因：苜蓿田一般2～5为高产期，5年以后由于苜蓿根系透气性变差等因素会导致苜蓿密度降低，从而影响苜蓿高产。因此，需要对老龄苜蓿地进行深耙，切裂根颈，促进其更新。也可按照品种不同对5～9年老龄苜蓿地及时进行轮作更新。</w:t>
      </w:r>
    </w:p>
    <w:p w14:paraId="7999D982">
      <w:pPr>
        <w:spacing w:line="400" w:lineRule="exact"/>
        <w:ind w:firstLine="480" w:firstLineChars="200"/>
        <w:rPr>
          <w:rFonts w:eastAsia="仿宋_GB2312"/>
          <w:bCs/>
          <w:sz w:val="24"/>
        </w:rPr>
      </w:pPr>
      <w:r>
        <w:rPr>
          <w:rFonts w:hint="eastAsia" w:eastAsia="仿宋_GB2312"/>
          <w:bCs/>
          <w:sz w:val="24"/>
        </w:rPr>
        <w:t>（2）术语中删除了越冬率、返青期、结荚期、成熟期，增加了封冻水、返青水、测土配方施肥。修订原因：尽管苜蓿的越冬率、返青期、结荚期、成熟期是评价苜蓿品种及其高产性能的关键指标，由于后文中未提及越冬率、返青期、结荚期、成熟期，因此在术语中予以删除。增加了后文中提及的封冻水、返青水、测土配方施肥。</w:t>
      </w:r>
    </w:p>
    <w:p w14:paraId="439707AC">
      <w:pPr>
        <w:spacing w:line="400" w:lineRule="exact"/>
        <w:ind w:firstLine="480" w:firstLineChars="200"/>
        <w:rPr>
          <w:rFonts w:eastAsia="仿宋_GB2312"/>
          <w:bCs/>
          <w:sz w:val="24"/>
        </w:rPr>
      </w:pPr>
      <w:r>
        <w:rPr>
          <w:rFonts w:hint="eastAsia" w:eastAsia="仿宋_GB2312"/>
          <w:bCs/>
          <w:sz w:val="24"/>
        </w:rPr>
        <w:t>（3）增加了部分新增的规范性引用文件。修订原因：原标准制订后，又新颁布了部分规范性引用文件，如：GB 15618 土壤环境质量标准、NY/T 2697 饲草青贮技术规程 紫花苜蓿、NY/T 2699 牧草机械收获技术规程 苜蓿干草、NY/T 2700 草地测土施肥技术规程 紫花苜蓿、NY/T 2701 人工草地杂草防除技术规程 紫花苜蓿、NY/T 2702 紫花苜蓿主要病害防治技术规程和NY/T 2994 苜蓿田主要虫害防治技术规程等。部分描述可直接引用这些规范性引用文件。</w:t>
      </w:r>
    </w:p>
    <w:p w14:paraId="43894C03">
      <w:pPr>
        <w:spacing w:line="400" w:lineRule="exact"/>
        <w:ind w:firstLine="480" w:firstLineChars="200"/>
        <w:rPr>
          <w:rFonts w:eastAsia="仿宋_GB2312"/>
          <w:bCs/>
          <w:sz w:val="24"/>
        </w:rPr>
      </w:pPr>
      <w:r>
        <w:rPr>
          <w:rFonts w:hint="eastAsia" w:eastAsia="仿宋_GB2312"/>
          <w:bCs/>
          <w:sz w:val="24"/>
        </w:rPr>
        <w:t>2、涉及表述与编辑性修改的主要有3项：</w:t>
      </w:r>
    </w:p>
    <w:p w14:paraId="1F8CA279">
      <w:pPr>
        <w:spacing w:line="400" w:lineRule="exact"/>
        <w:ind w:firstLine="480" w:firstLineChars="200"/>
        <w:rPr>
          <w:rFonts w:eastAsia="仿宋_GB2312"/>
          <w:bCs/>
          <w:sz w:val="24"/>
        </w:rPr>
      </w:pPr>
      <w:r>
        <w:rPr>
          <w:rFonts w:hint="eastAsia" w:eastAsia="仿宋_GB2312"/>
          <w:bCs/>
          <w:sz w:val="24"/>
        </w:rPr>
        <w:t>（1）杂草防除部分。修订原因：增加了调整播种期、播种前土壤处理、播种后土壤处理和苗期杂草防除等部分，在生产实践中更便于操作。</w:t>
      </w:r>
    </w:p>
    <w:p w14:paraId="7FBB8D36">
      <w:pPr>
        <w:spacing w:line="400" w:lineRule="exact"/>
        <w:ind w:firstLine="480" w:firstLineChars="200"/>
        <w:rPr>
          <w:rFonts w:eastAsia="仿宋_GB2312"/>
          <w:bCs/>
          <w:sz w:val="24"/>
        </w:rPr>
      </w:pPr>
      <w:r>
        <w:rPr>
          <w:rFonts w:hint="eastAsia" w:eastAsia="仿宋_GB2312"/>
          <w:bCs/>
          <w:sz w:val="24"/>
        </w:rPr>
        <w:t>（2）病虫害防治部分。修订原因：病虫害化学防治部分分别将病害和虫害防治分列，并将农药使用按照响应的行业标准的规定执行。</w:t>
      </w:r>
    </w:p>
    <w:p w14:paraId="1B9AF5AB">
      <w:pPr>
        <w:spacing w:line="400" w:lineRule="exact"/>
        <w:ind w:firstLine="480" w:firstLineChars="200"/>
        <w:rPr>
          <w:rFonts w:eastAsia="仿宋_GB2312"/>
          <w:bCs/>
          <w:sz w:val="24"/>
        </w:rPr>
      </w:pPr>
      <w:r>
        <w:rPr>
          <w:rFonts w:hint="eastAsia" w:eastAsia="仿宋_GB2312"/>
          <w:bCs/>
          <w:sz w:val="24"/>
        </w:rPr>
        <w:t>（3）灌溉部分。修订原因：将不同关键时期灌溉要求予以量化明确，便于实践操作。如苗期0cm～15cm土层含水量低于田间持水量50%时须进行灌溉，灌溉量为700 m</w:t>
      </w:r>
      <w:r>
        <w:rPr>
          <w:rFonts w:hint="eastAsia" w:eastAsia="仿宋_GB2312"/>
          <w:bCs/>
          <w:sz w:val="24"/>
          <w:vertAlign w:val="superscript"/>
        </w:rPr>
        <w:t>3</w:t>
      </w:r>
      <w:r>
        <w:rPr>
          <w:rFonts w:hint="eastAsia" w:eastAsia="仿宋_GB2312"/>
          <w:bCs/>
          <w:sz w:val="24"/>
        </w:rPr>
        <w:t>/hm</w:t>
      </w:r>
      <w:r>
        <w:rPr>
          <w:rFonts w:hint="eastAsia" w:eastAsia="仿宋_GB2312"/>
          <w:bCs/>
          <w:sz w:val="24"/>
          <w:vertAlign w:val="superscript"/>
        </w:rPr>
        <w:t>2</w:t>
      </w:r>
      <w:r>
        <w:rPr>
          <w:rFonts w:hint="eastAsia" w:eastAsia="仿宋_GB2312"/>
          <w:bCs/>
          <w:sz w:val="24"/>
        </w:rPr>
        <w:t>～900 m</w:t>
      </w:r>
      <w:r>
        <w:rPr>
          <w:rFonts w:hint="eastAsia" w:eastAsia="仿宋_GB2312"/>
          <w:bCs/>
          <w:sz w:val="24"/>
          <w:vertAlign w:val="superscript"/>
        </w:rPr>
        <w:t>3</w:t>
      </w:r>
      <w:r>
        <w:rPr>
          <w:rFonts w:hint="eastAsia" w:eastAsia="仿宋_GB2312"/>
          <w:bCs/>
          <w:sz w:val="24"/>
        </w:rPr>
        <w:t>/hm</w:t>
      </w:r>
      <w:r>
        <w:rPr>
          <w:rFonts w:hint="eastAsia" w:eastAsia="仿宋_GB2312"/>
          <w:bCs/>
          <w:sz w:val="24"/>
          <w:vertAlign w:val="superscript"/>
        </w:rPr>
        <w:t>2</w:t>
      </w:r>
      <w:r>
        <w:rPr>
          <w:rFonts w:hint="eastAsia" w:eastAsia="仿宋_GB2312"/>
          <w:bCs/>
          <w:sz w:val="24"/>
        </w:rPr>
        <w:t>。入冬前灌1次封冻水，早春灌1次返青水，灌溉量为1000 m</w:t>
      </w:r>
      <w:r>
        <w:rPr>
          <w:rFonts w:hint="eastAsia" w:eastAsia="仿宋_GB2312"/>
          <w:bCs/>
          <w:sz w:val="24"/>
          <w:vertAlign w:val="superscript"/>
        </w:rPr>
        <w:t>3</w:t>
      </w:r>
      <w:r>
        <w:rPr>
          <w:rFonts w:hint="eastAsia" w:eastAsia="仿宋_GB2312"/>
          <w:bCs/>
          <w:sz w:val="24"/>
        </w:rPr>
        <w:t>/hm</w:t>
      </w:r>
      <w:r>
        <w:rPr>
          <w:rFonts w:hint="eastAsia" w:eastAsia="仿宋_GB2312"/>
          <w:bCs/>
          <w:sz w:val="24"/>
          <w:vertAlign w:val="superscript"/>
        </w:rPr>
        <w:t>2</w:t>
      </w:r>
      <w:r>
        <w:rPr>
          <w:rFonts w:hint="eastAsia" w:eastAsia="仿宋_GB2312"/>
          <w:bCs/>
          <w:sz w:val="24"/>
        </w:rPr>
        <w:t>～1200 m</w:t>
      </w:r>
      <w:r>
        <w:rPr>
          <w:rFonts w:hint="eastAsia" w:eastAsia="仿宋_GB2312"/>
          <w:bCs/>
          <w:sz w:val="24"/>
          <w:vertAlign w:val="superscript"/>
        </w:rPr>
        <w:t>3</w:t>
      </w:r>
      <w:r>
        <w:rPr>
          <w:rFonts w:hint="eastAsia" w:eastAsia="仿宋_GB2312"/>
          <w:bCs/>
          <w:sz w:val="24"/>
        </w:rPr>
        <w:t>/hm</w:t>
      </w:r>
      <w:r>
        <w:rPr>
          <w:rFonts w:hint="eastAsia" w:eastAsia="仿宋_GB2312"/>
          <w:bCs/>
          <w:sz w:val="24"/>
          <w:vertAlign w:val="superscript"/>
        </w:rPr>
        <w:t>2</w:t>
      </w:r>
      <w:r>
        <w:rPr>
          <w:rFonts w:hint="eastAsia" w:eastAsia="仿宋_GB2312"/>
          <w:bCs/>
          <w:sz w:val="24"/>
        </w:rPr>
        <w:t>，水质要符合GB/T5084的规定。</w:t>
      </w:r>
    </w:p>
    <w:p w14:paraId="64A87607">
      <w:pPr>
        <w:spacing w:line="400" w:lineRule="exact"/>
        <w:ind w:firstLine="480" w:firstLineChars="200"/>
        <w:rPr>
          <w:rFonts w:eastAsia="仿宋_GB2312"/>
          <w:bCs/>
          <w:sz w:val="24"/>
        </w:rPr>
      </w:pPr>
      <w:r>
        <w:rPr>
          <w:rFonts w:hint="eastAsia" w:eastAsia="仿宋_GB2312"/>
          <w:bCs/>
          <w:sz w:val="24"/>
        </w:rPr>
        <w:t>3、涉及到的技术指标主要有2项：</w:t>
      </w:r>
    </w:p>
    <w:p w14:paraId="3B55337A">
      <w:pPr>
        <w:spacing w:line="360" w:lineRule="auto"/>
        <w:ind w:firstLine="480" w:firstLineChars="200"/>
        <w:rPr>
          <w:rFonts w:ascii="仿宋_GB2312" w:hAnsi="宋体" w:eastAsia="仿宋_GB2312"/>
          <w:sz w:val="24"/>
        </w:rPr>
      </w:pPr>
      <w:r>
        <w:rPr>
          <w:rFonts w:hint="eastAsia" w:ascii="仿宋_GB2312" w:hAnsi="宋体" w:eastAsia="仿宋_GB2312"/>
          <w:sz w:val="24"/>
        </w:rPr>
        <w:t>（1）</w:t>
      </w:r>
      <w:r>
        <w:rPr>
          <w:rFonts w:hint="eastAsia" w:eastAsia="仿宋_GB2312"/>
          <w:bCs/>
          <w:sz w:val="24"/>
        </w:rPr>
        <w:t>7.3播种方式中：条播行距修订为15cm～30cm。修订原因及试验验证分析：原来苜蓿种植条播行距为25cm～30cm，主要是受当时播种机械及收获利用机械水平等田间限制，并且是考虑苜蓿地的产量的持久性。当前随着苜蓿生产机械水平的不断提升以及苜蓿高产利用的目标不同，生产上普遍接受密植高产利用，条播行距大都为12.5cm～18cm，因此条播行距调整为15cm～30cm，以兼顾不同生产条件下持续高产。</w:t>
      </w:r>
    </w:p>
    <w:p w14:paraId="53421B97">
      <w:pPr>
        <w:spacing w:line="360" w:lineRule="auto"/>
        <w:ind w:firstLine="480" w:firstLineChars="200"/>
        <w:rPr>
          <w:rFonts w:ascii="仿宋_GB2312" w:hAnsi="宋体" w:eastAsia="仿宋_GB2312"/>
          <w:sz w:val="24"/>
        </w:rPr>
      </w:pPr>
      <w:r>
        <w:rPr>
          <w:rFonts w:hint="eastAsia" w:ascii="仿宋_GB2312" w:hAnsi="宋体" w:eastAsia="仿宋_GB2312"/>
          <w:sz w:val="24"/>
        </w:rPr>
        <w:t>（2）播种深度修订为1.3</w:t>
      </w:r>
      <w:r>
        <w:rPr>
          <w:rFonts w:hint="eastAsia" w:ascii="宋体" w:hAnsi="宋体" w:cs="宋体"/>
          <w:sz w:val="24"/>
        </w:rPr>
        <w:t>㎝</w:t>
      </w:r>
      <w:r>
        <w:rPr>
          <w:rFonts w:hint="eastAsia" w:ascii="仿宋_GB2312" w:hAnsi="仿宋_GB2312" w:eastAsia="仿宋_GB2312" w:cs="仿宋_GB2312"/>
          <w:sz w:val="24"/>
        </w:rPr>
        <w:t>～</w:t>
      </w:r>
      <w:r>
        <w:rPr>
          <w:rFonts w:hint="eastAsia" w:ascii="仿宋_GB2312" w:hAnsi="宋体" w:eastAsia="仿宋_GB2312"/>
          <w:sz w:val="24"/>
        </w:rPr>
        <w:t>2.5</w:t>
      </w:r>
      <w:r>
        <w:rPr>
          <w:rFonts w:hint="eastAsia" w:ascii="宋体" w:hAnsi="宋体" w:cs="宋体"/>
          <w:sz w:val="24"/>
        </w:rPr>
        <w:t>㎝</w:t>
      </w:r>
      <w:r>
        <w:rPr>
          <w:rFonts w:hint="eastAsia" w:ascii="仿宋_GB2312" w:hAnsi="仿宋_GB2312" w:eastAsia="仿宋_GB2312" w:cs="仿宋_GB2312"/>
          <w:sz w:val="24"/>
        </w:rPr>
        <w:t>，沙土宜深，粘土宜浅</w:t>
      </w:r>
      <w:r>
        <w:rPr>
          <w:rFonts w:hint="eastAsia" w:ascii="仿宋_GB2312" w:hAnsi="宋体" w:eastAsia="仿宋_GB2312"/>
          <w:sz w:val="24"/>
        </w:rPr>
        <w:t>。</w:t>
      </w:r>
      <w:r>
        <w:rPr>
          <w:rFonts w:hint="eastAsia" w:eastAsia="仿宋_GB2312"/>
          <w:bCs/>
          <w:sz w:val="24"/>
        </w:rPr>
        <w:t>修订原因及试验验证分析：通过不同播种深度对苜蓿出苗率的影响研究，表明：播种深度分别为</w:t>
      </w:r>
      <w:r>
        <w:rPr>
          <w:rFonts w:hint="eastAsia" w:ascii="仿宋_GB2312" w:hAnsi="宋体" w:eastAsia="仿宋_GB2312"/>
          <w:sz w:val="24"/>
        </w:rPr>
        <w:t>1.2、2.5、3.8、5.0cm下沙地和粘土苜蓿的出苗率分别为71%、73%、55%、40%和52%、48%、28%、13%。由于苜蓿种子较小，目前在精细平整沙壤土的条件下1.3㎝～2.5㎝的播种深度更有利于苜蓿的建植成苗率。因此，将播种深度调整为1.3㎝～2.5㎝，紧实的黏重土以1.5cm为宜，沙土为2cm为宜。</w:t>
      </w:r>
    </w:p>
    <w:p w14:paraId="6AAA60E8">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14:paraId="1A6F41E0">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针对有无重大意见分歧进行说明。征求意见汇总处理表见附表。</w:t>
      </w:r>
    </w:p>
    <w:p w14:paraId="13A45FC9">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14:paraId="1373299A">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本标准严格遵循国家标准、行业标准在草业方面的相关规定，参考了</w:t>
      </w:r>
      <w:r>
        <w:rPr>
          <w:rFonts w:hint="eastAsia" w:eastAsia="仿宋_GB2312"/>
          <w:bCs/>
          <w:sz w:val="24"/>
        </w:rPr>
        <w:t>NY/T 2697《饲草青贮技术规程 紫花苜蓿》、NY/T 2699《牧草机械收获技术规程 苜蓿干草》、NY/T 2700《草地测土施肥技术规程 紫花苜蓿》、NY/T 2701《人工草地杂草防除技术规程 紫花苜蓿》、NY/T 2702《紫花苜蓿主要病害防治技术规程》及NY/T 2994《苜蓿田主要虫害防治技术规程》</w:t>
      </w:r>
      <w:r>
        <w:rPr>
          <w:rFonts w:hint="eastAsia" w:ascii="仿宋_GB2312" w:hAnsi="宋体" w:eastAsia="仿宋_GB2312"/>
          <w:sz w:val="24"/>
        </w:rPr>
        <w:t>等有关国家及地方标准。本标准是在全面总结了我省紫花苜蓿栽培利用技术试验研究和推广应用的实践经验，集成多年研究和应用成果，广泛征求了相关专家和应用单位意见的基础上形成的。经多次的试验与应用，具有较强的生产可行性、技术先进性和指标准确性。本标准与国家标准相比，内容更加全面，更加接近我省紫花苜蓿生产工作的实际需要。</w:t>
      </w:r>
    </w:p>
    <w:p w14:paraId="7C877960">
      <w:pPr>
        <w:spacing w:line="360" w:lineRule="auto"/>
        <w:ind w:firstLine="480" w:firstLineChars="200"/>
        <w:outlineLvl w:val="0"/>
        <w:rPr>
          <w:rFonts w:ascii="黑体" w:eastAsia="黑体"/>
          <w:sz w:val="24"/>
        </w:rPr>
      </w:pPr>
      <w:r>
        <w:rPr>
          <w:rFonts w:hint="eastAsia" w:ascii="黑体" w:eastAsia="黑体"/>
          <w:sz w:val="24"/>
        </w:rPr>
        <w:t>八、</w:t>
      </w:r>
      <w:r>
        <w:rPr>
          <w:rFonts w:hint="eastAsia" w:ascii="黑体" w:hAnsi="黑体" w:eastAsia="黑体"/>
          <w:sz w:val="24"/>
        </w:rPr>
        <w:t>作为推荐性标准或者强制性标准的建议及其理由。</w:t>
      </w:r>
    </w:p>
    <w:p w14:paraId="5E224D5C">
      <w:pPr>
        <w:spacing w:line="360" w:lineRule="auto"/>
        <w:ind w:firstLine="480" w:firstLineChars="200"/>
        <w:jc w:val="left"/>
        <w:rPr>
          <w:rFonts w:ascii="仿宋_GB2312" w:hAnsi="宋体" w:eastAsia="仿宋_GB2312"/>
          <w:sz w:val="24"/>
        </w:rPr>
      </w:pPr>
      <w:r>
        <w:rPr>
          <w:rFonts w:ascii="仿宋_GB2312" w:hAnsi="宋体" w:eastAsia="仿宋_GB2312"/>
          <w:sz w:val="24"/>
        </w:rPr>
        <w:t>建议本标准为推荐性标准。</w:t>
      </w:r>
    </w:p>
    <w:p w14:paraId="5DB30DEC">
      <w:pPr>
        <w:spacing w:line="360" w:lineRule="auto"/>
        <w:ind w:firstLine="480" w:firstLineChars="200"/>
        <w:outlineLvl w:val="0"/>
        <w:rPr>
          <w:rFonts w:ascii="黑体" w:eastAsia="黑体"/>
          <w:sz w:val="24"/>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14:paraId="4F100C02">
      <w:pPr>
        <w:spacing w:line="400" w:lineRule="exact"/>
        <w:ind w:firstLine="480" w:firstLineChars="200"/>
        <w:rPr>
          <w:rFonts w:eastAsia="仿宋_GB2312"/>
          <w:bCs/>
          <w:sz w:val="24"/>
        </w:rPr>
      </w:pPr>
      <w:r>
        <w:rPr>
          <w:rFonts w:hint="eastAsia" w:eastAsia="仿宋_GB2312"/>
          <w:bCs/>
          <w:sz w:val="24"/>
        </w:rPr>
        <w:t>1. 加大标准的宣传力度。标准颁布实施后，要加大宣传力度，利用各种媒体，采取多种形式进行广泛宣传，以便将标准普及到基层生产农民中去。</w:t>
      </w:r>
    </w:p>
    <w:p w14:paraId="43138B2D">
      <w:pPr>
        <w:spacing w:line="400" w:lineRule="exact"/>
        <w:ind w:firstLine="480" w:firstLineChars="200"/>
        <w:rPr>
          <w:rFonts w:eastAsia="仿宋_GB2312"/>
          <w:bCs/>
          <w:sz w:val="24"/>
        </w:rPr>
      </w:pPr>
      <w:r>
        <w:rPr>
          <w:rFonts w:hint="eastAsia" w:eastAsia="仿宋_GB2312"/>
          <w:bCs/>
          <w:sz w:val="24"/>
        </w:rPr>
        <w:t>2. 建立标准化示范区，带动标准的大力推广</w:t>
      </w:r>
    </w:p>
    <w:p w14:paraId="1B00D819">
      <w:pPr>
        <w:spacing w:line="400" w:lineRule="exact"/>
        <w:ind w:firstLine="480" w:firstLineChars="200"/>
        <w:rPr>
          <w:rFonts w:eastAsia="仿宋_GB2312"/>
          <w:bCs/>
          <w:sz w:val="24"/>
        </w:rPr>
      </w:pPr>
      <w:r>
        <w:rPr>
          <w:rFonts w:hint="eastAsia" w:eastAsia="仿宋_GB2312"/>
          <w:bCs/>
          <w:sz w:val="24"/>
        </w:rPr>
        <w:t>结合我省目前实施的草地建设项目，建立我省标准化紫花苜蓿生产示范区，打造样板工程，带动本标准的推广实施。</w:t>
      </w:r>
    </w:p>
    <w:p w14:paraId="68A3FB38">
      <w:pPr>
        <w:spacing w:line="400" w:lineRule="exact"/>
        <w:ind w:firstLine="480" w:firstLineChars="200"/>
        <w:rPr>
          <w:rFonts w:eastAsia="仿宋_GB2312"/>
          <w:bCs/>
          <w:sz w:val="24"/>
        </w:rPr>
      </w:pPr>
      <w:r>
        <w:rPr>
          <w:rFonts w:hint="eastAsia" w:eastAsia="仿宋_GB2312"/>
          <w:bCs/>
          <w:sz w:val="24"/>
        </w:rPr>
        <w:t>3. 加强标准应用的技术培训。在标准发布实施的初期，加强基层畜牧技术人员应用标准、推广标准的培训及现场技术指导。采取“理论知识+实地操作”的形式进行培训，推动实现从行业管理人员到参与生产经营活动的技术人员和每位操作人员，都能真正做到熟悉《紫花苜蓿栽培利用技术规程》标准，掌握标准并自觉执行标准，努力营造一个重视标准化工作以及自觉贯彻实施标准的良好氛围。</w:t>
      </w:r>
    </w:p>
    <w:p w14:paraId="75CAB0F4">
      <w:pPr>
        <w:spacing w:line="400" w:lineRule="exact"/>
        <w:ind w:firstLine="480" w:firstLineChars="200"/>
        <w:rPr>
          <w:rFonts w:eastAsia="仿宋_GB2312"/>
          <w:bCs/>
          <w:sz w:val="24"/>
        </w:rPr>
      </w:pPr>
    </w:p>
    <w:p w14:paraId="6F043C4F">
      <w:pPr>
        <w:spacing w:line="360" w:lineRule="auto"/>
        <w:ind w:firstLine="480" w:firstLineChars="200"/>
        <w:jc w:val="left"/>
        <w:rPr>
          <w:rFonts w:ascii="仿宋_GB2312" w:hAnsi="宋体" w:eastAsia="仿宋_GB2312"/>
          <w:sz w:val="24"/>
        </w:rPr>
        <w:sectPr>
          <w:footerReference r:id="rId3" w:type="default"/>
          <w:pgSz w:w="11906" w:h="16838"/>
          <w:pgMar w:top="1440" w:right="1803" w:bottom="1440" w:left="1803" w:header="851" w:footer="992" w:gutter="0"/>
          <w:pgNumType w:start="1"/>
          <w:cols w:space="0" w:num="1"/>
          <w:titlePg/>
          <w:docGrid w:type="lines" w:linePitch="319" w:charSpace="0"/>
        </w:sectPr>
      </w:pPr>
    </w:p>
    <w:p w14:paraId="18188D48">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附表</w:t>
      </w:r>
    </w:p>
    <w:p w14:paraId="23B04BDF">
      <w:pPr>
        <w:jc w:val="center"/>
        <w:rPr>
          <w:rFonts w:ascii="仿宋_GB2312" w:hAnsi="宋体" w:eastAsia="仿宋_GB2312"/>
          <w:sz w:val="24"/>
        </w:rPr>
      </w:pPr>
      <w:r>
        <w:rPr>
          <w:rFonts w:hint="eastAsia" w:ascii="仿宋_GB2312" w:hAnsi="宋体" w:eastAsia="仿宋_GB2312"/>
          <w:sz w:val="24"/>
          <w:lang w:eastAsia="zh-CN"/>
        </w:rPr>
        <w:t>《</w:t>
      </w:r>
      <w:r>
        <w:rPr>
          <w:rFonts w:hint="eastAsia" w:ascii="仿宋_GB2312" w:hAnsi="宋体" w:eastAsia="仿宋_GB2312"/>
          <w:sz w:val="24"/>
        </w:rPr>
        <w:t>紫花苜蓿栽培利用技术规程</w:t>
      </w:r>
      <w:r>
        <w:rPr>
          <w:rFonts w:hint="eastAsia" w:ascii="仿宋_GB2312" w:hAnsi="宋体" w:eastAsia="仿宋_GB2312"/>
          <w:sz w:val="24"/>
          <w:lang w:eastAsia="zh-CN"/>
        </w:rPr>
        <w:t>》</w:t>
      </w:r>
      <w:r>
        <w:rPr>
          <w:rFonts w:hint="eastAsia" w:ascii="仿宋_GB2312" w:hAnsi="宋体" w:eastAsia="仿宋_GB2312"/>
          <w:sz w:val="24"/>
        </w:rPr>
        <w:t>地方标准征求意见汇总处理表</w:t>
      </w:r>
    </w:p>
    <w:p w14:paraId="24968C9F">
      <w:pPr>
        <w:keepNext w:val="0"/>
        <w:keepLines w:val="0"/>
        <w:widowControl w:val="0"/>
        <w:suppressLineNumbers w:val="0"/>
        <w:spacing w:before="0" w:beforeAutospacing="0" w:after="0" w:afterAutospacing="0"/>
        <w:ind w:left="0" w:right="0" w:firstLine="480" w:firstLineChars="200"/>
        <w:jc w:val="both"/>
        <w:rPr>
          <w:rFonts w:hint="eastAsia" w:ascii="宋体" w:hAnsi="宋体" w:eastAsia="宋体" w:cs="宋体"/>
          <w:bCs/>
          <w:sz w:val="24"/>
          <w:szCs w:val="24"/>
          <w:highlight w:val="yellow"/>
          <w:lang w:val="en-US"/>
        </w:rPr>
      </w:pPr>
      <w:r>
        <w:rPr>
          <w:rFonts w:hint="eastAsia" w:ascii="华文中宋" w:hAnsi="华文中宋" w:eastAsia="华文中宋" w:cs="华文中宋"/>
          <w:bCs/>
          <w:kern w:val="2"/>
          <w:sz w:val="24"/>
          <w:szCs w:val="24"/>
          <w:lang w:val="en-US" w:eastAsia="zh-CN" w:bidi="ar"/>
        </w:rPr>
        <w:t xml:space="preserve">起草单位：山西农业大学     承办人：石永红      联系电话：  13934649028     </w:t>
      </w:r>
    </w:p>
    <w:tbl>
      <w:tblPr>
        <w:tblStyle w:val="13"/>
        <w:tblW w:w="13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751"/>
        <w:gridCol w:w="1744"/>
        <w:gridCol w:w="3900"/>
        <w:gridCol w:w="2535"/>
        <w:gridCol w:w="2040"/>
        <w:gridCol w:w="2373"/>
      </w:tblGrid>
      <w:tr w14:paraId="605B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17" w:hRule="atLeast"/>
          <w:jc w:val="center"/>
        </w:trPr>
        <w:tc>
          <w:tcPr>
            <w:tcW w:w="751" w:type="dxa"/>
            <w:tcBorders>
              <w:top w:val="single" w:color="auto" w:sz="4" w:space="0"/>
              <w:left w:val="single" w:color="auto" w:sz="4" w:space="0"/>
              <w:bottom w:val="single" w:color="auto" w:sz="4" w:space="0"/>
              <w:right w:val="single" w:color="auto" w:sz="4" w:space="0"/>
            </w:tcBorders>
            <w:shd w:val="clear"/>
            <w:noWrap/>
            <w:vAlign w:val="center"/>
          </w:tcPr>
          <w:p w14:paraId="1C99D151">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序号</w:t>
            </w:r>
          </w:p>
        </w:tc>
        <w:tc>
          <w:tcPr>
            <w:tcW w:w="1744" w:type="dxa"/>
            <w:tcBorders>
              <w:top w:val="single" w:color="auto" w:sz="4" w:space="0"/>
              <w:left w:val="single" w:color="auto" w:sz="4" w:space="0"/>
              <w:bottom w:val="single" w:color="auto" w:sz="4" w:space="0"/>
              <w:right w:val="single" w:color="auto" w:sz="4" w:space="0"/>
            </w:tcBorders>
            <w:shd w:val="clear"/>
            <w:noWrap/>
            <w:vAlign w:val="center"/>
          </w:tcPr>
          <w:p w14:paraId="37D2BE43">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标准章条编号</w:t>
            </w:r>
          </w:p>
        </w:tc>
        <w:tc>
          <w:tcPr>
            <w:tcW w:w="3900" w:type="dxa"/>
            <w:tcBorders>
              <w:top w:val="single" w:color="auto" w:sz="4" w:space="0"/>
              <w:left w:val="single" w:color="auto" w:sz="4" w:space="0"/>
              <w:bottom w:val="single" w:color="auto" w:sz="4" w:space="0"/>
              <w:right w:val="single" w:color="auto" w:sz="4" w:space="0"/>
            </w:tcBorders>
            <w:shd w:val="clear"/>
            <w:noWrap/>
            <w:vAlign w:val="center"/>
          </w:tcPr>
          <w:p w14:paraId="1A6C54F7">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意见内容</w:t>
            </w:r>
          </w:p>
        </w:tc>
        <w:tc>
          <w:tcPr>
            <w:tcW w:w="2535" w:type="dxa"/>
            <w:tcBorders>
              <w:top w:val="single" w:color="auto" w:sz="4" w:space="0"/>
              <w:left w:val="single" w:color="auto" w:sz="4" w:space="0"/>
              <w:bottom w:val="single" w:color="auto" w:sz="4" w:space="0"/>
              <w:right w:val="single" w:color="auto" w:sz="4" w:space="0"/>
            </w:tcBorders>
            <w:shd w:val="clear"/>
            <w:noWrap/>
            <w:vAlign w:val="center"/>
          </w:tcPr>
          <w:p w14:paraId="5DEBDE6F">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提出单位</w:t>
            </w:r>
          </w:p>
          <w:p w14:paraId="61FA09D5">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（或个人）</w:t>
            </w:r>
          </w:p>
        </w:tc>
        <w:tc>
          <w:tcPr>
            <w:tcW w:w="2040" w:type="dxa"/>
            <w:tcBorders>
              <w:top w:val="single" w:color="auto" w:sz="4" w:space="0"/>
              <w:left w:val="single" w:color="auto" w:sz="4" w:space="0"/>
              <w:bottom w:val="single" w:color="auto" w:sz="4" w:space="0"/>
              <w:right w:val="single" w:color="auto" w:sz="4" w:space="0"/>
            </w:tcBorders>
            <w:shd w:val="clear"/>
            <w:noWrap/>
            <w:vAlign w:val="center"/>
          </w:tcPr>
          <w:p w14:paraId="2531F282">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处理意见</w:t>
            </w:r>
          </w:p>
          <w:p w14:paraId="40E6FFCF">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（采纳/不采纳）</w:t>
            </w:r>
          </w:p>
        </w:tc>
        <w:tc>
          <w:tcPr>
            <w:tcW w:w="2373" w:type="dxa"/>
            <w:tcBorders>
              <w:top w:val="single" w:color="auto" w:sz="4" w:space="0"/>
              <w:left w:val="single" w:color="auto" w:sz="4" w:space="0"/>
              <w:bottom w:val="single" w:color="auto" w:sz="4" w:space="0"/>
              <w:right w:val="single" w:color="auto" w:sz="4" w:space="0"/>
            </w:tcBorders>
            <w:shd w:val="clear"/>
            <w:noWrap/>
            <w:vAlign w:val="center"/>
          </w:tcPr>
          <w:p w14:paraId="37AED234">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意见处理说明</w:t>
            </w:r>
          </w:p>
          <w:p w14:paraId="6104D9C2">
            <w:pPr>
              <w:keepNext w:val="0"/>
              <w:keepLines w:val="0"/>
              <w:widowControl w:val="0"/>
              <w:suppressLineNumbers w:val="0"/>
              <w:spacing w:before="0" w:beforeAutospacing="0" w:after="0" w:afterAutospacing="0" w:line="400" w:lineRule="exact"/>
              <w:ind w:left="0" w:right="0"/>
              <w:jc w:val="center"/>
              <w:rPr>
                <w:rFonts w:hint="eastAsia" w:ascii="华文中宋" w:hAnsi="华文中宋" w:eastAsia="华文中宋" w:cs="华文中宋"/>
                <w:b/>
                <w:bCs w:val="0"/>
                <w:sz w:val="24"/>
                <w:szCs w:val="24"/>
                <w:bdr w:val="none" w:color="auto" w:sz="0" w:space="0"/>
                <w:lang w:val="en-US"/>
              </w:rPr>
            </w:pPr>
            <w:r>
              <w:rPr>
                <w:rFonts w:hint="eastAsia" w:ascii="华文中宋" w:hAnsi="华文中宋" w:eastAsia="华文中宋" w:cs="华文中宋"/>
                <w:b/>
                <w:bCs w:val="0"/>
                <w:kern w:val="2"/>
                <w:sz w:val="24"/>
                <w:szCs w:val="24"/>
                <w:bdr w:val="none" w:color="auto" w:sz="0" w:space="0"/>
                <w:lang w:val="en-US" w:eastAsia="zh-CN" w:bidi="ar"/>
              </w:rPr>
              <w:t>（不采纳的理由等）</w:t>
            </w:r>
          </w:p>
        </w:tc>
      </w:tr>
      <w:tr w14:paraId="6EF7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32" w:hRule="atLeast"/>
          <w:jc w:val="center"/>
        </w:trPr>
        <w:tc>
          <w:tcPr>
            <w:tcW w:w="751" w:type="dxa"/>
            <w:tcBorders>
              <w:top w:val="single" w:color="auto" w:sz="4" w:space="0"/>
              <w:left w:val="single" w:color="auto" w:sz="4" w:space="0"/>
              <w:bottom w:val="single" w:color="auto" w:sz="4" w:space="0"/>
              <w:right w:val="single" w:color="auto" w:sz="4" w:space="0"/>
            </w:tcBorders>
            <w:shd w:val="clear"/>
            <w:noWrap/>
            <w:vAlign w:val="center"/>
          </w:tcPr>
          <w:p w14:paraId="4DB527F7">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r>
              <w:rPr>
                <w:rFonts w:hint="eastAsia" w:ascii="仿宋" w:hAnsi="仿宋" w:eastAsia="仿宋" w:cs="仿宋"/>
                <w:color w:val="000000"/>
                <w:kern w:val="2"/>
                <w:sz w:val="24"/>
                <w:szCs w:val="24"/>
                <w:bdr w:val="none" w:color="auto" w:sz="0" w:space="0"/>
                <w:lang w:val="en-US" w:eastAsia="zh-CN" w:bidi="ar"/>
              </w:rPr>
              <w:t>1</w:t>
            </w:r>
          </w:p>
        </w:tc>
        <w:tc>
          <w:tcPr>
            <w:tcW w:w="1744" w:type="dxa"/>
            <w:tcBorders>
              <w:top w:val="single" w:color="auto" w:sz="4" w:space="0"/>
              <w:left w:val="single" w:color="auto" w:sz="4" w:space="0"/>
              <w:bottom w:val="single" w:color="auto" w:sz="4" w:space="0"/>
              <w:right w:val="single" w:color="auto" w:sz="4" w:space="0"/>
            </w:tcBorders>
            <w:shd w:val="clear"/>
            <w:noWrap/>
            <w:vAlign w:val="center"/>
          </w:tcPr>
          <w:p w14:paraId="0ED84590">
            <w:pPr>
              <w:keepNext w:val="0"/>
              <w:keepLines w:val="0"/>
              <w:widowControl w:val="0"/>
              <w:suppressLineNumbers w:val="0"/>
              <w:spacing w:before="0" w:beforeAutospacing="0" w:after="0" w:afterAutospacing="0"/>
              <w:ind w:left="0" w:right="0"/>
              <w:jc w:val="center"/>
              <w:rPr>
                <w:rFonts w:hint="default" w:ascii="宋体" w:hAnsi="宋体" w:eastAsia="宋体" w:cs="宋体"/>
                <w:kern w:val="0"/>
                <w:szCs w:val="21"/>
                <w:bdr w:val="none" w:color="auto" w:sz="0" w:space="0"/>
                <w:lang w:val="en-US"/>
              </w:rPr>
            </w:pPr>
            <w:r>
              <w:rPr>
                <w:rFonts w:hint="eastAsia" w:ascii="宋体" w:hAnsi="宋体" w:cs="宋体"/>
                <w:kern w:val="0"/>
                <w:sz w:val="21"/>
                <w:szCs w:val="21"/>
                <w:bdr w:val="none" w:color="auto" w:sz="0" w:space="0"/>
                <w:lang w:val="en-US" w:eastAsia="zh-CN" w:bidi="ar"/>
              </w:rPr>
              <w:t>11</w:t>
            </w:r>
            <w:r>
              <w:rPr>
                <w:rFonts w:hint="eastAsia" w:ascii="宋体" w:hAnsi="宋体" w:eastAsia="宋体" w:cs="宋体"/>
                <w:kern w:val="0"/>
                <w:sz w:val="21"/>
                <w:szCs w:val="21"/>
                <w:bdr w:val="none" w:color="auto" w:sz="0" w:space="0"/>
                <w:lang w:val="en-US" w:eastAsia="zh-CN" w:bidi="ar"/>
              </w:rPr>
              <w:t>.</w:t>
            </w:r>
            <w:r>
              <w:rPr>
                <w:rFonts w:hint="eastAsia" w:ascii="宋体" w:hAnsi="宋体" w:cs="宋体"/>
                <w:kern w:val="0"/>
                <w:sz w:val="21"/>
                <w:szCs w:val="21"/>
                <w:bdr w:val="none" w:color="auto" w:sz="0" w:space="0"/>
                <w:lang w:val="en-US" w:eastAsia="zh-CN" w:bidi="ar"/>
              </w:rPr>
              <w:t>4</w:t>
            </w:r>
          </w:p>
        </w:tc>
        <w:tc>
          <w:tcPr>
            <w:tcW w:w="3900" w:type="dxa"/>
            <w:tcBorders>
              <w:top w:val="single" w:color="auto" w:sz="4" w:space="0"/>
              <w:left w:val="single" w:color="auto" w:sz="4" w:space="0"/>
              <w:bottom w:val="single" w:color="auto" w:sz="4" w:space="0"/>
              <w:right w:val="single" w:color="auto" w:sz="4" w:space="0"/>
            </w:tcBorders>
            <w:shd w:val="clear"/>
            <w:noWrap/>
            <w:vAlign w:val="center"/>
          </w:tcPr>
          <w:p w14:paraId="1A1226BA">
            <w:pPr>
              <w:keepNext w:val="0"/>
              <w:keepLines w:val="0"/>
              <w:widowControl w:val="0"/>
              <w:suppressLineNumbers w:val="0"/>
              <w:spacing w:before="0" w:beforeAutospacing="0" w:after="0" w:afterAutospacing="0"/>
              <w:ind w:left="0" w:right="0"/>
              <w:jc w:val="left"/>
              <w:rPr>
                <w:rFonts w:hint="default"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底层草捆与地面间要有“10cm左右间隔可以通风”垫层</w:t>
            </w:r>
          </w:p>
        </w:tc>
        <w:tc>
          <w:tcPr>
            <w:tcW w:w="2535" w:type="dxa"/>
            <w:tcBorders>
              <w:top w:val="single" w:color="auto" w:sz="4" w:space="0"/>
              <w:left w:val="single" w:color="auto" w:sz="4" w:space="0"/>
              <w:bottom w:val="single" w:color="auto" w:sz="4" w:space="0"/>
              <w:right w:val="single" w:color="auto" w:sz="4" w:space="0"/>
            </w:tcBorders>
            <w:shd w:val="clear"/>
            <w:noWrap/>
            <w:vAlign w:val="center"/>
          </w:tcPr>
          <w:p w14:paraId="35264493">
            <w:pPr>
              <w:keepNext w:val="0"/>
              <w:keepLines w:val="0"/>
              <w:widowControl w:val="0"/>
              <w:suppressLineNumbers w:val="0"/>
              <w:spacing w:before="0" w:beforeAutospacing="0" w:after="0" w:afterAutospacing="0"/>
              <w:ind w:left="0" w:right="0"/>
              <w:jc w:val="center"/>
              <w:rPr>
                <w:rFonts w:hint="default"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大同市现代农业发展中心</w:t>
            </w:r>
          </w:p>
          <w:p w14:paraId="41301F65">
            <w:pPr>
              <w:keepNext w:val="0"/>
              <w:keepLines w:val="0"/>
              <w:widowControl w:val="0"/>
              <w:suppressLineNumbers w:val="0"/>
              <w:spacing w:before="0" w:beforeAutospacing="0" w:after="0" w:afterAutospacing="0"/>
              <w:ind w:left="0" w:right="0"/>
              <w:jc w:val="center"/>
              <w:rPr>
                <w:rFonts w:hint="default" w:ascii="仿宋" w:hAnsi="仿宋" w:eastAsia="仿宋" w:cs="仿宋"/>
                <w:color w:val="000000"/>
                <w:sz w:val="24"/>
                <w:szCs w:val="24"/>
                <w:bdr w:val="none" w:color="auto" w:sz="0" w:space="0"/>
                <w:lang w:val="en-US" w:eastAsia="zh-CN"/>
              </w:rPr>
            </w:pPr>
            <w:r>
              <w:rPr>
                <w:rFonts w:hint="eastAsia" w:ascii="宋体" w:hAnsi="宋体" w:cs="宋体"/>
                <w:kern w:val="0"/>
                <w:szCs w:val="21"/>
                <w:lang w:val="en-US" w:eastAsia="zh-CN"/>
              </w:rPr>
              <w:t>武志军</w:t>
            </w:r>
          </w:p>
        </w:tc>
        <w:tc>
          <w:tcPr>
            <w:tcW w:w="2040" w:type="dxa"/>
            <w:tcBorders>
              <w:top w:val="single" w:color="auto" w:sz="4" w:space="0"/>
              <w:left w:val="single" w:color="auto" w:sz="4" w:space="0"/>
              <w:bottom w:val="single" w:color="auto" w:sz="4" w:space="0"/>
              <w:right w:val="single" w:color="auto" w:sz="4" w:space="0"/>
            </w:tcBorders>
            <w:shd w:val="clear"/>
            <w:noWrap/>
            <w:vAlign w:val="center"/>
          </w:tcPr>
          <w:p w14:paraId="106AE667">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r>
              <w:rPr>
                <w:rFonts w:hint="eastAsia" w:ascii="仿宋" w:hAnsi="仿宋" w:eastAsia="仿宋" w:cs="仿宋"/>
                <w:color w:val="000000"/>
                <w:kern w:val="2"/>
                <w:sz w:val="24"/>
                <w:szCs w:val="24"/>
                <w:bdr w:val="none" w:color="auto" w:sz="0" w:space="0"/>
                <w:lang w:val="en-US" w:eastAsia="zh-CN" w:bidi="ar"/>
              </w:rPr>
              <w:t>采纳</w:t>
            </w:r>
          </w:p>
        </w:tc>
        <w:tc>
          <w:tcPr>
            <w:tcW w:w="2373" w:type="dxa"/>
            <w:tcBorders>
              <w:top w:val="single" w:color="auto" w:sz="4" w:space="0"/>
              <w:left w:val="single" w:color="auto" w:sz="4" w:space="0"/>
              <w:bottom w:val="single" w:color="auto" w:sz="4" w:space="0"/>
              <w:right w:val="single" w:color="auto" w:sz="4" w:space="0"/>
            </w:tcBorders>
            <w:shd w:val="clear"/>
            <w:noWrap/>
            <w:vAlign w:val="center"/>
          </w:tcPr>
          <w:p w14:paraId="361D7210">
            <w:pPr>
              <w:keepNext w:val="0"/>
              <w:keepLines w:val="0"/>
              <w:widowControl w:val="0"/>
              <w:suppressLineNumbers w:val="0"/>
              <w:spacing w:before="0" w:beforeAutospacing="0" w:after="0" w:afterAutospacing="0"/>
              <w:ind w:left="0" w:right="0"/>
              <w:jc w:val="center"/>
              <w:rPr>
                <w:b/>
                <w:bCs w:val="0"/>
                <w:sz w:val="24"/>
                <w:szCs w:val="24"/>
                <w:bdr w:val="none" w:color="auto" w:sz="0" w:space="0"/>
                <w:lang w:val="en-US"/>
              </w:rPr>
            </w:pPr>
          </w:p>
        </w:tc>
      </w:tr>
      <w:tr w14:paraId="7192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32" w:hRule="atLeast"/>
          <w:jc w:val="center"/>
        </w:trPr>
        <w:tc>
          <w:tcPr>
            <w:tcW w:w="751" w:type="dxa"/>
            <w:tcBorders>
              <w:top w:val="single" w:color="auto" w:sz="4" w:space="0"/>
              <w:left w:val="single" w:color="auto" w:sz="4" w:space="0"/>
              <w:bottom w:val="single" w:color="auto" w:sz="4" w:space="0"/>
              <w:right w:val="single" w:color="auto" w:sz="4" w:space="0"/>
            </w:tcBorders>
            <w:shd w:val="clear"/>
            <w:noWrap/>
            <w:vAlign w:val="center"/>
          </w:tcPr>
          <w:p w14:paraId="498DF3C0">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r>
              <w:rPr>
                <w:rFonts w:hint="eastAsia" w:ascii="仿宋" w:hAnsi="仿宋" w:eastAsia="仿宋" w:cs="仿宋"/>
                <w:color w:val="000000"/>
                <w:kern w:val="2"/>
                <w:sz w:val="24"/>
                <w:szCs w:val="24"/>
                <w:bdr w:val="none" w:color="auto" w:sz="0" w:space="0"/>
                <w:lang w:val="en-US" w:eastAsia="zh-CN" w:bidi="ar"/>
              </w:rPr>
              <w:t>2</w:t>
            </w:r>
          </w:p>
        </w:tc>
        <w:tc>
          <w:tcPr>
            <w:tcW w:w="1744" w:type="dxa"/>
            <w:tcBorders>
              <w:top w:val="single" w:color="auto" w:sz="4" w:space="0"/>
              <w:left w:val="single" w:color="auto" w:sz="4" w:space="0"/>
              <w:bottom w:val="single" w:color="auto" w:sz="4" w:space="0"/>
              <w:right w:val="single" w:color="auto" w:sz="4" w:space="0"/>
            </w:tcBorders>
            <w:shd w:val="clear"/>
            <w:noWrap/>
            <w:vAlign w:val="center"/>
          </w:tcPr>
          <w:p w14:paraId="5BDAA86E">
            <w:pPr>
              <w:keepNext w:val="0"/>
              <w:keepLines w:val="0"/>
              <w:widowControl w:val="0"/>
              <w:suppressLineNumbers w:val="0"/>
              <w:tabs>
                <w:tab w:val="center" w:pos="824"/>
                <w:tab w:val="right" w:pos="1528"/>
              </w:tabs>
              <w:spacing w:before="0" w:beforeAutospacing="0" w:after="0" w:afterAutospacing="0"/>
              <w:ind w:left="0" w:right="0"/>
              <w:jc w:val="left"/>
              <w:rPr>
                <w:rFonts w:hint="default" w:ascii="宋体" w:hAnsi="宋体" w:eastAsia="宋体" w:cs="宋体"/>
                <w:kern w:val="0"/>
                <w:szCs w:val="21"/>
                <w:bdr w:val="none" w:color="auto" w:sz="0" w:space="0"/>
                <w:lang w:val="en-US"/>
              </w:rPr>
            </w:pPr>
            <w:r>
              <w:rPr>
                <w:rFonts w:hint="eastAsia" w:ascii="宋体" w:hAnsi="宋体" w:cs="宋体"/>
                <w:kern w:val="0"/>
                <w:sz w:val="21"/>
                <w:szCs w:val="21"/>
                <w:bdr w:val="none" w:color="auto" w:sz="0" w:space="0"/>
                <w:lang w:val="en-US" w:eastAsia="zh-CN" w:bidi="ar"/>
              </w:rPr>
              <w:tab/>
              <w:t>10</w:t>
            </w:r>
          </w:p>
        </w:tc>
        <w:tc>
          <w:tcPr>
            <w:tcW w:w="3900" w:type="dxa"/>
            <w:tcBorders>
              <w:top w:val="single" w:color="auto" w:sz="4" w:space="0"/>
              <w:left w:val="single" w:color="auto" w:sz="4" w:space="0"/>
              <w:bottom w:val="single" w:color="auto" w:sz="4" w:space="0"/>
              <w:right w:val="single" w:color="auto" w:sz="4" w:space="0"/>
            </w:tcBorders>
            <w:shd w:val="clear"/>
            <w:noWrap/>
            <w:vAlign w:val="center"/>
          </w:tcPr>
          <w:p w14:paraId="2F794FD4">
            <w:pPr>
              <w:keepNext w:val="0"/>
              <w:keepLines w:val="0"/>
              <w:widowControl w:val="0"/>
              <w:suppressLineNumbers w:val="0"/>
              <w:spacing w:before="0" w:beforeAutospacing="0" w:after="0" w:afterAutospacing="0"/>
              <w:ind w:left="0" w:right="0"/>
              <w:jc w:val="left"/>
              <w:rPr>
                <w:rFonts w:hint="default"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苜蓿地一般5年以后有不同程度退化</w:t>
            </w:r>
          </w:p>
        </w:tc>
        <w:tc>
          <w:tcPr>
            <w:tcW w:w="2535" w:type="dxa"/>
            <w:tcBorders>
              <w:top w:val="single" w:color="auto" w:sz="4" w:space="0"/>
              <w:left w:val="single" w:color="auto" w:sz="4" w:space="0"/>
              <w:bottom w:val="single" w:color="auto" w:sz="4" w:space="0"/>
              <w:right w:val="single" w:color="auto" w:sz="4" w:space="0"/>
            </w:tcBorders>
            <w:shd w:val="clear"/>
            <w:noWrap/>
            <w:vAlign w:val="center"/>
          </w:tcPr>
          <w:p w14:paraId="509DCDAF">
            <w:pPr>
              <w:keepNext w:val="0"/>
              <w:keepLines w:val="0"/>
              <w:widowControl w:val="0"/>
              <w:suppressLineNumbers w:val="0"/>
              <w:spacing w:before="0" w:beforeAutospacing="0" w:after="0" w:afterAutospacing="0"/>
              <w:ind w:left="0" w:right="0"/>
              <w:jc w:val="center"/>
              <w:rPr>
                <w:rFonts w:hint="default"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阳高县牧友恒泰草业公司</w:t>
            </w:r>
          </w:p>
          <w:p w14:paraId="6D3B6BB6">
            <w:pPr>
              <w:keepNext w:val="0"/>
              <w:keepLines w:val="0"/>
              <w:widowControl w:val="0"/>
              <w:suppressLineNumbers w:val="0"/>
              <w:spacing w:before="0" w:beforeAutospacing="0" w:after="0" w:afterAutospacing="0"/>
              <w:ind w:left="0" w:right="0"/>
              <w:jc w:val="center"/>
              <w:rPr>
                <w:rFonts w:hint="eastAsia"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方学清</w:t>
            </w:r>
          </w:p>
        </w:tc>
        <w:tc>
          <w:tcPr>
            <w:tcW w:w="2040" w:type="dxa"/>
            <w:tcBorders>
              <w:top w:val="single" w:color="auto" w:sz="4" w:space="0"/>
              <w:left w:val="single" w:color="auto" w:sz="4" w:space="0"/>
              <w:bottom w:val="single" w:color="auto" w:sz="4" w:space="0"/>
              <w:right w:val="single" w:color="auto" w:sz="4" w:space="0"/>
            </w:tcBorders>
            <w:shd w:val="clear"/>
            <w:noWrap/>
            <w:vAlign w:val="center"/>
          </w:tcPr>
          <w:p w14:paraId="5C0C33F5">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sz w:val="24"/>
                <w:szCs w:val="24"/>
                <w:bdr w:val="none" w:color="auto" w:sz="0" w:space="0"/>
                <w:lang w:val="en-US"/>
              </w:rPr>
            </w:pPr>
            <w:r>
              <w:rPr>
                <w:rFonts w:hint="eastAsia" w:ascii="仿宋" w:hAnsi="仿宋" w:eastAsia="仿宋" w:cs="仿宋"/>
                <w:color w:val="000000"/>
                <w:kern w:val="2"/>
                <w:sz w:val="24"/>
                <w:szCs w:val="24"/>
                <w:bdr w:val="none" w:color="auto" w:sz="0" w:space="0"/>
                <w:lang w:val="en-US" w:eastAsia="zh-CN" w:bidi="ar"/>
              </w:rPr>
              <w:t>采纳</w:t>
            </w:r>
          </w:p>
        </w:tc>
        <w:tc>
          <w:tcPr>
            <w:tcW w:w="2373" w:type="dxa"/>
            <w:tcBorders>
              <w:top w:val="single" w:color="auto" w:sz="4" w:space="0"/>
              <w:left w:val="single" w:color="auto" w:sz="4" w:space="0"/>
              <w:bottom w:val="single" w:color="auto" w:sz="4" w:space="0"/>
              <w:right w:val="single" w:color="auto" w:sz="4" w:space="0"/>
            </w:tcBorders>
            <w:shd w:val="clear"/>
            <w:noWrap/>
            <w:vAlign w:val="center"/>
          </w:tcPr>
          <w:p w14:paraId="46215FF5">
            <w:pPr>
              <w:keepNext w:val="0"/>
              <w:keepLines w:val="0"/>
              <w:widowControl w:val="0"/>
              <w:suppressLineNumbers w:val="0"/>
              <w:spacing w:before="0" w:beforeAutospacing="0" w:after="0" w:afterAutospacing="0"/>
              <w:ind w:left="0" w:right="0"/>
              <w:jc w:val="center"/>
              <w:rPr>
                <w:b/>
                <w:bCs w:val="0"/>
                <w:sz w:val="24"/>
                <w:szCs w:val="24"/>
                <w:bdr w:val="none" w:color="auto" w:sz="0" w:space="0"/>
                <w:lang w:val="en-US"/>
              </w:rPr>
            </w:pPr>
          </w:p>
        </w:tc>
      </w:tr>
      <w:tr w14:paraId="35927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32" w:hRule="atLeast"/>
          <w:jc w:val="center"/>
        </w:trPr>
        <w:tc>
          <w:tcPr>
            <w:tcW w:w="751" w:type="dxa"/>
            <w:tcBorders>
              <w:top w:val="single" w:color="auto" w:sz="4" w:space="0"/>
              <w:left w:val="single" w:color="auto" w:sz="4" w:space="0"/>
              <w:bottom w:val="single" w:color="auto" w:sz="4" w:space="0"/>
              <w:right w:val="single" w:color="auto" w:sz="4" w:space="0"/>
            </w:tcBorders>
            <w:shd w:val="clear"/>
            <w:noWrap/>
            <w:vAlign w:val="center"/>
          </w:tcPr>
          <w:p w14:paraId="0AD47B94">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r>
              <w:rPr>
                <w:rFonts w:hint="eastAsia" w:ascii="仿宋" w:hAnsi="仿宋" w:eastAsia="仿宋" w:cs="仿宋"/>
                <w:color w:val="000000"/>
                <w:kern w:val="2"/>
                <w:sz w:val="24"/>
                <w:szCs w:val="24"/>
                <w:bdr w:val="none" w:color="auto" w:sz="0" w:space="0"/>
                <w:lang w:val="en-US" w:eastAsia="zh-CN" w:bidi="ar"/>
              </w:rPr>
              <w:t>3</w:t>
            </w:r>
          </w:p>
        </w:tc>
        <w:tc>
          <w:tcPr>
            <w:tcW w:w="1744" w:type="dxa"/>
            <w:tcBorders>
              <w:top w:val="single" w:color="auto" w:sz="4" w:space="0"/>
              <w:left w:val="single" w:color="auto" w:sz="4" w:space="0"/>
              <w:bottom w:val="single" w:color="auto" w:sz="4" w:space="0"/>
              <w:right w:val="single" w:color="auto" w:sz="4" w:space="0"/>
            </w:tcBorders>
            <w:shd w:val="clear"/>
            <w:noWrap/>
            <w:vAlign w:val="center"/>
          </w:tcPr>
          <w:p w14:paraId="1C45CD07">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p>
        </w:tc>
        <w:tc>
          <w:tcPr>
            <w:tcW w:w="3900" w:type="dxa"/>
            <w:tcBorders>
              <w:top w:val="single" w:color="auto" w:sz="4" w:space="0"/>
              <w:left w:val="single" w:color="auto" w:sz="4" w:space="0"/>
              <w:bottom w:val="single" w:color="auto" w:sz="4" w:space="0"/>
              <w:right w:val="single" w:color="auto" w:sz="4" w:space="0"/>
            </w:tcBorders>
            <w:shd w:val="clear"/>
            <w:noWrap/>
            <w:vAlign w:val="center"/>
          </w:tcPr>
          <w:p w14:paraId="3FB96158">
            <w:pPr>
              <w:keepNext w:val="0"/>
              <w:keepLines w:val="0"/>
              <w:widowControl w:val="0"/>
              <w:suppressLineNumbers w:val="0"/>
              <w:spacing w:before="0" w:beforeAutospacing="0" w:after="0" w:afterAutospacing="0"/>
              <w:ind w:left="0" w:right="0"/>
              <w:jc w:val="left"/>
              <w:rPr>
                <w:rFonts w:hint="default"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无意见</w:t>
            </w:r>
          </w:p>
        </w:tc>
        <w:tc>
          <w:tcPr>
            <w:tcW w:w="2535" w:type="dxa"/>
            <w:tcBorders>
              <w:top w:val="single" w:color="auto" w:sz="4" w:space="0"/>
              <w:left w:val="single" w:color="auto" w:sz="4" w:space="0"/>
              <w:bottom w:val="single" w:color="auto" w:sz="4" w:space="0"/>
              <w:right w:val="single" w:color="auto" w:sz="4" w:space="0"/>
            </w:tcBorders>
            <w:shd w:val="clear"/>
            <w:noWrap/>
            <w:vAlign w:val="center"/>
          </w:tcPr>
          <w:p w14:paraId="5BF5AA7A">
            <w:pPr>
              <w:keepNext w:val="0"/>
              <w:keepLines w:val="0"/>
              <w:widowControl w:val="0"/>
              <w:suppressLineNumbers w:val="0"/>
              <w:spacing w:before="0" w:beforeAutospacing="0" w:after="0" w:afterAutospacing="0"/>
              <w:ind w:left="0" w:right="0"/>
              <w:jc w:val="center"/>
              <w:rPr>
                <w:rFonts w:hint="eastAsia" w:ascii="宋体" w:hAnsi="宋体" w:eastAsia="宋体" w:cs="宋体"/>
                <w:kern w:val="0"/>
                <w:szCs w:val="21"/>
                <w:bdr w:val="none" w:color="auto" w:sz="0" w:space="0"/>
                <w:lang w:val="en-US"/>
              </w:rPr>
            </w:pPr>
            <w:r>
              <w:rPr>
                <w:rFonts w:hint="eastAsia" w:ascii="宋体" w:hAnsi="宋体" w:cs="宋体"/>
                <w:kern w:val="0"/>
                <w:sz w:val="21"/>
                <w:szCs w:val="21"/>
                <w:bdr w:val="none" w:color="auto" w:sz="0" w:space="0"/>
                <w:lang w:val="en-US" w:eastAsia="zh-CN" w:bidi="ar"/>
              </w:rPr>
              <w:t>朔州市草牧业发展中心</w:t>
            </w:r>
          </w:p>
          <w:p w14:paraId="31528C09">
            <w:pPr>
              <w:keepNext w:val="0"/>
              <w:keepLines w:val="0"/>
              <w:widowControl w:val="0"/>
              <w:suppressLineNumbers w:val="0"/>
              <w:spacing w:before="0" w:beforeAutospacing="0" w:after="0" w:afterAutospacing="0"/>
              <w:ind w:left="0" w:right="0"/>
              <w:jc w:val="center"/>
              <w:rPr>
                <w:rFonts w:hint="eastAsia"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乔栋</w:t>
            </w:r>
          </w:p>
        </w:tc>
        <w:tc>
          <w:tcPr>
            <w:tcW w:w="2040" w:type="dxa"/>
            <w:tcBorders>
              <w:top w:val="single" w:color="auto" w:sz="4" w:space="0"/>
              <w:left w:val="single" w:color="auto" w:sz="4" w:space="0"/>
              <w:bottom w:val="single" w:color="auto" w:sz="4" w:space="0"/>
              <w:right w:val="single" w:color="auto" w:sz="4" w:space="0"/>
            </w:tcBorders>
            <w:shd w:val="clear"/>
            <w:noWrap/>
            <w:vAlign w:val="center"/>
          </w:tcPr>
          <w:p w14:paraId="4BB8019E">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p>
        </w:tc>
        <w:tc>
          <w:tcPr>
            <w:tcW w:w="2373" w:type="dxa"/>
            <w:tcBorders>
              <w:top w:val="single" w:color="auto" w:sz="4" w:space="0"/>
              <w:left w:val="single" w:color="auto" w:sz="4" w:space="0"/>
              <w:bottom w:val="single" w:color="auto" w:sz="4" w:space="0"/>
              <w:right w:val="single" w:color="auto" w:sz="4" w:space="0"/>
            </w:tcBorders>
            <w:shd w:val="clear"/>
            <w:noWrap/>
            <w:vAlign w:val="center"/>
          </w:tcPr>
          <w:p w14:paraId="714383B3">
            <w:pPr>
              <w:keepNext w:val="0"/>
              <w:keepLines w:val="0"/>
              <w:widowControl w:val="0"/>
              <w:suppressLineNumbers w:val="0"/>
              <w:spacing w:before="0" w:beforeAutospacing="0" w:after="0" w:afterAutospacing="0"/>
              <w:ind w:left="0" w:right="0"/>
              <w:jc w:val="center"/>
              <w:rPr>
                <w:b/>
                <w:bCs w:val="0"/>
                <w:sz w:val="24"/>
                <w:szCs w:val="24"/>
                <w:bdr w:val="none" w:color="auto" w:sz="0" w:space="0"/>
                <w:lang w:val="en-US"/>
              </w:rPr>
            </w:pPr>
          </w:p>
        </w:tc>
      </w:tr>
      <w:tr w14:paraId="37F4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609" w:hRule="atLeast"/>
          <w:jc w:val="center"/>
        </w:trPr>
        <w:tc>
          <w:tcPr>
            <w:tcW w:w="751" w:type="dxa"/>
            <w:tcBorders>
              <w:top w:val="single" w:color="auto" w:sz="4" w:space="0"/>
              <w:left w:val="single" w:color="auto" w:sz="4" w:space="0"/>
              <w:bottom w:val="single" w:color="auto" w:sz="4" w:space="0"/>
              <w:right w:val="single" w:color="auto" w:sz="4" w:space="0"/>
            </w:tcBorders>
            <w:shd w:val="clear"/>
            <w:noWrap/>
            <w:vAlign w:val="center"/>
          </w:tcPr>
          <w:p w14:paraId="520959A7">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r>
              <w:rPr>
                <w:rFonts w:hint="eastAsia" w:ascii="仿宋" w:hAnsi="仿宋" w:eastAsia="仿宋" w:cs="仿宋"/>
                <w:color w:val="000000"/>
                <w:kern w:val="2"/>
                <w:sz w:val="24"/>
                <w:szCs w:val="24"/>
                <w:bdr w:val="none" w:color="auto" w:sz="0" w:space="0"/>
                <w:lang w:val="en-US" w:eastAsia="zh-CN" w:bidi="ar"/>
              </w:rPr>
              <w:t>4</w:t>
            </w:r>
          </w:p>
        </w:tc>
        <w:tc>
          <w:tcPr>
            <w:tcW w:w="1744" w:type="dxa"/>
            <w:tcBorders>
              <w:top w:val="single" w:color="auto" w:sz="4" w:space="0"/>
              <w:left w:val="single" w:color="auto" w:sz="4" w:space="0"/>
              <w:bottom w:val="single" w:color="auto" w:sz="4" w:space="0"/>
              <w:right w:val="single" w:color="auto" w:sz="4" w:space="0"/>
            </w:tcBorders>
            <w:shd w:val="clear"/>
            <w:noWrap/>
            <w:vAlign w:val="center"/>
          </w:tcPr>
          <w:p w14:paraId="15B84537">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p>
        </w:tc>
        <w:tc>
          <w:tcPr>
            <w:tcW w:w="3900" w:type="dxa"/>
            <w:tcBorders>
              <w:top w:val="single" w:color="auto" w:sz="4" w:space="0"/>
              <w:left w:val="single" w:color="auto" w:sz="4" w:space="0"/>
              <w:bottom w:val="single" w:color="auto" w:sz="4" w:space="0"/>
              <w:right w:val="single" w:color="auto" w:sz="4" w:space="0"/>
            </w:tcBorders>
            <w:shd w:val="clear"/>
            <w:noWrap/>
            <w:vAlign w:val="center"/>
          </w:tcPr>
          <w:p w14:paraId="611DCC65">
            <w:pPr>
              <w:keepNext w:val="0"/>
              <w:keepLines w:val="0"/>
              <w:widowControl w:val="0"/>
              <w:suppressLineNumbers w:val="0"/>
              <w:tabs>
                <w:tab w:val="left" w:pos="342"/>
              </w:tabs>
              <w:spacing w:before="0" w:beforeAutospacing="0" w:after="0" w:afterAutospacing="0"/>
              <w:ind w:left="0" w:right="0"/>
              <w:jc w:val="left"/>
              <w:rPr>
                <w:rFonts w:hint="eastAsia"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无意见</w:t>
            </w:r>
            <w:r>
              <w:rPr>
                <w:rFonts w:hint="eastAsia" w:ascii="宋体" w:hAnsi="宋体" w:cs="宋体"/>
                <w:kern w:val="0"/>
                <w:szCs w:val="21"/>
                <w:bdr w:val="none" w:color="auto" w:sz="0" w:space="0"/>
                <w:lang w:val="en-US" w:eastAsia="zh-CN"/>
              </w:rPr>
              <w:tab/>
            </w:r>
          </w:p>
        </w:tc>
        <w:tc>
          <w:tcPr>
            <w:tcW w:w="2535" w:type="dxa"/>
            <w:tcBorders>
              <w:top w:val="single" w:color="auto" w:sz="4" w:space="0"/>
              <w:left w:val="single" w:color="auto" w:sz="4" w:space="0"/>
              <w:bottom w:val="single" w:color="auto" w:sz="4" w:space="0"/>
              <w:right w:val="single" w:color="auto" w:sz="4" w:space="0"/>
            </w:tcBorders>
            <w:shd w:val="clear"/>
            <w:noWrap/>
            <w:vAlign w:val="center"/>
          </w:tcPr>
          <w:p w14:paraId="3D5FA8E3">
            <w:pPr>
              <w:keepNext w:val="0"/>
              <w:keepLines w:val="0"/>
              <w:widowControl w:val="0"/>
              <w:suppressLineNumbers w:val="0"/>
              <w:spacing w:before="0" w:beforeAutospacing="0" w:after="0" w:afterAutospacing="0"/>
              <w:ind w:left="0" w:right="0"/>
              <w:jc w:val="center"/>
              <w:rPr>
                <w:rFonts w:hint="default"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朔城区农业农村局</w:t>
            </w:r>
          </w:p>
          <w:p w14:paraId="6C763DA1">
            <w:pPr>
              <w:keepNext w:val="0"/>
              <w:keepLines w:val="0"/>
              <w:widowControl w:val="0"/>
              <w:suppressLineNumbers w:val="0"/>
              <w:spacing w:before="0" w:beforeAutospacing="0" w:after="0" w:afterAutospacing="0"/>
              <w:ind w:left="0" w:right="0"/>
              <w:jc w:val="center"/>
              <w:rPr>
                <w:rFonts w:hint="eastAsia"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张建荣</w:t>
            </w:r>
          </w:p>
        </w:tc>
        <w:tc>
          <w:tcPr>
            <w:tcW w:w="2040" w:type="dxa"/>
            <w:tcBorders>
              <w:top w:val="single" w:color="auto" w:sz="4" w:space="0"/>
              <w:left w:val="single" w:color="auto" w:sz="4" w:space="0"/>
              <w:bottom w:val="single" w:color="auto" w:sz="4" w:space="0"/>
              <w:right w:val="single" w:color="auto" w:sz="4" w:space="0"/>
            </w:tcBorders>
            <w:shd w:val="clear"/>
            <w:noWrap/>
            <w:vAlign w:val="center"/>
          </w:tcPr>
          <w:p w14:paraId="653DFB3E">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sz w:val="24"/>
                <w:szCs w:val="24"/>
                <w:bdr w:val="none" w:color="auto" w:sz="0" w:space="0"/>
                <w:lang w:val="en-US"/>
              </w:rPr>
            </w:pPr>
          </w:p>
        </w:tc>
        <w:tc>
          <w:tcPr>
            <w:tcW w:w="2373" w:type="dxa"/>
            <w:tcBorders>
              <w:top w:val="single" w:color="auto" w:sz="4" w:space="0"/>
              <w:left w:val="single" w:color="auto" w:sz="4" w:space="0"/>
              <w:bottom w:val="single" w:color="auto" w:sz="4" w:space="0"/>
              <w:right w:val="single" w:color="auto" w:sz="4" w:space="0"/>
            </w:tcBorders>
            <w:shd w:val="clear"/>
            <w:noWrap/>
            <w:vAlign w:val="center"/>
          </w:tcPr>
          <w:p w14:paraId="4E127DCD">
            <w:pPr>
              <w:keepNext w:val="0"/>
              <w:keepLines w:val="0"/>
              <w:widowControl w:val="0"/>
              <w:suppressLineNumbers w:val="0"/>
              <w:spacing w:before="0" w:beforeAutospacing="0" w:after="0" w:afterAutospacing="0"/>
              <w:ind w:left="0" w:right="0"/>
              <w:jc w:val="center"/>
              <w:rPr>
                <w:b/>
                <w:bCs w:val="0"/>
                <w:sz w:val="24"/>
                <w:szCs w:val="24"/>
                <w:bdr w:val="none" w:color="auto" w:sz="0" w:space="0"/>
                <w:lang w:val="en-US"/>
              </w:rPr>
            </w:pPr>
          </w:p>
        </w:tc>
      </w:tr>
      <w:tr w14:paraId="2D9E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572" w:hRule="atLeast"/>
          <w:jc w:val="center"/>
        </w:trPr>
        <w:tc>
          <w:tcPr>
            <w:tcW w:w="751" w:type="dxa"/>
            <w:tcBorders>
              <w:top w:val="single" w:color="auto" w:sz="4" w:space="0"/>
              <w:left w:val="single" w:color="auto" w:sz="4" w:space="0"/>
              <w:bottom w:val="single" w:color="auto" w:sz="4" w:space="0"/>
              <w:right w:val="single" w:color="auto" w:sz="4" w:space="0"/>
            </w:tcBorders>
            <w:shd w:val="clear"/>
            <w:noWrap/>
            <w:vAlign w:val="center"/>
          </w:tcPr>
          <w:p w14:paraId="24D878A1">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r>
              <w:rPr>
                <w:rFonts w:hint="eastAsia" w:ascii="仿宋" w:hAnsi="仿宋" w:eastAsia="仿宋" w:cs="仿宋"/>
                <w:color w:val="000000"/>
                <w:kern w:val="2"/>
                <w:sz w:val="24"/>
                <w:szCs w:val="24"/>
                <w:bdr w:val="none" w:color="auto" w:sz="0" w:space="0"/>
                <w:lang w:val="en-US" w:eastAsia="zh-CN" w:bidi="ar"/>
              </w:rPr>
              <w:t>5</w:t>
            </w:r>
          </w:p>
        </w:tc>
        <w:tc>
          <w:tcPr>
            <w:tcW w:w="1744" w:type="dxa"/>
            <w:tcBorders>
              <w:top w:val="single" w:color="auto" w:sz="4" w:space="0"/>
              <w:left w:val="single" w:color="auto" w:sz="4" w:space="0"/>
              <w:bottom w:val="single" w:color="auto" w:sz="4" w:space="0"/>
              <w:right w:val="single" w:color="auto" w:sz="4" w:space="0"/>
            </w:tcBorders>
            <w:shd w:val="clear"/>
            <w:noWrap/>
            <w:vAlign w:val="center"/>
          </w:tcPr>
          <w:p w14:paraId="408DB8C1">
            <w:pPr>
              <w:keepNext w:val="0"/>
              <w:keepLines w:val="0"/>
              <w:widowControl w:val="0"/>
              <w:suppressLineNumbers w:val="0"/>
              <w:spacing w:before="0" w:beforeAutospacing="0" w:after="0" w:afterAutospacing="0"/>
              <w:ind w:left="0" w:right="0"/>
              <w:jc w:val="center"/>
              <w:rPr>
                <w:rFonts w:hint="eastAsia" w:ascii="宋体" w:hAnsi="宋体" w:eastAsia="宋体" w:cs="宋体"/>
                <w:kern w:val="0"/>
                <w:szCs w:val="21"/>
                <w:bdr w:val="none" w:color="auto" w:sz="0" w:space="0"/>
                <w:lang w:val="en-US"/>
              </w:rPr>
            </w:pPr>
          </w:p>
        </w:tc>
        <w:tc>
          <w:tcPr>
            <w:tcW w:w="3900" w:type="dxa"/>
            <w:tcBorders>
              <w:top w:val="single" w:color="auto" w:sz="4" w:space="0"/>
              <w:left w:val="single" w:color="auto" w:sz="4" w:space="0"/>
              <w:bottom w:val="single" w:color="auto" w:sz="4" w:space="0"/>
              <w:right w:val="single" w:color="auto" w:sz="4" w:space="0"/>
            </w:tcBorders>
            <w:shd w:val="clear"/>
            <w:noWrap/>
            <w:vAlign w:val="center"/>
          </w:tcPr>
          <w:p w14:paraId="06C6AAC7">
            <w:pPr>
              <w:keepNext w:val="0"/>
              <w:keepLines w:val="0"/>
              <w:widowControl w:val="0"/>
              <w:suppressLineNumbers w:val="0"/>
              <w:spacing w:before="0" w:beforeAutospacing="0" w:after="0" w:afterAutospacing="0"/>
              <w:ind w:left="0" w:right="0"/>
              <w:jc w:val="left"/>
              <w:rPr>
                <w:rFonts w:hint="default" w:ascii="宋体" w:hAnsi="宋体" w:eastAsia="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无意见</w:t>
            </w:r>
          </w:p>
        </w:tc>
        <w:tc>
          <w:tcPr>
            <w:tcW w:w="2535" w:type="dxa"/>
            <w:tcBorders>
              <w:top w:val="single" w:color="auto" w:sz="4" w:space="0"/>
              <w:left w:val="single" w:color="auto" w:sz="4" w:space="0"/>
              <w:bottom w:val="single" w:color="auto" w:sz="4" w:space="0"/>
              <w:right w:val="single" w:color="auto" w:sz="4" w:space="0"/>
            </w:tcBorders>
            <w:shd w:val="clear"/>
            <w:noWrap/>
            <w:vAlign w:val="center"/>
          </w:tcPr>
          <w:p w14:paraId="67F50040">
            <w:pPr>
              <w:keepNext w:val="0"/>
              <w:keepLines w:val="0"/>
              <w:widowControl w:val="0"/>
              <w:suppressLineNumbers w:val="0"/>
              <w:spacing w:before="0" w:beforeAutospacing="0" w:after="0" w:afterAutospacing="0"/>
              <w:ind w:left="0" w:right="0"/>
              <w:jc w:val="center"/>
              <w:rPr>
                <w:rFonts w:hint="eastAsia" w:ascii="宋体" w:hAnsi="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朔州市骏宝辰农业科技有限公司</w:t>
            </w:r>
          </w:p>
          <w:p w14:paraId="575D2A90">
            <w:pPr>
              <w:keepNext w:val="0"/>
              <w:keepLines w:val="0"/>
              <w:widowControl w:val="0"/>
              <w:suppressLineNumbers w:val="0"/>
              <w:spacing w:before="0" w:beforeAutospacing="0" w:after="0" w:afterAutospacing="0"/>
              <w:ind w:left="0" w:right="0"/>
              <w:jc w:val="center"/>
              <w:rPr>
                <w:rFonts w:hint="default" w:ascii="宋体" w:hAnsi="宋体" w:cs="宋体"/>
                <w:kern w:val="0"/>
                <w:szCs w:val="21"/>
                <w:bdr w:val="none" w:color="auto" w:sz="0" w:space="0"/>
                <w:lang w:val="en-US" w:eastAsia="zh-CN"/>
              </w:rPr>
            </w:pPr>
            <w:r>
              <w:rPr>
                <w:rFonts w:hint="eastAsia" w:ascii="宋体" w:hAnsi="宋体" w:cs="宋体"/>
                <w:kern w:val="0"/>
                <w:szCs w:val="21"/>
                <w:bdr w:val="none" w:color="auto" w:sz="0" w:space="0"/>
                <w:lang w:val="en-US" w:eastAsia="zh-CN"/>
              </w:rPr>
              <w:t>高林</w:t>
            </w:r>
          </w:p>
        </w:tc>
        <w:tc>
          <w:tcPr>
            <w:tcW w:w="2040" w:type="dxa"/>
            <w:tcBorders>
              <w:top w:val="single" w:color="auto" w:sz="4" w:space="0"/>
              <w:left w:val="single" w:color="auto" w:sz="4" w:space="0"/>
              <w:bottom w:val="single" w:color="auto" w:sz="4" w:space="0"/>
              <w:right w:val="single" w:color="auto" w:sz="4" w:space="0"/>
            </w:tcBorders>
            <w:shd w:val="clear"/>
            <w:noWrap/>
            <w:vAlign w:val="center"/>
          </w:tcPr>
          <w:p w14:paraId="3A636CA6">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sz w:val="24"/>
                <w:szCs w:val="24"/>
                <w:bdr w:val="none" w:color="auto" w:sz="0" w:space="0"/>
                <w:lang w:val="en-US"/>
              </w:rPr>
            </w:pPr>
          </w:p>
        </w:tc>
        <w:tc>
          <w:tcPr>
            <w:tcW w:w="2373" w:type="dxa"/>
            <w:tcBorders>
              <w:top w:val="single" w:color="auto" w:sz="4" w:space="0"/>
              <w:left w:val="single" w:color="auto" w:sz="4" w:space="0"/>
              <w:bottom w:val="single" w:color="auto" w:sz="4" w:space="0"/>
              <w:right w:val="single" w:color="auto" w:sz="4" w:space="0"/>
            </w:tcBorders>
            <w:shd w:val="clear"/>
            <w:noWrap/>
            <w:vAlign w:val="center"/>
          </w:tcPr>
          <w:p w14:paraId="19EA7B94">
            <w:pPr>
              <w:keepNext w:val="0"/>
              <w:keepLines w:val="0"/>
              <w:widowControl w:val="0"/>
              <w:suppressLineNumbers w:val="0"/>
              <w:spacing w:before="0" w:beforeAutospacing="0" w:after="0" w:afterAutospacing="0"/>
              <w:ind w:left="0" w:right="0"/>
              <w:jc w:val="center"/>
              <w:rPr>
                <w:b/>
                <w:bCs w:val="0"/>
                <w:sz w:val="24"/>
                <w:szCs w:val="24"/>
                <w:bdr w:val="none" w:color="auto" w:sz="0" w:space="0"/>
                <w:lang w:val="en-US"/>
              </w:rPr>
            </w:pPr>
          </w:p>
        </w:tc>
      </w:tr>
      <w:tr w14:paraId="7BCB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rHeight w:val="572" w:hRule="atLeast"/>
          <w:jc w:val="center"/>
        </w:trPr>
        <w:tc>
          <w:tcPr>
            <w:tcW w:w="751" w:type="dxa"/>
            <w:tcBorders>
              <w:top w:val="single" w:color="auto" w:sz="4" w:space="0"/>
              <w:left w:val="single" w:color="auto" w:sz="4" w:space="0"/>
              <w:bottom w:val="single" w:color="auto" w:sz="4" w:space="0"/>
              <w:right w:val="single" w:color="auto" w:sz="4" w:space="0"/>
            </w:tcBorders>
            <w:shd w:val="clear"/>
            <w:noWrap/>
            <w:vAlign w:val="center"/>
          </w:tcPr>
          <w:p w14:paraId="5F044AE1">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p>
        </w:tc>
        <w:tc>
          <w:tcPr>
            <w:tcW w:w="1744" w:type="dxa"/>
            <w:tcBorders>
              <w:top w:val="single" w:color="auto" w:sz="4" w:space="0"/>
              <w:left w:val="single" w:color="auto" w:sz="4" w:space="0"/>
              <w:bottom w:val="single" w:color="auto" w:sz="4" w:space="0"/>
              <w:right w:val="single" w:color="auto" w:sz="4" w:space="0"/>
            </w:tcBorders>
            <w:shd w:val="clear"/>
            <w:noWrap/>
            <w:vAlign w:val="center"/>
          </w:tcPr>
          <w:p w14:paraId="387116E1">
            <w:pPr>
              <w:keepNext w:val="0"/>
              <w:keepLines w:val="0"/>
              <w:widowControl w:val="0"/>
              <w:suppressLineNumbers w:val="0"/>
              <w:spacing w:before="0" w:beforeAutospacing="0" w:after="0" w:afterAutospacing="0"/>
              <w:ind w:left="0" w:right="0"/>
              <w:jc w:val="center"/>
              <w:rPr>
                <w:rFonts w:hint="eastAsia" w:ascii="宋体" w:hAnsi="宋体" w:eastAsia="宋体" w:cs="宋体"/>
                <w:kern w:val="0"/>
                <w:szCs w:val="21"/>
                <w:bdr w:val="none" w:color="auto" w:sz="0" w:space="0"/>
                <w:lang w:val="en-US"/>
              </w:rPr>
            </w:pPr>
          </w:p>
        </w:tc>
        <w:tc>
          <w:tcPr>
            <w:tcW w:w="3900" w:type="dxa"/>
            <w:tcBorders>
              <w:top w:val="single" w:color="auto" w:sz="4" w:space="0"/>
              <w:left w:val="single" w:color="auto" w:sz="4" w:space="0"/>
              <w:bottom w:val="single" w:color="auto" w:sz="4" w:space="0"/>
              <w:right w:val="single" w:color="auto" w:sz="4" w:space="0"/>
            </w:tcBorders>
            <w:shd w:val="clear"/>
            <w:noWrap/>
            <w:vAlign w:val="center"/>
          </w:tcPr>
          <w:p w14:paraId="57E85573">
            <w:pPr>
              <w:keepNext w:val="0"/>
              <w:keepLines w:val="0"/>
              <w:widowControl w:val="0"/>
              <w:suppressLineNumbers w:val="0"/>
              <w:spacing w:before="0" w:beforeAutospacing="0" w:after="0" w:afterAutospacing="0"/>
              <w:ind w:left="0" w:right="0"/>
              <w:jc w:val="left"/>
              <w:rPr>
                <w:rFonts w:hint="eastAsia" w:ascii="宋体" w:hAnsi="宋体" w:eastAsia="宋体" w:cs="宋体"/>
                <w:kern w:val="0"/>
                <w:szCs w:val="21"/>
                <w:bdr w:val="none" w:color="auto" w:sz="0" w:space="0"/>
                <w:lang w:val="en-US"/>
              </w:rPr>
            </w:pPr>
          </w:p>
        </w:tc>
        <w:tc>
          <w:tcPr>
            <w:tcW w:w="2535" w:type="dxa"/>
            <w:tcBorders>
              <w:top w:val="single" w:color="auto" w:sz="4" w:space="0"/>
              <w:left w:val="single" w:color="auto" w:sz="4" w:space="0"/>
              <w:bottom w:val="single" w:color="auto" w:sz="4" w:space="0"/>
              <w:right w:val="single" w:color="auto" w:sz="4" w:space="0"/>
            </w:tcBorders>
            <w:shd w:val="clear"/>
            <w:noWrap/>
            <w:vAlign w:val="center"/>
          </w:tcPr>
          <w:p w14:paraId="3076EC28">
            <w:pPr>
              <w:keepNext w:val="0"/>
              <w:keepLines w:val="0"/>
              <w:widowControl w:val="0"/>
              <w:suppressLineNumbers w:val="0"/>
              <w:spacing w:before="0" w:beforeAutospacing="0" w:after="0" w:afterAutospacing="0"/>
              <w:ind w:left="0" w:right="0"/>
              <w:jc w:val="center"/>
              <w:rPr>
                <w:rFonts w:hint="eastAsia" w:ascii="仿宋" w:hAnsi="仿宋" w:eastAsia="仿宋" w:cs="仿宋"/>
                <w:color w:val="000000"/>
                <w:sz w:val="24"/>
                <w:szCs w:val="24"/>
                <w:bdr w:val="none" w:color="auto" w:sz="0" w:space="0"/>
                <w:lang w:val="en-US"/>
              </w:rPr>
            </w:pPr>
          </w:p>
        </w:tc>
        <w:tc>
          <w:tcPr>
            <w:tcW w:w="2040" w:type="dxa"/>
            <w:tcBorders>
              <w:top w:val="single" w:color="auto" w:sz="4" w:space="0"/>
              <w:left w:val="single" w:color="auto" w:sz="4" w:space="0"/>
              <w:bottom w:val="single" w:color="auto" w:sz="4" w:space="0"/>
              <w:right w:val="single" w:color="auto" w:sz="4" w:space="0"/>
            </w:tcBorders>
            <w:shd w:val="clear"/>
            <w:noWrap/>
            <w:vAlign w:val="center"/>
          </w:tcPr>
          <w:p w14:paraId="4A313B11">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sz w:val="24"/>
                <w:szCs w:val="24"/>
                <w:bdr w:val="none" w:color="auto" w:sz="0" w:space="0"/>
                <w:lang w:val="en-US"/>
              </w:rPr>
            </w:pPr>
          </w:p>
        </w:tc>
        <w:tc>
          <w:tcPr>
            <w:tcW w:w="2373" w:type="dxa"/>
            <w:tcBorders>
              <w:top w:val="single" w:color="auto" w:sz="4" w:space="0"/>
              <w:left w:val="single" w:color="auto" w:sz="4" w:space="0"/>
              <w:bottom w:val="single" w:color="auto" w:sz="4" w:space="0"/>
              <w:right w:val="single" w:color="auto" w:sz="4" w:space="0"/>
            </w:tcBorders>
            <w:shd w:val="clear"/>
            <w:noWrap/>
            <w:vAlign w:val="center"/>
          </w:tcPr>
          <w:p w14:paraId="505D00E4">
            <w:pPr>
              <w:keepNext w:val="0"/>
              <w:keepLines w:val="0"/>
              <w:widowControl w:val="0"/>
              <w:suppressLineNumbers w:val="0"/>
              <w:spacing w:before="0" w:beforeAutospacing="0" w:after="0" w:afterAutospacing="0"/>
              <w:ind w:left="0" w:right="0"/>
              <w:jc w:val="center"/>
              <w:rPr>
                <w:b/>
                <w:bCs w:val="0"/>
                <w:sz w:val="24"/>
                <w:szCs w:val="24"/>
                <w:bdr w:val="none" w:color="auto" w:sz="0" w:space="0"/>
                <w:lang w:val="en-US"/>
              </w:rPr>
            </w:pPr>
          </w:p>
        </w:tc>
      </w:tr>
    </w:tbl>
    <w:p w14:paraId="1D7819A3">
      <w:pPr>
        <w:keepNext w:val="0"/>
        <w:keepLines w:val="0"/>
        <w:widowControl w:val="0"/>
        <w:suppressLineNumbers w:val="0"/>
        <w:spacing w:before="0" w:beforeAutospacing="0" w:after="0" w:afterAutospacing="0" w:line="400" w:lineRule="exact"/>
        <w:ind w:left="0" w:right="0" w:firstLine="240" w:firstLineChars="100"/>
        <w:jc w:val="both"/>
        <w:rPr>
          <w:rFonts w:hint="eastAsia" w:ascii="宋体" w:hAnsi="宋体" w:eastAsia="宋体" w:cs="宋体"/>
          <w:bCs/>
          <w:sz w:val="24"/>
          <w:szCs w:val="24"/>
          <w:lang w:val="en-US"/>
        </w:rPr>
      </w:pPr>
      <w:r>
        <w:rPr>
          <w:rFonts w:hint="eastAsia" w:ascii="宋体" w:hAnsi="宋体" w:eastAsia="宋体" w:cs="宋体"/>
          <w:bCs/>
          <w:kern w:val="2"/>
          <w:sz w:val="24"/>
          <w:szCs w:val="24"/>
          <w:lang w:val="en-US" w:eastAsia="zh-CN" w:bidi="ar"/>
        </w:rPr>
        <w:t>说明：1、针对明确回复无意见的单位，请在“意见内容”中注明无意见，在“提出单位”中列出无意见单位的名称。</w:t>
      </w:r>
    </w:p>
    <w:p w14:paraId="7A7C57C1">
      <w:pPr>
        <w:keepNext w:val="0"/>
        <w:keepLines w:val="0"/>
        <w:widowControl w:val="0"/>
        <w:suppressLineNumbers w:val="0"/>
        <w:spacing w:before="0" w:beforeAutospacing="0" w:after="0" w:afterAutospacing="0" w:line="400" w:lineRule="exact"/>
        <w:ind w:left="0" w:right="0" w:firstLine="960" w:firstLineChars="400"/>
        <w:jc w:val="both"/>
        <w:rPr>
          <w:rFonts w:hint="eastAsia" w:ascii="宋体" w:hAnsi="宋体" w:eastAsia="宋体" w:cs="宋体"/>
          <w:bCs/>
          <w:sz w:val="24"/>
          <w:szCs w:val="24"/>
          <w:lang w:val="en-US"/>
        </w:rPr>
      </w:pPr>
      <w:r>
        <w:rPr>
          <w:rFonts w:hint="eastAsia" w:ascii="宋体" w:hAnsi="宋体" w:eastAsia="宋体" w:cs="宋体"/>
          <w:bCs/>
          <w:kern w:val="2"/>
          <w:sz w:val="24"/>
          <w:szCs w:val="24"/>
          <w:lang w:val="en-US" w:eastAsia="zh-CN" w:bidi="ar"/>
        </w:rPr>
        <w:t>2、发送征求意见稿单位数</w:t>
      </w:r>
      <w:r>
        <w:rPr>
          <w:rFonts w:hint="eastAsia" w:ascii="宋体" w:hAnsi="宋体" w:eastAsia="宋体" w:cs="宋体"/>
          <w:bCs/>
          <w:kern w:val="2"/>
          <w:sz w:val="24"/>
          <w:szCs w:val="24"/>
          <w:u w:val="single"/>
          <w:lang w:val="en-US" w:eastAsia="zh-CN" w:bidi="ar"/>
        </w:rPr>
        <w:t xml:space="preserve"> 5 </w:t>
      </w:r>
      <w:r>
        <w:rPr>
          <w:rFonts w:hint="eastAsia" w:ascii="宋体" w:hAnsi="宋体" w:eastAsia="宋体" w:cs="宋体"/>
          <w:bCs/>
          <w:kern w:val="2"/>
          <w:sz w:val="24"/>
          <w:szCs w:val="24"/>
          <w:lang w:val="en-US" w:eastAsia="zh-CN" w:bidi="ar"/>
        </w:rPr>
        <w:t>个；收到征求意见稿回函的单位数</w:t>
      </w:r>
      <w:r>
        <w:rPr>
          <w:rFonts w:hint="eastAsia" w:ascii="宋体" w:hAnsi="宋体" w:eastAsia="宋体" w:cs="宋体"/>
          <w:bCs/>
          <w:kern w:val="2"/>
          <w:sz w:val="24"/>
          <w:szCs w:val="24"/>
          <w:u w:val="single"/>
          <w:lang w:val="en-US" w:eastAsia="zh-CN" w:bidi="ar"/>
        </w:rPr>
        <w:t>5</w:t>
      </w:r>
      <w:r>
        <w:rPr>
          <w:rFonts w:hint="eastAsia" w:ascii="宋体" w:hAnsi="宋体" w:eastAsia="宋体" w:cs="宋体"/>
          <w:bCs/>
          <w:kern w:val="2"/>
          <w:sz w:val="24"/>
          <w:szCs w:val="24"/>
          <w:lang w:val="en-US" w:eastAsia="zh-CN" w:bidi="ar"/>
        </w:rPr>
        <w:t>个；收到征求意见稿回函并提出意见的单位数</w:t>
      </w:r>
      <w:r>
        <w:rPr>
          <w:rFonts w:hint="eastAsia" w:ascii="宋体" w:hAnsi="宋体" w:cs="宋体"/>
          <w:bCs/>
          <w:kern w:val="2"/>
          <w:sz w:val="24"/>
          <w:szCs w:val="24"/>
          <w:lang w:val="en-US" w:eastAsia="zh-CN" w:bidi="ar"/>
        </w:rPr>
        <w:t>2</w:t>
      </w:r>
      <w:r>
        <w:rPr>
          <w:rFonts w:hint="eastAsia" w:ascii="宋体" w:hAnsi="宋体" w:eastAsia="宋体" w:cs="宋体"/>
          <w:bCs/>
          <w:kern w:val="2"/>
          <w:sz w:val="24"/>
          <w:szCs w:val="24"/>
          <w:u w:val="single"/>
          <w:lang w:val="en-US" w:eastAsia="zh-CN" w:bidi="ar"/>
        </w:rPr>
        <w:t xml:space="preserve"> </w:t>
      </w:r>
      <w:r>
        <w:rPr>
          <w:rFonts w:hint="eastAsia" w:ascii="宋体" w:hAnsi="宋体" w:eastAsia="宋体" w:cs="宋体"/>
          <w:bCs/>
          <w:kern w:val="2"/>
          <w:sz w:val="24"/>
          <w:szCs w:val="24"/>
          <w:lang w:val="en-US" w:eastAsia="zh-CN" w:bidi="ar"/>
        </w:rPr>
        <w:t>个；</w:t>
      </w:r>
    </w:p>
    <w:p w14:paraId="36C79A10">
      <w:pPr>
        <w:keepNext w:val="0"/>
        <w:keepLines w:val="0"/>
        <w:widowControl w:val="0"/>
        <w:suppressLineNumbers w:val="0"/>
        <w:spacing w:before="0" w:beforeAutospacing="0" w:after="0" w:afterAutospacing="0" w:line="400" w:lineRule="exact"/>
        <w:ind w:left="0" w:right="0" w:firstLine="960" w:firstLineChars="400"/>
        <w:jc w:val="both"/>
        <w:rPr>
          <w:rFonts w:hint="eastAsia" w:ascii="宋体" w:hAnsi="宋体" w:eastAsia="宋体" w:cs="宋体"/>
          <w:bCs/>
          <w:sz w:val="24"/>
          <w:szCs w:val="24"/>
          <w:lang w:val="en-US"/>
        </w:rPr>
      </w:pPr>
      <w:r>
        <w:rPr>
          <w:rFonts w:hint="eastAsia" w:ascii="宋体" w:hAnsi="宋体" w:eastAsia="宋体" w:cs="宋体"/>
          <w:bCs/>
          <w:kern w:val="2"/>
          <w:sz w:val="24"/>
          <w:szCs w:val="24"/>
          <w:lang w:val="en-US" w:eastAsia="zh-CN" w:bidi="ar"/>
        </w:rPr>
        <w:t>没有回函的单位数</w:t>
      </w:r>
      <w:r>
        <w:rPr>
          <w:rFonts w:hint="eastAsia" w:ascii="宋体" w:hAnsi="宋体" w:eastAsia="宋体" w:cs="宋体"/>
          <w:bCs/>
          <w:kern w:val="2"/>
          <w:sz w:val="24"/>
          <w:szCs w:val="24"/>
          <w:u w:val="single"/>
          <w:lang w:val="en-US" w:eastAsia="zh-CN" w:bidi="ar"/>
        </w:rPr>
        <w:t>0</w:t>
      </w:r>
      <w:r>
        <w:rPr>
          <w:rFonts w:hint="eastAsia" w:ascii="宋体" w:hAnsi="宋体" w:eastAsia="宋体" w:cs="宋体"/>
          <w:bCs/>
          <w:kern w:val="2"/>
          <w:sz w:val="24"/>
          <w:szCs w:val="24"/>
          <w:lang w:val="en-US" w:eastAsia="zh-CN" w:bidi="ar"/>
        </w:rPr>
        <w:t>个；共收到回复意见</w:t>
      </w:r>
      <w:r>
        <w:rPr>
          <w:rFonts w:hint="eastAsia" w:ascii="宋体" w:hAnsi="宋体" w:eastAsia="宋体" w:cs="宋体"/>
          <w:bCs/>
          <w:kern w:val="2"/>
          <w:sz w:val="24"/>
          <w:szCs w:val="24"/>
          <w:u w:val="single"/>
          <w:lang w:val="en-US" w:eastAsia="zh-CN" w:bidi="ar"/>
        </w:rPr>
        <w:t xml:space="preserve"> </w:t>
      </w:r>
      <w:r>
        <w:rPr>
          <w:rFonts w:hint="eastAsia" w:ascii="宋体" w:hAnsi="宋体" w:cs="宋体"/>
          <w:bCs/>
          <w:kern w:val="2"/>
          <w:sz w:val="24"/>
          <w:szCs w:val="24"/>
          <w:u w:val="single"/>
          <w:lang w:val="en-US" w:eastAsia="zh-CN" w:bidi="ar"/>
        </w:rPr>
        <w:t>2</w:t>
      </w:r>
      <w:r>
        <w:rPr>
          <w:rFonts w:hint="eastAsia" w:ascii="宋体" w:hAnsi="宋体" w:eastAsia="宋体" w:cs="宋体"/>
          <w:bCs/>
          <w:kern w:val="2"/>
          <w:sz w:val="24"/>
          <w:szCs w:val="24"/>
          <w:u w:val="single"/>
          <w:lang w:val="en-US" w:eastAsia="zh-CN" w:bidi="ar"/>
        </w:rPr>
        <w:t xml:space="preserve"> </w:t>
      </w:r>
      <w:r>
        <w:rPr>
          <w:rFonts w:hint="eastAsia" w:ascii="宋体" w:hAnsi="宋体" w:eastAsia="宋体" w:cs="宋体"/>
          <w:bCs/>
          <w:kern w:val="2"/>
          <w:sz w:val="24"/>
          <w:szCs w:val="24"/>
          <w:lang w:val="en-US" w:eastAsia="zh-CN" w:bidi="ar"/>
        </w:rPr>
        <w:t>条，采纳</w:t>
      </w:r>
      <w:r>
        <w:rPr>
          <w:rFonts w:hint="eastAsia" w:ascii="宋体" w:hAnsi="宋体" w:eastAsia="宋体" w:cs="宋体"/>
          <w:bCs/>
          <w:kern w:val="2"/>
          <w:sz w:val="24"/>
          <w:szCs w:val="24"/>
          <w:u w:val="single"/>
          <w:lang w:val="en-US" w:eastAsia="zh-CN" w:bidi="ar"/>
        </w:rPr>
        <w:t xml:space="preserve"> </w:t>
      </w:r>
      <w:r>
        <w:rPr>
          <w:rFonts w:hint="eastAsia" w:ascii="宋体" w:hAnsi="宋体" w:cs="宋体"/>
          <w:bCs/>
          <w:kern w:val="2"/>
          <w:sz w:val="24"/>
          <w:szCs w:val="24"/>
          <w:u w:val="single"/>
          <w:lang w:val="en-US" w:eastAsia="zh-CN" w:bidi="ar"/>
        </w:rPr>
        <w:t>2</w:t>
      </w:r>
      <w:r>
        <w:rPr>
          <w:rFonts w:hint="eastAsia" w:ascii="宋体" w:hAnsi="宋体" w:eastAsia="宋体" w:cs="宋体"/>
          <w:bCs/>
          <w:kern w:val="2"/>
          <w:sz w:val="24"/>
          <w:szCs w:val="24"/>
          <w:u w:val="single"/>
          <w:lang w:val="en-US" w:eastAsia="zh-CN" w:bidi="ar"/>
        </w:rPr>
        <w:t xml:space="preserve"> </w:t>
      </w:r>
      <w:r>
        <w:rPr>
          <w:rFonts w:hint="eastAsia" w:ascii="宋体" w:hAnsi="宋体" w:eastAsia="宋体" w:cs="宋体"/>
          <w:bCs/>
          <w:kern w:val="2"/>
          <w:sz w:val="24"/>
          <w:szCs w:val="24"/>
          <w:lang w:val="en-US" w:eastAsia="zh-CN" w:bidi="ar"/>
        </w:rPr>
        <w:t>条，部分采纳</w:t>
      </w:r>
      <w:r>
        <w:rPr>
          <w:rFonts w:hint="eastAsia" w:ascii="宋体" w:hAnsi="宋体" w:eastAsia="宋体" w:cs="宋体"/>
          <w:bCs/>
          <w:kern w:val="2"/>
          <w:sz w:val="24"/>
          <w:szCs w:val="24"/>
          <w:u w:val="single"/>
          <w:lang w:val="en-US" w:eastAsia="zh-CN" w:bidi="ar"/>
        </w:rPr>
        <w:t xml:space="preserve"> 0 </w:t>
      </w:r>
      <w:r>
        <w:rPr>
          <w:rFonts w:hint="eastAsia" w:ascii="宋体" w:hAnsi="宋体" w:eastAsia="宋体" w:cs="宋体"/>
          <w:bCs/>
          <w:kern w:val="2"/>
          <w:sz w:val="24"/>
          <w:szCs w:val="24"/>
          <w:lang w:val="en-US" w:eastAsia="zh-CN" w:bidi="ar"/>
        </w:rPr>
        <w:t>条，未采纳</w:t>
      </w:r>
      <w:r>
        <w:rPr>
          <w:rFonts w:hint="eastAsia" w:ascii="宋体" w:hAnsi="宋体" w:eastAsia="宋体" w:cs="宋体"/>
          <w:bCs/>
          <w:kern w:val="2"/>
          <w:sz w:val="24"/>
          <w:szCs w:val="24"/>
          <w:u w:val="single"/>
          <w:lang w:val="en-US" w:eastAsia="zh-CN" w:bidi="ar"/>
        </w:rPr>
        <w:t xml:space="preserve"> </w:t>
      </w:r>
      <w:r>
        <w:rPr>
          <w:rFonts w:hint="eastAsia" w:ascii="宋体" w:hAnsi="宋体" w:cs="宋体"/>
          <w:bCs/>
          <w:kern w:val="2"/>
          <w:sz w:val="24"/>
          <w:szCs w:val="24"/>
          <w:u w:val="single"/>
          <w:lang w:val="en-US" w:eastAsia="zh-CN" w:bidi="ar"/>
        </w:rPr>
        <w:t>0</w:t>
      </w:r>
      <w:bookmarkStart w:id="1" w:name="_GoBack"/>
      <w:bookmarkEnd w:id="1"/>
      <w:r>
        <w:rPr>
          <w:rFonts w:hint="eastAsia" w:ascii="宋体" w:hAnsi="宋体" w:eastAsia="宋体" w:cs="宋体"/>
          <w:bCs/>
          <w:kern w:val="2"/>
          <w:sz w:val="24"/>
          <w:szCs w:val="24"/>
          <w:u w:val="single"/>
          <w:lang w:val="en-US" w:eastAsia="zh-CN" w:bidi="ar"/>
        </w:rPr>
        <w:t xml:space="preserve"> </w:t>
      </w:r>
      <w:r>
        <w:rPr>
          <w:rFonts w:hint="eastAsia" w:ascii="宋体" w:hAnsi="宋体" w:eastAsia="宋体" w:cs="宋体"/>
          <w:bCs/>
          <w:kern w:val="2"/>
          <w:sz w:val="24"/>
          <w:szCs w:val="24"/>
          <w:lang w:val="en-US" w:eastAsia="zh-CN" w:bidi="ar"/>
        </w:rPr>
        <w:t>条意见。</w:t>
      </w:r>
    </w:p>
    <w:p w14:paraId="087DFCA8">
      <w:pPr>
        <w:jc w:val="center"/>
        <w:rPr>
          <w:rFonts w:ascii="仿宋_GB2312" w:hAnsi="宋体" w:eastAsia="仿宋_GB2312"/>
          <w:color w:val="0000FF"/>
          <w:sz w:val="24"/>
        </w:rPr>
      </w:pPr>
    </w:p>
    <w:sectPr>
      <w:pgSz w:w="16838" w:h="11906" w:orient="landscape"/>
      <w:pgMar w:top="1803" w:right="1440" w:bottom="1803" w:left="1440" w:header="851" w:footer="992" w:gutter="0"/>
      <w:pgNumType w:start="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angal">
    <w:altName w:val="Segoe Print"/>
    <w:panose1 w:val="00000400000000000000"/>
    <w:charset w:val="01"/>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variable"/>
    <w:sig w:usb0="E00006FF" w:usb1="420024FF" w:usb2="02000000" w:usb3="00000000" w:csb0="2000019F" w:csb1="00000000"/>
  </w:font>
  <w:font w:name="@仿宋_GB2312">
    <w:panose1 w:val="02010609030101010101"/>
    <w:charset w:val="86"/>
    <w:family w:val="auto"/>
    <w:pitch w:val="fixed"/>
    <w:sig w:usb0="00000001" w:usb1="080E0000" w:usb2="00000000" w:usb3="00000000" w:csb0="00040000" w:csb1="00000000"/>
  </w:font>
  <w:font w:name="@宋体">
    <w:panose1 w:val="02010600030101010101"/>
    <w:charset w:val="86"/>
    <w:family w:val="auto"/>
    <w:pitch w:val="variable"/>
    <w:sig w:usb0="000002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variable"/>
    <w:sig w:usb0="00000287" w:usb1="080F0000" w:usb2="00000000" w:usb3="00000000" w:csb0="0004009F" w:csb1="DFD70000"/>
  </w:font>
  <w:font w:name="@仿宋">
    <w:panose1 w:val="02010609060101010101"/>
    <w:charset w:val="86"/>
    <w:family w:val="auto"/>
    <w:pitch w:val="fixed"/>
    <w:sig w:usb0="800002BF" w:usb1="38CF7CFA" w:usb2="00000016" w:usb3="00000000" w:csb0="00040001" w:csb1="00000000"/>
  </w:font>
  <w:font w:name="@华文中宋">
    <w:panose1 w:val="02010600040101010101"/>
    <w:charset w:val="86"/>
    <w:family w:val="auto"/>
    <w:pitch w:val="variable"/>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ED7E8">
    <w:pPr>
      <w:pStyle w:val="9"/>
      <w:jc w:val="center"/>
    </w:pPr>
    <w:r>
      <w:fldChar w:fldCharType="begin"/>
    </w:r>
    <w:r>
      <w:instrText xml:space="preserve">PAGE   \* MERGEFORMAT</w:instrText>
    </w:r>
    <w:r>
      <w:fldChar w:fldCharType="separate"/>
    </w:r>
    <w:r>
      <w:rPr>
        <w:lang w:val="zh-CN"/>
      </w:rPr>
      <w:t>7</w:t>
    </w:r>
    <w:r>
      <w:fldChar w:fldCharType="end"/>
    </w:r>
  </w:p>
  <w:p w14:paraId="4DE7E78E">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30D03"/>
    <w:multiLevelType w:val="singleLevel"/>
    <w:tmpl w:val="EEB30D03"/>
    <w:lvl w:ilvl="0" w:tentative="0">
      <w:start w:val="6"/>
      <w:numFmt w:val="decimal"/>
      <w:suff w:val="nothing"/>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9"/>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doNotUseIndentAsNumberingTabStop/>
    <w:useAltKinsokuLineBreakRules/>
    <w:underlineTabInNumList/>
    <w:compatSetting w:name="compatibilityMode" w:uri="http://schemas.microsoft.com/office/word" w:val="12"/>
  </w:compat>
  <w:docVars>
    <w:docVar w:name="commondata" w:val="eyJoZGlkIjoiYWZjZTMwNGM2NjVjYzhmMTUzNmQ5MmQzY2E0NmNlY2YifQ=="/>
  </w:docVars>
  <w:rsids>
    <w:rsidRoot w:val="00636FC5"/>
    <w:rsid w:val="00001C9C"/>
    <w:rsid w:val="00002121"/>
    <w:rsid w:val="00003D4E"/>
    <w:rsid w:val="0001430A"/>
    <w:rsid w:val="000173E8"/>
    <w:rsid w:val="000203B7"/>
    <w:rsid w:val="00021FC1"/>
    <w:rsid w:val="00024D73"/>
    <w:rsid w:val="00025BA5"/>
    <w:rsid w:val="00033419"/>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29CA"/>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67DAB"/>
    <w:rsid w:val="00184DC2"/>
    <w:rsid w:val="00195264"/>
    <w:rsid w:val="001A0041"/>
    <w:rsid w:val="001A0916"/>
    <w:rsid w:val="001C0311"/>
    <w:rsid w:val="001C1B81"/>
    <w:rsid w:val="001C2BE8"/>
    <w:rsid w:val="001C3ACE"/>
    <w:rsid w:val="001C7F2C"/>
    <w:rsid w:val="001D06C4"/>
    <w:rsid w:val="001D0957"/>
    <w:rsid w:val="001D7128"/>
    <w:rsid w:val="001E194A"/>
    <w:rsid w:val="001E486F"/>
    <w:rsid w:val="001F695E"/>
    <w:rsid w:val="001F7C13"/>
    <w:rsid w:val="001F7CF9"/>
    <w:rsid w:val="0020132D"/>
    <w:rsid w:val="002042E4"/>
    <w:rsid w:val="00210691"/>
    <w:rsid w:val="00211530"/>
    <w:rsid w:val="00213570"/>
    <w:rsid w:val="00217A11"/>
    <w:rsid w:val="002216A8"/>
    <w:rsid w:val="00226A9A"/>
    <w:rsid w:val="00226D8A"/>
    <w:rsid w:val="00226FD3"/>
    <w:rsid w:val="00227FEE"/>
    <w:rsid w:val="00230DF6"/>
    <w:rsid w:val="00233658"/>
    <w:rsid w:val="00233B76"/>
    <w:rsid w:val="002349D7"/>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2F0774"/>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1854"/>
    <w:rsid w:val="003925B2"/>
    <w:rsid w:val="00394B25"/>
    <w:rsid w:val="0039560A"/>
    <w:rsid w:val="003A21FE"/>
    <w:rsid w:val="003A5C65"/>
    <w:rsid w:val="003B0DE6"/>
    <w:rsid w:val="003B17F4"/>
    <w:rsid w:val="003B1D77"/>
    <w:rsid w:val="003B7D6F"/>
    <w:rsid w:val="003C3911"/>
    <w:rsid w:val="003D3463"/>
    <w:rsid w:val="003D3D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87F21"/>
    <w:rsid w:val="0049020D"/>
    <w:rsid w:val="004943B6"/>
    <w:rsid w:val="00494F67"/>
    <w:rsid w:val="00495DCD"/>
    <w:rsid w:val="004A0CC0"/>
    <w:rsid w:val="004A2295"/>
    <w:rsid w:val="004A3F56"/>
    <w:rsid w:val="004A6D81"/>
    <w:rsid w:val="004A7E24"/>
    <w:rsid w:val="004B7966"/>
    <w:rsid w:val="004B7B8C"/>
    <w:rsid w:val="004C5FBE"/>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4C0E"/>
    <w:rsid w:val="00597C60"/>
    <w:rsid w:val="005A0ED2"/>
    <w:rsid w:val="005A3C89"/>
    <w:rsid w:val="005A42A5"/>
    <w:rsid w:val="005B07C8"/>
    <w:rsid w:val="005B1473"/>
    <w:rsid w:val="005B4A6F"/>
    <w:rsid w:val="005B7CA6"/>
    <w:rsid w:val="005C1F9E"/>
    <w:rsid w:val="005E03A2"/>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224B9"/>
    <w:rsid w:val="0063154F"/>
    <w:rsid w:val="00632696"/>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6F0ABD"/>
    <w:rsid w:val="00701DA7"/>
    <w:rsid w:val="00702811"/>
    <w:rsid w:val="00706BC0"/>
    <w:rsid w:val="00712208"/>
    <w:rsid w:val="007138B0"/>
    <w:rsid w:val="00713D54"/>
    <w:rsid w:val="00715399"/>
    <w:rsid w:val="00720C80"/>
    <w:rsid w:val="00722F17"/>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6317"/>
    <w:rsid w:val="00807629"/>
    <w:rsid w:val="008125DA"/>
    <w:rsid w:val="00817229"/>
    <w:rsid w:val="00820DFB"/>
    <w:rsid w:val="00821F58"/>
    <w:rsid w:val="008263E7"/>
    <w:rsid w:val="008306CD"/>
    <w:rsid w:val="00840427"/>
    <w:rsid w:val="008449F5"/>
    <w:rsid w:val="0084546C"/>
    <w:rsid w:val="008471EC"/>
    <w:rsid w:val="008519FE"/>
    <w:rsid w:val="00853B06"/>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047CF"/>
    <w:rsid w:val="0091113A"/>
    <w:rsid w:val="00915F25"/>
    <w:rsid w:val="009166F0"/>
    <w:rsid w:val="00916E3B"/>
    <w:rsid w:val="00920385"/>
    <w:rsid w:val="009211BD"/>
    <w:rsid w:val="0092160B"/>
    <w:rsid w:val="0092627B"/>
    <w:rsid w:val="00933168"/>
    <w:rsid w:val="00934199"/>
    <w:rsid w:val="009358E1"/>
    <w:rsid w:val="00936A6B"/>
    <w:rsid w:val="00953792"/>
    <w:rsid w:val="0095646B"/>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020A"/>
    <w:rsid w:val="009D5C90"/>
    <w:rsid w:val="009E1267"/>
    <w:rsid w:val="009E2A45"/>
    <w:rsid w:val="009F1169"/>
    <w:rsid w:val="009F39E8"/>
    <w:rsid w:val="009F4840"/>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76E79"/>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E606D"/>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2483"/>
    <w:rsid w:val="00B56043"/>
    <w:rsid w:val="00B63425"/>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363D"/>
    <w:rsid w:val="00C0419D"/>
    <w:rsid w:val="00C05123"/>
    <w:rsid w:val="00C06C73"/>
    <w:rsid w:val="00C11A74"/>
    <w:rsid w:val="00C12971"/>
    <w:rsid w:val="00C15323"/>
    <w:rsid w:val="00C3286F"/>
    <w:rsid w:val="00C3299F"/>
    <w:rsid w:val="00C33013"/>
    <w:rsid w:val="00C43949"/>
    <w:rsid w:val="00C459D1"/>
    <w:rsid w:val="00C505BD"/>
    <w:rsid w:val="00C52C74"/>
    <w:rsid w:val="00C561D9"/>
    <w:rsid w:val="00C665D4"/>
    <w:rsid w:val="00C7245E"/>
    <w:rsid w:val="00C76C16"/>
    <w:rsid w:val="00C77D84"/>
    <w:rsid w:val="00C815C4"/>
    <w:rsid w:val="00C84B6C"/>
    <w:rsid w:val="00C93AC5"/>
    <w:rsid w:val="00CA0F6E"/>
    <w:rsid w:val="00CA1614"/>
    <w:rsid w:val="00CA54AC"/>
    <w:rsid w:val="00CA746E"/>
    <w:rsid w:val="00CA7B78"/>
    <w:rsid w:val="00CA7FE6"/>
    <w:rsid w:val="00CB117C"/>
    <w:rsid w:val="00CC297A"/>
    <w:rsid w:val="00CC3B0C"/>
    <w:rsid w:val="00CC7AFD"/>
    <w:rsid w:val="00CD28EA"/>
    <w:rsid w:val="00CD687E"/>
    <w:rsid w:val="00CD6BB6"/>
    <w:rsid w:val="00CD7A66"/>
    <w:rsid w:val="00CD7D7A"/>
    <w:rsid w:val="00CE3455"/>
    <w:rsid w:val="00CE3B64"/>
    <w:rsid w:val="00CE7C77"/>
    <w:rsid w:val="00CF247D"/>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391E"/>
    <w:rsid w:val="00DD4471"/>
    <w:rsid w:val="00DE552D"/>
    <w:rsid w:val="00DE5BA8"/>
    <w:rsid w:val="00DE7291"/>
    <w:rsid w:val="00DE73B5"/>
    <w:rsid w:val="00DE76C1"/>
    <w:rsid w:val="00DE7809"/>
    <w:rsid w:val="00DF4B68"/>
    <w:rsid w:val="00E05868"/>
    <w:rsid w:val="00E0705F"/>
    <w:rsid w:val="00E07594"/>
    <w:rsid w:val="00E11D5F"/>
    <w:rsid w:val="00E15C5B"/>
    <w:rsid w:val="00E23F76"/>
    <w:rsid w:val="00E275CE"/>
    <w:rsid w:val="00E41C96"/>
    <w:rsid w:val="00E42650"/>
    <w:rsid w:val="00E4682B"/>
    <w:rsid w:val="00E47699"/>
    <w:rsid w:val="00E611C8"/>
    <w:rsid w:val="00E628B1"/>
    <w:rsid w:val="00E71D53"/>
    <w:rsid w:val="00E722BD"/>
    <w:rsid w:val="00E7464E"/>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1F19"/>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0FE135B"/>
    <w:rsid w:val="3D25D500"/>
    <w:rsid w:val="3EEF98DD"/>
    <w:rsid w:val="3F9FD22F"/>
    <w:rsid w:val="470749E1"/>
    <w:rsid w:val="4D945B7E"/>
    <w:rsid w:val="4F7B247E"/>
    <w:rsid w:val="57D94567"/>
    <w:rsid w:val="5FB81DCD"/>
    <w:rsid w:val="63BD8BA4"/>
    <w:rsid w:val="6BFF0146"/>
    <w:rsid w:val="6EFD90F7"/>
    <w:rsid w:val="7329008F"/>
    <w:rsid w:val="77C6AB6B"/>
    <w:rsid w:val="77FF4F98"/>
    <w:rsid w:val="7BFB120F"/>
    <w:rsid w:val="7F7F1836"/>
    <w:rsid w:val="7FDE9EE2"/>
    <w:rsid w:val="93EEA786"/>
    <w:rsid w:val="9CFB7DEA"/>
    <w:rsid w:val="ADAF1DB9"/>
    <w:rsid w:val="D5FE192F"/>
    <w:rsid w:val="DDDB266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2"/>
    <w:basedOn w:val="1"/>
    <w:next w:val="1"/>
    <w:link w:val="33"/>
    <w:semiHidden/>
    <w:unhideWhenUsed/>
    <w:qFormat/>
    <w:locked/>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5">
    <w:name w:val="caption"/>
    <w:basedOn w:val="1"/>
    <w:next w:val="1"/>
    <w:autoRedefine/>
    <w:qFormat/>
    <w:uiPriority w:val="99"/>
    <w:pPr>
      <w:suppressLineNumbers/>
      <w:suppressAutoHyphens/>
      <w:spacing w:before="120" w:after="120"/>
    </w:pPr>
    <w:rPr>
      <w:rFonts w:cs="Mangal"/>
      <w:i/>
      <w:iCs/>
      <w:kern w:val="21"/>
      <w:sz w:val="24"/>
      <w:lang w:eastAsia="ar-SA"/>
    </w:rPr>
  </w:style>
  <w:style w:type="paragraph" w:styleId="6">
    <w:name w:val="Body Text"/>
    <w:basedOn w:val="1"/>
    <w:link w:val="27"/>
    <w:autoRedefine/>
    <w:qFormat/>
    <w:uiPriority w:val="0"/>
    <w:pPr>
      <w:spacing w:after="120"/>
    </w:pPr>
  </w:style>
  <w:style w:type="paragraph" w:styleId="7">
    <w:name w:val="Date"/>
    <w:basedOn w:val="1"/>
    <w:next w:val="1"/>
    <w:link w:val="26"/>
    <w:semiHidden/>
    <w:unhideWhenUsed/>
    <w:qFormat/>
    <w:uiPriority w:val="99"/>
    <w:pPr>
      <w:ind w:left="100" w:leftChars="2500"/>
    </w:pPr>
  </w:style>
  <w:style w:type="paragraph" w:styleId="8">
    <w:name w:val="Balloon Text"/>
    <w:basedOn w:val="1"/>
    <w:link w:val="23"/>
    <w:semiHidden/>
    <w:unhideWhenUsed/>
    <w:qFormat/>
    <w:uiPriority w:val="99"/>
    <w:rPr>
      <w:sz w:val="18"/>
      <w:szCs w:val="18"/>
    </w:rPr>
  </w:style>
  <w:style w:type="paragraph" w:styleId="9">
    <w:name w:val="footer"/>
    <w:basedOn w:val="1"/>
    <w:link w:val="22"/>
    <w:autoRedefine/>
    <w:unhideWhenUsed/>
    <w:qFormat/>
    <w:uiPriority w:val="99"/>
    <w:pPr>
      <w:tabs>
        <w:tab w:val="center" w:pos="4153"/>
        <w:tab w:val="right" w:pos="8306"/>
      </w:tabs>
      <w:snapToGrid w:val="0"/>
      <w:jc w:val="left"/>
    </w:pPr>
    <w:rPr>
      <w:sz w:val="18"/>
      <w:szCs w:val="18"/>
    </w:rPr>
  </w:style>
  <w:style w:type="paragraph" w:styleId="10">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3">
    <w:name w:val="Table Grid"/>
    <w:basedOn w:val="12"/>
    <w:autoRedefine/>
    <w:qFormat/>
    <w:uiPriority w:val="5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5">
    <w:name w:val="Strong"/>
    <w:qFormat/>
    <w:uiPriority w:val="99"/>
    <w:rPr>
      <w:rFonts w:cs="Times New Roman"/>
      <w:b/>
    </w:rPr>
  </w:style>
  <w:style w:type="character" w:customStyle="1" w:styleId="16">
    <w:name w:val="标题 1 Char"/>
    <w:link w:val="2"/>
    <w:autoRedefine/>
    <w:qFormat/>
    <w:locked/>
    <w:uiPriority w:val="99"/>
    <w:rPr>
      <w:rFonts w:cs="Times New Roman"/>
      <w:b/>
      <w:kern w:val="1"/>
      <w:sz w:val="44"/>
      <w:lang w:eastAsia="ar-SA" w:bidi="ar-SA"/>
    </w:rPr>
  </w:style>
  <w:style w:type="character" w:customStyle="1" w:styleId="17">
    <w:name w:val="标题 3 Char"/>
    <w:link w:val="4"/>
    <w:autoRedefine/>
    <w:qFormat/>
    <w:locked/>
    <w:uiPriority w:val="99"/>
    <w:rPr>
      <w:rFonts w:cs="Times New Roman"/>
      <w:b/>
      <w:kern w:val="21"/>
      <w:sz w:val="32"/>
      <w:lang w:eastAsia="ar-SA" w:bidi="ar-SA"/>
    </w:rPr>
  </w:style>
  <w:style w:type="paragraph" w:styleId="18">
    <w:name w:val="List Paragraph"/>
    <w:basedOn w:val="1"/>
    <w:autoRedefine/>
    <w:qFormat/>
    <w:uiPriority w:val="99"/>
    <w:pPr>
      <w:suppressAutoHyphens/>
      <w:ind w:firstLine="420" w:firstLineChars="200"/>
    </w:pPr>
    <w:rPr>
      <w:kern w:val="21"/>
      <w:lang w:eastAsia="ar-SA"/>
    </w:rPr>
  </w:style>
  <w:style w:type="paragraph" w:customStyle="1" w:styleId="19">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qFormat/>
    <w:locked/>
    <w:uiPriority w:val="0"/>
    <w:rPr>
      <w:rFonts w:ascii="宋体" w:cs="Times New Roman"/>
      <w:sz w:val="21"/>
      <w:lang w:val="en-US" w:eastAsia="zh-CN" w:bidi="ar-SA"/>
    </w:rPr>
  </w:style>
  <w:style w:type="character" w:customStyle="1" w:styleId="21">
    <w:name w:val="页眉 Char"/>
    <w:link w:val="10"/>
    <w:autoRedefine/>
    <w:qFormat/>
    <w:uiPriority w:val="99"/>
    <w:rPr>
      <w:sz w:val="18"/>
      <w:szCs w:val="18"/>
    </w:rPr>
  </w:style>
  <w:style w:type="character" w:customStyle="1" w:styleId="22">
    <w:name w:val="页脚 Char"/>
    <w:link w:val="9"/>
    <w:autoRedefine/>
    <w:qFormat/>
    <w:uiPriority w:val="99"/>
    <w:rPr>
      <w:sz w:val="18"/>
      <w:szCs w:val="18"/>
    </w:rPr>
  </w:style>
  <w:style w:type="character" w:customStyle="1" w:styleId="23">
    <w:name w:val="批注框文本 Char"/>
    <w:link w:val="8"/>
    <w:autoRedefine/>
    <w:semiHidden/>
    <w:qFormat/>
    <w:uiPriority w:val="99"/>
    <w:rPr>
      <w:kern w:val="2"/>
      <w:sz w:val="18"/>
      <w:szCs w:val="18"/>
    </w:rPr>
  </w:style>
  <w:style w:type="table" w:customStyle="1" w:styleId="24">
    <w:name w:val="浅色底纹1"/>
    <w:basedOn w:val="12"/>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5">
    <w:name w:val="浅色底纹2"/>
    <w:basedOn w:val="1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6">
    <w:name w:val="日期 Char"/>
    <w:basedOn w:val="14"/>
    <w:link w:val="7"/>
    <w:autoRedefine/>
    <w:semiHidden/>
    <w:qFormat/>
    <w:uiPriority w:val="99"/>
    <w:rPr>
      <w:kern w:val="2"/>
      <w:sz w:val="21"/>
      <w:szCs w:val="24"/>
    </w:rPr>
  </w:style>
  <w:style w:type="character" w:customStyle="1" w:styleId="27">
    <w:name w:val="正文文本 Char"/>
    <w:basedOn w:val="14"/>
    <w:link w:val="6"/>
    <w:qFormat/>
    <w:uiPriority w:val="0"/>
    <w:rPr>
      <w:kern w:val="2"/>
      <w:sz w:val="21"/>
      <w:szCs w:val="24"/>
    </w:rPr>
  </w:style>
  <w:style w:type="paragraph" w:customStyle="1" w:styleId="28">
    <w:name w:val="标准文件_段"/>
    <w:link w:val="2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autoRedefine/>
    <w:qFormat/>
    <w:uiPriority w:val="0"/>
    <w:rPr>
      <w:rFonts w:ascii="宋体"/>
      <w:sz w:val="21"/>
    </w:rPr>
  </w:style>
  <w:style w:type="paragraph" w:customStyle="1" w:styleId="30">
    <w:name w:val="一级条标题"/>
    <w:next w:val="19"/>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1">
    <w:name w:val="二级条标题"/>
    <w:basedOn w:val="30"/>
    <w:next w:val="19"/>
    <w:autoRedefine/>
    <w:qFormat/>
    <w:uiPriority w:val="0"/>
    <w:pPr>
      <w:numPr>
        <w:ilvl w:val="2"/>
      </w:numPr>
      <w:spacing w:before="50" w:after="50"/>
      <w:outlineLvl w:val="3"/>
    </w:pPr>
  </w:style>
  <w:style w:type="paragraph" w:customStyle="1" w:styleId="32">
    <w:name w:val="附录表标题"/>
    <w:basedOn w:val="1"/>
    <w:next w:val="19"/>
    <w:autoRedefine/>
    <w:qFormat/>
    <w:uiPriority w:val="0"/>
    <w:pPr>
      <w:numPr>
        <w:ilvl w:val="1"/>
        <w:numId w:val="2"/>
      </w:numPr>
      <w:tabs>
        <w:tab w:val="left" w:pos="180"/>
      </w:tabs>
      <w:spacing w:beforeLines="50" w:afterLines="50"/>
      <w:ind w:left="0" w:firstLine="0"/>
      <w:jc w:val="center"/>
    </w:pPr>
    <w:rPr>
      <w:rFonts w:ascii="黑体" w:eastAsia="黑体"/>
      <w:szCs w:val="21"/>
    </w:rPr>
  </w:style>
  <w:style w:type="character" w:customStyle="1" w:styleId="33">
    <w:name w:val="标题 2 Char"/>
    <w:basedOn w:val="14"/>
    <w:link w:val="3"/>
    <w:semiHidden/>
    <w:qFormat/>
    <w:uiPriority w:val="0"/>
    <w:rPr>
      <w:rFonts w:asciiTheme="majorHAnsi" w:hAnsiTheme="majorHAnsi" w:eastAsiaTheme="majorEastAsia" w:cstheme="majorBidi"/>
      <w:b/>
      <w:bCs/>
      <w:kern w:val="2"/>
      <w:sz w:val="32"/>
      <w:szCs w:val="32"/>
    </w:rPr>
  </w:style>
  <w:style w:type="paragraph" w:customStyle="1" w:styleId="34">
    <w:name w:val="Char1 Char Char Char"/>
    <w:basedOn w:val="1"/>
    <w:autoRedefine/>
    <w:qFormat/>
    <w:uiPriority w:val="0"/>
    <w:pPr>
      <w:tabs>
        <w:tab w:val="left" w:pos="360"/>
      </w:tabs>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8</Pages>
  <Words>4248</Words>
  <Characters>4564</Characters>
  <Lines>4</Lines>
  <Paragraphs>9</Paragraphs>
  <TotalTime>23</TotalTime>
  <ScaleCrop>false</ScaleCrop>
  <LinksUpToDate>false</LinksUpToDate>
  <CharactersWithSpaces>4630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2024-01-23T08:59:00Z</dcterms:created>
  <dc:creator>lenovo</dc:creator>
  <cp:lastModifiedBy>lenovo</cp:lastModifiedBy>
  <cp:lastPrinted>2017-01-18T07:31:00Z</cp:lastPrinted>
  <dcterms:modified xsi:type="dcterms:W3CDTF">2024-10-29T07:37:36Z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16DEC057891D4C0DB8764FBC7996C205_13</vt:lpwstr>
  </property>
</Properties>
</file>