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4C1DC">
      <w:pPr>
        <w:jc w:val="center"/>
        <w:rPr>
          <w:rFonts w:ascii="宋体"/>
          <w:b/>
          <w:sz w:val="32"/>
          <w:szCs w:val="32"/>
        </w:rPr>
      </w:pPr>
    </w:p>
    <w:p w14:paraId="24D5A84D">
      <w:pPr>
        <w:jc w:val="center"/>
        <w:rPr>
          <w:rFonts w:ascii="宋体"/>
          <w:b/>
          <w:sz w:val="32"/>
          <w:szCs w:val="32"/>
        </w:rPr>
      </w:pPr>
    </w:p>
    <w:p w14:paraId="663B2F5A">
      <w:pPr>
        <w:jc w:val="center"/>
        <w:rPr>
          <w:rFonts w:ascii="宋体"/>
          <w:b/>
          <w:sz w:val="32"/>
          <w:szCs w:val="32"/>
        </w:rPr>
      </w:pPr>
    </w:p>
    <w:p w14:paraId="16345A87">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14:paraId="7A0D8436">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《梨木虱综合防治技术规程》</w:t>
      </w:r>
    </w:p>
    <w:p w14:paraId="4E6EC933">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14:paraId="700067F4">
      <w:pPr>
        <w:ind w:firstLine="643" w:firstLineChars="200"/>
        <w:rPr>
          <w:rFonts w:ascii="仿宋" w:hAnsi="仿宋" w:eastAsia="仿宋"/>
          <w:b/>
          <w:sz w:val="32"/>
          <w:szCs w:val="32"/>
        </w:rPr>
      </w:pPr>
    </w:p>
    <w:p w14:paraId="2967C756">
      <w:pPr>
        <w:ind w:firstLine="643" w:firstLineChars="200"/>
        <w:rPr>
          <w:rFonts w:ascii="仿宋" w:hAnsi="仿宋" w:eastAsia="仿宋"/>
          <w:b/>
          <w:sz w:val="32"/>
          <w:szCs w:val="32"/>
        </w:rPr>
      </w:pPr>
    </w:p>
    <w:p w14:paraId="0173C98F">
      <w:pPr>
        <w:ind w:firstLine="643" w:firstLineChars="200"/>
        <w:rPr>
          <w:rFonts w:ascii="仿宋" w:hAnsi="仿宋" w:eastAsia="仿宋"/>
          <w:b/>
          <w:sz w:val="32"/>
          <w:szCs w:val="32"/>
        </w:rPr>
      </w:pPr>
    </w:p>
    <w:p w14:paraId="628A2264">
      <w:pPr>
        <w:ind w:firstLine="643" w:firstLineChars="200"/>
        <w:rPr>
          <w:rFonts w:ascii="仿宋" w:hAnsi="仿宋" w:eastAsia="仿宋"/>
          <w:b/>
          <w:sz w:val="32"/>
          <w:szCs w:val="32"/>
        </w:rPr>
      </w:pPr>
    </w:p>
    <w:p w14:paraId="537FDC7E">
      <w:pPr>
        <w:ind w:firstLine="643" w:firstLineChars="200"/>
        <w:rPr>
          <w:rFonts w:ascii="仿宋" w:hAnsi="仿宋" w:eastAsia="仿宋"/>
          <w:b/>
          <w:sz w:val="32"/>
          <w:szCs w:val="32"/>
        </w:rPr>
      </w:pPr>
    </w:p>
    <w:p w14:paraId="5838A6D6">
      <w:pPr>
        <w:ind w:firstLine="643" w:firstLineChars="200"/>
        <w:rPr>
          <w:rFonts w:ascii="仿宋" w:hAnsi="仿宋" w:eastAsia="仿宋"/>
          <w:b/>
          <w:sz w:val="32"/>
          <w:szCs w:val="32"/>
        </w:rPr>
      </w:pPr>
    </w:p>
    <w:p w14:paraId="4AAB6D2D">
      <w:pPr>
        <w:ind w:firstLine="643" w:firstLineChars="200"/>
        <w:rPr>
          <w:rFonts w:ascii="仿宋" w:hAnsi="仿宋" w:eastAsia="仿宋"/>
          <w:b/>
          <w:sz w:val="32"/>
          <w:szCs w:val="32"/>
        </w:rPr>
      </w:pPr>
    </w:p>
    <w:p w14:paraId="7A563DB2">
      <w:pPr>
        <w:ind w:firstLine="643" w:firstLineChars="200"/>
        <w:jc w:val="center"/>
        <w:rPr>
          <w:rFonts w:ascii="仿宋" w:hAnsi="仿宋" w:eastAsia="仿宋"/>
          <w:b/>
          <w:sz w:val="32"/>
          <w:szCs w:val="32"/>
        </w:rPr>
      </w:pPr>
    </w:p>
    <w:p w14:paraId="7D74BFA0">
      <w:pPr>
        <w:ind w:firstLine="643" w:firstLineChars="200"/>
        <w:jc w:val="center"/>
        <w:rPr>
          <w:rFonts w:ascii="宋体"/>
          <w:b/>
          <w:sz w:val="32"/>
          <w:szCs w:val="32"/>
        </w:rPr>
      </w:pPr>
    </w:p>
    <w:p w14:paraId="4F5262B1">
      <w:pPr>
        <w:ind w:firstLine="643" w:firstLineChars="200"/>
        <w:jc w:val="center"/>
        <w:rPr>
          <w:rFonts w:ascii="宋体"/>
          <w:b/>
          <w:sz w:val="32"/>
          <w:szCs w:val="32"/>
        </w:rPr>
      </w:pPr>
    </w:p>
    <w:p w14:paraId="1E5412A8">
      <w:pPr>
        <w:ind w:firstLine="643" w:firstLineChars="200"/>
        <w:jc w:val="center"/>
        <w:rPr>
          <w:rFonts w:ascii="宋体"/>
          <w:b/>
          <w:sz w:val="32"/>
          <w:szCs w:val="32"/>
        </w:rPr>
      </w:pPr>
    </w:p>
    <w:p w14:paraId="04DB977B">
      <w:pPr>
        <w:spacing w:line="360" w:lineRule="auto"/>
        <w:jc w:val="center"/>
        <w:rPr>
          <w:rFonts w:ascii="宋体" w:hAnsi="宋体"/>
          <w:b/>
          <w:kern w:val="22"/>
          <w:sz w:val="10"/>
          <w:szCs w:val="10"/>
        </w:rPr>
      </w:pPr>
      <w:r>
        <w:rPr>
          <w:rFonts w:hint="eastAsia" w:ascii="宋体" w:hAnsi="宋体"/>
          <w:b/>
          <w:kern w:val="22"/>
          <w:sz w:val="32"/>
          <w:szCs w:val="32"/>
        </w:rPr>
        <w:t>编制单位：山西农业大学</w:t>
      </w:r>
    </w:p>
    <w:p w14:paraId="0C837038">
      <w:pPr>
        <w:jc w:val="center"/>
        <w:rPr>
          <w:rFonts w:ascii="宋体" w:hAnsi="宋体"/>
          <w:b/>
          <w:sz w:val="32"/>
          <w:szCs w:val="32"/>
        </w:rPr>
      </w:pPr>
      <w:r>
        <w:rPr>
          <w:rFonts w:hint="eastAsia" w:ascii="宋体" w:hAnsi="宋体"/>
          <w:b/>
          <w:sz w:val="32"/>
          <w:szCs w:val="32"/>
        </w:rPr>
        <w:t xml:space="preserve"> 二〇二四年一月</w:t>
      </w:r>
    </w:p>
    <w:p w14:paraId="03C4860B">
      <w:pPr>
        <w:jc w:val="center"/>
        <w:rPr>
          <w:rFonts w:ascii="宋体" w:hAnsi="宋体"/>
          <w:b/>
          <w:sz w:val="32"/>
          <w:szCs w:val="32"/>
        </w:rPr>
      </w:pPr>
    </w:p>
    <w:p w14:paraId="0BA661FD">
      <w:pPr>
        <w:jc w:val="center"/>
        <w:rPr>
          <w:rFonts w:ascii="宋体" w:hAnsi="宋体"/>
          <w:b/>
          <w:sz w:val="32"/>
          <w:szCs w:val="32"/>
        </w:rPr>
      </w:pPr>
    </w:p>
    <w:p w14:paraId="43935407">
      <w:pPr>
        <w:jc w:val="center"/>
        <w:rPr>
          <w:rFonts w:ascii="宋体" w:hAnsi="宋体"/>
          <w:b/>
          <w:sz w:val="32"/>
          <w:szCs w:val="32"/>
        </w:rPr>
      </w:pPr>
    </w:p>
    <w:p w14:paraId="21D1E1DF">
      <w:pPr>
        <w:spacing w:line="520" w:lineRule="exact"/>
        <w:jc w:val="center"/>
        <w:rPr>
          <w:rFonts w:ascii="宋体"/>
          <w:b/>
          <w:sz w:val="30"/>
          <w:szCs w:val="30"/>
        </w:rPr>
      </w:pPr>
      <w:r>
        <w:rPr>
          <w:rFonts w:hint="eastAsia" w:ascii="宋体" w:hAnsi="宋体"/>
          <w:b/>
          <w:sz w:val="30"/>
          <w:szCs w:val="30"/>
        </w:rPr>
        <w:t>山西省地方标准</w:t>
      </w:r>
    </w:p>
    <w:p w14:paraId="512B8F16">
      <w:pPr>
        <w:spacing w:line="520" w:lineRule="exact"/>
        <w:jc w:val="center"/>
        <w:rPr>
          <w:rFonts w:ascii="宋体"/>
          <w:b/>
          <w:sz w:val="30"/>
          <w:szCs w:val="30"/>
        </w:rPr>
      </w:pPr>
      <w:r>
        <w:rPr>
          <w:rFonts w:hint="eastAsia" w:ascii="宋体" w:hAnsi="宋体"/>
          <w:b/>
          <w:sz w:val="30"/>
          <w:szCs w:val="30"/>
        </w:rPr>
        <w:t>《梨木虱综合防治技术规程》</w:t>
      </w:r>
    </w:p>
    <w:p w14:paraId="7BC722ED">
      <w:pPr>
        <w:spacing w:line="520" w:lineRule="exact"/>
        <w:jc w:val="center"/>
        <w:rPr>
          <w:rFonts w:ascii="宋体" w:hAnsi="宋体"/>
          <w:b/>
          <w:sz w:val="30"/>
          <w:szCs w:val="30"/>
        </w:rPr>
      </w:pPr>
      <w:r>
        <w:rPr>
          <w:rFonts w:hint="eastAsia" w:ascii="宋体" w:hAnsi="宋体"/>
          <w:b/>
          <w:sz w:val="30"/>
          <w:szCs w:val="30"/>
        </w:rPr>
        <w:t>编制说明</w:t>
      </w:r>
    </w:p>
    <w:p w14:paraId="7BE11B39">
      <w:pPr>
        <w:spacing w:line="520" w:lineRule="exact"/>
        <w:jc w:val="center"/>
        <w:rPr>
          <w:rFonts w:ascii="宋体" w:hAnsi="宋体"/>
          <w:b/>
          <w:sz w:val="30"/>
          <w:szCs w:val="30"/>
        </w:rPr>
      </w:pPr>
    </w:p>
    <w:p w14:paraId="38066B39">
      <w:pPr>
        <w:spacing w:line="360" w:lineRule="auto"/>
        <w:ind w:firstLine="480" w:firstLineChars="200"/>
        <w:outlineLvl w:val="0"/>
        <w:rPr>
          <w:rFonts w:ascii="黑体" w:eastAsia="黑体"/>
          <w:sz w:val="24"/>
        </w:rPr>
      </w:pPr>
      <w:r>
        <w:rPr>
          <w:rFonts w:hint="eastAsia" w:ascii="黑体" w:eastAsia="黑体"/>
          <w:sz w:val="24"/>
        </w:rPr>
        <w:t>一、工作简况</w:t>
      </w:r>
    </w:p>
    <w:p w14:paraId="67B61DFC">
      <w:pPr>
        <w:spacing w:line="360" w:lineRule="auto"/>
        <w:ind w:left="465"/>
        <w:outlineLvl w:val="1"/>
        <w:rPr>
          <w:rFonts w:ascii="楷体_GB2312" w:eastAsia="楷体_GB2312"/>
          <w:sz w:val="24"/>
        </w:rPr>
      </w:pPr>
      <w:r>
        <w:rPr>
          <w:rFonts w:hint="eastAsia" w:ascii="楷体_GB2312" w:eastAsia="楷体_GB2312"/>
          <w:sz w:val="24"/>
        </w:rPr>
        <w:t>1任务来源</w:t>
      </w:r>
    </w:p>
    <w:p w14:paraId="6E461DAF">
      <w:pPr>
        <w:spacing w:line="360" w:lineRule="auto"/>
        <w:ind w:firstLine="480" w:firstLineChars="200"/>
        <w:jc w:val="left"/>
        <w:outlineLvl w:val="1"/>
        <w:rPr>
          <w:rFonts w:hint="eastAsia" w:ascii="仿宋_GB2312" w:hAnsi="宋体" w:eastAsia="仿宋_GB2312"/>
          <w:sz w:val="24"/>
        </w:rPr>
      </w:pPr>
      <w:r>
        <w:rPr>
          <w:rFonts w:hint="eastAsia" w:ascii="仿宋_GB2312" w:hAnsi="宋体" w:eastAsia="仿宋_GB2312"/>
          <w:sz w:val="24"/>
        </w:rPr>
        <w:t>按照山西省市场监督管理局关于2023年度地方标准复审结论的公告（2024年第4号），《梨木虱综合防治技术规程》DB14/T 79</w:t>
      </w:r>
      <w:r>
        <w:rPr>
          <w:rFonts w:hint="eastAsia" w:ascii="仿宋_GB2312" w:hAnsi="宋体" w:eastAsia="仿宋_GB2312"/>
          <w:sz w:val="24"/>
          <w:lang w:val="en-US" w:eastAsia="zh-CN"/>
        </w:rPr>
        <w:t>8</w:t>
      </w:r>
      <w:r>
        <w:rPr>
          <w:rFonts w:hint="eastAsia" w:ascii="仿宋_GB2312" w:hAnsi="宋体" w:eastAsia="仿宋_GB2312"/>
          <w:sz w:val="24"/>
        </w:rPr>
        <w:t>-2013被列入山西省地方标准修订计划，本标准由山西省农业标准化技术委员会（SXS/TC19）归口。</w:t>
      </w:r>
    </w:p>
    <w:p w14:paraId="20509BDF">
      <w:pPr>
        <w:spacing w:line="360" w:lineRule="auto"/>
        <w:ind w:left="465"/>
        <w:outlineLvl w:val="1"/>
        <w:rPr>
          <w:rFonts w:ascii="楷体_GB2312" w:eastAsia="楷体_GB2312"/>
          <w:sz w:val="24"/>
        </w:rPr>
      </w:pPr>
      <w:bookmarkStart w:id="0" w:name="_GoBack"/>
      <w:bookmarkEnd w:id="0"/>
      <w:r>
        <w:rPr>
          <w:rFonts w:hint="eastAsia" w:ascii="楷体_GB2312" w:eastAsia="楷体_GB2312"/>
          <w:sz w:val="24"/>
        </w:rPr>
        <w:t>2 起草</w:t>
      </w:r>
      <w:r>
        <w:rPr>
          <w:rFonts w:ascii="楷体_GB2312" w:eastAsia="楷体_GB2312"/>
          <w:sz w:val="24"/>
        </w:rPr>
        <w:t>单位和主要起草人</w:t>
      </w:r>
    </w:p>
    <w:p w14:paraId="7D3D4CF2">
      <w:pPr>
        <w:spacing w:line="360" w:lineRule="auto"/>
        <w:ind w:firstLine="480" w:firstLineChars="200"/>
        <w:jc w:val="left"/>
        <w:outlineLvl w:val="1"/>
        <w:rPr>
          <w:rFonts w:ascii="仿宋_GB2312" w:hAnsi="宋体" w:eastAsia="仿宋_GB2312"/>
          <w:sz w:val="24"/>
        </w:rPr>
      </w:pPr>
      <w:r>
        <w:rPr>
          <w:rFonts w:ascii="仿宋_GB2312" w:hAnsi="宋体" w:eastAsia="仿宋_GB2312"/>
          <w:sz w:val="24"/>
        </w:rPr>
        <w:t>起草任务由</w:t>
      </w:r>
      <w:r>
        <w:rPr>
          <w:rFonts w:hint="eastAsia" w:ascii="仿宋_GB2312" w:hAnsi="宋体" w:eastAsia="仿宋_GB2312"/>
          <w:sz w:val="24"/>
        </w:rPr>
        <w:t>山西农业大学（单位）承担</w:t>
      </w:r>
      <w:r>
        <w:rPr>
          <w:rFonts w:ascii="仿宋_GB2312" w:hAnsi="宋体" w:eastAsia="仿宋_GB2312"/>
          <w:sz w:val="24"/>
        </w:rPr>
        <w:t>。</w:t>
      </w:r>
    </w:p>
    <w:p w14:paraId="4F1FE089">
      <w:pPr>
        <w:spacing w:line="360" w:lineRule="auto"/>
        <w:ind w:firstLine="480" w:firstLineChars="200"/>
        <w:jc w:val="center"/>
        <w:outlineLvl w:val="1"/>
        <w:rPr>
          <w:rFonts w:ascii="仿宋_GB2312" w:hAnsi="宋体" w:eastAsia="仿宋_GB2312"/>
          <w:sz w:val="24"/>
        </w:rPr>
      </w:pPr>
      <w:r>
        <w:rPr>
          <w:rFonts w:ascii="仿宋_GB2312" w:hAnsi="宋体" w:eastAsia="仿宋_GB2312"/>
          <w:sz w:val="24"/>
        </w:rPr>
        <w:t>主要起草人信息</w:t>
      </w:r>
    </w:p>
    <w:tbl>
      <w:tblPr>
        <w:tblStyle w:val="14"/>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425"/>
        <w:gridCol w:w="993"/>
        <w:gridCol w:w="1417"/>
        <w:gridCol w:w="5019"/>
      </w:tblGrid>
      <w:tr w14:paraId="03190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E52C757">
            <w:pPr>
              <w:rPr>
                <w:rFonts w:ascii="仿宋" w:hAnsi="仿宋" w:eastAsia="仿宋" w:cs="Courier New"/>
                <w:sz w:val="15"/>
                <w:szCs w:val="15"/>
              </w:rPr>
            </w:pPr>
            <w:r>
              <w:rPr>
                <w:rFonts w:hint="eastAsia" w:ascii="仿宋" w:hAnsi="仿宋" w:eastAsia="仿宋" w:cs="Courier New"/>
                <w:sz w:val="15"/>
                <w:szCs w:val="15"/>
              </w:rPr>
              <w:t>姓名</w:t>
            </w:r>
          </w:p>
        </w:tc>
        <w:tc>
          <w:tcPr>
            <w:tcW w:w="425" w:type="dxa"/>
            <w:vAlign w:val="center"/>
          </w:tcPr>
          <w:p w14:paraId="055E0000">
            <w:pPr>
              <w:rPr>
                <w:rFonts w:ascii="仿宋" w:hAnsi="仿宋" w:eastAsia="仿宋" w:cs="Courier New"/>
                <w:sz w:val="15"/>
                <w:szCs w:val="15"/>
              </w:rPr>
            </w:pPr>
            <w:r>
              <w:rPr>
                <w:rFonts w:hint="eastAsia" w:ascii="仿宋" w:hAnsi="仿宋" w:eastAsia="仿宋" w:cs="Courier New"/>
                <w:sz w:val="15"/>
                <w:szCs w:val="15"/>
              </w:rPr>
              <w:t>性别</w:t>
            </w:r>
          </w:p>
        </w:tc>
        <w:tc>
          <w:tcPr>
            <w:tcW w:w="993" w:type="dxa"/>
            <w:vAlign w:val="center"/>
          </w:tcPr>
          <w:p w14:paraId="26C9FFAA">
            <w:pPr>
              <w:rPr>
                <w:rFonts w:ascii="仿宋" w:hAnsi="仿宋" w:eastAsia="仿宋" w:cs="Courier New"/>
                <w:sz w:val="15"/>
                <w:szCs w:val="15"/>
              </w:rPr>
            </w:pPr>
            <w:r>
              <w:rPr>
                <w:rFonts w:hint="eastAsia" w:ascii="仿宋" w:hAnsi="仿宋" w:eastAsia="仿宋" w:cs="Courier New"/>
                <w:sz w:val="15"/>
                <w:szCs w:val="15"/>
              </w:rPr>
              <w:t>职务/职称</w:t>
            </w:r>
          </w:p>
        </w:tc>
        <w:tc>
          <w:tcPr>
            <w:tcW w:w="1417" w:type="dxa"/>
            <w:vAlign w:val="center"/>
          </w:tcPr>
          <w:p w14:paraId="3A742B8C">
            <w:pPr>
              <w:rPr>
                <w:rFonts w:ascii="仿宋" w:hAnsi="仿宋" w:eastAsia="仿宋" w:cs="Courier New"/>
                <w:sz w:val="15"/>
                <w:szCs w:val="15"/>
              </w:rPr>
            </w:pPr>
            <w:r>
              <w:rPr>
                <w:rFonts w:hint="eastAsia" w:ascii="仿宋" w:hAnsi="仿宋" w:eastAsia="仿宋" w:cs="Courier New"/>
                <w:sz w:val="15"/>
                <w:szCs w:val="15"/>
              </w:rPr>
              <w:t>工作单位</w:t>
            </w:r>
          </w:p>
        </w:tc>
        <w:tc>
          <w:tcPr>
            <w:tcW w:w="5019" w:type="dxa"/>
            <w:vAlign w:val="center"/>
          </w:tcPr>
          <w:p w14:paraId="04734F0F">
            <w:pPr>
              <w:rPr>
                <w:rFonts w:ascii="仿宋" w:hAnsi="仿宋" w:eastAsia="仿宋" w:cs="Courier New"/>
                <w:sz w:val="15"/>
                <w:szCs w:val="15"/>
              </w:rPr>
            </w:pPr>
            <w:r>
              <w:rPr>
                <w:rFonts w:hint="eastAsia" w:ascii="仿宋" w:hAnsi="仿宋" w:eastAsia="仿宋" w:cs="Courier New"/>
                <w:sz w:val="15"/>
                <w:szCs w:val="15"/>
              </w:rPr>
              <w:t>任务分工</w:t>
            </w:r>
          </w:p>
        </w:tc>
      </w:tr>
      <w:tr w14:paraId="6C42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4A29521">
            <w:pPr>
              <w:rPr>
                <w:sz w:val="15"/>
                <w:szCs w:val="15"/>
              </w:rPr>
            </w:pPr>
            <w:r>
              <w:rPr>
                <w:rFonts w:hint="eastAsia"/>
                <w:sz w:val="15"/>
                <w:szCs w:val="15"/>
              </w:rPr>
              <w:t>赵龙龙</w:t>
            </w:r>
          </w:p>
        </w:tc>
        <w:tc>
          <w:tcPr>
            <w:tcW w:w="425" w:type="dxa"/>
            <w:vAlign w:val="center"/>
          </w:tcPr>
          <w:p w14:paraId="41FE289C">
            <w:pPr>
              <w:rPr>
                <w:rFonts w:ascii="仿宋" w:hAnsi="仿宋" w:eastAsia="仿宋" w:cs="Courier New"/>
                <w:sz w:val="15"/>
                <w:szCs w:val="15"/>
              </w:rPr>
            </w:pPr>
            <w:r>
              <w:rPr>
                <w:rFonts w:hint="eastAsia" w:ascii="仿宋" w:hAnsi="仿宋" w:eastAsia="仿宋" w:cs="Courier New"/>
                <w:sz w:val="15"/>
                <w:szCs w:val="15"/>
              </w:rPr>
              <w:t>男</w:t>
            </w:r>
          </w:p>
        </w:tc>
        <w:tc>
          <w:tcPr>
            <w:tcW w:w="993" w:type="dxa"/>
            <w:vAlign w:val="center"/>
          </w:tcPr>
          <w:p w14:paraId="6B156A60">
            <w:pPr>
              <w:rPr>
                <w:rFonts w:ascii="仿宋" w:hAnsi="仿宋" w:eastAsia="仿宋" w:cs="Courier New"/>
                <w:sz w:val="15"/>
                <w:szCs w:val="15"/>
              </w:rPr>
            </w:pPr>
            <w:r>
              <w:rPr>
                <w:rFonts w:hint="eastAsia" w:ascii="仿宋" w:hAnsi="仿宋" w:eastAsia="仿宋" w:cs="Courier New"/>
                <w:sz w:val="15"/>
                <w:szCs w:val="15"/>
              </w:rPr>
              <w:t>副研究员</w:t>
            </w:r>
          </w:p>
        </w:tc>
        <w:tc>
          <w:tcPr>
            <w:tcW w:w="1417" w:type="dxa"/>
            <w:vAlign w:val="center"/>
          </w:tcPr>
          <w:p w14:paraId="7A732A2D">
            <w:pPr>
              <w:rPr>
                <w:rFonts w:ascii="仿宋" w:hAnsi="仿宋" w:eastAsia="仿宋" w:cs="Courier New"/>
                <w:sz w:val="15"/>
                <w:szCs w:val="15"/>
              </w:rPr>
            </w:pPr>
            <w:r>
              <w:rPr>
                <w:rFonts w:hint="eastAsia" w:ascii="仿宋" w:hAnsi="仿宋" w:eastAsia="仿宋" w:cs="Courier New"/>
                <w:sz w:val="15"/>
                <w:szCs w:val="15"/>
              </w:rPr>
              <w:t>山西农业大学</w:t>
            </w:r>
          </w:p>
        </w:tc>
        <w:tc>
          <w:tcPr>
            <w:tcW w:w="5019" w:type="dxa"/>
            <w:vAlign w:val="center"/>
          </w:tcPr>
          <w:p w14:paraId="4C30D70C">
            <w:pPr>
              <w:rPr>
                <w:rFonts w:ascii="仿宋" w:hAnsi="仿宋" w:eastAsia="仿宋" w:cs="Courier New"/>
                <w:sz w:val="15"/>
                <w:szCs w:val="15"/>
              </w:rPr>
            </w:pPr>
            <w:r>
              <w:rPr>
                <w:rFonts w:hint="eastAsia" w:ascii="仿宋" w:hAnsi="仿宋" w:eastAsia="仿宋" w:cs="Courier New"/>
                <w:sz w:val="15"/>
                <w:szCs w:val="15"/>
              </w:rPr>
              <w:t>主要起草人，负责标准的修订申报、标准结构框架制 订、修订工作方案的制定、标准各修订阶段质控。组织实施标准修订草案、讨论稿、征求意见稿、送审稿的讨论和修改。</w:t>
            </w:r>
          </w:p>
        </w:tc>
      </w:tr>
      <w:tr w14:paraId="5600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604C1C8">
            <w:pPr>
              <w:rPr>
                <w:sz w:val="15"/>
                <w:szCs w:val="15"/>
              </w:rPr>
            </w:pPr>
            <w:r>
              <w:rPr>
                <w:rFonts w:hint="eastAsia"/>
                <w:sz w:val="15"/>
                <w:szCs w:val="15"/>
              </w:rPr>
              <w:t>相会明</w:t>
            </w:r>
          </w:p>
        </w:tc>
        <w:tc>
          <w:tcPr>
            <w:tcW w:w="425" w:type="dxa"/>
            <w:vAlign w:val="center"/>
          </w:tcPr>
          <w:p w14:paraId="7DAA84A6">
            <w:pPr>
              <w:rPr>
                <w:rFonts w:ascii="仿宋" w:hAnsi="仿宋" w:eastAsia="仿宋" w:cs="Courier New"/>
                <w:sz w:val="15"/>
                <w:szCs w:val="15"/>
              </w:rPr>
            </w:pPr>
            <w:r>
              <w:rPr>
                <w:rFonts w:hint="eastAsia" w:ascii="仿宋" w:hAnsi="仿宋" w:eastAsia="仿宋" w:cs="Courier New"/>
                <w:sz w:val="15"/>
                <w:szCs w:val="15"/>
              </w:rPr>
              <w:t>男</w:t>
            </w:r>
          </w:p>
        </w:tc>
        <w:tc>
          <w:tcPr>
            <w:tcW w:w="993" w:type="dxa"/>
            <w:vAlign w:val="center"/>
          </w:tcPr>
          <w:p w14:paraId="777E7B66">
            <w:pPr>
              <w:rPr>
                <w:rFonts w:ascii="仿宋" w:hAnsi="仿宋" w:eastAsia="仿宋" w:cs="Courier New"/>
                <w:sz w:val="15"/>
                <w:szCs w:val="15"/>
              </w:rPr>
            </w:pPr>
            <w:r>
              <w:rPr>
                <w:rFonts w:hint="eastAsia" w:ascii="仿宋" w:hAnsi="仿宋" w:eastAsia="仿宋" w:cs="Courier New"/>
                <w:sz w:val="15"/>
                <w:szCs w:val="15"/>
              </w:rPr>
              <w:t>副教授</w:t>
            </w:r>
          </w:p>
        </w:tc>
        <w:tc>
          <w:tcPr>
            <w:tcW w:w="1417" w:type="dxa"/>
            <w:vAlign w:val="center"/>
          </w:tcPr>
          <w:p w14:paraId="643C25DA">
            <w:pPr>
              <w:rPr>
                <w:rFonts w:ascii="仿宋" w:hAnsi="仿宋" w:eastAsia="仿宋" w:cs="Courier New"/>
                <w:sz w:val="15"/>
                <w:szCs w:val="15"/>
              </w:rPr>
            </w:pPr>
            <w:r>
              <w:rPr>
                <w:rFonts w:hint="eastAsia" w:ascii="仿宋" w:hAnsi="仿宋" w:eastAsia="仿宋" w:cs="Courier New"/>
                <w:sz w:val="15"/>
                <w:szCs w:val="15"/>
              </w:rPr>
              <w:t>山西农业大学</w:t>
            </w:r>
          </w:p>
        </w:tc>
        <w:tc>
          <w:tcPr>
            <w:tcW w:w="5019" w:type="dxa"/>
            <w:vAlign w:val="center"/>
          </w:tcPr>
          <w:p w14:paraId="6AD05CCE">
            <w:pPr>
              <w:rPr>
                <w:rFonts w:ascii="仿宋" w:hAnsi="仿宋" w:eastAsia="仿宋" w:cs="Courier New"/>
                <w:sz w:val="15"/>
                <w:szCs w:val="15"/>
              </w:rPr>
            </w:pPr>
            <w:r>
              <w:rPr>
                <w:rFonts w:hint="eastAsia" w:ascii="仿宋" w:hAnsi="仿宋" w:eastAsia="仿宋" w:cs="Courier New"/>
                <w:sz w:val="15"/>
                <w:szCs w:val="15"/>
              </w:rPr>
              <w:t>试验论证，参与附录A修订，参与征求意见稿、送审稿讨论和修改。</w:t>
            </w:r>
          </w:p>
        </w:tc>
      </w:tr>
      <w:tr w14:paraId="4474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7000081">
            <w:pPr>
              <w:rPr>
                <w:sz w:val="15"/>
                <w:szCs w:val="15"/>
              </w:rPr>
            </w:pPr>
            <w:r>
              <w:rPr>
                <w:rFonts w:hint="eastAsia"/>
                <w:sz w:val="15"/>
                <w:szCs w:val="15"/>
              </w:rPr>
              <w:t>胡增丽</w:t>
            </w:r>
          </w:p>
        </w:tc>
        <w:tc>
          <w:tcPr>
            <w:tcW w:w="425" w:type="dxa"/>
            <w:vAlign w:val="center"/>
          </w:tcPr>
          <w:p w14:paraId="1C32A1F6">
            <w:pPr>
              <w:rPr>
                <w:rFonts w:ascii="仿宋" w:hAnsi="仿宋" w:eastAsia="仿宋" w:cs="Courier New"/>
                <w:sz w:val="15"/>
                <w:szCs w:val="15"/>
              </w:rPr>
            </w:pPr>
            <w:r>
              <w:rPr>
                <w:rFonts w:hint="eastAsia" w:ascii="仿宋" w:hAnsi="仿宋" w:eastAsia="仿宋" w:cs="Courier New"/>
                <w:sz w:val="15"/>
                <w:szCs w:val="15"/>
              </w:rPr>
              <w:t>女</w:t>
            </w:r>
          </w:p>
        </w:tc>
        <w:tc>
          <w:tcPr>
            <w:tcW w:w="993" w:type="dxa"/>
            <w:vAlign w:val="center"/>
          </w:tcPr>
          <w:p w14:paraId="60462114">
            <w:pPr>
              <w:rPr>
                <w:rFonts w:ascii="仿宋" w:hAnsi="仿宋" w:eastAsia="仿宋" w:cs="Courier New"/>
                <w:sz w:val="15"/>
                <w:szCs w:val="15"/>
              </w:rPr>
            </w:pPr>
            <w:r>
              <w:rPr>
                <w:rFonts w:hint="eastAsia" w:ascii="仿宋" w:hAnsi="仿宋" w:eastAsia="仿宋" w:cs="Courier New"/>
                <w:sz w:val="15"/>
                <w:szCs w:val="15"/>
              </w:rPr>
              <w:t>副研究员</w:t>
            </w:r>
          </w:p>
        </w:tc>
        <w:tc>
          <w:tcPr>
            <w:tcW w:w="1417" w:type="dxa"/>
            <w:vAlign w:val="center"/>
          </w:tcPr>
          <w:p w14:paraId="6431E3D9">
            <w:pPr>
              <w:rPr>
                <w:rFonts w:ascii="仿宋" w:hAnsi="仿宋" w:eastAsia="仿宋" w:cs="Courier New"/>
                <w:sz w:val="15"/>
                <w:szCs w:val="15"/>
              </w:rPr>
            </w:pPr>
            <w:r>
              <w:rPr>
                <w:rFonts w:hint="eastAsia" w:ascii="仿宋" w:hAnsi="仿宋" w:eastAsia="仿宋" w:cs="Courier New"/>
                <w:sz w:val="15"/>
                <w:szCs w:val="15"/>
              </w:rPr>
              <w:t>山西农业大学</w:t>
            </w:r>
          </w:p>
        </w:tc>
        <w:tc>
          <w:tcPr>
            <w:tcW w:w="5019" w:type="dxa"/>
            <w:vAlign w:val="center"/>
          </w:tcPr>
          <w:p w14:paraId="5ED7AFE2">
            <w:pPr>
              <w:rPr>
                <w:rFonts w:ascii="仿宋" w:hAnsi="仿宋" w:eastAsia="仿宋" w:cs="Courier New"/>
                <w:sz w:val="15"/>
                <w:szCs w:val="15"/>
              </w:rPr>
            </w:pPr>
            <w:r>
              <w:rPr>
                <w:rFonts w:hint="eastAsia" w:ascii="仿宋" w:hAnsi="仿宋" w:eastAsia="仿宋" w:cs="Courier New"/>
                <w:sz w:val="15"/>
                <w:szCs w:val="15"/>
              </w:rPr>
              <w:t>田间调研参与附录</w:t>
            </w:r>
            <w:r>
              <w:rPr>
                <w:rFonts w:ascii="仿宋" w:hAnsi="仿宋" w:eastAsia="仿宋" w:cs="Courier New"/>
                <w:sz w:val="15"/>
                <w:szCs w:val="15"/>
              </w:rPr>
              <w:t>B</w:t>
            </w:r>
            <w:r>
              <w:rPr>
                <w:rFonts w:hint="eastAsia" w:ascii="仿宋" w:hAnsi="仿宋" w:eastAsia="仿宋" w:cs="Courier New"/>
                <w:sz w:val="15"/>
                <w:szCs w:val="15"/>
              </w:rPr>
              <w:t>修订，参与征求意见稿、送审稿讨论和修改。，</w:t>
            </w:r>
          </w:p>
        </w:tc>
      </w:tr>
      <w:tr w14:paraId="53F0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BB85FC7">
            <w:pPr>
              <w:rPr>
                <w:sz w:val="15"/>
                <w:szCs w:val="15"/>
              </w:rPr>
            </w:pPr>
            <w:r>
              <w:rPr>
                <w:rFonts w:hint="eastAsia"/>
                <w:sz w:val="15"/>
                <w:szCs w:val="15"/>
              </w:rPr>
              <w:t>刘朝红</w:t>
            </w:r>
          </w:p>
        </w:tc>
        <w:tc>
          <w:tcPr>
            <w:tcW w:w="425" w:type="dxa"/>
            <w:vAlign w:val="center"/>
          </w:tcPr>
          <w:p w14:paraId="3CFDBD4F">
            <w:pPr>
              <w:rPr>
                <w:rFonts w:ascii="仿宋" w:hAnsi="仿宋" w:eastAsia="仿宋" w:cs="Courier New"/>
                <w:sz w:val="15"/>
                <w:szCs w:val="15"/>
              </w:rPr>
            </w:pPr>
            <w:r>
              <w:rPr>
                <w:rFonts w:hint="eastAsia" w:ascii="仿宋" w:hAnsi="仿宋" w:eastAsia="仿宋" w:cs="Courier New"/>
                <w:sz w:val="15"/>
                <w:szCs w:val="15"/>
              </w:rPr>
              <w:t>男</w:t>
            </w:r>
          </w:p>
        </w:tc>
        <w:tc>
          <w:tcPr>
            <w:tcW w:w="993" w:type="dxa"/>
            <w:vAlign w:val="center"/>
          </w:tcPr>
          <w:p w14:paraId="5CE1A2AE">
            <w:pPr>
              <w:rPr>
                <w:rFonts w:ascii="仿宋" w:hAnsi="仿宋" w:eastAsia="仿宋" w:cs="Courier New"/>
                <w:sz w:val="15"/>
                <w:szCs w:val="15"/>
              </w:rPr>
            </w:pPr>
            <w:r>
              <w:rPr>
                <w:rFonts w:hint="eastAsia" w:ascii="仿宋" w:hAnsi="仿宋" w:eastAsia="仿宋" w:cs="Courier New"/>
                <w:sz w:val="15"/>
                <w:szCs w:val="15"/>
              </w:rPr>
              <w:t>副研究员</w:t>
            </w:r>
          </w:p>
        </w:tc>
        <w:tc>
          <w:tcPr>
            <w:tcW w:w="1417" w:type="dxa"/>
            <w:vAlign w:val="center"/>
          </w:tcPr>
          <w:p w14:paraId="423AEB07">
            <w:pPr>
              <w:rPr>
                <w:rFonts w:ascii="仿宋" w:hAnsi="仿宋" w:eastAsia="仿宋" w:cs="Courier New"/>
                <w:sz w:val="15"/>
                <w:szCs w:val="15"/>
              </w:rPr>
            </w:pPr>
            <w:r>
              <w:rPr>
                <w:rFonts w:hint="eastAsia" w:ascii="仿宋" w:hAnsi="仿宋" w:eastAsia="仿宋" w:cs="Courier New"/>
                <w:sz w:val="15"/>
                <w:szCs w:val="15"/>
              </w:rPr>
              <w:t>山西农业大学</w:t>
            </w:r>
          </w:p>
        </w:tc>
        <w:tc>
          <w:tcPr>
            <w:tcW w:w="5019" w:type="dxa"/>
            <w:vAlign w:val="center"/>
          </w:tcPr>
          <w:p w14:paraId="5FF37585">
            <w:pPr>
              <w:rPr>
                <w:rFonts w:ascii="仿宋" w:hAnsi="仿宋" w:eastAsia="仿宋" w:cs="Courier New"/>
                <w:sz w:val="15"/>
                <w:szCs w:val="15"/>
              </w:rPr>
            </w:pPr>
            <w:r>
              <w:rPr>
                <w:rFonts w:hint="eastAsia" w:ascii="仿宋" w:hAnsi="仿宋" w:eastAsia="仿宋" w:cs="Courier New"/>
                <w:sz w:val="15"/>
                <w:szCs w:val="15"/>
              </w:rPr>
              <w:t>农药试验,以及农药资料查证</w:t>
            </w:r>
          </w:p>
        </w:tc>
      </w:tr>
      <w:tr w14:paraId="2024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48B1E20">
            <w:pPr>
              <w:rPr>
                <w:sz w:val="15"/>
                <w:szCs w:val="15"/>
              </w:rPr>
            </w:pPr>
            <w:r>
              <w:rPr>
                <w:rFonts w:hint="eastAsia"/>
                <w:sz w:val="15"/>
                <w:szCs w:val="15"/>
              </w:rPr>
              <w:t>冀佳悦</w:t>
            </w:r>
          </w:p>
        </w:tc>
        <w:tc>
          <w:tcPr>
            <w:tcW w:w="425" w:type="dxa"/>
            <w:vAlign w:val="center"/>
          </w:tcPr>
          <w:p w14:paraId="2E2E6B59">
            <w:pPr>
              <w:rPr>
                <w:rFonts w:ascii="仿宋" w:hAnsi="仿宋" w:eastAsia="仿宋" w:cs="Courier New"/>
                <w:sz w:val="15"/>
                <w:szCs w:val="15"/>
              </w:rPr>
            </w:pPr>
            <w:r>
              <w:rPr>
                <w:rFonts w:hint="eastAsia" w:ascii="仿宋" w:hAnsi="仿宋" w:eastAsia="仿宋" w:cs="Courier New"/>
                <w:sz w:val="15"/>
                <w:szCs w:val="15"/>
              </w:rPr>
              <w:t>女</w:t>
            </w:r>
          </w:p>
        </w:tc>
        <w:tc>
          <w:tcPr>
            <w:tcW w:w="993" w:type="dxa"/>
            <w:vAlign w:val="center"/>
          </w:tcPr>
          <w:p w14:paraId="3BC5FD52">
            <w:pPr>
              <w:rPr>
                <w:rFonts w:ascii="仿宋" w:hAnsi="仿宋" w:eastAsia="仿宋" w:cs="Courier New"/>
                <w:sz w:val="15"/>
                <w:szCs w:val="15"/>
              </w:rPr>
            </w:pPr>
            <w:r>
              <w:rPr>
                <w:rFonts w:hint="eastAsia" w:ascii="仿宋" w:hAnsi="仿宋" w:eastAsia="仿宋" w:cs="Courier New"/>
                <w:sz w:val="15"/>
                <w:szCs w:val="15"/>
              </w:rPr>
              <w:t>助理研究员</w:t>
            </w:r>
          </w:p>
        </w:tc>
        <w:tc>
          <w:tcPr>
            <w:tcW w:w="1417" w:type="dxa"/>
            <w:vAlign w:val="center"/>
          </w:tcPr>
          <w:p w14:paraId="77A1113E">
            <w:pPr>
              <w:rPr>
                <w:rFonts w:ascii="仿宋" w:hAnsi="仿宋" w:eastAsia="仿宋" w:cs="Courier New"/>
                <w:sz w:val="15"/>
                <w:szCs w:val="15"/>
              </w:rPr>
            </w:pPr>
            <w:r>
              <w:rPr>
                <w:rFonts w:hint="eastAsia" w:ascii="仿宋" w:hAnsi="仿宋" w:eastAsia="仿宋" w:cs="Courier New"/>
                <w:sz w:val="15"/>
                <w:szCs w:val="15"/>
              </w:rPr>
              <w:t>山西农业大学</w:t>
            </w:r>
          </w:p>
        </w:tc>
        <w:tc>
          <w:tcPr>
            <w:tcW w:w="5019" w:type="dxa"/>
            <w:vAlign w:val="center"/>
          </w:tcPr>
          <w:p w14:paraId="6BC47BFE">
            <w:pPr>
              <w:rPr>
                <w:rFonts w:ascii="仿宋" w:hAnsi="仿宋" w:eastAsia="仿宋" w:cs="Courier New"/>
                <w:sz w:val="15"/>
                <w:szCs w:val="15"/>
              </w:rPr>
            </w:pPr>
            <w:r>
              <w:rPr>
                <w:rFonts w:hint="eastAsia" w:ascii="仿宋" w:hAnsi="仿宋" w:eastAsia="仿宋" w:cs="Courier New"/>
                <w:sz w:val="15"/>
                <w:szCs w:val="15"/>
              </w:rPr>
              <w:t>推广论证，参与附录A修订，参与征求意见稿、送审稿讨论和修改。</w:t>
            </w:r>
          </w:p>
        </w:tc>
      </w:tr>
      <w:tr w14:paraId="6627A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E28934B">
            <w:pPr>
              <w:rPr>
                <w:sz w:val="15"/>
                <w:szCs w:val="15"/>
              </w:rPr>
            </w:pPr>
            <w:r>
              <w:rPr>
                <w:rFonts w:hint="eastAsia"/>
                <w:sz w:val="15"/>
                <w:szCs w:val="15"/>
              </w:rPr>
              <w:t>马瑞燕</w:t>
            </w:r>
          </w:p>
        </w:tc>
        <w:tc>
          <w:tcPr>
            <w:tcW w:w="425" w:type="dxa"/>
            <w:vAlign w:val="center"/>
          </w:tcPr>
          <w:p w14:paraId="19439E94">
            <w:pPr>
              <w:rPr>
                <w:rFonts w:ascii="仿宋" w:hAnsi="仿宋" w:eastAsia="仿宋" w:cs="Courier New"/>
                <w:sz w:val="15"/>
                <w:szCs w:val="15"/>
              </w:rPr>
            </w:pPr>
            <w:r>
              <w:rPr>
                <w:rFonts w:hint="eastAsia" w:ascii="仿宋" w:hAnsi="仿宋" w:eastAsia="仿宋" w:cs="Courier New"/>
                <w:sz w:val="15"/>
                <w:szCs w:val="15"/>
              </w:rPr>
              <w:t>女</w:t>
            </w:r>
          </w:p>
        </w:tc>
        <w:tc>
          <w:tcPr>
            <w:tcW w:w="993" w:type="dxa"/>
            <w:vAlign w:val="center"/>
          </w:tcPr>
          <w:p w14:paraId="365B5876">
            <w:pPr>
              <w:rPr>
                <w:rFonts w:ascii="仿宋" w:hAnsi="仿宋" w:eastAsia="仿宋" w:cs="Courier New"/>
                <w:sz w:val="15"/>
                <w:szCs w:val="15"/>
              </w:rPr>
            </w:pPr>
            <w:r>
              <w:rPr>
                <w:rFonts w:hint="eastAsia" w:ascii="仿宋" w:hAnsi="仿宋" w:eastAsia="仿宋" w:cs="Courier New"/>
                <w:sz w:val="15"/>
                <w:szCs w:val="15"/>
              </w:rPr>
              <w:t>教授</w:t>
            </w:r>
          </w:p>
        </w:tc>
        <w:tc>
          <w:tcPr>
            <w:tcW w:w="1417" w:type="dxa"/>
            <w:vAlign w:val="center"/>
          </w:tcPr>
          <w:p w14:paraId="3E76DD48">
            <w:pPr>
              <w:rPr>
                <w:rFonts w:ascii="仿宋" w:hAnsi="仿宋" w:eastAsia="仿宋" w:cs="Courier New"/>
                <w:sz w:val="15"/>
                <w:szCs w:val="15"/>
              </w:rPr>
            </w:pPr>
            <w:r>
              <w:rPr>
                <w:rFonts w:hint="eastAsia" w:ascii="仿宋" w:hAnsi="仿宋" w:eastAsia="仿宋" w:cs="Courier New"/>
                <w:sz w:val="15"/>
                <w:szCs w:val="15"/>
              </w:rPr>
              <w:t>山西农业大学</w:t>
            </w:r>
          </w:p>
        </w:tc>
        <w:tc>
          <w:tcPr>
            <w:tcW w:w="5019" w:type="dxa"/>
            <w:vAlign w:val="center"/>
          </w:tcPr>
          <w:p w14:paraId="4CBF76B9">
            <w:pPr>
              <w:rPr>
                <w:rFonts w:ascii="仿宋" w:hAnsi="仿宋" w:eastAsia="仿宋" w:cs="Courier New"/>
                <w:sz w:val="15"/>
                <w:szCs w:val="15"/>
              </w:rPr>
            </w:pPr>
            <w:r>
              <w:rPr>
                <w:rFonts w:hint="eastAsia" w:ascii="仿宋" w:hAnsi="仿宋" w:eastAsia="仿宋" w:cs="Courier New"/>
                <w:sz w:val="15"/>
                <w:szCs w:val="15"/>
              </w:rPr>
              <w:t>标准科学性把关，参与征求意见稿、送审稿讨论和修改。</w:t>
            </w:r>
          </w:p>
        </w:tc>
      </w:tr>
      <w:tr w14:paraId="45F1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0354109">
            <w:pPr>
              <w:rPr>
                <w:sz w:val="15"/>
                <w:szCs w:val="15"/>
              </w:rPr>
            </w:pPr>
            <w:r>
              <w:rPr>
                <w:rFonts w:hint="eastAsia"/>
                <w:sz w:val="15"/>
                <w:szCs w:val="15"/>
              </w:rPr>
              <w:t>李先伟</w:t>
            </w:r>
          </w:p>
        </w:tc>
        <w:tc>
          <w:tcPr>
            <w:tcW w:w="425" w:type="dxa"/>
            <w:vAlign w:val="center"/>
          </w:tcPr>
          <w:p w14:paraId="4FABEE91">
            <w:pPr>
              <w:rPr>
                <w:rFonts w:ascii="仿宋" w:hAnsi="仿宋" w:eastAsia="仿宋" w:cs="Courier New"/>
                <w:sz w:val="15"/>
                <w:szCs w:val="15"/>
              </w:rPr>
            </w:pPr>
            <w:r>
              <w:rPr>
                <w:rFonts w:hint="eastAsia" w:ascii="仿宋" w:hAnsi="仿宋" w:eastAsia="仿宋" w:cs="Courier New"/>
                <w:sz w:val="15"/>
                <w:szCs w:val="15"/>
              </w:rPr>
              <w:t>男</w:t>
            </w:r>
          </w:p>
        </w:tc>
        <w:tc>
          <w:tcPr>
            <w:tcW w:w="993" w:type="dxa"/>
            <w:vAlign w:val="center"/>
          </w:tcPr>
          <w:p w14:paraId="488CF492">
            <w:pPr>
              <w:rPr>
                <w:rFonts w:ascii="仿宋" w:hAnsi="仿宋" w:eastAsia="仿宋" w:cs="Courier New"/>
                <w:sz w:val="15"/>
                <w:szCs w:val="15"/>
              </w:rPr>
            </w:pPr>
            <w:r>
              <w:rPr>
                <w:rFonts w:hint="eastAsia" w:ascii="仿宋" w:hAnsi="仿宋" w:eastAsia="仿宋" w:cs="Courier New"/>
                <w:sz w:val="15"/>
                <w:szCs w:val="15"/>
              </w:rPr>
              <w:t>副教授</w:t>
            </w:r>
          </w:p>
        </w:tc>
        <w:tc>
          <w:tcPr>
            <w:tcW w:w="1417" w:type="dxa"/>
            <w:vAlign w:val="center"/>
          </w:tcPr>
          <w:p w14:paraId="2BEE189D">
            <w:pPr>
              <w:rPr>
                <w:rFonts w:ascii="仿宋" w:hAnsi="仿宋" w:eastAsia="仿宋" w:cs="Courier New"/>
                <w:sz w:val="15"/>
                <w:szCs w:val="15"/>
              </w:rPr>
            </w:pPr>
            <w:r>
              <w:rPr>
                <w:rFonts w:hint="eastAsia" w:ascii="仿宋" w:hAnsi="仿宋" w:eastAsia="仿宋" w:cs="Courier New"/>
                <w:sz w:val="15"/>
                <w:szCs w:val="15"/>
              </w:rPr>
              <w:t>山西农业大学</w:t>
            </w:r>
          </w:p>
        </w:tc>
        <w:tc>
          <w:tcPr>
            <w:tcW w:w="5019" w:type="dxa"/>
            <w:vAlign w:val="center"/>
          </w:tcPr>
          <w:p w14:paraId="3A41A68D">
            <w:pPr>
              <w:rPr>
                <w:rFonts w:ascii="仿宋" w:hAnsi="仿宋" w:eastAsia="仿宋" w:cs="Courier New"/>
                <w:sz w:val="15"/>
                <w:szCs w:val="15"/>
              </w:rPr>
            </w:pPr>
            <w:r>
              <w:rPr>
                <w:rFonts w:hint="eastAsia" w:ascii="仿宋" w:hAnsi="仿宋" w:eastAsia="仿宋" w:cs="Courier New"/>
                <w:sz w:val="15"/>
                <w:szCs w:val="15"/>
              </w:rPr>
              <w:t>推广和意见征求。</w:t>
            </w:r>
          </w:p>
        </w:tc>
      </w:tr>
      <w:tr w14:paraId="3A26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D3DBC39">
            <w:pPr>
              <w:rPr>
                <w:sz w:val="15"/>
                <w:szCs w:val="15"/>
              </w:rPr>
            </w:pPr>
            <w:r>
              <w:rPr>
                <w:rFonts w:hint="eastAsia"/>
                <w:sz w:val="15"/>
                <w:szCs w:val="15"/>
              </w:rPr>
              <w:t>李捷</w:t>
            </w:r>
          </w:p>
        </w:tc>
        <w:tc>
          <w:tcPr>
            <w:tcW w:w="425" w:type="dxa"/>
            <w:vAlign w:val="center"/>
          </w:tcPr>
          <w:p w14:paraId="7673E374">
            <w:pPr>
              <w:rPr>
                <w:rFonts w:ascii="仿宋" w:hAnsi="仿宋" w:eastAsia="仿宋" w:cs="Courier New"/>
                <w:sz w:val="15"/>
                <w:szCs w:val="15"/>
              </w:rPr>
            </w:pPr>
            <w:r>
              <w:rPr>
                <w:rFonts w:hint="eastAsia" w:ascii="仿宋" w:hAnsi="仿宋" w:eastAsia="仿宋" w:cs="Courier New"/>
                <w:sz w:val="15"/>
                <w:szCs w:val="15"/>
              </w:rPr>
              <w:t>男</w:t>
            </w:r>
          </w:p>
        </w:tc>
        <w:tc>
          <w:tcPr>
            <w:tcW w:w="993" w:type="dxa"/>
            <w:vAlign w:val="center"/>
          </w:tcPr>
          <w:p w14:paraId="259A460F">
            <w:pPr>
              <w:rPr>
                <w:rFonts w:ascii="仿宋" w:hAnsi="仿宋" w:eastAsia="仿宋" w:cs="Courier New"/>
                <w:sz w:val="15"/>
                <w:szCs w:val="15"/>
              </w:rPr>
            </w:pPr>
            <w:r>
              <w:rPr>
                <w:rFonts w:hint="eastAsia" w:ascii="仿宋" w:hAnsi="仿宋" w:eastAsia="仿宋" w:cs="Courier New"/>
                <w:sz w:val="15"/>
                <w:szCs w:val="15"/>
              </w:rPr>
              <w:t>教授</w:t>
            </w:r>
          </w:p>
        </w:tc>
        <w:tc>
          <w:tcPr>
            <w:tcW w:w="1417" w:type="dxa"/>
            <w:vAlign w:val="center"/>
          </w:tcPr>
          <w:p w14:paraId="38F6DB2D">
            <w:pPr>
              <w:rPr>
                <w:rFonts w:ascii="仿宋" w:hAnsi="仿宋" w:eastAsia="仿宋" w:cs="Courier New"/>
                <w:sz w:val="15"/>
                <w:szCs w:val="15"/>
              </w:rPr>
            </w:pPr>
            <w:r>
              <w:rPr>
                <w:rFonts w:hint="eastAsia" w:ascii="仿宋" w:hAnsi="仿宋" w:eastAsia="仿宋" w:cs="Courier New"/>
                <w:sz w:val="15"/>
                <w:szCs w:val="15"/>
              </w:rPr>
              <w:t>山西农业大学</w:t>
            </w:r>
          </w:p>
        </w:tc>
        <w:tc>
          <w:tcPr>
            <w:tcW w:w="5019" w:type="dxa"/>
            <w:vAlign w:val="center"/>
          </w:tcPr>
          <w:p w14:paraId="6A1C7C69">
            <w:pPr>
              <w:rPr>
                <w:rFonts w:ascii="仿宋" w:hAnsi="仿宋" w:eastAsia="仿宋" w:cs="Courier New"/>
                <w:sz w:val="15"/>
                <w:szCs w:val="15"/>
              </w:rPr>
            </w:pPr>
            <w:r>
              <w:rPr>
                <w:rFonts w:hint="eastAsia" w:ascii="仿宋" w:hAnsi="仿宋" w:eastAsia="仿宋" w:cs="Courier New"/>
                <w:sz w:val="15"/>
                <w:szCs w:val="15"/>
              </w:rPr>
              <w:t>技术论证。</w:t>
            </w:r>
          </w:p>
        </w:tc>
      </w:tr>
    </w:tbl>
    <w:p w14:paraId="001286C4">
      <w:pPr>
        <w:spacing w:line="360" w:lineRule="auto"/>
        <w:ind w:firstLine="480" w:firstLineChars="200"/>
        <w:outlineLvl w:val="0"/>
        <w:rPr>
          <w:rFonts w:ascii="黑体" w:eastAsia="黑体"/>
          <w:sz w:val="24"/>
        </w:rPr>
      </w:pPr>
      <w:r>
        <w:rPr>
          <w:rFonts w:ascii="黑体" w:eastAsia="黑体"/>
          <w:sz w:val="24"/>
        </w:rPr>
        <w:t>二、</w:t>
      </w:r>
      <w:r>
        <w:rPr>
          <w:rFonts w:hint="eastAsia" w:ascii="黑体" w:eastAsia="黑体"/>
          <w:sz w:val="24"/>
        </w:rPr>
        <w:t>修</w:t>
      </w:r>
      <w:r>
        <w:rPr>
          <w:rFonts w:ascii="黑体" w:eastAsia="黑体"/>
          <w:sz w:val="24"/>
        </w:rPr>
        <w:t>订标准的必要性和意义</w:t>
      </w:r>
    </w:p>
    <w:p w14:paraId="6239F350">
      <w:pPr>
        <w:spacing w:line="360" w:lineRule="auto"/>
        <w:ind w:firstLine="480" w:firstLineChars="200"/>
        <w:outlineLvl w:val="0"/>
        <w:rPr>
          <w:rFonts w:ascii="仿宋_GB2312" w:hAnsi="宋体" w:eastAsia="仿宋_GB2312"/>
          <w:sz w:val="24"/>
        </w:rPr>
      </w:pPr>
      <w:r>
        <w:rPr>
          <w:rFonts w:hint="eastAsia" w:ascii="仿宋_GB2312" w:hAnsi="宋体" w:eastAsia="仿宋_GB2312"/>
          <w:sz w:val="24"/>
        </w:rPr>
        <w:t>按照“关于废止《微波和超短波通信设备辐射安全要求》等396项强制性国家标准的公告”（国家标准公告 2017年第6号）指示，《梨木虱综合防治技术规程》（DB14/T 932-2014）中规范性引用文件“GB 4285 农药安全使用标准”已废止。</w:t>
      </w:r>
    </w:p>
    <w:p w14:paraId="37DE4DA1">
      <w:pPr>
        <w:spacing w:line="360" w:lineRule="auto"/>
        <w:ind w:firstLine="480" w:firstLineChars="200"/>
        <w:outlineLvl w:val="0"/>
        <w:rPr>
          <w:rFonts w:ascii="仿宋_GB2312" w:hAnsi="宋体" w:eastAsia="仿宋_GB2312"/>
          <w:sz w:val="24"/>
        </w:rPr>
      </w:pPr>
      <w:r>
        <w:rPr>
          <w:rFonts w:hint="eastAsia" w:ascii="仿宋_GB2312" w:hAnsi="宋体" w:eastAsia="仿宋_GB2312"/>
          <w:sz w:val="24"/>
        </w:rPr>
        <w:t>近 20 年来，欧、美、澳大利亚、日本等十分重视有机果品的生产和消费。最近，美国许多州又制订了果园化学杀虫剂“减量化”使用计划，积极采用非化学防治技术，大力发展有机果品已成为国际主导趋势。过去，我国在果园害虫的控制当中过于依赖化学防治技术，严重忽视其对环境、果品的影响。近年来，随着生态环境问题越来越突出和食品安全呼声的提高，绿色食品和有机食品的生产愈来愈受到重视，一些有利于优化果园生物多样性、减少化学农药使用的生态调控技术得以逐步应用，在“绿色植保”理念贯彻下，采用农业防治、物理防治、生物防治、生态调控以及科学、合理、安全使用农药的技术，达到有效控制农作物病虫害，确保果树生产安全、农产品质量安全和农业生态环境安全，促进农业增产、增收，已达成共识。</w:t>
      </w:r>
    </w:p>
    <w:p w14:paraId="24ACE115">
      <w:pPr>
        <w:spacing w:line="360" w:lineRule="auto"/>
        <w:ind w:firstLine="480" w:firstLineChars="200"/>
        <w:outlineLvl w:val="0"/>
        <w:rPr>
          <w:rFonts w:ascii="仿宋_GB2312" w:hAnsi="宋体" w:eastAsia="仿宋_GB2312"/>
          <w:sz w:val="24"/>
        </w:rPr>
      </w:pPr>
      <w:r>
        <w:rPr>
          <w:rFonts w:hint="eastAsia" w:ascii="仿宋_GB2312" w:hAnsi="宋体" w:eastAsia="仿宋_GB2312"/>
          <w:sz w:val="24"/>
        </w:rPr>
        <w:t>山西省地处黄土高原东部，境内土层深厚，土壤矿质资源丰富，地质断层多，光照资源充足，海拔高，昼夜温差大，降雨适中，是我国北方落叶果树最佳栽培区域之一。其中以梨树栽种尤为著名，并形成四大梨树产区，在部分县市梨产业已发展成为我省部分地区繁荣农村经济和增加农民收入的主导和支柱产业，占农民人均收入的80%或以上，对山西经济发展起着不可忽视的作用。随着梨产业在山西省的长足发展和推广，梨树栽植面积越来越大，区域化和品种单一化程度越来越高。如山西省祁县的酥梨，隰县的玉露香梨，已开始走入国际市场，对梨的安全和标准化生产越来越高。</w:t>
      </w:r>
    </w:p>
    <w:p w14:paraId="131541AE">
      <w:pPr>
        <w:spacing w:line="360" w:lineRule="auto"/>
        <w:ind w:firstLine="480" w:firstLineChars="200"/>
        <w:outlineLvl w:val="0"/>
        <w:rPr>
          <w:rFonts w:ascii="仿宋_GB2312" w:hAnsi="宋体" w:eastAsia="仿宋_GB2312"/>
          <w:sz w:val="24"/>
        </w:rPr>
      </w:pPr>
      <w:r>
        <w:rPr>
          <w:rFonts w:hint="eastAsia" w:ascii="仿宋_GB2312" w:hAnsi="宋体" w:eastAsia="仿宋_GB2312"/>
          <w:sz w:val="24"/>
        </w:rPr>
        <w:t>随梨树单一化种植程度的提高和种植面积的逐渐扩大，梨树的主要虫害种类如梨木虱等，也渐成暴发状态，其危害逐年加剧。特别是在农药的选择和人为干扰下，梨园的主要虫害种类渐由食叶类害虫向刺吸式害虫发展，梨木虱等害虫由原来的兼治的对象渐演变成为梨园的主要防治对象。梨木虱（</w:t>
      </w:r>
      <w:r>
        <w:rPr>
          <w:rFonts w:eastAsia="仿宋_GB2312"/>
          <w:i/>
          <w:sz w:val="24"/>
        </w:rPr>
        <w:t>Cacopsylla chinensis</w:t>
      </w:r>
      <w:r>
        <w:rPr>
          <w:rFonts w:hint="eastAsia" w:ascii="仿宋_GB2312" w:hAnsi="宋体" w:eastAsia="仿宋_GB2312"/>
          <w:sz w:val="24"/>
        </w:rPr>
        <w:t>）属半翅目木虱科，是梨树上的一种重要害虫，几乎在各个梨树产区普遍发生。以成虫、若虫刺吸为害梨树嫩枝、叶、果实。若虫分泌蜜露，污染叶片、果面，造成霉污病，影响到叶片的光合作用和果品商品性。由于梨木虱个体小，具有夏型和冬型，不同虫态多，发生隐蔽，在防治过程中，因缺少对梨木虱虫口基数，种群发生动态的翔实调查，致使错失最佳防治时间或控制不当，不仅防治成本增大，而且对生态、环境、生物等都产生不利影响。鉴于中国梨木虱有多种虫态，且有两型变化，在治理过程中，因不能明确虫态、虫情等信息，致使延误或错误防治，因此有必要对梨木虱调查方法及防控措施进行规范。</w:t>
      </w:r>
    </w:p>
    <w:p w14:paraId="7D08ACB3">
      <w:pPr>
        <w:spacing w:line="360" w:lineRule="auto"/>
        <w:ind w:firstLine="480" w:firstLineChars="200"/>
        <w:outlineLvl w:val="0"/>
        <w:rPr>
          <w:rFonts w:ascii="黑体" w:eastAsia="黑体"/>
          <w:sz w:val="24"/>
        </w:rPr>
      </w:pPr>
      <w:r>
        <w:rPr>
          <w:rFonts w:ascii="黑体" w:eastAsia="黑体"/>
          <w:sz w:val="24"/>
        </w:rPr>
        <w:t>三、主要</w:t>
      </w:r>
      <w:r>
        <w:rPr>
          <w:rFonts w:hint="eastAsia" w:ascii="黑体" w:eastAsia="黑体"/>
          <w:sz w:val="24"/>
        </w:rPr>
        <w:t>修订</w:t>
      </w:r>
      <w:r>
        <w:rPr>
          <w:rFonts w:ascii="黑体" w:eastAsia="黑体"/>
          <w:sz w:val="24"/>
        </w:rPr>
        <w:t>工作过程</w:t>
      </w:r>
    </w:p>
    <w:p w14:paraId="5B9B66C3">
      <w:pPr>
        <w:spacing w:line="400" w:lineRule="exact"/>
        <w:ind w:firstLine="480" w:firstLineChars="200"/>
        <w:rPr>
          <w:rFonts w:eastAsia="仿宋_GB2312"/>
          <w:bCs/>
          <w:sz w:val="24"/>
        </w:rPr>
      </w:pPr>
      <w:r>
        <w:rPr>
          <w:rFonts w:hint="eastAsia" w:eastAsia="仿宋_GB2312"/>
          <w:bCs/>
          <w:sz w:val="24"/>
        </w:rPr>
        <w:t>1、成立标准修订工作组</w:t>
      </w:r>
    </w:p>
    <w:p w14:paraId="3A0C4540">
      <w:pPr>
        <w:spacing w:line="360" w:lineRule="auto"/>
        <w:ind w:firstLine="480" w:firstLineChars="200"/>
        <w:rPr>
          <w:rFonts w:eastAsia="仿宋_GB2312"/>
          <w:bCs/>
          <w:sz w:val="24"/>
        </w:rPr>
      </w:pPr>
      <w:r>
        <w:rPr>
          <w:rFonts w:hint="eastAsia" w:eastAsia="仿宋_GB2312"/>
          <w:bCs/>
          <w:sz w:val="24"/>
        </w:rPr>
        <w:t>随着梨产业在山西的兴起，梨树种植面积的逐年扩大，梨木虱的危害渐成了广受关注的防治对象。由山西农业大学针对梨树生产中害虫的为害现状，特成立梨木虱调研小组，针对梨木虱的调查与测报进行攻克，于2</w:t>
      </w:r>
      <w:r>
        <w:rPr>
          <w:rFonts w:eastAsia="仿宋_GB2312"/>
          <w:bCs/>
          <w:sz w:val="24"/>
        </w:rPr>
        <w:t>024</w:t>
      </w:r>
      <w:r>
        <w:rPr>
          <w:rFonts w:hint="eastAsia" w:eastAsia="仿宋_GB2312"/>
          <w:bCs/>
          <w:sz w:val="24"/>
        </w:rPr>
        <w:t>年6月，成立《梨木虱综合防治技术规程》标准修订工作组。</w:t>
      </w:r>
    </w:p>
    <w:p w14:paraId="304C7565">
      <w:pPr>
        <w:spacing w:line="400" w:lineRule="exact"/>
        <w:ind w:firstLine="480" w:firstLineChars="200"/>
        <w:rPr>
          <w:rFonts w:eastAsia="仿宋_GB2312"/>
          <w:bCs/>
          <w:sz w:val="24"/>
        </w:rPr>
      </w:pPr>
      <w:r>
        <w:rPr>
          <w:rFonts w:hint="eastAsia" w:eastAsia="仿宋_GB2312"/>
          <w:bCs/>
          <w:sz w:val="24"/>
        </w:rPr>
        <w:t>2、调研考察</w:t>
      </w:r>
    </w:p>
    <w:p w14:paraId="76D9D9F8">
      <w:pPr>
        <w:spacing w:line="360" w:lineRule="auto"/>
        <w:ind w:firstLine="480" w:firstLineChars="200"/>
        <w:rPr>
          <w:rFonts w:eastAsia="仿宋_GB2312"/>
          <w:bCs/>
          <w:sz w:val="24"/>
        </w:rPr>
      </w:pPr>
      <w:r>
        <w:rPr>
          <w:rFonts w:hint="eastAsia" w:eastAsia="仿宋_GB2312"/>
          <w:bCs/>
          <w:sz w:val="24"/>
        </w:rPr>
        <w:t>标准修订立项后，标准工作组先后前往临汾市、运城市、晋中市、忻州市等梨树主产区、传统产区，调研近年来梨树病虫害防控面临的主要问题与难点、药剂选择、防控效果与防控成本等内容，为标准框架和修订内容的确定奠定基础。在各大梨树产区梨树害虫的治理过程中，工作组参与技术服务和指导，对山西梨产区中梨木虱的发生情况、为害状况、治理现状等都有深入了解，在调研过程通过线上和线下推广梨木虱的综合防控技术并取得较好防效。</w:t>
      </w:r>
    </w:p>
    <w:p w14:paraId="563EC59C">
      <w:pPr>
        <w:spacing w:line="400" w:lineRule="exact"/>
        <w:ind w:firstLine="480" w:firstLineChars="200"/>
        <w:rPr>
          <w:rFonts w:eastAsia="仿宋_GB2312"/>
          <w:bCs/>
          <w:sz w:val="24"/>
        </w:rPr>
      </w:pPr>
      <w:r>
        <w:rPr>
          <w:rFonts w:hint="eastAsia" w:eastAsia="仿宋_GB2312"/>
          <w:bCs/>
          <w:sz w:val="24"/>
        </w:rPr>
        <w:t>3、收集资料</w:t>
      </w:r>
    </w:p>
    <w:p w14:paraId="37C41CA1">
      <w:pPr>
        <w:spacing w:line="360" w:lineRule="auto"/>
        <w:ind w:firstLine="480" w:firstLineChars="200"/>
        <w:jc w:val="left"/>
        <w:rPr>
          <w:rFonts w:eastAsia="仿宋_GB2312"/>
          <w:bCs/>
          <w:sz w:val="24"/>
        </w:rPr>
      </w:pPr>
      <w:r>
        <w:rPr>
          <w:rFonts w:hint="eastAsia" w:eastAsia="仿宋_GB2312"/>
          <w:bCs/>
          <w:sz w:val="24"/>
        </w:rPr>
        <w:t xml:space="preserve">......在拟订标准的过程中查阅和学习了《梨木虱测报方法研究》《梨木虱的简易测报及防治措施》。参考了标准“梨主要病虫害防治技术规程”标准号：NY/T 2157-2012；“农药田间药效试验准则(一)杀虫剂防治梨木虱”标准号：GB/T 17980.10-2000；“梨木虱综合防治技术规程”标准号DB14/T 798-2013; DB34/T 452-2004 梨木虱测报调查规范;  DB37/T 1553-2010 梨木虱测报调查规范  另通过实地调研与试验反复观察总结、优化了防治技术方案，在多次整理与修改后，初步形成山西省地方标准《梨木虱综合防治技术规程》。                                                                                                                                                                     </w:t>
      </w:r>
    </w:p>
    <w:p w14:paraId="46D5F6C3">
      <w:pPr>
        <w:spacing w:line="400" w:lineRule="exact"/>
        <w:ind w:firstLine="480" w:firstLineChars="200"/>
        <w:rPr>
          <w:rFonts w:eastAsia="仿宋_GB2312"/>
          <w:bCs/>
          <w:sz w:val="24"/>
        </w:rPr>
      </w:pPr>
      <w:r>
        <w:rPr>
          <w:rFonts w:hint="eastAsia" w:eastAsia="仿宋_GB2312"/>
          <w:bCs/>
          <w:sz w:val="24"/>
        </w:rPr>
        <w:t>4、修订文本</w:t>
      </w:r>
    </w:p>
    <w:p w14:paraId="6A8718CA">
      <w:pPr>
        <w:spacing w:line="360" w:lineRule="auto"/>
        <w:ind w:firstLine="480" w:firstLineChars="200"/>
        <w:rPr>
          <w:rFonts w:eastAsia="仿宋_GB2312"/>
          <w:bCs/>
          <w:sz w:val="24"/>
        </w:rPr>
      </w:pPr>
      <w:r>
        <w:rPr>
          <w:rFonts w:hint="eastAsia" w:eastAsia="仿宋_GB2312"/>
          <w:bCs/>
          <w:sz w:val="24"/>
        </w:rPr>
        <w:t>202</w:t>
      </w:r>
      <w:r>
        <w:rPr>
          <w:rFonts w:eastAsia="仿宋_GB2312"/>
          <w:bCs/>
          <w:sz w:val="24"/>
        </w:rPr>
        <w:t>4</w:t>
      </w:r>
      <w:r>
        <w:rPr>
          <w:rFonts w:hint="eastAsia" w:eastAsia="仿宋_GB2312"/>
          <w:bCs/>
          <w:sz w:val="24"/>
        </w:rPr>
        <w:t>年8月，标准修订工作组依据相关文献、调研报告、网站数字信息等内容，对标准的框架和修订内容进行讨论，确定《梨木虱综合防治技术规程》编写大纲，对梨木虱的描述、防控原则、防控技术和、常用农药种类进行详细修订。</w:t>
      </w:r>
      <w:r>
        <w:rPr>
          <w:rFonts w:eastAsia="仿宋_GB2312"/>
          <w:bCs/>
          <w:sz w:val="24"/>
        </w:rPr>
        <w:t>8</w:t>
      </w:r>
      <w:r>
        <w:rPr>
          <w:rFonts w:hint="eastAsia" w:eastAsia="仿宋_GB2312"/>
          <w:bCs/>
          <w:sz w:val="24"/>
        </w:rPr>
        <w:t>月底完成标准修订文本初稿；2024年</w:t>
      </w:r>
      <w:r>
        <w:rPr>
          <w:rFonts w:eastAsia="仿宋_GB2312"/>
          <w:bCs/>
          <w:sz w:val="24"/>
        </w:rPr>
        <w:t>9</w:t>
      </w:r>
      <w:r>
        <w:rPr>
          <w:rFonts w:hint="eastAsia" w:eastAsia="仿宋_GB2312"/>
          <w:bCs/>
          <w:sz w:val="24"/>
        </w:rPr>
        <w:t>月完成标准意见反馈表征集，并根据反馈意见对标准文本进行修改，最终完成《梨木虱综合防治技术规程》送审稿和编制说明编写工作。通过向社会，科研院所，地方植保部门等进行沟通和了解，确定了梨木虱综合防治技术的初步文本。</w:t>
      </w:r>
    </w:p>
    <w:p w14:paraId="609AD8C6">
      <w:pPr>
        <w:spacing w:line="400" w:lineRule="exact"/>
        <w:ind w:firstLine="480" w:firstLineChars="200"/>
        <w:rPr>
          <w:rFonts w:eastAsia="仿宋_GB2312"/>
          <w:bCs/>
          <w:sz w:val="24"/>
        </w:rPr>
      </w:pPr>
      <w:r>
        <w:rPr>
          <w:rFonts w:hint="eastAsia" w:eastAsia="仿宋_GB2312"/>
          <w:bCs/>
          <w:sz w:val="24"/>
        </w:rPr>
        <w:t>5、标准评审</w:t>
      </w:r>
    </w:p>
    <w:p w14:paraId="27B6160E">
      <w:pPr>
        <w:spacing w:line="400" w:lineRule="exact"/>
        <w:ind w:firstLine="480" w:firstLineChars="200"/>
        <w:rPr>
          <w:rFonts w:eastAsia="仿宋_GB2312"/>
          <w:bCs/>
          <w:sz w:val="24"/>
        </w:rPr>
      </w:pPr>
      <w:r>
        <w:rPr>
          <w:rFonts w:hint="eastAsia" w:eastAsia="仿宋_GB2312"/>
          <w:bCs/>
          <w:sz w:val="24"/>
        </w:rPr>
        <w:t>2024年</w:t>
      </w:r>
      <w:r>
        <w:rPr>
          <w:rFonts w:eastAsia="仿宋_GB2312"/>
          <w:bCs/>
          <w:sz w:val="24"/>
        </w:rPr>
        <w:t>10</w:t>
      </w:r>
      <w:r>
        <w:rPr>
          <w:rFonts w:hint="eastAsia" w:eastAsia="仿宋_GB2312"/>
          <w:bCs/>
          <w:sz w:val="24"/>
        </w:rPr>
        <w:t>月</w:t>
      </w:r>
      <w:r>
        <w:rPr>
          <w:rFonts w:eastAsia="仿宋_GB2312"/>
          <w:bCs/>
          <w:sz w:val="24"/>
        </w:rPr>
        <w:t>18</w:t>
      </w:r>
      <w:r>
        <w:rPr>
          <w:rFonts w:hint="eastAsia" w:eastAsia="仿宋_GB2312"/>
          <w:bCs/>
          <w:sz w:val="24"/>
        </w:rPr>
        <w:t>日，山西省市场监督管理局组织相关专家进行标准审查，形成标准评审意见。</w:t>
      </w:r>
    </w:p>
    <w:p w14:paraId="7383A78A">
      <w:pPr>
        <w:spacing w:line="360" w:lineRule="auto"/>
        <w:ind w:firstLine="480" w:firstLineChars="200"/>
        <w:outlineLvl w:val="0"/>
        <w:rPr>
          <w:rFonts w:ascii="黑体" w:eastAsia="黑体"/>
          <w:sz w:val="24"/>
        </w:rPr>
      </w:pPr>
      <w:r>
        <w:rPr>
          <w:rFonts w:hint="eastAsia" w:ascii="黑体" w:eastAsia="黑体"/>
          <w:sz w:val="24"/>
        </w:rPr>
        <w:t>四</w:t>
      </w:r>
      <w:r>
        <w:rPr>
          <w:rFonts w:ascii="黑体" w:eastAsia="黑体"/>
          <w:sz w:val="24"/>
        </w:rPr>
        <w:t>、</w:t>
      </w:r>
      <w:r>
        <w:rPr>
          <w:rFonts w:hint="eastAsia" w:ascii="黑体" w:eastAsia="黑体"/>
          <w:sz w:val="24"/>
        </w:rPr>
        <w:t>制修</w:t>
      </w:r>
      <w:r>
        <w:rPr>
          <w:rFonts w:ascii="黑体" w:eastAsia="黑体"/>
          <w:sz w:val="24"/>
        </w:rPr>
        <w:t>订标准的原则和依据，与现行法律、法规、标准的关系</w:t>
      </w:r>
    </w:p>
    <w:p w14:paraId="3D0D9968">
      <w:pPr>
        <w:spacing w:line="400" w:lineRule="exact"/>
        <w:ind w:firstLine="360" w:firstLineChars="150"/>
        <w:rPr>
          <w:rFonts w:eastAsia="仿宋_GB2312"/>
          <w:bCs/>
          <w:sz w:val="24"/>
        </w:rPr>
      </w:pPr>
      <w:r>
        <w:rPr>
          <w:rFonts w:hint="eastAsia" w:eastAsia="仿宋_GB2312"/>
          <w:bCs/>
          <w:sz w:val="24"/>
        </w:rPr>
        <w:t>1</w:t>
      </w:r>
      <w:r>
        <w:rPr>
          <w:rFonts w:eastAsia="仿宋_GB2312"/>
          <w:bCs/>
          <w:sz w:val="24"/>
        </w:rPr>
        <w:t xml:space="preserve">. </w:t>
      </w:r>
      <w:r>
        <w:rPr>
          <w:rFonts w:hint="eastAsia" w:eastAsia="仿宋_GB2312"/>
          <w:bCs/>
          <w:sz w:val="24"/>
        </w:rPr>
        <w:t>原则和依据</w:t>
      </w:r>
    </w:p>
    <w:p w14:paraId="138AED64">
      <w:pPr>
        <w:spacing w:line="360" w:lineRule="auto"/>
        <w:ind w:firstLine="360" w:firstLineChars="150"/>
        <w:rPr>
          <w:rFonts w:eastAsia="仿宋_GB2312"/>
          <w:bCs/>
          <w:sz w:val="24"/>
        </w:rPr>
      </w:pPr>
      <w:r>
        <w:rPr>
          <w:rFonts w:hint="eastAsia" w:eastAsia="仿宋_GB2312"/>
          <w:bCs/>
          <w:sz w:val="24"/>
        </w:rPr>
        <w:t>科学性原则。参照GB/T 8321 (所有部分) 农药合理使用准则和山西农业大学果树研究所植保团队多年生产实践经验及科研成果制定。团队一直致力于梨木虱生态学和相关防控研究工作，在梨木虱生物学、生态学及防控方面积累有夯实的经验，目前团队发表有关梨木虱相关文章2</w:t>
      </w:r>
      <w:r>
        <w:rPr>
          <w:rFonts w:eastAsia="仿宋_GB2312"/>
          <w:bCs/>
          <w:sz w:val="24"/>
        </w:rPr>
        <w:t>0</w:t>
      </w:r>
      <w:r>
        <w:rPr>
          <w:rFonts w:hint="eastAsia" w:eastAsia="仿宋_GB2312"/>
          <w:bCs/>
          <w:sz w:val="24"/>
        </w:rPr>
        <w:t>余篇并起草制定山西省地方标准</w:t>
      </w:r>
      <w:r>
        <w:rPr>
          <w:rFonts w:eastAsia="仿宋_GB2312"/>
          <w:bCs/>
          <w:sz w:val="24"/>
        </w:rPr>
        <w:t>DB 14/ T2216—2020</w:t>
      </w:r>
      <w:r>
        <w:rPr>
          <w:rFonts w:hint="eastAsia" w:eastAsia="仿宋_GB2312"/>
          <w:bCs/>
          <w:sz w:val="24"/>
        </w:rPr>
        <w:t>《梨木虱测报调查规范》，上述工作为《梨木虱综合防治技术规程》科学修订奠定了基础。</w:t>
      </w:r>
    </w:p>
    <w:p w14:paraId="61F0C016">
      <w:pPr>
        <w:spacing w:line="400" w:lineRule="exact"/>
        <w:ind w:firstLine="300" w:firstLineChars="150"/>
        <w:rPr>
          <w:rFonts w:eastAsia="仿宋_GB2312"/>
          <w:bCs/>
          <w:sz w:val="20"/>
          <w:szCs w:val="20"/>
        </w:rPr>
      </w:pPr>
      <w:r>
        <w:rPr>
          <w:rFonts w:hint="eastAsia" w:eastAsia="仿宋_GB2312"/>
          <w:bCs/>
          <w:sz w:val="20"/>
          <w:szCs w:val="20"/>
        </w:rPr>
        <w:t xml:space="preserve">[1] 薛涪, 纪心如, 高欣, 赵龙龙, 杨金宇, 冀佳悦, 马瑞燕. 梨木虱若虫的盾形构造对异色瓢虫捕食效率的影响[J]. 中国生物防治学报, 2024, 40 (05): 977-986. </w:t>
      </w:r>
    </w:p>
    <w:p w14:paraId="385C7F14">
      <w:pPr>
        <w:spacing w:line="400" w:lineRule="exact"/>
        <w:ind w:firstLine="300" w:firstLineChars="150"/>
        <w:rPr>
          <w:rFonts w:eastAsia="仿宋_GB2312"/>
          <w:bCs/>
          <w:sz w:val="20"/>
          <w:szCs w:val="20"/>
        </w:rPr>
      </w:pPr>
      <w:r>
        <w:rPr>
          <w:rFonts w:hint="eastAsia" w:eastAsia="仿宋_GB2312"/>
          <w:bCs/>
          <w:sz w:val="20"/>
          <w:szCs w:val="20"/>
        </w:rPr>
        <w:t xml:space="preserve">[2] 赵龙龙, 张未仲, 胡增丽, 刘朝红. 低温和外源水分对中国梨木虱耐寒性和存活率的影响[J]. 西北农业学报, 2022, 31 (11): 1514-1520. </w:t>
      </w:r>
    </w:p>
    <w:p w14:paraId="60FC56AD">
      <w:pPr>
        <w:spacing w:line="400" w:lineRule="exact"/>
        <w:ind w:firstLine="300" w:firstLineChars="150"/>
        <w:rPr>
          <w:rFonts w:eastAsia="仿宋_GB2312"/>
          <w:bCs/>
          <w:sz w:val="20"/>
          <w:szCs w:val="20"/>
        </w:rPr>
      </w:pPr>
      <w:r>
        <w:rPr>
          <w:rFonts w:hint="eastAsia" w:eastAsia="仿宋_GB2312"/>
          <w:bCs/>
          <w:sz w:val="20"/>
          <w:szCs w:val="20"/>
        </w:rPr>
        <w:t xml:space="preserve">[3] 纪心如, 赵龙龙. 中国梨木虱第一代若虫空间分布特征[J]. 植物医学, 2022, 1 (04): 44-51. </w:t>
      </w:r>
    </w:p>
    <w:p w14:paraId="33A81A5E">
      <w:pPr>
        <w:spacing w:line="400" w:lineRule="exact"/>
        <w:ind w:firstLine="300" w:firstLineChars="150"/>
        <w:rPr>
          <w:rFonts w:eastAsia="仿宋_GB2312"/>
          <w:bCs/>
          <w:sz w:val="20"/>
          <w:szCs w:val="20"/>
        </w:rPr>
      </w:pPr>
      <w:r>
        <w:rPr>
          <w:rFonts w:hint="eastAsia" w:eastAsia="仿宋_GB2312"/>
          <w:bCs/>
          <w:sz w:val="20"/>
          <w:szCs w:val="20"/>
        </w:rPr>
        <w:t xml:space="preserve">[4] 赵龙龙, 卫洁, 谢映平, 李捷. 中国梨木虱翅型变化及其影响因素初探[J]. 浙江农业学报, 2022, 34 (01): 120-127. </w:t>
      </w:r>
    </w:p>
    <w:p w14:paraId="0DDEBBA4">
      <w:pPr>
        <w:spacing w:line="400" w:lineRule="exact"/>
        <w:ind w:firstLine="300" w:firstLineChars="150"/>
        <w:rPr>
          <w:rFonts w:eastAsia="仿宋_GB2312"/>
          <w:bCs/>
          <w:sz w:val="20"/>
          <w:szCs w:val="20"/>
        </w:rPr>
      </w:pPr>
      <w:r>
        <w:rPr>
          <w:rFonts w:hint="eastAsia" w:eastAsia="仿宋_GB2312"/>
          <w:bCs/>
          <w:sz w:val="20"/>
          <w:szCs w:val="20"/>
        </w:rPr>
        <w:t xml:space="preserve">[5] 赵龙龙, 卫洁, 刘朝红, 胡增丽, 张未仲, 马瑞燕. 中国梨木虱关键发生期与气温关系研究[J]. 上海农业学报, 2021, 37 (05): 68-72. </w:t>
      </w:r>
    </w:p>
    <w:p w14:paraId="24F0573B">
      <w:pPr>
        <w:spacing w:line="400" w:lineRule="exact"/>
        <w:ind w:firstLine="300" w:firstLineChars="150"/>
        <w:rPr>
          <w:rFonts w:eastAsia="仿宋_GB2312"/>
          <w:bCs/>
          <w:sz w:val="20"/>
          <w:szCs w:val="20"/>
        </w:rPr>
      </w:pPr>
      <w:r>
        <w:rPr>
          <w:rFonts w:hint="eastAsia" w:eastAsia="仿宋_GB2312"/>
          <w:bCs/>
          <w:sz w:val="20"/>
          <w:szCs w:val="20"/>
        </w:rPr>
        <w:t xml:space="preserve">[6] 赵龙龙, 张未仲, 刘朝红, 胡增丽. 4种矿物源农药对冬型中国梨木虱卵灭杀效果的研究[J]. 植物医生, 2021, 34 (04): 36-40. </w:t>
      </w:r>
    </w:p>
    <w:p w14:paraId="1F4B9831">
      <w:pPr>
        <w:spacing w:line="400" w:lineRule="exact"/>
        <w:ind w:firstLine="300" w:firstLineChars="150"/>
        <w:rPr>
          <w:rFonts w:eastAsia="仿宋_GB2312"/>
          <w:bCs/>
          <w:sz w:val="20"/>
          <w:szCs w:val="20"/>
        </w:rPr>
      </w:pPr>
      <w:r>
        <w:rPr>
          <w:rFonts w:hint="eastAsia" w:eastAsia="仿宋_GB2312"/>
          <w:bCs/>
          <w:sz w:val="20"/>
          <w:szCs w:val="20"/>
        </w:rPr>
        <w:t xml:space="preserve">[7] 赵龙龙, 付振鑫, 赵志国. 中国梨木虱的越冬特点及其防治研究[J]. 植物医生, 2021, 34 (04): 56-61. </w:t>
      </w:r>
    </w:p>
    <w:p w14:paraId="248B8795">
      <w:pPr>
        <w:spacing w:line="400" w:lineRule="exact"/>
        <w:ind w:firstLine="300" w:firstLineChars="150"/>
        <w:rPr>
          <w:rFonts w:eastAsia="仿宋_GB2312"/>
          <w:bCs/>
          <w:sz w:val="20"/>
          <w:szCs w:val="20"/>
        </w:rPr>
      </w:pPr>
      <w:r>
        <w:rPr>
          <w:rFonts w:hint="eastAsia" w:eastAsia="仿宋_GB2312"/>
          <w:bCs/>
          <w:sz w:val="20"/>
          <w:szCs w:val="20"/>
        </w:rPr>
        <w:t xml:space="preserve">[8] 赵龙龙, 刘朝红, 张未仲, 胡增丽. 越冬代梨木虱、梨二叉蚜产卵选择对子代种间竞争的影响[J]. 环境昆虫学报, 2022, 44 (04): 903-909. </w:t>
      </w:r>
    </w:p>
    <w:p w14:paraId="04C14CF3">
      <w:pPr>
        <w:spacing w:line="400" w:lineRule="exact"/>
        <w:ind w:firstLine="300" w:firstLineChars="150"/>
        <w:rPr>
          <w:rFonts w:eastAsia="仿宋_GB2312"/>
          <w:bCs/>
          <w:sz w:val="20"/>
          <w:szCs w:val="20"/>
        </w:rPr>
      </w:pPr>
      <w:r>
        <w:rPr>
          <w:rFonts w:hint="eastAsia" w:eastAsia="仿宋_GB2312"/>
          <w:bCs/>
          <w:sz w:val="20"/>
          <w:szCs w:val="20"/>
        </w:rPr>
        <w:t xml:space="preserve">[9] 赵龙龙, 刘朝红, 胡增丽, 张未仲, 马瑞燕. 不同温度梯度及频率的冻融对冬型中国梨木虱存活的影响[J]. 植物保护, 2021, 47 (04): 107-112. </w:t>
      </w:r>
    </w:p>
    <w:p w14:paraId="46CBDE46">
      <w:pPr>
        <w:spacing w:line="400" w:lineRule="exact"/>
        <w:ind w:firstLine="300" w:firstLineChars="150"/>
        <w:rPr>
          <w:rFonts w:eastAsia="仿宋_GB2312"/>
          <w:bCs/>
          <w:sz w:val="20"/>
          <w:szCs w:val="20"/>
        </w:rPr>
      </w:pPr>
      <w:r>
        <w:rPr>
          <w:rFonts w:hint="eastAsia" w:eastAsia="仿宋_GB2312"/>
          <w:bCs/>
          <w:sz w:val="20"/>
          <w:szCs w:val="20"/>
        </w:rPr>
        <w:t xml:space="preserve">[10] 赵龙龙, 刘鍪, 卫洁, 马瑞燕. 不同颜色粘虫板对中国梨木虱的诱捕效果[J]. 中国果树, 2021, (03): 39-42. </w:t>
      </w:r>
    </w:p>
    <w:p w14:paraId="7EDE7172">
      <w:pPr>
        <w:spacing w:line="400" w:lineRule="exact"/>
        <w:ind w:firstLine="300" w:firstLineChars="150"/>
        <w:rPr>
          <w:rFonts w:eastAsia="仿宋_GB2312"/>
          <w:bCs/>
          <w:sz w:val="20"/>
          <w:szCs w:val="20"/>
        </w:rPr>
      </w:pPr>
      <w:r>
        <w:rPr>
          <w:rFonts w:hint="eastAsia" w:eastAsia="仿宋_GB2312"/>
          <w:bCs/>
          <w:sz w:val="20"/>
          <w:szCs w:val="20"/>
        </w:rPr>
        <w:t xml:space="preserve">[11] 赵龙龙, 张未仲. 温度和水分对越冬代冬型中国梨木虱存活的影响[J]. 植物医生, 2021, 34 (01): 52-56. </w:t>
      </w:r>
    </w:p>
    <w:p w14:paraId="4F0809D1">
      <w:pPr>
        <w:spacing w:line="400" w:lineRule="exact"/>
        <w:ind w:firstLine="300" w:firstLineChars="150"/>
        <w:rPr>
          <w:rFonts w:eastAsia="仿宋_GB2312"/>
          <w:bCs/>
          <w:sz w:val="20"/>
          <w:szCs w:val="20"/>
        </w:rPr>
      </w:pPr>
      <w:r>
        <w:rPr>
          <w:rFonts w:hint="eastAsia" w:eastAsia="仿宋_GB2312"/>
          <w:bCs/>
          <w:sz w:val="20"/>
          <w:szCs w:val="20"/>
        </w:rPr>
        <w:t xml:space="preserve">[12] 赵龙龙. 中国梨木虱成灾原因分析及防治建议[J]. 特种经济动植物, 2020, 23 (11): 77-79. </w:t>
      </w:r>
    </w:p>
    <w:p w14:paraId="2A749AB0">
      <w:pPr>
        <w:spacing w:line="400" w:lineRule="exact"/>
        <w:ind w:firstLine="300" w:firstLineChars="150"/>
        <w:rPr>
          <w:rFonts w:eastAsia="仿宋_GB2312"/>
          <w:bCs/>
          <w:sz w:val="20"/>
          <w:szCs w:val="20"/>
        </w:rPr>
      </w:pPr>
      <w:r>
        <w:rPr>
          <w:rFonts w:hint="eastAsia" w:eastAsia="仿宋_GB2312"/>
          <w:bCs/>
          <w:sz w:val="20"/>
          <w:szCs w:val="20"/>
        </w:rPr>
        <w:t xml:space="preserve">[13] 张未仲, 赵龙龙, 胡增丽, 刘朝红, 韩凤. 几种药剂对不同发育阶段冬型梨木虱卵的防控效果评价[J]. 农药, 2020, 59 (11): 842-845. </w:t>
      </w:r>
    </w:p>
    <w:p w14:paraId="656D7FCF">
      <w:pPr>
        <w:spacing w:line="400" w:lineRule="exact"/>
        <w:ind w:firstLine="300" w:firstLineChars="150"/>
        <w:rPr>
          <w:rFonts w:eastAsia="仿宋_GB2312"/>
          <w:bCs/>
          <w:sz w:val="20"/>
          <w:szCs w:val="20"/>
        </w:rPr>
      </w:pPr>
      <w:r>
        <w:rPr>
          <w:rFonts w:hint="eastAsia" w:eastAsia="仿宋_GB2312"/>
          <w:bCs/>
          <w:sz w:val="20"/>
          <w:szCs w:val="20"/>
        </w:rPr>
        <w:t xml:space="preserve">[14] 魏明峰, 赵龙龙, 姚众, 刘珍, 张未仲. 一种降低梨木虱种群基数的防治方法[J]. 植物医生, 2020, 33 (05): 42-44. </w:t>
      </w:r>
    </w:p>
    <w:p w14:paraId="35A612EE">
      <w:pPr>
        <w:spacing w:line="400" w:lineRule="exact"/>
        <w:ind w:firstLine="300" w:firstLineChars="150"/>
        <w:rPr>
          <w:rFonts w:eastAsia="仿宋_GB2312"/>
          <w:bCs/>
          <w:sz w:val="20"/>
          <w:szCs w:val="20"/>
        </w:rPr>
      </w:pPr>
      <w:r>
        <w:rPr>
          <w:rFonts w:hint="eastAsia" w:eastAsia="仿宋_GB2312"/>
          <w:bCs/>
          <w:sz w:val="20"/>
          <w:szCs w:val="20"/>
        </w:rPr>
        <w:t xml:space="preserve">[15] 赵龙龙, 刘朝红, 张未仲, 胡增丽, 杨海波. 梨木虱跳小蜂对中国梨喀木虱自然防控效果评价[J]. 中国植保导刊, 2020, 40 (01): 72-74+88. </w:t>
      </w:r>
    </w:p>
    <w:p w14:paraId="76303EFF">
      <w:pPr>
        <w:spacing w:line="400" w:lineRule="exact"/>
        <w:ind w:firstLine="300" w:firstLineChars="150"/>
        <w:rPr>
          <w:rFonts w:eastAsia="仿宋_GB2312"/>
          <w:bCs/>
          <w:sz w:val="20"/>
          <w:szCs w:val="20"/>
        </w:rPr>
      </w:pPr>
      <w:r>
        <w:rPr>
          <w:rFonts w:hint="eastAsia" w:eastAsia="仿宋_GB2312"/>
          <w:bCs/>
          <w:sz w:val="20"/>
          <w:szCs w:val="20"/>
        </w:rPr>
        <w:t xml:space="preserve">[16] 赵龙龙, 张未仲, 胡增丽, 韩凤. 山西省太谷县梨木虱发生规律的调查[J]. 落叶果树, 2019, 51 (06): 46-48. </w:t>
      </w:r>
    </w:p>
    <w:p w14:paraId="64C944D4">
      <w:pPr>
        <w:spacing w:line="400" w:lineRule="exact"/>
        <w:ind w:firstLine="300" w:firstLineChars="150"/>
        <w:rPr>
          <w:rFonts w:eastAsia="仿宋_GB2312"/>
          <w:bCs/>
          <w:sz w:val="20"/>
          <w:szCs w:val="20"/>
        </w:rPr>
      </w:pPr>
      <w:r>
        <w:rPr>
          <w:rFonts w:hint="eastAsia" w:eastAsia="仿宋_GB2312"/>
          <w:bCs/>
          <w:sz w:val="20"/>
          <w:szCs w:val="20"/>
        </w:rPr>
        <w:t xml:space="preserve">[17] 赵龙龙, 张未仲, 胡增丽, 刘朝红, 韩凤, 李捷. 冬型中国梨木虱在梨树不同部位的产卵特点[J]. 植物保护, 2019, 45 (04): 201-204. </w:t>
      </w:r>
    </w:p>
    <w:p w14:paraId="49C5E444">
      <w:pPr>
        <w:spacing w:line="400" w:lineRule="exact"/>
        <w:ind w:firstLine="300" w:firstLineChars="150"/>
        <w:rPr>
          <w:rFonts w:eastAsia="仿宋_GB2312"/>
          <w:bCs/>
          <w:sz w:val="20"/>
          <w:szCs w:val="20"/>
        </w:rPr>
      </w:pPr>
      <w:r>
        <w:rPr>
          <w:rFonts w:hint="eastAsia" w:eastAsia="仿宋_GB2312"/>
          <w:bCs/>
          <w:sz w:val="20"/>
          <w:szCs w:val="20"/>
        </w:rPr>
        <w:t>[18] 赵龙龙, 周旭凌, 张未仲, 李庆亮, 胡增丽, 郭黄萍. 梨木虱和天敌草蛉的空间分布特征[J]. 北方园艺, 2018, (11): 55-60.</w:t>
      </w:r>
    </w:p>
    <w:p w14:paraId="5BB3E1C1">
      <w:pPr>
        <w:spacing w:line="400" w:lineRule="exact"/>
        <w:ind w:firstLine="300" w:firstLineChars="150"/>
        <w:rPr>
          <w:rFonts w:eastAsia="仿宋_GB2312"/>
          <w:bCs/>
          <w:sz w:val="20"/>
          <w:szCs w:val="20"/>
        </w:rPr>
      </w:pPr>
      <w:r>
        <w:rPr>
          <w:rFonts w:hint="eastAsia" w:eastAsia="仿宋_GB2312"/>
          <w:bCs/>
          <w:sz w:val="20"/>
          <w:szCs w:val="20"/>
        </w:rPr>
        <w:t>[1</w:t>
      </w:r>
      <w:r>
        <w:rPr>
          <w:rFonts w:eastAsia="仿宋_GB2312"/>
          <w:bCs/>
          <w:sz w:val="20"/>
          <w:szCs w:val="20"/>
        </w:rPr>
        <w:t>9</w:t>
      </w:r>
      <w:r>
        <w:rPr>
          <w:rFonts w:hint="eastAsia" w:eastAsia="仿宋_GB2312"/>
          <w:bCs/>
          <w:sz w:val="20"/>
          <w:szCs w:val="20"/>
        </w:rPr>
        <w:t xml:space="preserve">] 高欣, 喻强, 刘妍, 赵龙龙, 冀佳悦, 马瑞燕. 中国梨喀木虱若虫为什么能在蜜露中呼吸？[J]. 环境昆虫学报, 1-12. </w:t>
      </w:r>
    </w:p>
    <w:p w14:paraId="5DB41390">
      <w:pPr>
        <w:spacing w:line="400" w:lineRule="exact"/>
        <w:ind w:firstLine="300" w:firstLineChars="150"/>
        <w:rPr>
          <w:rFonts w:eastAsia="仿宋_GB2312"/>
          <w:bCs/>
          <w:sz w:val="20"/>
          <w:szCs w:val="20"/>
        </w:rPr>
      </w:pPr>
      <w:r>
        <w:rPr>
          <w:rFonts w:hint="eastAsia" w:eastAsia="仿宋_GB2312"/>
          <w:bCs/>
          <w:sz w:val="20"/>
          <w:szCs w:val="20"/>
        </w:rPr>
        <w:t>[2</w:t>
      </w:r>
      <w:r>
        <w:rPr>
          <w:rFonts w:eastAsia="仿宋_GB2312"/>
          <w:bCs/>
          <w:sz w:val="20"/>
          <w:szCs w:val="20"/>
        </w:rPr>
        <w:t>0</w:t>
      </w:r>
      <w:r>
        <w:rPr>
          <w:rFonts w:hint="eastAsia" w:eastAsia="仿宋_GB2312"/>
          <w:bCs/>
          <w:sz w:val="20"/>
          <w:szCs w:val="20"/>
        </w:rPr>
        <w:t>] 赵龙龙, 高欣, 薛涪, 冀佳悦, 魏明峰, 马瑞燕. 中国梨喀木虱对六种非寄主越冬植物的适应性[J]. 植物保护学报, 2024, 51 (03): 592-599.</w:t>
      </w:r>
    </w:p>
    <w:p w14:paraId="4962592F">
      <w:pPr>
        <w:spacing w:line="360" w:lineRule="auto"/>
        <w:ind w:firstLine="600" w:firstLineChars="250"/>
        <w:rPr>
          <w:rFonts w:eastAsia="仿宋_GB2312"/>
          <w:bCs/>
          <w:sz w:val="24"/>
        </w:rPr>
      </w:pPr>
      <w:r>
        <w:rPr>
          <w:rFonts w:hint="eastAsia" w:eastAsia="仿宋_GB2312"/>
          <w:bCs/>
          <w:sz w:val="24"/>
        </w:rPr>
        <w:t>适用性原则。本标准中各项技术均来自于试验数据和生产实践积累，描述具体，且引进了最新的研究成果和实践经验。</w:t>
      </w:r>
    </w:p>
    <w:p w14:paraId="0B0735A5">
      <w:pPr>
        <w:spacing w:line="360" w:lineRule="auto"/>
        <w:ind w:firstLine="360" w:firstLineChars="150"/>
        <w:rPr>
          <w:rFonts w:eastAsia="仿宋_GB2312"/>
          <w:bCs/>
          <w:sz w:val="24"/>
        </w:rPr>
      </w:pPr>
      <w:r>
        <w:rPr>
          <w:rFonts w:hint="eastAsia" w:eastAsia="仿宋_GB2312"/>
          <w:bCs/>
          <w:sz w:val="24"/>
        </w:rPr>
        <w:t>规范性原则。以GB/T1.1-2020《标准化工作导则 第一部分：标准的结构和编写》为编写原则，以有关标准和法律法规要求为导向，对本标准进行科学、合理制定。</w:t>
      </w:r>
    </w:p>
    <w:p w14:paraId="65D4FCE5">
      <w:pPr>
        <w:spacing w:line="360" w:lineRule="auto"/>
        <w:ind w:firstLine="360" w:firstLineChars="150"/>
        <w:rPr>
          <w:rFonts w:eastAsia="仿宋_GB2312"/>
          <w:bCs/>
          <w:sz w:val="24"/>
        </w:rPr>
      </w:pPr>
      <w:r>
        <w:rPr>
          <w:rFonts w:hint="eastAsia" w:eastAsia="仿宋_GB2312"/>
          <w:bCs/>
          <w:sz w:val="24"/>
        </w:rPr>
        <w:t>2、与现行法律、法规、标准的关系</w:t>
      </w:r>
    </w:p>
    <w:p w14:paraId="5CAA6C0E">
      <w:pPr>
        <w:spacing w:line="360" w:lineRule="auto"/>
        <w:ind w:firstLine="360" w:firstLineChars="150"/>
        <w:rPr>
          <w:rFonts w:eastAsia="仿宋_GB2312"/>
          <w:bCs/>
          <w:sz w:val="24"/>
        </w:rPr>
      </w:pPr>
      <w:r>
        <w:rPr>
          <w:rFonts w:hint="eastAsia" w:eastAsia="仿宋_GB2312"/>
          <w:bCs/>
          <w:sz w:val="24"/>
        </w:rPr>
        <w:t>本标准严格按照《中华人民共和国标准法》、《中华人民共和国农业法》、《中华人民共和国农业技术推广法》等有关法律和质量技术监督局《农业标准化管理办法》等规章执行。本标准根据GB/T1.1-2020规定的格式编写，内容和要求参照了相关法律规则，引用了现行的国家标准、行业标准，保证内容与现行法律、法规及强制标准没有冲突。以GB/T1.1-2009《标准化工作导则第一部分：标准的结构和编写》为编写原则，以有关标准和法律法规要求为导向，对本标准进行科学、合理修订。在标准的技术修订中充分进行了科学论证，并通过了试验的反复检验。在技术上主要根据我省气候特点，立地模式，栽培现状和梨树品种类型而制订，符合我省当前的生产和管理特点。另在标准制订过程中，以当前生产实际和果树有害生物防控要求为导向，符合当前生产管理理念并具有一定的前瞻性。</w:t>
      </w:r>
    </w:p>
    <w:p w14:paraId="1BCD98D3">
      <w:pPr>
        <w:spacing w:line="360" w:lineRule="auto"/>
        <w:ind w:firstLine="480" w:firstLineChars="200"/>
        <w:outlineLvl w:val="0"/>
        <w:rPr>
          <w:rFonts w:ascii="黑体" w:eastAsia="黑体"/>
          <w:sz w:val="24"/>
        </w:rPr>
      </w:pPr>
      <w:r>
        <w:rPr>
          <w:rFonts w:hint="eastAsia" w:ascii="黑体" w:eastAsia="黑体"/>
          <w:sz w:val="24"/>
        </w:rPr>
        <w:t>五</w:t>
      </w:r>
      <w:r>
        <w:rPr>
          <w:rFonts w:ascii="黑体" w:eastAsia="黑体"/>
          <w:sz w:val="24"/>
        </w:rPr>
        <w:t>、主要条款的说明，主要技术指标、参数、试验验证的分析、综合论述</w:t>
      </w:r>
    </w:p>
    <w:p w14:paraId="0D5BD273">
      <w:pPr>
        <w:spacing w:line="360" w:lineRule="auto"/>
        <w:ind w:firstLine="480" w:firstLineChars="200"/>
        <w:rPr>
          <w:rFonts w:eastAsia="仿宋_GB2312"/>
          <w:bCs/>
          <w:sz w:val="24"/>
        </w:rPr>
      </w:pPr>
      <w:r>
        <w:rPr>
          <w:rFonts w:hint="eastAsia" w:eastAsia="仿宋_GB2312"/>
          <w:bCs/>
          <w:sz w:val="24"/>
        </w:rPr>
        <w:t>标准起草组以“合法性、安全性、适应性、协调性和先进性”为修订原则，以文本结构更加合理、表述更加准确、技术指标更加科学为修订目标，从以下三个方面对文本进行了修订，其中：</w:t>
      </w:r>
    </w:p>
    <w:p w14:paraId="1D5C6C22">
      <w:pPr>
        <w:spacing w:line="360" w:lineRule="auto"/>
        <w:ind w:firstLine="480" w:firstLineChars="200"/>
        <w:rPr>
          <w:rFonts w:eastAsia="仿宋_GB2312"/>
          <w:bCs/>
          <w:sz w:val="24"/>
        </w:rPr>
      </w:pPr>
      <w:r>
        <w:rPr>
          <w:rFonts w:hint="eastAsia" w:eastAsia="仿宋_GB2312"/>
          <w:bCs/>
          <w:sz w:val="24"/>
        </w:rPr>
        <w:t>1、涉及结构性调整的主要有3项：</w:t>
      </w:r>
    </w:p>
    <w:p w14:paraId="332A469A">
      <w:pPr>
        <w:spacing w:line="360" w:lineRule="auto"/>
        <w:ind w:firstLine="480" w:firstLineChars="200"/>
        <w:rPr>
          <w:rFonts w:eastAsia="仿宋_GB2312"/>
          <w:bCs/>
          <w:sz w:val="24"/>
        </w:rPr>
      </w:pPr>
      <w:r>
        <w:rPr>
          <w:rFonts w:hint="eastAsia" w:eastAsia="仿宋_GB2312"/>
          <w:bCs/>
          <w:sz w:val="24"/>
        </w:rPr>
        <w:t>（1）增加了防治档案内容。修订原因：对梨木虱的相关防治做补充说明。</w:t>
      </w:r>
    </w:p>
    <w:p w14:paraId="1C69DCB4">
      <w:pPr>
        <w:spacing w:line="360" w:lineRule="auto"/>
        <w:ind w:firstLine="480" w:firstLineChars="200"/>
        <w:rPr>
          <w:rFonts w:eastAsia="仿宋_GB2312"/>
          <w:bCs/>
          <w:sz w:val="24"/>
        </w:rPr>
      </w:pPr>
      <w:r>
        <w:rPr>
          <w:rFonts w:hint="eastAsia" w:eastAsia="仿宋_GB2312"/>
          <w:bCs/>
          <w:sz w:val="24"/>
        </w:rPr>
        <w:t>（2）删除了化学农药中的毒死蜱等农药。修订原因：现有行规已不推荐毒死蜱用于梨树生产中。</w:t>
      </w:r>
    </w:p>
    <w:p w14:paraId="735EAC4A">
      <w:pPr>
        <w:spacing w:line="360" w:lineRule="auto"/>
        <w:ind w:firstLine="480" w:firstLineChars="200"/>
        <w:rPr>
          <w:rFonts w:eastAsia="仿宋_GB2312"/>
          <w:bCs/>
          <w:sz w:val="24"/>
        </w:rPr>
      </w:pPr>
      <w:r>
        <w:rPr>
          <w:rFonts w:hint="eastAsia" w:eastAsia="仿宋_GB2312"/>
          <w:bCs/>
          <w:sz w:val="24"/>
        </w:rPr>
        <w:t>（3）增加了农业防治措施内容。修订原因：部分已不符合当前生产实际，如通过调查梨木虱极少在土壤中越冬，此外，在实行田间管理时，普遍进行清洁果园措施，在清洁过程中，一并将梨木虱清除，因此，改正原消灭落叶下的越冬梨木虱等。</w:t>
      </w:r>
    </w:p>
    <w:p w14:paraId="74CAD3F4">
      <w:pPr>
        <w:spacing w:line="360" w:lineRule="auto"/>
        <w:ind w:firstLine="480" w:firstLineChars="200"/>
        <w:rPr>
          <w:rFonts w:eastAsia="仿宋_GB2312"/>
          <w:bCs/>
          <w:sz w:val="24"/>
        </w:rPr>
      </w:pPr>
      <w:r>
        <w:rPr>
          <w:rFonts w:hint="eastAsia" w:eastAsia="仿宋_GB2312"/>
          <w:bCs/>
          <w:sz w:val="24"/>
        </w:rPr>
        <w:t>（4）增加了物理防治内容，原有物理防治仅有覆地膜和剪除聚集为害的嫩梢，新增加粘虫板防治和喷施高岭土等，新增两项为当前绿色防治梨木虱的主要措施内容。</w:t>
      </w:r>
    </w:p>
    <w:p w14:paraId="5C796D29">
      <w:pPr>
        <w:spacing w:line="360" w:lineRule="auto"/>
        <w:ind w:firstLine="480" w:firstLineChars="200"/>
        <w:rPr>
          <w:rFonts w:hint="eastAsia" w:eastAsia="仿宋_GB2312"/>
          <w:bCs/>
          <w:sz w:val="24"/>
        </w:rPr>
      </w:pPr>
      <w:r>
        <w:rPr>
          <w:rFonts w:hint="eastAsia" w:eastAsia="仿宋_GB2312"/>
          <w:bCs/>
          <w:sz w:val="24"/>
        </w:rPr>
        <w:t xml:space="preserve"> （5）删除了术语和定义中有关梨木虱的解释和说明，因梨木虱是一种常见且发生较多的害虫，已成为共识。</w:t>
      </w:r>
    </w:p>
    <w:p w14:paraId="72D6D4DE">
      <w:pPr>
        <w:spacing w:line="360" w:lineRule="auto"/>
        <w:ind w:firstLine="480" w:firstLineChars="200"/>
        <w:rPr>
          <w:rFonts w:eastAsia="仿宋_GB2312"/>
          <w:bCs/>
          <w:sz w:val="24"/>
        </w:rPr>
      </w:pPr>
      <w:r>
        <w:rPr>
          <w:rFonts w:hint="eastAsia" w:eastAsia="仿宋_GB2312"/>
          <w:bCs/>
          <w:sz w:val="24"/>
        </w:rPr>
        <w:t>2、涉及表述与编辑性修改的主要有1项：</w:t>
      </w:r>
    </w:p>
    <w:p w14:paraId="768833EF">
      <w:pPr>
        <w:spacing w:line="360" w:lineRule="auto"/>
        <w:ind w:firstLine="480" w:firstLineChars="200"/>
        <w:rPr>
          <w:rFonts w:eastAsia="仿宋_GB2312"/>
          <w:bCs/>
          <w:sz w:val="24"/>
        </w:rPr>
      </w:pPr>
      <w:r>
        <w:rPr>
          <w:rFonts w:hint="eastAsia" w:eastAsia="仿宋_GB2312"/>
          <w:bCs/>
          <w:sz w:val="24"/>
        </w:rPr>
        <w:t>（1）更改了梨木虱翅长等描述。修订原因：梨木虱翅长和现有记录不相符。</w:t>
      </w:r>
    </w:p>
    <w:p w14:paraId="5ACB74DF">
      <w:pPr>
        <w:spacing w:line="360" w:lineRule="auto"/>
        <w:ind w:firstLine="480" w:firstLineChars="200"/>
        <w:rPr>
          <w:rFonts w:eastAsia="仿宋_GB2312"/>
          <w:bCs/>
          <w:sz w:val="24"/>
        </w:rPr>
      </w:pPr>
      <w:r>
        <w:rPr>
          <w:rFonts w:hint="eastAsia" w:eastAsia="仿宋_GB2312"/>
          <w:bCs/>
          <w:sz w:val="24"/>
        </w:rPr>
        <w:t>（2）更改了梨木虱发生规律等描述，修订原因：补充了新近有关梨木虱的研究内容，如出蛰、不同纬度发生情况。</w:t>
      </w:r>
    </w:p>
    <w:p w14:paraId="6145BB68">
      <w:pPr>
        <w:spacing w:line="360" w:lineRule="auto"/>
        <w:ind w:firstLine="480" w:firstLineChars="200"/>
        <w:rPr>
          <w:rFonts w:eastAsia="仿宋_GB2312"/>
          <w:bCs/>
          <w:sz w:val="24"/>
        </w:rPr>
      </w:pPr>
      <w:r>
        <w:rPr>
          <w:rFonts w:hint="eastAsia" w:eastAsia="仿宋_GB2312"/>
          <w:bCs/>
          <w:sz w:val="24"/>
        </w:rPr>
        <w:t>3、涉及到的技术指标主要有1项：</w:t>
      </w:r>
    </w:p>
    <w:p w14:paraId="35818EAB">
      <w:pPr>
        <w:spacing w:line="360" w:lineRule="auto"/>
        <w:ind w:firstLine="480" w:firstLineChars="200"/>
        <w:rPr>
          <w:rFonts w:eastAsia="仿宋_GB2312"/>
          <w:bCs/>
          <w:sz w:val="24"/>
        </w:rPr>
      </w:pPr>
      <w:r>
        <w:rPr>
          <w:rFonts w:hint="eastAsia" w:ascii="仿宋_GB2312" w:hAnsi="宋体" w:eastAsia="仿宋_GB2312"/>
          <w:sz w:val="24"/>
        </w:rPr>
        <w:t>（1）</w:t>
      </w:r>
      <w:r>
        <w:rPr>
          <w:rFonts w:hint="eastAsia" w:eastAsia="仿宋_GB2312"/>
          <w:bCs/>
          <w:sz w:val="24"/>
        </w:rPr>
        <w:t>梨木虱化学防治。修订原因，在中国农药信息网上查证了当前梨木虱防治的有关药剂和剂型，更新了药剂品类等。</w:t>
      </w:r>
    </w:p>
    <w:p w14:paraId="3C9790F8">
      <w:pPr>
        <w:spacing w:line="360" w:lineRule="auto"/>
        <w:ind w:firstLine="480" w:firstLineChars="20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w:t>
      </w:r>
      <w:r>
        <w:rPr>
          <w:rFonts w:ascii="黑体" w:eastAsia="黑体"/>
          <w:sz w:val="24"/>
        </w:rPr>
        <w:t>意见分歧的处理依据和结果</w:t>
      </w:r>
    </w:p>
    <w:p w14:paraId="40C13B76">
      <w:pPr>
        <w:spacing w:line="360" w:lineRule="auto"/>
        <w:ind w:firstLine="480" w:firstLineChars="200"/>
        <w:outlineLvl w:val="0"/>
        <w:rPr>
          <w:rFonts w:ascii="仿宋_GB2312" w:hAnsi="宋体" w:eastAsia="仿宋_GB2312"/>
          <w:sz w:val="24"/>
        </w:rPr>
      </w:pPr>
      <w:r>
        <w:rPr>
          <w:rFonts w:hint="eastAsia" w:ascii="仿宋_GB2312" w:hAnsi="宋体" w:eastAsia="仿宋_GB2312"/>
          <w:sz w:val="24"/>
        </w:rPr>
        <w:t>标准文本初稿形成后，修订工作组分别向山西农业大学棉花研究所，蒲县农业发展中心、大宁县科教局、临汾市农业生态保护发展中心发送意见反馈表</w:t>
      </w:r>
      <w:r>
        <w:rPr>
          <w:rFonts w:ascii="仿宋_GB2312" w:hAnsi="宋体" w:eastAsia="仿宋_GB2312"/>
          <w:sz w:val="24"/>
        </w:rPr>
        <w:t>4</w:t>
      </w:r>
      <w:r>
        <w:rPr>
          <w:rFonts w:hint="eastAsia" w:ascii="仿宋_GB2312" w:hAnsi="宋体" w:eastAsia="仿宋_GB2312"/>
          <w:sz w:val="24"/>
        </w:rPr>
        <w:t>份，收到意见反馈表</w:t>
      </w:r>
      <w:r>
        <w:rPr>
          <w:rFonts w:ascii="仿宋_GB2312" w:hAnsi="宋体" w:eastAsia="仿宋_GB2312"/>
          <w:sz w:val="24"/>
        </w:rPr>
        <w:t>4</w:t>
      </w:r>
      <w:r>
        <w:rPr>
          <w:rFonts w:hint="eastAsia" w:ascii="仿宋_GB2312" w:hAnsi="宋体" w:eastAsia="仿宋_GB2312"/>
          <w:sz w:val="24"/>
        </w:rPr>
        <w:t>份，提出修改意见</w:t>
      </w:r>
      <w:r>
        <w:rPr>
          <w:rFonts w:ascii="仿宋_GB2312" w:hAnsi="宋体" w:eastAsia="仿宋_GB2312"/>
          <w:sz w:val="24"/>
        </w:rPr>
        <w:t>10</w:t>
      </w:r>
      <w:r>
        <w:rPr>
          <w:rFonts w:hint="eastAsia" w:ascii="仿宋_GB2312" w:hAnsi="宋体" w:eastAsia="仿宋_GB2312"/>
          <w:sz w:val="24"/>
        </w:rPr>
        <w:t>条，采纳意见</w:t>
      </w:r>
      <w:r>
        <w:rPr>
          <w:rFonts w:ascii="仿宋_GB2312" w:hAnsi="宋体" w:eastAsia="仿宋_GB2312"/>
          <w:sz w:val="24"/>
        </w:rPr>
        <w:t>10</w:t>
      </w:r>
      <w:r>
        <w:rPr>
          <w:rFonts w:hint="eastAsia" w:ascii="仿宋_GB2312" w:hAnsi="宋体" w:eastAsia="仿宋_GB2312"/>
          <w:sz w:val="24"/>
        </w:rPr>
        <w:t>条，未采纳意见0条（详见附表）。工作组已针对收到的反馈意见对标准文本进行了修改，最终形成本标准送审文稿。</w:t>
      </w:r>
    </w:p>
    <w:p w14:paraId="30AC5491">
      <w:pPr>
        <w:spacing w:line="360" w:lineRule="auto"/>
        <w:ind w:firstLine="480" w:firstLineChars="200"/>
        <w:outlineLvl w:val="0"/>
        <w:rPr>
          <w:rFonts w:ascii="黑体" w:eastAsia="黑体"/>
          <w:sz w:val="24"/>
        </w:rPr>
      </w:pPr>
      <w:r>
        <w:rPr>
          <w:rFonts w:hint="eastAsia" w:ascii="黑体" w:eastAsia="黑体"/>
          <w:sz w:val="24"/>
        </w:rPr>
        <w:t>七</w:t>
      </w:r>
      <w:r>
        <w:rPr>
          <w:rFonts w:ascii="黑体" w:eastAsia="黑体"/>
          <w:sz w:val="24"/>
        </w:rPr>
        <w:t>、</w:t>
      </w:r>
      <w:r>
        <w:rPr>
          <w:rFonts w:hint="eastAsia" w:ascii="黑体" w:eastAsia="黑体"/>
          <w:sz w:val="24"/>
        </w:rPr>
        <w:t>采标</w:t>
      </w:r>
      <w:r>
        <w:rPr>
          <w:rFonts w:ascii="黑体" w:eastAsia="黑体"/>
          <w:sz w:val="24"/>
        </w:rPr>
        <w:t>情况，是否合规引用或采用国际标准和国外先进标准，以及与国内外同类标准水平的对比情况</w:t>
      </w:r>
    </w:p>
    <w:p w14:paraId="10A82666">
      <w:pPr>
        <w:spacing w:line="360" w:lineRule="auto"/>
        <w:ind w:firstLine="480" w:firstLineChars="200"/>
        <w:outlineLvl w:val="0"/>
        <w:rPr>
          <w:rFonts w:ascii="仿宋_GB2312" w:hAnsi="宋体" w:eastAsia="仿宋_GB2312"/>
          <w:sz w:val="24"/>
        </w:rPr>
      </w:pPr>
      <w:r>
        <w:rPr>
          <w:rFonts w:hint="eastAsia" w:ascii="仿宋_GB2312" w:hAnsi="宋体" w:eastAsia="仿宋_GB2312"/>
          <w:sz w:val="24"/>
        </w:rPr>
        <w:t>参考采用了国内标准《DB34/T 452-2022 梨木虱测报调查规范》、《DB14/T 2216-2020 梨木虱测报调查规范》、《DB13/T 1447-2011 中国梨木虱综合防治技术规程》、《GB/T 17980.10-2000 农药 田间药效试验准则(一) 杀虫剂防治梨木虱》、《DB41/T 2099-2021 梨树主要病虫害绿色防控技术规程》、《DB14/T 2197-2020 梨树主要病虫害化学防治技术规程》、《T/SDAS 226-2021 华北地区梨树病虫害农药减量防控技术规程》</w:t>
      </w:r>
      <w:r>
        <w:rPr>
          <w:rFonts w:hint="eastAsia" w:ascii="宋体" w:hAnsi="宋体" w:cs="宋体"/>
          <w:sz w:val="24"/>
        </w:rPr>
        <w:t>等，通过综合对比，采取众长，形成了本标准。</w:t>
      </w:r>
    </w:p>
    <w:p w14:paraId="6D1B426A">
      <w:pPr>
        <w:spacing w:line="360" w:lineRule="auto"/>
        <w:ind w:firstLine="480" w:firstLineChars="200"/>
        <w:outlineLvl w:val="0"/>
        <w:rPr>
          <w:rFonts w:ascii="黑体" w:hAnsi="黑体" w:eastAsia="黑体"/>
          <w:sz w:val="24"/>
        </w:rPr>
      </w:pPr>
      <w:r>
        <w:rPr>
          <w:rFonts w:hint="eastAsia" w:ascii="黑体" w:eastAsia="黑体"/>
          <w:sz w:val="24"/>
        </w:rPr>
        <w:t>八、</w:t>
      </w:r>
      <w:r>
        <w:rPr>
          <w:rFonts w:hint="eastAsia" w:ascii="黑体" w:hAnsi="黑体" w:eastAsia="黑体"/>
          <w:sz w:val="24"/>
        </w:rPr>
        <w:t>作为推荐性标准或者强制性标准的建议及其理由。</w:t>
      </w:r>
    </w:p>
    <w:p w14:paraId="0814DC70">
      <w:pPr>
        <w:spacing w:line="360" w:lineRule="auto"/>
        <w:ind w:right="17" w:firstLine="480" w:firstLineChars="200"/>
        <w:rPr>
          <w:rFonts w:eastAsia="仿宋_GB2312"/>
          <w:bCs/>
          <w:sz w:val="24"/>
        </w:rPr>
      </w:pPr>
      <w:r>
        <w:rPr>
          <w:rFonts w:hint="eastAsia" w:eastAsia="仿宋_GB2312"/>
          <w:bCs/>
          <w:sz w:val="24"/>
        </w:rPr>
        <w:t>本标准规定了山西省梨木虱综合防控技术内容，包括防控原则、防控对象、防控技术，是当前我省梨木虱综合防控所需的推荐性技术规程，建议本标准为推荐性标准。</w:t>
      </w:r>
    </w:p>
    <w:p w14:paraId="1786C302">
      <w:pPr>
        <w:spacing w:line="360" w:lineRule="auto"/>
        <w:ind w:firstLine="480" w:firstLineChars="200"/>
        <w:outlineLvl w:val="0"/>
        <w:rPr>
          <w:rFonts w:ascii="黑体" w:eastAsia="黑体"/>
          <w:sz w:val="24"/>
        </w:rPr>
      </w:pPr>
      <w:r>
        <w:rPr>
          <w:rFonts w:hint="eastAsia" w:ascii="黑体" w:eastAsia="黑体"/>
          <w:sz w:val="24"/>
        </w:rPr>
        <w:t>九</w:t>
      </w:r>
      <w:r>
        <w:rPr>
          <w:rFonts w:ascii="黑体" w:eastAsia="黑体"/>
          <w:sz w:val="24"/>
        </w:rPr>
        <w:t>、</w:t>
      </w:r>
      <w:r>
        <w:rPr>
          <w:rFonts w:hint="eastAsia" w:ascii="黑体" w:eastAsia="黑体"/>
          <w:sz w:val="24"/>
        </w:rPr>
        <w:t>实施</w:t>
      </w:r>
      <w:r>
        <w:rPr>
          <w:rFonts w:ascii="黑体" w:eastAsia="黑体"/>
          <w:sz w:val="24"/>
        </w:rPr>
        <w:t>标准的措施建议</w:t>
      </w:r>
    </w:p>
    <w:p w14:paraId="422DDEF3">
      <w:pPr>
        <w:spacing w:line="360" w:lineRule="auto"/>
        <w:ind w:firstLine="849" w:firstLineChars="354"/>
        <w:jc w:val="left"/>
        <w:rPr>
          <w:rFonts w:ascii="仿宋_GB2312" w:hAnsi="宋体" w:eastAsia="仿宋_GB2312"/>
          <w:sz w:val="24"/>
        </w:rPr>
      </w:pPr>
      <w:r>
        <w:rPr>
          <w:rFonts w:hint="eastAsia" w:ascii="仿宋_GB2312" w:hAnsi="宋体" w:eastAsia="仿宋_GB2312"/>
          <w:sz w:val="24"/>
        </w:rPr>
        <w:t>1、在梨树种植区通过宣传单等形式进行宣传。</w:t>
      </w:r>
    </w:p>
    <w:p w14:paraId="42BD6322">
      <w:pPr>
        <w:spacing w:line="360" w:lineRule="auto"/>
        <w:ind w:firstLine="849" w:firstLineChars="354"/>
        <w:jc w:val="left"/>
        <w:rPr>
          <w:rFonts w:ascii="仿宋_GB2312" w:hAnsi="宋体" w:eastAsia="仿宋_GB2312"/>
          <w:sz w:val="24"/>
        </w:rPr>
      </w:pPr>
      <w:r>
        <w:rPr>
          <w:rFonts w:hint="eastAsia" w:ascii="仿宋_GB2312" w:hAnsi="宋体" w:eastAsia="仿宋_GB2312"/>
          <w:sz w:val="24"/>
        </w:rPr>
        <w:t>2、在果树种植区通过果业中心、植保部门进行实施和推广。</w:t>
      </w:r>
    </w:p>
    <w:p w14:paraId="0D5B5686">
      <w:pPr>
        <w:spacing w:line="360" w:lineRule="auto"/>
        <w:ind w:firstLine="849" w:firstLineChars="354"/>
        <w:jc w:val="left"/>
        <w:rPr>
          <w:rFonts w:ascii="仿宋_GB2312" w:hAnsi="宋体" w:eastAsia="仿宋_GB2312"/>
          <w:sz w:val="24"/>
        </w:rPr>
        <w:sectPr>
          <w:footerReference r:id="rId3" w:type="default"/>
          <w:pgSz w:w="11906" w:h="16838"/>
          <w:pgMar w:top="1440" w:right="1803" w:bottom="1440" w:left="1803" w:header="851" w:footer="992" w:gutter="0"/>
          <w:pgNumType w:start="1"/>
          <w:cols w:space="0" w:num="1"/>
          <w:titlePg/>
          <w:docGrid w:type="lines" w:linePitch="319" w:charSpace="0"/>
        </w:sectPr>
      </w:pPr>
      <w:r>
        <w:rPr>
          <w:rFonts w:hint="eastAsia" w:ascii="仿宋_GB2312" w:hAnsi="宋体" w:eastAsia="仿宋_GB2312"/>
          <w:sz w:val="24"/>
        </w:rPr>
        <w:t>3、作为推荐性资料在技术培训和指导过程中进行推荐。</w:t>
      </w:r>
    </w:p>
    <w:p w14:paraId="3E93BA7D">
      <w:pPr>
        <w:autoSpaceDE w:val="0"/>
        <w:autoSpaceDN w:val="0"/>
        <w:adjustRightInd w:val="0"/>
        <w:spacing w:line="360" w:lineRule="auto"/>
        <w:rPr>
          <w:rFonts w:ascii="仿宋_GB2312" w:hAnsi="宋体" w:eastAsia="仿宋_GB2312"/>
          <w:sz w:val="24"/>
        </w:rPr>
      </w:pPr>
      <w:r>
        <w:rPr>
          <w:rFonts w:hint="eastAsia" w:ascii="仿宋_GB2312" w:hAnsi="宋体" w:eastAsia="仿宋_GB2312"/>
          <w:sz w:val="24"/>
        </w:rPr>
        <w:t>附表</w:t>
      </w:r>
    </w:p>
    <w:p w14:paraId="5B07241E">
      <w:pPr>
        <w:pStyle w:val="4"/>
        <w:spacing w:line="360" w:lineRule="auto"/>
        <w:ind w:firstLine="480"/>
        <w:jc w:val="center"/>
        <w:rPr>
          <w:rFonts w:ascii="仿宋_GB2312" w:hAnsi="宋体" w:eastAsia="仿宋_GB2312"/>
          <w:sz w:val="24"/>
          <w:szCs w:val="24"/>
        </w:rPr>
      </w:pPr>
      <w:r>
        <w:rPr>
          <w:rFonts w:hint="eastAsia" w:ascii="仿宋_GB2312" w:hAnsi="宋体" w:eastAsia="仿宋_GB2312"/>
          <w:sz w:val="24"/>
          <w:szCs w:val="24"/>
        </w:rPr>
        <w:t>《梨木虱综合防控技术规程》 地方标准征求意见汇总处理表</w:t>
      </w:r>
    </w:p>
    <w:p w14:paraId="3E13DFCF">
      <w:pPr>
        <w:pStyle w:val="4"/>
        <w:spacing w:line="360" w:lineRule="auto"/>
        <w:rPr>
          <w:rFonts w:ascii="宋体" w:hAnsi="Calibri" w:cs="宋体"/>
          <w:kern w:val="0"/>
        </w:rPr>
      </w:pPr>
      <w:r>
        <w:rPr>
          <w:rFonts w:hint="eastAsia" w:ascii="宋体" w:hAnsi="Calibri" w:cs="宋体"/>
          <w:kern w:val="0"/>
        </w:rPr>
        <w:t xml:space="preserve">起草单位：山西农业大学        </w:t>
      </w:r>
    </w:p>
    <w:p w14:paraId="6B832509">
      <w:pPr>
        <w:pStyle w:val="4"/>
        <w:spacing w:line="360" w:lineRule="auto"/>
        <w:ind w:firstLine="315" w:firstLineChars="150"/>
        <w:rPr>
          <w:rFonts w:ascii="仿宋_GB2312" w:eastAsia="仿宋_GB2312"/>
          <w:sz w:val="30"/>
          <w:szCs w:val="30"/>
        </w:rPr>
      </w:pPr>
      <w:r>
        <w:rPr>
          <w:rFonts w:hint="eastAsia" w:ascii="宋体" w:hAnsi="Calibri" w:cs="宋体"/>
          <w:kern w:val="0"/>
        </w:rPr>
        <w:t xml:space="preserve"> 承办人：赵龙龙       联系电话：</w:t>
      </w:r>
      <w:r>
        <w:rPr>
          <w:rFonts w:ascii="宋体" w:hAnsi="宋体"/>
        </w:rPr>
        <w:t>13835437008</w:t>
      </w:r>
      <w:r>
        <w:rPr>
          <w:rFonts w:hint="eastAsia" w:ascii="宋体" w:hAnsi="宋体"/>
        </w:rPr>
        <w:t xml:space="preserve"> </w:t>
      </w:r>
      <w:r>
        <w:rPr>
          <w:rFonts w:hint="eastAsia" w:ascii="宋体" w:hAnsi="宋体"/>
          <w:sz w:val="24"/>
          <w:szCs w:val="24"/>
        </w:rPr>
        <w:t xml:space="preserve">   </w:t>
      </w:r>
      <w:r>
        <w:rPr>
          <w:rFonts w:ascii="宋体" w:hAnsi="Calibri" w:cs="宋体"/>
          <w:kern w:val="0"/>
        </w:rPr>
        <w:t xml:space="preserve"> </w:t>
      </w:r>
      <w:r>
        <w:rPr>
          <w:rFonts w:hint="eastAsia" w:ascii="宋体" w:hAnsi="Calibri" w:cs="宋体"/>
          <w:kern w:val="0"/>
        </w:rPr>
        <w:t>填写时间：</w:t>
      </w:r>
      <w:r>
        <w:rPr>
          <w:rFonts w:hint="eastAsia" w:ascii="宋体" w:hAnsi="宋体"/>
        </w:rPr>
        <w:t>202</w:t>
      </w:r>
      <w:r>
        <w:rPr>
          <w:rFonts w:ascii="宋体" w:hAnsi="宋体"/>
        </w:rPr>
        <w:t>4</w:t>
      </w:r>
      <w:r>
        <w:rPr>
          <w:rFonts w:hint="eastAsia" w:ascii="宋体" w:hAnsi="宋体"/>
        </w:rPr>
        <w:t>年</w:t>
      </w:r>
      <w:r>
        <w:rPr>
          <w:rFonts w:ascii="宋体" w:hAnsi="宋体"/>
        </w:rPr>
        <w:t>8</w:t>
      </w:r>
      <w:r>
        <w:rPr>
          <w:rFonts w:hint="eastAsia" w:ascii="宋体" w:hAnsi="宋体"/>
        </w:rPr>
        <w:t>月</w:t>
      </w:r>
      <w:r>
        <w:rPr>
          <w:rFonts w:ascii="宋体" w:hAnsi="宋体"/>
        </w:rPr>
        <w:t>12</w:t>
      </w:r>
      <w:r>
        <w:rPr>
          <w:rFonts w:hint="eastAsia" w:ascii="宋体" w:hAnsi="宋体"/>
        </w:rPr>
        <w:t>日</w:t>
      </w:r>
    </w:p>
    <w:tbl>
      <w:tblPr>
        <w:tblStyle w:val="13"/>
        <w:tblW w:w="137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50"/>
        <w:gridCol w:w="6975"/>
        <w:gridCol w:w="2976"/>
        <w:gridCol w:w="1276"/>
        <w:gridCol w:w="1227"/>
      </w:tblGrid>
      <w:tr w14:paraId="1A9A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07ACB7DF">
            <w:pPr>
              <w:snapToGrid w:val="0"/>
              <w:spacing w:line="360" w:lineRule="auto"/>
              <w:jc w:val="center"/>
              <w:rPr>
                <w:sz w:val="18"/>
                <w:szCs w:val="18"/>
              </w:rPr>
            </w:pPr>
            <w:r>
              <w:rPr>
                <w:kern w:val="0"/>
                <w:sz w:val="18"/>
                <w:szCs w:val="18"/>
              </w:rPr>
              <w:t>序号</w:t>
            </w:r>
          </w:p>
        </w:tc>
        <w:tc>
          <w:tcPr>
            <w:tcW w:w="850" w:type="dxa"/>
            <w:tcBorders>
              <w:top w:val="single" w:color="auto" w:sz="4" w:space="0"/>
              <w:left w:val="single" w:color="auto" w:sz="4" w:space="0"/>
              <w:bottom w:val="single" w:color="auto" w:sz="4" w:space="0"/>
              <w:right w:val="single" w:color="auto" w:sz="4" w:space="0"/>
            </w:tcBorders>
            <w:vAlign w:val="center"/>
          </w:tcPr>
          <w:p w14:paraId="4E78059C">
            <w:pPr>
              <w:snapToGrid w:val="0"/>
              <w:spacing w:line="360" w:lineRule="auto"/>
              <w:jc w:val="center"/>
              <w:rPr>
                <w:sz w:val="18"/>
                <w:szCs w:val="18"/>
              </w:rPr>
            </w:pPr>
            <w:r>
              <w:rPr>
                <w:kern w:val="0"/>
                <w:sz w:val="18"/>
                <w:szCs w:val="18"/>
              </w:rPr>
              <w:t>标准章条编号</w:t>
            </w:r>
          </w:p>
        </w:tc>
        <w:tc>
          <w:tcPr>
            <w:tcW w:w="6975" w:type="dxa"/>
            <w:tcBorders>
              <w:top w:val="single" w:color="auto" w:sz="4" w:space="0"/>
              <w:left w:val="single" w:color="auto" w:sz="4" w:space="0"/>
              <w:bottom w:val="single" w:color="auto" w:sz="4" w:space="0"/>
              <w:right w:val="single" w:color="auto" w:sz="4" w:space="0"/>
            </w:tcBorders>
            <w:vAlign w:val="center"/>
          </w:tcPr>
          <w:p w14:paraId="0C1899AF">
            <w:pPr>
              <w:snapToGrid w:val="0"/>
              <w:spacing w:line="360" w:lineRule="auto"/>
              <w:jc w:val="center"/>
              <w:rPr>
                <w:kern w:val="0"/>
                <w:sz w:val="18"/>
                <w:szCs w:val="18"/>
              </w:rPr>
            </w:pPr>
            <w:r>
              <w:rPr>
                <w:kern w:val="0"/>
                <w:sz w:val="18"/>
                <w:szCs w:val="18"/>
              </w:rPr>
              <w:t>意见内容</w:t>
            </w:r>
          </w:p>
        </w:tc>
        <w:tc>
          <w:tcPr>
            <w:tcW w:w="2976" w:type="dxa"/>
            <w:tcBorders>
              <w:top w:val="single" w:color="auto" w:sz="4" w:space="0"/>
              <w:left w:val="single" w:color="auto" w:sz="4" w:space="0"/>
              <w:bottom w:val="single" w:color="auto" w:sz="4" w:space="0"/>
              <w:right w:val="single" w:color="auto" w:sz="4" w:space="0"/>
            </w:tcBorders>
            <w:vAlign w:val="center"/>
          </w:tcPr>
          <w:p w14:paraId="22A272FF">
            <w:pPr>
              <w:snapToGrid w:val="0"/>
              <w:spacing w:line="360" w:lineRule="auto"/>
              <w:jc w:val="center"/>
              <w:rPr>
                <w:kern w:val="0"/>
                <w:sz w:val="18"/>
                <w:szCs w:val="18"/>
              </w:rPr>
            </w:pPr>
            <w:r>
              <w:rPr>
                <w:kern w:val="0"/>
                <w:sz w:val="18"/>
                <w:szCs w:val="18"/>
              </w:rPr>
              <w:t>提出单位</w:t>
            </w:r>
          </w:p>
        </w:tc>
        <w:tc>
          <w:tcPr>
            <w:tcW w:w="1276" w:type="dxa"/>
            <w:tcBorders>
              <w:top w:val="single" w:color="auto" w:sz="4" w:space="0"/>
              <w:left w:val="single" w:color="auto" w:sz="4" w:space="0"/>
              <w:bottom w:val="single" w:color="auto" w:sz="4" w:space="0"/>
              <w:right w:val="single" w:color="auto" w:sz="4" w:space="0"/>
            </w:tcBorders>
            <w:vAlign w:val="center"/>
          </w:tcPr>
          <w:p w14:paraId="68F4F028">
            <w:pPr>
              <w:snapToGrid w:val="0"/>
              <w:spacing w:line="360" w:lineRule="auto"/>
              <w:jc w:val="center"/>
              <w:rPr>
                <w:kern w:val="0"/>
                <w:sz w:val="18"/>
                <w:szCs w:val="18"/>
              </w:rPr>
            </w:pPr>
            <w:r>
              <w:rPr>
                <w:kern w:val="0"/>
                <w:sz w:val="18"/>
                <w:szCs w:val="18"/>
              </w:rPr>
              <w:t>处理意见</w:t>
            </w:r>
          </w:p>
          <w:p w14:paraId="4D201F06">
            <w:pPr>
              <w:snapToGrid w:val="0"/>
              <w:spacing w:line="360" w:lineRule="auto"/>
              <w:jc w:val="center"/>
              <w:rPr>
                <w:kern w:val="0"/>
                <w:sz w:val="18"/>
                <w:szCs w:val="18"/>
              </w:rPr>
            </w:pPr>
            <w:r>
              <w:rPr>
                <w:kern w:val="0"/>
                <w:sz w:val="18"/>
                <w:szCs w:val="18"/>
              </w:rPr>
              <w:t>（采纳/不采纳）</w:t>
            </w:r>
          </w:p>
        </w:tc>
        <w:tc>
          <w:tcPr>
            <w:tcW w:w="1227" w:type="dxa"/>
            <w:tcBorders>
              <w:top w:val="single" w:color="auto" w:sz="4" w:space="0"/>
              <w:left w:val="single" w:color="auto" w:sz="4" w:space="0"/>
              <w:bottom w:val="single" w:color="auto" w:sz="4" w:space="0"/>
              <w:right w:val="single" w:color="auto" w:sz="4" w:space="0"/>
            </w:tcBorders>
            <w:vAlign w:val="center"/>
          </w:tcPr>
          <w:p w14:paraId="6FEF2543">
            <w:pPr>
              <w:snapToGrid w:val="0"/>
              <w:spacing w:line="360" w:lineRule="auto"/>
              <w:jc w:val="center"/>
              <w:rPr>
                <w:kern w:val="0"/>
                <w:sz w:val="18"/>
                <w:szCs w:val="18"/>
              </w:rPr>
            </w:pPr>
            <w:r>
              <w:rPr>
                <w:kern w:val="0"/>
                <w:sz w:val="18"/>
                <w:szCs w:val="18"/>
              </w:rPr>
              <w:t>意见处理说明</w:t>
            </w:r>
          </w:p>
          <w:p w14:paraId="70CA8F9D">
            <w:pPr>
              <w:snapToGrid w:val="0"/>
              <w:spacing w:line="360" w:lineRule="auto"/>
              <w:jc w:val="center"/>
              <w:rPr>
                <w:kern w:val="0"/>
                <w:sz w:val="18"/>
                <w:szCs w:val="18"/>
              </w:rPr>
            </w:pPr>
            <w:r>
              <w:rPr>
                <w:kern w:val="0"/>
                <w:sz w:val="18"/>
                <w:szCs w:val="18"/>
              </w:rPr>
              <w:t>（不采纳理由等）</w:t>
            </w:r>
          </w:p>
        </w:tc>
      </w:tr>
      <w:tr w14:paraId="2C5C0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30AEFA74">
            <w:pPr>
              <w:snapToGrid w:val="0"/>
              <w:spacing w:line="360" w:lineRule="auto"/>
              <w:jc w:val="center"/>
              <w:rPr>
                <w:sz w:val="18"/>
                <w:szCs w:val="18"/>
              </w:rPr>
            </w:pPr>
            <w:r>
              <w:rPr>
                <w:sz w:val="18"/>
                <w:szCs w:val="18"/>
              </w:rPr>
              <w:t>1</w:t>
            </w:r>
          </w:p>
        </w:tc>
        <w:tc>
          <w:tcPr>
            <w:tcW w:w="850" w:type="dxa"/>
            <w:tcBorders>
              <w:top w:val="single" w:color="auto" w:sz="4" w:space="0"/>
              <w:left w:val="single" w:color="auto" w:sz="4" w:space="0"/>
              <w:bottom w:val="single" w:color="auto" w:sz="4" w:space="0"/>
              <w:right w:val="single" w:color="auto" w:sz="4" w:space="0"/>
            </w:tcBorders>
            <w:vAlign w:val="center"/>
          </w:tcPr>
          <w:p w14:paraId="046FA8A2">
            <w:pPr>
              <w:snapToGrid w:val="0"/>
              <w:spacing w:line="360" w:lineRule="auto"/>
              <w:jc w:val="center"/>
              <w:rPr>
                <w:kern w:val="0"/>
                <w:sz w:val="18"/>
                <w:szCs w:val="18"/>
              </w:rPr>
            </w:pPr>
            <w:r>
              <w:rPr>
                <w:kern w:val="0"/>
                <w:sz w:val="18"/>
                <w:szCs w:val="18"/>
              </w:rPr>
              <w:t>2</w:t>
            </w:r>
          </w:p>
        </w:tc>
        <w:tc>
          <w:tcPr>
            <w:tcW w:w="6975" w:type="dxa"/>
            <w:tcBorders>
              <w:top w:val="single" w:color="auto" w:sz="4" w:space="0"/>
              <w:left w:val="single" w:color="auto" w:sz="4" w:space="0"/>
              <w:bottom w:val="single" w:color="auto" w:sz="4" w:space="0"/>
              <w:right w:val="single" w:color="auto" w:sz="4" w:space="0"/>
            </w:tcBorders>
            <w:vAlign w:val="center"/>
          </w:tcPr>
          <w:p w14:paraId="7F2B9C65">
            <w:pPr>
              <w:snapToGrid w:val="0"/>
              <w:spacing w:line="360" w:lineRule="auto"/>
              <w:jc w:val="center"/>
              <w:rPr>
                <w:kern w:val="0"/>
                <w:sz w:val="18"/>
                <w:szCs w:val="18"/>
              </w:rPr>
            </w:pPr>
            <w:r>
              <w:rPr>
                <w:rFonts w:hint="eastAsia"/>
                <w:kern w:val="0"/>
                <w:sz w:val="18"/>
                <w:szCs w:val="18"/>
              </w:rPr>
              <w:t>建议将“农药使用严格执行GB/T 8321 (所有部分)、NY/T 3413-2019、NY/T 5088-2002相关规定。”更改为“农药使用按GB/T 8321 (所有部分) 规定执行”。</w:t>
            </w:r>
          </w:p>
        </w:tc>
        <w:tc>
          <w:tcPr>
            <w:tcW w:w="2976" w:type="dxa"/>
            <w:tcBorders>
              <w:top w:val="single" w:color="auto" w:sz="4" w:space="0"/>
              <w:left w:val="single" w:color="auto" w:sz="4" w:space="0"/>
              <w:bottom w:val="single" w:color="auto" w:sz="4" w:space="0"/>
              <w:right w:val="single" w:color="auto" w:sz="4" w:space="0"/>
            </w:tcBorders>
            <w:vAlign w:val="center"/>
          </w:tcPr>
          <w:p w14:paraId="33F98F09">
            <w:pPr>
              <w:snapToGrid w:val="0"/>
              <w:spacing w:line="360" w:lineRule="auto"/>
              <w:jc w:val="center"/>
              <w:rPr>
                <w:kern w:val="0"/>
                <w:sz w:val="18"/>
                <w:szCs w:val="18"/>
              </w:rPr>
            </w:pPr>
            <w:r>
              <w:rPr>
                <w:kern w:val="0"/>
                <w:sz w:val="18"/>
                <w:szCs w:val="18"/>
              </w:rPr>
              <w:t>山西</w:t>
            </w:r>
            <w:r>
              <w:rPr>
                <w:rFonts w:hint="eastAsia"/>
                <w:kern w:val="0"/>
                <w:sz w:val="18"/>
                <w:szCs w:val="18"/>
              </w:rPr>
              <w:t>农业大学棉花研究所</w:t>
            </w:r>
          </w:p>
        </w:tc>
        <w:tc>
          <w:tcPr>
            <w:tcW w:w="1276" w:type="dxa"/>
            <w:tcBorders>
              <w:top w:val="single" w:color="auto" w:sz="4" w:space="0"/>
              <w:left w:val="single" w:color="auto" w:sz="4" w:space="0"/>
              <w:bottom w:val="single" w:color="auto" w:sz="4" w:space="0"/>
              <w:right w:val="single" w:color="auto" w:sz="4" w:space="0"/>
            </w:tcBorders>
            <w:vAlign w:val="center"/>
          </w:tcPr>
          <w:p w14:paraId="622F88B5">
            <w:pPr>
              <w:snapToGrid w:val="0"/>
              <w:spacing w:line="360" w:lineRule="auto"/>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1871AB4A">
            <w:pPr>
              <w:snapToGrid w:val="0"/>
              <w:spacing w:line="360" w:lineRule="auto"/>
              <w:jc w:val="center"/>
              <w:rPr>
                <w:kern w:val="0"/>
                <w:sz w:val="18"/>
                <w:szCs w:val="18"/>
              </w:rPr>
            </w:pPr>
          </w:p>
        </w:tc>
      </w:tr>
      <w:tr w14:paraId="38C3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26" w:type="dxa"/>
            <w:tcBorders>
              <w:top w:val="single" w:color="auto" w:sz="4" w:space="0"/>
              <w:left w:val="single" w:color="auto" w:sz="4" w:space="0"/>
              <w:bottom w:val="single" w:color="auto" w:sz="4" w:space="0"/>
              <w:right w:val="single" w:color="auto" w:sz="4" w:space="0"/>
            </w:tcBorders>
            <w:vAlign w:val="center"/>
          </w:tcPr>
          <w:p w14:paraId="66F1295E">
            <w:pPr>
              <w:snapToGrid w:val="0"/>
              <w:spacing w:line="360" w:lineRule="auto"/>
              <w:jc w:val="center"/>
              <w:rPr>
                <w:sz w:val="18"/>
                <w:szCs w:val="18"/>
              </w:rPr>
            </w:pPr>
            <w:r>
              <w:rPr>
                <w:kern w:val="0"/>
                <w:sz w:val="18"/>
                <w:szCs w:val="18"/>
              </w:rPr>
              <w:t>2</w:t>
            </w:r>
          </w:p>
        </w:tc>
        <w:tc>
          <w:tcPr>
            <w:tcW w:w="850" w:type="dxa"/>
            <w:tcBorders>
              <w:top w:val="single" w:color="auto" w:sz="4" w:space="0"/>
              <w:left w:val="single" w:color="auto" w:sz="4" w:space="0"/>
              <w:bottom w:val="single" w:color="auto" w:sz="4" w:space="0"/>
              <w:right w:val="single" w:color="auto" w:sz="4" w:space="0"/>
            </w:tcBorders>
            <w:vAlign w:val="center"/>
          </w:tcPr>
          <w:p w14:paraId="3260A6D7">
            <w:pPr>
              <w:snapToGrid w:val="0"/>
              <w:spacing w:line="360" w:lineRule="auto"/>
              <w:jc w:val="center"/>
              <w:rPr>
                <w:kern w:val="0"/>
                <w:sz w:val="18"/>
                <w:szCs w:val="18"/>
              </w:rPr>
            </w:pPr>
            <w:r>
              <w:rPr>
                <w:kern w:val="0"/>
                <w:sz w:val="18"/>
                <w:szCs w:val="18"/>
              </w:rPr>
              <w:t>3.1</w:t>
            </w:r>
          </w:p>
        </w:tc>
        <w:tc>
          <w:tcPr>
            <w:tcW w:w="6975" w:type="dxa"/>
            <w:tcBorders>
              <w:top w:val="single" w:color="auto" w:sz="4" w:space="0"/>
              <w:left w:val="single" w:color="auto" w:sz="4" w:space="0"/>
              <w:bottom w:val="single" w:color="auto" w:sz="4" w:space="0"/>
              <w:right w:val="single" w:color="auto" w:sz="4" w:space="0"/>
            </w:tcBorders>
            <w:vAlign w:val="center"/>
          </w:tcPr>
          <w:p w14:paraId="5959BC74">
            <w:pPr>
              <w:snapToGrid w:val="0"/>
              <w:spacing w:line="360" w:lineRule="auto"/>
              <w:jc w:val="center"/>
              <w:rPr>
                <w:kern w:val="0"/>
                <w:sz w:val="18"/>
                <w:szCs w:val="18"/>
              </w:rPr>
            </w:pPr>
            <w:r>
              <w:rPr>
                <w:rFonts w:hint="eastAsia"/>
                <w:bCs/>
                <w:kern w:val="0"/>
                <w:sz w:val="18"/>
                <w:szCs w:val="18"/>
              </w:rPr>
              <w:t>修订梨木虱的拉丁文，参考中国木虱志</w:t>
            </w:r>
          </w:p>
        </w:tc>
        <w:tc>
          <w:tcPr>
            <w:tcW w:w="2976" w:type="dxa"/>
            <w:tcBorders>
              <w:top w:val="single" w:color="auto" w:sz="4" w:space="0"/>
              <w:left w:val="single" w:color="auto" w:sz="4" w:space="0"/>
              <w:bottom w:val="single" w:color="auto" w:sz="4" w:space="0"/>
              <w:right w:val="single" w:color="auto" w:sz="4" w:space="0"/>
            </w:tcBorders>
            <w:vAlign w:val="center"/>
          </w:tcPr>
          <w:p w14:paraId="74589024">
            <w:pPr>
              <w:snapToGrid w:val="0"/>
              <w:spacing w:line="360" w:lineRule="auto"/>
              <w:jc w:val="center"/>
              <w:rPr>
                <w:kern w:val="0"/>
                <w:sz w:val="18"/>
                <w:szCs w:val="18"/>
              </w:rPr>
            </w:pPr>
            <w:r>
              <w:rPr>
                <w:rFonts w:hint="eastAsia"/>
                <w:kern w:val="0"/>
                <w:sz w:val="18"/>
                <w:szCs w:val="18"/>
              </w:rPr>
              <w:t>山西农业大学棉花研究所</w:t>
            </w:r>
          </w:p>
        </w:tc>
        <w:tc>
          <w:tcPr>
            <w:tcW w:w="1276" w:type="dxa"/>
            <w:tcBorders>
              <w:top w:val="single" w:color="auto" w:sz="4" w:space="0"/>
              <w:left w:val="single" w:color="auto" w:sz="4" w:space="0"/>
              <w:bottom w:val="single" w:color="auto" w:sz="4" w:space="0"/>
              <w:right w:val="single" w:color="auto" w:sz="4" w:space="0"/>
            </w:tcBorders>
            <w:vAlign w:val="center"/>
          </w:tcPr>
          <w:p w14:paraId="788C7CB7">
            <w:pPr>
              <w:snapToGrid w:val="0"/>
              <w:spacing w:line="360" w:lineRule="auto"/>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4DC6671D">
            <w:pPr>
              <w:snapToGrid w:val="0"/>
              <w:spacing w:line="360" w:lineRule="auto"/>
              <w:jc w:val="center"/>
              <w:rPr>
                <w:kern w:val="0"/>
                <w:sz w:val="18"/>
                <w:szCs w:val="18"/>
              </w:rPr>
            </w:pPr>
          </w:p>
        </w:tc>
      </w:tr>
      <w:tr w14:paraId="5280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00B5CAE1">
            <w:pPr>
              <w:snapToGrid w:val="0"/>
              <w:spacing w:line="360" w:lineRule="auto"/>
              <w:jc w:val="center"/>
              <w:rPr>
                <w:kern w:val="0"/>
                <w:sz w:val="18"/>
                <w:szCs w:val="18"/>
              </w:rPr>
            </w:pPr>
            <w:r>
              <w:rPr>
                <w:kern w:val="0"/>
                <w:sz w:val="18"/>
                <w:szCs w:val="18"/>
              </w:rPr>
              <w:t>3</w:t>
            </w:r>
          </w:p>
        </w:tc>
        <w:tc>
          <w:tcPr>
            <w:tcW w:w="850" w:type="dxa"/>
            <w:tcBorders>
              <w:top w:val="single" w:color="auto" w:sz="4" w:space="0"/>
              <w:left w:val="single" w:color="auto" w:sz="4" w:space="0"/>
              <w:bottom w:val="single" w:color="auto" w:sz="4" w:space="0"/>
              <w:right w:val="single" w:color="auto" w:sz="4" w:space="0"/>
            </w:tcBorders>
            <w:vAlign w:val="center"/>
          </w:tcPr>
          <w:p w14:paraId="1FB011B3">
            <w:pPr>
              <w:snapToGrid w:val="0"/>
              <w:spacing w:line="360" w:lineRule="auto"/>
              <w:jc w:val="center"/>
              <w:rPr>
                <w:kern w:val="0"/>
                <w:sz w:val="18"/>
                <w:szCs w:val="18"/>
              </w:rPr>
            </w:pPr>
            <w:r>
              <w:rPr>
                <w:kern w:val="0"/>
                <w:sz w:val="18"/>
                <w:szCs w:val="18"/>
              </w:rPr>
              <w:t>4</w:t>
            </w:r>
          </w:p>
        </w:tc>
        <w:tc>
          <w:tcPr>
            <w:tcW w:w="6975" w:type="dxa"/>
            <w:tcBorders>
              <w:top w:val="single" w:color="auto" w:sz="4" w:space="0"/>
              <w:left w:val="single" w:color="auto" w:sz="4" w:space="0"/>
              <w:bottom w:val="single" w:color="auto" w:sz="4" w:space="0"/>
              <w:right w:val="single" w:color="auto" w:sz="4" w:space="0"/>
            </w:tcBorders>
            <w:vAlign w:val="center"/>
          </w:tcPr>
          <w:p w14:paraId="0DFBB2CD">
            <w:pPr>
              <w:pStyle w:val="29"/>
              <w:ind w:firstLine="0" w:firstLineChars="0"/>
              <w:jc w:val="center"/>
              <w:rPr>
                <w:rFonts w:ascii="Times New Roman"/>
                <w:sz w:val="18"/>
                <w:szCs w:val="18"/>
              </w:rPr>
            </w:pPr>
            <w:r>
              <w:rPr>
                <w:rFonts w:hint="eastAsia" w:ascii="Times New Roman"/>
                <w:sz w:val="18"/>
                <w:szCs w:val="18"/>
              </w:rPr>
              <w:t>在发生规律中结合气象和纬度信息进行阐明</w:t>
            </w:r>
          </w:p>
        </w:tc>
        <w:tc>
          <w:tcPr>
            <w:tcW w:w="2976" w:type="dxa"/>
            <w:tcBorders>
              <w:top w:val="single" w:color="auto" w:sz="4" w:space="0"/>
              <w:left w:val="single" w:color="auto" w:sz="4" w:space="0"/>
              <w:bottom w:val="single" w:color="auto" w:sz="4" w:space="0"/>
              <w:right w:val="single" w:color="auto" w:sz="4" w:space="0"/>
            </w:tcBorders>
            <w:vAlign w:val="center"/>
          </w:tcPr>
          <w:p w14:paraId="6790DE2C">
            <w:pPr>
              <w:snapToGrid w:val="0"/>
              <w:spacing w:line="360" w:lineRule="auto"/>
              <w:jc w:val="center"/>
              <w:rPr>
                <w:kern w:val="0"/>
                <w:sz w:val="18"/>
                <w:szCs w:val="18"/>
              </w:rPr>
            </w:pPr>
            <w:r>
              <w:rPr>
                <w:rFonts w:hint="eastAsia"/>
                <w:kern w:val="0"/>
                <w:sz w:val="18"/>
                <w:szCs w:val="18"/>
              </w:rPr>
              <w:t>山西农业大学棉花研究所</w:t>
            </w:r>
          </w:p>
        </w:tc>
        <w:tc>
          <w:tcPr>
            <w:tcW w:w="1276" w:type="dxa"/>
            <w:tcBorders>
              <w:top w:val="single" w:color="auto" w:sz="4" w:space="0"/>
              <w:left w:val="single" w:color="auto" w:sz="4" w:space="0"/>
              <w:bottom w:val="single" w:color="auto" w:sz="4" w:space="0"/>
              <w:right w:val="single" w:color="auto" w:sz="4" w:space="0"/>
            </w:tcBorders>
            <w:vAlign w:val="center"/>
          </w:tcPr>
          <w:p w14:paraId="11F923DB">
            <w:pPr>
              <w:snapToGrid w:val="0"/>
              <w:spacing w:line="360" w:lineRule="auto"/>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6C653A99">
            <w:pPr>
              <w:snapToGrid w:val="0"/>
              <w:spacing w:line="360" w:lineRule="auto"/>
              <w:jc w:val="center"/>
              <w:rPr>
                <w:kern w:val="0"/>
                <w:sz w:val="18"/>
                <w:szCs w:val="18"/>
              </w:rPr>
            </w:pPr>
          </w:p>
        </w:tc>
      </w:tr>
      <w:tr w14:paraId="45A33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426" w:type="dxa"/>
            <w:tcBorders>
              <w:top w:val="single" w:color="auto" w:sz="4" w:space="0"/>
              <w:left w:val="single" w:color="auto" w:sz="4" w:space="0"/>
              <w:bottom w:val="single" w:color="auto" w:sz="4" w:space="0"/>
              <w:right w:val="single" w:color="auto" w:sz="4" w:space="0"/>
            </w:tcBorders>
            <w:vAlign w:val="center"/>
          </w:tcPr>
          <w:p w14:paraId="7EDE7489">
            <w:pPr>
              <w:snapToGrid w:val="0"/>
              <w:spacing w:line="360" w:lineRule="auto"/>
              <w:jc w:val="center"/>
              <w:rPr>
                <w:kern w:val="0"/>
                <w:sz w:val="18"/>
                <w:szCs w:val="18"/>
              </w:rPr>
            </w:pPr>
            <w:r>
              <w:rPr>
                <w:kern w:val="0"/>
                <w:sz w:val="18"/>
                <w:szCs w:val="18"/>
              </w:rPr>
              <w:t>4</w:t>
            </w:r>
          </w:p>
        </w:tc>
        <w:tc>
          <w:tcPr>
            <w:tcW w:w="850" w:type="dxa"/>
            <w:tcBorders>
              <w:top w:val="single" w:color="auto" w:sz="4" w:space="0"/>
              <w:left w:val="single" w:color="auto" w:sz="4" w:space="0"/>
              <w:bottom w:val="single" w:color="auto" w:sz="4" w:space="0"/>
              <w:right w:val="single" w:color="auto" w:sz="4" w:space="0"/>
            </w:tcBorders>
            <w:vAlign w:val="center"/>
          </w:tcPr>
          <w:p w14:paraId="06328CFF">
            <w:pPr>
              <w:snapToGrid w:val="0"/>
              <w:spacing w:line="360" w:lineRule="auto"/>
              <w:jc w:val="center"/>
              <w:rPr>
                <w:kern w:val="0"/>
                <w:sz w:val="18"/>
                <w:szCs w:val="18"/>
              </w:rPr>
            </w:pPr>
            <w:r>
              <w:rPr>
                <w:kern w:val="0"/>
                <w:sz w:val="18"/>
                <w:szCs w:val="18"/>
              </w:rPr>
              <w:t>6.2</w:t>
            </w:r>
          </w:p>
        </w:tc>
        <w:tc>
          <w:tcPr>
            <w:tcW w:w="6975" w:type="dxa"/>
            <w:tcBorders>
              <w:top w:val="single" w:color="auto" w:sz="4" w:space="0"/>
              <w:left w:val="single" w:color="auto" w:sz="4" w:space="0"/>
              <w:bottom w:val="single" w:color="auto" w:sz="4" w:space="0"/>
              <w:right w:val="single" w:color="auto" w:sz="4" w:space="0"/>
            </w:tcBorders>
            <w:vAlign w:val="center"/>
          </w:tcPr>
          <w:p w14:paraId="38B21DAC">
            <w:pPr>
              <w:jc w:val="center"/>
            </w:pPr>
            <w:r>
              <w:rPr>
                <w:rFonts w:hint="eastAsia"/>
                <w:bCs/>
                <w:kern w:val="0"/>
                <w:sz w:val="18"/>
                <w:szCs w:val="18"/>
              </w:rPr>
              <w:t>物理防治中增加粘虫板诱集内容</w:t>
            </w:r>
          </w:p>
        </w:tc>
        <w:tc>
          <w:tcPr>
            <w:tcW w:w="2976" w:type="dxa"/>
            <w:tcBorders>
              <w:top w:val="single" w:color="auto" w:sz="4" w:space="0"/>
              <w:left w:val="single" w:color="auto" w:sz="4" w:space="0"/>
              <w:bottom w:val="single" w:color="auto" w:sz="4" w:space="0"/>
              <w:right w:val="single" w:color="auto" w:sz="4" w:space="0"/>
            </w:tcBorders>
            <w:vAlign w:val="center"/>
          </w:tcPr>
          <w:p w14:paraId="0F9FB6A0">
            <w:pPr>
              <w:snapToGrid w:val="0"/>
              <w:spacing w:line="360" w:lineRule="auto"/>
              <w:jc w:val="center"/>
              <w:rPr>
                <w:kern w:val="0"/>
                <w:sz w:val="18"/>
                <w:szCs w:val="18"/>
              </w:rPr>
            </w:pPr>
            <w:r>
              <w:rPr>
                <w:rFonts w:hint="eastAsia"/>
                <w:kern w:val="0"/>
                <w:sz w:val="18"/>
                <w:szCs w:val="18"/>
              </w:rPr>
              <w:t>蒲县</w:t>
            </w:r>
            <w:r>
              <w:rPr>
                <w:kern w:val="0"/>
                <w:sz w:val="18"/>
                <w:szCs w:val="18"/>
              </w:rPr>
              <w:t>发展中心</w:t>
            </w:r>
          </w:p>
        </w:tc>
        <w:tc>
          <w:tcPr>
            <w:tcW w:w="1276" w:type="dxa"/>
            <w:tcBorders>
              <w:top w:val="single" w:color="auto" w:sz="4" w:space="0"/>
              <w:left w:val="single" w:color="auto" w:sz="4" w:space="0"/>
              <w:bottom w:val="single" w:color="auto" w:sz="4" w:space="0"/>
              <w:right w:val="single" w:color="auto" w:sz="4" w:space="0"/>
            </w:tcBorders>
            <w:vAlign w:val="center"/>
          </w:tcPr>
          <w:p w14:paraId="1C938B26">
            <w:pPr>
              <w:snapToGrid w:val="0"/>
              <w:spacing w:line="360" w:lineRule="auto"/>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7073F515">
            <w:pPr>
              <w:snapToGrid w:val="0"/>
              <w:spacing w:line="360" w:lineRule="auto"/>
              <w:jc w:val="center"/>
              <w:rPr>
                <w:kern w:val="0"/>
                <w:sz w:val="18"/>
                <w:szCs w:val="18"/>
              </w:rPr>
            </w:pPr>
          </w:p>
        </w:tc>
      </w:tr>
      <w:tr w14:paraId="5FC1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3459489D">
            <w:pPr>
              <w:snapToGrid w:val="0"/>
              <w:spacing w:line="360" w:lineRule="auto"/>
              <w:jc w:val="center"/>
              <w:rPr>
                <w:kern w:val="0"/>
                <w:sz w:val="18"/>
                <w:szCs w:val="18"/>
              </w:rPr>
            </w:pPr>
            <w:r>
              <w:rPr>
                <w:kern w:val="0"/>
                <w:sz w:val="18"/>
                <w:szCs w:val="18"/>
              </w:rPr>
              <w:t>5</w:t>
            </w:r>
          </w:p>
        </w:tc>
        <w:tc>
          <w:tcPr>
            <w:tcW w:w="850" w:type="dxa"/>
            <w:tcBorders>
              <w:top w:val="single" w:color="auto" w:sz="4" w:space="0"/>
              <w:left w:val="single" w:color="auto" w:sz="4" w:space="0"/>
              <w:bottom w:val="single" w:color="auto" w:sz="4" w:space="0"/>
              <w:right w:val="single" w:color="auto" w:sz="4" w:space="0"/>
            </w:tcBorders>
            <w:vAlign w:val="center"/>
          </w:tcPr>
          <w:p w14:paraId="7F1A3490">
            <w:pPr>
              <w:snapToGrid w:val="0"/>
              <w:spacing w:line="360" w:lineRule="auto"/>
              <w:jc w:val="center"/>
              <w:rPr>
                <w:kern w:val="0"/>
                <w:sz w:val="18"/>
                <w:szCs w:val="18"/>
              </w:rPr>
            </w:pPr>
            <w:r>
              <w:rPr>
                <w:kern w:val="0"/>
                <w:sz w:val="18"/>
                <w:szCs w:val="18"/>
              </w:rPr>
              <w:t>6.3</w:t>
            </w:r>
          </w:p>
        </w:tc>
        <w:tc>
          <w:tcPr>
            <w:tcW w:w="6975" w:type="dxa"/>
            <w:tcBorders>
              <w:top w:val="single" w:color="auto" w:sz="4" w:space="0"/>
              <w:left w:val="single" w:color="auto" w:sz="4" w:space="0"/>
              <w:bottom w:val="single" w:color="auto" w:sz="4" w:space="0"/>
              <w:right w:val="single" w:color="auto" w:sz="4" w:space="0"/>
            </w:tcBorders>
            <w:vAlign w:val="center"/>
          </w:tcPr>
          <w:p w14:paraId="431ED814">
            <w:pPr>
              <w:pStyle w:val="34"/>
              <w:spacing w:line="240" w:lineRule="atLeast"/>
              <w:ind w:firstLine="0" w:firstLineChars="0"/>
              <w:jc w:val="center"/>
              <w:rPr>
                <w:rFonts w:ascii="Times New Roman" w:hAnsi="Times New Roman"/>
                <w:sz w:val="18"/>
                <w:szCs w:val="18"/>
              </w:rPr>
            </w:pPr>
            <w:r>
              <w:rPr>
                <w:rFonts w:hint="eastAsia" w:ascii="Times New Roman" w:hAnsi="Times New Roman"/>
                <w:sz w:val="18"/>
                <w:szCs w:val="18"/>
              </w:rPr>
              <w:t>生物防治当中增加当前梨园生草的种类，另对梨木虱跳小蜂的种名进行确定</w:t>
            </w:r>
          </w:p>
        </w:tc>
        <w:tc>
          <w:tcPr>
            <w:tcW w:w="2976" w:type="dxa"/>
            <w:tcBorders>
              <w:top w:val="single" w:color="auto" w:sz="4" w:space="0"/>
              <w:left w:val="single" w:color="auto" w:sz="4" w:space="0"/>
              <w:bottom w:val="single" w:color="auto" w:sz="4" w:space="0"/>
              <w:right w:val="single" w:color="auto" w:sz="4" w:space="0"/>
            </w:tcBorders>
            <w:vAlign w:val="center"/>
          </w:tcPr>
          <w:p w14:paraId="616BE0F1">
            <w:pPr>
              <w:pStyle w:val="34"/>
              <w:spacing w:line="240" w:lineRule="atLeast"/>
              <w:ind w:firstLine="0" w:firstLineChars="0"/>
              <w:jc w:val="center"/>
              <w:rPr>
                <w:rFonts w:ascii="Times New Roman" w:hAnsi="Times New Roman"/>
                <w:kern w:val="0"/>
                <w:sz w:val="18"/>
                <w:szCs w:val="18"/>
              </w:rPr>
            </w:pPr>
            <w:r>
              <w:rPr>
                <w:rFonts w:hint="eastAsia" w:ascii="Times New Roman" w:hAnsi="Times New Roman"/>
                <w:kern w:val="0"/>
                <w:sz w:val="18"/>
                <w:szCs w:val="18"/>
              </w:rPr>
              <w:t>大宁县科教局</w:t>
            </w:r>
          </w:p>
        </w:tc>
        <w:tc>
          <w:tcPr>
            <w:tcW w:w="1276" w:type="dxa"/>
            <w:tcBorders>
              <w:top w:val="single" w:color="auto" w:sz="4" w:space="0"/>
              <w:left w:val="single" w:color="auto" w:sz="4" w:space="0"/>
              <w:bottom w:val="single" w:color="auto" w:sz="4" w:space="0"/>
              <w:right w:val="single" w:color="auto" w:sz="4" w:space="0"/>
            </w:tcBorders>
            <w:vAlign w:val="center"/>
          </w:tcPr>
          <w:p w14:paraId="1B66F10A">
            <w:pPr>
              <w:snapToGrid w:val="0"/>
              <w:spacing w:line="360" w:lineRule="auto"/>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517C66DF">
            <w:pPr>
              <w:snapToGrid w:val="0"/>
              <w:spacing w:line="360" w:lineRule="auto"/>
              <w:jc w:val="center"/>
              <w:rPr>
                <w:kern w:val="0"/>
                <w:sz w:val="18"/>
                <w:szCs w:val="18"/>
              </w:rPr>
            </w:pPr>
          </w:p>
        </w:tc>
      </w:tr>
      <w:tr w14:paraId="2080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619578C6">
            <w:pPr>
              <w:snapToGrid w:val="0"/>
              <w:spacing w:line="360" w:lineRule="auto"/>
              <w:jc w:val="center"/>
              <w:rPr>
                <w:kern w:val="0"/>
                <w:sz w:val="18"/>
                <w:szCs w:val="18"/>
              </w:rPr>
            </w:pPr>
            <w:r>
              <w:rPr>
                <w:kern w:val="0"/>
                <w:sz w:val="18"/>
                <w:szCs w:val="18"/>
              </w:rPr>
              <w:t>6</w:t>
            </w:r>
          </w:p>
        </w:tc>
        <w:tc>
          <w:tcPr>
            <w:tcW w:w="850" w:type="dxa"/>
            <w:tcBorders>
              <w:top w:val="single" w:color="auto" w:sz="4" w:space="0"/>
              <w:left w:val="single" w:color="auto" w:sz="4" w:space="0"/>
              <w:bottom w:val="single" w:color="auto" w:sz="4" w:space="0"/>
              <w:right w:val="single" w:color="auto" w:sz="4" w:space="0"/>
            </w:tcBorders>
            <w:vAlign w:val="center"/>
          </w:tcPr>
          <w:p w14:paraId="3467D5CC">
            <w:pPr>
              <w:snapToGrid w:val="0"/>
              <w:spacing w:line="360" w:lineRule="auto"/>
              <w:jc w:val="center"/>
              <w:rPr>
                <w:kern w:val="0"/>
                <w:sz w:val="18"/>
                <w:szCs w:val="18"/>
              </w:rPr>
            </w:pPr>
            <w:r>
              <w:rPr>
                <w:kern w:val="0"/>
                <w:sz w:val="18"/>
                <w:szCs w:val="18"/>
              </w:rPr>
              <w:t>6.3</w:t>
            </w:r>
          </w:p>
        </w:tc>
        <w:tc>
          <w:tcPr>
            <w:tcW w:w="6975" w:type="dxa"/>
            <w:tcBorders>
              <w:top w:val="single" w:color="auto" w:sz="4" w:space="0"/>
              <w:left w:val="single" w:color="auto" w:sz="4" w:space="0"/>
              <w:bottom w:val="single" w:color="auto" w:sz="4" w:space="0"/>
              <w:right w:val="single" w:color="auto" w:sz="4" w:space="0"/>
            </w:tcBorders>
            <w:vAlign w:val="center"/>
          </w:tcPr>
          <w:p w14:paraId="40E7D579">
            <w:pPr>
              <w:snapToGrid w:val="0"/>
              <w:spacing w:line="360" w:lineRule="auto"/>
              <w:jc w:val="center"/>
              <w:rPr>
                <w:bCs/>
                <w:kern w:val="0"/>
                <w:sz w:val="18"/>
                <w:szCs w:val="18"/>
              </w:rPr>
            </w:pPr>
            <w:r>
              <w:rPr>
                <w:rFonts w:hint="eastAsia"/>
                <w:bCs/>
                <w:kern w:val="0"/>
                <w:sz w:val="18"/>
                <w:szCs w:val="18"/>
              </w:rPr>
              <w:t>生物防治当中建议在果园释放捕食性天敌瓢虫等</w:t>
            </w:r>
          </w:p>
        </w:tc>
        <w:tc>
          <w:tcPr>
            <w:tcW w:w="2976" w:type="dxa"/>
            <w:tcBorders>
              <w:top w:val="single" w:color="auto" w:sz="4" w:space="0"/>
              <w:left w:val="single" w:color="auto" w:sz="4" w:space="0"/>
              <w:bottom w:val="single" w:color="auto" w:sz="4" w:space="0"/>
              <w:right w:val="single" w:color="auto" w:sz="4" w:space="0"/>
            </w:tcBorders>
            <w:vAlign w:val="center"/>
          </w:tcPr>
          <w:p w14:paraId="4F0DFC4F">
            <w:pPr>
              <w:snapToGrid w:val="0"/>
              <w:spacing w:line="360" w:lineRule="auto"/>
              <w:jc w:val="center"/>
              <w:rPr>
                <w:kern w:val="0"/>
                <w:sz w:val="18"/>
                <w:szCs w:val="18"/>
              </w:rPr>
            </w:pPr>
            <w:r>
              <w:rPr>
                <w:rFonts w:hint="eastAsia"/>
                <w:kern w:val="0"/>
                <w:sz w:val="18"/>
                <w:szCs w:val="18"/>
              </w:rPr>
              <w:t>临汾市农业生态保护发展中心</w:t>
            </w:r>
          </w:p>
        </w:tc>
        <w:tc>
          <w:tcPr>
            <w:tcW w:w="1276" w:type="dxa"/>
            <w:tcBorders>
              <w:top w:val="single" w:color="auto" w:sz="4" w:space="0"/>
              <w:left w:val="single" w:color="auto" w:sz="4" w:space="0"/>
              <w:bottom w:val="single" w:color="auto" w:sz="4" w:space="0"/>
              <w:right w:val="single" w:color="auto" w:sz="4" w:space="0"/>
            </w:tcBorders>
            <w:vAlign w:val="center"/>
          </w:tcPr>
          <w:p w14:paraId="60B3F32D">
            <w:pPr>
              <w:snapToGrid w:val="0"/>
              <w:spacing w:line="360" w:lineRule="auto"/>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706254E7">
            <w:pPr>
              <w:snapToGrid w:val="0"/>
              <w:spacing w:line="360" w:lineRule="auto"/>
              <w:jc w:val="center"/>
              <w:rPr>
                <w:kern w:val="0"/>
                <w:sz w:val="18"/>
                <w:szCs w:val="18"/>
              </w:rPr>
            </w:pPr>
          </w:p>
        </w:tc>
      </w:tr>
      <w:tr w14:paraId="7233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0F3B937C">
            <w:pPr>
              <w:snapToGrid w:val="0"/>
              <w:spacing w:line="360" w:lineRule="auto"/>
              <w:jc w:val="center"/>
              <w:rPr>
                <w:kern w:val="0"/>
                <w:sz w:val="18"/>
                <w:szCs w:val="18"/>
              </w:rPr>
            </w:pPr>
            <w:r>
              <w:rPr>
                <w:kern w:val="0"/>
                <w:sz w:val="18"/>
                <w:szCs w:val="18"/>
              </w:rPr>
              <w:t>7</w:t>
            </w:r>
          </w:p>
        </w:tc>
        <w:tc>
          <w:tcPr>
            <w:tcW w:w="850" w:type="dxa"/>
            <w:tcBorders>
              <w:top w:val="single" w:color="auto" w:sz="4" w:space="0"/>
              <w:left w:val="single" w:color="auto" w:sz="4" w:space="0"/>
              <w:bottom w:val="single" w:color="auto" w:sz="4" w:space="0"/>
              <w:right w:val="single" w:color="auto" w:sz="4" w:space="0"/>
            </w:tcBorders>
            <w:vAlign w:val="center"/>
          </w:tcPr>
          <w:p w14:paraId="2C4737E5">
            <w:pPr>
              <w:snapToGrid w:val="0"/>
              <w:spacing w:line="360" w:lineRule="auto"/>
              <w:jc w:val="center"/>
              <w:rPr>
                <w:kern w:val="0"/>
                <w:sz w:val="18"/>
                <w:szCs w:val="18"/>
              </w:rPr>
            </w:pPr>
            <w:r>
              <w:rPr>
                <w:kern w:val="0"/>
                <w:sz w:val="18"/>
                <w:szCs w:val="18"/>
              </w:rPr>
              <w:t>6.4.1</w:t>
            </w:r>
          </w:p>
        </w:tc>
        <w:tc>
          <w:tcPr>
            <w:tcW w:w="6975" w:type="dxa"/>
            <w:tcBorders>
              <w:top w:val="single" w:color="auto" w:sz="4" w:space="0"/>
              <w:left w:val="single" w:color="auto" w:sz="4" w:space="0"/>
              <w:bottom w:val="single" w:color="auto" w:sz="4" w:space="0"/>
              <w:right w:val="single" w:color="auto" w:sz="4" w:space="0"/>
            </w:tcBorders>
            <w:vAlign w:val="center"/>
          </w:tcPr>
          <w:p w14:paraId="7FC9761A">
            <w:pPr>
              <w:snapToGrid w:val="0"/>
              <w:spacing w:line="360" w:lineRule="auto"/>
              <w:jc w:val="center"/>
              <w:rPr>
                <w:bCs/>
                <w:kern w:val="0"/>
                <w:sz w:val="18"/>
                <w:szCs w:val="18"/>
              </w:rPr>
            </w:pPr>
            <w:r>
              <w:rPr>
                <w:rFonts w:hint="eastAsia"/>
                <w:bCs/>
                <w:kern w:val="0"/>
                <w:sz w:val="18"/>
                <w:szCs w:val="18"/>
              </w:rPr>
              <w:t>建议增加清园药的种类</w:t>
            </w:r>
          </w:p>
        </w:tc>
        <w:tc>
          <w:tcPr>
            <w:tcW w:w="2976" w:type="dxa"/>
            <w:tcBorders>
              <w:top w:val="single" w:color="auto" w:sz="4" w:space="0"/>
              <w:left w:val="single" w:color="auto" w:sz="4" w:space="0"/>
              <w:bottom w:val="single" w:color="auto" w:sz="4" w:space="0"/>
              <w:right w:val="single" w:color="auto" w:sz="4" w:space="0"/>
            </w:tcBorders>
            <w:vAlign w:val="center"/>
          </w:tcPr>
          <w:p w14:paraId="18119073">
            <w:pPr>
              <w:snapToGrid w:val="0"/>
              <w:spacing w:line="360" w:lineRule="auto"/>
              <w:jc w:val="center"/>
              <w:rPr>
                <w:kern w:val="0"/>
                <w:sz w:val="18"/>
                <w:szCs w:val="18"/>
              </w:rPr>
            </w:pPr>
            <w:r>
              <w:rPr>
                <w:rFonts w:hint="eastAsia"/>
                <w:kern w:val="0"/>
                <w:sz w:val="18"/>
                <w:szCs w:val="18"/>
              </w:rPr>
              <w:t>临汾市农业生态保护发展中心</w:t>
            </w:r>
          </w:p>
        </w:tc>
        <w:tc>
          <w:tcPr>
            <w:tcW w:w="1276" w:type="dxa"/>
            <w:tcBorders>
              <w:top w:val="single" w:color="auto" w:sz="4" w:space="0"/>
              <w:left w:val="single" w:color="auto" w:sz="4" w:space="0"/>
              <w:bottom w:val="single" w:color="auto" w:sz="4" w:space="0"/>
              <w:right w:val="single" w:color="auto" w:sz="4" w:space="0"/>
            </w:tcBorders>
            <w:vAlign w:val="center"/>
          </w:tcPr>
          <w:p w14:paraId="290550E2">
            <w:pPr>
              <w:snapToGrid w:val="0"/>
              <w:spacing w:line="360" w:lineRule="auto"/>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57C29B33">
            <w:pPr>
              <w:snapToGrid w:val="0"/>
              <w:spacing w:line="360" w:lineRule="auto"/>
              <w:jc w:val="center"/>
              <w:rPr>
                <w:kern w:val="0"/>
                <w:sz w:val="18"/>
                <w:szCs w:val="18"/>
              </w:rPr>
            </w:pPr>
          </w:p>
        </w:tc>
      </w:tr>
      <w:tr w14:paraId="764E8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26" w:type="dxa"/>
            <w:tcBorders>
              <w:top w:val="single" w:color="auto" w:sz="4" w:space="0"/>
              <w:left w:val="single" w:color="auto" w:sz="4" w:space="0"/>
              <w:bottom w:val="single" w:color="auto" w:sz="4" w:space="0"/>
              <w:right w:val="single" w:color="auto" w:sz="4" w:space="0"/>
            </w:tcBorders>
            <w:vAlign w:val="center"/>
          </w:tcPr>
          <w:p w14:paraId="2CD9C7CA">
            <w:pPr>
              <w:snapToGrid w:val="0"/>
              <w:spacing w:line="360" w:lineRule="auto"/>
              <w:jc w:val="center"/>
              <w:rPr>
                <w:kern w:val="0"/>
                <w:sz w:val="18"/>
                <w:szCs w:val="18"/>
              </w:rPr>
            </w:pPr>
            <w:r>
              <w:rPr>
                <w:kern w:val="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69E31777">
            <w:pPr>
              <w:snapToGrid w:val="0"/>
              <w:spacing w:line="360" w:lineRule="auto"/>
              <w:jc w:val="center"/>
              <w:rPr>
                <w:kern w:val="0"/>
                <w:sz w:val="18"/>
                <w:szCs w:val="18"/>
              </w:rPr>
            </w:pPr>
            <w:r>
              <w:rPr>
                <w:kern w:val="0"/>
                <w:sz w:val="18"/>
                <w:szCs w:val="18"/>
              </w:rPr>
              <w:t>6.4.2</w:t>
            </w:r>
          </w:p>
        </w:tc>
        <w:tc>
          <w:tcPr>
            <w:tcW w:w="6975" w:type="dxa"/>
            <w:tcBorders>
              <w:top w:val="single" w:color="auto" w:sz="4" w:space="0"/>
              <w:left w:val="single" w:color="auto" w:sz="4" w:space="0"/>
              <w:bottom w:val="single" w:color="auto" w:sz="4" w:space="0"/>
              <w:right w:val="single" w:color="auto" w:sz="4" w:space="0"/>
            </w:tcBorders>
            <w:vAlign w:val="center"/>
          </w:tcPr>
          <w:p w14:paraId="60AFFBD7">
            <w:pPr>
              <w:snapToGrid w:val="0"/>
              <w:spacing w:line="240" w:lineRule="atLeast"/>
              <w:jc w:val="center"/>
              <w:rPr>
                <w:bCs/>
                <w:kern w:val="0"/>
                <w:sz w:val="18"/>
                <w:szCs w:val="18"/>
              </w:rPr>
            </w:pPr>
            <w:r>
              <w:rPr>
                <w:rFonts w:hint="eastAsia"/>
                <w:bCs/>
                <w:kern w:val="0"/>
                <w:sz w:val="18"/>
                <w:szCs w:val="18"/>
              </w:rPr>
              <w:t>注意一些高毒农药已不推荐应用</w:t>
            </w:r>
          </w:p>
        </w:tc>
        <w:tc>
          <w:tcPr>
            <w:tcW w:w="2976" w:type="dxa"/>
            <w:tcBorders>
              <w:top w:val="single" w:color="auto" w:sz="4" w:space="0"/>
              <w:left w:val="single" w:color="auto" w:sz="4" w:space="0"/>
              <w:bottom w:val="single" w:color="auto" w:sz="4" w:space="0"/>
              <w:right w:val="single" w:color="auto" w:sz="4" w:space="0"/>
            </w:tcBorders>
            <w:vAlign w:val="center"/>
          </w:tcPr>
          <w:p w14:paraId="1E8B993E">
            <w:pPr>
              <w:snapToGrid w:val="0"/>
              <w:spacing w:line="240" w:lineRule="atLeast"/>
              <w:jc w:val="center"/>
              <w:rPr>
                <w:kern w:val="0"/>
                <w:sz w:val="18"/>
                <w:szCs w:val="18"/>
              </w:rPr>
            </w:pPr>
            <w:r>
              <w:rPr>
                <w:rFonts w:hint="eastAsia"/>
                <w:kern w:val="0"/>
                <w:sz w:val="18"/>
                <w:szCs w:val="18"/>
              </w:rPr>
              <w:t>临汾市农业生态保护发展中心</w:t>
            </w:r>
          </w:p>
        </w:tc>
        <w:tc>
          <w:tcPr>
            <w:tcW w:w="1276" w:type="dxa"/>
            <w:tcBorders>
              <w:top w:val="single" w:color="auto" w:sz="4" w:space="0"/>
              <w:left w:val="single" w:color="auto" w:sz="4" w:space="0"/>
              <w:bottom w:val="single" w:color="auto" w:sz="4" w:space="0"/>
              <w:right w:val="single" w:color="auto" w:sz="4" w:space="0"/>
            </w:tcBorders>
            <w:vAlign w:val="center"/>
          </w:tcPr>
          <w:p w14:paraId="59E91222">
            <w:pPr>
              <w:snapToGrid w:val="0"/>
              <w:spacing w:line="240" w:lineRule="atLeast"/>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591BD82F">
            <w:pPr>
              <w:snapToGrid w:val="0"/>
              <w:spacing w:line="240" w:lineRule="atLeast"/>
              <w:jc w:val="center"/>
              <w:rPr>
                <w:kern w:val="0"/>
                <w:sz w:val="18"/>
                <w:szCs w:val="18"/>
              </w:rPr>
            </w:pPr>
          </w:p>
        </w:tc>
      </w:tr>
      <w:tr w14:paraId="29C3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564B3CA7">
            <w:pPr>
              <w:snapToGrid w:val="0"/>
              <w:spacing w:line="360" w:lineRule="auto"/>
              <w:jc w:val="center"/>
              <w:rPr>
                <w:kern w:val="0"/>
                <w:sz w:val="18"/>
                <w:szCs w:val="18"/>
              </w:rPr>
            </w:pPr>
            <w:r>
              <w:rPr>
                <w:kern w:val="0"/>
                <w:sz w:val="18"/>
                <w:szCs w:val="18"/>
              </w:rPr>
              <w:t>9</w:t>
            </w:r>
          </w:p>
        </w:tc>
        <w:tc>
          <w:tcPr>
            <w:tcW w:w="850" w:type="dxa"/>
            <w:tcBorders>
              <w:top w:val="single" w:color="auto" w:sz="4" w:space="0"/>
              <w:left w:val="single" w:color="auto" w:sz="4" w:space="0"/>
              <w:bottom w:val="single" w:color="auto" w:sz="4" w:space="0"/>
              <w:right w:val="single" w:color="auto" w:sz="4" w:space="0"/>
            </w:tcBorders>
            <w:vAlign w:val="center"/>
          </w:tcPr>
          <w:p w14:paraId="50E53931">
            <w:pPr>
              <w:snapToGrid w:val="0"/>
              <w:spacing w:line="360" w:lineRule="auto"/>
              <w:jc w:val="center"/>
              <w:rPr>
                <w:kern w:val="0"/>
                <w:sz w:val="18"/>
                <w:szCs w:val="18"/>
              </w:rPr>
            </w:pPr>
            <w:r>
              <w:rPr>
                <w:rFonts w:hint="eastAsia"/>
                <w:kern w:val="0"/>
                <w:sz w:val="18"/>
                <w:szCs w:val="18"/>
              </w:rPr>
              <w:t>附录C</w:t>
            </w:r>
          </w:p>
        </w:tc>
        <w:tc>
          <w:tcPr>
            <w:tcW w:w="6975" w:type="dxa"/>
            <w:tcBorders>
              <w:top w:val="single" w:color="auto" w:sz="4" w:space="0"/>
              <w:left w:val="single" w:color="auto" w:sz="4" w:space="0"/>
              <w:bottom w:val="single" w:color="auto" w:sz="4" w:space="0"/>
              <w:right w:val="single" w:color="auto" w:sz="4" w:space="0"/>
            </w:tcBorders>
            <w:vAlign w:val="center"/>
          </w:tcPr>
          <w:p w14:paraId="6F2D91F9">
            <w:pPr>
              <w:snapToGrid w:val="0"/>
              <w:spacing w:line="360" w:lineRule="auto"/>
              <w:jc w:val="center"/>
              <w:rPr>
                <w:bCs/>
                <w:kern w:val="0"/>
                <w:sz w:val="18"/>
                <w:szCs w:val="18"/>
              </w:rPr>
            </w:pPr>
            <w:r>
              <w:rPr>
                <w:rFonts w:hint="eastAsia"/>
                <w:bCs/>
                <w:kern w:val="0"/>
                <w:sz w:val="18"/>
                <w:szCs w:val="18"/>
              </w:rPr>
              <w:t>查证现有推荐防治梨木虱的药剂种类并进行补正</w:t>
            </w:r>
          </w:p>
        </w:tc>
        <w:tc>
          <w:tcPr>
            <w:tcW w:w="2976" w:type="dxa"/>
            <w:tcBorders>
              <w:top w:val="single" w:color="auto" w:sz="4" w:space="0"/>
              <w:left w:val="single" w:color="auto" w:sz="4" w:space="0"/>
              <w:bottom w:val="single" w:color="auto" w:sz="4" w:space="0"/>
              <w:right w:val="single" w:color="auto" w:sz="4" w:space="0"/>
            </w:tcBorders>
            <w:vAlign w:val="center"/>
          </w:tcPr>
          <w:p w14:paraId="7FE128FA">
            <w:pPr>
              <w:snapToGrid w:val="0"/>
              <w:spacing w:line="360" w:lineRule="auto"/>
              <w:jc w:val="center"/>
              <w:rPr>
                <w:bCs/>
                <w:kern w:val="0"/>
                <w:sz w:val="18"/>
                <w:szCs w:val="18"/>
              </w:rPr>
            </w:pPr>
            <w:r>
              <w:rPr>
                <w:rFonts w:hint="eastAsia"/>
                <w:bCs/>
                <w:kern w:val="0"/>
                <w:sz w:val="18"/>
                <w:szCs w:val="18"/>
              </w:rPr>
              <w:t>临汾市农业生态保护发展中心</w:t>
            </w:r>
          </w:p>
        </w:tc>
        <w:tc>
          <w:tcPr>
            <w:tcW w:w="1276" w:type="dxa"/>
            <w:tcBorders>
              <w:top w:val="single" w:color="auto" w:sz="4" w:space="0"/>
              <w:left w:val="single" w:color="auto" w:sz="4" w:space="0"/>
              <w:bottom w:val="single" w:color="auto" w:sz="4" w:space="0"/>
              <w:right w:val="single" w:color="auto" w:sz="4" w:space="0"/>
            </w:tcBorders>
            <w:vAlign w:val="center"/>
          </w:tcPr>
          <w:p w14:paraId="7CD95A02">
            <w:pPr>
              <w:snapToGrid w:val="0"/>
              <w:spacing w:line="360" w:lineRule="auto"/>
              <w:jc w:val="center"/>
              <w:rPr>
                <w:bCs/>
                <w:kern w:val="0"/>
                <w:sz w:val="18"/>
                <w:szCs w:val="18"/>
              </w:rPr>
            </w:pPr>
            <w:r>
              <w:rPr>
                <w:bCs/>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3EB285E9">
            <w:pPr>
              <w:snapToGrid w:val="0"/>
              <w:spacing w:line="360" w:lineRule="auto"/>
              <w:jc w:val="center"/>
              <w:rPr>
                <w:kern w:val="0"/>
                <w:sz w:val="18"/>
                <w:szCs w:val="18"/>
              </w:rPr>
            </w:pPr>
          </w:p>
        </w:tc>
      </w:tr>
      <w:tr w14:paraId="3ED8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0" w:type="dxa"/>
            <w:gridSpan w:val="6"/>
            <w:tcBorders>
              <w:top w:val="single" w:color="auto" w:sz="4" w:space="0"/>
              <w:left w:val="single" w:color="auto" w:sz="4" w:space="0"/>
              <w:bottom w:val="single" w:color="auto" w:sz="4" w:space="0"/>
              <w:right w:val="single" w:color="auto" w:sz="4" w:space="0"/>
            </w:tcBorders>
            <w:vAlign w:val="center"/>
          </w:tcPr>
          <w:p w14:paraId="66FA7B15">
            <w:pPr>
              <w:snapToGrid w:val="0"/>
              <w:spacing w:line="360" w:lineRule="auto"/>
              <w:ind w:firstLine="180" w:firstLineChars="100"/>
              <w:jc w:val="center"/>
              <w:rPr>
                <w:kern w:val="0"/>
                <w:sz w:val="18"/>
                <w:szCs w:val="18"/>
              </w:rPr>
            </w:pPr>
            <w:r>
              <w:rPr>
                <w:kern w:val="0"/>
                <w:sz w:val="18"/>
                <w:szCs w:val="18"/>
              </w:rPr>
              <w:t>说明：1、针对明确回复无意见的单位，请在“意见内容”中注明无意见，在“提出单位”中列出无意见单位的名称。</w:t>
            </w:r>
          </w:p>
          <w:p w14:paraId="68A0AB50">
            <w:pPr>
              <w:snapToGrid w:val="0"/>
              <w:spacing w:line="360" w:lineRule="auto"/>
              <w:ind w:firstLine="720" w:firstLineChars="400"/>
              <w:jc w:val="center"/>
              <w:rPr>
                <w:kern w:val="0"/>
                <w:sz w:val="18"/>
                <w:szCs w:val="18"/>
              </w:rPr>
            </w:pPr>
            <w:r>
              <w:rPr>
                <w:kern w:val="0"/>
                <w:sz w:val="18"/>
                <w:szCs w:val="18"/>
              </w:rPr>
              <w:t>2、发送征求意见稿单位数4个；回到征求意见稿回函的单位数4个；收到征求意见稿并提出意见的单位数4个；没有回函的单位数0个；共收</w:t>
            </w:r>
          </w:p>
          <w:p w14:paraId="21BBE159">
            <w:pPr>
              <w:snapToGrid w:val="0"/>
              <w:spacing w:line="360" w:lineRule="auto"/>
              <w:jc w:val="center"/>
              <w:rPr>
                <w:kern w:val="0"/>
                <w:sz w:val="18"/>
                <w:szCs w:val="18"/>
              </w:rPr>
            </w:pPr>
            <w:r>
              <w:rPr>
                <w:kern w:val="0"/>
                <w:sz w:val="18"/>
                <w:szCs w:val="18"/>
              </w:rPr>
              <w:t>到10条意见，采纳10条意见，未采纳0条意见</w:t>
            </w:r>
          </w:p>
        </w:tc>
      </w:tr>
    </w:tbl>
    <w:p w14:paraId="309CD079">
      <w:pPr>
        <w:rPr>
          <w:rFonts w:ascii="仿宋_GB2312" w:hAnsi="宋体" w:eastAsia="仿宋_GB2312"/>
          <w:color w:val="0000FF"/>
          <w:sz w:val="24"/>
        </w:rPr>
      </w:pPr>
    </w:p>
    <w:sectPr>
      <w:pgSz w:w="16838" w:h="11906" w:orient="landscape"/>
      <w:pgMar w:top="1803" w:right="1440" w:bottom="1803" w:left="1440" w:header="851" w:footer="992" w:gutter="0"/>
      <w:pgNumType w:start="1"/>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ngal">
    <w:altName w:val="DejaVu Math TeX Gyre"/>
    <w:panose1 w:val="02040503050203030202"/>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42C6C">
    <w:pPr>
      <w:pStyle w:val="9"/>
      <w:jc w:val="center"/>
    </w:pPr>
    <w:r>
      <w:fldChar w:fldCharType="begin"/>
    </w:r>
    <w:r>
      <w:instrText xml:space="preserve">PAGE   \* MERGEFORMAT</w:instrText>
    </w:r>
    <w:r>
      <w:fldChar w:fldCharType="separate"/>
    </w:r>
    <w:r>
      <w:rPr>
        <w:lang w:val="zh-CN"/>
      </w:rPr>
      <w:t>2</w:t>
    </w:r>
    <w:r>
      <w:fldChar w:fldCharType="end"/>
    </w:r>
  </w:p>
  <w:p w14:paraId="3F76960A">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319"/>
  <w:displayHorizont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2ZjgyMGVmMWEyN2IyOWQwOGVjYjEyNzJiNGZhNzU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2304"/>
    <w:rsid w:val="00073F3B"/>
    <w:rsid w:val="000754B9"/>
    <w:rsid w:val="00075AE2"/>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0F3C4A"/>
    <w:rsid w:val="00104D9E"/>
    <w:rsid w:val="001079E4"/>
    <w:rsid w:val="00114B28"/>
    <w:rsid w:val="00136B80"/>
    <w:rsid w:val="00137002"/>
    <w:rsid w:val="00140883"/>
    <w:rsid w:val="001422D2"/>
    <w:rsid w:val="00142DCA"/>
    <w:rsid w:val="001451F2"/>
    <w:rsid w:val="00146292"/>
    <w:rsid w:val="001537D3"/>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57A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17FD"/>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85D5C"/>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29A6"/>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28D0"/>
    <w:rsid w:val="00492EA4"/>
    <w:rsid w:val="004943B6"/>
    <w:rsid w:val="00494F67"/>
    <w:rsid w:val="00495DCD"/>
    <w:rsid w:val="004A0CC0"/>
    <w:rsid w:val="004A2295"/>
    <w:rsid w:val="004A2C5C"/>
    <w:rsid w:val="004A6D81"/>
    <w:rsid w:val="004A7E24"/>
    <w:rsid w:val="004B7966"/>
    <w:rsid w:val="004B7B8C"/>
    <w:rsid w:val="004C4A90"/>
    <w:rsid w:val="004D004F"/>
    <w:rsid w:val="004D4066"/>
    <w:rsid w:val="004D62AF"/>
    <w:rsid w:val="004E42DA"/>
    <w:rsid w:val="004E45D5"/>
    <w:rsid w:val="004E531D"/>
    <w:rsid w:val="004E5AFA"/>
    <w:rsid w:val="004E65D8"/>
    <w:rsid w:val="004F10CE"/>
    <w:rsid w:val="004F4490"/>
    <w:rsid w:val="004F4EF5"/>
    <w:rsid w:val="004F6A63"/>
    <w:rsid w:val="00504A7B"/>
    <w:rsid w:val="0050538B"/>
    <w:rsid w:val="0050635F"/>
    <w:rsid w:val="005119FA"/>
    <w:rsid w:val="00513F60"/>
    <w:rsid w:val="005165DC"/>
    <w:rsid w:val="00532EC9"/>
    <w:rsid w:val="0053409C"/>
    <w:rsid w:val="0053513E"/>
    <w:rsid w:val="005354BE"/>
    <w:rsid w:val="00535FC3"/>
    <w:rsid w:val="00536728"/>
    <w:rsid w:val="0056323B"/>
    <w:rsid w:val="00573771"/>
    <w:rsid w:val="00574352"/>
    <w:rsid w:val="005811F3"/>
    <w:rsid w:val="00582DEA"/>
    <w:rsid w:val="0058589E"/>
    <w:rsid w:val="0059142D"/>
    <w:rsid w:val="005915E3"/>
    <w:rsid w:val="00597C60"/>
    <w:rsid w:val="005A0ED2"/>
    <w:rsid w:val="005A3C89"/>
    <w:rsid w:val="005A42A5"/>
    <w:rsid w:val="005B0120"/>
    <w:rsid w:val="005B07C8"/>
    <w:rsid w:val="005B1473"/>
    <w:rsid w:val="005B4A6F"/>
    <w:rsid w:val="005B7CA6"/>
    <w:rsid w:val="005C1F9E"/>
    <w:rsid w:val="005D1BF7"/>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2205C"/>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3015"/>
    <w:rsid w:val="006A4784"/>
    <w:rsid w:val="006A5225"/>
    <w:rsid w:val="006A7107"/>
    <w:rsid w:val="006B3E2E"/>
    <w:rsid w:val="006C472E"/>
    <w:rsid w:val="006C7054"/>
    <w:rsid w:val="006D0FBE"/>
    <w:rsid w:val="006D1116"/>
    <w:rsid w:val="006E02DD"/>
    <w:rsid w:val="006E1129"/>
    <w:rsid w:val="006E3F80"/>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0E43"/>
    <w:rsid w:val="0077176C"/>
    <w:rsid w:val="00772C34"/>
    <w:rsid w:val="0077376F"/>
    <w:rsid w:val="00773A15"/>
    <w:rsid w:val="007743EC"/>
    <w:rsid w:val="00776852"/>
    <w:rsid w:val="00776D66"/>
    <w:rsid w:val="00777B27"/>
    <w:rsid w:val="00791BB3"/>
    <w:rsid w:val="0079399E"/>
    <w:rsid w:val="00795AB4"/>
    <w:rsid w:val="007975E1"/>
    <w:rsid w:val="007A0FC4"/>
    <w:rsid w:val="007A65A0"/>
    <w:rsid w:val="007B0D2E"/>
    <w:rsid w:val="007B2777"/>
    <w:rsid w:val="007B2968"/>
    <w:rsid w:val="007C1FF1"/>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75D1F"/>
    <w:rsid w:val="00880EC6"/>
    <w:rsid w:val="00884A91"/>
    <w:rsid w:val="008935DA"/>
    <w:rsid w:val="008A1945"/>
    <w:rsid w:val="008A1B81"/>
    <w:rsid w:val="008A36A4"/>
    <w:rsid w:val="008A699E"/>
    <w:rsid w:val="008A6D37"/>
    <w:rsid w:val="008B7F7F"/>
    <w:rsid w:val="008C1D81"/>
    <w:rsid w:val="008C4583"/>
    <w:rsid w:val="008C7F7C"/>
    <w:rsid w:val="008E256F"/>
    <w:rsid w:val="008E454E"/>
    <w:rsid w:val="008F1AAD"/>
    <w:rsid w:val="008F5288"/>
    <w:rsid w:val="00900686"/>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16"/>
    <w:rsid w:val="0098417D"/>
    <w:rsid w:val="009875C5"/>
    <w:rsid w:val="00991DF6"/>
    <w:rsid w:val="0099572B"/>
    <w:rsid w:val="00996196"/>
    <w:rsid w:val="0099787D"/>
    <w:rsid w:val="009A2FA1"/>
    <w:rsid w:val="009B49F6"/>
    <w:rsid w:val="009B4E35"/>
    <w:rsid w:val="009B686C"/>
    <w:rsid w:val="009B7501"/>
    <w:rsid w:val="009C3329"/>
    <w:rsid w:val="009C558A"/>
    <w:rsid w:val="009C596B"/>
    <w:rsid w:val="009C5E73"/>
    <w:rsid w:val="009D5C90"/>
    <w:rsid w:val="009F1169"/>
    <w:rsid w:val="009F39E8"/>
    <w:rsid w:val="009F7170"/>
    <w:rsid w:val="009F75FD"/>
    <w:rsid w:val="00A15104"/>
    <w:rsid w:val="00A2176F"/>
    <w:rsid w:val="00A25526"/>
    <w:rsid w:val="00A30ABC"/>
    <w:rsid w:val="00A30F63"/>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388C"/>
    <w:rsid w:val="00AA538B"/>
    <w:rsid w:val="00AA685C"/>
    <w:rsid w:val="00AB297F"/>
    <w:rsid w:val="00AB4A9B"/>
    <w:rsid w:val="00AC0AF2"/>
    <w:rsid w:val="00AC2568"/>
    <w:rsid w:val="00AC7446"/>
    <w:rsid w:val="00AD10B8"/>
    <w:rsid w:val="00AD6B94"/>
    <w:rsid w:val="00AE1153"/>
    <w:rsid w:val="00AF0D1C"/>
    <w:rsid w:val="00AF58B6"/>
    <w:rsid w:val="00B01F81"/>
    <w:rsid w:val="00B03A6D"/>
    <w:rsid w:val="00B04CAD"/>
    <w:rsid w:val="00B04FD0"/>
    <w:rsid w:val="00B071E5"/>
    <w:rsid w:val="00B104BD"/>
    <w:rsid w:val="00B1146C"/>
    <w:rsid w:val="00B121E2"/>
    <w:rsid w:val="00B130AF"/>
    <w:rsid w:val="00B22B39"/>
    <w:rsid w:val="00B24ED8"/>
    <w:rsid w:val="00B271DE"/>
    <w:rsid w:val="00B27F8A"/>
    <w:rsid w:val="00B30ED5"/>
    <w:rsid w:val="00B3317B"/>
    <w:rsid w:val="00B34FF2"/>
    <w:rsid w:val="00B36550"/>
    <w:rsid w:val="00B43960"/>
    <w:rsid w:val="00B503CA"/>
    <w:rsid w:val="00B56043"/>
    <w:rsid w:val="00B67E1C"/>
    <w:rsid w:val="00B767B8"/>
    <w:rsid w:val="00B77A1D"/>
    <w:rsid w:val="00B80ADA"/>
    <w:rsid w:val="00B8370A"/>
    <w:rsid w:val="00B85CE2"/>
    <w:rsid w:val="00B877F0"/>
    <w:rsid w:val="00B93351"/>
    <w:rsid w:val="00B949E8"/>
    <w:rsid w:val="00B95E63"/>
    <w:rsid w:val="00B96E91"/>
    <w:rsid w:val="00BA2CDB"/>
    <w:rsid w:val="00BA3C87"/>
    <w:rsid w:val="00BA595B"/>
    <w:rsid w:val="00BA5FBC"/>
    <w:rsid w:val="00BA7A98"/>
    <w:rsid w:val="00BB1509"/>
    <w:rsid w:val="00BB6BC4"/>
    <w:rsid w:val="00BC5FAC"/>
    <w:rsid w:val="00BC6B24"/>
    <w:rsid w:val="00BD5606"/>
    <w:rsid w:val="00BE2554"/>
    <w:rsid w:val="00BE3B52"/>
    <w:rsid w:val="00BE3CCF"/>
    <w:rsid w:val="00BE465C"/>
    <w:rsid w:val="00BF193C"/>
    <w:rsid w:val="00C0257D"/>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38A2"/>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5BB9"/>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05FB"/>
    <w:rsid w:val="00E11D5F"/>
    <w:rsid w:val="00E15C5B"/>
    <w:rsid w:val="00E17117"/>
    <w:rsid w:val="00E23F76"/>
    <w:rsid w:val="00E275CE"/>
    <w:rsid w:val="00E41C96"/>
    <w:rsid w:val="00E42650"/>
    <w:rsid w:val="00E4682B"/>
    <w:rsid w:val="00E47699"/>
    <w:rsid w:val="00E628B1"/>
    <w:rsid w:val="00E71D53"/>
    <w:rsid w:val="00E722BD"/>
    <w:rsid w:val="00E80F2E"/>
    <w:rsid w:val="00E830F6"/>
    <w:rsid w:val="00E87347"/>
    <w:rsid w:val="00E945B0"/>
    <w:rsid w:val="00E94AFD"/>
    <w:rsid w:val="00E957AE"/>
    <w:rsid w:val="00EA6262"/>
    <w:rsid w:val="00EB4480"/>
    <w:rsid w:val="00EB6465"/>
    <w:rsid w:val="00ED12F6"/>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29C5"/>
    <w:rsid w:val="00F6407D"/>
    <w:rsid w:val="00F64FBB"/>
    <w:rsid w:val="00F67F81"/>
    <w:rsid w:val="00F703AD"/>
    <w:rsid w:val="00F70EA3"/>
    <w:rsid w:val="00F73553"/>
    <w:rsid w:val="00F742CC"/>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B7"/>
    <w:rsid w:val="00FB15E3"/>
    <w:rsid w:val="00FB79BD"/>
    <w:rsid w:val="00FC1739"/>
    <w:rsid w:val="00FC754C"/>
    <w:rsid w:val="00FD0304"/>
    <w:rsid w:val="00FD3CE4"/>
    <w:rsid w:val="00FD684B"/>
    <w:rsid w:val="2E710DC5"/>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8"/>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rPr>
      <w:szCs w:val="21"/>
    </w:rPr>
  </w:style>
  <w:style w:type="paragraph" w:styleId="5">
    <w:name w:val="caption"/>
    <w:basedOn w:val="1"/>
    <w:next w:val="1"/>
    <w:qFormat/>
    <w:uiPriority w:val="99"/>
    <w:pPr>
      <w:suppressLineNumbers/>
      <w:suppressAutoHyphens/>
      <w:spacing w:before="120" w:after="120"/>
    </w:pPr>
    <w:rPr>
      <w:rFonts w:cs="Mangal"/>
      <w:i/>
      <w:iCs/>
      <w:kern w:val="21"/>
      <w:sz w:val="24"/>
      <w:lang w:eastAsia="ar-SA"/>
    </w:rPr>
  </w:style>
  <w:style w:type="paragraph" w:styleId="6">
    <w:name w:val="Body Text"/>
    <w:basedOn w:val="1"/>
    <w:link w:val="28"/>
    <w:qFormat/>
    <w:uiPriority w:val="0"/>
    <w:pPr>
      <w:spacing w:after="120"/>
    </w:pPr>
  </w:style>
  <w:style w:type="paragraph" w:styleId="7">
    <w:name w:val="Date"/>
    <w:basedOn w:val="1"/>
    <w:next w:val="1"/>
    <w:link w:val="27"/>
    <w:semiHidden/>
    <w:unhideWhenUsed/>
    <w:qFormat/>
    <w:uiPriority w:val="99"/>
    <w:pPr>
      <w:ind w:left="100" w:leftChars="2500"/>
    </w:pPr>
  </w:style>
  <w:style w:type="paragraph" w:styleId="8">
    <w:name w:val="Balloon Text"/>
    <w:basedOn w:val="1"/>
    <w:link w:val="24"/>
    <w:semiHidden/>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2">
    <w:name w:val="Normal (Web)"/>
    <w:basedOn w:val="1"/>
    <w:next w:val="1"/>
    <w:semiHidden/>
    <w:unhideWhenUsed/>
    <w:qFormat/>
    <w:uiPriority w:val="99"/>
    <w:pPr>
      <w:spacing w:beforeAutospacing="1" w:afterAutospacing="1"/>
      <w:jc w:val="left"/>
    </w:pPr>
    <w:rPr>
      <w:kern w:val="0"/>
      <w:sz w:val="24"/>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99"/>
    <w:rPr>
      <w:rFonts w:cs="Times New Roman"/>
      <w:b/>
    </w:rPr>
  </w:style>
  <w:style w:type="character" w:customStyle="1" w:styleId="17">
    <w:name w:val="标题 1 字符"/>
    <w:link w:val="2"/>
    <w:qFormat/>
    <w:locked/>
    <w:uiPriority w:val="99"/>
    <w:rPr>
      <w:rFonts w:cs="Times New Roman"/>
      <w:b/>
      <w:kern w:val="1"/>
      <w:sz w:val="44"/>
      <w:lang w:eastAsia="ar-SA" w:bidi="ar-SA"/>
    </w:rPr>
  </w:style>
  <w:style w:type="character" w:customStyle="1" w:styleId="18">
    <w:name w:val="标题 3 字符"/>
    <w:link w:val="3"/>
    <w:qFormat/>
    <w:locked/>
    <w:uiPriority w:val="99"/>
    <w:rPr>
      <w:rFonts w:cs="Times New Roman"/>
      <w:b/>
      <w:kern w:val="21"/>
      <w:sz w:val="32"/>
      <w:lang w:eastAsia="ar-SA" w:bidi="ar-SA"/>
    </w:rPr>
  </w:style>
  <w:style w:type="paragraph" w:styleId="19">
    <w:name w:val="List Paragraph"/>
    <w:basedOn w:val="1"/>
    <w:qFormat/>
    <w:uiPriority w:val="99"/>
    <w:pPr>
      <w:suppressAutoHyphens/>
      <w:ind w:firstLine="420" w:firstLineChars="200"/>
    </w:pPr>
    <w:rPr>
      <w:kern w:val="21"/>
      <w:lang w:eastAsia="ar-SA"/>
    </w:rPr>
  </w:style>
  <w:style w:type="paragraph" w:customStyle="1" w:styleId="20">
    <w:name w:val="段"/>
    <w:link w:val="2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1">
    <w:name w:val="段 Char"/>
    <w:link w:val="20"/>
    <w:qFormat/>
    <w:locked/>
    <w:uiPriority w:val="0"/>
    <w:rPr>
      <w:rFonts w:ascii="宋体" w:cs="Times New Roman"/>
      <w:sz w:val="21"/>
      <w:lang w:val="en-US" w:eastAsia="zh-CN" w:bidi="ar-SA"/>
    </w:rPr>
  </w:style>
  <w:style w:type="character" w:customStyle="1" w:styleId="22">
    <w:name w:val="页眉 字符"/>
    <w:link w:val="10"/>
    <w:qFormat/>
    <w:uiPriority w:val="99"/>
    <w:rPr>
      <w:sz w:val="18"/>
      <w:szCs w:val="18"/>
    </w:rPr>
  </w:style>
  <w:style w:type="character" w:customStyle="1" w:styleId="23">
    <w:name w:val="页脚 字符"/>
    <w:link w:val="9"/>
    <w:qFormat/>
    <w:uiPriority w:val="99"/>
    <w:rPr>
      <w:sz w:val="18"/>
      <w:szCs w:val="18"/>
    </w:rPr>
  </w:style>
  <w:style w:type="character" w:customStyle="1" w:styleId="24">
    <w:name w:val="批注框文本 字符"/>
    <w:link w:val="8"/>
    <w:semiHidden/>
    <w:qFormat/>
    <w:uiPriority w:val="99"/>
    <w:rPr>
      <w:kern w:val="2"/>
      <w:sz w:val="18"/>
      <w:szCs w:val="18"/>
    </w:rPr>
  </w:style>
  <w:style w:type="table" w:customStyle="1" w:styleId="25">
    <w:name w:val="浅色底纹1"/>
    <w:basedOn w:val="13"/>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6">
    <w:name w:val="浅色底纹2"/>
    <w:basedOn w:val="13"/>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7">
    <w:name w:val="日期 字符"/>
    <w:basedOn w:val="15"/>
    <w:link w:val="7"/>
    <w:semiHidden/>
    <w:qFormat/>
    <w:uiPriority w:val="99"/>
    <w:rPr>
      <w:kern w:val="2"/>
      <w:sz w:val="21"/>
      <w:szCs w:val="24"/>
    </w:rPr>
  </w:style>
  <w:style w:type="character" w:customStyle="1" w:styleId="28">
    <w:name w:val="正文文本 字符"/>
    <w:basedOn w:val="15"/>
    <w:link w:val="6"/>
    <w:qFormat/>
    <w:uiPriority w:val="0"/>
    <w:rPr>
      <w:kern w:val="2"/>
      <w:sz w:val="21"/>
      <w:szCs w:val="24"/>
    </w:rPr>
  </w:style>
  <w:style w:type="paragraph" w:customStyle="1" w:styleId="29">
    <w:name w:val="标准文件_段"/>
    <w:link w:val="3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0">
    <w:name w:val="标准文件_段 Char"/>
    <w:link w:val="29"/>
    <w:qFormat/>
    <w:uiPriority w:val="0"/>
    <w:rPr>
      <w:rFonts w:ascii="宋体"/>
      <w:sz w:val="21"/>
    </w:rPr>
  </w:style>
  <w:style w:type="paragraph" w:customStyle="1" w:styleId="31">
    <w:name w:val="一级条标题"/>
    <w:next w:val="20"/>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2">
    <w:name w:val="二级条标题"/>
    <w:basedOn w:val="31"/>
    <w:next w:val="20"/>
    <w:qFormat/>
    <w:uiPriority w:val="0"/>
    <w:pPr>
      <w:numPr>
        <w:ilvl w:val="2"/>
      </w:numPr>
      <w:spacing w:before="50" w:after="50"/>
      <w:outlineLvl w:val="3"/>
    </w:pPr>
  </w:style>
  <w:style w:type="paragraph" w:customStyle="1" w:styleId="33">
    <w:name w:val="附录表标题"/>
    <w:basedOn w:val="1"/>
    <w:next w:val="20"/>
    <w:qFormat/>
    <w:uiPriority w:val="0"/>
    <w:pPr>
      <w:numPr>
        <w:ilvl w:val="1"/>
        <w:numId w:val="2"/>
      </w:numPr>
      <w:tabs>
        <w:tab w:val="left" w:pos="180"/>
      </w:tabs>
      <w:spacing w:beforeLines="50" w:afterLines="50"/>
      <w:ind w:left="0" w:firstLine="0"/>
      <w:jc w:val="center"/>
    </w:pPr>
    <w:rPr>
      <w:rFonts w:ascii="黑体" w:eastAsia="黑体"/>
      <w:szCs w:val="21"/>
    </w:rPr>
  </w:style>
  <w:style w:type="paragraph" w:customStyle="1" w:styleId="34">
    <w:name w:val="No Spacing_ad81b47b-6779-4c76-b471-79375858c8cb"/>
    <w:basedOn w:val="1"/>
    <w:qFormat/>
    <w:uiPriority w:val="0"/>
    <w:pPr>
      <w:ind w:firstLine="200" w:firstLineChars="200"/>
    </w:pPr>
    <w:rPr>
      <w:rFonts w:ascii="Cambria" w:hAnsi="Cambria"/>
      <w:sz w:val="24"/>
      <w:szCs w:val="21"/>
    </w:rPr>
  </w:style>
  <w:style w:type="paragraph" w:customStyle="1" w:styleId="35">
    <w:name w:val="正文首行缩进 21"/>
    <w:basedOn w:val="36"/>
    <w:next w:val="12"/>
    <w:qFormat/>
    <w:uiPriority w:val="0"/>
    <w:rPr>
      <w:rFonts w:eastAsia="仿宋_GB2312"/>
      <w:sz w:val="32"/>
      <w:szCs w:val="32"/>
    </w:rPr>
  </w:style>
  <w:style w:type="paragraph" w:customStyle="1" w:styleId="36">
    <w:name w:val="正文文本缩进1"/>
    <w:basedOn w:val="1"/>
    <w:qFormat/>
    <w:uiPriority w:val="0"/>
    <w:pPr>
      <w:ind w:left="200" w:leftChars="20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9</Pages>
  <Words>5906</Words>
  <Characters>6670</Characters>
  <Lines>52</Lines>
  <Paragraphs>14</Paragraphs>
  <TotalTime>0</TotalTime>
  <ScaleCrop>false</ScaleCrop>
  <LinksUpToDate>false</LinksUpToDate>
  <CharactersWithSpaces>7133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2024-01-17T13:51:00Z</dcterms:created>
  <dc:creator>lenovo</dc:creator>
  <cp:lastModifiedBy>H</cp:lastModifiedBy>
  <cp:lastPrinted>2017-01-18T23:31:00Z</cp:lastPrinted>
  <dcterms:modified xsi:type="dcterms:W3CDTF">2024-10-28T08:46:04Z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E255072DDE6F47ECAD17C78DF80C173E_13</vt:lpwstr>
  </property>
</Properties>
</file>