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83143">
      <w:pPr>
        <w:pStyle w:val="14"/>
        <w:ind w:firstLine="0" w:firstLineChars="0"/>
        <w:rPr>
          <w:rFonts w:hint="eastAsia" w:ascii="方正小标宋简体" w:hAnsi="方正小标宋简体" w:eastAsia="方正小标宋简体" w:cs="方正小标宋简体"/>
          <w:b/>
          <w:bCs/>
          <w:kern w:val="2"/>
          <w:sz w:val="44"/>
          <w:szCs w:val="44"/>
        </w:rPr>
      </w:pPr>
    </w:p>
    <w:p w14:paraId="6D16C555">
      <w:pPr>
        <w:pStyle w:val="14"/>
        <w:ind w:firstLine="0" w:firstLineChars="0"/>
        <w:jc w:val="center"/>
        <w:rPr>
          <w:rFonts w:hint="eastAsia" w:ascii="方正小标宋简体" w:hAnsi="方正小标宋简体" w:eastAsia="方正小标宋简体" w:cs="方正小标宋简体"/>
          <w:b/>
          <w:bCs/>
          <w:kern w:val="2"/>
          <w:sz w:val="44"/>
          <w:szCs w:val="44"/>
        </w:rPr>
      </w:pPr>
    </w:p>
    <w:p w14:paraId="1D9D4099">
      <w:pPr>
        <w:jc w:val="center"/>
        <w:rPr>
          <w:rFonts w:hint="eastAsia" w:ascii="方正小标宋简体" w:hAnsi="方正小标宋简体" w:eastAsia="方正小标宋简体" w:cs="方正小标宋简体"/>
          <w:bCs/>
          <w:sz w:val="52"/>
          <w:szCs w:val="52"/>
        </w:rPr>
      </w:pPr>
    </w:p>
    <w:p w14:paraId="34C3E4A8">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5A27C7EA">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《盐碱耕地测土配方施肥技术规程》</w:t>
      </w:r>
    </w:p>
    <w:p w14:paraId="432D2F67">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378062A0">
      <w:pPr>
        <w:ind w:firstLine="880" w:firstLineChars="200"/>
        <w:rPr>
          <w:b/>
          <w:sz w:val="44"/>
          <w:szCs w:val="44"/>
        </w:rPr>
      </w:pPr>
    </w:p>
    <w:p w14:paraId="535476A8">
      <w:pPr>
        <w:pStyle w:val="11"/>
        <w:ind w:left="0" w:leftChars="0"/>
        <w:rPr>
          <w:b/>
          <w:sz w:val="44"/>
          <w:szCs w:val="44"/>
        </w:rPr>
      </w:pPr>
    </w:p>
    <w:p w14:paraId="6A58DF66">
      <w:pPr>
        <w:pStyle w:val="6"/>
        <w:rPr>
          <w:b/>
          <w:sz w:val="44"/>
          <w:szCs w:val="44"/>
        </w:rPr>
      </w:pPr>
    </w:p>
    <w:p w14:paraId="6E7F3A1F">
      <w:pPr>
        <w:rPr>
          <w:b/>
          <w:sz w:val="44"/>
          <w:szCs w:val="44"/>
        </w:rPr>
      </w:pPr>
    </w:p>
    <w:p w14:paraId="21E5B0F3">
      <w:pPr>
        <w:pStyle w:val="11"/>
        <w:ind w:left="391"/>
      </w:pPr>
    </w:p>
    <w:p w14:paraId="03C20D28">
      <w:pPr>
        <w:ind w:firstLine="880" w:firstLineChars="200"/>
        <w:rPr>
          <w:b/>
          <w:sz w:val="44"/>
          <w:szCs w:val="44"/>
        </w:rPr>
      </w:pPr>
    </w:p>
    <w:p w14:paraId="467F77D2">
      <w:pPr>
        <w:ind w:firstLine="880" w:firstLineChars="200"/>
        <w:rPr>
          <w:b/>
          <w:sz w:val="44"/>
          <w:szCs w:val="44"/>
        </w:rPr>
      </w:pPr>
    </w:p>
    <w:p w14:paraId="23248749">
      <w:pPr>
        <w:ind w:firstLine="880" w:firstLineChars="200"/>
        <w:rPr>
          <w:b/>
          <w:sz w:val="44"/>
          <w:szCs w:val="44"/>
        </w:rPr>
      </w:pPr>
    </w:p>
    <w:p w14:paraId="4B66C6BF">
      <w:pPr>
        <w:ind w:firstLine="880" w:firstLineChars="200"/>
        <w:rPr>
          <w:b/>
          <w:sz w:val="44"/>
          <w:szCs w:val="44"/>
        </w:rPr>
      </w:pPr>
    </w:p>
    <w:p w14:paraId="40E37550">
      <w:pPr>
        <w:jc w:val="center"/>
        <w:rPr>
          <w:rFonts w:eastAsia="仿宋_GB2312"/>
          <w:sz w:val="36"/>
          <w:szCs w:val="36"/>
        </w:rPr>
      </w:pPr>
    </w:p>
    <w:p w14:paraId="7118556D">
      <w:pPr>
        <w:jc w:val="center"/>
        <w:rPr>
          <w:rFonts w:eastAsia="仿宋_GB2312"/>
          <w:sz w:val="36"/>
          <w:szCs w:val="36"/>
        </w:rPr>
      </w:pPr>
    </w:p>
    <w:p w14:paraId="4D922EDB">
      <w:pPr>
        <w:spacing w:line="360" w:lineRule="auto"/>
        <w:jc w:val="center"/>
        <w:rPr>
          <w:rFonts w:hint="eastAsia" w:ascii="宋体" w:hAnsi="宋体" w:eastAsia="宋体" w:cs="Times New Roman"/>
          <w:b/>
          <w:kern w:val="22"/>
          <w:sz w:val="32"/>
          <w:szCs w:val="32"/>
        </w:rPr>
      </w:pPr>
      <w:r>
        <w:rPr>
          <w:rFonts w:hint="eastAsia" w:ascii="宋体" w:hAnsi="宋体" w:eastAsia="宋体" w:cs="Times New Roman"/>
          <w:b/>
          <w:kern w:val="22"/>
          <w:sz w:val="32"/>
          <w:szCs w:val="32"/>
          <w:lang w:val="en-US" w:eastAsia="zh-CN"/>
        </w:rPr>
        <w:t>编制</w:t>
      </w:r>
      <w:r>
        <w:rPr>
          <w:rFonts w:hint="eastAsia" w:ascii="宋体" w:hAnsi="宋体" w:eastAsia="宋体" w:cs="Times New Roman"/>
          <w:b/>
          <w:kern w:val="22"/>
          <w:sz w:val="32"/>
          <w:szCs w:val="32"/>
        </w:rPr>
        <w:t>单位：山西农业大学</w:t>
      </w:r>
    </w:p>
    <w:p w14:paraId="7C1C75ED">
      <w:pPr>
        <w:jc w:val="center"/>
        <w:rPr>
          <w:rFonts w:hint="eastAsia" w:ascii="宋体" w:hAnsi="宋体"/>
          <w:b/>
          <w:sz w:val="32"/>
          <w:szCs w:val="32"/>
        </w:rPr>
      </w:pPr>
      <w:r>
        <w:rPr>
          <w:rFonts w:hint="eastAsia" w:ascii="宋体" w:hAnsi="宋体" w:eastAsia="宋体" w:cs="Times New Roman"/>
          <w:b/>
          <w:sz w:val="32"/>
          <w:szCs w:val="32"/>
          <w:lang w:eastAsia="zh-CN"/>
        </w:rPr>
        <w:t>二〇二四年</w:t>
      </w:r>
      <w:r>
        <w:rPr>
          <w:rFonts w:hint="eastAsia" w:ascii="宋体" w:hAnsi="宋体" w:eastAsia="宋体" w:cs="Times New Roman"/>
          <w:b/>
          <w:sz w:val="32"/>
          <w:szCs w:val="32"/>
          <w:lang w:val="en-US" w:eastAsia="zh-CN"/>
        </w:rPr>
        <w:t>十</w:t>
      </w:r>
      <w:r>
        <w:rPr>
          <w:rFonts w:hint="eastAsia" w:ascii="宋体" w:hAnsi="宋体" w:eastAsia="宋体" w:cs="Times New Roman"/>
          <w:b/>
          <w:sz w:val="32"/>
          <w:szCs w:val="32"/>
          <w:lang w:eastAsia="zh-CN"/>
        </w:rPr>
        <w:t>月</w:t>
      </w:r>
    </w:p>
    <w:p w14:paraId="6AE4F44A">
      <w:pPr>
        <w:pStyle w:val="11"/>
        <w:ind w:left="391"/>
      </w:pPr>
    </w:p>
    <w:p w14:paraId="644F615D">
      <w:pPr>
        <w:spacing w:line="560" w:lineRule="exact"/>
        <w:jc w:val="center"/>
        <w:rPr>
          <w:rFonts w:hint="eastAsia" w:ascii="宋体" w:hAnsi="宋体" w:eastAsia="宋体" w:cs="Times New Roman"/>
          <w:b/>
          <w:sz w:val="30"/>
          <w:szCs w:val="30"/>
        </w:rPr>
        <w:sectPr>
          <w:pgSz w:w="11906" w:h="16838"/>
          <w:pgMar w:top="1134" w:right="1134" w:bottom="1134" w:left="1417" w:header="851" w:footer="992" w:gutter="0"/>
          <w:pgNumType w:fmt="decimal" w:start="1"/>
          <w:cols w:space="0" w:num="1"/>
          <w:docGrid w:type="linesAndChars" w:linePitch="319" w:charSpace="0"/>
        </w:sectPr>
      </w:pPr>
    </w:p>
    <w:p w14:paraId="0592AA3B">
      <w:pPr>
        <w:spacing w:line="560" w:lineRule="exact"/>
        <w:jc w:val="center"/>
        <w:rPr>
          <w:rFonts w:hint="eastAsia" w:ascii="宋体" w:hAnsi="宋体" w:eastAsia="宋体" w:cs="Times New Roman"/>
          <w:b/>
          <w:sz w:val="30"/>
          <w:szCs w:val="30"/>
        </w:rPr>
      </w:pPr>
      <w:r>
        <w:rPr>
          <w:rFonts w:hint="eastAsia" w:ascii="宋体" w:hAnsi="宋体" w:eastAsia="宋体" w:cs="Times New Roman"/>
          <w:b/>
          <w:sz w:val="30"/>
          <w:szCs w:val="30"/>
        </w:rPr>
        <w:t>山西省地方标准</w:t>
      </w:r>
    </w:p>
    <w:p w14:paraId="66994005">
      <w:pPr>
        <w:spacing w:line="560" w:lineRule="exact"/>
        <w:jc w:val="center"/>
        <w:rPr>
          <w:rFonts w:hint="eastAsia" w:ascii="宋体" w:hAnsi="宋体" w:eastAsia="宋体" w:cs="Times New Roman"/>
          <w:b/>
          <w:sz w:val="30"/>
          <w:szCs w:val="30"/>
        </w:rPr>
      </w:pPr>
      <w:r>
        <w:rPr>
          <w:rFonts w:hint="eastAsia" w:ascii="宋体" w:hAnsi="宋体" w:eastAsia="宋体" w:cs="Times New Roman"/>
          <w:b/>
          <w:sz w:val="30"/>
          <w:szCs w:val="30"/>
        </w:rPr>
        <w:t>《盐碱耕地测土配方施肥技术规程》</w:t>
      </w:r>
    </w:p>
    <w:p w14:paraId="2039EE90">
      <w:pPr>
        <w:spacing w:line="560" w:lineRule="exact"/>
        <w:jc w:val="center"/>
        <w:rPr>
          <w:rFonts w:hint="eastAsia" w:ascii="宋体" w:hAnsi="宋体" w:eastAsia="宋体" w:cs="Times New Roman"/>
          <w:b/>
          <w:sz w:val="30"/>
          <w:szCs w:val="30"/>
        </w:rPr>
      </w:pPr>
      <w:r>
        <w:rPr>
          <w:rFonts w:hint="eastAsia" w:ascii="宋体" w:hAnsi="宋体" w:eastAsia="宋体" w:cs="Times New Roman"/>
          <w:b/>
          <w:sz w:val="30"/>
          <w:szCs w:val="30"/>
        </w:rPr>
        <w:t>编 制 说 明</w:t>
      </w:r>
    </w:p>
    <w:p w14:paraId="6981CF9E">
      <w:pPr>
        <w:spacing w:line="600" w:lineRule="exact"/>
        <w:ind w:right="17" w:firstLine="640" w:firstLineChars="200"/>
        <w:rPr>
          <w:rFonts w:hint="eastAsia" w:ascii="黑体" w:hAnsi="黑体" w:eastAsia="黑体" w:cs="宋体"/>
          <w:bCs/>
          <w:sz w:val="32"/>
          <w:szCs w:val="32"/>
        </w:rPr>
      </w:pPr>
      <w:r>
        <w:rPr>
          <w:rFonts w:hint="eastAsia" w:ascii="黑体" w:hAnsi="黑体" w:eastAsia="黑体" w:cs="宋体"/>
          <w:bCs/>
          <w:sz w:val="32"/>
          <w:szCs w:val="32"/>
        </w:rPr>
        <w:t>一、工作简况</w:t>
      </w:r>
    </w:p>
    <w:p w14:paraId="3406E147">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1任务来源</w:t>
      </w:r>
    </w:p>
    <w:p w14:paraId="06FD2475">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按照山西省市场监督管理局《关于下达2024年度第一批地方标准复审修订项目计划的通知》（晋市监发【2024】33号），《盐碱耕地测土配方施肥技术规程》DB14/T 814-2013被列入山西省地方标准修订计划，本标准由山西省农业标准化技术委员会（SXS/TC 19）归口。</w:t>
      </w:r>
    </w:p>
    <w:p w14:paraId="386C50CE">
      <w:pPr>
        <w:spacing w:line="480" w:lineRule="exact"/>
        <w:ind w:firstLine="560" w:firstLineChars="200"/>
        <w:rPr>
          <w:rFonts w:hint="eastAsia" w:ascii="仿宋_GB2312" w:hAnsi="宋体" w:eastAsia="仿宋_GB2312" w:cs="Times New Roman"/>
          <w:sz w:val="28"/>
          <w:szCs w:val="28"/>
        </w:rPr>
      </w:pPr>
      <w:bookmarkStart w:id="0" w:name="_Hlk141850086"/>
      <w:r>
        <w:rPr>
          <w:rFonts w:hint="eastAsia" w:ascii="仿宋_GB2312" w:hAnsi="宋体" w:eastAsia="仿宋_GB2312" w:cs="Times New Roman"/>
          <w:sz w:val="28"/>
          <w:szCs w:val="28"/>
        </w:rPr>
        <w:t>2 起草单位和主要起草人</w:t>
      </w:r>
    </w:p>
    <w:p w14:paraId="12B8D8AE">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lang w:val="en-US" w:eastAsia="zh-CN"/>
        </w:rPr>
        <w:t>起草任务由</w:t>
      </w:r>
      <w:r>
        <w:rPr>
          <w:rFonts w:hint="eastAsia" w:ascii="仿宋_GB2312" w:hAnsi="宋体" w:eastAsia="仿宋_GB2312" w:cs="Times New Roman"/>
          <w:sz w:val="28"/>
          <w:szCs w:val="28"/>
        </w:rPr>
        <w:t>山西农业大学</w:t>
      </w:r>
      <w:r>
        <w:rPr>
          <w:rFonts w:hint="eastAsia" w:ascii="仿宋_GB2312" w:hAnsi="宋体" w:eastAsia="仿宋_GB2312" w:cs="Times New Roman"/>
          <w:sz w:val="28"/>
          <w:szCs w:val="28"/>
          <w:lang w:val="en-US" w:eastAsia="zh-CN"/>
        </w:rPr>
        <w:t>承担</w:t>
      </w:r>
      <w:r>
        <w:rPr>
          <w:rFonts w:hint="eastAsia" w:ascii="仿宋_GB2312" w:hAnsi="宋体" w:eastAsia="仿宋_GB2312" w:cs="Times New Roman"/>
          <w:sz w:val="28"/>
          <w:szCs w:val="28"/>
        </w:rPr>
        <w:t>。</w:t>
      </w:r>
    </w:p>
    <w:p w14:paraId="585D3458">
      <w:pPr>
        <w:pStyle w:val="15"/>
        <w:numPr>
          <w:ilvl w:val="1"/>
          <w:numId w:val="0"/>
        </w:numPr>
        <w:spacing w:before="0" w:beforeLines="0" w:after="0" w:afterLines="0" w:line="540" w:lineRule="exact"/>
        <w:rPr>
          <w:rFonts w:ascii="仿宋_GB2312" w:hAnsi="宋体" w:eastAsia="仿宋_GB2312"/>
          <w:sz w:val="24"/>
        </w:rPr>
      </w:pPr>
      <w:r>
        <w:rPr>
          <w:rFonts w:hint="eastAsia" w:ascii="Times New Roman" w:hAnsi="Times New Roman" w:eastAsia="仿宋_GB2312" w:cs="Times New Roman"/>
          <w:kern w:val="2"/>
          <w:sz w:val="28"/>
          <w:szCs w:val="28"/>
          <w:lang w:val="en-US" w:eastAsia="zh-CN" w:bidi="ar-SA"/>
        </w:rPr>
        <w:t>表</w:t>
      </w:r>
      <w:r>
        <w:rPr>
          <w:rFonts w:ascii="Times New Roman" w:hAnsi="Times New Roman" w:eastAsia="仿宋_GB2312" w:cs="Times New Roman"/>
          <w:kern w:val="2"/>
          <w:sz w:val="28"/>
          <w:szCs w:val="28"/>
          <w:lang w:val="en-US" w:eastAsia="zh-CN" w:bidi="ar-SA"/>
        </w:rPr>
        <w:t xml:space="preserve">1  </w:t>
      </w:r>
      <w:r>
        <w:rPr>
          <w:rFonts w:hint="eastAsia" w:ascii="Times New Roman" w:hAnsi="Times New Roman" w:eastAsia="仿宋_GB2312" w:cs="Times New Roman"/>
          <w:kern w:val="2"/>
          <w:sz w:val="28"/>
          <w:szCs w:val="28"/>
          <w:lang w:val="en-US" w:eastAsia="zh-CN" w:bidi="ar-SA"/>
        </w:rPr>
        <w:t>主要起草人信息表</w:t>
      </w:r>
    </w:p>
    <w:tbl>
      <w:tblPr>
        <w:tblStyle w:val="8"/>
        <w:tblW w:w="8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
        <w:gridCol w:w="840"/>
        <w:gridCol w:w="1725"/>
        <w:gridCol w:w="3253"/>
        <w:gridCol w:w="1838"/>
      </w:tblGrid>
      <w:tr w14:paraId="081D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0AAE0976">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姓名</w:t>
            </w:r>
          </w:p>
        </w:tc>
        <w:tc>
          <w:tcPr>
            <w:tcW w:w="840" w:type="dxa"/>
            <w:vAlign w:val="center"/>
          </w:tcPr>
          <w:p w14:paraId="51ADA026">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性别</w:t>
            </w:r>
          </w:p>
        </w:tc>
        <w:tc>
          <w:tcPr>
            <w:tcW w:w="1725" w:type="dxa"/>
            <w:vAlign w:val="center"/>
          </w:tcPr>
          <w:p w14:paraId="0CE5B90F">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职务/职称</w:t>
            </w:r>
          </w:p>
        </w:tc>
        <w:tc>
          <w:tcPr>
            <w:tcW w:w="3253" w:type="dxa"/>
            <w:vAlign w:val="center"/>
          </w:tcPr>
          <w:p w14:paraId="63F93376">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工作单位</w:t>
            </w:r>
          </w:p>
        </w:tc>
        <w:tc>
          <w:tcPr>
            <w:tcW w:w="1838" w:type="dxa"/>
            <w:vAlign w:val="center"/>
          </w:tcPr>
          <w:p w14:paraId="6A382CDA">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任务分工</w:t>
            </w:r>
          </w:p>
        </w:tc>
      </w:tr>
      <w:tr w14:paraId="4700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717B6A74">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滑小赞</w:t>
            </w:r>
          </w:p>
        </w:tc>
        <w:tc>
          <w:tcPr>
            <w:tcW w:w="840" w:type="dxa"/>
            <w:vAlign w:val="center"/>
          </w:tcPr>
          <w:p w14:paraId="26AFD103">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女</w:t>
            </w:r>
          </w:p>
        </w:tc>
        <w:tc>
          <w:tcPr>
            <w:tcW w:w="1725" w:type="dxa"/>
            <w:vAlign w:val="center"/>
          </w:tcPr>
          <w:p w14:paraId="41F23715">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副研究员</w:t>
            </w:r>
          </w:p>
        </w:tc>
        <w:tc>
          <w:tcPr>
            <w:tcW w:w="3253" w:type="dxa"/>
            <w:vAlign w:val="center"/>
          </w:tcPr>
          <w:p w14:paraId="0437F60D">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71E706E5">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总体负责</w:t>
            </w:r>
          </w:p>
        </w:tc>
      </w:tr>
      <w:tr w14:paraId="0F18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75446421">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赵瑞芬</w:t>
            </w:r>
          </w:p>
        </w:tc>
        <w:tc>
          <w:tcPr>
            <w:tcW w:w="840" w:type="dxa"/>
            <w:vAlign w:val="center"/>
          </w:tcPr>
          <w:p w14:paraId="5BC22FA3">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女</w:t>
            </w:r>
          </w:p>
        </w:tc>
        <w:tc>
          <w:tcPr>
            <w:tcW w:w="1725" w:type="dxa"/>
            <w:vAlign w:val="center"/>
          </w:tcPr>
          <w:p w14:paraId="43AA5E8D">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研究员</w:t>
            </w:r>
          </w:p>
        </w:tc>
        <w:tc>
          <w:tcPr>
            <w:tcW w:w="3253" w:type="dxa"/>
            <w:vAlign w:val="center"/>
          </w:tcPr>
          <w:p w14:paraId="79FA14FF">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0A04694F">
            <w:pPr>
              <w:pStyle w:val="16"/>
              <w:adjustRightInd w:val="0"/>
              <w:snapToGrid w:val="0"/>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修订文本</w:t>
            </w:r>
          </w:p>
          <w:p w14:paraId="6648BA1D">
            <w:pPr>
              <w:pStyle w:val="16"/>
              <w:adjustRightInd w:val="0"/>
              <w:snapToGrid w:val="0"/>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试验研究</w:t>
            </w:r>
          </w:p>
        </w:tc>
      </w:tr>
      <w:tr w14:paraId="34AC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45F5B43E">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王  森</w:t>
            </w:r>
          </w:p>
        </w:tc>
        <w:tc>
          <w:tcPr>
            <w:tcW w:w="840" w:type="dxa"/>
            <w:vAlign w:val="center"/>
          </w:tcPr>
          <w:p w14:paraId="7E108D14">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男</w:t>
            </w:r>
          </w:p>
        </w:tc>
        <w:tc>
          <w:tcPr>
            <w:tcW w:w="1725" w:type="dxa"/>
            <w:vAlign w:val="center"/>
          </w:tcPr>
          <w:p w14:paraId="5C01414F">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助理研究员</w:t>
            </w:r>
          </w:p>
        </w:tc>
        <w:tc>
          <w:tcPr>
            <w:tcW w:w="3253" w:type="dxa"/>
            <w:vAlign w:val="center"/>
          </w:tcPr>
          <w:p w14:paraId="37335615">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477A2A10">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试验研究</w:t>
            </w:r>
          </w:p>
        </w:tc>
      </w:tr>
      <w:tr w14:paraId="4684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577B4669">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李佳月</w:t>
            </w:r>
          </w:p>
        </w:tc>
        <w:tc>
          <w:tcPr>
            <w:tcW w:w="840" w:type="dxa"/>
            <w:vAlign w:val="center"/>
          </w:tcPr>
          <w:p w14:paraId="2F490A6E">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女</w:t>
            </w:r>
          </w:p>
        </w:tc>
        <w:tc>
          <w:tcPr>
            <w:tcW w:w="1725" w:type="dxa"/>
            <w:vAlign w:val="center"/>
          </w:tcPr>
          <w:p w14:paraId="2021E119">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工程师</w:t>
            </w:r>
          </w:p>
        </w:tc>
        <w:tc>
          <w:tcPr>
            <w:tcW w:w="3253" w:type="dxa"/>
            <w:vAlign w:val="center"/>
          </w:tcPr>
          <w:p w14:paraId="4EC54C54">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020E20F7">
            <w:pPr>
              <w:pStyle w:val="16"/>
              <w:adjustRightInd w:val="0"/>
              <w:snapToGrid w:val="0"/>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数据调查</w:t>
            </w:r>
          </w:p>
          <w:p w14:paraId="73134D2A">
            <w:pPr>
              <w:pStyle w:val="16"/>
              <w:adjustRightInd w:val="0"/>
              <w:snapToGrid w:val="0"/>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收集资料</w:t>
            </w:r>
          </w:p>
        </w:tc>
      </w:tr>
      <w:tr w14:paraId="2AC3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5815D037">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程  滨</w:t>
            </w:r>
          </w:p>
        </w:tc>
        <w:tc>
          <w:tcPr>
            <w:tcW w:w="840" w:type="dxa"/>
            <w:vAlign w:val="center"/>
          </w:tcPr>
          <w:p w14:paraId="57E1B4A2">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女</w:t>
            </w:r>
          </w:p>
        </w:tc>
        <w:tc>
          <w:tcPr>
            <w:tcW w:w="1725" w:type="dxa"/>
            <w:vAlign w:val="center"/>
          </w:tcPr>
          <w:p w14:paraId="08DB7EDA">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研究员</w:t>
            </w:r>
          </w:p>
        </w:tc>
        <w:tc>
          <w:tcPr>
            <w:tcW w:w="3253" w:type="dxa"/>
            <w:vAlign w:val="center"/>
          </w:tcPr>
          <w:p w14:paraId="679E160F">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36C12560">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修订文本</w:t>
            </w:r>
          </w:p>
        </w:tc>
      </w:tr>
      <w:tr w14:paraId="0C79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2F8D3B6C">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张一弓</w:t>
            </w:r>
          </w:p>
        </w:tc>
        <w:tc>
          <w:tcPr>
            <w:tcW w:w="840" w:type="dxa"/>
            <w:vAlign w:val="center"/>
          </w:tcPr>
          <w:p w14:paraId="582D662A">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男</w:t>
            </w:r>
          </w:p>
        </w:tc>
        <w:tc>
          <w:tcPr>
            <w:tcW w:w="1725" w:type="dxa"/>
            <w:vAlign w:val="center"/>
          </w:tcPr>
          <w:p w14:paraId="60B5417B">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副研究员</w:t>
            </w:r>
          </w:p>
        </w:tc>
        <w:tc>
          <w:tcPr>
            <w:tcW w:w="3253" w:type="dxa"/>
            <w:vAlign w:val="center"/>
          </w:tcPr>
          <w:p w14:paraId="249DFEED">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5C498B82">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数据调查</w:t>
            </w:r>
          </w:p>
        </w:tc>
      </w:tr>
      <w:tr w14:paraId="22D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3C139BF5">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霍晓兰</w:t>
            </w:r>
          </w:p>
        </w:tc>
        <w:tc>
          <w:tcPr>
            <w:tcW w:w="840" w:type="dxa"/>
            <w:vAlign w:val="center"/>
          </w:tcPr>
          <w:p w14:paraId="5752CD2F">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女</w:t>
            </w:r>
          </w:p>
        </w:tc>
        <w:tc>
          <w:tcPr>
            <w:tcW w:w="1725" w:type="dxa"/>
            <w:vAlign w:val="center"/>
          </w:tcPr>
          <w:p w14:paraId="1E967358">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副研究员</w:t>
            </w:r>
          </w:p>
        </w:tc>
        <w:tc>
          <w:tcPr>
            <w:tcW w:w="3253" w:type="dxa"/>
            <w:vAlign w:val="center"/>
          </w:tcPr>
          <w:p w14:paraId="0CD3C6B2">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337A5855">
            <w:pPr>
              <w:pStyle w:val="16"/>
              <w:adjustRightInd w:val="0"/>
              <w:snapToGrid w:val="0"/>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数据调查</w:t>
            </w:r>
          </w:p>
          <w:p w14:paraId="779B7B29">
            <w:pPr>
              <w:pStyle w:val="16"/>
              <w:adjustRightInd w:val="0"/>
              <w:snapToGrid w:val="0"/>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收集资料</w:t>
            </w:r>
          </w:p>
        </w:tc>
      </w:tr>
      <w:tr w14:paraId="402E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 w:type="dxa"/>
            <w:vAlign w:val="center"/>
          </w:tcPr>
          <w:p w14:paraId="3CD37DF4">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冯悦晨</w:t>
            </w:r>
          </w:p>
        </w:tc>
        <w:tc>
          <w:tcPr>
            <w:tcW w:w="840" w:type="dxa"/>
            <w:vAlign w:val="center"/>
          </w:tcPr>
          <w:p w14:paraId="1893E025">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男</w:t>
            </w:r>
          </w:p>
        </w:tc>
        <w:tc>
          <w:tcPr>
            <w:tcW w:w="1725" w:type="dxa"/>
            <w:vAlign w:val="center"/>
          </w:tcPr>
          <w:p w14:paraId="7C0AB17F">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副研究员</w:t>
            </w:r>
          </w:p>
        </w:tc>
        <w:tc>
          <w:tcPr>
            <w:tcW w:w="3253" w:type="dxa"/>
            <w:vAlign w:val="center"/>
          </w:tcPr>
          <w:p w14:paraId="41484EF8">
            <w:pPr>
              <w:spacing w:line="540" w:lineRule="exact"/>
              <w:jc w:val="center"/>
              <w:rPr>
                <w:rFonts w:ascii="仿宋_GB2312" w:hAnsi="仿宋_GB2312" w:eastAsia="仿宋_GB2312" w:cs="仿宋_GB2312"/>
                <w:kern w:val="21"/>
                <w:sz w:val="24"/>
                <w:szCs w:val="24"/>
              </w:rPr>
            </w:pPr>
            <w:r>
              <w:rPr>
                <w:rFonts w:hint="eastAsia" w:ascii="仿宋_GB2312" w:hAnsi="仿宋_GB2312" w:eastAsia="仿宋_GB2312" w:cs="仿宋_GB2312"/>
                <w:spacing w:val="-20"/>
                <w:kern w:val="21"/>
                <w:sz w:val="24"/>
                <w:szCs w:val="24"/>
              </w:rPr>
              <w:t>山西农业大学资源环境学院</w:t>
            </w:r>
          </w:p>
        </w:tc>
        <w:tc>
          <w:tcPr>
            <w:tcW w:w="1838" w:type="dxa"/>
            <w:vAlign w:val="center"/>
          </w:tcPr>
          <w:p w14:paraId="0E0A676C">
            <w:pPr>
              <w:pStyle w:val="16"/>
              <w:spacing w:line="540" w:lineRule="exact"/>
              <w:rPr>
                <w:rFonts w:ascii="仿宋_GB2312" w:hAnsi="仿宋_GB2312" w:eastAsia="仿宋_GB2312" w:cs="仿宋_GB2312"/>
                <w:kern w:val="21"/>
                <w:sz w:val="24"/>
                <w:szCs w:val="24"/>
              </w:rPr>
            </w:pPr>
            <w:r>
              <w:rPr>
                <w:rFonts w:hint="eastAsia" w:ascii="仿宋_GB2312" w:hAnsi="仿宋_GB2312" w:eastAsia="仿宋_GB2312" w:cs="仿宋_GB2312"/>
                <w:kern w:val="21"/>
                <w:sz w:val="24"/>
                <w:szCs w:val="24"/>
              </w:rPr>
              <w:t>收集资料</w:t>
            </w:r>
          </w:p>
        </w:tc>
      </w:tr>
      <w:bookmarkEnd w:id="0"/>
    </w:tbl>
    <w:p w14:paraId="4E2E10D8">
      <w:pPr>
        <w:spacing w:line="600" w:lineRule="exact"/>
        <w:ind w:right="17" w:firstLine="640" w:firstLineChars="200"/>
        <w:rPr>
          <w:rFonts w:hint="eastAsia" w:ascii="黑体" w:hAnsi="黑体" w:eastAsia="黑体" w:cs="宋体"/>
          <w:bCs/>
          <w:sz w:val="32"/>
          <w:szCs w:val="32"/>
        </w:rPr>
      </w:pPr>
      <w:r>
        <w:rPr>
          <w:rFonts w:hint="eastAsia" w:ascii="黑体" w:hAnsi="黑体" w:eastAsia="黑体" w:cs="宋体"/>
          <w:bCs/>
          <w:sz w:val="32"/>
          <w:szCs w:val="32"/>
        </w:rPr>
        <w:t>二、修订标准的必要性和意义</w:t>
      </w:r>
    </w:p>
    <w:p w14:paraId="584919C4">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山西省地处内陆，干旱，多风，年降雨量少，蒸发量大；受地势、气候、地形等因素影响，造成山西省局部地区土地盐碱化。据山西省第二次土壤普查结果，山西省盐碱地面积为410万亩。盐碱耕地土壤理化性状具有特殊性，犁底层坚硬，耕层板结，透气性差，土壤中好气性微生物少，分解养分能力低，严重影响植物的生长。山西省地方标准《盐碱耕地测土配方施肥技术规程》（DB14/T 814-2013）于2014年1月20日颁布实施，对盐碱耕地测土配方施肥的术语和定义、田间基本情况调查、土壤样品采集制备、土壤检测及施肥技术等技术事项做出了规定，通过多年技术推广，《盐碱耕地测土配方施肥技术规程》得到广泛应用，为提高盐碱耕地土壤肥力起到了积极的推动作用。</w:t>
      </w:r>
    </w:p>
    <w:p w14:paraId="076E523E">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随着农业生产的发展和生产实践的检验，原标准已经不能完全适应生产实际的需求，存在一定的滞后性和需要优化提升的内容，如有一部分引用标准已不适于现有的技术水平，如NY/T 53《土壤全氮测定》中采用半微量开氏法，已不适用现有的科学技术；如电导率和土壤交换性钠按土壤农化分析执行，现已有行业标准，需引用行业标准；原标准的部分内容不规范，如表B.1 土壤盐化和碱化分级指标中电导率和全盐量分级指标不符合目前山西省盐碱地情况等。同时，国家颁布了《标准化工作导则第1部分：标准化文件的结构和起草规则》GB/T 1.1-2020。因此，为更好的提高盐碱耕地土壤肥力，实现经济效益和生态效益双赢，有必要对现行标准进行修订，进一步规范生产作业技术规范。</w:t>
      </w:r>
    </w:p>
    <w:p w14:paraId="2E55C66D">
      <w:pPr>
        <w:spacing w:line="600" w:lineRule="exact"/>
        <w:ind w:right="17" w:firstLine="640" w:firstLineChars="200"/>
        <w:rPr>
          <w:rFonts w:hint="eastAsia" w:ascii="黑体" w:hAnsi="黑体" w:eastAsia="黑体" w:cs="黑体"/>
          <w:sz w:val="32"/>
          <w:szCs w:val="32"/>
        </w:rPr>
      </w:pPr>
      <w:r>
        <w:rPr>
          <w:rFonts w:hint="eastAsia" w:ascii="黑体" w:hAnsi="黑体" w:eastAsia="黑体" w:cs="黑体"/>
          <w:sz w:val="32"/>
          <w:szCs w:val="32"/>
        </w:rPr>
        <w:t>三、主要修订工作过程</w:t>
      </w:r>
    </w:p>
    <w:p w14:paraId="2BAA1C64">
      <w:pPr>
        <w:pStyle w:val="15"/>
        <w:numPr>
          <w:ilvl w:val="1"/>
          <w:numId w:val="0"/>
        </w:numPr>
        <w:spacing w:before="0" w:beforeLines="0" w:after="0" w:afterLines="0" w:line="600" w:lineRule="exact"/>
        <w:ind w:firstLine="640" w:firstLineChars="200"/>
        <w:jc w:val="both"/>
        <w:rPr>
          <w:rFonts w:ascii="Times New Roman" w:eastAsia="仿宋_GB2312"/>
          <w:sz w:val="32"/>
          <w:szCs w:val="32"/>
        </w:rPr>
      </w:pPr>
      <w:bookmarkStart w:id="1" w:name="_Hlk169134515"/>
      <w:r>
        <w:rPr>
          <w:rFonts w:hint="eastAsia" w:ascii="Times New Roman" w:eastAsia="仿宋_GB2312"/>
          <w:sz w:val="32"/>
          <w:szCs w:val="32"/>
        </w:rPr>
        <w:t>修订过程主要分为</w:t>
      </w:r>
      <w:r>
        <w:rPr>
          <w:rFonts w:ascii="Times New Roman" w:eastAsia="仿宋_GB2312"/>
          <w:sz w:val="32"/>
          <w:szCs w:val="32"/>
        </w:rPr>
        <w:t>以下</w:t>
      </w:r>
      <w:r>
        <w:rPr>
          <w:rFonts w:hint="eastAsia" w:ascii="Times New Roman" w:eastAsia="仿宋_GB2312"/>
          <w:sz w:val="32"/>
          <w:szCs w:val="32"/>
        </w:rPr>
        <w:t>几个步骤</w:t>
      </w:r>
      <w:r>
        <w:rPr>
          <w:rFonts w:ascii="Times New Roman" w:eastAsia="仿宋_GB2312"/>
          <w:sz w:val="32"/>
          <w:szCs w:val="32"/>
        </w:rPr>
        <w:t>：</w:t>
      </w:r>
      <w:bookmarkEnd w:id="1"/>
    </w:p>
    <w:p w14:paraId="380FE52C">
      <w:pPr>
        <w:spacing w:line="480"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val="en-US" w:eastAsia="zh-CN"/>
        </w:rPr>
        <w:t>1、</w:t>
      </w:r>
      <w:r>
        <w:rPr>
          <w:rFonts w:hint="eastAsia" w:ascii="仿宋_GB2312" w:hAnsi="宋体" w:eastAsia="仿宋_GB2312" w:cs="Times New Roman"/>
          <w:sz w:val="28"/>
          <w:szCs w:val="28"/>
        </w:rPr>
        <w:t>成立</w:t>
      </w:r>
      <w:r>
        <w:rPr>
          <w:rFonts w:hint="eastAsia" w:ascii="仿宋_GB2312" w:hAnsi="宋体" w:eastAsia="仿宋_GB2312" w:cs="Times New Roman"/>
          <w:sz w:val="28"/>
          <w:szCs w:val="28"/>
          <w:lang w:val="en-US" w:eastAsia="zh-CN"/>
        </w:rPr>
        <w:t>标准</w:t>
      </w:r>
      <w:r>
        <w:rPr>
          <w:rFonts w:hint="eastAsia" w:ascii="仿宋_GB2312" w:hAnsi="宋体" w:eastAsia="仿宋_GB2312" w:cs="Times New Roman"/>
          <w:sz w:val="28"/>
          <w:szCs w:val="28"/>
        </w:rPr>
        <w:t>修订</w:t>
      </w:r>
      <w:r>
        <w:rPr>
          <w:rFonts w:hint="eastAsia" w:ascii="仿宋_GB2312" w:hAnsi="宋体" w:eastAsia="仿宋_GB2312" w:cs="Times New Roman"/>
          <w:sz w:val="28"/>
          <w:szCs w:val="28"/>
          <w:lang w:val="en-US" w:eastAsia="zh-CN"/>
        </w:rPr>
        <w:t>工作组</w:t>
      </w:r>
    </w:p>
    <w:p w14:paraId="54D78F57">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2024年2月，接到标准编制任务后，由山西农业大学资源环境学院成立了标准修订工作组，主要起草人为滑小赞、赵瑞芬、王森、李佳月、程滨、张一弓、霍晓兰、冯悦晨。通过讨论、分析和研究，明确了工作思路和任务分工，并制定总体计划和工作方案。</w:t>
      </w:r>
    </w:p>
    <w:p w14:paraId="42854769">
      <w:pPr>
        <w:spacing w:line="480" w:lineRule="exact"/>
        <w:ind w:firstLine="560" w:firstLineChars="200"/>
        <w:rPr>
          <w:rFonts w:hint="default"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2、调研考察</w:t>
      </w:r>
    </w:p>
    <w:p w14:paraId="29C328B8">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编写组成员前往永济市、文水县、忻府区、怀仁县、阳高县、应县、原平市、朔城区等盐碱耕地区进行了调查研究，摸清目前山西省土壤盐碱耕地的盐碱程度和土壤养分状况。发现原标准土壤盐化和碱化分级指标不合理，缺少档案记载等，针对这些问题明确了工作重点，安排标准修订计划，确立了本标准的修订内容，形成标准修订文本初稿。</w:t>
      </w:r>
    </w:p>
    <w:p w14:paraId="6CA2EBF2">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3、收集资料</w:t>
      </w:r>
    </w:p>
    <w:p w14:paraId="33FFCD14">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2024年3月至2024年5月，编写组成员查找有关盐碱地施肥技术的国家标准、农业标准、地方标准，以及相关法律、法规等资料。</w:t>
      </w:r>
      <w:bookmarkStart w:id="2" w:name="_Hlk110281655"/>
      <w:r>
        <w:rPr>
          <w:rFonts w:hint="eastAsia" w:ascii="仿宋_GB2312" w:hAnsi="宋体" w:eastAsia="仿宋_GB2312" w:cs="Times New Roman"/>
          <w:sz w:val="28"/>
          <w:szCs w:val="28"/>
        </w:rPr>
        <w:t>收集了关于盐碱地施肥技术最新标准《沿海滩涂中轻度盐碱地青贮玉米栽培技术规程》DB32/T 4674-2024、《沿黄灌区盐碱地种植耐盐碱植物技术规程》DB15/T 3400-2024、《西辽河灌区中轻度盐碱地玉米大豆轮作培肥技术规程》DB15/T 3396-2024、《中轻度盐碱地甜菜高产优质高效栽培技术规程》DB15/T 2013-2020</w:t>
      </w:r>
      <w:bookmarkEnd w:id="2"/>
      <w:r>
        <w:rPr>
          <w:rFonts w:hint="eastAsia" w:ascii="仿宋_GB2312" w:hAnsi="宋体" w:eastAsia="仿宋_GB2312" w:cs="Times New Roman"/>
          <w:sz w:val="28"/>
          <w:szCs w:val="28"/>
        </w:rPr>
        <w:t>等相关标准。对这些标准的结构、施肥技术的规定进行了学习、讨论、总结，明确了标准修订的内容。</w:t>
      </w:r>
    </w:p>
    <w:p w14:paraId="670586F8">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（四）修订文本</w:t>
      </w:r>
    </w:p>
    <w:p w14:paraId="61A66F99">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202</w:t>
      </w:r>
      <w:r>
        <w:rPr>
          <w:rFonts w:hint="eastAsia" w:ascii="仿宋_GB2312" w:hAnsi="宋体" w:eastAsia="仿宋_GB2312" w:cs="Times New Roman"/>
          <w:sz w:val="28"/>
          <w:szCs w:val="28"/>
          <w:lang w:val="en-US" w:eastAsia="zh-CN"/>
        </w:rPr>
        <w:t>4</w:t>
      </w:r>
      <w:r>
        <w:rPr>
          <w:rFonts w:hint="eastAsia" w:ascii="仿宋_GB2312" w:hAnsi="宋体" w:eastAsia="仿宋_GB2312" w:cs="Times New Roman"/>
          <w:sz w:val="28"/>
          <w:szCs w:val="28"/>
        </w:rPr>
        <w:t>年</w:t>
      </w:r>
      <w:r>
        <w:rPr>
          <w:rFonts w:hint="eastAsia" w:ascii="仿宋_GB2312" w:hAnsi="宋体" w:eastAsia="仿宋_GB2312" w:cs="Times New Roman"/>
          <w:sz w:val="28"/>
          <w:szCs w:val="28"/>
          <w:lang w:val="en-US" w:eastAsia="zh-CN"/>
        </w:rPr>
        <w:t>6</w:t>
      </w:r>
      <w:r>
        <w:rPr>
          <w:rFonts w:hint="eastAsia" w:ascii="仿宋_GB2312" w:hAnsi="宋体" w:eastAsia="仿宋_GB2312" w:cs="Times New Roman"/>
          <w:sz w:val="28"/>
          <w:szCs w:val="28"/>
        </w:rPr>
        <w:t>月工作组完成了本标准的讨论稿，202</w:t>
      </w:r>
      <w:r>
        <w:rPr>
          <w:rFonts w:hint="eastAsia" w:ascii="仿宋_GB2312" w:hAnsi="宋体" w:eastAsia="仿宋_GB2312" w:cs="Times New Roman"/>
          <w:sz w:val="28"/>
          <w:szCs w:val="28"/>
          <w:lang w:val="en-US" w:eastAsia="zh-CN"/>
        </w:rPr>
        <w:t>4</w:t>
      </w:r>
      <w:r>
        <w:rPr>
          <w:rFonts w:hint="eastAsia" w:ascii="仿宋_GB2312" w:hAnsi="宋体" w:eastAsia="仿宋_GB2312" w:cs="Times New Roman"/>
          <w:sz w:val="28"/>
          <w:szCs w:val="28"/>
        </w:rPr>
        <w:t>年7月至8月，我们就标准修订内容征询了山西农业大学</w:t>
      </w:r>
      <w:r>
        <w:rPr>
          <w:rFonts w:hint="eastAsia" w:ascii="仿宋_GB2312" w:hAnsi="宋体" w:eastAsia="仿宋_GB2312" w:cs="Times New Roman"/>
          <w:sz w:val="28"/>
          <w:szCs w:val="28"/>
          <w:lang w:val="en-US" w:eastAsia="zh-CN"/>
        </w:rPr>
        <w:t>高粱</w:t>
      </w:r>
      <w:r>
        <w:rPr>
          <w:rFonts w:hint="eastAsia" w:ascii="仿宋_GB2312" w:hAnsi="宋体" w:eastAsia="仿宋_GB2312" w:cs="Times New Roman"/>
          <w:sz w:val="28"/>
          <w:szCs w:val="28"/>
        </w:rPr>
        <w:t>所、农学院等有关专家，完成了本标准初稿；202</w:t>
      </w:r>
      <w:r>
        <w:rPr>
          <w:rFonts w:hint="eastAsia" w:ascii="仿宋_GB2312" w:hAnsi="宋体" w:eastAsia="仿宋_GB2312" w:cs="Times New Roman"/>
          <w:sz w:val="28"/>
          <w:szCs w:val="28"/>
          <w:lang w:val="en-US" w:eastAsia="zh-CN"/>
        </w:rPr>
        <w:t>4</w:t>
      </w:r>
      <w:r>
        <w:rPr>
          <w:rFonts w:hint="eastAsia" w:ascii="仿宋_GB2312" w:hAnsi="宋体" w:eastAsia="仿宋_GB2312" w:cs="Times New Roman"/>
          <w:sz w:val="28"/>
          <w:szCs w:val="28"/>
        </w:rPr>
        <w:t>年</w:t>
      </w:r>
      <w:r>
        <w:rPr>
          <w:rFonts w:hint="eastAsia" w:ascii="仿宋_GB2312" w:hAnsi="宋体" w:eastAsia="仿宋_GB2312" w:cs="Times New Roman"/>
          <w:sz w:val="28"/>
          <w:szCs w:val="28"/>
          <w:lang w:val="en-US" w:eastAsia="zh-CN"/>
        </w:rPr>
        <w:t>9</w:t>
      </w:r>
      <w:r>
        <w:rPr>
          <w:rFonts w:hint="eastAsia" w:ascii="仿宋_GB2312" w:hAnsi="宋体" w:eastAsia="仿宋_GB2312" w:cs="Times New Roman"/>
          <w:sz w:val="28"/>
          <w:szCs w:val="28"/>
        </w:rPr>
        <w:t>月</w:t>
      </w:r>
      <w:r>
        <w:rPr>
          <w:rFonts w:hint="eastAsia" w:ascii="仿宋_GB2312" w:hAnsi="宋体" w:eastAsia="仿宋_GB2312" w:cs="Times New Roman"/>
          <w:sz w:val="28"/>
          <w:szCs w:val="28"/>
          <w:lang w:val="en-US" w:eastAsia="zh-CN"/>
        </w:rPr>
        <w:t>至10月</w:t>
      </w:r>
      <w:r>
        <w:rPr>
          <w:rFonts w:hint="eastAsia" w:ascii="仿宋_GB2312" w:hAnsi="宋体" w:eastAsia="仿宋_GB2312" w:cs="Times New Roman"/>
          <w:sz w:val="28"/>
          <w:szCs w:val="28"/>
        </w:rPr>
        <w:t>，积极广泛征求专家意见，征求专家意见全部返回后，项目组针对修改意见逐个进行研判，进一步修改完善形成了本标准的征求意见稿。</w:t>
      </w:r>
    </w:p>
    <w:p w14:paraId="7A7EA7A3">
      <w:pPr>
        <w:numPr>
          <w:ilvl w:val="0"/>
          <w:numId w:val="6"/>
        </w:numPr>
        <w:spacing w:line="48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技术评审</w:t>
      </w:r>
    </w:p>
    <w:p w14:paraId="050F8C2F">
      <w:pPr>
        <w:spacing w:line="48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2024年1</w:t>
      </w:r>
      <w:r>
        <w:rPr>
          <w:rFonts w:hint="eastAsia" w:ascii="仿宋_GB2312" w:hAnsi="宋体" w:eastAsia="仿宋_GB2312"/>
          <w:sz w:val="28"/>
          <w:szCs w:val="28"/>
          <w:lang w:val="en-US" w:eastAsia="zh-CN"/>
        </w:rPr>
        <w:t>0</w:t>
      </w:r>
      <w:r>
        <w:rPr>
          <w:rFonts w:hint="eastAsia" w:ascii="仿宋_GB2312" w:hAnsi="宋体" w:eastAsia="仿宋_GB2312"/>
          <w:sz w:val="28"/>
          <w:szCs w:val="28"/>
        </w:rPr>
        <w:t>月</w:t>
      </w:r>
      <w:r>
        <w:rPr>
          <w:rFonts w:hint="eastAsia" w:ascii="仿宋_GB2312" w:hAnsi="宋体" w:eastAsia="仿宋_GB2312"/>
          <w:sz w:val="28"/>
          <w:szCs w:val="28"/>
          <w:lang w:val="en-US" w:eastAsia="zh-CN"/>
        </w:rPr>
        <w:t>17日</w:t>
      </w:r>
      <w:r>
        <w:rPr>
          <w:rFonts w:hint="eastAsia" w:ascii="仿宋_GB2312" w:hAnsi="宋体" w:eastAsia="仿宋_GB2312"/>
          <w:sz w:val="28"/>
          <w:szCs w:val="28"/>
        </w:rPr>
        <w:t>，山西省质量技术监督局组织专家对本标准征求意见稿、编制说明等进行了专家评审修改，形成了本标准的送审稿。</w:t>
      </w:r>
    </w:p>
    <w:p w14:paraId="416850DC">
      <w:pPr>
        <w:numPr>
          <w:ilvl w:val="0"/>
          <w:numId w:val="6"/>
        </w:numPr>
        <w:spacing w:line="48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完善文本</w:t>
      </w:r>
    </w:p>
    <w:p w14:paraId="3F0FB0DE">
      <w:pPr>
        <w:spacing w:line="48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本标准起草工作组采纳审查专家组意见，进一步修改完善后形成标准送审稿，标委会表决通过技术审查。</w:t>
      </w:r>
    </w:p>
    <w:p w14:paraId="03DDDE8A">
      <w:pPr>
        <w:numPr>
          <w:ilvl w:val="0"/>
          <w:numId w:val="6"/>
        </w:numPr>
        <w:spacing w:line="480" w:lineRule="exact"/>
        <w:ind w:firstLine="560" w:firstLineChars="200"/>
        <w:rPr>
          <w:rFonts w:ascii="仿宋_GB2312" w:hAnsi="宋体" w:eastAsia="仿宋_GB2312"/>
          <w:sz w:val="28"/>
          <w:szCs w:val="28"/>
        </w:rPr>
      </w:pPr>
      <w:r>
        <w:rPr>
          <w:rFonts w:hint="eastAsia" w:ascii="仿宋_GB2312" w:hAnsi="宋体" w:eastAsia="仿宋_GB2312"/>
          <w:sz w:val="28"/>
          <w:szCs w:val="28"/>
        </w:rPr>
        <w:t>形成报批稿</w:t>
      </w:r>
    </w:p>
    <w:p w14:paraId="611AB597">
      <w:pPr>
        <w:spacing w:line="480" w:lineRule="exact"/>
        <w:ind w:firstLine="560" w:firstLineChars="200"/>
        <w:rPr>
          <w:rFonts w:ascii="仿宋_GB2312" w:hAnsi="宋体" w:eastAsia="仿宋_GB2312"/>
          <w:sz w:val="28"/>
          <w:szCs w:val="28"/>
        </w:rPr>
      </w:pPr>
      <w:r>
        <w:rPr>
          <w:rFonts w:hint="eastAsia" w:ascii="仿宋_GB2312" w:hAnsi="宋体" w:eastAsia="仿宋_GB2312"/>
          <w:sz w:val="28"/>
          <w:szCs w:val="28"/>
        </w:rPr>
        <w:t>起草单位按照专家组意见修改完善，形成了“盐碱耕地测土配方施肥技术规程”报批稿。</w:t>
      </w:r>
    </w:p>
    <w:p w14:paraId="72376B33">
      <w:pPr>
        <w:spacing w:line="600" w:lineRule="exact"/>
        <w:ind w:right="17" w:firstLine="640" w:firstLineChars="200"/>
        <w:rPr>
          <w:rFonts w:eastAsia="楷体_GB2312"/>
          <w:b/>
          <w:bCs/>
          <w:sz w:val="32"/>
          <w:szCs w:val="32"/>
        </w:rPr>
      </w:pPr>
      <w:r>
        <w:rPr>
          <w:rFonts w:hint="eastAsia" w:ascii="黑体" w:hAnsi="黑体" w:eastAsia="黑体" w:cs="宋体"/>
          <w:bCs/>
          <w:sz w:val="32"/>
          <w:szCs w:val="32"/>
        </w:rPr>
        <w:t>四、修订标准的原则和依据，与现行法律、法规、标准的关系</w:t>
      </w:r>
    </w:p>
    <w:p w14:paraId="53187B56">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（一） 制定标准的原则和依据</w:t>
      </w:r>
    </w:p>
    <w:p w14:paraId="6D407D2A">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本规程按照 GB/T1.1-2020的规则要求起草，在编制时坚持从实际出发、考虑经济效益、生态效益和社会效益相结合的原则，</w:t>
      </w:r>
      <w:bookmarkStart w:id="3" w:name="_Hlk169512264"/>
      <w:r>
        <w:rPr>
          <w:rFonts w:hint="eastAsia" w:ascii="仿宋_GB2312" w:hAnsi="宋体" w:eastAsia="仿宋_GB2312" w:cs="Times New Roman"/>
          <w:sz w:val="28"/>
          <w:szCs w:val="28"/>
        </w:rPr>
        <w:t xml:space="preserve">以实现科学性、适用性和先进性的统一。 </w:t>
      </w:r>
      <w:bookmarkEnd w:id="3"/>
    </w:p>
    <w:p w14:paraId="5E0E95D0">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科学性：本标准起草组主要成员，长期开展盐碱地改良和测土配方施肥技术推广工作。2000年以来，中国—日本国际合作项目“山西省碱化土壤改良现场实证调查”、国家科技部星火重大计划重大项目“内陆盐碱耕地改良与作物高产高效技术示范推广”和山西省农业综合开发科技项目“大同盆地盐碱耕地综合治理技术示范推广”等10多个项目的研究成果及生产应用经验，确定最终的各项技术指标。该标准经过一段时间的推广证明是可行的，通过对文本的修订，可操作性更强，使本标准撰更完整、更系统、更科学。</w:t>
      </w:r>
    </w:p>
    <w:p w14:paraId="70963995">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适用性：本标准从农业生产实际出发，提出了盐碱耕地测土配方施肥技术，提出的技术充分考虑到生产实际应用。本规程内容完整，文字表述清晰、简洁、准确、易懂，在生产上具有可操作性。</w:t>
      </w:r>
    </w:p>
    <w:p w14:paraId="4E2BEDFB">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先进性： 本标准与现行的国家标准、林业标准、地方标准等相比较，将盐碱耕地测土配方施肥技术在我省盐碱耕地继续推广，可改善土壤生境，提高土壤肥力，减少肥料投入，实现绿色环保。该标准以标准起草组近年来推广的技术为基础，有坚实的理论基础和丰富的数据支撑，具有技术先进性。</w:t>
      </w:r>
    </w:p>
    <w:p w14:paraId="0655A2E9">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（二）与现行法律、法规、标准的关系</w:t>
      </w:r>
    </w:p>
    <w:p w14:paraId="1E576744">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标准严格按照《中华人民共和国标准化法》、《中华人民共和国农业法》、《中华人民共和国农业技术推广法》等法律和市场监管总局《农业农村标准化管理办法》等规章执行，与现行法律、法规没有冲突。本标准根据GB/T 1.1-2020</w:t>
      </w:r>
      <w:bookmarkStart w:id="4" w:name="_Hlk169136018"/>
      <w:r>
        <w:rPr>
          <w:rFonts w:hint="eastAsia" w:ascii="仿宋_GB2312" w:hAnsi="宋体" w:eastAsia="仿宋_GB2312" w:cs="Times New Roman"/>
          <w:sz w:val="28"/>
          <w:szCs w:val="28"/>
        </w:rPr>
        <w:t>《标准化工作导则 第1部分：标准化文件的结构和起草规则》规定的要素、格式、表述等进行修订。</w:t>
      </w:r>
      <w:bookmarkEnd w:id="4"/>
    </w:p>
    <w:p w14:paraId="1A214C09">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内容和要求参照了相关法律规则，引用了现行有效的国家标准和行业标准。因此，本标准与现行法律、法规和标准没有冲突。根据农业标准《测土配方施肥技术规范》NY/T 1118-2006中的田间基本情况调查、土样采集制备检测和施肥技术，提出了盐碱耕地测土配方施肥田间基本情况调查、土壤样品采集制备、土壤检测和施肥技术，是对行业标准范围的填补。</w:t>
      </w:r>
    </w:p>
    <w:p w14:paraId="0A6EAED1">
      <w:pPr>
        <w:spacing w:line="600" w:lineRule="exact"/>
        <w:ind w:right="17" w:firstLine="480" w:firstLineChars="150"/>
        <w:rPr>
          <w:rFonts w:hint="eastAsia" w:ascii="黑体" w:hAnsi="黑体" w:eastAsia="黑体" w:cs="宋体"/>
          <w:bCs/>
          <w:sz w:val="32"/>
          <w:szCs w:val="32"/>
        </w:rPr>
      </w:pPr>
      <w:r>
        <w:rPr>
          <w:rFonts w:hint="eastAsia" w:ascii="黑体" w:hAnsi="黑体" w:eastAsia="黑体" w:cs="宋体"/>
          <w:bCs/>
          <w:sz w:val="32"/>
          <w:szCs w:val="32"/>
        </w:rPr>
        <w:t>五、主要条款的说明，主要技术指标、参数、试验验证的分析、综合论述（重要项）</w:t>
      </w:r>
    </w:p>
    <w:p w14:paraId="2FA9E30A">
      <w:pPr>
        <w:spacing w:line="480"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eastAsia="zh-CN"/>
        </w:rPr>
        <w:t>标准起草组以“合法性、安全性、适应性、协调性和先进性”为修订原则，以文本结构更加合理、表述更加准确、技术指标更加科学为修订目标，从</w:t>
      </w:r>
      <w:r>
        <w:rPr>
          <w:rFonts w:hint="eastAsia" w:ascii="仿宋_GB2312" w:hAnsi="宋体" w:eastAsia="仿宋_GB2312" w:cs="Times New Roman"/>
          <w:sz w:val="28"/>
          <w:szCs w:val="28"/>
          <w:lang w:val="en-US" w:eastAsia="zh-CN"/>
        </w:rPr>
        <w:t>3</w:t>
      </w:r>
      <w:r>
        <w:rPr>
          <w:rFonts w:hint="eastAsia" w:ascii="仿宋_GB2312" w:hAnsi="宋体" w:eastAsia="仿宋_GB2312" w:cs="Times New Roman"/>
          <w:sz w:val="28"/>
          <w:szCs w:val="28"/>
          <w:lang w:eastAsia="zh-CN"/>
        </w:rPr>
        <w:t>个方面对文本进行了修订，其中：</w:t>
      </w:r>
    </w:p>
    <w:p w14:paraId="3E012CE6">
      <w:pPr>
        <w:numPr>
          <w:ilvl w:val="0"/>
          <w:numId w:val="7"/>
        </w:numPr>
        <w:spacing w:line="480"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lang w:eastAsia="zh-CN"/>
        </w:rPr>
        <w:t>涉及结构性调整的主要有</w:t>
      </w:r>
      <w:r>
        <w:rPr>
          <w:rFonts w:hint="eastAsia" w:ascii="仿宋_GB2312" w:hAnsi="宋体" w:eastAsia="仿宋_GB2312" w:cs="Times New Roman"/>
          <w:sz w:val="28"/>
          <w:szCs w:val="28"/>
          <w:lang w:val="en-US" w:eastAsia="zh-CN"/>
        </w:rPr>
        <w:t>3</w:t>
      </w:r>
      <w:r>
        <w:rPr>
          <w:rFonts w:hint="eastAsia" w:ascii="仿宋_GB2312" w:hAnsi="宋体" w:eastAsia="仿宋_GB2312" w:cs="Times New Roman"/>
          <w:sz w:val="28"/>
          <w:szCs w:val="28"/>
          <w:lang w:eastAsia="zh-CN"/>
        </w:rPr>
        <w:t>项：</w:t>
      </w:r>
    </w:p>
    <w:p w14:paraId="3EC1F3CA">
      <w:pPr>
        <w:keepNext w:val="0"/>
        <w:keepLines w:val="0"/>
        <w:pageBreakBefore w:val="0"/>
        <w:widowControl w:val="0"/>
        <w:numPr>
          <w:ilvl w:val="0"/>
          <w:numId w:val="8"/>
        </w:numPr>
        <w:kinsoku/>
        <w:wordWrap/>
        <w:overflowPunct/>
        <w:topLinePunct w:val="0"/>
        <w:autoSpaceDE/>
        <w:autoSpaceDN/>
        <w:bidi w:val="0"/>
        <w:adjustRightInd w:val="0"/>
        <w:snapToGrid w:val="0"/>
        <w:spacing w:line="480" w:lineRule="exact"/>
        <w:ind w:firstLine="560" w:firstLineChars="200"/>
        <w:textAlignment w:val="auto"/>
        <w:rPr>
          <w:rFonts w:hint="eastAsia" w:ascii="Times New Roman" w:hAnsi="Times New Roman" w:eastAsia="仿宋_GB2312" w:cs="Times New Roman"/>
          <w:sz w:val="28"/>
          <w:szCs w:val="28"/>
          <w:lang w:eastAsia="zh-CN"/>
        </w:rPr>
      </w:pPr>
      <w:r>
        <w:rPr>
          <w:rFonts w:hint="eastAsia" w:ascii="Times New Roman" w:eastAsia="仿宋_GB2312"/>
          <w:kern w:val="2"/>
          <w:sz w:val="28"/>
          <w:szCs w:val="28"/>
        </w:rPr>
        <w:t>增加了“生产档案”条款</w:t>
      </w:r>
      <w:r>
        <w:rPr>
          <w:rFonts w:hint="eastAsia" w:ascii="Times New Roman" w:eastAsia="仿宋_GB2312"/>
          <w:kern w:val="2"/>
          <w:sz w:val="28"/>
          <w:szCs w:val="28"/>
          <w:lang w:eastAsia="zh-CN"/>
        </w:rPr>
        <w:t>（</w:t>
      </w:r>
      <w:r>
        <w:rPr>
          <w:rFonts w:hint="eastAsia" w:ascii="Times New Roman" w:eastAsia="仿宋_GB2312"/>
          <w:kern w:val="2"/>
          <w:sz w:val="28"/>
          <w:szCs w:val="28"/>
          <w:lang w:val="en-US" w:eastAsia="zh-CN"/>
        </w:rPr>
        <w:t>见8</w:t>
      </w:r>
      <w:r>
        <w:rPr>
          <w:rFonts w:hint="eastAsia" w:ascii="Times New Roman" w:eastAsia="仿宋_GB2312"/>
          <w:kern w:val="2"/>
          <w:sz w:val="28"/>
          <w:szCs w:val="28"/>
          <w:lang w:eastAsia="zh-CN"/>
        </w:rPr>
        <w:t>）。</w:t>
      </w:r>
      <w:r>
        <w:rPr>
          <w:rFonts w:hint="eastAsia" w:ascii="Times New Roman" w:eastAsia="仿宋_GB2312"/>
          <w:kern w:val="2"/>
          <w:sz w:val="28"/>
          <w:szCs w:val="28"/>
          <w:lang w:val="en-US" w:eastAsia="zh-CN"/>
        </w:rPr>
        <w:t>修订原因：</w:t>
      </w:r>
      <w:r>
        <w:rPr>
          <w:rFonts w:ascii="Times New Roman" w:hAnsi="Times New Roman" w:eastAsia="仿宋_GB2312" w:cs="Times New Roman"/>
          <w:sz w:val="28"/>
          <w:szCs w:val="28"/>
        </w:rPr>
        <w:t>技术档案记载可以为后来的技术实施提供依据</w:t>
      </w:r>
      <w:r>
        <w:rPr>
          <w:rFonts w:hint="eastAsia" w:ascii="Times New Roman" w:hAnsi="Times New Roman" w:eastAsia="仿宋_GB2312" w:cs="Times New Roman"/>
          <w:sz w:val="28"/>
          <w:szCs w:val="28"/>
          <w:lang w:eastAsia="zh-CN"/>
        </w:rPr>
        <w:t>。</w:t>
      </w:r>
    </w:p>
    <w:p w14:paraId="07747AA3">
      <w:pPr>
        <w:keepNext w:val="0"/>
        <w:keepLines w:val="0"/>
        <w:pageBreakBefore w:val="0"/>
        <w:widowControl w:val="0"/>
        <w:numPr>
          <w:ilvl w:val="0"/>
          <w:numId w:val="8"/>
        </w:numPr>
        <w:kinsoku/>
        <w:wordWrap/>
        <w:overflowPunct/>
        <w:topLinePunct w:val="0"/>
        <w:autoSpaceDE/>
        <w:autoSpaceDN/>
        <w:bidi w:val="0"/>
        <w:adjustRightInd w:val="0"/>
        <w:snapToGrid w:val="0"/>
        <w:spacing w:line="480" w:lineRule="exact"/>
        <w:ind w:firstLine="560" w:firstLineChars="200"/>
        <w:textAlignment w:val="auto"/>
        <w:rPr>
          <w:rFonts w:hint="eastAsia" w:ascii="Times New Roman" w:hAnsi="Times New Roman" w:eastAsia="仿宋_GB2312" w:cs="Times New Roman"/>
          <w:sz w:val="28"/>
          <w:szCs w:val="28"/>
          <w:lang w:val="en-US" w:eastAsia="zh-CN"/>
        </w:rPr>
      </w:pPr>
      <w:r>
        <w:rPr>
          <w:rFonts w:hint="eastAsia" w:ascii="Times New Roman" w:eastAsia="仿宋_GB2312"/>
          <w:kern w:val="2"/>
          <w:sz w:val="28"/>
          <w:szCs w:val="28"/>
        </w:rPr>
        <w:t>删除了“附录D（资料性附录）常见化学肥料有效养分含量”的内容</w:t>
      </w:r>
      <w:r>
        <w:rPr>
          <w:rFonts w:hint="eastAsia" w:ascii="Times New Roman" w:eastAsia="仿宋_GB2312"/>
          <w:kern w:val="2"/>
          <w:sz w:val="28"/>
          <w:szCs w:val="28"/>
          <w:lang w:eastAsia="zh-CN"/>
        </w:rPr>
        <w:t>（</w:t>
      </w:r>
      <w:r>
        <w:rPr>
          <w:rFonts w:hint="eastAsia" w:ascii="Times New Roman" w:eastAsia="仿宋_GB2312"/>
          <w:kern w:val="2"/>
          <w:sz w:val="28"/>
          <w:szCs w:val="28"/>
          <w:lang w:val="en-US" w:eastAsia="zh-CN"/>
        </w:rPr>
        <w:t>见2013版的附录D</w:t>
      </w:r>
      <w:r>
        <w:rPr>
          <w:rFonts w:hint="eastAsia" w:ascii="Times New Roman" w:eastAsia="仿宋_GB2312"/>
          <w:kern w:val="2"/>
          <w:sz w:val="28"/>
          <w:szCs w:val="28"/>
          <w:lang w:eastAsia="zh-CN"/>
        </w:rPr>
        <w:t>）。</w:t>
      </w:r>
      <w:r>
        <w:rPr>
          <w:rFonts w:hint="eastAsia" w:ascii="Times New Roman" w:eastAsia="仿宋_GB2312"/>
          <w:kern w:val="2"/>
          <w:sz w:val="28"/>
          <w:szCs w:val="28"/>
          <w:lang w:val="en-US" w:eastAsia="zh-CN"/>
        </w:rPr>
        <w:t>修订原因：</w:t>
      </w:r>
      <w:r>
        <w:rPr>
          <w:rFonts w:hint="eastAsia" w:ascii="Times New Roman" w:hAnsi="Times New Roman" w:eastAsia="仿宋_GB2312" w:cs="Times New Roman"/>
          <w:sz w:val="28"/>
          <w:szCs w:val="28"/>
        </w:rPr>
        <w:t>此表内容为常识可不列</w:t>
      </w:r>
      <w:r>
        <w:rPr>
          <w:rFonts w:hint="eastAsia" w:ascii="Times New Roman" w:hAnsi="Times New Roman" w:eastAsia="仿宋_GB2312" w:cs="Times New Roman"/>
          <w:sz w:val="28"/>
          <w:szCs w:val="28"/>
          <w:lang w:eastAsia="zh-CN"/>
        </w:rPr>
        <w:t>。</w:t>
      </w:r>
    </w:p>
    <w:p w14:paraId="7CDDC810">
      <w:pPr>
        <w:keepNext w:val="0"/>
        <w:keepLines w:val="0"/>
        <w:pageBreakBefore w:val="0"/>
        <w:widowControl w:val="0"/>
        <w:numPr>
          <w:ilvl w:val="0"/>
          <w:numId w:val="8"/>
        </w:numPr>
        <w:kinsoku/>
        <w:wordWrap/>
        <w:overflowPunct/>
        <w:topLinePunct w:val="0"/>
        <w:autoSpaceDE/>
        <w:autoSpaceDN/>
        <w:bidi w:val="0"/>
        <w:adjustRightInd w:val="0"/>
        <w:snapToGrid w:val="0"/>
        <w:spacing w:line="480" w:lineRule="exact"/>
        <w:ind w:firstLine="560" w:firstLineChars="200"/>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增加了“6.2土壤盐化和碱化分级指标”和“6.3盐碱耕地土壤养分分级指标”；删除了“附录B（资料性附录）土壤盐化和碱化分级指标”和“附录C（资料性附录）盐碱耕地土壤养分分级指标”。修订原因：“附录B”和“附录C”作为“6 土壤检测”正文内容。</w:t>
      </w:r>
    </w:p>
    <w:p w14:paraId="214BFE88">
      <w:pPr>
        <w:numPr>
          <w:ilvl w:val="0"/>
          <w:numId w:val="7"/>
        </w:numPr>
        <w:spacing w:line="400" w:lineRule="exact"/>
        <w:ind w:left="0" w:leftChars="0" w:firstLine="560" w:firstLineChars="200"/>
        <w:rPr>
          <w:rFonts w:hint="default"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涉及表述与编辑性修改的主要有4项：</w:t>
      </w:r>
    </w:p>
    <w:p w14:paraId="7ADF5353">
      <w:pPr>
        <w:spacing w:line="480"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lang w:val="en-US" w:eastAsia="zh-CN"/>
        </w:rPr>
        <w:t>（1）更改</w:t>
      </w:r>
      <w:r>
        <w:rPr>
          <w:rFonts w:hint="eastAsia" w:ascii="仿宋_GB2312" w:hAnsi="宋体" w:eastAsia="仿宋_GB2312" w:cs="Times New Roman"/>
          <w:sz w:val="28"/>
          <w:szCs w:val="28"/>
        </w:rPr>
        <w:t>了“规范性引用文件 ”中引用文件</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见2</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修订原因：</w:t>
      </w:r>
      <w:r>
        <w:rPr>
          <w:rFonts w:hint="eastAsia" w:ascii="仿宋" w:hAnsi="仿宋" w:eastAsia="仿宋" w:cs="仿宋"/>
          <w:sz w:val="28"/>
          <w:szCs w:val="28"/>
        </w:rPr>
        <w:t>①</w:t>
      </w:r>
      <w:r>
        <w:rPr>
          <w:rFonts w:hint="eastAsia" w:ascii="仿宋_GB2312" w:hAnsi="宋体" w:eastAsia="仿宋_GB2312" w:cs="Times New Roman"/>
          <w:sz w:val="28"/>
          <w:szCs w:val="28"/>
        </w:rPr>
        <w:t>“NY/T 53 土壤全氮测定”采用半微量开氏法，该方法已不适于目前的技术水平，替换为“NY/T 1121.24 土壤检测 第24部分：土壤全氮的测定自动定氮仪法”；</w:t>
      </w:r>
      <w:r>
        <w:rPr>
          <w:rFonts w:hint="default" w:ascii="仿宋" w:hAnsi="仿宋" w:eastAsia="仿宋" w:cs="仿宋"/>
          <w:sz w:val="28"/>
          <w:szCs w:val="28"/>
        </w:rPr>
        <w:t>②</w:t>
      </w:r>
      <w:r>
        <w:rPr>
          <w:rFonts w:hint="eastAsia" w:ascii="仿宋_GB2312" w:hAnsi="宋体" w:eastAsia="仿宋_GB2312" w:cs="Times New Roman"/>
          <w:sz w:val="28"/>
          <w:szCs w:val="28"/>
        </w:rPr>
        <w:t>“NY/T 149 石灰性土壤有效磷测定方法”和“NY/T 1377 土壤pH的测定”，与第三次全国土壤普查前处理要求不符，为了使标准更具有推广性，替换为“NY/T 1121.7 土壤检测 第7部分：土壤有效磷的测定”和“NY/T 1121.2  土壤检测 第2部分：土壤pH的测定”；</w:t>
      </w:r>
      <w:r>
        <w:rPr>
          <w:rFonts w:hint="default" w:ascii="仿宋" w:hAnsi="仿宋" w:eastAsia="仿宋" w:cs="仿宋"/>
          <w:sz w:val="28"/>
          <w:szCs w:val="28"/>
        </w:rPr>
        <w:t>③</w:t>
      </w:r>
      <w:r>
        <w:rPr>
          <w:rFonts w:hint="eastAsia" w:ascii="仿宋_GB2312" w:hAnsi="宋体" w:eastAsia="仿宋_GB2312" w:cs="Times New Roman"/>
          <w:sz w:val="28"/>
          <w:szCs w:val="28"/>
        </w:rPr>
        <w:t>原标准土壤交换性钠检测方法按土壤农化分析执行，为了规范检测方法，增加了“NY/T 1615 石灰性土壤交换性盐基及盐基总量的测定”。</w:t>
      </w:r>
    </w:p>
    <w:p w14:paraId="6998F27C">
      <w:pPr>
        <w:spacing w:line="480" w:lineRule="exact"/>
        <w:ind w:firstLine="560" w:firstLineChars="200"/>
        <w:rPr>
          <w:rFonts w:hint="eastAsia" w:ascii="仿宋" w:hAnsi="仿宋" w:eastAsia="仿宋" w:cs="仿宋"/>
          <w:sz w:val="28"/>
          <w:szCs w:val="28"/>
          <w:lang w:val="en-US" w:eastAsia="zh-CN"/>
        </w:rPr>
      </w:pP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更改</w:t>
      </w:r>
      <w:r>
        <w:rPr>
          <w:rFonts w:hint="eastAsia" w:ascii="仿宋_GB2312" w:hAnsi="宋体" w:eastAsia="仿宋_GB2312" w:cs="Times New Roman"/>
          <w:sz w:val="28"/>
          <w:szCs w:val="28"/>
          <w:lang w:eastAsia="zh-CN"/>
        </w:rPr>
        <w:t>了“</w:t>
      </w:r>
      <w:r>
        <w:rPr>
          <w:rFonts w:hint="eastAsia" w:ascii="仿宋_GB2312" w:hAnsi="宋体" w:eastAsia="仿宋_GB2312" w:cs="Times New Roman"/>
          <w:sz w:val="28"/>
          <w:szCs w:val="28"/>
          <w:lang w:val="en-US" w:eastAsia="zh-CN"/>
        </w:rPr>
        <w:t>土壤检测</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的规定</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见6</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修订原因：</w:t>
      </w:r>
      <w:r>
        <w:rPr>
          <w:rFonts w:hint="eastAsia" w:ascii="仿宋" w:hAnsi="仿宋" w:eastAsia="仿宋" w:cs="仿宋"/>
          <w:sz w:val="28"/>
          <w:szCs w:val="28"/>
        </w:rPr>
        <w:t>①</w:t>
      </w:r>
      <w:r>
        <w:rPr>
          <w:rFonts w:hint="eastAsia" w:ascii="仿宋" w:hAnsi="仿宋" w:eastAsia="仿宋" w:cs="仿宋"/>
          <w:sz w:val="28"/>
          <w:szCs w:val="28"/>
          <w:lang w:val="en-US" w:eastAsia="zh-CN"/>
        </w:rPr>
        <w:t xml:space="preserve"> 5.1.7采样深度发生变化；</w:t>
      </w:r>
      <w:r>
        <w:rPr>
          <w:rFonts w:hint="default" w:ascii="仿宋" w:hAnsi="仿宋" w:eastAsia="仿宋" w:cs="仿宋"/>
          <w:sz w:val="28"/>
          <w:szCs w:val="28"/>
        </w:rPr>
        <w:t>②</w:t>
      </w:r>
      <w:r>
        <w:rPr>
          <w:rFonts w:hint="eastAsia" w:ascii="仿宋" w:hAnsi="仿宋" w:eastAsia="仿宋" w:cs="仿宋"/>
          <w:sz w:val="28"/>
          <w:szCs w:val="28"/>
          <w:lang w:val="en-US" w:eastAsia="zh-CN"/>
        </w:rPr>
        <w:t>规范性引用文件发生变化。</w:t>
      </w:r>
    </w:p>
    <w:p w14:paraId="10830906">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 w:hAnsi="仿宋" w:eastAsia="仿宋" w:cs="仿宋"/>
          <w:sz w:val="28"/>
          <w:szCs w:val="28"/>
          <w:lang w:val="en-US" w:eastAsia="zh-CN"/>
        </w:rPr>
        <w:t>（3）修改完善了施肥原则（见8.1）。</w:t>
      </w:r>
      <w:r>
        <w:rPr>
          <w:rFonts w:hint="eastAsia" w:ascii="仿宋_GB2312" w:hAnsi="宋体" w:eastAsia="仿宋_GB2312" w:cs="Times New Roman"/>
          <w:sz w:val="28"/>
          <w:szCs w:val="28"/>
          <w:lang w:val="en-US" w:eastAsia="zh-CN"/>
        </w:rPr>
        <w:t>修订原因：确保施肥原则符合生产实际和相关的标准要求。</w:t>
      </w:r>
    </w:p>
    <w:p w14:paraId="1F83951C">
      <w:pPr>
        <w:spacing w:line="480" w:lineRule="exact"/>
        <w:ind w:firstLine="560" w:firstLineChars="200"/>
        <w:rPr>
          <w:rFonts w:hint="default"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lang w:val="en-US" w:eastAsia="zh-CN"/>
        </w:rPr>
        <w:t>（4）</w:t>
      </w:r>
      <w:r>
        <w:rPr>
          <w:rFonts w:hint="default" w:ascii="仿宋_GB2312" w:hAnsi="宋体" w:eastAsia="仿宋_GB2312" w:cs="Times New Roman"/>
          <w:sz w:val="28"/>
          <w:szCs w:val="28"/>
          <w:lang w:val="en-US" w:eastAsia="zh-CN"/>
        </w:rPr>
        <w:t>更改了施肥量及施肥方法（见8.3）。</w:t>
      </w:r>
      <w:r>
        <w:rPr>
          <w:rFonts w:hint="default" w:ascii="仿宋_GB2312" w:hAnsi="宋体" w:eastAsia="仿宋_GB2312" w:cs="Times New Roman"/>
          <w:sz w:val="28"/>
          <w:szCs w:val="28"/>
          <w:highlight w:val="none"/>
          <w:lang w:val="en-US" w:eastAsia="zh-CN"/>
        </w:rPr>
        <w:t>修订原因：</w:t>
      </w:r>
      <w:r>
        <w:rPr>
          <w:rFonts w:hint="eastAsia" w:ascii="仿宋_GB2312" w:hAnsi="宋体" w:eastAsia="仿宋_GB2312" w:cs="Times New Roman"/>
          <w:sz w:val="28"/>
          <w:szCs w:val="28"/>
          <w:highlight w:val="none"/>
          <w:lang w:val="en-US" w:eastAsia="zh-CN"/>
        </w:rPr>
        <w:t>原表1盐碱耕地几种作物施肥量及施肥方法不具有操作性，改为文字性表述，使标准的适应性更广。</w:t>
      </w:r>
    </w:p>
    <w:p w14:paraId="7ECE1F91">
      <w:pPr>
        <w:pStyle w:val="11"/>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宋体" w:eastAsia="仿宋_GB2312" w:cs="Times New Roman"/>
          <w:sz w:val="28"/>
          <w:szCs w:val="28"/>
          <w:lang w:val="en-US" w:eastAsia="zh-CN"/>
        </w:rPr>
      </w:pPr>
      <w:r>
        <w:rPr>
          <w:rFonts w:hint="eastAsia" w:ascii="仿宋_GB2312" w:hAnsi="宋体" w:eastAsia="仿宋_GB2312"/>
          <w:sz w:val="28"/>
          <w:szCs w:val="28"/>
        </w:rPr>
        <w:t>3、涉及到技术指标主要有</w:t>
      </w:r>
      <w:r>
        <w:rPr>
          <w:rFonts w:hint="eastAsia" w:ascii="仿宋_GB2312" w:hAnsi="宋体"/>
          <w:sz w:val="28"/>
          <w:szCs w:val="28"/>
          <w:lang w:val="en-US" w:eastAsia="zh-CN"/>
        </w:rPr>
        <w:t>6</w:t>
      </w:r>
      <w:r>
        <w:rPr>
          <w:rFonts w:hint="eastAsia" w:ascii="仿宋_GB2312" w:hAnsi="宋体" w:eastAsia="仿宋_GB2312"/>
          <w:sz w:val="28"/>
          <w:szCs w:val="28"/>
        </w:rPr>
        <w:t>项：</w:t>
      </w:r>
    </w:p>
    <w:p w14:paraId="75C123C3">
      <w:pPr>
        <w:numPr>
          <w:ilvl w:val="0"/>
          <w:numId w:val="9"/>
        </w:numPr>
        <w:spacing w:line="48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更改了适用范围（见1）。修订原因：轻中度盐碱地土壤改良后适合农作物生长，重度盐碱地改良成本高、改良效果不理想，建议适用范围修改为轻中度盐碱地。</w:t>
      </w:r>
    </w:p>
    <w:p w14:paraId="630FC571">
      <w:pPr>
        <w:numPr>
          <w:ilvl w:val="0"/>
          <w:numId w:val="9"/>
        </w:numPr>
        <w:spacing w:line="48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更改了采样时间的要求（见5.1.1）。修订原因：盐碱耕地的特殊性，土壤中盐分随水运动，为了使土壤样品有代表性，明确了采样时间。</w:t>
      </w:r>
    </w:p>
    <w:p w14:paraId="5C568FDF">
      <w:pPr>
        <w:numPr>
          <w:ilvl w:val="0"/>
          <w:numId w:val="9"/>
        </w:num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sz w:val="28"/>
          <w:szCs w:val="28"/>
          <w:lang w:val="en-US" w:eastAsia="zh-CN"/>
        </w:rPr>
        <w:t>更改了布点的要求（见5.1.5）。修订原因：为了使土壤样品具有代表性，盐斑混样点取土占该混样点最终取土比例，尽可能与实地目测观测到的地表盐斑覆盖面积占地表面积的比例一致。</w:t>
      </w:r>
    </w:p>
    <w:p w14:paraId="47DF2691">
      <w:pPr>
        <w:numPr>
          <w:ilvl w:val="0"/>
          <w:numId w:val="9"/>
        </w:num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更改</w:t>
      </w:r>
      <w:r>
        <w:rPr>
          <w:rFonts w:hint="eastAsia" w:ascii="仿宋_GB2312" w:hAnsi="宋体" w:eastAsia="仿宋_GB2312" w:cs="Times New Roman"/>
          <w:sz w:val="28"/>
          <w:szCs w:val="28"/>
        </w:rPr>
        <w:t>了“采样深度”</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见5.1.7</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修订原因：耕地土壤</w:t>
      </w:r>
      <w:r>
        <w:rPr>
          <w:rFonts w:hint="eastAsia" w:ascii="仿宋_GB2312" w:hAnsi="宋体" w:eastAsia="仿宋_GB2312" w:cs="Times New Roman"/>
          <w:sz w:val="28"/>
          <w:szCs w:val="28"/>
        </w:rPr>
        <w:t>采样深度</w:t>
      </w:r>
      <w:r>
        <w:rPr>
          <w:rFonts w:hint="eastAsia" w:ascii="仿宋_GB2312" w:hAnsi="宋体" w:eastAsia="仿宋_GB2312" w:cs="Times New Roman"/>
          <w:sz w:val="28"/>
          <w:szCs w:val="28"/>
          <w:lang w:val="en-US" w:eastAsia="zh-CN"/>
        </w:rPr>
        <w:t>一般</w:t>
      </w:r>
      <w:r>
        <w:rPr>
          <w:rFonts w:hint="eastAsia" w:ascii="仿宋_GB2312" w:hAnsi="宋体" w:eastAsia="仿宋_GB2312" w:cs="Times New Roman"/>
          <w:sz w:val="28"/>
          <w:szCs w:val="28"/>
        </w:rPr>
        <w:t>为0cm</w:t>
      </w:r>
      <w:r>
        <w:rPr>
          <w:rFonts w:hint="default" w:ascii="Times New Roman" w:hAnsi="Times New Roman" w:eastAsia="仿宋_GB2312" w:cs="Times New Roman"/>
          <w:sz w:val="28"/>
          <w:szCs w:val="28"/>
          <w:lang w:val="en-US" w:eastAsia="zh-CN"/>
        </w:rPr>
        <w:t>~</w:t>
      </w:r>
      <w:r>
        <w:rPr>
          <w:rFonts w:hint="eastAsia" w:ascii="仿宋_GB2312" w:hAnsi="宋体" w:eastAsia="仿宋_GB2312" w:cs="Times New Roman"/>
          <w:sz w:val="28"/>
          <w:szCs w:val="28"/>
        </w:rPr>
        <w:t>20cm，为了使该规程适用性更强，土样采样深度</w:t>
      </w:r>
      <w:r>
        <w:rPr>
          <w:rFonts w:hint="eastAsia" w:ascii="仿宋_GB2312" w:hAnsi="宋体" w:eastAsia="仿宋_GB2312" w:cs="Times New Roman"/>
          <w:sz w:val="28"/>
          <w:szCs w:val="28"/>
          <w:lang w:val="en-US" w:eastAsia="zh-CN"/>
        </w:rPr>
        <w:t>修订</w:t>
      </w:r>
      <w:r>
        <w:rPr>
          <w:rFonts w:hint="eastAsia" w:ascii="仿宋_GB2312" w:hAnsi="宋体" w:eastAsia="仿宋_GB2312" w:cs="Times New Roman"/>
          <w:sz w:val="28"/>
          <w:szCs w:val="28"/>
        </w:rPr>
        <w:t>为0cm</w:t>
      </w:r>
      <w:r>
        <w:rPr>
          <w:rFonts w:hint="default" w:ascii="Times New Roman" w:hAnsi="Times New Roman" w:eastAsia="仿宋_GB2312" w:cs="Times New Roman"/>
          <w:sz w:val="28"/>
          <w:szCs w:val="28"/>
        </w:rPr>
        <w:t>~</w:t>
      </w:r>
      <w:r>
        <w:rPr>
          <w:rFonts w:hint="eastAsia" w:ascii="仿宋_GB2312" w:hAnsi="宋体" w:eastAsia="仿宋_GB2312" w:cs="Times New Roman"/>
          <w:sz w:val="28"/>
          <w:szCs w:val="28"/>
        </w:rPr>
        <w:t>20cm</w:t>
      </w:r>
      <w:r>
        <w:rPr>
          <w:rFonts w:hint="eastAsia" w:ascii="仿宋_GB2312" w:hAnsi="宋体" w:eastAsia="仿宋_GB2312" w:cs="Times New Roman"/>
          <w:sz w:val="28"/>
          <w:szCs w:val="28"/>
          <w:lang w:eastAsia="zh-CN"/>
        </w:rPr>
        <w:t>。</w:t>
      </w:r>
    </w:p>
    <w:p w14:paraId="5CBA07DB">
      <w:pPr>
        <w:numPr>
          <w:ilvl w:val="0"/>
          <w:numId w:val="9"/>
        </w:num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修订了“土壤盐化和碱化分级指标”（见6.2）。修订原因：① 采样深度发生变化；</w:t>
      </w:r>
      <w:r>
        <w:rPr>
          <w:rFonts w:hint="default" w:ascii="仿宋_GB2312" w:hAnsi="宋体" w:eastAsia="仿宋_GB2312" w:cs="Times New Roman"/>
          <w:sz w:val="28"/>
          <w:szCs w:val="28"/>
          <w:lang w:val="en-US" w:eastAsia="zh-CN"/>
        </w:rPr>
        <w:t>②</w:t>
      </w:r>
      <w:r>
        <w:rPr>
          <w:rFonts w:hint="eastAsia" w:ascii="仿宋_GB2312" w:hAnsi="宋体" w:eastAsia="仿宋_GB2312" w:cs="Times New Roman"/>
          <w:sz w:val="28"/>
          <w:szCs w:val="28"/>
          <w:lang w:val="en-US" w:eastAsia="zh-CN"/>
        </w:rPr>
        <w:t>在原标准实施过程中，发现电导率分级不合适。</w:t>
      </w:r>
    </w:p>
    <w:p w14:paraId="67CC3619">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验证过程：</w:t>
      </w:r>
    </w:p>
    <w:p w14:paraId="2044393F">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项目组采集了永济市、文水县、忻府区、原平市、怀仁县、朔城区、阳高县和应县8个县市315个盐碱地样品，采样深度为0cm</w:t>
      </w:r>
      <w:r>
        <w:rPr>
          <w:rFonts w:hint="default" w:ascii="Times New Roman" w:hAnsi="Times New Roman" w:eastAsia="宋体" w:cs="Times New Roman"/>
          <w:sz w:val="28"/>
          <w:szCs w:val="28"/>
          <w:lang w:val="en-US" w:eastAsia="zh-CN"/>
        </w:rPr>
        <w:t>~</w:t>
      </w:r>
      <w:r>
        <w:rPr>
          <w:rFonts w:hint="eastAsia" w:ascii="仿宋_GB2312" w:hAnsi="宋体" w:eastAsia="仿宋_GB2312" w:cs="Times New Roman"/>
          <w:sz w:val="28"/>
          <w:szCs w:val="28"/>
          <w:lang w:val="en-US" w:eastAsia="zh-CN"/>
        </w:rPr>
        <w:t>20cm，分析了土壤全盐量和电导率之间的相关性，见图1。</w:t>
      </w:r>
    </w:p>
    <w:p w14:paraId="7454E965">
      <w:pPr>
        <w:pStyle w:val="11"/>
        <w:ind w:left="0" w:leftChars="0"/>
        <w:jc w:val="center"/>
      </w:pPr>
      <w:r>
        <w:drawing>
          <wp:inline distT="0" distB="0" distL="114300" distR="114300">
            <wp:extent cx="4569460" cy="2458085"/>
            <wp:effectExtent l="0" t="0" r="2540" b="18415"/>
            <wp:docPr id="103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88ABAC7">
      <w:pPr>
        <w:pStyle w:val="15"/>
        <w:keepNext w:val="0"/>
        <w:keepLines w:val="0"/>
        <w:pageBreakBefore w:val="0"/>
        <w:widowControl/>
        <w:numPr>
          <w:ilvl w:val="1"/>
          <w:numId w:val="0"/>
        </w:numPr>
        <w:kinsoku/>
        <w:wordWrap/>
        <w:overflowPunct/>
        <w:topLinePunct w:val="0"/>
        <w:autoSpaceDE/>
        <w:autoSpaceDN/>
        <w:bidi w:val="0"/>
        <w:adjustRightInd w:val="0"/>
        <w:snapToGrid w:val="0"/>
        <w:spacing w:before="0" w:beforeLines="0" w:after="0" w:afterLines="0" w:line="240" w:lineRule="auto"/>
        <w:textAlignment w:val="baseline"/>
        <w:rPr>
          <w:rFonts w:hint="default" w:ascii="Times New Roman" w:hAnsi="Times New Roman" w:eastAsia="宋体" w:cs="Times New Roman"/>
          <w:kern w:val="2"/>
          <w:sz w:val="24"/>
          <w:szCs w:val="24"/>
          <w:lang w:val="en-US" w:eastAsia="zh-CN" w:bidi="ar-SA"/>
        </w:rPr>
      </w:pPr>
      <w:r>
        <w:rPr>
          <w:rFonts w:hint="eastAsia" w:ascii="仿宋" w:hAnsi="仿宋" w:eastAsia="仿宋" w:cs="仿宋"/>
          <w:kern w:val="2"/>
          <w:sz w:val="24"/>
          <w:szCs w:val="24"/>
          <w:lang w:val="en-US" w:eastAsia="zh-CN" w:bidi="ar-SA"/>
        </w:rPr>
        <w:t>图1 土壤水溶性盐总量和电导率之间的相关性</w:t>
      </w:r>
    </w:p>
    <w:p w14:paraId="27B59C31">
      <w:pPr>
        <w:pStyle w:val="14"/>
        <w:rPr>
          <w:rFonts w:hint="default" w:ascii="Times New Roman" w:hAnsi="Times New Roman" w:eastAsia="宋体" w:cs="Times New Roman"/>
          <w:lang w:val="en-US" w:eastAsia="zh-CN"/>
        </w:rPr>
      </w:pPr>
    </w:p>
    <w:p w14:paraId="7D2C647E">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从图1可以看出，土壤水溶性盐总量和电导率存在极显著正相关关系，相关系数R</w:t>
      </w:r>
      <w:r>
        <w:rPr>
          <w:rFonts w:hint="eastAsia" w:ascii="仿宋_GB2312" w:hAnsi="宋体" w:eastAsia="仿宋_GB2312" w:cs="Times New Roman"/>
          <w:sz w:val="28"/>
          <w:szCs w:val="28"/>
          <w:vertAlign w:val="superscript"/>
          <w:lang w:val="en-US" w:eastAsia="zh-CN"/>
        </w:rPr>
        <w:t>2</w:t>
      </w:r>
      <w:r>
        <w:rPr>
          <w:rFonts w:hint="eastAsia" w:ascii="仿宋_GB2312" w:hAnsi="宋体" w:eastAsia="仿宋_GB2312" w:cs="Times New Roman"/>
          <w:sz w:val="28"/>
          <w:szCs w:val="28"/>
          <w:lang w:val="en-US" w:eastAsia="zh-CN"/>
        </w:rPr>
        <w:t>=0.9505。土壤水溶性盐总量测定过程比较繁琐，用时较长；土壤电导率检测过程简单、用时少，在实际生产中可直接用电导率的数值来表示土壤含盐量的高低。根据电导率与全盐量的相关性，重新对电导率指标进行分级（见表2）。因为电导率与全盐量的比值不一定，在分级指标中标注了电导率为参考指标，不作为主要指标。</w:t>
      </w:r>
    </w:p>
    <w:p w14:paraId="570AF261">
      <w:pPr>
        <w:spacing w:line="480" w:lineRule="exact"/>
        <w:ind w:firstLine="560" w:firstLineChars="200"/>
        <w:rPr>
          <w:rFonts w:hint="default" w:ascii="仿宋_GB2312" w:hAnsi="宋体" w:eastAsia="仿宋_GB2312" w:cs="Times New Roman"/>
          <w:sz w:val="28"/>
          <w:szCs w:val="28"/>
          <w:lang w:val="en-US" w:eastAsia="zh-CN"/>
        </w:rPr>
      </w:pPr>
    </w:p>
    <w:p w14:paraId="2B182DE3">
      <w:pPr>
        <w:pStyle w:val="11"/>
        <w:ind w:left="0" w:left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表2 土壤盐化和碱化分级指标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392"/>
        <w:gridCol w:w="1829"/>
        <w:gridCol w:w="1800"/>
        <w:gridCol w:w="2183"/>
      </w:tblGrid>
      <w:tr w14:paraId="2710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exact"/>
          <w:jc w:val="center"/>
        </w:trPr>
        <w:tc>
          <w:tcPr>
            <w:tcW w:w="1800" w:type="dxa"/>
            <w:noWrap w:val="0"/>
            <w:vAlign w:val="center"/>
          </w:tcPr>
          <w:p w14:paraId="6A0A844C">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级别</w:t>
            </w:r>
          </w:p>
        </w:tc>
        <w:tc>
          <w:tcPr>
            <w:tcW w:w="1392" w:type="dxa"/>
            <w:noWrap w:val="0"/>
            <w:vAlign w:val="center"/>
          </w:tcPr>
          <w:p w14:paraId="209067A8">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pH</w:t>
            </w:r>
          </w:p>
        </w:tc>
        <w:tc>
          <w:tcPr>
            <w:tcW w:w="1829" w:type="dxa"/>
            <w:noWrap w:val="0"/>
            <w:vAlign w:val="center"/>
          </w:tcPr>
          <w:p w14:paraId="7F616781">
            <w:pPr>
              <w:spacing w:line="240" w:lineRule="auto"/>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电导率</w:t>
            </w:r>
          </w:p>
          <w:p w14:paraId="654AEE1B">
            <w:pPr>
              <w:spacing w:line="240" w:lineRule="auto"/>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EC(mS/cm)</w:t>
            </w:r>
          </w:p>
        </w:tc>
        <w:tc>
          <w:tcPr>
            <w:tcW w:w="1800" w:type="dxa"/>
            <w:noWrap w:val="0"/>
            <w:vAlign w:val="center"/>
          </w:tcPr>
          <w:p w14:paraId="7A2BC8F2">
            <w:pPr>
              <w:spacing w:line="240" w:lineRule="auto"/>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全盐量</w:t>
            </w:r>
          </w:p>
          <w:p w14:paraId="19A2D9F3">
            <w:pPr>
              <w:spacing w:line="240" w:lineRule="auto"/>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（g/kg）</w:t>
            </w:r>
          </w:p>
        </w:tc>
        <w:tc>
          <w:tcPr>
            <w:tcW w:w="2183" w:type="dxa"/>
            <w:noWrap w:val="0"/>
            <w:vAlign w:val="center"/>
          </w:tcPr>
          <w:p w14:paraId="65487F46">
            <w:pPr>
              <w:spacing w:line="240" w:lineRule="auto"/>
              <w:jc w:val="center"/>
              <w:rPr>
                <w:rFonts w:hint="default" w:ascii="仿宋_GB2312" w:hAnsi="仿宋_GB2312" w:eastAsia="仿宋_GB2312" w:cs="仿宋_GB2312"/>
                <w:spacing w:val="-20"/>
                <w:kern w:val="21"/>
                <w:sz w:val="24"/>
                <w:szCs w:val="24"/>
                <w:lang w:val="en-US" w:eastAsia="zh-CN"/>
              </w:rPr>
            </w:pPr>
            <w:r>
              <w:rPr>
                <w:rFonts w:hint="default" w:ascii="仿宋_GB2312" w:hAnsi="仿宋_GB2312" w:eastAsia="仿宋_GB2312" w:cs="仿宋_GB2312"/>
                <w:spacing w:val="-20"/>
                <w:kern w:val="21"/>
                <w:sz w:val="24"/>
                <w:szCs w:val="24"/>
                <w:lang w:val="en-US" w:eastAsia="zh-CN"/>
              </w:rPr>
              <w:t>交换性钠百分比</w:t>
            </w:r>
          </w:p>
          <w:p w14:paraId="2459AAE7">
            <w:pPr>
              <w:spacing w:line="240" w:lineRule="auto"/>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ESP（%）</w:t>
            </w:r>
          </w:p>
        </w:tc>
      </w:tr>
      <w:tr w14:paraId="416F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676525D6">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潮土</w:t>
            </w:r>
          </w:p>
        </w:tc>
        <w:tc>
          <w:tcPr>
            <w:tcW w:w="1392" w:type="dxa"/>
            <w:vMerge w:val="restart"/>
            <w:noWrap w:val="0"/>
            <w:vAlign w:val="center"/>
          </w:tcPr>
          <w:p w14:paraId="3FA8ABDF">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 8.5</w:t>
            </w:r>
          </w:p>
        </w:tc>
        <w:tc>
          <w:tcPr>
            <w:tcW w:w="1829" w:type="dxa"/>
            <w:noWrap w:val="0"/>
            <w:vAlign w:val="center"/>
          </w:tcPr>
          <w:p w14:paraId="37C899FA">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&lt;0.45</w:t>
            </w:r>
          </w:p>
        </w:tc>
        <w:tc>
          <w:tcPr>
            <w:tcW w:w="1800" w:type="dxa"/>
            <w:noWrap w:val="0"/>
            <w:vAlign w:val="center"/>
          </w:tcPr>
          <w:p w14:paraId="7B968637">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&lt;2</w:t>
            </w:r>
          </w:p>
        </w:tc>
        <w:tc>
          <w:tcPr>
            <w:tcW w:w="2183" w:type="dxa"/>
            <w:noWrap w:val="0"/>
            <w:vAlign w:val="center"/>
          </w:tcPr>
          <w:p w14:paraId="4D527118">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&lt;5</w:t>
            </w:r>
          </w:p>
        </w:tc>
      </w:tr>
      <w:tr w14:paraId="7A1B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01092E8D">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盐化潮土（轻度）</w:t>
            </w:r>
          </w:p>
        </w:tc>
        <w:tc>
          <w:tcPr>
            <w:tcW w:w="1392" w:type="dxa"/>
            <w:vMerge w:val="continue"/>
            <w:noWrap w:val="0"/>
            <w:vAlign w:val="center"/>
          </w:tcPr>
          <w:p w14:paraId="195F3686">
            <w:pPr>
              <w:spacing w:line="540" w:lineRule="exact"/>
              <w:jc w:val="center"/>
              <w:rPr>
                <w:rFonts w:hint="default" w:ascii="仿宋_GB2312" w:hAnsi="仿宋_GB2312" w:eastAsia="仿宋_GB2312" w:cs="仿宋_GB2312"/>
                <w:spacing w:val="-20"/>
                <w:kern w:val="21"/>
                <w:sz w:val="24"/>
                <w:szCs w:val="24"/>
              </w:rPr>
            </w:pPr>
          </w:p>
        </w:tc>
        <w:tc>
          <w:tcPr>
            <w:tcW w:w="1829" w:type="dxa"/>
            <w:noWrap w:val="0"/>
            <w:vAlign w:val="center"/>
          </w:tcPr>
          <w:p w14:paraId="5E4A7D14">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0.45-0.90</w:t>
            </w:r>
          </w:p>
        </w:tc>
        <w:tc>
          <w:tcPr>
            <w:tcW w:w="1800" w:type="dxa"/>
            <w:noWrap w:val="0"/>
            <w:vAlign w:val="center"/>
          </w:tcPr>
          <w:p w14:paraId="510A95F1">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2-4</w:t>
            </w:r>
          </w:p>
        </w:tc>
        <w:tc>
          <w:tcPr>
            <w:tcW w:w="2183" w:type="dxa"/>
            <w:noWrap w:val="0"/>
            <w:vAlign w:val="center"/>
          </w:tcPr>
          <w:p w14:paraId="52962E36">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&lt;15</w:t>
            </w:r>
          </w:p>
        </w:tc>
      </w:tr>
      <w:tr w14:paraId="14E8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2ABF8B64">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盐化潮土（中度）</w:t>
            </w:r>
          </w:p>
        </w:tc>
        <w:tc>
          <w:tcPr>
            <w:tcW w:w="1392" w:type="dxa"/>
            <w:vMerge w:val="continue"/>
            <w:noWrap w:val="0"/>
            <w:vAlign w:val="center"/>
          </w:tcPr>
          <w:p w14:paraId="154D6BD1">
            <w:pPr>
              <w:spacing w:line="540" w:lineRule="exact"/>
              <w:jc w:val="center"/>
              <w:rPr>
                <w:rFonts w:hint="default" w:ascii="仿宋_GB2312" w:hAnsi="仿宋_GB2312" w:eastAsia="仿宋_GB2312" w:cs="仿宋_GB2312"/>
                <w:spacing w:val="-20"/>
                <w:kern w:val="21"/>
                <w:sz w:val="24"/>
                <w:szCs w:val="24"/>
              </w:rPr>
            </w:pPr>
          </w:p>
        </w:tc>
        <w:tc>
          <w:tcPr>
            <w:tcW w:w="1829" w:type="dxa"/>
            <w:noWrap w:val="0"/>
            <w:vAlign w:val="center"/>
          </w:tcPr>
          <w:p w14:paraId="531A074B">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0.90-1.35</w:t>
            </w:r>
          </w:p>
        </w:tc>
        <w:tc>
          <w:tcPr>
            <w:tcW w:w="1800" w:type="dxa"/>
            <w:noWrap w:val="0"/>
            <w:vAlign w:val="center"/>
          </w:tcPr>
          <w:p w14:paraId="7616BBC8">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4-6</w:t>
            </w:r>
          </w:p>
        </w:tc>
        <w:tc>
          <w:tcPr>
            <w:tcW w:w="2183" w:type="dxa"/>
            <w:noWrap w:val="0"/>
            <w:vAlign w:val="center"/>
          </w:tcPr>
          <w:p w14:paraId="5D433C68">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&lt;15</w:t>
            </w:r>
          </w:p>
        </w:tc>
      </w:tr>
      <w:tr w14:paraId="4BDD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326FD870">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盐化潮土（重度）</w:t>
            </w:r>
          </w:p>
        </w:tc>
        <w:tc>
          <w:tcPr>
            <w:tcW w:w="1392" w:type="dxa"/>
            <w:vMerge w:val="continue"/>
            <w:noWrap w:val="0"/>
            <w:vAlign w:val="center"/>
          </w:tcPr>
          <w:p w14:paraId="58FE253B">
            <w:pPr>
              <w:spacing w:line="540" w:lineRule="exact"/>
              <w:jc w:val="center"/>
              <w:rPr>
                <w:rFonts w:hint="default" w:ascii="仿宋_GB2312" w:hAnsi="仿宋_GB2312" w:eastAsia="仿宋_GB2312" w:cs="仿宋_GB2312"/>
                <w:spacing w:val="-20"/>
                <w:kern w:val="21"/>
                <w:sz w:val="24"/>
                <w:szCs w:val="24"/>
              </w:rPr>
            </w:pPr>
          </w:p>
        </w:tc>
        <w:tc>
          <w:tcPr>
            <w:tcW w:w="1829" w:type="dxa"/>
            <w:noWrap w:val="0"/>
            <w:vAlign w:val="center"/>
          </w:tcPr>
          <w:p w14:paraId="5F438990">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1.35-2.25</w:t>
            </w:r>
          </w:p>
        </w:tc>
        <w:tc>
          <w:tcPr>
            <w:tcW w:w="1800" w:type="dxa"/>
            <w:noWrap w:val="0"/>
            <w:vAlign w:val="center"/>
          </w:tcPr>
          <w:p w14:paraId="77EB1262">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6-10</w:t>
            </w:r>
          </w:p>
        </w:tc>
        <w:tc>
          <w:tcPr>
            <w:tcW w:w="2183" w:type="dxa"/>
            <w:noWrap w:val="0"/>
            <w:vAlign w:val="center"/>
          </w:tcPr>
          <w:p w14:paraId="714421C1">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&lt;15</w:t>
            </w:r>
          </w:p>
        </w:tc>
      </w:tr>
      <w:tr w14:paraId="1C38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18D70DC9">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盐土</w:t>
            </w:r>
          </w:p>
        </w:tc>
        <w:tc>
          <w:tcPr>
            <w:tcW w:w="1392" w:type="dxa"/>
            <w:vMerge w:val="continue"/>
            <w:noWrap w:val="0"/>
            <w:vAlign w:val="center"/>
          </w:tcPr>
          <w:p w14:paraId="05CC2FD0">
            <w:pPr>
              <w:spacing w:line="540" w:lineRule="exact"/>
              <w:jc w:val="center"/>
              <w:rPr>
                <w:rFonts w:hint="default" w:ascii="仿宋_GB2312" w:hAnsi="仿宋_GB2312" w:eastAsia="仿宋_GB2312" w:cs="仿宋_GB2312"/>
                <w:spacing w:val="-20"/>
                <w:kern w:val="21"/>
                <w:sz w:val="24"/>
                <w:szCs w:val="24"/>
              </w:rPr>
            </w:pPr>
          </w:p>
        </w:tc>
        <w:tc>
          <w:tcPr>
            <w:tcW w:w="1829" w:type="dxa"/>
            <w:noWrap w:val="0"/>
            <w:vAlign w:val="center"/>
          </w:tcPr>
          <w:p w14:paraId="777492CF">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&gt;2.25</w:t>
            </w:r>
          </w:p>
        </w:tc>
        <w:tc>
          <w:tcPr>
            <w:tcW w:w="1800" w:type="dxa"/>
            <w:noWrap w:val="0"/>
            <w:vAlign w:val="center"/>
          </w:tcPr>
          <w:p w14:paraId="60CF645B">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&gt;10</w:t>
            </w:r>
          </w:p>
        </w:tc>
        <w:tc>
          <w:tcPr>
            <w:tcW w:w="2183" w:type="dxa"/>
            <w:noWrap w:val="0"/>
            <w:vAlign w:val="center"/>
          </w:tcPr>
          <w:p w14:paraId="22E93AED">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&lt;15</w:t>
            </w:r>
          </w:p>
        </w:tc>
      </w:tr>
      <w:tr w14:paraId="5071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632E3BAB">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碱化潮土（轻度）</w:t>
            </w:r>
          </w:p>
        </w:tc>
        <w:tc>
          <w:tcPr>
            <w:tcW w:w="1392" w:type="dxa"/>
            <w:vMerge w:val="restart"/>
            <w:noWrap w:val="0"/>
            <w:vAlign w:val="center"/>
          </w:tcPr>
          <w:p w14:paraId="57727D82">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8.5-9.5</w:t>
            </w:r>
          </w:p>
        </w:tc>
        <w:tc>
          <w:tcPr>
            <w:tcW w:w="1829" w:type="dxa"/>
            <w:noWrap w:val="0"/>
            <w:vAlign w:val="center"/>
          </w:tcPr>
          <w:p w14:paraId="112E8CD0">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0.23-0.68</w:t>
            </w:r>
          </w:p>
        </w:tc>
        <w:tc>
          <w:tcPr>
            <w:tcW w:w="1800" w:type="dxa"/>
            <w:noWrap w:val="0"/>
            <w:vAlign w:val="center"/>
          </w:tcPr>
          <w:p w14:paraId="701C5BA1">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1-3</w:t>
            </w:r>
          </w:p>
        </w:tc>
        <w:tc>
          <w:tcPr>
            <w:tcW w:w="2183" w:type="dxa"/>
            <w:noWrap w:val="0"/>
            <w:vAlign w:val="center"/>
          </w:tcPr>
          <w:p w14:paraId="5779CE80">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5-10</w:t>
            </w:r>
          </w:p>
        </w:tc>
      </w:tr>
      <w:tr w14:paraId="3F1E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3EC2AAD4">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碱化潮土（中度）</w:t>
            </w:r>
          </w:p>
        </w:tc>
        <w:tc>
          <w:tcPr>
            <w:tcW w:w="1392" w:type="dxa"/>
            <w:vMerge w:val="continue"/>
            <w:noWrap w:val="0"/>
            <w:vAlign w:val="center"/>
          </w:tcPr>
          <w:p w14:paraId="173E0B1F">
            <w:pPr>
              <w:spacing w:line="540" w:lineRule="exact"/>
              <w:jc w:val="center"/>
              <w:rPr>
                <w:rFonts w:hint="default" w:ascii="仿宋_GB2312" w:hAnsi="仿宋_GB2312" w:eastAsia="仿宋_GB2312" w:cs="仿宋_GB2312"/>
                <w:spacing w:val="-20"/>
                <w:kern w:val="21"/>
                <w:sz w:val="24"/>
                <w:szCs w:val="24"/>
              </w:rPr>
            </w:pPr>
          </w:p>
        </w:tc>
        <w:tc>
          <w:tcPr>
            <w:tcW w:w="1829" w:type="dxa"/>
            <w:noWrap w:val="0"/>
            <w:vAlign w:val="center"/>
          </w:tcPr>
          <w:p w14:paraId="698CDE35">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0.68-1.13</w:t>
            </w:r>
          </w:p>
        </w:tc>
        <w:tc>
          <w:tcPr>
            <w:tcW w:w="1800" w:type="dxa"/>
            <w:noWrap w:val="0"/>
            <w:vAlign w:val="center"/>
          </w:tcPr>
          <w:p w14:paraId="1CB98079">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3-5</w:t>
            </w:r>
          </w:p>
        </w:tc>
        <w:tc>
          <w:tcPr>
            <w:tcW w:w="2183" w:type="dxa"/>
            <w:noWrap w:val="0"/>
            <w:vAlign w:val="center"/>
          </w:tcPr>
          <w:p w14:paraId="5FE74199">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10-15</w:t>
            </w:r>
          </w:p>
        </w:tc>
      </w:tr>
      <w:tr w14:paraId="1FBF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5922EF52">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碱化潮土（重度）</w:t>
            </w:r>
          </w:p>
        </w:tc>
        <w:tc>
          <w:tcPr>
            <w:tcW w:w="1392" w:type="dxa"/>
            <w:vMerge w:val="continue"/>
            <w:noWrap w:val="0"/>
            <w:vAlign w:val="center"/>
          </w:tcPr>
          <w:p w14:paraId="5646642D">
            <w:pPr>
              <w:spacing w:line="540" w:lineRule="exact"/>
              <w:jc w:val="center"/>
              <w:rPr>
                <w:rFonts w:hint="default" w:ascii="仿宋_GB2312" w:hAnsi="仿宋_GB2312" w:eastAsia="仿宋_GB2312" w:cs="仿宋_GB2312"/>
                <w:spacing w:val="-20"/>
                <w:kern w:val="21"/>
                <w:sz w:val="24"/>
                <w:szCs w:val="24"/>
              </w:rPr>
            </w:pPr>
          </w:p>
        </w:tc>
        <w:tc>
          <w:tcPr>
            <w:tcW w:w="1829" w:type="dxa"/>
            <w:noWrap w:val="0"/>
            <w:vAlign w:val="center"/>
          </w:tcPr>
          <w:p w14:paraId="0A7047E7">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1.13-1.58</w:t>
            </w:r>
          </w:p>
        </w:tc>
        <w:tc>
          <w:tcPr>
            <w:tcW w:w="1800" w:type="dxa"/>
            <w:noWrap w:val="0"/>
            <w:vAlign w:val="center"/>
          </w:tcPr>
          <w:p w14:paraId="056004BE">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5-7</w:t>
            </w:r>
          </w:p>
        </w:tc>
        <w:tc>
          <w:tcPr>
            <w:tcW w:w="2183" w:type="dxa"/>
            <w:noWrap w:val="0"/>
            <w:vAlign w:val="center"/>
          </w:tcPr>
          <w:p w14:paraId="612673AA">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15-30</w:t>
            </w:r>
          </w:p>
        </w:tc>
      </w:tr>
      <w:tr w14:paraId="72C1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800" w:type="dxa"/>
            <w:noWrap w:val="0"/>
            <w:vAlign w:val="center"/>
          </w:tcPr>
          <w:p w14:paraId="7EFB7224">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碱土</w:t>
            </w:r>
          </w:p>
        </w:tc>
        <w:tc>
          <w:tcPr>
            <w:tcW w:w="1392" w:type="dxa"/>
            <w:noWrap w:val="0"/>
            <w:vAlign w:val="center"/>
          </w:tcPr>
          <w:p w14:paraId="291471B1">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&gt;9.5</w:t>
            </w:r>
          </w:p>
        </w:tc>
        <w:tc>
          <w:tcPr>
            <w:tcW w:w="1829" w:type="dxa"/>
            <w:noWrap w:val="0"/>
            <w:vAlign w:val="center"/>
          </w:tcPr>
          <w:p w14:paraId="1CAC1894">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&gt;1.58</w:t>
            </w:r>
          </w:p>
        </w:tc>
        <w:tc>
          <w:tcPr>
            <w:tcW w:w="1800" w:type="dxa"/>
            <w:noWrap w:val="0"/>
            <w:vAlign w:val="center"/>
          </w:tcPr>
          <w:p w14:paraId="3737B1A2">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&gt;7</w:t>
            </w:r>
          </w:p>
        </w:tc>
        <w:tc>
          <w:tcPr>
            <w:tcW w:w="2183" w:type="dxa"/>
            <w:noWrap w:val="0"/>
            <w:vAlign w:val="center"/>
          </w:tcPr>
          <w:p w14:paraId="4C3272A7">
            <w:pPr>
              <w:spacing w:line="540" w:lineRule="exact"/>
              <w:jc w:val="center"/>
              <w:rPr>
                <w:rFonts w:hint="default" w:ascii="仿宋_GB2312" w:hAnsi="仿宋_GB2312" w:eastAsia="仿宋_GB2312" w:cs="仿宋_GB2312"/>
                <w:spacing w:val="-20"/>
                <w:kern w:val="21"/>
                <w:sz w:val="24"/>
                <w:szCs w:val="24"/>
              </w:rPr>
            </w:pPr>
            <w:r>
              <w:rPr>
                <w:rFonts w:hint="default" w:ascii="仿宋_GB2312" w:hAnsi="仿宋_GB2312" w:eastAsia="仿宋_GB2312" w:cs="仿宋_GB2312"/>
                <w:spacing w:val="-20"/>
                <w:kern w:val="21"/>
                <w:sz w:val="24"/>
                <w:szCs w:val="24"/>
              </w:rPr>
              <w:t>&gt;30</w:t>
            </w:r>
          </w:p>
        </w:tc>
      </w:tr>
    </w:tbl>
    <w:p w14:paraId="349E9B0A">
      <w:pPr>
        <w:pStyle w:val="11"/>
        <w:ind w:left="0" w:leftChars="0" w:firstLine="360" w:firstLineChars="200"/>
        <w:rPr>
          <w:rFonts w:hint="eastAsia" w:ascii="仿宋" w:hAnsi="仿宋" w:eastAsia="仿宋" w:cs="仿宋"/>
          <w:sz w:val="21"/>
          <w:szCs w:val="21"/>
        </w:rPr>
      </w:pPr>
      <w:r>
        <w:rPr>
          <w:rFonts w:hint="eastAsia" w:ascii="仿宋" w:hAnsi="仿宋" w:eastAsia="仿宋" w:cs="仿宋"/>
          <w:sz w:val="18"/>
          <w:szCs w:val="18"/>
        </w:rPr>
        <w:t>注：电导率</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EC</w:t>
      </w:r>
      <w:r>
        <w:rPr>
          <w:rFonts w:hint="eastAsia" w:ascii="仿宋" w:hAnsi="仿宋" w:eastAsia="仿宋" w:cs="仿宋"/>
          <w:sz w:val="18"/>
          <w:szCs w:val="18"/>
          <w:lang w:eastAsia="zh-CN"/>
        </w:rPr>
        <w:t>）</w:t>
      </w:r>
      <w:r>
        <w:rPr>
          <w:rFonts w:hint="eastAsia" w:ascii="仿宋" w:hAnsi="仿宋" w:eastAsia="仿宋" w:cs="仿宋"/>
          <w:sz w:val="18"/>
          <w:szCs w:val="18"/>
        </w:rPr>
        <w:t>为参考</w:t>
      </w:r>
      <w:r>
        <w:rPr>
          <w:rFonts w:hint="eastAsia" w:ascii="仿宋" w:hAnsi="仿宋" w:eastAsia="仿宋" w:cs="仿宋"/>
          <w:sz w:val="18"/>
          <w:szCs w:val="18"/>
          <w:lang w:val="en-US" w:eastAsia="zh-CN"/>
        </w:rPr>
        <w:t>指标</w:t>
      </w:r>
      <w:r>
        <w:rPr>
          <w:rFonts w:hint="eastAsia" w:ascii="仿宋" w:hAnsi="仿宋" w:eastAsia="仿宋" w:cs="仿宋"/>
          <w:sz w:val="18"/>
          <w:szCs w:val="18"/>
        </w:rPr>
        <w:t>。</w:t>
      </w:r>
    </w:p>
    <w:p w14:paraId="48F9F1EF">
      <w:pPr>
        <w:pStyle w:val="11"/>
        <w:ind w:left="0" w:leftChars="0" w:firstLine="420" w:firstLineChars="200"/>
        <w:rPr>
          <w:rFonts w:hint="eastAsia" w:ascii="宋体" w:hAnsi="宋体" w:eastAsia="宋体" w:cs="宋体"/>
          <w:sz w:val="21"/>
          <w:szCs w:val="21"/>
        </w:rPr>
      </w:pPr>
    </w:p>
    <w:p w14:paraId="5CE17613">
      <w:pPr>
        <w:keepNext w:val="0"/>
        <w:keepLines w:val="0"/>
        <w:pageBreakBefore w:val="0"/>
        <w:widowControl w:val="0"/>
        <w:numPr>
          <w:ilvl w:val="0"/>
          <w:numId w:val="9"/>
        </w:numPr>
        <w:kinsoku/>
        <w:wordWrap/>
        <w:overflowPunct/>
        <w:topLinePunct w:val="0"/>
        <w:autoSpaceDE/>
        <w:autoSpaceDN/>
        <w:bidi w:val="0"/>
        <w:adjustRightInd/>
        <w:snapToGrid/>
        <w:ind w:left="0" w:leftChars="0" w:firstLine="560" w:firstLineChars="200"/>
        <w:textAlignment w:val="auto"/>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lang w:val="en-US" w:eastAsia="zh-CN"/>
        </w:rPr>
        <w:t>增加了土壤改良（见7）。</w:t>
      </w:r>
      <w:r>
        <w:rPr>
          <w:rFonts w:hint="eastAsia" w:ascii="仿宋_GB2312" w:hAnsi="宋体" w:eastAsia="仿宋_GB2312" w:cs="Times New Roman"/>
          <w:sz w:val="28"/>
          <w:szCs w:val="28"/>
          <w:highlight w:val="none"/>
          <w:lang w:val="en-US" w:eastAsia="zh-CN"/>
        </w:rPr>
        <w:t>修订原因：在农业生产中，盐碱耕地中盐分和酸碱度是主要的障碍因子，通过土壤改良提高土壤质量。在此基础上，按照目标产量和土壤养分状况进行合理施肥，更具有推广性。</w:t>
      </w:r>
    </w:p>
    <w:p w14:paraId="4325D554">
      <w:pPr>
        <w:spacing w:line="600" w:lineRule="exact"/>
        <w:ind w:right="17" w:firstLine="480" w:firstLineChars="150"/>
        <w:rPr>
          <w:rFonts w:hint="eastAsia" w:ascii="黑体" w:hAnsi="黑体" w:eastAsia="黑体" w:cs="宋体"/>
          <w:bCs/>
          <w:sz w:val="32"/>
          <w:szCs w:val="32"/>
        </w:rPr>
      </w:pPr>
      <w:r>
        <w:rPr>
          <w:rFonts w:hint="eastAsia" w:ascii="黑体" w:hAnsi="黑体" w:eastAsia="黑体" w:cs="宋体"/>
          <w:bCs/>
          <w:sz w:val="32"/>
          <w:szCs w:val="32"/>
        </w:rPr>
        <w:t>六、重大意见分歧的处理依据和结果</w:t>
      </w:r>
    </w:p>
    <w:p w14:paraId="74700DE7">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在征求意见中无重大意见分歧。</w:t>
      </w:r>
    </w:p>
    <w:p w14:paraId="2526E9FB">
      <w:pPr>
        <w:spacing w:line="480" w:lineRule="exact"/>
        <w:ind w:firstLine="560" w:firstLineChars="200"/>
        <w:rPr>
          <w:rFonts w:hint="eastAsia" w:ascii="仿宋_GB2312" w:hAnsi="宋体" w:eastAsia="仿宋_GB2312" w:cs="Times New Roman"/>
          <w:sz w:val="28"/>
          <w:szCs w:val="28"/>
          <w:lang w:val="en-US" w:eastAsia="zh-CN"/>
        </w:rPr>
      </w:pPr>
      <w:bookmarkStart w:id="5" w:name="_Hlk169518761"/>
      <w:r>
        <w:rPr>
          <w:rFonts w:hint="eastAsia" w:ascii="仿宋_GB2312" w:hAnsi="宋体" w:eastAsia="仿宋_GB2312" w:cs="Times New Roman"/>
          <w:sz w:val="28"/>
          <w:szCs w:val="28"/>
          <w:lang w:val="en-US" w:eastAsia="zh-CN"/>
        </w:rPr>
        <w:t>标准形成过程中，编写组先后向山西省农业厅和山西农业大学土壤与肥料、种子管理专家征求意见。发送征求意见稿6个，收到征求意见稿6个，有意见或建议的6个，没有回函的0个。编写组对收集回来的意见进行了分类、归纳，针对每一条意见都进行了相应的回复。具体修改意见见附件（征求意见汇总处理表）。</w:t>
      </w:r>
      <w:bookmarkEnd w:id="5"/>
    </w:p>
    <w:p w14:paraId="5A88B454">
      <w:pPr>
        <w:spacing w:line="600" w:lineRule="exact"/>
        <w:ind w:right="17" w:firstLine="480" w:firstLineChars="150"/>
        <w:rPr>
          <w:rFonts w:hint="eastAsia" w:ascii="黑体" w:hAnsi="黑体" w:eastAsia="黑体" w:cs="宋体"/>
          <w:bCs/>
          <w:sz w:val="32"/>
          <w:szCs w:val="32"/>
        </w:rPr>
      </w:pPr>
      <w:r>
        <w:rPr>
          <w:rFonts w:hint="eastAsia" w:ascii="黑体" w:hAnsi="黑体" w:eastAsia="黑体" w:cs="宋体"/>
          <w:bCs/>
          <w:sz w:val="32"/>
          <w:szCs w:val="32"/>
        </w:rPr>
        <w:t>七、采标情况，是否合规引用或采用国际标准和国外先进标准，以及与国内外同类标准水平的对比情况</w:t>
      </w:r>
    </w:p>
    <w:p w14:paraId="74E04A74">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本规程未引用或采用国际标准和国外先进标准。</w:t>
      </w:r>
    </w:p>
    <w:p w14:paraId="6E362C8B">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本规程遵循行业标准《测土配方施肥技术规程》（NY/T 2911-2016）在测土配方施肥技术方面的相关规定，主要技术指标和关键技术的提出基于本标准起草工作组的研究成果、推广数据总结。本规范与《测土配方施肥技术规范》（NY/T 2911-2016）比较，主要区别是制定了适应于山西省境内盐碱耕地的测土配方施肥，提出了土壤盐化和碱化分级指标、盐碱耕地土壤养分分级指标和盐碱耕地几种作物施肥量及施肥方法。</w:t>
      </w:r>
    </w:p>
    <w:p w14:paraId="1838FEDB">
      <w:pPr>
        <w:pStyle w:val="13"/>
        <w:numPr>
          <w:ilvl w:val="1"/>
          <w:numId w:val="0"/>
        </w:numPr>
        <w:spacing w:before="0" w:beforeLines="0" w:after="0" w:afterLines="0" w:line="600" w:lineRule="exact"/>
        <w:ind w:firstLine="640" w:firstLineChars="200"/>
        <w:rPr>
          <w:rFonts w:hint="eastAsia" w:hAnsi="黑体" w:cs="黑体"/>
          <w:kern w:val="2"/>
          <w:sz w:val="32"/>
          <w:szCs w:val="32"/>
        </w:rPr>
      </w:pPr>
      <w:r>
        <w:rPr>
          <w:rFonts w:hint="eastAsia" w:hAnsi="黑体" w:cs="黑体"/>
          <w:kern w:val="2"/>
          <w:sz w:val="32"/>
          <w:szCs w:val="32"/>
        </w:rPr>
        <w:t>八、作为推荐性标准或者强制性标准的建议及其理由</w:t>
      </w:r>
    </w:p>
    <w:p w14:paraId="6EDB1E2B">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本标准为推荐性地方标准。</w:t>
      </w:r>
    </w:p>
    <w:p w14:paraId="5DC0E07D">
      <w:pPr>
        <w:pStyle w:val="13"/>
        <w:numPr>
          <w:ilvl w:val="1"/>
          <w:numId w:val="0"/>
        </w:numPr>
        <w:spacing w:before="0" w:beforeLines="0" w:after="0" w:afterLines="0" w:line="600" w:lineRule="exact"/>
        <w:ind w:firstLine="640" w:firstLineChars="200"/>
        <w:rPr>
          <w:rFonts w:hint="eastAsia" w:hAnsi="黑体" w:cs="黑体"/>
          <w:kern w:val="2"/>
          <w:sz w:val="32"/>
          <w:szCs w:val="32"/>
        </w:rPr>
      </w:pPr>
      <w:r>
        <w:rPr>
          <w:rFonts w:hint="eastAsia" w:hAnsi="黑体" w:cs="黑体"/>
          <w:kern w:val="2"/>
          <w:sz w:val="32"/>
          <w:szCs w:val="32"/>
          <w:lang w:val="en-US" w:eastAsia="zh-CN"/>
        </w:rPr>
        <w:t>九</w:t>
      </w:r>
      <w:r>
        <w:rPr>
          <w:rFonts w:hint="eastAsia" w:hAnsi="黑体" w:cs="黑体"/>
          <w:kern w:val="2"/>
          <w:sz w:val="32"/>
          <w:szCs w:val="32"/>
        </w:rPr>
        <w:t>、实施标准的措施建议</w:t>
      </w:r>
    </w:p>
    <w:p w14:paraId="0995E493">
      <w:pPr>
        <w:spacing w:line="480" w:lineRule="exact"/>
        <w:ind w:firstLine="560" w:firstLineChars="200"/>
        <w:rPr>
          <w:rFonts w:hint="eastAsia" w:ascii="仿宋_GB2312" w:hAnsi="宋体" w:eastAsia="仿宋_GB2312" w:cs="Times New Roman"/>
          <w:sz w:val="28"/>
          <w:szCs w:val="28"/>
          <w:lang w:val="en-US" w:eastAsia="zh-CN"/>
        </w:rPr>
      </w:pPr>
      <w:r>
        <w:rPr>
          <w:rFonts w:hint="eastAsia" w:ascii="仿宋_GB2312" w:hAnsi="宋体" w:eastAsia="仿宋_GB2312" w:cs="Times New Roman"/>
          <w:sz w:val="28"/>
          <w:szCs w:val="28"/>
          <w:lang w:val="en-US" w:eastAsia="zh-CN"/>
        </w:rPr>
        <w:t>1）与盐碱耕地面积大的区域政府部门进行联系、沟通，通过广播、电视、网络、微信、发放宣传资料等方式进行广泛宣传，扩大技术推广范围。</w:t>
      </w:r>
    </w:p>
    <w:p w14:paraId="516D206C">
      <w:pPr>
        <w:spacing w:line="480" w:lineRule="exact"/>
        <w:ind w:firstLine="560" w:firstLineChars="200"/>
        <w:rPr>
          <w:rFonts w:hint="eastAsia" w:ascii="仿宋_GB2312" w:hAnsi="宋体" w:eastAsia="仿宋_GB2312" w:cs="Times New Roman"/>
          <w:sz w:val="28"/>
          <w:szCs w:val="28"/>
          <w:lang w:val="en-US" w:eastAsia="zh-CN"/>
        </w:rPr>
        <w:sectPr>
          <w:footerReference r:id="rId3" w:type="default"/>
          <w:pgSz w:w="11906" w:h="16838"/>
          <w:pgMar w:top="1134" w:right="1134" w:bottom="1134" w:left="1417" w:header="851" w:footer="992" w:gutter="0"/>
          <w:pgNumType w:fmt="decimal"/>
          <w:cols w:space="0" w:num="1"/>
          <w:docGrid w:type="linesAndChars" w:linePitch="319" w:charSpace="0"/>
        </w:sectPr>
      </w:pPr>
      <w:r>
        <w:rPr>
          <w:rFonts w:hint="eastAsia" w:ascii="仿宋_GB2312" w:hAnsi="宋体" w:eastAsia="仿宋_GB2312" w:cs="Times New Roman"/>
          <w:sz w:val="28"/>
          <w:szCs w:val="28"/>
          <w:lang w:val="en-US" w:eastAsia="zh-CN"/>
        </w:rPr>
        <w:t>2）本单位能利用已有的示范基地开展广泛宣传和推广，进行培训学习和现场指导，准确掌握本标准的内容和要求，快速推动本标准技术的生产应用。</w:t>
      </w:r>
    </w:p>
    <w:p w14:paraId="7E5DDD62">
      <w:pPr>
        <w:spacing w:line="480" w:lineRule="exact"/>
        <w:ind w:firstLine="560" w:firstLineChars="200"/>
        <w:rPr>
          <w:rFonts w:hint="eastAsia" w:ascii="仿宋_GB2312" w:hAnsi="宋体" w:eastAsia="仿宋_GB2312" w:cs="Times New Roman"/>
          <w:sz w:val="28"/>
          <w:szCs w:val="28"/>
          <w:lang w:val="en-US" w:eastAsia="zh-CN"/>
        </w:rPr>
      </w:pPr>
    </w:p>
    <w:p w14:paraId="2E115D6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附表</w:t>
      </w:r>
    </w:p>
    <w:p w14:paraId="782588DF">
      <w:pPr>
        <w:snapToGrid w:val="0"/>
        <w:spacing w:line="360" w:lineRule="auto"/>
        <w:jc w:val="center"/>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《盐碱耕地测土配方施肥技术规程》征求意见汇总处理表</w:t>
      </w:r>
    </w:p>
    <w:p w14:paraId="40EC9FD3">
      <w:pPr>
        <w:snapToGrid w:val="0"/>
        <w:spacing w:line="360" w:lineRule="auto"/>
        <w:ind w:firstLine="240" w:firstLineChars="100"/>
        <w:rPr>
          <w:rFonts w:ascii="Times New Roman" w:hAnsi="Times New Roman" w:cs="Times New Roman"/>
          <w:sz w:val="24"/>
        </w:rPr>
      </w:pPr>
      <w:r>
        <w:rPr>
          <w:rFonts w:hint="eastAsia" w:ascii="Times New Roman" w:hAnsi="Times New Roman" w:cs="Times New Roman"/>
          <w:sz w:val="24"/>
        </w:rPr>
        <w:t>起草单位：</w:t>
      </w:r>
      <w:r>
        <w:rPr>
          <w:rFonts w:hint="eastAsia" w:ascii="Times New Roman" w:hAnsi="Times New Roman" w:cs="Times New Roman"/>
          <w:sz w:val="24"/>
          <w:lang w:val="en-US" w:eastAsia="zh-CN"/>
        </w:rPr>
        <w:t>山西农业大学</w:t>
      </w:r>
      <w:r>
        <w:rPr>
          <w:rFonts w:hint="eastAsia" w:ascii="Times New Roman" w:hAnsi="Times New Roman" w:cs="Times New Roman"/>
          <w:sz w:val="24"/>
        </w:rPr>
        <w:t xml:space="preserve">        承办人：</w:t>
      </w:r>
      <w:r>
        <w:rPr>
          <w:rFonts w:hint="eastAsia" w:ascii="Times New Roman" w:hAnsi="Times New Roman" w:cs="Times New Roman"/>
          <w:sz w:val="24"/>
          <w:lang w:val="en-US" w:eastAsia="zh-CN"/>
        </w:rPr>
        <w:t>滑小赞</w:t>
      </w:r>
      <w:r>
        <w:rPr>
          <w:rFonts w:hint="eastAsia" w:ascii="Times New Roman" w:hAnsi="Times New Roman" w:cs="Times New Roman"/>
          <w:sz w:val="24"/>
        </w:rPr>
        <w:t xml:space="preserve">         联系电话：</w:t>
      </w:r>
      <w:r>
        <w:rPr>
          <w:rFonts w:hint="eastAsia" w:ascii="Times New Roman" w:hAnsi="Times New Roman" w:cs="Times New Roman"/>
          <w:sz w:val="24"/>
          <w:lang w:val="en-US" w:eastAsia="zh-CN"/>
        </w:rPr>
        <w:t>13485373206</w:t>
      </w:r>
      <w:r>
        <w:rPr>
          <w:rFonts w:hint="eastAsia" w:ascii="Times New Roman" w:hAnsi="Times New Roman" w:cs="Times New Roman"/>
          <w:sz w:val="24"/>
        </w:rPr>
        <w:t xml:space="preserve">         填写时间：</w:t>
      </w:r>
      <w:r>
        <w:rPr>
          <w:rFonts w:hint="eastAsia" w:ascii="Times New Roman" w:hAnsi="Times New Roman" w:cs="Times New Roman"/>
          <w:sz w:val="24"/>
          <w:lang w:val="en-US" w:eastAsia="zh-CN"/>
        </w:rPr>
        <w:t>2024</w:t>
      </w:r>
      <w:r>
        <w:rPr>
          <w:rFonts w:hint="eastAsia" w:ascii="Times New Roman" w:hAnsi="Times New Roman" w:cs="Times New Roman"/>
          <w:sz w:val="24"/>
        </w:rPr>
        <w:t>年</w:t>
      </w:r>
      <w:r>
        <w:rPr>
          <w:rFonts w:hint="eastAsia" w:ascii="Times New Roman" w:hAnsi="Times New Roman" w:cs="Times New Roman"/>
          <w:sz w:val="24"/>
          <w:lang w:val="en-US" w:eastAsia="zh-CN"/>
        </w:rPr>
        <w:t>10</w:t>
      </w:r>
      <w:r>
        <w:rPr>
          <w:rFonts w:hint="eastAsia" w:ascii="Times New Roman" w:hAnsi="Times New Roman" w:cs="Times New Roman"/>
          <w:sz w:val="24"/>
        </w:rPr>
        <w:t>月</w:t>
      </w:r>
      <w:r>
        <w:rPr>
          <w:rFonts w:hint="eastAsia" w:ascii="Times New Roman" w:hAnsi="Times New Roman" w:cs="Times New Roman"/>
          <w:sz w:val="24"/>
          <w:lang w:val="en-US" w:eastAsia="zh-CN"/>
        </w:rPr>
        <w:t>29</w:t>
      </w:r>
      <w:r>
        <w:rPr>
          <w:rFonts w:hint="eastAsia" w:ascii="Times New Roman" w:hAnsi="Times New Roman" w:cs="Times New Roman"/>
          <w:sz w:val="24"/>
        </w:rPr>
        <w:t>日</w:t>
      </w:r>
    </w:p>
    <w:tbl>
      <w:tblPr>
        <w:tblStyle w:val="8"/>
        <w:tblW w:w="14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130"/>
        <w:gridCol w:w="3525"/>
        <w:gridCol w:w="3377"/>
        <w:gridCol w:w="1905"/>
        <w:gridCol w:w="2455"/>
      </w:tblGrid>
      <w:tr w14:paraId="4D03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noWrap w:val="0"/>
            <w:vAlign w:val="center"/>
          </w:tcPr>
          <w:p w14:paraId="1F6B008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2130" w:type="dxa"/>
            <w:noWrap w:val="0"/>
            <w:vAlign w:val="center"/>
          </w:tcPr>
          <w:p w14:paraId="41D13454">
            <w:pPr>
              <w:jc w:val="center"/>
              <w:rPr>
                <w:rFonts w:hint="eastAsia" w:ascii="宋体" w:hAnsi="宋体" w:eastAsia="宋体" w:cs="宋体"/>
                <w:sz w:val="21"/>
                <w:szCs w:val="21"/>
              </w:rPr>
            </w:pPr>
            <w:r>
              <w:rPr>
                <w:rFonts w:hint="eastAsia" w:ascii="宋体" w:hAnsi="宋体" w:eastAsia="宋体" w:cs="宋体"/>
                <w:sz w:val="21"/>
                <w:szCs w:val="21"/>
              </w:rPr>
              <w:t>标准章条编号</w:t>
            </w:r>
          </w:p>
        </w:tc>
        <w:tc>
          <w:tcPr>
            <w:tcW w:w="3525" w:type="dxa"/>
            <w:noWrap w:val="0"/>
            <w:vAlign w:val="center"/>
          </w:tcPr>
          <w:p w14:paraId="08D3E915">
            <w:pPr>
              <w:jc w:val="center"/>
              <w:rPr>
                <w:rFonts w:hint="eastAsia" w:ascii="宋体" w:hAnsi="宋体" w:eastAsia="宋体" w:cs="宋体"/>
                <w:sz w:val="21"/>
                <w:szCs w:val="21"/>
              </w:rPr>
            </w:pPr>
            <w:r>
              <w:rPr>
                <w:rFonts w:hint="eastAsia" w:ascii="宋体" w:hAnsi="宋体" w:eastAsia="宋体" w:cs="宋体"/>
                <w:sz w:val="21"/>
                <w:szCs w:val="21"/>
              </w:rPr>
              <w:t>意见内容</w:t>
            </w:r>
          </w:p>
        </w:tc>
        <w:tc>
          <w:tcPr>
            <w:tcW w:w="3377" w:type="dxa"/>
            <w:noWrap w:val="0"/>
            <w:vAlign w:val="center"/>
          </w:tcPr>
          <w:p w14:paraId="13863E91">
            <w:pPr>
              <w:jc w:val="center"/>
              <w:rPr>
                <w:rFonts w:hint="eastAsia" w:ascii="宋体" w:hAnsi="宋体" w:eastAsia="宋体" w:cs="宋体"/>
                <w:sz w:val="21"/>
                <w:szCs w:val="21"/>
              </w:rPr>
            </w:pPr>
            <w:r>
              <w:rPr>
                <w:rFonts w:hint="eastAsia" w:ascii="宋体" w:hAnsi="宋体" w:eastAsia="宋体" w:cs="宋体"/>
                <w:sz w:val="21"/>
                <w:szCs w:val="21"/>
              </w:rPr>
              <w:t>提出单位</w:t>
            </w:r>
          </w:p>
          <w:p w14:paraId="67B279D3">
            <w:pPr>
              <w:jc w:val="center"/>
              <w:rPr>
                <w:rFonts w:hint="eastAsia" w:ascii="宋体" w:hAnsi="宋体" w:eastAsia="宋体" w:cs="宋体"/>
                <w:sz w:val="21"/>
                <w:szCs w:val="21"/>
              </w:rPr>
            </w:pPr>
            <w:r>
              <w:rPr>
                <w:rFonts w:hint="eastAsia" w:ascii="宋体" w:hAnsi="宋体" w:eastAsia="宋体" w:cs="宋体"/>
                <w:sz w:val="21"/>
                <w:szCs w:val="21"/>
              </w:rPr>
              <w:t>（或个人）</w:t>
            </w:r>
          </w:p>
        </w:tc>
        <w:tc>
          <w:tcPr>
            <w:tcW w:w="1905" w:type="dxa"/>
            <w:noWrap w:val="0"/>
            <w:vAlign w:val="center"/>
          </w:tcPr>
          <w:p w14:paraId="2E76396C">
            <w:pPr>
              <w:jc w:val="center"/>
              <w:rPr>
                <w:rFonts w:hint="eastAsia" w:ascii="宋体" w:hAnsi="宋体" w:eastAsia="宋体" w:cs="宋体"/>
                <w:sz w:val="21"/>
                <w:szCs w:val="21"/>
              </w:rPr>
            </w:pPr>
            <w:r>
              <w:rPr>
                <w:rFonts w:hint="eastAsia" w:ascii="宋体" w:hAnsi="宋体" w:eastAsia="宋体" w:cs="宋体"/>
                <w:sz w:val="21"/>
                <w:szCs w:val="21"/>
              </w:rPr>
              <w:t>处理意见</w:t>
            </w:r>
          </w:p>
          <w:p w14:paraId="379BCAC7">
            <w:pPr>
              <w:jc w:val="center"/>
              <w:rPr>
                <w:rFonts w:hint="eastAsia" w:ascii="宋体" w:hAnsi="宋体" w:eastAsia="宋体" w:cs="宋体"/>
                <w:sz w:val="21"/>
                <w:szCs w:val="21"/>
              </w:rPr>
            </w:pPr>
            <w:r>
              <w:rPr>
                <w:rFonts w:hint="eastAsia" w:ascii="宋体" w:hAnsi="宋体" w:eastAsia="宋体" w:cs="宋体"/>
                <w:sz w:val="21"/>
                <w:szCs w:val="21"/>
              </w:rPr>
              <w:t>（采纳/不采纳）</w:t>
            </w:r>
          </w:p>
        </w:tc>
        <w:tc>
          <w:tcPr>
            <w:tcW w:w="2455" w:type="dxa"/>
            <w:noWrap w:val="0"/>
            <w:vAlign w:val="center"/>
          </w:tcPr>
          <w:p w14:paraId="3E187B07">
            <w:pPr>
              <w:jc w:val="center"/>
              <w:rPr>
                <w:rFonts w:hint="eastAsia" w:ascii="宋体" w:hAnsi="宋体" w:eastAsia="宋体" w:cs="宋体"/>
                <w:sz w:val="21"/>
                <w:szCs w:val="21"/>
              </w:rPr>
            </w:pPr>
            <w:r>
              <w:rPr>
                <w:rFonts w:hint="eastAsia" w:ascii="宋体" w:hAnsi="宋体" w:eastAsia="宋体" w:cs="宋体"/>
                <w:sz w:val="21"/>
                <w:szCs w:val="21"/>
              </w:rPr>
              <w:t>意见处理说明</w:t>
            </w:r>
          </w:p>
          <w:p w14:paraId="08979683">
            <w:pPr>
              <w:jc w:val="center"/>
              <w:rPr>
                <w:rFonts w:hint="eastAsia" w:ascii="宋体" w:hAnsi="宋体" w:eastAsia="宋体" w:cs="宋体"/>
                <w:sz w:val="21"/>
                <w:szCs w:val="21"/>
              </w:rPr>
            </w:pPr>
            <w:r>
              <w:rPr>
                <w:rFonts w:hint="eastAsia" w:ascii="宋体" w:hAnsi="宋体" w:eastAsia="宋体" w:cs="宋体"/>
                <w:sz w:val="21"/>
                <w:szCs w:val="21"/>
              </w:rPr>
              <w:t>（不采纳理由等）</w:t>
            </w:r>
          </w:p>
        </w:tc>
      </w:tr>
      <w:tr w14:paraId="4FE8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noWrap w:val="0"/>
            <w:vAlign w:val="center"/>
          </w:tcPr>
          <w:p w14:paraId="5AC559B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130" w:type="dxa"/>
            <w:shd w:val="clear" w:color="auto" w:fill="auto"/>
            <w:noWrap w:val="0"/>
            <w:vAlign w:val="center"/>
          </w:tcPr>
          <w:p w14:paraId="6835F4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1范围</w:t>
            </w:r>
          </w:p>
        </w:tc>
        <w:tc>
          <w:tcPr>
            <w:tcW w:w="3525" w:type="dxa"/>
            <w:shd w:val="clear" w:color="auto" w:fill="auto"/>
            <w:noWrap w:val="0"/>
            <w:vAlign w:val="center"/>
          </w:tcPr>
          <w:p w14:paraId="070D28F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建议修订盐碱耕地测土配方施肥技术适用范围</w:t>
            </w:r>
          </w:p>
        </w:tc>
        <w:tc>
          <w:tcPr>
            <w:tcW w:w="3377" w:type="dxa"/>
            <w:shd w:val="clear"/>
            <w:noWrap w:val="0"/>
            <w:vAlign w:val="center"/>
          </w:tcPr>
          <w:p w14:paraId="6C1EDB4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山西省农技推广中心</w:t>
            </w:r>
          </w:p>
        </w:tc>
        <w:tc>
          <w:tcPr>
            <w:tcW w:w="1905" w:type="dxa"/>
            <w:shd w:val="clear"/>
            <w:noWrap w:val="0"/>
            <w:vAlign w:val="center"/>
          </w:tcPr>
          <w:p w14:paraId="2648334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采纳</w:t>
            </w:r>
          </w:p>
        </w:tc>
        <w:tc>
          <w:tcPr>
            <w:tcW w:w="2455" w:type="dxa"/>
            <w:noWrap w:val="0"/>
            <w:vAlign w:val="center"/>
          </w:tcPr>
          <w:p w14:paraId="27F35C7E">
            <w:pPr>
              <w:jc w:val="center"/>
              <w:rPr>
                <w:rFonts w:hint="eastAsia" w:ascii="宋体" w:hAnsi="宋体" w:eastAsia="宋体" w:cs="宋体"/>
                <w:sz w:val="21"/>
                <w:szCs w:val="21"/>
              </w:rPr>
            </w:pPr>
          </w:p>
        </w:tc>
      </w:tr>
      <w:tr w14:paraId="73D7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noWrap w:val="0"/>
            <w:vAlign w:val="center"/>
          </w:tcPr>
          <w:p w14:paraId="411978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130" w:type="dxa"/>
            <w:shd w:val="clear" w:color="auto" w:fill="auto"/>
            <w:noWrap w:val="0"/>
            <w:vAlign w:val="center"/>
          </w:tcPr>
          <w:p w14:paraId="40C60E5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5.1土壤样品采集</w:t>
            </w:r>
          </w:p>
        </w:tc>
        <w:tc>
          <w:tcPr>
            <w:tcW w:w="3525" w:type="dxa"/>
            <w:shd w:val="clear" w:color="auto" w:fill="auto"/>
            <w:noWrap w:val="0"/>
            <w:vAlign w:val="center"/>
          </w:tcPr>
          <w:p w14:paraId="6D9C685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修改完善“土壤样品采集”</w:t>
            </w:r>
          </w:p>
        </w:tc>
        <w:tc>
          <w:tcPr>
            <w:tcW w:w="3377" w:type="dxa"/>
            <w:shd w:val="clear"/>
            <w:noWrap w:val="0"/>
            <w:vAlign w:val="center"/>
          </w:tcPr>
          <w:p w14:paraId="4958314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山西省农技推广中心</w:t>
            </w:r>
          </w:p>
        </w:tc>
        <w:tc>
          <w:tcPr>
            <w:tcW w:w="1905" w:type="dxa"/>
            <w:shd w:val="clear"/>
            <w:noWrap w:val="0"/>
            <w:vAlign w:val="center"/>
          </w:tcPr>
          <w:p w14:paraId="68F2C49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采纳</w:t>
            </w:r>
          </w:p>
        </w:tc>
        <w:tc>
          <w:tcPr>
            <w:tcW w:w="2455" w:type="dxa"/>
            <w:noWrap w:val="0"/>
            <w:vAlign w:val="center"/>
          </w:tcPr>
          <w:p w14:paraId="5307E689">
            <w:pPr>
              <w:jc w:val="center"/>
              <w:rPr>
                <w:rFonts w:hint="eastAsia" w:ascii="宋体" w:hAnsi="宋体" w:eastAsia="宋体" w:cs="宋体"/>
                <w:sz w:val="21"/>
                <w:szCs w:val="21"/>
              </w:rPr>
            </w:pPr>
          </w:p>
        </w:tc>
      </w:tr>
      <w:tr w14:paraId="0156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88" w:type="dxa"/>
            <w:shd w:val="clear" w:color="auto" w:fill="auto"/>
            <w:noWrap w:val="0"/>
            <w:vAlign w:val="center"/>
          </w:tcPr>
          <w:p w14:paraId="08331EF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130" w:type="dxa"/>
            <w:shd w:val="clear" w:color="auto" w:fill="auto"/>
            <w:noWrap w:val="0"/>
            <w:vAlign w:val="center"/>
          </w:tcPr>
          <w:p w14:paraId="7A2AE35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5.1.7采样深度</w:t>
            </w:r>
          </w:p>
        </w:tc>
        <w:tc>
          <w:tcPr>
            <w:tcW w:w="3525" w:type="dxa"/>
            <w:shd w:val="clear" w:color="auto" w:fill="auto"/>
            <w:noWrap w:val="0"/>
            <w:vAlign w:val="center"/>
          </w:tcPr>
          <w:p w14:paraId="5AE4805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建议采样深度一致</w:t>
            </w:r>
          </w:p>
        </w:tc>
        <w:tc>
          <w:tcPr>
            <w:tcW w:w="3377" w:type="dxa"/>
            <w:noWrap w:val="0"/>
            <w:vAlign w:val="center"/>
          </w:tcPr>
          <w:p w14:paraId="725587FC">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山西农业大学果树研究所</w:t>
            </w:r>
          </w:p>
        </w:tc>
        <w:tc>
          <w:tcPr>
            <w:tcW w:w="1905" w:type="dxa"/>
            <w:noWrap w:val="0"/>
            <w:vAlign w:val="center"/>
          </w:tcPr>
          <w:p w14:paraId="655F133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03FC9AD7">
            <w:pPr>
              <w:jc w:val="center"/>
              <w:rPr>
                <w:rFonts w:hint="eastAsia" w:ascii="宋体" w:hAnsi="宋体" w:eastAsia="宋体" w:cs="宋体"/>
                <w:sz w:val="21"/>
                <w:szCs w:val="21"/>
              </w:rPr>
            </w:pPr>
          </w:p>
        </w:tc>
      </w:tr>
      <w:tr w14:paraId="461C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1060A80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130" w:type="dxa"/>
            <w:shd w:val="clear" w:color="auto" w:fill="auto"/>
            <w:noWrap w:val="0"/>
            <w:vAlign w:val="center"/>
          </w:tcPr>
          <w:p w14:paraId="626CF1A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5.2.2磨碎和过筛</w:t>
            </w:r>
          </w:p>
        </w:tc>
        <w:tc>
          <w:tcPr>
            <w:tcW w:w="3525" w:type="dxa"/>
            <w:shd w:val="clear" w:color="auto" w:fill="auto"/>
            <w:noWrap w:val="0"/>
            <w:vAlign w:val="center"/>
          </w:tcPr>
          <w:p w14:paraId="7460218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建议明确不同粒径的测定指标</w:t>
            </w:r>
          </w:p>
        </w:tc>
        <w:tc>
          <w:tcPr>
            <w:tcW w:w="3377" w:type="dxa"/>
            <w:noWrap w:val="0"/>
            <w:vAlign w:val="center"/>
          </w:tcPr>
          <w:p w14:paraId="5A0127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山西农业大学果树研究所</w:t>
            </w:r>
          </w:p>
        </w:tc>
        <w:tc>
          <w:tcPr>
            <w:tcW w:w="1905" w:type="dxa"/>
            <w:noWrap w:val="0"/>
            <w:vAlign w:val="center"/>
          </w:tcPr>
          <w:p w14:paraId="7C6756D1">
            <w:pPr>
              <w:jc w:val="center"/>
              <w:rPr>
                <w:rFonts w:hint="eastAsia" w:ascii="宋体" w:hAnsi="宋体" w:eastAsia="宋体" w:cs="宋体"/>
                <w:sz w:val="21"/>
                <w:szCs w:val="21"/>
                <w:lang w:val="en-US" w:eastAsia="zh-CN"/>
              </w:rPr>
            </w:pPr>
            <w:r>
              <w:rPr>
                <w:rFonts w:hint="eastAsia" w:ascii="宋体" w:hAnsi="宋体" w:eastAsia="宋体" w:cs="宋体"/>
                <w:sz w:val="21"/>
                <w:szCs w:val="21"/>
              </w:rPr>
              <w:t>不采纳</w:t>
            </w:r>
          </w:p>
        </w:tc>
        <w:tc>
          <w:tcPr>
            <w:tcW w:w="2455" w:type="dxa"/>
            <w:noWrap w:val="0"/>
            <w:vAlign w:val="center"/>
          </w:tcPr>
          <w:p w14:paraId="6960F77B">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因检测方法中对土壤粒径有明确要求。</w:t>
            </w:r>
          </w:p>
        </w:tc>
      </w:tr>
      <w:tr w14:paraId="1AF1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0F2C4B4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130" w:type="dxa"/>
            <w:shd w:val="clear" w:color="auto" w:fill="auto"/>
            <w:noWrap w:val="0"/>
            <w:vAlign w:val="center"/>
          </w:tcPr>
          <w:p w14:paraId="0BA63A4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6.2.2 电导率</w:t>
            </w:r>
          </w:p>
        </w:tc>
        <w:tc>
          <w:tcPr>
            <w:tcW w:w="3525" w:type="dxa"/>
            <w:shd w:val="clear" w:color="auto" w:fill="auto"/>
            <w:noWrap w:val="0"/>
            <w:vAlign w:val="center"/>
          </w:tcPr>
          <w:p w14:paraId="09C0873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建议采用《森林土壤水溶性盐分分析》（LY/T 1251-1999）</w:t>
            </w:r>
          </w:p>
        </w:tc>
        <w:tc>
          <w:tcPr>
            <w:tcW w:w="3377" w:type="dxa"/>
            <w:noWrap w:val="0"/>
            <w:vAlign w:val="center"/>
          </w:tcPr>
          <w:p w14:paraId="17C61311">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山西省检验检测中心农产品与农药土壤肥料检验技术研究所</w:t>
            </w:r>
          </w:p>
        </w:tc>
        <w:tc>
          <w:tcPr>
            <w:tcW w:w="1905" w:type="dxa"/>
            <w:noWrap w:val="0"/>
            <w:vAlign w:val="center"/>
          </w:tcPr>
          <w:p w14:paraId="7A4E90C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11135892">
            <w:pPr>
              <w:jc w:val="center"/>
              <w:rPr>
                <w:rFonts w:hint="eastAsia" w:ascii="宋体" w:hAnsi="宋体" w:eastAsia="宋体" w:cs="宋体"/>
                <w:sz w:val="21"/>
                <w:szCs w:val="21"/>
              </w:rPr>
            </w:pPr>
          </w:p>
        </w:tc>
      </w:tr>
      <w:tr w14:paraId="13F8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540898C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130" w:type="dxa"/>
            <w:shd w:val="clear" w:color="auto" w:fill="auto"/>
            <w:noWrap w:val="0"/>
            <w:vAlign w:val="center"/>
          </w:tcPr>
          <w:p w14:paraId="543883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6.2.4土壤交换性钾</w:t>
            </w:r>
          </w:p>
        </w:tc>
        <w:tc>
          <w:tcPr>
            <w:tcW w:w="3525" w:type="dxa"/>
            <w:shd w:val="clear" w:color="auto" w:fill="auto"/>
            <w:noWrap w:val="0"/>
            <w:vAlign w:val="center"/>
          </w:tcPr>
          <w:p w14:paraId="15BA18E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建议采用《石灰性土壤交换性盐基及盐基总量的测定》（NY/T 1615-2008）</w:t>
            </w:r>
          </w:p>
        </w:tc>
        <w:tc>
          <w:tcPr>
            <w:tcW w:w="3377" w:type="dxa"/>
            <w:noWrap w:val="0"/>
            <w:vAlign w:val="center"/>
          </w:tcPr>
          <w:p w14:paraId="16D06D7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山西省检验检测中心农产品与农药土壤肥料检验技术研究所</w:t>
            </w:r>
          </w:p>
        </w:tc>
        <w:tc>
          <w:tcPr>
            <w:tcW w:w="1905" w:type="dxa"/>
            <w:noWrap w:val="0"/>
            <w:vAlign w:val="center"/>
          </w:tcPr>
          <w:p w14:paraId="6A79916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5129F61E">
            <w:pPr>
              <w:jc w:val="center"/>
              <w:rPr>
                <w:rFonts w:hint="eastAsia" w:ascii="宋体" w:hAnsi="宋体" w:eastAsia="宋体" w:cs="宋体"/>
                <w:sz w:val="21"/>
                <w:szCs w:val="21"/>
              </w:rPr>
            </w:pPr>
          </w:p>
        </w:tc>
      </w:tr>
      <w:tr w14:paraId="1FD1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50DCC16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130" w:type="dxa"/>
            <w:shd w:val="clear" w:color="auto" w:fill="auto"/>
            <w:noWrap w:val="0"/>
            <w:vAlign w:val="center"/>
          </w:tcPr>
          <w:p w14:paraId="42F0EAF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6.2.7 土壤全氮</w:t>
            </w:r>
          </w:p>
        </w:tc>
        <w:tc>
          <w:tcPr>
            <w:tcW w:w="3525" w:type="dxa"/>
            <w:shd w:val="clear" w:color="auto" w:fill="auto"/>
            <w:noWrap w:val="0"/>
            <w:vAlign w:val="center"/>
          </w:tcPr>
          <w:p w14:paraId="18E61FC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“NY/T 53 土壤全氮测定”采用半微量开氏法，该方法已不适于目前的技术水平，建议替换为“NY/T 1121.24 土壤检测 第24部分：土壤全氮的测定自动定氮仪法”。</w:t>
            </w:r>
          </w:p>
        </w:tc>
        <w:tc>
          <w:tcPr>
            <w:tcW w:w="3377" w:type="dxa"/>
            <w:noWrap w:val="0"/>
            <w:vAlign w:val="center"/>
          </w:tcPr>
          <w:p w14:paraId="4D497EC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山西省检验检测中心农产品与农药土壤肥料检验技术研究所</w:t>
            </w:r>
          </w:p>
        </w:tc>
        <w:tc>
          <w:tcPr>
            <w:tcW w:w="1905" w:type="dxa"/>
            <w:noWrap w:val="0"/>
            <w:vAlign w:val="center"/>
          </w:tcPr>
          <w:p w14:paraId="3EDB21D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60B2DE0C">
            <w:pPr>
              <w:jc w:val="center"/>
              <w:rPr>
                <w:rFonts w:hint="eastAsia" w:ascii="宋体" w:hAnsi="宋体" w:eastAsia="宋体" w:cs="宋体"/>
                <w:sz w:val="21"/>
                <w:szCs w:val="21"/>
              </w:rPr>
            </w:pPr>
          </w:p>
        </w:tc>
      </w:tr>
      <w:tr w14:paraId="35AF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794C21CB">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130" w:type="dxa"/>
            <w:shd w:val="clear" w:color="auto" w:fill="auto"/>
            <w:noWrap w:val="0"/>
            <w:vAlign w:val="center"/>
          </w:tcPr>
          <w:p w14:paraId="708F994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7.1施肥原则</w:t>
            </w:r>
          </w:p>
        </w:tc>
        <w:tc>
          <w:tcPr>
            <w:tcW w:w="3525" w:type="dxa"/>
            <w:shd w:val="clear" w:color="auto" w:fill="auto"/>
            <w:noWrap w:val="0"/>
            <w:vAlign w:val="center"/>
          </w:tcPr>
          <w:p w14:paraId="3BC930A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修改完善施肥原则，确保符合生产实际和相关的标准要求。</w:t>
            </w:r>
          </w:p>
        </w:tc>
        <w:tc>
          <w:tcPr>
            <w:tcW w:w="3377" w:type="dxa"/>
            <w:shd w:val="clear"/>
            <w:noWrap w:val="0"/>
            <w:vAlign w:val="center"/>
          </w:tcPr>
          <w:p w14:paraId="25A9248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山西省农技推广中心</w:t>
            </w:r>
          </w:p>
        </w:tc>
        <w:tc>
          <w:tcPr>
            <w:tcW w:w="1905" w:type="dxa"/>
            <w:shd w:val="clear"/>
            <w:noWrap w:val="0"/>
            <w:vAlign w:val="center"/>
          </w:tcPr>
          <w:p w14:paraId="6BCA543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采纳</w:t>
            </w:r>
          </w:p>
        </w:tc>
        <w:tc>
          <w:tcPr>
            <w:tcW w:w="2455" w:type="dxa"/>
            <w:noWrap w:val="0"/>
            <w:vAlign w:val="center"/>
          </w:tcPr>
          <w:p w14:paraId="16718860">
            <w:pPr>
              <w:jc w:val="center"/>
              <w:rPr>
                <w:rFonts w:hint="eastAsia" w:ascii="宋体" w:hAnsi="宋体" w:eastAsia="宋体" w:cs="宋体"/>
                <w:sz w:val="21"/>
                <w:szCs w:val="21"/>
              </w:rPr>
            </w:pPr>
          </w:p>
        </w:tc>
      </w:tr>
      <w:tr w14:paraId="3AFB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88" w:type="dxa"/>
            <w:shd w:val="clear" w:color="auto" w:fill="auto"/>
            <w:noWrap w:val="0"/>
            <w:vAlign w:val="center"/>
          </w:tcPr>
          <w:p w14:paraId="5AA637D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130" w:type="dxa"/>
            <w:shd w:val="clear" w:color="auto" w:fill="auto"/>
            <w:noWrap w:val="0"/>
            <w:vAlign w:val="center"/>
          </w:tcPr>
          <w:p w14:paraId="7D62CFB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缺档案资料</w:t>
            </w:r>
          </w:p>
        </w:tc>
        <w:tc>
          <w:tcPr>
            <w:tcW w:w="3525" w:type="dxa"/>
            <w:shd w:val="clear" w:color="auto" w:fill="auto"/>
            <w:noWrap w:val="0"/>
            <w:vAlign w:val="center"/>
          </w:tcPr>
          <w:p w14:paraId="619593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再增加最后一章，生产档案。</w:t>
            </w:r>
          </w:p>
        </w:tc>
        <w:tc>
          <w:tcPr>
            <w:tcW w:w="3377" w:type="dxa"/>
            <w:noWrap w:val="0"/>
            <w:vAlign w:val="center"/>
          </w:tcPr>
          <w:p w14:paraId="79C68923">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山西省农作物种子质量检验中心</w:t>
            </w:r>
          </w:p>
        </w:tc>
        <w:tc>
          <w:tcPr>
            <w:tcW w:w="1905" w:type="dxa"/>
            <w:noWrap w:val="0"/>
            <w:vAlign w:val="center"/>
          </w:tcPr>
          <w:p w14:paraId="0A964EA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2D390F33">
            <w:pPr>
              <w:jc w:val="center"/>
              <w:rPr>
                <w:rFonts w:hint="eastAsia" w:ascii="宋体" w:hAnsi="宋体" w:eastAsia="宋体" w:cs="宋体"/>
                <w:sz w:val="21"/>
                <w:szCs w:val="21"/>
              </w:rPr>
            </w:pPr>
          </w:p>
        </w:tc>
      </w:tr>
      <w:tr w14:paraId="3261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88" w:type="dxa"/>
            <w:shd w:val="clear" w:color="auto" w:fill="auto"/>
            <w:noWrap w:val="0"/>
            <w:vAlign w:val="center"/>
          </w:tcPr>
          <w:p w14:paraId="494F45C2">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130" w:type="dxa"/>
            <w:shd w:val="clear" w:color="auto" w:fill="auto"/>
            <w:noWrap w:val="0"/>
            <w:vAlign w:val="center"/>
          </w:tcPr>
          <w:p w14:paraId="4D319D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附录B（资料性附录）</w:t>
            </w:r>
          </w:p>
        </w:tc>
        <w:tc>
          <w:tcPr>
            <w:tcW w:w="3525" w:type="dxa"/>
            <w:shd w:val="clear" w:color="auto" w:fill="auto"/>
            <w:noWrap w:val="0"/>
            <w:vAlign w:val="center"/>
          </w:tcPr>
          <w:p w14:paraId="547CE987">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建议电导率为参考值</w:t>
            </w:r>
          </w:p>
        </w:tc>
        <w:tc>
          <w:tcPr>
            <w:tcW w:w="3377" w:type="dxa"/>
            <w:noWrap w:val="0"/>
            <w:vAlign w:val="center"/>
          </w:tcPr>
          <w:p w14:paraId="226A77D2">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山西农业大学资源环境学院</w:t>
            </w:r>
          </w:p>
        </w:tc>
        <w:tc>
          <w:tcPr>
            <w:tcW w:w="1905" w:type="dxa"/>
            <w:noWrap w:val="0"/>
            <w:vAlign w:val="center"/>
          </w:tcPr>
          <w:p w14:paraId="28B5254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0B00641D">
            <w:pPr>
              <w:jc w:val="center"/>
              <w:rPr>
                <w:rFonts w:hint="eastAsia" w:ascii="宋体" w:hAnsi="宋体" w:eastAsia="宋体" w:cs="宋体"/>
                <w:sz w:val="21"/>
                <w:szCs w:val="21"/>
              </w:rPr>
            </w:pPr>
          </w:p>
        </w:tc>
      </w:tr>
      <w:tr w14:paraId="4F28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3D682D02">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11</w:t>
            </w:r>
            <w:bookmarkStart w:id="6" w:name="_GoBack"/>
            <w:bookmarkEnd w:id="6"/>
          </w:p>
        </w:tc>
        <w:tc>
          <w:tcPr>
            <w:tcW w:w="2130" w:type="dxa"/>
            <w:shd w:val="clear" w:color="auto" w:fill="auto"/>
            <w:noWrap w:val="0"/>
            <w:vAlign w:val="center"/>
          </w:tcPr>
          <w:p w14:paraId="5989F9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附录D</w:t>
            </w:r>
          </w:p>
        </w:tc>
        <w:tc>
          <w:tcPr>
            <w:tcW w:w="3525" w:type="dxa"/>
            <w:shd w:val="clear" w:color="auto" w:fill="auto"/>
            <w:noWrap w:val="0"/>
            <w:vAlign w:val="center"/>
          </w:tcPr>
          <w:p w14:paraId="3F1986F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此表内容为常识可不列，建议删除了“附录D（资料性附录）常见化学肥料有效养分含量”的内容。</w:t>
            </w:r>
          </w:p>
        </w:tc>
        <w:tc>
          <w:tcPr>
            <w:tcW w:w="3377" w:type="dxa"/>
            <w:noWrap w:val="0"/>
            <w:vAlign w:val="center"/>
          </w:tcPr>
          <w:p w14:paraId="719869E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山西省农作物种子质量检验中心</w:t>
            </w:r>
          </w:p>
        </w:tc>
        <w:tc>
          <w:tcPr>
            <w:tcW w:w="1905" w:type="dxa"/>
            <w:noWrap w:val="0"/>
            <w:vAlign w:val="center"/>
          </w:tcPr>
          <w:p w14:paraId="38DF900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398DC881">
            <w:pPr>
              <w:jc w:val="center"/>
              <w:rPr>
                <w:rFonts w:hint="eastAsia" w:ascii="宋体" w:hAnsi="宋体" w:eastAsia="宋体" w:cs="宋体"/>
                <w:sz w:val="21"/>
                <w:szCs w:val="21"/>
              </w:rPr>
            </w:pPr>
          </w:p>
        </w:tc>
      </w:tr>
      <w:tr w14:paraId="579E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988" w:type="dxa"/>
            <w:shd w:val="clear" w:color="auto" w:fill="auto"/>
            <w:noWrap w:val="0"/>
            <w:vAlign w:val="center"/>
          </w:tcPr>
          <w:p w14:paraId="39059CE9">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130" w:type="dxa"/>
            <w:shd w:val="clear" w:color="auto" w:fill="auto"/>
            <w:noWrap w:val="0"/>
            <w:vAlign w:val="center"/>
          </w:tcPr>
          <w:p w14:paraId="705ABC39">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修改“附录B”和“附录C”</w:t>
            </w:r>
          </w:p>
        </w:tc>
        <w:tc>
          <w:tcPr>
            <w:tcW w:w="3525" w:type="dxa"/>
            <w:shd w:val="clear" w:color="auto" w:fill="auto"/>
            <w:noWrap w:val="0"/>
            <w:vAlign w:val="center"/>
          </w:tcPr>
          <w:p w14:paraId="5949D360">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建议“附录B”和“附录C”作为“6 土壤检测”正文内容。</w:t>
            </w:r>
          </w:p>
        </w:tc>
        <w:tc>
          <w:tcPr>
            <w:tcW w:w="3377" w:type="dxa"/>
            <w:noWrap w:val="0"/>
            <w:vAlign w:val="center"/>
          </w:tcPr>
          <w:p w14:paraId="609F5DC2">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山西省植保中心</w:t>
            </w:r>
          </w:p>
        </w:tc>
        <w:tc>
          <w:tcPr>
            <w:tcW w:w="1905" w:type="dxa"/>
            <w:noWrap w:val="0"/>
            <w:vAlign w:val="center"/>
          </w:tcPr>
          <w:p w14:paraId="3A2F7D9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采纳</w:t>
            </w:r>
          </w:p>
        </w:tc>
        <w:tc>
          <w:tcPr>
            <w:tcW w:w="2455" w:type="dxa"/>
            <w:noWrap w:val="0"/>
            <w:vAlign w:val="center"/>
          </w:tcPr>
          <w:p w14:paraId="71CFC731">
            <w:pPr>
              <w:jc w:val="center"/>
              <w:rPr>
                <w:rFonts w:hint="eastAsia" w:ascii="宋体" w:hAnsi="宋体" w:eastAsia="宋体" w:cs="宋体"/>
                <w:sz w:val="21"/>
                <w:szCs w:val="21"/>
              </w:rPr>
            </w:pPr>
          </w:p>
        </w:tc>
      </w:tr>
      <w:tr w14:paraId="62A32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4380" w:type="dxa"/>
            <w:gridSpan w:val="6"/>
            <w:noWrap w:val="0"/>
            <w:vAlign w:val="center"/>
          </w:tcPr>
          <w:p w14:paraId="27D4C85A">
            <w:pPr>
              <w:spacing w:line="280" w:lineRule="exact"/>
              <w:jc w:val="both"/>
              <w:rPr>
                <w:rFonts w:hint="eastAsia" w:ascii="宋体" w:hAnsi="宋体" w:eastAsia="宋体" w:cs="宋体"/>
                <w:sz w:val="21"/>
                <w:szCs w:val="21"/>
              </w:rPr>
            </w:pPr>
            <w:r>
              <w:rPr>
                <w:rFonts w:hint="eastAsia" w:ascii="宋体" w:hAnsi="宋体" w:eastAsia="宋体" w:cs="宋体"/>
                <w:sz w:val="21"/>
                <w:szCs w:val="21"/>
              </w:rPr>
              <w:t>说明：1.针对明确回复无意见的单位，请在“意见内容”中注明无意见，在“提出单位”列出无意见单位名称。</w:t>
            </w:r>
          </w:p>
          <w:p w14:paraId="42C126DF">
            <w:pPr>
              <w:spacing w:line="280" w:lineRule="exact"/>
              <w:jc w:val="both"/>
              <w:rPr>
                <w:rFonts w:hint="eastAsia" w:ascii="宋体" w:hAnsi="宋体" w:eastAsia="宋体" w:cs="宋体"/>
                <w:sz w:val="21"/>
                <w:szCs w:val="21"/>
              </w:rPr>
            </w:pPr>
            <w:r>
              <w:rPr>
                <w:rFonts w:hint="eastAsia" w:ascii="宋体" w:hAnsi="宋体" w:eastAsia="宋体" w:cs="宋体"/>
                <w:sz w:val="21"/>
                <w:szCs w:val="21"/>
              </w:rPr>
              <w:t>2.发送征求意见单位数</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6</w:t>
            </w:r>
            <w:r>
              <w:rPr>
                <w:rFonts w:hint="eastAsia" w:ascii="宋体" w:hAnsi="宋体" w:eastAsia="宋体" w:cs="宋体"/>
                <w:sz w:val="21"/>
                <w:szCs w:val="21"/>
                <w:u w:val="single"/>
              </w:rPr>
              <w:t xml:space="preserve"> </w:t>
            </w:r>
            <w:r>
              <w:rPr>
                <w:rFonts w:hint="eastAsia" w:ascii="宋体" w:hAnsi="宋体" w:eastAsia="宋体" w:cs="宋体"/>
                <w:sz w:val="21"/>
                <w:szCs w:val="21"/>
              </w:rPr>
              <w:t>个，收到征求意见稿回函的单位数</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6</w:t>
            </w:r>
            <w:r>
              <w:rPr>
                <w:rFonts w:hint="eastAsia" w:ascii="宋体" w:hAnsi="宋体" w:eastAsia="宋体" w:cs="宋体"/>
                <w:sz w:val="21"/>
                <w:szCs w:val="21"/>
              </w:rPr>
              <w:t>个，收到征求意见稿并提出意见的单位数</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6</w:t>
            </w:r>
            <w:r>
              <w:rPr>
                <w:rFonts w:hint="eastAsia" w:ascii="宋体" w:hAnsi="宋体" w:eastAsia="宋体" w:cs="宋体"/>
                <w:sz w:val="21"/>
                <w:szCs w:val="21"/>
              </w:rPr>
              <w:t>个，没有回函的单位数</w:t>
            </w:r>
            <w:r>
              <w:rPr>
                <w:rFonts w:hint="eastAsia" w:ascii="宋体" w:hAnsi="宋体" w:eastAsia="宋体" w:cs="宋体"/>
                <w:sz w:val="21"/>
                <w:szCs w:val="21"/>
                <w:u w:val="single"/>
                <w:lang w:val="en-US" w:eastAsia="zh-CN"/>
              </w:rPr>
              <w:t>0</w:t>
            </w:r>
            <w:r>
              <w:rPr>
                <w:rFonts w:hint="eastAsia" w:ascii="宋体" w:hAnsi="宋体" w:eastAsia="宋体" w:cs="宋体"/>
                <w:sz w:val="21"/>
                <w:szCs w:val="21"/>
                <w:u w:val="single"/>
              </w:rPr>
              <w:t xml:space="preserve"> </w:t>
            </w:r>
            <w:r>
              <w:rPr>
                <w:rFonts w:hint="eastAsia" w:ascii="宋体" w:hAnsi="宋体" w:eastAsia="宋体" w:cs="宋体"/>
                <w:sz w:val="21"/>
                <w:szCs w:val="21"/>
              </w:rPr>
              <w:t>个，共收到</w:t>
            </w:r>
            <w:r>
              <w:rPr>
                <w:rFonts w:hint="eastAsia" w:ascii="宋体" w:hAnsi="宋体" w:eastAsia="宋体" w:cs="宋体"/>
                <w:sz w:val="21"/>
                <w:szCs w:val="21"/>
                <w:u w:val="single"/>
                <w:lang w:val="en-US" w:eastAsia="zh-CN"/>
              </w:rPr>
              <w:t>12</w:t>
            </w:r>
            <w:r>
              <w:rPr>
                <w:rFonts w:hint="eastAsia" w:ascii="宋体" w:hAnsi="宋体" w:eastAsia="宋体" w:cs="宋体"/>
                <w:sz w:val="21"/>
                <w:szCs w:val="21"/>
                <w:u w:val="single"/>
              </w:rPr>
              <w:t xml:space="preserve"> </w:t>
            </w:r>
            <w:r>
              <w:rPr>
                <w:rFonts w:hint="eastAsia" w:ascii="宋体" w:hAnsi="宋体" w:eastAsia="宋体" w:cs="宋体"/>
                <w:sz w:val="21"/>
                <w:szCs w:val="21"/>
              </w:rPr>
              <w:t>条意见，采纳</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12</w:t>
            </w:r>
            <w:r>
              <w:rPr>
                <w:rFonts w:hint="eastAsia" w:ascii="宋体" w:hAnsi="宋体" w:eastAsia="宋体" w:cs="宋体"/>
                <w:sz w:val="21"/>
                <w:szCs w:val="21"/>
                <w:u w:val="single"/>
              </w:rPr>
              <w:t xml:space="preserve"> </w:t>
            </w:r>
            <w:r>
              <w:rPr>
                <w:rFonts w:hint="eastAsia" w:ascii="宋体" w:hAnsi="宋体" w:eastAsia="宋体" w:cs="宋体"/>
                <w:sz w:val="21"/>
                <w:szCs w:val="21"/>
              </w:rPr>
              <w:t>条意见，部分采纳</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0</w:t>
            </w:r>
            <w:r>
              <w:rPr>
                <w:rFonts w:hint="eastAsia" w:ascii="宋体" w:hAnsi="宋体" w:eastAsia="宋体" w:cs="宋体"/>
                <w:sz w:val="21"/>
                <w:szCs w:val="21"/>
              </w:rPr>
              <w:t>条意见，未采纳</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0</w:t>
            </w:r>
            <w:r>
              <w:rPr>
                <w:rFonts w:hint="eastAsia" w:ascii="宋体" w:hAnsi="宋体" w:eastAsia="宋体" w:cs="宋体"/>
                <w:sz w:val="21"/>
                <w:szCs w:val="21"/>
              </w:rPr>
              <w:t>条意见。</w:t>
            </w:r>
          </w:p>
        </w:tc>
      </w:tr>
    </w:tbl>
    <w:p w14:paraId="76C0C101">
      <w:pPr>
        <w:rPr>
          <w:rFonts w:hint="eastAsia"/>
          <w:lang w:val="en-US" w:eastAsia="zh-CN"/>
        </w:rPr>
      </w:pPr>
    </w:p>
    <w:p w14:paraId="0F6E18FB">
      <w:pPr>
        <w:pStyle w:val="11"/>
        <w:rPr>
          <w:rFonts w:hint="eastAsia"/>
          <w:lang w:val="en-US" w:eastAsia="zh-CN"/>
        </w:rPr>
      </w:pPr>
    </w:p>
    <w:p w14:paraId="3C32BF60">
      <w:pPr>
        <w:pStyle w:val="14"/>
        <w:ind w:firstLine="0" w:firstLineChars="0"/>
        <w:rPr>
          <w:rFonts w:ascii="仿宋_GB2312" w:hAnsi="仿宋_GB2312" w:eastAsia="仿宋_GB2312" w:cs="仿宋_GB2312"/>
          <w:b/>
          <w:bCs/>
          <w:kern w:val="2"/>
          <w:sz w:val="32"/>
          <w:szCs w:val="32"/>
        </w:rPr>
      </w:pPr>
    </w:p>
    <w:p w14:paraId="3F54CB17">
      <w:pPr>
        <w:rPr>
          <w:rFonts w:ascii="Times New Roman" w:hAnsi="Times New Roman" w:cs="Times New Roman"/>
          <w:sz w:val="36"/>
          <w:szCs w:val="36"/>
        </w:rPr>
      </w:pPr>
    </w:p>
    <w:sectPr>
      <w:pgSz w:w="16838" w:h="11906" w:orient="landscape"/>
      <w:pgMar w:top="1417" w:right="1134" w:bottom="1134" w:left="1134" w:header="851" w:footer="992" w:gutter="0"/>
      <w:pgNumType w:fmt="decimal"/>
      <w:cols w:space="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B34B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61FE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961FE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CC0D6"/>
    <w:multiLevelType w:val="singleLevel"/>
    <w:tmpl w:val="9A2CC0D6"/>
    <w:lvl w:ilvl="0" w:tentative="0">
      <w:start w:val="1"/>
      <w:numFmt w:val="decimal"/>
      <w:suff w:val="nothing"/>
      <w:lvlText w:val="（%1）"/>
      <w:lvlJc w:val="left"/>
    </w:lvl>
  </w:abstractNum>
  <w:abstractNum w:abstractNumId="1">
    <w:nsid w:val="F861EA39"/>
    <w:multiLevelType w:val="singleLevel"/>
    <w:tmpl w:val="F861EA39"/>
    <w:lvl w:ilvl="0" w:tentative="0">
      <w:start w:val="4"/>
      <w:numFmt w:val="decimal"/>
      <w:suff w:val="nothing"/>
      <w:lvlText w:val="%1、"/>
      <w:lvlJc w:val="left"/>
    </w:lvl>
  </w:abstractNum>
  <w:abstractNum w:abstractNumId="2">
    <w:nsid w:val="132D6F0C"/>
    <w:multiLevelType w:val="singleLevel"/>
    <w:tmpl w:val="132D6F0C"/>
    <w:lvl w:ilvl="0" w:tentative="0">
      <w:start w:val="1"/>
      <w:numFmt w:val="decimal"/>
      <w:suff w:val="nothing"/>
      <w:lvlText w:val="%1、"/>
      <w:lvlJc w:val="left"/>
    </w:lvl>
  </w:abstractNum>
  <w:abstractNum w:abstractNumId="3">
    <w:nsid w:val="1FC91163"/>
    <w:multiLevelType w:val="multilevel"/>
    <w:tmpl w:val="1FC91163"/>
    <w:lvl w:ilvl="0" w:tentative="0">
      <w:start w:val="1"/>
      <w:numFmt w:val="decimal"/>
      <w:pStyle w:val="2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315"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52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646260FA"/>
    <w:multiLevelType w:val="multilevel"/>
    <w:tmpl w:val="646260FA"/>
    <w:lvl w:ilvl="0" w:tentative="0">
      <w:start w:val="1"/>
      <w:numFmt w:val="decimal"/>
      <w:pStyle w:val="3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13"/>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24"/>
      <w:suff w:val="nothing"/>
      <w:lvlText w:val="%1"/>
      <w:lvlJc w:val="left"/>
      <w:pPr>
        <w:ind w:left="0" w:firstLine="0"/>
      </w:pPr>
      <w:rPr>
        <w:rFonts w:hint="eastAsia"/>
      </w:rPr>
    </w:lvl>
    <w:lvl w:ilvl="1" w:tentative="0">
      <w:start w:val="1"/>
      <w:numFmt w:val="decimal"/>
      <w:pStyle w:val="22"/>
      <w:suff w:val="nothing"/>
      <w:lvlText w:val="%1%2　"/>
      <w:lvlJc w:val="left"/>
      <w:pPr>
        <w:ind w:left="0" w:firstLine="0"/>
      </w:pPr>
      <w:rPr>
        <w:rFonts w:hint="eastAsia" w:ascii="黑体" w:eastAsia="黑体"/>
        <w:b w:val="0"/>
        <w:i w:val="0"/>
        <w:sz w:val="21"/>
      </w:rPr>
    </w:lvl>
    <w:lvl w:ilvl="2" w:tentative="0">
      <w:start w:val="1"/>
      <w:numFmt w:val="decimal"/>
      <w:pStyle w:val="23"/>
      <w:suff w:val="nothing"/>
      <w:lvlText w:val="%3、"/>
      <w:lvlJc w:val="left"/>
      <w:rPr>
        <w:rFonts w:asciiTheme="minorHAnsi" w:hAnsiTheme="minorHAnsi" w:eastAsiaTheme="minorEastAsia" w:cstheme="minorBidi"/>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0" w:firstLine="0"/>
      </w:pPr>
      <w:rPr>
        <w:rFonts w:hint="eastAsia" w:ascii="黑体" w:eastAsia="黑体"/>
        <w:b w:val="0"/>
        <w:i w:val="0"/>
        <w:sz w:val="21"/>
      </w:rPr>
    </w:lvl>
    <w:lvl w:ilvl="5" w:tentative="0">
      <w:start w:val="1"/>
      <w:numFmt w:val="decimal"/>
      <w:pStyle w:val="20"/>
      <w:suff w:val="nothing"/>
      <w:lvlText w:val="%1%2.%3.%4.%5.%6　"/>
      <w:lvlJc w:val="left"/>
      <w:pPr>
        <w:ind w:left="0" w:firstLine="0"/>
      </w:pPr>
      <w:rPr>
        <w:rFonts w:hint="eastAsia" w:ascii="黑体" w:eastAsia="黑体"/>
        <w:b w:val="0"/>
        <w:i w:val="0"/>
        <w:sz w:val="21"/>
      </w:rPr>
    </w:lvl>
    <w:lvl w:ilvl="6" w:tentative="0">
      <w:start w:val="1"/>
      <w:numFmt w:val="decimal"/>
      <w:pStyle w:val="2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D6C3531"/>
    <w:multiLevelType w:val="singleLevel"/>
    <w:tmpl w:val="7D6C3531"/>
    <w:lvl w:ilvl="0" w:tentative="0">
      <w:start w:val="1"/>
      <w:numFmt w:val="decimal"/>
      <w:suff w:val="nothing"/>
      <w:lvlText w:val="（%1）"/>
      <w:lvlJc w:val="left"/>
    </w:lvl>
  </w:abstractNum>
  <w:num w:numId="1">
    <w:abstractNumId w:val="6"/>
  </w:num>
  <w:num w:numId="2">
    <w:abstractNumId w:val="4"/>
  </w:num>
  <w:num w:numId="3">
    <w:abstractNumId w:val="7"/>
  </w:num>
  <w:num w:numId="4">
    <w:abstractNumId w:val="3"/>
  </w:num>
  <w:num w:numId="5">
    <w:abstractNumId w:val="5"/>
  </w:num>
  <w:num w:numId="6">
    <w:abstractNumId w:val="1"/>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31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zYzU1MjkwZTJkYjI1MmM4YWM1ODQ1ZTZlYThiNjAifQ=="/>
  </w:docVars>
  <w:rsids>
    <w:rsidRoot w:val="009B1CD3"/>
    <w:rsid w:val="000003BB"/>
    <w:rsid w:val="0000127C"/>
    <w:rsid w:val="00003B99"/>
    <w:rsid w:val="00012EBD"/>
    <w:rsid w:val="000571DE"/>
    <w:rsid w:val="00057837"/>
    <w:rsid w:val="00064207"/>
    <w:rsid w:val="00087DE1"/>
    <w:rsid w:val="000A153D"/>
    <w:rsid w:val="000D5602"/>
    <w:rsid w:val="000E0515"/>
    <w:rsid w:val="000F02BA"/>
    <w:rsid w:val="00103748"/>
    <w:rsid w:val="00170463"/>
    <w:rsid w:val="001B000B"/>
    <w:rsid w:val="002021E3"/>
    <w:rsid w:val="0021489F"/>
    <w:rsid w:val="002158DD"/>
    <w:rsid w:val="0022154A"/>
    <w:rsid w:val="00243EDD"/>
    <w:rsid w:val="00263161"/>
    <w:rsid w:val="0029291E"/>
    <w:rsid w:val="002E2663"/>
    <w:rsid w:val="002E4CA3"/>
    <w:rsid w:val="00307C0B"/>
    <w:rsid w:val="003105C3"/>
    <w:rsid w:val="00321755"/>
    <w:rsid w:val="00323BD2"/>
    <w:rsid w:val="00325346"/>
    <w:rsid w:val="00333ABD"/>
    <w:rsid w:val="00396A0D"/>
    <w:rsid w:val="003B56D4"/>
    <w:rsid w:val="003C0DF2"/>
    <w:rsid w:val="003E7456"/>
    <w:rsid w:val="00407571"/>
    <w:rsid w:val="004337DE"/>
    <w:rsid w:val="00453457"/>
    <w:rsid w:val="00464B7D"/>
    <w:rsid w:val="004949E8"/>
    <w:rsid w:val="004C0C18"/>
    <w:rsid w:val="005069B0"/>
    <w:rsid w:val="005203E5"/>
    <w:rsid w:val="00530344"/>
    <w:rsid w:val="00545024"/>
    <w:rsid w:val="005B06A0"/>
    <w:rsid w:val="005B3558"/>
    <w:rsid w:val="005C3F1A"/>
    <w:rsid w:val="005C40BB"/>
    <w:rsid w:val="005C6843"/>
    <w:rsid w:val="005D145E"/>
    <w:rsid w:val="005D2854"/>
    <w:rsid w:val="005D7908"/>
    <w:rsid w:val="00641D22"/>
    <w:rsid w:val="006432FB"/>
    <w:rsid w:val="00657114"/>
    <w:rsid w:val="00661823"/>
    <w:rsid w:val="006740A9"/>
    <w:rsid w:val="00684253"/>
    <w:rsid w:val="00685498"/>
    <w:rsid w:val="006974CB"/>
    <w:rsid w:val="006C3A72"/>
    <w:rsid w:val="006C5EE4"/>
    <w:rsid w:val="00706965"/>
    <w:rsid w:val="0071637F"/>
    <w:rsid w:val="00724965"/>
    <w:rsid w:val="00731E1C"/>
    <w:rsid w:val="007946CF"/>
    <w:rsid w:val="007A454F"/>
    <w:rsid w:val="007A4884"/>
    <w:rsid w:val="007B4410"/>
    <w:rsid w:val="007E103C"/>
    <w:rsid w:val="00821CD0"/>
    <w:rsid w:val="00825122"/>
    <w:rsid w:val="00857AA6"/>
    <w:rsid w:val="0087499C"/>
    <w:rsid w:val="008878F9"/>
    <w:rsid w:val="008A3827"/>
    <w:rsid w:val="008A4466"/>
    <w:rsid w:val="008E260B"/>
    <w:rsid w:val="008E3236"/>
    <w:rsid w:val="008F5F8F"/>
    <w:rsid w:val="009000A2"/>
    <w:rsid w:val="009410E5"/>
    <w:rsid w:val="0095322A"/>
    <w:rsid w:val="00953A8E"/>
    <w:rsid w:val="009554DC"/>
    <w:rsid w:val="0096635A"/>
    <w:rsid w:val="0097715B"/>
    <w:rsid w:val="009B1CD3"/>
    <w:rsid w:val="009B3AC7"/>
    <w:rsid w:val="009B4858"/>
    <w:rsid w:val="009C2CFC"/>
    <w:rsid w:val="009D6418"/>
    <w:rsid w:val="009E10FD"/>
    <w:rsid w:val="009E433E"/>
    <w:rsid w:val="009F6BFB"/>
    <w:rsid w:val="00A00524"/>
    <w:rsid w:val="00A00EA1"/>
    <w:rsid w:val="00A1382A"/>
    <w:rsid w:val="00A53747"/>
    <w:rsid w:val="00A8099A"/>
    <w:rsid w:val="00A833A4"/>
    <w:rsid w:val="00A948A5"/>
    <w:rsid w:val="00AC2C32"/>
    <w:rsid w:val="00AD38FA"/>
    <w:rsid w:val="00AD4F21"/>
    <w:rsid w:val="00B05DA1"/>
    <w:rsid w:val="00B252B6"/>
    <w:rsid w:val="00B305A8"/>
    <w:rsid w:val="00B62E01"/>
    <w:rsid w:val="00B72B57"/>
    <w:rsid w:val="00BA2E74"/>
    <w:rsid w:val="00BA6D8B"/>
    <w:rsid w:val="00BB2517"/>
    <w:rsid w:val="00BB3B0A"/>
    <w:rsid w:val="00BE0565"/>
    <w:rsid w:val="00C83DCF"/>
    <w:rsid w:val="00C921A1"/>
    <w:rsid w:val="00CB02CB"/>
    <w:rsid w:val="00CD4E8D"/>
    <w:rsid w:val="00CD5866"/>
    <w:rsid w:val="00CD6411"/>
    <w:rsid w:val="00CE592F"/>
    <w:rsid w:val="00CF6D04"/>
    <w:rsid w:val="00D0328C"/>
    <w:rsid w:val="00D13294"/>
    <w:rsid w:val="00D17AB3"/>
    <w:rsid w:val="00D57878"/>
    <w:rsid w:val="00D60517"/>
    <w:rsid w:val="00D74685"/>
    <w:rsid w:val="00D916C2"/>
    <w:rsid w:val="00D9480D"/>
    <w:rsid w:val="00DA1625"/>
    <w:rsid w:val="00DC4357"/>
    <w:rsid w:val="00DD176B"/>
    <w:rsid w:val="00E20CFD"/>
    <w:rsid w:val="00EF3BDB"/>
    <w:rsid w:val="00F054F0"/>
    <w:rsid w:val="00F07576"/>
    <w:rsid w:val="00F3021F"/>
    <w:rsid w:val="00F3082E"/>
    <w:rsid w:val="00F4758A"/>
    <w:rsid w:val="00F513C9"/>
    <w:rsid w:val="00F650DB"/>
    <w:rsid w:val="00F74847"/>
    <w:rsid w:val="00F875A8"/>
    <w:rsid w:val="00FB1326"/>
    <w:rsid w:val="01170C55"/>
    <w:rsid w:val="016C0FA1"/>
    <w:rsid w:val="02181129"/>
    <w:rsid w:val="02890298"/>
    <w:rsid w:val="02D13633"/>
    <w:rsid w:val="033A6B36"/>
    <w:rsid w:val="04AA4B95"/>
    <w:rsid w:val="056A7055"/>
    <w:rsid w:val="05AA2531"/>
    <w:rsid w:val="070659F4"/>
    <w:rsid w:val="080B2B96"/>
    <w:rsid w:val="08144141"/>
    <w:rsid w:val="08C670A8"/>
    <w:rsid w:val="092375AE"/>
    <w:rsid w:val="0ABD0ABF"/>
    <w:rsid w:val="0B0B231A"/>
    <w:rsid w:val="0CC7352F"/>
    <w:rsid w:val="0D562B05"/>
    <w:rsid w:val="0E0662D9"/>
    <w:rsid w:val="0E161CEB"/>
    <w:rsid w:val="0EDB7766"/>
    <w:rsid w:val="0F2F360E"/>
    <w:rsid w:val="10F509CD"/>
    <w:rsid w:val="1143662A"/>
    <w:rsid w:val="116E2B13"/>
    <w:rsid w:val="122A5B3B"/>
    <w:rsid w:val="1245597B"/>
    <w:rsid w:val="12EB2CCF"/>
    <w:rsid w:val="12F26E2C"/>
    <w:rsid w:val="1376180B"/>
    <w:rsid w:val="14072DAB"/>
    <w:rsid w:val="14277DE3"/>
    <w:rsid w:val="14B4083D"/>
    <w:rsid w:val="15EC2259"/>
    <w:rsid w:val="16BF171B"/>
    <w:rsid w:val="17EA0A1A"/>
    <w:rsid w:val="17FF6273"/>
    <w:rsid w:val="185A794E"/>
    <w:rsid w:val="189015C1"/>
    <w:rsid w:val="18BA491E"/>
    <w:rsid w:val="18C748B7"/>
    <w:rsid w:val="19B06DBD"/>
    <w:rsid w:val="19DE5F80"/>
    <w:rsid w:val="1A144848"/>
    <w:rsid w:val="1AA475A6"/>
    <w:rsid w:val="1AB854CF"/>
    <w:rsid w:val="1B0A4AAE"/>
    <w:rsid w:val="1B803B6F"/>
    <w:rsid w:val="1C0E33F1"/>
    <w:rsid w:val="1D0C4F8F"/>
    <w:rsid w:val="1D3C1D18"/>
    <w:rsid w:val="1DDF3A69"/>
    <w:rsid w:val="1E5D3CA2"/>
    <w:rsid w:val="1F5462A7"/>
    <w:rsid w:val="1FF73CD4"/>
    <w:rsid w:val="20087C8F"/>
    <w:rsid w:val="22351DE9"/>
    <w:rsid w:val="22C01511"/>
    <w:rsid w:val="22C92D38"/>
    <w:rsid w:val="247A2D8C"/>
    <w:rsid w:val="24A4003B"/>
    <w:rsid w:val="2534536C"/>
    <w:rsid w:val="258B7398"/>
    <w:rsid w:val="25AE0002"/>
    <w:rsid w:val="25C603D0"/>
    <w:rsid w:val="25F409C0"/>
    <w:rsid w:val="261C26E6"/>
    <w:rsid w:val="26B81C12"/>
    <w:rsid w:val="26EC0B6F"/>
    <w:rsid w:val="276460F3"/>
    <w:rsid w:val="27870033"/>
    <w:rsid w:val="290731DA"/>
    <w:rsid w:val="2B1C6CE5"/>
    <w:rsid w:val="2C730B86"/>
    <w:rsid w:val="2C8856CB"/>
    <w:rsid w:val="2CC413E2"/>
    <w:rsid w:val="2E103685"/>
    <w:rsid w:val="2E8928E3"/>
    <w:rsid w:val="2EFB7502"/>
    <w:rsid w:val="2F083403"/>
    <w:rsid w:val="2F146650"/>
    <w:rsid w:val="2FFD4C41"/>
    <w:rsid w:val="30EB518F"/>
    <w:rsid w:val="313B4368"/>
    <w:rsid w:val="318B24CE"/>
    <w:rsid w:val="31A90131"/>
    <w:rsid w:val="334B4FFB"/>
    <w:rsid w:val="33CC4E93"/>
    <w:rsid w:val="33ED56C2"/>
    <w:rsid w:val="3434001E"/>
    <w:rsid w:val="36237179"/>
    <w:rsid w:val="362F3572"/>
    <w:rsid w:val="36A06A1C"/>
    <w:rsid w:val="376E08C8"/>
    <w:rsid w:val="37887747"/>
    <w:rsid w:val="37F92887"/>
    <w:rsid w:val="3A8A77C7"/>
    <w:rsid w:val="3A9E14C4"/>
    <w:rsid w:val="3AF143FE"/>
    <w:rsid w:val="3AF15A98"/>
    <w:rsid w:val="3B96156B"/>
    <w:rsid w:val="3C885411"/>
    <w:rsid w:val="3CD16428"/>
    <w:rsid w:val="3D233F03"/>
    <w:rsid w:val="3DF8713D"/>
    <w:rsid w:val="3E014244"/>
    <w:rsid w:val="3F4F503F"/>
    <w:rsid w:val="40FC32C7"/>
    <w:rsid w:val="41742F7F"/>
    <w:rsid w:val="41A2189A"/>
    <w:rsid w:val="41F1637D"/>
    <w:rsid w:val="42917C42"/>
    <w:rsid w:val="42F04887"/>
    <w:rsid w:val="449C4CC6"/>
    <w:rsid w:val="45800144"/>
    <w:rsid w:val="458A3886"/>
    <w:rsid w:val="45A32084"/>
    <w:rsid w:val="46715CDF"/>
    <w:rsid w:val="46843C64"/>
    <w:rsid w:val="472114B3"/>
    <w:rsid w:val="47673FB9"/>
    <w:rsid w:val="47AD2D46"/>
    <w:rsid w:val="48EB1D78"/>
    <w:rsid w:val="491017DF"/>
    <w:rsid w:val="49DC5B65"/>
    <w:rsid w:val="4A387015"/>
    <w:rsid w:val="4C261585"/>
    <w:rsid w:val="4CB84667"/>
    <w:rsid w:val="4CD945DE"/>
    <w:rsid w:val="4D5A74CD"/>
    <w:rsid w:val="4DD84A94"/>
    <w:rsid w:val="4E9E5ADF"/>
    <w:rsid w:val="4F4915A7"/>
    <w:rsid w:val="4FF82FCD"/>
    <w:rsid w:val="500D0625"/>
    <w:rsid w:val="503A4FF2"/>
    <w:rsid w:val="509024B7"/>
    <w:rsid w:val="515D1D77"/>
    <w:rsid w:val="52232583"/>
    <w:rsid w:val="52860D64"/>
    <w:rsid w:val="538216FA"/>
    <w:rsid w:val="540E2DBF"/>
    <w:rsid w:val="557B0928"/>
    <w:rsid w:val="55F86ABD"/>
    <w:rsid w:val="56075D18"/>
    <w:rsid w:val="574134AB"/>
    <w:rsid w:val="57FD3876"/>
    <w:rsid w:val="58315D0D"/>
    <w:rsid w:val="585711D8"/>
    <w:rsid w:val="5B0E7B48"/>
    <w:rsid w:val="5C57200E"/>
    <w:rsid w:val="5D415FB3"/>
    <w:rsid w:val="5DCA5FA9"/>
    <w:rsid w:val="5F423207"/>
    <w:rsid w:val="5F7C7776"/>
    <w:rsid w:val="60432042"/>
    <w:rsid w:val="6045455C"/>
    <w:rsid w:val="61E11B13"/>
    <w:rsid w:val="62715A3B"/>
    <w:rsid w:val="635B1A77"/>
    <w:rsid w:val="636C18B0"/>
    <w:rsid w:val="665C5C3A"/>
    <w:rsid w:val="68660FC4"/>
    <w:rsid w:val="68D25D4E"/>
    <w:rsid w:val="691B3B5C"/>
    <w:rsid w:val="696E0130"/>
    <w:rsid w:val="69A90B3A"/>
    <w:rsid w:val="6AE12B83"/>
    <w:rsid w:val="6BEE1258"/>
    <w:rsid w:val="6CE16E6B"/>
    <w:rsid w:val="6DC26C9C"/>
    <w:rsid w:val="6FB72CB5"/>
    <w:rsid w:val="704774D5"/>
    <w:rsid w:val="70967F6C"/>
    <w:rsid w:val="72670E3A"/>
    <w:rsid w:val="731E21A8"/>
    <w:rsid w:val="749D29D9"/>
    <w:rsid w:val="753F74E6"/>
    <w:rsid w:val="766C3C49"/>
    <w:rsid w:val="77040325"/>
    <w:rsid w:val="78B85264"/>
    <w:rsid w:val="78D41F79"/>
    <w:rsid w:val="791B1956"/>
    <w:rsid w:val="79D7587D"/>
    <w:rsid w:val="79DF4732"/>
    <w:rsid w:val="7A271E11"/>
    <w:rsid w:val="7B7B492E"/>
    <w:rsid w:val="7C75137E"/>
    <w:rsid w:val="7CE7227B"/>
    <w:rsid w:val="7E17403A"/>
    <w:rsid w:val="7E9C0E44"/>
    <w:rsid w:val="7F74591C"/>
    <w:rsid w:val="7F9A1827"/>
    <w:rsid w:val="7FEC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autoRedefine/>
    <w:qFormat/>
    <w:uiPriority w:val="0"/>
    <w:pPr>
      <w:tabs>
        <w:tab w:val="right" w:leader="dot" w:pos="9241"/>
      </w:tabs>
      <w:spacing w:line="360" w:lineRule="auto"/>
      <w:ind w:firstLine="480" w:firstLineChars="200"/>
      <w:jc w:val="left"/>
    </w:pPr>
    <w:rPr>
      <w:rFonts w:ascii="宋体" w:hAnsi="Times New Roman" w:eastAsia="宋体" w:cs="Times New Roman"/>
      <w:sz w:val="24"/>
    </w:rPr>
  </w:style>
  <w:style w:type="paragraph" w:styleId="3">
    <w:name w:val="Balloon Text"/>
    <w:basedOn w:val="1"/>
    <w:link w:val="28"/>
    <w:autoRedefine/>
    <w:qFormat/>
    <w:uiPriority w:val="0"/>
    <w:rPr>
      <w:sz w:val="18"/>
      <w:szCs w:val="18"/>
    </w:rPr>
  </w:style>
  <w:style w:type="paragraph" w:styleId="4">
    <w:name w:val="footer"/>
    <w:basedOn w:val="1"/>
    <w:autoRedefine/>
    <w:qFormat/>
    <w:uiPriority w:val="99"/>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next w:val="1"/>
    <w:qFormat/>
    <w:uiPriority w:val="0"/>
    <w:pPr>
      <w:spacing w:before="100" w:beforeAutospacing="1" w:after="100" w:afterAutospacing="1"/>
      <w:jc w:val="left"/>
    </w:pPr>
    <w:rPr>
      <w:rFonts w:cs="Times New Roman"/>
      <w:kern w:val="0"/>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qFormat/>
    <w:uiPriority w:val="0"/>
    <w:rPr>
      <w:color w:val="0000FF"/>
      <w:spacing w:val="0"/>
      <w:w w:val="100"/>
      <w:szCs w:val="21"/>
      <w:u w:val="single"/>
    </w:rPr>
  </w:style>
  <w:style w:type="paragraph" w:customStyle="1" w:styleId="11">
    <w:name w:val="正文首行缩进 21"/>
    <w:basedOn w:val="12"/>
    <w:next w:val="6"/>
    <w:qFormat/>
    <w:uiPriority w:val="0"/>
    <w:rPr>
      <w:rFonts w:eastAsia="仿宋_GB2312"/>
      <w:sz w:val="32"/>
      <w:szCs w:val="32"/>
    </w:rPr>
  </w:style>
  <w:style w:type="paragraph" w:customStyle="1" w:styleId="12">
    <w:name w:val="正文文本缩进1"/>
    <w:basedOn w:val="1"/>
    <w:autoRedefine/>
    <w:qFormat/>
    <w:uiPriority w:val="0"/>
    <w:pPr>
      <w:ind w:left="200" w:leftChars="200"/>
    </w:pPr>
    <w:rPr>
      <w:rFonts w:ascii="Calibri" w:hAnsi="Calibri" w:eastAsia="宋体" w:cs="Times New Roman"/>
    </w:rPr>
  </w:style>
  <w:style w:type="paragraph" w:customStyle="1" w:styleId="13">
    <w:name w:val="标准文件_附录一级条标题"/>
    <w:next w:val="14"/>
    <w:autoRedefine/>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4">
    <w:name w:val="标准文件_段"/>
    <w:link w:val="1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标准文件_附录表标题"/>
    <w:next w:val="14"/>
    <w:autoRedefine/>
    <w:qFormat/>
    <w:uiPriority w:val="0"/>
    <w:pPr>
      <w:numPr>
        <w:ilvl w:val="1"/>
        <w:numId w:val="2"/>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6">
    <w:name w:val="标准文件_表格"/>
    <w:basedOn w:val="14"/>
    <w:autoRedefine/>
    <w:qFormat/>
    <w:uiPriority w:val="0"/>
    <w:pPr>
      <w:ind w:firstLine="0" w:firstLineChars="0"/>
      <w:jc w:val="center"/>
    </w:pPr>
    <w:rPr>
      <w:sz w:val="18"/>
    </w:rPr>
  </w:style>
  <w:style w:type="character" w:customStyle="1" w:styleId="17">
    <w:name w:val="标准文件_段 Char"/>
    <w:link w:val="14"/>
    <w:autoRedefine/>
    <w:qFormat/>
    <w:uiPriority w:val="0"/>
    <w:rPr>
      <w:rFonts w:ascii="宋体"/>
      <w:sz w:val="21"/>
    </w:rPr>
  </w:style>
  <w:style w:type="paragraph" w:customStyle="1" w:styleId="18">
    <w:name w:val="标准文件_二级条标题"/>
    <w:next w:val="14"/>
    <w:autoRedefine/>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9">
    <w:name w:val="标准文件_三级条标题"/>
    <w:basedOn w:val="18"/>
    <w:next w:val="14"/>
    <w:autoRedefine/>
    <w:qFormat/>
    <w:uiPriority w:val="0"/>
    <w:pPr>
      <w:widowControl/>
      <w:numPr>
        <w:ilvl w:val="4"/>
      </w:numPr>
      <w:outlineLvl w:val="3"/>
    </w:pPr>
  </w:style>
  <w:style w:type="paragraph" w:customStyle="1" w:styleId="20">
    <w:name w:val="标准文件_四级条标题"/>
    <w:next w:val="14"/>
    <w:autoRedefine/>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1">
    <w:name w:val="标准文件_五级条标题"/>
    <w:next w:val="14"/>
    <w:autoRedefine/>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2">
    <w:name w:val="标准文件_章标题"/>
    <w:next w:val="14"/>
    <w:autoRedefine/>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3">
    <w:name w:val="标准文件_一级条标题"/>
    <w:basedOn w:val="22"/>
    <w:next w:val="14"/>
    <w:autoRedefine/>
    <w:qFormat/>
    <w:uiPriority w:val="0"/>
    <w:pPr>
      <w:numPr>
        <w:ilvl w:val="2"/>
      </w:numPr>
      <w:spacing w:before="50" w:beforeLines="50" w:after="50" w:afterLines="50"/>
      <w:outlineLvl w:val="1"/>
    </w:pPr>
  </w:style>
  <w:style w:type="paragraph" w:customStyle="1" w:styleId="24">
    <w:name w:val="前言标题"/>
    <w:next w:val="1"/>
    <w:autoRedefine/>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5">
    <w:name w:val="标准文件_一级无标题"/>
    <w:basedOn w:val="23"/>
    <w:autoRedefine/>
    <w:qFormat/>
    <w:uiPriority w:val="0"/>
    <w:pPr>
      <w:spacing w:before="0" w:beforeLines="0" w:after="0" w:afterLines="0"/>
      <w:outlineLvl w:val="9"/>
    </w:pPr>
    <w:rPr>
      <w:rFonts w:ascii="宋体" w:eastAsia="宋体"/>
    </w:rPr>
  </w:style>
  <w:style w:type="paragraph" w:customStyle="1" w:styleId="26">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7">
    <w:name w:val="段 Char"/>
    <w:basedOn w:val="9"/>
    <w:link w:val="26"/>
    <w:autoRedefine/>
    <w:qFormat/>
    <w:uiPriority w:val="0"/>
    <w:rPr>
      <w:rFonts w:ascii="宋体"/>
      <w:sz w:val="21"/>
    </w:rPr>
  </w:style>
  <w:style w:type="character" w:customStyle="1" w:styleId="28">
    <w:name w:val="批注框文本 字符"/>
    <w:basedOn w:val="9"/>
    <w:link w:val="3"/>
    <w:autoRedefine/>
    <w:qFormat/>
    <w:uiPriority w:val="0"/>
    <w:rPr>
      <w:rFonts w:asciiTheme="minorHAnsi" w:hAnsiTheme="minorHAnsi" w:eastAsiaTheme="minorEastAsia" w:cstheme="minorBidi"/>
      <w:kern w:val="2"/>
      <w:sz w:val="18"/>
      <w:szCs w:val="18"/>
    </w:rPr>
  </w:style>
  <w:style w:type="paragraph" w:customStyle="1" w:styleId="29">
    <w:name w:val="章标题"/>
    <w:next w:val="26"/>
    <w:autoRedefine/>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0">
    <w:name w:val="二级条标题"/>
    <w:basedOn w:val="31"/>
    <w:next w:val="26"/>
    <w:autoRedefine/>
    <w:qFormat/>
    <w:uiPriority w:val="0"/>
    <w:pPr>
      <w:numPr>
        <w:ilvl w:val="2"/>
      </w:numPr>
      <w:spacing w:before="50" w:after="50"/>
      <w:outlineLvl w:val="3"/>
    </w:pPr>
  </w:style>
  <w:style w:type="paragraph" w:customStyle="1" w:styleId="31">
    <w:name w:val="一级条标题"/>
    <w:next w:val="26"/>
    <w:autoRedefine/>
    <w:qFormat/>
    <w:uiPriority w:val="0"/>
    <w:pPr>
      <w:numPr>
        <w:ilvl w:val="1"/>
        <w:numId w:val="4"/>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2">
    <w:name w:val="正文表标题"/>
    <w:next w:val="26"/>
    <w:qFormat/>
    <w:uiPriority w:val="0"/>
    <w:pPr>
      <w:numPr>
        <w:ilvl w:val="0"/>
        <w:numId w:val="5"/>
      </w:numPr>
      <w:tabs>
        <w:tab w:val="left" w:pos="360"/>
      </w:tabs>
      <w:spacing w:before="156" w:beforeLines="50" w:after="156"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2320;&#26041;&#26631;&#20934;&#20462;&#35746;\20240510\&#30416;&#30897;&#22320;&#25968;&#25454;\&#30416;&#30897;&#22320;&#25152;&#26377;&#25968;&#2545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trendline>
            <c:trendlineType val="linear"/>
            <c:dispRSqr val="1"/>
            <c:dispEq val="1"/>
            <c:trendlineLbl>
              <c:layout>
                <c:manualLayout>
                  <c:x val="-0.0177631578947368"/>
                  <c:y val="-0.118028234205045"/>
                </c:manualLayout>
              </c:layout>
              <c:numFmt formatCode="General" sourceLinked="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trendlineLbl>
          </c:trendline>
          <c:xVal>
            <c:numRef>
              <c:f>[盐碱地所有数据.xls]Sheet1!$J$3:$J$322</c:f>
              <c:numCache>
                <c:formatCode>0.000_ </c:formatCode>
                <c:ptCount val="320"/>
                <c:pt idx="0">
                  <c:v>0.1848</c:v>
                </c:pt>
                <c:pt idx="1">
                  <c:v>0.401</c:v>
                </c:pt>
                <c:pt idx="2">
                  <c:v>0.517</c:v>
                </c:pt>
                <c:pt idx="3">
                  <c:v>0.285</c:v>
                </c:pt>
                <c:pt idx="4">
                  <c:v>0.1072</c:v>
                </c:pt>
                <c:pt idx="5">
                  <c:v>0.0992</c:v>
                </c:pt>
                <c:pt idx="6">
                  <c:v>0.1057</c:v>
                </c:pt>
                <c:pt idx="7">
                  <c:v>0.275</c:v>
                </c:pt>
                <c:pt idx="8">
                  <c:v>0.279</c:v>
                </c:pt>
                <c:pt idx="9">
                  <c:v>0.305</c:v>
                </c:pt>
                <c:pt idx="10">
                  <c:v>0.396</c:v>
                </c:pt>
                <c:pt idx="11">
                  <c:v>0.264</c:v>
                </c:pt>
                <c:pt idx="12">
                  <c:v>0.23</c:v>
                </c:pt>
                <c:pt idx="13">
                  <c:v>0.211</c:v>
                </c:pt>
                <c:pt idx="14">
                  <c:v>0.242</c:v>
                </c:pt>
                <c:pt idx="15">
                  <c:v>0.321</c:v>
                </c:pt>
                <c:pt idx="16">
                  <c:v>0.247</c:v>
                </c:pt>
                <c:pt idx="17">
                  <c:v>0.635</c:v>
                </c:pt>
                <c:pt idx="18">
                  <c:v>0.201</c:v>
                </c:pt>
                <c:pt idx="19">
                  <c:v>0.268</c:v>
                </c:pt>
                <c:pt idx="20">
                  <c:v>0.322</c:v>
                </c:pt>
                <c:pt idx="21">
                  <c:v>0.362</c:v>
                </c:pt>
                <c:pt idx="22">
                  <c:v>0.389</c:v>
                </c:pt>
                <c:pt idx="23">
                  <c:v>0.939</c:v>
                </c:pt>
                <c:pt idx="24">
                  <c:v>0.383</c:v>
                </c:pt>
                <c:pt idx="25">
                  <c:v>0.372</c:v>
                </c:pt>
                <c:pt idx="26">
                  <c:v>0.253</c:v>
                </c:pt>
                <c:pt idx="27">
                  <c:v>0.204</c:v>
                </c:pt>
                <c:pt idx="28">
                  <c:v>0.868</c:v>
                </c:pt>
                <c:pt idx="29">
                  <c:v>0.1425</c:v>
                </c:pt>
                <c:pt idx="30">
                  <c:v>0.1592</c:v>
                </c:pt>
                <c:pt idx="31">
                  <c:v>0.0946</c:v>
                </c:pt>
                <c:pt idx="32">
                  <c:v>0.0652</c:v>
                </c:pt>
                <c:pt idx="33">
                  <c:v>0.0717</c:v>
                </c:pt>
                <c:pt idx="34">
                  <c:v>0.0967</c:v>
                </c:pt>
                <c:pt idx="35">
                  <c:v>0.0883</c:v>
                </c:pt>
                <c:pt idx="36">
                  <c:v>0.0731</c:v>
                </c:pt>
                <c:pt idx="37">
                  <c:v>0.0617</c:v>
                </c:pt>
                <c:pt idx="38">
                  <c:v>0.0772</c:v>
                </c:pt>
                <c:pt idx="39">
                  <c:v>0.1103</c:v>
                </c:pt>
                <c:pt idx="40">
                  <c:v>0.49</c:v>
                </c:pt>
                <c:pt idx="41">
                  <c:v>0.1024</c:v>
                </c:pt>
                <c:pt idx="42">
                  <c:v>0.1266</c:v>
                </c:pt>
                <c:pt idx="43">
                  <c:v>0.139</c:v>
                </c:pt>
                <c:pt idx="44">
                  <c:v>0.0973</c:v>
                </c:pt>
                <c:pt idx="45">
                  <c:v>0.167</c:v>
                </c:pt>
                <c:pt idx="46">
                  <c:v>0.1318</c:v>
                </c:pt>
                <c:pt idx="47">
                  <c:v>0.1355</c:v>
                </c:pt>
                <c:pt idx="48">
                  <c:v>0.66</c:v>
                </c:pt>
                <c:pt idx="49">
                  <c:v>0.211</c:v>
                </c:pt>
                <c:pt idx="50">
                  <c:v>0.1675</c:v>
                </c:pt>
                <c:pt idx="51">
                  <c:v>0.1671</c:v>
                </c:pt>
                <c:pt idx="52">
                  <c:v>2.03</c:v>
                </c:pt>
                <c:pt idx="53">
                  <c:v>0.1247</c:v>
                </c:pt>
                <c:pt idx="54">
                  <c:v>0.25</c:v>
                </c:pt>
                <c:pt idx="55">
                  <c:v>0.11</c:v>
                </c:pt>
                <c:pt idx="56">
                  <c:v>0.1384</c:v>
                </c:pt>
                <c:pt idx="57">
                  <c:v>0.1015</c:v>
                </c:pt>
                <c:pt idx="58">
                  <c:v>0.0855</c:v>
                </c:pt>
                <c:pt idx="59">
                  <c:v>0.1017</c:v>
                </c:pt>
                <c:pt idx="60">
                  <c:v>0.1276</c:v>
                </c:pt>
                <c:pt idx="61">
                  <c:v>0.1392</c:v>
                </c:pt>
                <c:pt idx="62">
                  <c:v>0.1506</c:v>
                </c:pt>
                <c:pt idx="63">
                  <c:v>0.115</c:v>
                </c:pt>
                <c:pt idx="64">
                  <c:v>0.241</c:v>
                </c:pt>
                <c:pt idx="65">
                  <c:v>0.0933</c:v>
                </c:pt>
                <c:pt idx="66">
                  <c:v>0.1259</c:v>
                </c:pt>
                <c:pt idx="67">
                  <c:v>0.1367</c:v>
                </c:pt>
                <c:pt idx="68">
                  <c:v>0.1158</c:v>
                </c:pt>
                <c:pt idx="69">
                  <c:v>0.0897</c:v>
                </c:pt>
                <c:pt idx="70">
                  <c:v>0.0726</c:v>
                </c:pt>
                <c:pt idx="71">
                  <c:v>0.1499</c:v>
                </c:pt>
                <c:pt idx="72">
                  <c:v>0.1237</c:v>
                </c:pt>
                <c:pt idx="73">
                  <c:v>0.0982</c:v>
                </c:pt>
                <c:pt idx="74">
                  <c:v>0.0873</c:v>
                </c:pt>
                <c:pt idx="75">
                  <c:v>0.1021</c:v>
                </c:pt>
                <c:pt idx="76">
                  <c:v>0.1426</c:v>
                </c:pt>
                <c:pt idx="77">
                  <c:v>0.1185</c:v>
                </c:pt>
                <c:pt idx="78">
                  <c:v>0.0952</c:v>
                </c:pt>
                <c:pt idx="79">
                  <c:v>0.1552</c:v>
                </c:pt>
                <c:pt idx="80">
                  <c:v>2.09</c:v>
                </c:pt>
                <c:pt idx="81">
                  <c:v>0.1238</c:v>
                </c:pt>
                <c:pt idx="82">
                  <c:v>0.088</c:v>
                </c:pt>
                <c:pt idx="83">
                  <c:v>0.1005</c:v>
                </c:pt>
                <c:pt idx="84">
                  <c:v>0.1049</c:v>
                </c:pt>
                <c:pt idx="85">
                  <c:v>0.0982</c:v>
                </c:pt>
                <c:pt idx="86">
                  <c:v>0.1541</c:v>
                </c:pt>
                <c:pt idx="87">
                  <c:v>0.0905</c:v>
                </c:pt>
                <c:pt idx="88">
                  <c:v>0.0895</c:v>
                </c:pt>
                <c:pt idx="89">
                  <c:v>0.0846</c:v>
                </c:pt>
                <c:pt idx="90">
                  <c:v>0.075</c:v>
                </c:pt>
                <c:pt idx="91">
                  <c:v>0.1167</c:v>
                </c:pt>
                <c:pt idx="92">
                  <c:v>0.1313</c:v>
                </c:pt>
                <c:pt idx="93">
                  <c:v>0.1119</c:v>
                </c:pt>
                <c:pt idx="94">
                  <c:v>0.11165</c:v>
                </c:pt>
                <c:pt idx="95">
                  <c:v>0.0954</c:v>
                </c:pt>
                <c:pt idx="96">
                  <c:v>0.1071</c:v>
                </c:pt>
                <c:pt idx="97">
                  <c:v>0.0977</c:v>
                </c:pt>
                <c:pt idx="98">
                  <c:v>0.1067</c:v>
                </c:pt>
                <c:pt idx="99">
                  <c:v>0.102</c:v>
                </c:pt>
                <c:pt idx="100">
                  <c:v>0.1112</c:v>
                </c:pt>
                <c:pt idx="101">
                  <c:v>0.1017</c:v>
                </c:pt>
                <c:pt idx="102">
                  <c:v>0.1019</c:v>
                </c:pt>
                <c:pt idx="103">
                  <c:v>0.612</c:v>
                </c:pt>
                <c:pt idx="104">
                  <c:v>0.10635</c:v>
                </c:pt>
                <c:pt idx="105">
                  <c:v>0.356</c:v>
                </c:pt>
                <c:pt idx="106">
                  <c:v>0.1231</c:v>
                </c:pt>
                <c:pt idx="107">
                  <c:v>0.1445</c:v>
                </c:pt>
                <c:pt idx="108">
                  <c:v>0.1829</c:v>
                </c:pt>
                <c:pt idx="109">
                  <c:v>0.1222</c:v>
                </c:pt>
                <c:pt idx="110">
                  <c:v>1.446</c:v>
                </c:pt>
                <c:pt idx="111">
                  <c:v>0.1167</c:v>
                </c:pt>
                <c:pt idx="112">
                  <c:v>0.11185</c:v>
                </c:pt>
                <c:pt idx="113" c:formatCode="0.000_);[Red]\(0.000\)">
                  <c:v>0.928</c:v>
                </c:pt>
                <c:pt idx="114" c:formatCode="0.000_);[Red]\(0.000\)">
                  <c:v>0.946</c:v>
                </c:pt>
                <c:pt idx="115" c:formatCode="0.000_);[Red]\(0.000\)">
                  <c:v>0.268</c:v>
                </c:pt>
                <c:pt idx="116" c:formatCode="0.000_);[Red]\(0.000\)">
                  <c:v>0.35</c:v>
                </c:pt>
                <c:pt idx="117" c:formatCode="0.000_);[Red]\(0.000\)">
                  <c:v>0.1488</c:v>
                </c:pt>
                <c:pt idx="118" c:formatCode="0.000_);[Red]\(0.000\)">
                  <c:v>0.6663</c:v>
                </c:pt>
                <c:pt idx="119" c:formatCode="0.000_);[Red]\(0.000\)">
                  <c:v>0.1162</c:v>
                </c:pt>
                <c:pt idx="120" c:formatCode="0.000_);[Red]\(0.000\)">
                  <c:v>2.68</c:v>
                </c:pt>
                <c:pt idx="121" c:formatCode="0.000_);[Red]\(0.000\)">
                  <c:v>0.1173</c:v>
                </c:pt>
                <c:pt idx="122" c:formatCode="0.000_);[Red]\(0.000\)">
                  <c:v>0.1252</c:v>
                </c:pt>
                <c:pt idx="123" c:formatCode="0.000_);[Red]\(0.000\)">
                  <c:v>0.1882</c:v>
                </c:pt>
                <c:pt idx="124" c:formatCode="0.000_);[Red]\(0.000\)">
                  <c:v>0.1019</c:v>
                </c:pt>
                <c:pt idx="125" c:formatCode="0.000_);[Red]\(0.000\)">
                  <c:v>0.1162</c:v>
                </c:pt>
                <c:pt idx="126" c:formatCode="0.000_);[Red]\(0.000\)">
                  <c:v>0.1212</c:v>
                </c:pt>
                <c:pt idx="127" c:formatCode="0.000_);[Red]\(0.000\)">
                  <c:v>0.1002</c:v>
                </c:pt>
                <c:pt idx="128" c:formatCode="0.000_);[Red]\(0.000\)">
                  <c:v>0.1333</c:v>
                </c:pt>
                <c:pt idx="129" c:formatCode="0.000_);[Red]\(0.000\)">
                  <c:v>0.1312</c:v>
                </c:pt>
                <c:pt idx="130" c:formatCode="0.000_);[Red]\(0.000\)">
                  <c:v>1.502</c:v>
                </c:pt>
                <c:pt idx="131" c:formatCode="0.000_);[Red]\(0.000\)">
                  <c:v>0.0898</c:v>
                </c:pt>
                <c:pt idx="132" c:formatCode="0.000_);[Red]\(0.000\)">
                  <c:v>0.0943</c:v>
                </c:pt>
                <c:pt idx="133" c:formatCode="0.000_);[Red]\(0.000\)">
                  <c:v>0.0968</c:v>
                </c:pt>
                <c:pt idx="134" c:formatCode="0.000_);[Red]\(0.000\)">
                  <c:v>0.1158</c:v>
                </c:pt>
                <c:pt idx="135" c:formatCode="0.000_);[Red]\(0.000\)">
                  <c:v>0.1329</c:v>
                </c:pt>
                <c:pt idx="136" c:formatCode="0.000_);[Red]\(0.000\)">
                  <c:v>0.1214</c:v>
                </c:pt>
                <c:pt idx="137" c:formatCode="0.000_);[Red]\(0.000\)">
                  <c:v>0.1283</c:v>
                </c:pt>
                <c:pt idx="138" c:formatCode="0.000_);[Red]\(0.000\)">
                  <c:v>0.083</c:v>
                </c:pt>
                <c:pt idx="139" c:formatCode="0.000_);[Red]\(0.000\)">
                  <c:v>0.1738</c:v>
                </c:pt>
                <c:pt idx="140" c:formatCode="0.000_);[Red]\(0.000\)">
                  <c:v>0.0928</c:v>
                </c:pt>
                <c:pt idx="141" c:formatCode="0.000_);[Red]\(0.000\)">
                  <c:v>0.204</c:v>
                </c:pt>
                <c:pt idx="142" c:formatCode="0.000_);[Red]\(0.000\)">
                  <c:v>0.09135</c:v>
                </c:pt>
                <c:pt idx="143" c:formatCode="0.000_);[Red]\(0.000\)">
                  <c:v>0.0824</c:v>
                </c:pt>
                <c:pt idx="144" c:formatCode="0.000_);[Red]\(0.000\)">
                  <c:v>0.0822</c:v>
                </c:pt>
                <c:pt idx="145" c:formatCode="0.000_);[Red]\(0.000\)">
                  <c:v>0.1936</c:v>
                </c:pt>
                <c:pt idx="146" c:formatCode="0.000_);[Red]\(0.000\)">
                  <c:v>0.1104</c:v>
                </c:pt>
                <c:pt idx="147" c:formatCode="0.000_);[Red]\(0.000\)">
                  <c:v>0.0933</c:v>
                </c:pt>
                <c:pt idx="148" c:formatCode="0.000_);[Red]\(0.000\)">
                  <c:v>0.0907</c:v>
                </c:pt>
                <c:pt idx="149" c:formatCode="0.000_);[Red]\(0.000\)">
                  <c:v>0.1108</c:v>
                </c:pt>
                <c:pt idx="150" c:formatCode="0.000_);[Red]\(0.000\)">
                  <c:v>0.245</c:v>
                </c:pt>
                <c:pt idx="151" c:formatCode="0.000_);[Red]\(0.000\)">
                  <c:v>0.1518</c:v>
                </c:pt>
                <c:pt idx="152" c:formatCode="0.000_);[Red]\(0.000\)">
                  <c:v>0.1074</c:v>
                </c:pt>
                <c:pt idx="153" c:formatCode="0.000_);[Red]\(0.000\)">
                  <c:v>0.1819</c:v>
                </c:pt>
                <c:pt idx="154" c:formatCode="0.000_);[Red]\(0.000\)">
                  <c:v>0.1853</c:v>
                </c:pt>
                <c:pt idx="155" c:formatCode="0.000_);[Red]\(0.000\)">
                  <c:v>0.1999</c:v>
                </c:pt>
                <c:pt idx="156" c:formatCode="0.000_);[Red]\(0.000\)">
                  <c:v>0.378</c:v>
                </c:pt>
                <c:pt idx="157" c:formatCode="0.000_);[Red]\(0.000\)">
                  <c:v>0.752</c:v>
                </c:pt>
                <c:pt idx="158">
                  <c:v>0.0647</c:v>
                </c:pt>
                <c:pt idx="159">
                  <c:v>0.0798</c:v>
                </c:pt>
                <c:pt idx="160">
                  <c:v>0.0872</c:v>
                </c:pt>
                <c:pt idx="161">
                  <c:v>0.1579</c:v>
                </c:pt>
                <c:pt idx="162">
                  <c:v>0.0873</c:v>
                </c:pt>
                <c:pt idx="163">
                  <c:v>0.0719</c:v>
                </c:pt>
                <c:pt idx="164">
                  <c:v>0.0987</c:v>
                </c:pt>
                <c:pt idx="165">
                  <c:v>0.0954</c:v>
                </c:pt>
                <c:pt idx="166">
                  <c:v>0.082</c:v>
                </c:pt>
                <c:pt idx="167">
                  <c:v>0.0899</c:v>
                </c:pt>
                <c:pt idx="168">
                  <c:v>0.1162</c:v>
                </c:pt>
                <c:pt idx="169">
                  <c:v>0.1456</c:v>
                </c:pt>
                <c:pt idx="170">
                  <c:v>0.243</c:v>
                </c:pt>
                <c:pt idx="171">
                  <c:v>0.0944</c:v>
                </c:pt>
                <c:pt idx="172">
                  <c:v>0.099</c:v>
                </c:pt>
                <c:pt idx="173">
                  <c:v>0.072</c:v>
                </c:pt>
                <c:pt idx="174">
                  <c:v>0.727</c:v>
                </c:pt>
                <c:pt idx="175">
                  <c:v>0.537</c:v>
                </c:pt>
                <c:pt idx="176">
                  <c:v>0.088</c:v>
                </c:pt>
                <c:pt idx="177">
                  <c:v>0.11385</c:v>
                </c:pt>
                <c:pt idx="178">
                  <c:v>0.0573</c:v>
                </c:pt>
                <c:pt idx="179">
                  <c:v>0.0459</c:v>
                </c:pt>
                <c:pt idx="180">
                  <c:v>0.0849</c:v>
                </c:pt>
                <c:pt idx="181">
                  <c:v>0.0912</c:v>
                </c:pt>
                <c:pt idx="182">
                  <c:v>0.277</c:v>
                </c:pt>
                <c:pt idx="183">
                  <c:v>0.1675</c:v>
                </c:pt>
                <c:pt idx="184">
                  <c:v>0.0751</c:v>
                </c:pt>
                <c:pt idx="185">
                  <c:v>0.0667</c:v>
                </c:pt>
                <c:pt idx="186">
                  <c:v>0.1004</c:v>
                </c:pt>
                <c:pt idx="187">
                  <c:v>0.09425</c:v>
                </c:pt>
                <c:pt idx="188">
                  <c:v>0.0796</c:v>
                </c:pt>
                <c:pt idx="189">
                  <c:v>0.093</c:v>
                </c:pt>
                <c:pt idx="190">
                  <c:v>0.0875</c:v>
                </c:pt>
                <c:pt idx="191">
                  <c:v>0.0912</c:v>
                </c:pt>
                <c:pt idx="192">
                  <c:v>0.0582</c:v>
                </c:pt>
                <c:pt idx="193">
                  <c:v>0.0792</c:v>
                </c:pt>
                <c:pt idx="194">
                  <c:v>0.1018</c:v>
                </c:pt>
                <c:pt idx="195">
                  <c:v>0.1272</c:v>
                </c:pt>
                <c:pt idx="196" c:formatCode="0.000_);[Red]\(0.000\)">
                  <c:v>0.1173</c:v>
                </c:pt>
                <c:pt idx="197" c:formatCode="0.000_);[Red]\(0.000\)">
                  <c:v>0.1558</c:v>
                </c:pt>
                <c:pt idx="198" c:formatCode="0.000_);[Red]\(0.000\)">
                  <c:v>0.0958</c:v>
                </c:pt>
                <c:pt idx="199" c:formatCode="0.000_);[Red]\(0.000\)">
                  <c:v>0.0884</c:v>
                </c:pt>
                <c:pt idx="200" c:formatCode="0.000_);[Red]\(0.000\)">
                  <c:v>0.1121</c:v>
                </c:pt>
                <c:pt idx="201" c:formatCode="0.000_);[Red]\(0.000\)">
                  <c:v>0.1341</c:v>
                </c:pt>
                <c:pt idx="202" c:formatCode="0.000_);[Red]\(0.000\)">
                  <c:v>0.0819</c:v>
                </c:pt>
                <c:pt idx="203" c:formatCode="0.000_);[Red]\(0.000\)">
                  <c:v>0.1316</c:v>
                </c:pt>
                <c:pt idx="204" c:formatCode="0.000_);[Red]\(0.000\)">
                  <c:v>0.1436</c:v>
                </c:pt>
                <c:pt idx="205" c:formatCode="0.000_);[Red]\(0.000\)">
                  <c:v>0.1274</c:v>
                </c:pt>
                <c:pt idx="206" c:formatCode="0.000_);[Red]\(0.000\)">
                  <c:v>0.0788</c:v>
                </c:pt>
                <c:pt idx="207" c:formatCode="0.000_);[Red]\(0.000\)">
                  <c:v>1.251</c:v>
                </c:pt>
                <c:pt idx="208" c:formatCode="0.000_);[Red]\(0.000\)">
                  <c:v>0.443</c:v>
                </c:pt>
                <c:pt idx="209" c:formatCode="0.000_);[Red]\(0.000\)">
                  <c:v>0.157</c:v>
                </c:pt>
                <c:pt idx="210" c:formatCode="0.000_);[Red]\(0.000\)">
                  <c:v>0.0944</c:v>
                </c:pt>
                <c:pt idx="211" c:formatCode="0.000_);[Red]\(0.000\)">
                  <c:v>0.1296</c:v>
                </c:pt>
                <c:pt idx="212" c:formatCode="0.000_);[Red]\(0.000\)">
                  <c:v>3.67</c:v>
                </c:pt>
                <c:pt idx="213" c:formatCode="0.000_);[Red]\(0.000\)">
                  <c:v>3.44</c:v>
                </c:pt>
                <c:pt idx="214" c:formatCode="0.000_);[Red]\(0.000\)">
                  <c:v>1.231</c:v>
                </c:pt>
                <c:pt idx="215" c:formatCode="0.000_);[Red]\(0.000\)">
                  <c:v>0.14475</c:v>
                </c:pt>
                <c:pt idx="216" c:formatCode="0.000_);[Red]\(0.000\)">
                  <c:v>0.339</c:v>
                </c:pt>
                <c:pt idx="217" c:formatCode="0.000_);[Red]\(0.000\)">
                  <c:v>0.101</c:v>
                </c:pt>
                <c:pt idx="218" c:formatCode="0.000_);[Red]\(0.000\)">
                  <c:v>0.1284</c:v>
                </c:pt>
                <c:pt idx="219" c:formatCode="0.000_);[Red]\(0.000\)">
                  <c:v>0.1695</c:v>
                </c:pt>
                <c:pt idx="220" c:formatCode="0.000_);[Red]\(0.000\)">
                  <c:v>0.1273</c:v>
                </c:pt>
                <c:pt idx="221" c:formatCode="0.000_);[Red]\(0.000\)">
                  <c:v>0.1483</c:v>
                </c:pt>
                <c:pt idx="222" c:formatCode="0.000_);[Red]\(0.000\)">
                  <c:v>0.1134</c:v>
                </c:pt>
                <c:pt idx="223" c:formatCode="0.000_);[Red]\(0.000\)">
                  <c:v>0.1049</c:v>
                </c:pt>
                <c:pt idx="224" c:formatCode="0.000_);[Red]\(0.000\)">
                  <c:v>6.58</c:v>
                </c:pt>
                <c:pt idx="225" c:formatCode="0.000_);[Red]\(0.000\)">
                  <c:v>8.72</c:v>
                </c:pt>
                <c:pt idx="226" c:formatCode="0.000_);[Red]\(0.000\)">
                  <c:v>3.41</c:v>
                </c:pt>
                <c:pt idx="227" c:formatCode="0.000_);[Red]\(0.000\)">
                  <c:v>0.1438</c:v>
                </c:pt>
                <c:pt idx="228" c:formatCode="0.000_);[Red]\(0.000\)">
                  <c:v>0.22</c:v>
                </c:pt>
                <c:pt idx="229" c:formatCode="0.000_);[Red]\(0.000\)">
                  <c:v>0.1153</c:v>
                </c:pt>
                <c:pt idx="230" c:formatCode="0.000_);[Red]\(0.000\)">
                  <c:v>0.93</c:v>
                </c:pt>
                <c:pt idx="231" c:formatCode="0.000_);[Red]\(0.000\)">
                  <c:v>0.255</c:v>
                </c:pt>
                <c:pt idx="232" c:formatCode="0.000_);[Red]\(0.000\)">
                  <c:v>1.263</c:v>
                </c:pt>
                <c:pt idx="233" c:formatCode="0.000_);[Red]\(0.000\)">
                  <c:v>0.1508</c:v>
                </c:pt>
                <c:pt idx="234" c:formatCode="0.000_);[Red]\(0.000\)">
                  <c:v>0.1827</c:v>
                </c:pt>
                <c:pt idx="235" c:formatCode="0.00_ ">
                  <c:v>0.1259</c:v>
                </c:pt>
                <c:pt idx="236" c:formatCode="0.00_ ">
                  <c:v>0.268</c:v>
                </c:pt>
                <c:pt idx="237" c:formatCode="0.00_ ">
                  <c:v>0.085</c:v>
                </c:pt>
                <c:pt idx="238" c:formatCode="0.00_ ">
                  <c:v>0.1038</c:v>
                </c:pt>
                <c:pt idx="239" c:formatCode="0.00_ ">
                  <c:v>0.1198</c:v>
                </c:pt>
                <c:pt idx="240" c:formatCode="0.00_ ">
                  <c:v>0.1622</c:v>
                </c:pt>
                <c:pt idx="241" c:formatCode="0.00_ ">
                  <c:v>0.1278</c:v>
                </c:pt>
                <c:pt idx="242" c:formatCode="0.00_ ">
                  <c:v>0.429</c:v>
                </c:pt>
                <c:pt idx="243" c:formatCode="0.00_ ">
                  <c:v>0.1134</c:v>
                </c:pt>
                <c:pt idx="244" c:formatCode="0.00_ ">
                  <c:v>1.1145</c:v>
                </c:pt>
                <c:pt idx="245" c:formatCode="0.00_ ">
                  <c:v>0.642</c:v>
                </c:pt>
                <c:pt idx="246" c:formatCode="0.00_ ">
                  <c:v>8.63</c:v>
                </c:pt>
                <c:pt idx="247" c:formatCode="0.00_ ">
                  <c:v>2.12</c:v>
                </c:pt>
                <c:pt idx="248" c:formatCode="0.00_ ">
                  <c:v>0.331</c:v>
                </c:pt>
                <c:pt idx="249" c:formatCode="0.00_ ">
                  <c:v>1.477</c:v>
                </c:pt>
                <c:pt idx="250" c:formatCode="0.00_ ">
                  <c:v>0.1429</c:v>
                </c:pt>
                <c:pt idx="251" c:formatCode="0.00_ ">
                  <c:v>0.1999</c:v>
                </c:pt>
                <c:pt idx="252" c:formatCode="0.00_ ">
                  <c:v>0.1473</c:v>
                </c:pt>
                <c:pt idx="253" c:formatCode="0.00_ ">
                  <c:v>0.1046</c:v>
                </c:pt>
                <c:pt idx="254" c:formatCode="0.00_ ">
                  <c:v>0.0896</c:v>
                </c:pt>
                <c:pt idx="255" c:formatCode="0.00_ ">
                  <c:v>0.1295</c:v>
                </c:pt>
                <c:pt idx="256" c:formatCode="0.00_ ">
                  <c:v>0.1711</c:v>
                </c:pt>
                <c:pt idx="257" c:formatCode="0.00_ ">
                  <c:v>0.1125</c:v>
                </c:pt>
                <c:pt idx="258" c:formatCode="0.00_ ">
                  <c:v>1.017</c:v>
                </c:pt>
                <c:pt idx="259" c:formatCode="0.00_ ">
                  <c:v>0.1181</c:v>
                </c:pt>
                <c:pt idx="260" c:formatCode="0.00_ ">
                  <c:v>0.335</c:v>
                </c:pt>
                <c:pt idx="261" c:formatCode="0.00_ ">
                  <c:v>0.257</c:v>
                </c:pt>
                <c:pt idx="262" c:formatCode="0.00_ ">
                  <c:v>0.1792</c:v>
                </c:pt>
                <c:pt idx="263" c:formatCode="0.00_ ">
                  <c:v>4.86</c:v>
                </c:pt>
                <c:pt idx="264" c:formatCode="0.00_ ">
                  <c:v>3.08</c:v>
                </c:pt>
                <c:pt idx="265" c:formatCode="0.00_ ">
                  <c:v>0.518</c:v>
                </c:pt>
                <c:pt idx="266" c:formatCode="0.00_ ">
                  <c:v>0.687</c:v>
                </c:pt>
                <c:pt idx="267" c:formatCode="0.00_ ">
                  <c:v>0.085</c:v>
                </c:pt>
                <c:pt idx="268" c:formatCode="0.00_ ">
                  <c:v>1.395</c:v>
                </c:pt>
                <c:pt idx="269" c:formatCode="0.00_ ">
                  <c:v>5.09</c:v>
                </c:pt>
                <c:pt idx="270" c:formatCode="0.00_ ">
                  <c:v>0.445</c:v>
                </c:pt>
                <c:pt idx="271" c:formatCode="0.00_ ">
                  <c:v>0.497</c:v>
                </c:pt>
                <c:pt idx="272" c:formatCode="0.00_ ">
                  <c:v>0.1162</c:v>
                </c:pt>
                <c:pt idx="273" c:formatCode="0.00_ ">
                  <c:v>2.24</c:v>
                </c:pt>
                <c:pt idx="274" c:formatCode="0.00_ ">
                  <c:v>0.3045</c:v>
                </c:pt>
                <c:pt idx="275" c:formatCode="0.00_ ">
                  <c:v>1.06</c:v>
                </c:pt>
                <c:pt idx="276" c:formatCode="0.00_ ">
                  <c:v>0.1056</c:v>
                </c:pt>
                <c:pt idx="277" c:formatCode="0.00_ ">
                  <c:v>0.797</c:v>
                </c:pt>
                <c:pt idx="278" c:formatCode="0.00_ ">
                  <c:v>0.363</c:v>
                </c:pt>
                <c:pt idx="279" c:formatCode="0.00_ ">
                  <c:v>1.568</c:v>
                </c:pt>
                <c:pt idx="280" c:formatCode="0.00_ ">
                  <c:v>0.1594</c:v>
                </c:pt>
                <c:pt idx="281" c:formatCode="0.00_ ">
                  <c:v>0.1319</c:v>
                </c:pt>
                <c:pt idx="282">
                  <c:v>0.0737</c:v>
                </c:pt>
                <c:pt idx="283">
                  <c:v>0.1088</c:v>
                </c:pt>
                <c:pt idx="284">
                  <c:v>0.0906</c:v>
                </c:pt>
                <c:pt idx="285">
                  <c:v>0.1573</c:v>
                </c:pt>
                <c:pt idx="286">
                  <c:v>2.94</c:v>
                </c:pt>
                <c:pt idx="287">
                  <c:v>0.1135</c:v>
                </c:pt>
                <c:pt idx="288">
                  <c:v>0.1017</c:v>
                </c:pt>
                <c:pt idx="289">
                  <c:v>3.39</c:v>
                </c:pt>
                <c:pt idx="290">
                  <c:v>0.1381</c:v>
                </c:pt>
                <c:pt idx="291">
                  <c:v>0.289</c:v>
                </c:pt>
                <c:pt idx="292">
                  <c:v>4.85</c:v>
                </c:pt>
                <c:pt idx="293">
                  <c:v>8.89</c:v>
                </c:pt>
                <c:pt idx="294">
                  <c:v>0.428</c:v>
                </c:pt>
                <c:pt idx="295">
                  <c:v>2.46</c:v>
                </c:pt>
                <c:pt idx="296">
                  <c:v>3.77</c:v>
                </c:pt>
                <c:pt idx="297">
                  <c:v>1.533</c:v>
                </c:pt>
                <c:pt idx="298">
                  <c:v>0.383</c:v>
                </c:pt>
                <c:pt idx="299">
                  <c:v>1.538</c:v>
                </c:pt>
                <c:pt idx="300">
                  <c:v>4.89</c:v>
                </c:pt>
                <c:pt idx="301">
                  <c:v>3.31</c:v>
                </c:pt>
                <c:pt idx="302">
                  <c:v>3.55</c:v>
                </c:pt>
                <c:pt idx="303">
                  <c:v>0.877</c:v>
                </c:pt>
                <c:pt idx="304">
                  <c:v>2.91</c:v>
                </c:pt>
                <c:pt idx="305">
                  <c:v>1.123</c:v>
                </c:pt>
                <c:pt idx="306">
                  <c:v>1.039</c:v>
                </c:pt>
                <c:pt idx="307">
                  <c:v>0.0942</c:v>
                </c:pt>
                <c:pt idx="308">
                  <c:v>0.1153</c:v>
                </c:pt>
                <c:pt idx="309">
                  <c:v>0.1002</c:v>
                </c:pt>
                <c:pt idx="310">
                  <c:v>0.1239</c:v>
                </c:pt>
                <c:pt idx="311">
                  <c:v>0.1204</c:v>
                </c:pt>
                <c:pt idx="312">
                  <c:v>0.0944</c:v>
                </c:pt>
                <c:pt idx="313">
                  <c:v>0.1277</c:v>
                </c:pt>
                <c:pt idx="314">
                  <c:v>0.247</c:v>
                </c:pt>
                <c:pt idx="315">
                  <c:v>0.1095</c:v>
                </c:pt>
                <c:pt idx="316">
                  <c:v>0.0789</c:v>
                </c:pt>
                <c:pt idx="317">
                  <c:v>0.1885</c:v>
                </c:pt>
                <c:pt idx="318">
                  <c:v>0.1242</c:v>
                </c:pt>
                <c:pt idx="319">
                  <c:v>0.1409</c:v>
                </c:pt>
              </c:numCache>
            </c:numRef>
          </c:xVal>
          <c:yVal>
            <c:numRef>
              <c:f>[盐碱地所有数据.xls]Sheet1!$K$3:$K$322</c:f>
              <c:numCache>
                <c:formatCode>General</c:formatCode>
                <c:ptCount val="320"/>
                <c:pt idx="0">
                  <c:v>0.85</c:v>
                </c:pt>
                <c:pt idx="1">
                  <c:v>2.02</c:v>
                </c:pt>
                <c:pt idx="2">
                  <c:v>2.34</c:v>
                </c:pt>
                <c:pt idx="3" c:formatCode="0.00_ ">
                  <c:v>1.67</c:v>
                </c:pt>
                <c:pt idx="4" c:formatCode="0.00_ ">
                  <c:v>0.34</c:v>
                </c:pt>
                <c:pt idx="5" c:formatCode="0.00_ ">
                  <c:v>0.62</c:v>
                </c:pt>
                <c:pt idx="6" c:formatCode="0.00_ ">
                  <c:v>0.18</c:v>
                </c:pt>
                <c:pt idx="7" c:formatCode="0.00_ ">
                  <c:v>1.35</c:v>
                </c:pt>
                <c:pt idx="8" c:formatCode="0.00_ ">
                  <c:v>1.24</c:v>
                </c:pt>
                <c:pt idx="9" c:formatCode="0.00_ ">
                  <c:v>0.74</c:v>
                </c:pt>
                <c:pt idx="10" c:formatCode="0.00_ ">
                  <c:v>0.95</c:v>
                </c:pt>
                <c:pt idx="11" c:formatCode="0.00_);[Red]\(0.00\)">
                  <c:v>1.4</c:v>
                </c:pt>
                <c:pt idx="12" c:formatCode="0.00_ ">
                  <c:v>0.47</c:v>
                </c:pt>
                <c:pt idx="13" c:formatCode="0.00_);[Red]\(0.00\)">
                  <c:v>0.75</c:v>
                </c:pt>
                <c:pt idx="14" c:formatCode="0.00_ ">
                  <c:v>1.06</c:v>
                </c:pt>
                <c:pt idx="15" c:formatCode="0.00_ ">
                  <c:v>1.3</c:v>
                </c:pt>
                <c:pt idx="16" c:formatCode="0.00_ ">
                  <c:v>1.11</c:v>
                </c:pt>
                <c:pt idx="17" c:formatCode="0.00_ ">
                  <c:v>2.7</c:v>
                </c:pt>
                <c:pt idx="18" c:formatCode="0.00_ ">
                  <c:v>1.06</c:v>
                </c:pt>
                <c:pt idx="19" c:formatCode="0.00_ ">
                  <c:v>0.73</c:v>
                </c:pt>
                <c:pt idx="20" c:formatCode="0.00_ ">
                  <c:v>1.64</c:v>
                </c:pt>
                <c:pt idx="21" c:formatCode="0.00_ ">
                  <c:v>1.74</c:v>
                </c:pt>
                <c:pt idx="22" c:formatCode="0.00_ ">
                  <c:v>2.63</c:v>
                </c:pt>
                <c:pt idx="23" c:formatCode="0.00_ ">
                  <c:v>4.5</c:v>
                </c:pt>
                <c:pt idx="24" c:formatCode="0.00_ ">
                  <c:v>2.01</c:v>
                </c:pt>
                <c:pt idx="25" c:formatCode="0.00_ ">
                  <c:v>1.73</c:v>
                </c:pt>
                <c:pt idx="26" c:formatCode="0.00_ ">
                  <c:v>1.3</c:v>
                </c:pt>
                <c:pt idx="27" c:formatCode="0.00_ ">
                  <c:v>0.9</c:v>
                </c:pt>
                <c:pt idx="28" c:formatCode="0.00_ ">
                  <c:v>4.56</c:v>
                </c:pt>
                <c:pt idx="29" c:formatCode="0.00_ ">
                  <c:v>0.8</c:v>
                </c:pt>
                <c:pt idx="30" c:formatCode="0.00_ ">
                  <c:v>0.79</c:v>
                </c:pt>
                <c:pt idx="31" c:formatCode="0.00_ ">
                  <c:v>0.62</c:v>
                </c:pt>
                <c:pt idx="32" c:formatCode="0.00_ ">
                  <c:v>0.47</c:v>
                </c:pt>
                <c:pt idx="33" c:formatCode="0.00_ ">
                  <c:v>0.43</c:v>
                </c:pt>
                <c:pt idx="34" c:formatCode="0.00_ ">
                  <c:v>0.45</c:v>
                </c:pt>
                <c:pt idx="35" c:formatCode="0.00_ ">
                  <c:v>0.58</c:v>
                </c:pt>
                <c:pt idx="36" c:formatCode="0.00_ ">
                  <c:v>0.46</c:v>
                </c:pt>
                <c:pt idx="37" c:formatCode="0.00_ ">
                  <c:v>0.38</c:v>
                </c:pt>
                <c:pt idx="38" c:formatCode="0.00_ ">
                  <c:v>0.47</c:v>
                </c:pt>
                <c:pt idx="39" c:formatCode="0.00_ ">
                  <c:v>0.76</c:v>
                </c:pt>
                <c:pt idx="40" c:formatCode="0.00_ ">
                  <c:v>2.68</c:v>
                </c:pt>
                <c:pt idx="41" c:formatCode="0.00_ ">
                  <c:v>0.54</c:v>
                </c:pt>
                <c:pt idx="42" c:formatCode="0.00_ ">
                  <c:v>0.62</c:v>
                </c:pt>
                <c:pt idx="43" c:formatCode="0.00_ ">
                  <c:v>0.75</c:v>
                </c:pt>
                <c:pt idx="44" c:formatCode="0.00_ ">
                  <c:v>0.67</c:v>
                </c:pt>
                <c:pt idx="45" c:formatCode="0.00_ ">
                  <c:v>0.73</c:v>
                </c:pt>
                <c:pt idx="46" c:formatCode="0.00_ ">
                  <c:v>0.52</c:v>
                </c:pt>
                <c:pt idx="47" c:formatCode="0.00_ ">
                  <c:v>0.61</c:v>
                </c:pt>
                <c:pt idx="48" c:formatCode="0.00_ ">
                  <c:v>2.89</c:v>
                </c:pt>
                <c:pt idx="49" c:formatCode="0.00_ ">
                  <c:v>1.02</c:v>
                </c:pt>
                <c:pt idx="50" c:formatCode="0.00_ ">
                  <c:v>0.78</c:v>
                </c:pt>
                <c:pt idx="51" c:formatCode="0.00_ ">
                  <c:v>0.98</c:v>
                </c:pt>
                <c:pt idx="52" c:formatCode="0.00_ ">
                  <c:v>7.77</c:v>
                </c:pt>
                <c:pt idx="53" c:formatCode="0.00_ ">
                  <c:v>0.74</c:v>
                </c:pt>
                <c:pt idx="54" c:formatCode="0.00_ ">
                  <c:v>0.94</c:v>
                </c:pt>
                <c:pt idx="55" c:formatCode="0.00_ ">
                  <c:v>0.57</c:v>
                </c:pt>
                <c:pt idx="56" c:formatCode="0.00_ ">
                  <c:v>0.68</c:v>
                </c:pt>
                <c:pt idx="57" c:formatCode="0.00_ ">
                  <c:v>0.62</c:v>
                </c:pt>
                <c:pt idx="58" c:formatCode="0.00_ ">
                  <c:v>0.4</c:v>
                </c:pt>
                <c:pt idx="59" c:formatCode="0.00_ ">
                  <c:v>0.63</c:v>
                </c:pt>
                <c:pt idx="60" c:formatCode="0.00_ ">
                  <c:v>0.715</c:v>
                </c:pt>
                <c:pt idx="61" c:formatCode="0.00_ ">
                  <c:v>0.8</c:v>
                </c:pt>
                <c:pt idx="62" c:formatCode="0.00_ ">
                  <c:v>0.85</c:v>
                </c:pt>
                <c:pt idx="63" c:formatCode="0.00_ ">
                  <c:v>0.8</c:v>
                </c:pt>
                <c:pt idx="64" c:formatCode="0.00_ ">
                  <c:v>1.11</c:v>
                </c:pt>
                <c:pt idx="65" c:formatCode="0.00_ ">
                  <c:v>0.73</c:v>
                </c:pt>
                <c:pt idx="66" c:formatCode="0.00_ ">
                  <c:v>0.85</c:v>
                </c:pt>
                <c:pt idx="67" c:formatCode="0.00_ ">
                  <c:v>0.86</c:v>
                </c:pt>
                <c:pt idx="68" c:formatCode="0.00_ ">
                  <c:v>0.79</c:v>
                </c:pt>
                <c:pt idx="69" c:formatCode="0.00_ ">
                  <c:v>0.69</c:v>
                </c:pt>
                <c:pt idx="70" c:formatCode="0.00_ ">
                  <c:v>0.615</c:v>
                </c:pt>
                <c:pt idx="71" c:formatCode="0.00_ ">
                  <c:v>1.12</c:v>
                </c:pt>
                <c:pt idx="72" c:formatCode="0.00_ ">
                  <c:v>1.1</c:v>
                </c:pt>
                <c:pt idx="73" c:formatCode="0.00_ ">
                  <c:v>0.73</c:v>
                </c:pt>
                <c:pt idx="74" c:formatCode="0.00_ ">
                  <c:v>0.69</c:v>
                </c:pt>
                <c:pt idx="75" c:formatCode="0.00_ ">
                  <c:v>0.48</c:v>
                </c:pt>
                <c:pt idx="76" c:formatCode="0.00_ ">
                  <c:v>0.9</c:v>
                </c:pt>
                <c:pt idx="77" c:formatCode="0.00_ ">
                  <c:v>0.45</c:v>
                </c:pt>
                <c:pt idx="78" c:formatCode="0.00_ ">
                  <c:v>0.68</c:v>
                </c:pt>
                <c:pt idx="79" c:formatCode="0.00_ ">
                  <c:v>8.18</c:v>
                </c:pt>
                <c:pt idx="80" c:formatCode="0.00_ ">
                  <c:v>13.28</c:v>
                </c:pt>
                <c:pt idx="81" c:formatCode="0.00_ ">
                  <c:v>0.53</c:v>
                </c:pt>
                <c:pt idx="82" c:formatCode="0.00_ ">
                  <c:v>0.28</c:v>
                </c:pt>
                <c:pt idx="83" c:formatCode="0.00_ ">
                  <c:v>0.43</c:v>
                </c:pt>
                <c:pt idx="84" c:formatCode="0.00_ ">
                  <c:v>0.4</c:v>
                </c:pt>
                <c:pt idx="85" c:formatCode="0.00_ ">
                  <c:v>0.29</c:v>
                </c:pt>
                <c:pt idx="86" c:formatCode="0.00_ ">
                  <c:v>0.54</c:v>
                </c:pt>
                <c:pt idx="87" c:formatCode="0.00_ ">
                  <c:v>0.48</c:v>
                </c:pt>
                <c:pt idx="88" c:formatCode="0.00_ ">
                  <c:v>0.38</c:v>
                </c:pt>
                <c:pt idx="89" c:formatCode="0.00_ ">
                  <c:v>0.26</c:v>
                </c:pt>
                <c:pt idx="90" c:formatCode="0.00_ ">
                  <c:v>0.35</c:v>
                </c:pt>
                <c:pt idx="91" c:formatCode="0.00_ ">
                  <c:v>0.37</c:v>
                </c:pt>
                <c:pt idx="92" c:formatCode="0.00_ ">
                  <c:v>0.38</c:v>
                </c:pt>
                <c:pt idx="93" c:formatCode="0.00_ ">
                  <c:v>0.15</c:v>
                </c:pt>
                <c:pt idx="94" c:formatCode="0.00_ ">
                  <c:v>0.325</c:v>
                </c:pt>
                <c:pt idx="95" c:formatCode="0.00_ ">
                  <c:v>0.62</c:v>
                </c:pt>
                <c:pt idx="96" c:formatCode="0.00_ ">
                  <c:v>0.52</c:v>
                </c:pt>
                <c:pt idx="97" c:formatCode="0.00_ ">
                  <c:v>0.22</c:v>
                </c:pt>
                <c:pt idx="98" c:formatCode="0.00_ ">
                  <c:v>0.24</c:v>
                </c:pt>
                <c:pt idx="99" c:formatCode="0.00_ ">
                  <c:v>0.63</c:v>
                </c:pt>
                <c:pt idx="100" c:formatCode="0.00_ ">
                  <c:v>0.39</c:v>
                </c:pt>
                <c:pt idx="101" c:formatCode="0.00_ ">
                  <c:v>0.11</c:v>
                </c:pt>
                <c:pt idx="102" c:formatCode="0.00_ ">
                  <c:v>0.1</c:v>
                </c:pt>
                <c:pt idx="103" c:formatCode="0.00_ ">
                  <c:v>2.75</c:v>
                </c:pt>
                <c:pt idx="104" c:formatCode="0.00_ ">
                  <c:v>0.22</c:v>
                </c:pt>
                <c:pt idx="105" c:formatCode="0.00_ ">
                  <c:v>1.38</c:v>
                </c:pt>
                <c:pt idx="106" c:formatCode="0.00_ ">
                  <c:v>0.9</c:v>
                </c:pt>
                <c:pt idx="107" c:formatCode="0.00_ ">
                  <c:v>0.48</c:v>
                </c:pt>
                <c:pt idx="108" c:formatCode="0.00_ ">
                  <c:v>0.28</c:v>
                </c:pt>
                <c:pt idx="109" c:formatCode="0.00_ ">
                  <c:v>0.33</c:v>
                </c:pt>
                <c:pt idx="110" c:formatCode="0.00_ ">
                  <c:v>7.2</c:v>
                </c:pt>
                <c:pt idx="111" c:formatCode="0.00_ ">
                  <c:v>0.21</c:v>
                </c:pt>
                <c:pt idx="112" c:formatCode="0.00_ ">
                  <c:v>0.25</c:v>
                </c:pt>
                <c:pt idx="113" c:formatCode="0.00_);[Red]\(0.00\)">
                  <c:v>4.97</c:v>
                </c:pt>
                <c:pt idx="114" c:formatCode="0.00_);[Red]\(0.00\)">
                  <c:v>3.53</c:v>
                </c:pt>
                <c:pt idx="115" c:formatCode="0.00_);[Red]\(0.00\)">
                  <c:v>1.18</c:v>
                </c:pt>
                <c:pt idx="116" c:formatCode="0.00_);[Red]\(0.00\)">
                  <c:v>1.23</c:v>
                </c:pt>
                <c:pt idx="117" c:formatCode="0.00_);[Red]\(0.00\)">
                  <c:v>0.61</c:v>
                </c:pt>
                <c:pt idx="118" c:formatCode="0.00_);[Red]\(0.00\)">
                  <c:v>1.04</c:v>
                </c:pt>
                <c:pt idx="119" c:formatCode="0.00_);[Red]\(0.00\)">
                  <c:v>0.59</c:v>
                </c:pt>
                <c:pt idx="120" c:formatCode="0.00_);[Red]\(0.00\)">
                  <c:v>13.95</c:v>
                </c:pt>
                <c:pt idx="121" c:formatCode="0.00_);[Red]\(0.00\)">
                  <c:v>0.6</c:v>
                </c:pt>
                <c:pt idx="122" c:formatCode="0.00_);[Red]\(0.00\)">
                  <c:v>0.33</c:v>
                </c:pt>
                <c:pt idx="123" c:formatCode="0.00_);[Red]\(0.00\)">
                  <c:v>0.66</c:v>
                </c:pt>
                <c:pt idx="124" c:formatCode="0.00_);[Red]\(0.00\)">
                  <c:v>0.53</c:v>
                </c:pt>
                <c:pt idx="125" c:formatCode="0.00_);[Red]\(0.00\)">
                  <c:v>0.32</c:v>
                </c:pt>
                <c:pt idx="126" c:formatCode="0.00_);[Red]\(0.00\)">
                  <c:v>0.48</c:v>
                </c:pt>
                <c:pt idx="127" c:formatCode="0.00_);[Red]\(0.00\)">
                  <c:v>0.34</c:v>
                </c:pt>
                <c:pt idx="128" c:formatCode="0.00_);[Red]\(0.00\)">
                  <c:v>0.63</c:v>
                </c:pt>
                <c:pt idx="129" c:formatCode="0.00_);[Red]\(0.00\)">
                  <c:v>0.58</c:v>
                </c:pt>
                <c:pt idx="130" c:formatCode="0.00_);[Red]\(0.00\)">
                  <c:v>3.57</c:v>
                </c:pt>
                <c:pt idx="131" c:formatCode="0.00_);[Red]\(0.00\)">
                  <c:v>0.24</c:v>
                </c:pt>
                <c:pt idx="132" c:formatCode="0.00_);[Red]\(0.00\)">
                  <c:v>0.46</c:v>
                </c:pt>
                <c:pt idx="133" c:formatCode="0.00_);[Red]\(0.00\)">
                  <c:v>0.46</c:v>
                </c:pt>
                <c:pt idx="134" c:formatCode="0.00_);[Red]\(0.00\)">
                  <c:v>0.45</c:v>
                </c:pt>
                <c:pt idx="135" c:formatCode="0.00_);[Red]\(0.00\)">
                  <c:v>0.52</c:v>
                </c:pt>
                <c:pt idx="136" c:formatCode="0.00_);[Red]\(0.00\)">
                  <c:v>0.37</c:v>
                </c:pt>
                <c:pt idx="137" c:formatCode="0.00_);[Red]\(0.00\)">
                  <c:v>0.54</c:v>
                </c:pt>
                <c:pt idx="138" c:formatCode="0.00_);[Red]\(0.00\)">
                  <c:v>0.38</c:v>
                </c:pt>
                <c:pt idx="139" c:formatCode="0.00_);[Red]\(0.00\)">
                  <c:v>0.63</c:v>
                </c:pt>
                <c:pt idx="140" c:formatCode="0.00_);[Red]\(0.00\)">
                  <c:v>0.41</c:v>
                </c:pt>
                <c:pt idx="141" c:formatCode="0.00_);[Red]\(0.00\)">
                  <c:v>0.76</c:v>
                </c:pt>
                <c:pt idx="142" c:formatCode="0.00_);[Red]\(0.00\)">
                  <c:v>1.04</c:v>
                </c:pt>
                <c:pt idx="143" c:formatCode="0.00_);[Red]\(0.00\)">
                  <c:v>0.35</c:v>
                </c:pt>
                <c:pt idx="144" c:formatCode="0.00_);[Red]\(0.00\)">
                  <c:v>0.24</c:v>
                </c:pt>
                <c:pt idx="145" c:formatCode="0.00_);[Red]\(0.00\)">
                  <c:v>0.63</c:v>
                </c:pt>
                <c:pt idx="146" c:formatCode="0.00_);[Red]\(0.00\)">
                  <c:v>0.37</c:v>
                </c:pt>
                <c:pt idx="147" c:formatCode="0.00_);[Red]\(0.00\)">
                  <c:v>0.37</c:v>
                </c:pt>
                <c:pt idx="148" c:formatCode="0.00_);[Red]\(0.00\)">
                  <c:v>0.56</c:v>
                </c:pt>
                <c:pt idx="149" c:formatCode="0.00_);[Red]\(0.00\)">
                  <c:v>0.455</c:v>
                </c:pt>
                <c:pt idx="150" c:formatCode="0.00_);[Red]\(0.00\)">
                  <c:v>1.03</c:v>
                </c:pt>
                <c:pt idx="151" c:formatCode="0.00_);[Red]\(0.00\)">
                  <c:v>0.56</c:v>
                </c:pt>
                <c:pt idx="152" c:formatCode="0.00_);[Red]\(0.00\)">
                  <c:v>0.45</c:v>
                </c:pt>
                <c:pt idx="153" c:formatCode="0.00_);[Red]\(0.00\)">
                  <c:v>0.81</c:v>
                </c:pt>
                <c:pt idx="154" c:formatCode="0.00_);[Red]\(0.00\)">
                  <c:v>0.66</c:v>
                </c:pt>
                <c:pt idx="155" c:formatCode="0.00_);[Red]\(0.00\)">
                  <c:v>0.64</c:v>
                </c:pt>
                <c:pt idx="156" c:formatCode="0.00_);[Red]\(0.00\)">
                  <c:v>3.24</c:v>
                </c:pt>
                <c:pt idx="157" c:formatCode="0.00_);[Red]\(0.00\)">
                  <c:v>3.88</c:v>
                </c:pt>
                <c:pt idx="158" c:formatCode="0.00_ ">
                  <c:v>0.18</c:v>
                </c:pt>
                <c:pt idx="159" c:formatCode="0.00_ ">
                  <c:v>0.36</c:v>
                </c:pt>
                <c:pt idx="160" c:formatCode="0.00_ ">
                  <c:v>0.25</c:v>
                </c:pt>
                <c:pt idx="161" c:formatCode="0.00_ ">
                  <c:v>0.84</c:v>
                </c:pt>
                <c:pt idx="162" c:formatCode="0.00_ ">
                  <c:v>0.31</c:v>
                </c:pt>
                <c:pt idx="163" c:formatCode="0.00_ ">
                  <c:v>0.12</c:v>
                </c:pt>
                <c:pt idx="164" c:formatCode="0.00_ ">
                  <c:v>0.24</c:v>
                </c:pt>
                <c:pt idx="165" c:formatCode="0.00_ ">
                  <c:v>0.35</c:v>
                </c:pt>
                <c:pt idx="166" c:formatCode="0.00_ ">
                  <c:v>0.34</c:v>
                </c:pt>
                <c:pt idx="167" c:formatCode="0.00_ ">
                  <c:v>0.425</c:v>
                </c:pt>
                <c:pt idx="168" c:formatCode="0.00_ ">
                  <c:v>0.53</c:v>
                </c:pt>
                <c:pt idx="169" c:formatCode="0.00_ ">
                  <c:v>0.48</c:v>
                </c:pt>
                <c:pt idx="170" c:formatCode="0.00_ ">
                  <c:v>1.87</c:v>
                </c:pt>
                <c:pt idx="171" c:formatCode="0.00_ ">
                  <c:v>0.34</c:v>
                </c:pt>
                <c:pt idx="172" c:formatCode="0.00_ ">
                  <c:v>0.33</c:v>
                </c:pt>
                <c:pt idx="173" c:formatCode="0.00_ ">
                  <c:v>0.25</c:v>
                </c:pt>
                <c:pt idx="174" c:formatCode="0.00_ ">
                  <c:v>3.41</c:v>
                </c:pt>
                <c:pt idx="175" c:formatCode="0.00_ ">
                  <c:v>1.97</c:v>
                </c:pt>
                <c:pt idx="176" c:formatCode="0.00_ ">
                  <c:v>0.51</c:v>
                </c:pt>
                <c:pt idx="177" c:formatCode="0.00_ ">
                  <c:v>0.96</c:v>
                </c:pt>
                <c:pt idx="178" c:formatCode="0.00_ ">
                  <c:v>0.42</c:v>
                </c:pt>
                <c:pt idx="179" c:formatCode="0.00_ ">
                  <c:v>0.28</c:v>
                </c:pt>
                <c:pt idx="180" c:formatCode="0.00_ ">
                  <c:v>0.37</c:v>
                </c:pt>
                <c:pt idx="181" c:formatCode="0.00_ ">
                  <c:v>0.33</c:v>
                </c:pt>
                <c:pt idx="182" c:formatCode="0.00_ ">
                  <c:v>0.91</c:v>
                </c:pt>
                <c:pt idx="183" c:formatCode="0.00_ ">
                  <c:v>0.66</c:v>
                </c:pt>
                <c:pt idx="184" c:formatCode="0.00_ ">
                  <c:v>0.26</c:v>
                </c:pt>
                <c:pt idx="185" c:formatCode="0.00_ ">
                  <c:v>0.1</c:v>
                </c:pt>
                <c:pt idx="186" c:formatCode="0.00_ ">
                  <c:v>0.38</c:v>
                </c:pt>
                <c:pt idx="187" c:formatCode="0.00_ ">
                  <c:v>0.42</c:v>
                </c:pt>
                <c:pt idx="188" c:formatCode="0.00_ ">
                  <c:v>0.32</c:v>
                </c:pt>
                <c:pt idx="189" c:formatCode="0.00_ ">
                  <c:v>0.63</c:v>
                </c:pt>
                <c:pt idx="190" c:formatCode="0.00_ ">
                  <c:v>0.39</c:v>
                </c:pt>
                <c:pt idx="191" c:formatCode="0.00_ ">
                  <c:v>0.4</c:v>
                </c:pt>
                <c:pt idx="192" c:formatCode="0.00_ ">
                  <c:v>0.22</c:v>
                </c:pt>
                <c:pt idx="193" c:formatCode="0.00_ ">
                  <c:v>0.34</c:v>
                </c:pt>
                <c:pt idx="194" c:formatCode="0.00_ ">
                  <c:v>0.42</c:v>
                </c:pt>
                <c:pt idx="195" c:formatCode="0.00_ ">
                  <c:v>0.45</c:v>
                </c:pt>
                <c:pt idx="196" c:formatCode="0.00_);[Red]\(0.00\)">
                  <c:v>0.46</c:v>
                </c:pt>
                <c:pt idx="197" c:formatCode="0.00_);[Red]\(0.00\)">
                  <c:v>0.57</c:v>
                </c:pt>
                <c:pt idx="198" c:formatCode="0.00_);[Red]\(0.00\)">
                  <c:v>0.37</c:v>
                </c:pt>
                <c:pt idx="199" c:formatCode="0.00_);[Red]\(0.00\)">
                  <c:v>0.26</c:v>
                </c:pt>
                <c:pt idx="200" c:formatCode="0.00_);[Red]\(0.00\)">
                  <c:v>0.51</c:v>
                </c:pt>
                <c:pt idx="201" c:formatCode="0.00_);[Red]\(0.00\)">
                  <c:v>0.6</c:v>
                </c:pt>
                <c:pt idx="202" c:formatCode="0.00_);[Red]\(0.00\)">
                  <c:v>0.35</c:v>
                </c:pt>
                <c:pt idx="203" c:formatCode="0.00_);[Red]\(0.00\)">
                  <c:v>0.57</c:v>
                </c:pt>
                <c:pt idx="204" c:formatCode="0.00_);[Red]\(0.00\)">
                  <c:v>0.66</c:v>
                </c:pt>
                <c:pt idx="205" c:formatCode="0.00_);[Red]\(0.00\)">
                  <c:v>0.585</c:v>
                </c:pt>
                <c:pt idx="206" c:formatCode="0.00_);[Red]\(0.00\)">
                  <c:v>0.4</c:v>
                </c:pt>
                <c:pt idx="207" c:formatCode="0.00_);[Red]\(0.00\)">
                  <c:v>5.66</c:v>
                </c:pt>
                <c:pt idx="208" c:formatCode="0.00_);[Red]\(0.00\)">
                  <c:v>1.58</c:v>
                </c:pt>
                <c:pt idx="209" c:formatCode="0.00_);[Red]\(0.00\)">
                  <c:v>0.55</c:v>
                </c:pt>
                <c:pt idx="210" c:formatCode="0.00_);[Red]\(0.00\)">
                  <c:v>0.36</c:v>
                </c:pt>
                <c:pt idx="211" c:formatCode="0.00_);[Red]\(0.00\)">
                  <c:v>0.6</c:v>
                </c:pt>
                <c:pt idx="212" c:formatCode="0.00_);[Red]\(0.00\)">
                  <c:v>13.57</c:v>
                </c:pt>
                <c:pt idx="213" c:formatCode="0.00_);[Red]\(0.00\)">
                  <c:v>14.35</c:v>
                </c:pt>
                <c:pt idx="214" c:formatCode="0.00_);[Red]\(0.00\)">
                  <c:v>4.24</c:v>
                </c:pt>
                <c:pt idx="215" c:formatCode="0.00_);[Red]\(0.00\)">
                  <c:v>1.01</c:v>
                </c:pt>
                <c:pt idx="216" c:formatCode="0.00_);[Red]\(0.00\)">
                  <c:v>1.19</c:v>
                </c:pt>
                <c:pt idx="217" c:formatCode="0.00_);[Red]\(0.00\)">
                  <c:v>0.39</c:v>
                </c:pt>
                <c:pt idx="218" c:formatCode="0.00_);[Red]\(0.00\)">
                  <c:v>0.43</c:v>
                </c:pt>
                <c:pt idx="219" c:formatCode="0.00_);[Red]\(0.00\)">
                  <c:v>0.76</c:v>
                </c:pt>
                <c:pt idx="220" c:formatCode="0.00_);[Red]\(0.00\)">
                  <c:v>0.54</c:v>
                </c:pt>
                <c:pt idx="221" c:formatCode="0.00_);[Red]\(0.00\)">
                  <c:v>0.6</c:v>
                </c:pt>
                <c:pt idx="222" c:formatCode="0.00_);[Red]\(0.00\)">
                  <c:v>0.39</c:v>
                </c:pt>
                <c:pt idx="223" c:formatCode="0.00_);[Red]\(0.00\)">
                  <c:v>0.43</c:v>
                </c:pt>
                <c:pt idx="224" c:formatCode="0.00_);[Red]\(0.00\)">
                  <c:v>28.37</c:v>
                </c:pt>
                <c:pt idx="225" c:formatCode="0.00_);[Red]\(0.00\)">
                  <c:v>41.095</c:v>
                </c:pt>
                <c:pt idx="226" c:formatCode="0.00_);[Red]\(0.00\)">
                  <c:v>15.09</c:v>
                </c:pt>
                <c:pt idx="227" c:formatCode="0.00_);[Red]\(0.00\)">
                  <c:v>0.6</c:v>
                </c:pt>
                <c:pt idx="228" c:formatCode="0.00_);[Red]\(0.00\)">
                  <c:v>1.01</c:v>
                </c:pt>
                <c:pt idx="229" c:formatCode="0.00_);[Red]\(0.00\)">
                  <c:v>0.52</c:v>
                </c:pt>
                <c:pt idx="230" c:formatCode="0.00_);[Red]\(0.00\)">
                  <c:v>3.21</c:v>
                </c:pt>
                <c:pt idx="231" c:formatCode="0.00_);[Red]\(0.00\)">
                  <c:v>1.05</c:v>
                </c:pt>
                <c:pt idx="232" c:formatCode="0.00_);[Red]\(0.00\)">
                  <c:v>4.79</c:v>
                </c:pt>
                <c:pt idx="233" c:formatCode="0.00_);[Red]\(0.00\)">
                  <c:v>0.73</c:v>
                </c:pt>
                <c:pt idx="234" c:formatCode="0.00_);[Red]\(0.00\)">
                  <c:v>0.93</c:v>
                </c:pt>
                <c:pt idx="235" c:formatCode="0.00_ ">
                  <c:v>0.45</c:v>
                </c:pt>
                <c:pt idx="236" c:formatCode="0.00_ ">
                  <c:v>0.86</c:v>
                </c:pt>
                <c:pt idx="237" c:formatCode="0.00_ ">
                  <c:v>0.24</c:v>
                </c:pt>
                <c:pt idx="238" c:formatCode="0.00_ ">
                  <c:v>0.32</c:v>
                </c:pt>
                <c:pt idx="239" c:formatCode="0.00_ ">
                  <c:v>0.44</c:v>
                </c:pt>
                <c:pt idx="240" c:formatCode="0.00_ ">
                  <c:v>0.61</c:v>
                </c:pt>
                <c:pt idx="241" c:formatCode="0.00_ ">
                  <c:v>0.54</c:v>
                </c:pt>
                <c:pt idx="242" c:formatCode="0.00_ ">
                  <c:v>1.31</c:v>
                </c:pt>
                <c:pt idx="243" c:formatCode="0.00_ ">
                  <c:v>0.5</c:v>
                </c:pt>
                <c:pt idx="244" c:formatCode="0.00_ ">
                  <c:v>3.92</c:v>
                </c:pt>
                <c:pt idx="245" c:formatCode="0.00_ ">
                  <c:v>2.56</c:v>
                </c:pt>
                <c:pt idx="246" c:formatCode="0.00_ ">
                  <c:v>30.07</c:v>
                </c:pt>
                <c:pt idx="247" c:formatCode="0.00_ ">
                  <c:v>5.49</c:v>
                </c:pt>
                <c:pt idx="248" c:formatCode="0.00_ ">
                  <c:v>1.15</c:v>
                </c:pt>
                <c:pt idx="249" c:formatCode="0.00_ ">
                  <c:v>4.59</c:v>
                </c:pt>
                <c:pt idx="250" c:formatCode="0.00_ ">
                  <c:v>0.53</c:v>
                </c:pt>
                <c:pt idx="251" c:formatCode="0.00_ ">
                  <c:v>0.94</c:v>
                </c:pt>
                <c:pt idx="252" c:formatCode="0.00_ ">
                  <c:v>0.76</c:v>
                </c:pt>
                <c:pt idx="253" c:formatCode="0.00_ ">
                  <c:v>0.45</c:v>
                </c:pt>
                <c:pt idx="254" c:formatCode="0.00_ ">
                  <c:v>0.445</c:v>
                </c:pt>
                <c:pt idx="255" c:formatCode="0.00_ ">
                  <c:v>0.55</c:v>
                </c:pt>
                <c:pt idx="256" c:formatCode="0.00_ ">
                  <c:v>0.8</c:v>
                </c:pt>
                <c:pt idx="257" c:formatCode="0.00_ ">
                  <c:v>0.46</c:v>
                </c:pt>
                <c:pt idx="258" c:formatCode="0.00_ ">
                  <c:v>2.5</c:v>
                </c:pt>
                <c:pt idx="259" c:formatCode="0.00_ ">
                  <c:v>0.28</c:v>
                </c:pt>
                <c:pt idx="260" c:formatCode="0.00_ ">
                  <c:v>1.01</c:v>
                </c:pt>
                <c:pt idx="261" c:formatCode="0.00_ ">
                  <c:v>2.01</c:v>
                </c:pt>
                <c:pt idx="262" c:formatCode="0.00_ ">
                  <c:v>0.84</c:v>
                </c:pt>
                <c:pt idx="263" c:formatCode="0.00_ ">
                  <c:v>17.84</c:v>
                </c:pt>
                <c:pt idx="264" c:formatCode="0.00_ ">
                  <c:v>11.25</c:v>
                </c:pt>
                <c:pt idx="265" c:formatCode="0.00_ ">
                  <c:v>1.78</c:v>
                </c:pt>
                <c:pt idx="266" c:formatCode="0.00_ ">
                  <c:v>2.28</c:v>
                </c:pt>
                <c:pt idx="267" c:formatCode="0.00_ ">
                  <c:v>0.03</c:v>
                </c:pt>
                <c:pt idx="268" c:formatCode="0.00_ ">
                  <c:v>4.54</c:v>
                </c:pt>
                <c:pt idx="269" c:formatCode="0.00_ ">
                  <c:v>14.5</c:v>
                </c:pt>
                <c:pt idx="270" c:formatCode="0.00_ ">
                  <c:v>1.72</c:v>
                </c:pt>
                <c:pt idx="271" c:formatCode="0.00_ ">
                  <c:v>1.75</c:v>
                </c:pt>
                <c:pt idx="272" c:formatCode="0.00_ ">
                  <c:v>0.42</c:v>
                </c:pt>
                <c:pt idx="273" c:formatCode="0.00_ ">
                  <c:v>7.46</c:v>
                </c:pt>
                <c:pt idx="274" c:formatCode="0.00_ ">
                  <c:v>1.06</c:v>
                </c:pt>
                <c:pt idx="275" c:formatCode="0.00_ ">
                  <c:v>3.81</c:v>
                </c:pt>
                <c:pt idx="276" c:formatCode="0.00_ ">
                  <c:v>0.38</c:v>
                </c:pt>
                <c:pt idx="277" c:formatCode="0.00_ ">
                  <c:v>2.41</c:v>
                </c:pt>
                <c:pt idx="278" c:formatCode="0.00_ ">
                  <c:v>1.93</c:v>
                </c:pt>
                <c:pt idx="279" c:formatCode="0.00_ ">
                  <c:v>5.57</c:v>
                </c:pt>
                <c:pt idx="280" c:formatCode="0.00_ ">
                  <c:v>0.62</c:v>
                </c:pt>
                <c:pt idx="281" c:formatCode="0.00_ ">
                  <c:v>0.52</c:v>
                </c:pt>
                <c:pt idx="282" c:formatCode="0.00_ ">
                  <c:v>0.67</c:v>
                </c:pt>
                <c:pt idx="283" c:formatCode="0.00_ ">
                  <c:v>0.95</c:v>
                </c:pt>
                <c:pt idx="284" c:formatCode="0.00_ ">
                  <c:v>0.78</c:v>
                </c:pt>
                <c:pt idx="285" c:formatCode="0.00_ ">
                  <c:v>1.24</c:v>
                </c:pt>
                <c:pt idx="286" c:formatCode="0.00_ ">
                  <c:v>12.93</c:v>
                </c:pt>
                <c:pt idx="287" c:formatCode="0.00_ ">
                  <c:v>1.34</c:v>
                </c:pt>
                <c:pt idx="288" c:formatCode="0.00_ ">
                  <c:v>0.98</c:v>
                </c:pt>
                <c:pt idx="289" c:formatCode="0.00_ ">
                  <c:v>14.16</c:v>
                </c:pt>
                <c:pt idx="290" c:formatCode="0.00_ ">
                  <c:v>0.98</c:v>
                </c:pt>
                <c:pt idx="291" c:formatCode="0.00_ ">
                  <c:v>1.685</c:v>
                </c:pt>
                <c:pt idx="292" c:formatCode="0.00_ ">
                  <c:v>25.92</c:v>
                </c:pt>
                <c:pt idx="293" c:formatCode="0.00_ ">
                  <c:v>47.63</c:v>
                </c:pt>
                <c:pt idx="294" c:formatCode="0.00_ ">
                  <c:v>2.17</c:v>
                </c:pt>
                <c:pt idx="295" c:formatCode="0.00_ ">
                  <c:v>12.33</c:v>
                </c:pt>
                <c:pt idx="296" c:formatCode="0.00_ ">
                  <c:v>18.75</c:v>
                </c:pt>
                <c:pt idx="297" c:formatCode="0.00_ ">
                  <c:v>7.01</c:v>
                </c:pt>
                <c:pt idx="298" c:formatCode="0.00_ ">
                  <c:v>1.57</c:v>
                </c:pt>
                <c:pt idx="299" c:formatCode="0.00_ ">
                  <c:v>7.72</c:v>
                </c:pt>
                <c:pt idx="300" c:formatCode="0.00_ ">
                  <c:v>22.18</c:v>
                </c:pt>
                <c:pt idx="301" c:formatCode="0.00_ ">
                  <c:v>18.26</c:v>
                </c:pt>
                <c:pt idx="302" c:formatCode="0.00_ ">
                  <c:v>21.61</c:v>
                </c:pt>
                <c:pt idx="303" c:formatCode="0.00_ ">
                  <c:v>4.03</c:v>
                </c:pt>
                <c:pt idx="304" c:formatCode="0.00_ ">
                  <c:v>16.43</c:v>
                </c:pt>
                <c:pt idx="305" c:formatCode="0.00_ ">
                  <c:v>5.63</c:v>
                </c:pt>
                <c:pt idx="306" c:formatCode="0.00_ ">
                  <c:v>3.93</c:v>
                </c:pt>
                <c:pt idx="307" c:formatCode="0.00_ ">
                  <c:v>0.59</c:v>
                </c:pt>
                <c:pt idx="308" c:formatCode="0.00_ ">
                  <c:v>0.42</c:v>
                </c:pt>
                <c:pt idx="309" c:formatCode="0.00_ ">
                  <c:v>0.48</c:v>
                </c:pt>
                <c:pt idx="310" c:formatCode="0.00_ ">
                  <c:v>0.32</c:v>
                </c:pt>
                <c:pt idx="311" c:formatCode="0.00_ ">
                  <c:v>0.26</c:v>
                </c:pt>
                <c:pt idx="312" c:formatCode="0.00_ ">
                  <c:v>0.72</c:v>
                </c:pt>
                <c:pt idx="313" c:formatCode="0.00_ ">
                  <c:v>1.03</c:v>
                </c:pt>
                <c:pt idx="314" c:formatCode="0.00_ ">
                  <c:v>1.26</c:v>
                </c:pt>
                <c:pt idx="315" c:formatCode="0.00_ ">
                  <c:v>0.52</c:v>
                </c:pt>
                <c:pt idx="316" c:formatCode="0.00_ ">
                  <c:v>0.37</c:v>
                </c:pt>
                <c:pt idx="317" c:formatCode="0.00_ ">
                  <c:v>1.18</c:v>
                </c:pt>
                <c:pt idx="318" c:formatCode="0.00_ ">
                  <c:v>0.76</c:v>
                </c:pt>
                <c:pt idx="319" c:formatCode="0.00_ ">
                  <c:v>0.84</c:v>
                </c:pt>
              </c:numCache>
            </c:numRef>
          </c:yVal>
          <c:smooth val="0"/>
        </c:ser>
        <c:dLbls>
          <c:showLegendKey val="0"/>
          <c:showVal val="0"/>
          <c:showCatName val="0"/>
          <c:showSerName val="0"/>
          <c:showPercent val="0"/>
          <c:showBubbleSize val="0"/>
        </c:dLbls>
        <c:axId val="621971770"/>
        <c:axId val="393724853"/>
      </c:scatterChart>
      <c:valAx>
        <c:axId val="621971770"/>
        <c:scaling>
          <c:orientation val="minMax"/>
        </c:scaling>
        <c:delete val="0"/>
        <c:axPos val="b"/>
        <c:majorGridlines>
          <c:spPr>
            <a:ln w="9525" cap="flat" cmpd="sng" algn="ctr">
              <a:noFill/>
              <a:prstDash val="solid"/>
              <a:round/>
            </a:ln>
            <a:effectLst/>
          </c:spPr>
        </c:majorGridlines>
        <c:title>
          <c:tx>
            <c:rich>
              <a:bodyPr rot="0" spcFirstLastPara="0" vertOverflow="ellipsis" vert="horz" wrap="square" anchor="ctr" anchorCtr="1"/>
              <a:lstStyle/>
              <a:p>
                <a:pPr defTabSz="914400">
                  <a:defRPr lang="zh-CN" sz="1000" b="1" i="0" u="none" strike="noStrike" kern="1200" baseline="0">
                    <a:solidFill>
                      <a:schemeClr val="tx1"/>
                    </a:solidFill>
                    <a:latin typeface="+mn-lt"/>
                    <a:ea typeface="+mn-ea"/>
                    <a:cs typeface="+mn-cs"/>
                  </a:defRPr>
                </a:pPr>
                <a:r>
                  <a:rPr lang="zh-CN" altLang="en-US"/>
                  <a:t>电导率（</a:t>
                </a:r>
                <a:r>
                  <a:rPr lang="en-US" altLang="zh-CN"/>
                  <a:t>mS/cm</a:t>
                </a:r>
                <a:r>
                  <a:rPr lang="en-US"/>
                  <a:t>）</a:t>
                </a:r>
                <a:endParaRPr lang="en-US"/>
              </a:p>
            </c:rich>
          </c:tx>
          <c:layout/>
          <c:overlay val="0"/>
        </c:title>
        <c:numFmt formatCode="0.00_);[Red]\(0.00\)" sourceLinked="0"/>
        <c:majorTickMark val="in"/>
        <c:minorTickMark val="none"/>
        <c:tickLblPos val="nextTo"/>
        <c:spPr>
          <a:noFill/>
          <a:ln w="9525" cap="flat" cmpd="sng" algn="ctr">
            <a:solidFill>
              <a:srgbClr val="000000"/>
            </a:solidFill>
            <a:prstDash val="solid"/>
            <a:round/>
          </a:ln>
          <a:effectLst/>
        </c:spPr>
        <c:txPr>
          <a:bodyPr rot="-60000000" spcFirstLastPara="0" vertOverflow="ellipsis" vert="horz" wrap="square" anchor="ctr" anchorCtr="1"/>
          <a:lstStyle/>
          <a:p>
            <a:pPr>
              <a:defRPr lang="zh-CN" sz="1000" b="0" i="0" u="none" strike="noStrike" kern="1200" cap="none" spc="0" normalizeH="0" baseline="0">
                <a:solidFill>
                  <a:srgbClr val="000000"/>
                </a:solidFill>
                <a:uFill>
                  <a:solidFill>
                    <a:schemeClr val="tx1">
                      <a:lumMod val="65000"/>
                      <a:lumOff val="35000"/>
                    </a:schemeClr>
                  </a:solidFill>
                </a:uFill>
                <a:latin typeface="Times New Roman" panose="02020603050405020304" charset="0"/>
                <a:ea typeface="+mn-ea"/>
                <a:cs typeface="+mn-cs"/>
              </a:defRPr>
            </a:pPr>
          </a:p>
        </c:txPr>
        <c:crossAx val="393724853"/>
        <c:crosses val="autoZero"/>
        <c:crossBetween val="midCat"/>
      </c:valAx>
      <c:valAx>
        <c:axId val="393724853"/>
        <c:scaling>
          <c:orientation val="minMax"/>
        </c:scaling>
        <c:delete val="0"/>
        <c:axPos val="l"/>
        <c:majorGridlines>
          <c:spPr>
            <a:ln w="9525" cap="flat" cmpd="sng" algn="ctr">
              <a:noFill/>
              <a:prstDash val="solid"/>
              <a:round/>
            </a:ln>
            <a:effectLst/>
          </c:spPr>
        </c:majorGridlines>
        <c:title>
          <c:tx>
            <c:rich>
              <a:bodyPr rot="-5400000" spcFirstLastPara="0" vertOverflow="ellipsis" vert="horz" wrap="square" anchor="ctr" anchorCtr="1"/>
              <a:lstStyle/>
              <a:p>
                <a:pPr defTabSz="914400">
                  <a:defRPr lang="zh-CN" sz="1000" b="1" i="0" u="none" strike="noStrike" kern="1200" baseline="0">
                    <a:solidFill>
                      <a:schemeClr val="tx1"/>
                    </a:solidFill>
                    <a:latin typeface="+mn-lt"/>
                    <a:ea typeface="+mn-ea"/>
                    <a:cs typeface="+mn-cs"/>
                  </a:defRPr>
                </a:pPr>
                <a:r>
                  <a:rPr lang="zh-CN" altLang="en-US"/>
                  <a:t>全盐量（</a:t>
                </a:r>
                <a:r>
                  <a:rPr lang="en-US" altLang="zh-CN"/>
                  <a:t>g/kg</a:t>
                </a:r>
                <a:r>
                  <a:rPr lang="en-US" altLang="en-US"/>
                  <a:t>）</a:t>
                </a:r>
                <a:endParaRPr lang="en-US" altLang="zh-CN"/>
              </a:p>
            </c:rich>
          </c:tx>
          <c:layout/>
          <c:overlay val="0"/>
        </c:title>
        <c:numFmt formatCode="#,##0.0_);[Red]\(#,##0.0\)" sourceLinked="0"/>
        <c:majorTickMark val="in"/>
        <c:minorTickMark val="none"/>
        <c:tickLblPos val="nextTo"/>
        <c:spPr>
          <a:noFill/>
          <a:ln w="9525" cap="flat" cmpd="sng" algn="ctr">
            <a:solidFill>
              <a:srgbClr val="000000">
                <a:alpha val="91000"/>
              </a:srgbClr>
            </a:solidFill>
            <a:prstDash val="solid"/>
            <a:round/>
          </a:ln>
          <a:effectLst/>
        </c:spPr>
        <c:txPr>
          <a:bodyPr rot="-60000000" spcFirstLastPara="0" vertOverflow="ellipsis" vert="horz" wrap="square" anchor="ctr" anchorCtr="1"/>
          <a:lstStyle/>
          <a:p>
            <a:pPr>
              <a:defRPr lang="zh-CN" sz="1000" b="0" i="0" u="none" strike="noStrike" kern="1200" cap="none" spc="0" normalizeH="0" baseline="0">
                <a:solidFill>
                  <a:srgbClr val="000000"/>
                </a:solidFill>
                <a:uFill>
                  <a:solidFill>
                    <a:schemeClr val="tx1">
                      <a:lumMod val="65000"/>
                      <a:lumOff val="35000"/>
                    </a:schemeClr>
                  </a:solidFill>
                </a:uFill>
                <a:latin typeface="Times New Roman" panose="02020603050405020304" charset="0"/>
                <a:ea typeface="+mn-ea"/>
                <a:cs typeface="+mn-cs"/>
              </a:defRPr>
            </a:pPr>
          </a:p>
        </c:txPr>
        <c:crossAx val="621971770"/>
        <c:crosses val="autoZero"/>
        <c:crossBetween val="midCat"/>
      </c:valAx>
      <c:spPr>
        <a:noFill/>
        <a:ln w="9525" cap="flat" cmpd="sng" algn="ctr">
          <a:solidFill>
            <a:schemeClr val="tx1">
              <a:lumMod val="15000"/>
              <a:lumOff val="85000"/>
            </a:schemeClr>
          </a:solidFill>
          <a:round/>
        </a:ln>
        <a:effectLst/>
      </c:spPr>
    </c:plotArea>
    <c:plotVisOnly val="1"/>
    <c:dispBlanksAs val="gap"/>
    <c:showDLblsOverMax val="0"/>
    <c:extLst>
      <c:ext uri="{0b15fc19-7d7d-44ad-8c2d-2c3a37ce22c3}">
        <chartProps xmlns="https://web.wps.cn/et/2018/main" chartId="{9ab252c9-839a-400c-aa78-d68f82d4df37}"/>
      </c:ext>
    </c:extLst>
  </c:chart>
  <c:spPr>
    <a:solidFill>
      <a:schemeClr val="bg1"/>
    </a:solidFill>
    <a:ln w="9525" cap="flat" cmpd="sng" algn="ctr">
      <a:no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5725</Words>
  <Characters>6234</Characters>
  <Lines>42</Lines>
  <Paragraphs>11</Paragraphs>
  <TotalTime>9</TotalTime>
  <ScaleCrop>false</ScaleCrop>
  <LinksUpToDate>false</LinksUpToDate>
  <CharactersWithSpaces>6334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2023-03-16T07:13:00Z</dcterms:created>
  <dc:creator>Administrator.DESKTOP-1SPC8DJ</dc:creator>
  <cp:lastModifiedBy>羽儿</cp:lastModifiedBy>
  <cp:lastPrinted>2024-10-17T04:16:00Z</cp:lastPrinted>
  <dcterms:modified xsi:type="dcterms:W3CDTF">2024-10-29T01:55:19Z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102DE4F7EE9C4826A5A03FE357F26C02_13</vt:lpwstr>
  </property>
</Properties>
</file>