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34FD71">
      <w:pPr>
        <w:jc w:val="center"/>
        <w:rPr>
          <w:rFonts w:ascii="宋体"/>
          <w:b/>
          <w:sz w:val="32"/>
          <w:szCs w:val="32"/>
        </w:rPr>
      </w:pPr>
    </w:p>
    <w:p w14:paraId="3ADCE9C2">
      <w:pPr>
        <w:jc w:val="center"/>
        <w:rPr>
          <w:rFonts w:ascii="宋体"/>
          <w:b/>
          <w:sz w:val="32"/>
          <w:szCs w:val="32"/>
        </w:rPr>
      </w:pPr>
    </w:p>
    <w:p w14:paraId="2D610AA0">
      <w:pPr>
        <w:jc w:val="center"/>
        <w:rPr>
          <w:rFonts w:ascii="宋体"/>
          <w:b/>
          <w:sz w:val="32"/>
          <w:szCs w:val="32"/>
        </w:rPr>
      </w:pPr>
    </w:p>
    <w:p w14:paraId="5934B2BE">
      <w:pPr>
        <w:spacing w:line="360" w:lineRule="auto"/>
        <w:jc w:val="center"/>
        <w:rPr>
          <w:rFonts w:ascii="黑体" w:eastAsia="黑体" w:hAnsiTheme="minorHAnsi" w:cstheme="minorBidi"/>
          <w:b/>
          <w:kern w:val="22"/>
          <w:sz w:val="44"/>
          <w:szCs w:val="44"/>
        </w:rPr>
      </w:pPr>
      <w:r>
        <w:rPr>
          <w:rFonts w:hint="eastAsia" w:ascii="黑体" w:eastAsia="黑体" w:hAnsiTheme="minorHAnsi" w:cstheme="minorBidi"/>
          <w:b/>
          <w:kern w:val="22"/>
          <w:sz w:val="44"/>
          <w:szCs w:val="44"/>
        </w:rPr>
        <w:t>山西省地方标准</w:t>
      </w:r>
    </w:p>
    <w:p w14:paraId="7F4DE23A">
      <w:pPr>
        <w:spacing w:line="360" w:lineRule="auto"/>
        <w:jc w:val="center"/>
        <w:rPr>
          <w:rFonts w:ascii="黑体" w:eastAsia="黑体" w:hAnsiTheme="minorHAnsi" w:cstheme="minorBidi"/>
          <w:b/>
          <w:kern w:val="22"/>
          <w:sz w:val="44"/>
          <w:szCs w:val="44"/>
        </w:rPr>
      </w:pPr>
      <w:r>
        <w:rPr>
          <w:rFonts w:hint="eastAsia" w:ascii="黑体" w:eastAsia="黑体" w:hAnsiTheme="minorHAnsi" w:cstheme="minorBidi"/>
          <w:b/>
          <w:kern w:val="22"/>
          <w:sz w:val="44"/>
          <w:szCs w:val="44"/>
        </w:rPr>
        <w:t>《</w:t>
      </w:r>
      <w:r>
        <w:rPr>
          <w:rFonts w:hint="eastAsia" w:ascii="黑体" w:eastAsia="黑体" w:hAnsiTheme="minorHAnsi" w:cstheme="minorBidi"/>
          <w:b/>
          <w:kern w:val="22"/>
          <w:sz w:val="44"/>
          <w:szCs w:val="44"/>
          <w:lang w:val="en-US" w:eastAsia="zh-CN"/>
        </w:rPr>
        <w:t>轻度盐碱地玉米覆膜种植技术规程</w:t>
      </w:r>
      <w:r>
        <w:rPr>
          <w:rFonts w:hint="eastAsia" w:ascii="黑体" w:eastAsia="黑体" w:hAnsiTheme="minorHAnsi" w:cstheme="minorBidi"/>
          <w:b/>
          <w:kern w:val="22"/>
          <w:sz w:val="44"/>
          <w:szCs w:val="44"/>
        </w:rPr>
        <w:t>》</w:t>
      </w:r>
    </w:p>
    <w:p w14:paraId="790429B1">
      <w:pPr>
        <w:spacing w:line="360" w:lineRule="auto"/>
        <w:jc w:val="center"/>
        <w:rPr>
          <w:rFonts w:ascii="黑体" w:eastAsia="黑体" w:hAnsiTheme="minorHAnsi" w:cstheme="minorBidi"/>
          <w:b/>
          <w:kern w:val="22"/>
          <w:sz w:val="44"/>
          <w:szCs w:val="44"/>
        </w:rPr>
      </w:pPr>
      <w:r>
        <w:rPr>
          <w:rFonts w:hint="eastAsia" w:ascii="黑体" w:eastAsia="黑体" w:hAnsiTheme="minorHAnsi" w:cstheme="minorBidi"/>
          <w:b/>
          <w:kern w:val="22"/>
          <w:sz w:val="44"/>
          <w:szCs w:val="44"/>
        </w:rPr>
        <w:t>编制说明</w:t>
      </w:r>
    </w:p>
    <w:p w14:paraId="5CB795A8">
      <w:pPr>
        <w:ind w:firstLine="643" w:firstLineChars="200"/>
        <w:rPr>
          <w:rFonts w:ascii="仿宋" w:hAnsi="仿宋" w:eastAsia="仿宋"/>
          <w:b/>
          <w:sz w:val="32"/>
          <w:szCs w:val="32"/>
        </w:rPr>
      </w:pPr>
    </w:p>
    <w:p w14:paraId="63C49519">
      <w:pPr>
        <w:ind w:firstLine="643" w:firstLineChars="200"/>
        <w:rPr>
          <w:rFonts w:ascii="仿宋" w:hAnsi="仿宋" w:eastAsia="仿宋"/>
          <w:b/>
          <w:sz w:val="32"/>
          <w:szCs w:val="32"/>
        </w:rPr>
      </w:pPr>
    </w:p>
    <w:p w14:paraId="17E207C0">
      <w:pPr>
        <w:ind w:firstLine="643" w:firstLineChars="200"/>
        <w:rPr>
          <w:rFonts w:ascii="仿宋" w:hAnsi="仿宋" w:eastAsia="仿宋"/>
          <w:b/>
          <w:sz w:val="32"/>
          <w:szCs w:val="32"/>
        </w:rPr>
      </w:pPr>
    </w:p>
    <w:p w14:paraId="3E3ED2FA">
      <w:pPr>
        <w:ind w:firstLine="643" w:firstLineChars="200"/>
        <w:rPr>
          <w:rFonts w:ascii="仿宋" w:hAnsi="仿宋" w:eastAsia="仿宋"/>
          <w:b/>
          <w:sz w:val="32"/>
          <w:szCs w:val="32"/>
        </w:rPr>
      </w:pPr>
    </w:p>
    <w:p w14:paraId="13C1EA7F">
      <w:pPr>
        <w:ind w:firstLine="643" w:firstLineChars="200"/>
        <w:rPr>
          <w:rFonts w:ascii="仿宋" w:hAnsi="仿宋" w:eastAsia="仿宋"/>
          <w:b/>
          <w:sz w:val="32"/>
          <w:szCs w:val="32"/>
        </w:rPr>
      </w:pPr>
    </w:p>
    <w:p w14:paraId="48E3E20E">
      <w:pPr>
        <w:ind w:firstLine="643" w:firstLineChars="200"/>
        <w:rPr>
          <w:rFonts w:ascii="仿宋" w:hAnsi="仿宋" w:eastAsia="仿宋"/>
          <w:b/>
          <w:sz w:val="32"/>
          <w:szCs w:val="32"/>
        </w:rPr>
      </w:pPr>
    </w:p>
    <w:p w14:paraId="0E354FE3">
      <w:pPr>
        <w:ind w:firstLine="643" w:firstLineChars="200"/>
        <w:rPr>
          <w:rFonts w:ascii="仿宋" w:hAnsi="仿宋" w:eastAsia="仿宋"/>
          <w:b/>
          <w:sz w:val="32"/>
          <w:szCs w:val="32"/>
        </w:rPr>
      </w:pPr>
    </w:p>
    <w:p w14:paraId="5E7DE589">
      <w:pPr>
        <w:ind w:firstLine="643" w:firstLineChars="200"/>
        <w:jc w:val="center"/>
        <w:rPr>
          <w:rFonts w:ascii="仿宋" w:hAnsi="仿宋" w:eastAsia="仿宋"/>
          <w:b/>
          <w:sz w:val="32"/>
          <w:szCs w:val="32"/>
        </w:rPr>
      </w:pPr>
    </w:p>
    <w:p w14:paraId="049E4921">
      <w:pPr>
        <w:ind w:firstLine="643" w:firstLineChars="200"/>
        <w:jc w:val="center"/>
        <w:rPr>
          <w:rFonts w:ascii="宋体"/>
          <w:b/>
          <w:sz w:val="32"/>
          <w:szCs w:val="32"/>
        </w:rPr>
      </w:pPr>
    </w:p>
    <w:p w14:paraId="647470AA">
      <w:pPr>
        <w:ind w:firstLine="643" w:firstLineChars="200"/>
        <w:jc w:val="center"/>
        <w:rPr>
          <w:rFonts w:ascii="宋体"/>
          <w:b/>
          <w:sz w:val="32"/>
          <w:szCs w:val="32"/>
        </w:rPr>
      </w:pPr>
    </w:p>
    <w:p w14:paraId="28A6EECC">
      <w:pPr>
        <w:ind w:firstLine="643" w:firstLineChars="200"/>
        <w:jc w:val="center"/>
        <w:rPr>
          <w:rFonts w:ascii="宋体"/>
          <w:b/>
          <w:sz w:val="32"/>
          <w:szCs w:val="32"/>
        </w:rPr>
      </w:pPr>
    </w:p>
    <w:p w14:paraId="19A9FF2D">
      <w:pPr>
        <w:spacing w:line="360" w:lineRule="auto"/>
        <w:jc w:val="center"/>
        <w:rPr>
          <w:rFonts w:hint="default" w:ascii="宋体" w:hAnsi="宋体" w:eastAsia="宋体"/>
          <w:b/>
          <w:kern w:val="22"/>
          <w:sz w:val="10"/>
          <w:szCs w:val="10"/>
          <w:lang w:val="en-US" w:eastAsia="zh-CN"/>
        </w:rPr>
      </w:pPr>
      <w:r>
        <w:rPr>
          <w:rFonts w:hint="eastAsia" w:ascii="宋体" w:hAnsi="宋体"/>
          <w:b/>
          <w:kern w:val="22"/>
          <w:sz w:val="32"/>
          <w:szCs w:val="32"/>
        </w:rPr>
        <w:t>编制单位：</w:t>
      </w:r>
      <w:r>
        <w:rPr>
          <w:rFonts w:hint="eastAsia" w:ascii="宋体" w:hAnsi="宋体"/>
          <w:b/>
          <w:kern w:val="22"/>
          <w:sz w:val="32"/>
          <w:szCs w:val="32"/>
          <w:lang w:val="en-US" w:eastAsia="zh-CN"/>
        </w:rPr>
        <w:t>山西农业大学</w:t>
      </w:r>
    </w:p>
    <w:p w14:paraId="7408C044">
      <w:pPr>
        <w:jc w:val="center"/>
        <w:rPr>
          <w:rFonts w:hint="eastAsia" w:ascii="宋体" w:hAnsi="宋体" w:eastAsia="宋体"/>
          <w:b/>
          <w:sz w:val="32"/>
          <w:szCs w:val="32"/>
          <w:lang w:val="en-US" w:eastAsia="zh-CN"/>
        </w:rPr>
      </w:pPr>
      <w:r>
        <w:rPr>
          <w:rFonts w:hint="eastAsia" w:ascii="宋体" w:hAnsi="宋体"/>
          <w:b/>
          <w:sz w:val="32"/>
          <w:szCs w:val="32"/>
        </w:rPr>
        <w:t>二〇</w:t>
      </w:r>
      <w:r>
        <w:rPr>
          <w:rFonts w:hint="eastAsia" w:ascii="宋体" w:hAnsi="宋体"/>
          <w:b/>
          <w:sz w:val="32"/>
          <w:szCs w:val="32"/>
          <w:lang w:eastAsia="zh-CN"/>
        </w:rPr>
        <w:t>二四</w:t>
      </w:r>
      <w:r>
        <w:rPr>
          <w:rFonts w:hint="eastAsia" w:ascii="宋体" w:hAnsi="宋体"/>
          <w:b/>
          <w:sz w:val="32"/>
          <w:szCs w:val="32"/>
        </w:rPr>
        <w:t>年</w:t>
      </w:r>
    </w:p>
    <w:p w14:paraId="29C265B1">
      <w:pPr>
        <w:jc w:val="center"/>
        <w:rPr>
          <w:rFonts w:ascii="宋体" w:hAnsi="宋体"/>
          <w:b/>
          <w:sz w:val="32"/>
          <w:szCs w:val="32"/>
        </w:rPr>
        <w:sectPr>
          <w:footerReference r:id="rId3" w:type="default"/>
          <w:pgSz w:w="11906" w:h="16838"/>
          <w:pgMar w:top="1440" w:right="1803" w:bottom="1440" w:left="1803" w:header="851" w:footer="992" w:gutter="0"/>
          <w:pgNumType w:start="1"/>
          <w:cols w:space="0" w:num="1"/>
          <w:titlePg/>
          <w:rtlGutter w:val="0"/>
          <w:docGrid w:type="lines" w:linePitch="319" w:charSpace="0"/>
        </w:sectPr>
      </w:pPr>
    </w:p>
    <w:p w14:paraId="615404B0">
      <w:pPr>
        <w:jc w:val="center"/>
        <w:rPr>
          <w:rFonts w:ascii="宋体" w:hAnsi="宋体"/>
          <w:b/>
          <w:sz w:val="32"/>
          <w:szCs w:val="32"/>
        </w:rPr>
        <w:sectPr>
          <w:pgSz w:w="11906" w:h="16838"/>
          <w:pgMar w:top="1440" w:right="1803" w:bottom="1440" w:left="1803" w:header="851" w:footer="992" w:gutter="0"/>
          <w:pgNumType w:start="1"/>
          <w:cols w:space="0" w:num="1"/>
          <w:titlePg/>
          <w:rtlGutter w:val="0"/>
          <w:docGrid w:type="lines" w:linePitch="319" w:charSpace="0"/>
        </w:sectPr>
      </w:pPr>
    </w:p>
    <w:p w14:paraId="4664D4DF">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ascii="宋体"/>
          <w:b/>
          <w:sz w:val="30"/>
          <w:szCs w:val="30"/>
        </w:rPr>
      </w:pPr>
      <w:r>
        <w:rPr>
          <w:rFonts w:hint="eastAsia" w:ascii="宋体" w:hAnsi="宋体"/>
          <w:b/>
          <w:sz w:val="30"/>
          <w:szCs w:val="30"/>
        </w:rPr>
        <w:t>山西省地方标准</w:t>
      </w:r>
    </w:p>
    <w:p w14:paraId="3F0CF5D8">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ascii="宋体"/>
          <w:b/>
          <w:sz w:val="30"/>
          <w:szCs w:val="30"/>
        </w:rPr>
      </w:pPr>
      <w:r>
        <w:rPr>
          <w:rFonts w:hint="eastAsia" w:ascii="宋体" w:hAnsi="宋体"/>
          <w:b/>
          <w:sz w:val="30"/>
          <w:szCs w:val="30"/>
        </w:rPr>
        <w:t>《</w:t>
      </w:r>
      <w:r>
        <w:rPr>
          <w:rFonts w:hint="eastAsia" w:ascii="宋体" w:hAnsi="宋体"/>
          <w:b/>
          <w:sz w:val="30"/>
          <w:szCs w:val="30"/>
          <w:lang w:val="en-US" w:eastAsia="zh-CN"/>
        </w:rPr>
        <w:t>轻度盐碱地玉米覆膜种植技术规程</w:t>
      </w:r>
      <w:r>
        <w:rPr>
          <w:rFonts w:hint="eastAsia" w:ascii="宋体" w:hAnsi="宋体"/>
          <w:b/>
          <w:sz w:val="30"/>
          <w:szCs w:val="30"/>
        </w:rPr>
        <w:t>》</w:t>
      </w:r>
    </w:p>
    <w:p w14:paraId="587A4493">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eastAsia" w:ascii="宋体" w:hAnsi="宋体"/>
          <w:b/>
          <w:sz w:val="30"/>
          <w:szCs w:val="30"/>
        </w:rPr>
      </w:pPr>
      <w:r>
        <w:rPr>
          <w:rFonts w:hint="eastAsia" w:ascii="宋体" w:hAnsi="宋体"/>
          <w:b/>
          <w:sz w:val="30"/>
          <w:szCs w:val="30"/>
        </w:rPr>
        <w:t>编制说明</w:t>
      </w:r>
    </w:p>
    <w:p w14:paraId="7DFABDB6">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eastAsia" w:ascii="宋体" w:hAnsi="宋体"/>
          <w:b/>
          <w:sz w:val="30"/>
          <w:szCs w:val="30"/>
        </w:rPr>
      </w:pPr>
    </w:p>
    <w:p w14:paraId="22A135C5">
      <w:pPr>
        <w:spacing w:line="360" w:lineRule="auto"/>
        <w:ind w:firstLine="480" w:firstLineChars="200"/>
        <w:outlineLvl w:val="0"/>
        <w:rPr>
          <w:rFonts w:ascii="黑体" w:eastAsia="黑体"/>
          <w:sz w:val="24"/>
        </w:rPr>
      </w:pPr>
      <w:r>
        <w:rPr>
          <w:rFonts w:hint="eastAsia" w:ascii="黑体" w:eastAsia="黑体"/>
          <w:sz w:val="24"/>
        </w:rPr>
        <w:t>一、工作简况</w:t>
      </w:r>
    </w:p>
    <w:p w14:paraId="6DC882B1">
      <w:pPr>
        <w:spacing w:line="360" w:lineRule="auto"/>
        <w:ind w:left="465"/>
        <w:outlineLvl w:val="1"/>
        <w:rPr>
          <w:rFonts w:ascii="楷体_GB2312" w:eastAsia="楷体_GB2312"/>
          <w:sz w:val="24"/>
        </w:rPr>
      </w:pPr>
      <w:r>
        <w:rPr>
          <w:rFonts w:hint="eastAsia" w:ascii="楷体_GB2312" w:eastAsia="楷体_GB2312"/>
          <w:sz w:val="24"/>
        </w:rPr>
        <w:t>1任务来源</w:t>
      </w:r>
    </w:p>
    <w:p w14:paraId="62300DC3">
      <w:pPr>
        <w:spacing w:line="360" w:lineRule="auto"/>
        <w:ind w:firstLine="480" w:firstLineChars="200"/>
        <w:jc w:val="left"/>
        <w:outlineLvl w:val="1"/>
        <w:rPr>
          <w:rFonts w:ascii="仿宋_GB2312" w:hAnsi="宋体" w:eastAsia="仿宋_GB2312"/>
          <w:sz w:val="24"/>
        </w:rPr>
      </w:pPr>
      <w:r>
        <w:rPr>
          <w:rFonts w:hint="default" w:ascii="Times New Roman" w:hAnsi="Times New Roman" w:eastAsia="仿宋_GB2312" w:cs="Times New Roman"/>
          <w:sz w:val="24"/>
          <w:lang w:val="en-US" w:eastAsia="zh-CN"/>
        </w:rPr>
        <w:t>按照</w:t>
      </w:r>
      <w:r>
        <w:rPr>
          <w:rFonts w:hint="default" w:ascii="Times New Roman" w:hAnsi="Times New Roman" w:eastAsia="仿宋_GB2312" w:cs="Times New Roman"/>
          <w:sz w:val="24"/>
        </w:rPr>
        <w:t>山西省市场监督管理局关于</w:t>
      </w:r>
      <w:r>
        <w:rPr>
          <w:rFonts w:hint="eastAsia" w:eastAsia="仿宋_GB2312" w:cs="Times New Roman"/>
          <w:sz w:val="24"/>
          <w:lang w:val="en-US" w:eastAsia="zh-CN"/>
        </w:rPr>
        <w:t>下达2024年度第一批地方标准复审修订项目计划的通知</w:t>
      </w:r>
      <w:r>
        <w:rPr>
          <w:rFonts w:hint="default" w:ascii="Times New Roman" w:hAnsi="Times New Roman" w:eastAsia="仿宋_GB2312" w:cs="Times New Roman"/>
          <w:sz w:val="24"/>
        </w:rPr>
        <w:t>（</w:t>
      </w:r>
      <w:r>
        <w:rPr>
          <w:rFonts w:hint="eastAsia" w:eastAsia="仿宋_GB2312" w:cs="Times New Roman"/>
          <w:sz w:val="24"/>
          <w:lang w:val="en-US" w:eastAsia="zh-CN"/>
        </w:rPr>
        <w:t>晋市监发 [2024] 33号</w:t>
      </w:r>
      <w:r>
        <w:rPr>
          <w:rFonts w:hint="default" w:ascii="Times New Roman" w:hAnsi="Times New Roman" w:eastAsia="仿宋_GB2312" w:cs="Times New Roman"/>
          <w:sz w:val="24"/>
        </w:rPr>
        <w:t>），《</w:t>
      </w:r>
      <w:r>
        <w:rPr>
          <w:rFonts w:hint="eastAsia" w:ascii="Times New Roman" w:hAnsi="Times New Roman" w:eastAsia="仿宋_GB2312" w:cs="Times New Roman"/>
          <w:sz w:val="24"/>
          <w:lang w:val="en-US" w:eastAsia="zh-CN"/>
        </w:rPr>
        <w:t>轻</w:t>
      </w:r>
      <w:r>
        <w:rPr>
          <w:rFonts w:hint="default" w:ascii="Times New Roman" w:hAnsi="Times New Roman" w:eastAsia="仿宋_GB2312" w:cs="Times New Roman"/>
          <w:sz w:val="24"/>
          <w:lang w:val="en-US" w:eastAsia="zh-CN"/>
        </w:rPr>
        <w:t>度盐碱地玉米高产栽培技术规程</w:t>
      </w:r>
      <w:r>
        <w:rPr>
          <w:rFonts w:hint="default" w:ascii="Times New Roman" w:hAnsi="Times New Roman" w:eastAsia="仿宋_GB2312" w:cs="Times New Roman"/>
          <w:sz w:val="24"/>
        </w:rPr>
        <w:t>》DB14/T</w:t>
      </w:r>
      <w:r>
        <w:rPr>
          <w:rFonts w:hint="default" w:ascii="Times New Roman" w:hAnsi="Times New Roman" w:eastAsia="仿宋_GB2312" w:cs="Times New Roman"/>
          <w:sz w:val="24"/>
          <w:lang w:val="en-US" w:eastAsia="zh-CN"/>
        </w:rPr>
        <w:t xml:space="preserve"> 81</w:t>
      </w:r>
      <w:r>
        <w:rPr>
          <w:rFonts w:hint="eastAsia" w:ascii="Times New Roman" w:hAnsi="Times New Roman" w:eastAsia="仿宋_GB2312" w:cs="Times New Roman"/>
          <w:sz w:val="24"/>
          <w:lang w:val="en-US" w:eastAsia="zh-CN"/>
        </w:rPr>
        <w:t>5</w:t>
      </w:r>
      <w:r>
        <w:rPr>
          <w:rFonts w:hint="default" w:ascii="Times New Roman" w:hAnsi="Times New Roman" w:eastAsia="仿宋_GB2312" w:cs="Times New Roman"/>
          <w:sz w:val="24"/>
        </w:rPr>
        <w:t>-</w:t>
      </w:r>
      <w:r>
        <w:rPr>
          <w:rFonts w:hint="default" w:ascii="Times New Roman" w:hAnsi="Times New Roman" w:eastAsia="仿宋_GB2312" w:cs="Times New Roman"/>
          <w:sz w:val="24"/>
          <w:lang w:val="en-US" w:eastAsia="zh-CN"/>
        </w:rPr>
        <w:t>2013被</w:t>
      </w:r>
      <w:r>
        <w:rPr>
          <w:rFonts w:hint="default" w:ascii="Times New Roman" w:hAnsi="Times New Roman" w:eastAsia="仿宋_GB2312" w:cs="Times New Roman"/>
          <w:sz w:val="24"/>
        </w:rPr>
        <w:t>列</w:t>
      </w:r>
      <w:r>
        <w:rPr>
          <w:rFonts w:hint="default" w:ascii="Times New Roman" w:hAnsi="Times New Roman" w:eastAsia="仿宋_GB2312" w:cs="Times New Roman"/>
          <w:sz w:val="24"/>
          <w:lang w:val="en-US" w:eastAsia="zh-CN"/>
        </w:rPr>
        <w:t>入</w:t>
      </w:r>
      <w:r>
        <w:rPr>
          <w:rFonts w:hint="default" w:ascii="Times New Roman" w:hAnsi="Times New Roman" w:eastAsia="仿宋_GB2312" w:cs="Times New Roman"/>
          <w:sz w:val="24"/>
        </w:rPr>
        <w:t>山西省地方标准修订计划，本标准由山西省农业标准化技术委员会（SXS/TC19）归口</w:t>
      </w:r>
      <w:r>
        <w:rPr>
          <w:rFonts w:hint="eastAsia" w:ascii="仿宋_GB2312" w:hAnsi="宋体" w:eastAsia="仿宋_GB2312"/>
          <w:sz w:val="24"/>
        </w:rPr>
        <w:t>。</w:t>
      </w:r>
    </w:p>
    <w:p w14:paraId="622266FB">
      <w:pPr>
        <w:spacing w:line="360" w:lineRule="auto"/>
        <w:ind w:left="465"/>
        <w:outlineLvl w:val="1"/>
        <w:rPr>
          <w:rFonts w:ascii="楷体_GB2312" w:eastAsia="楷体_GB2312"/>
          <w:sz w:val="24"/>
        </w:rPr>
      </w:pPr>
      <w:r>
        <w:rPr>
          <w:rFonts w:hint="eastAsia" w:ascii="楷体_GB2312" w:eastAsia="楷体_GB2312"/>
          <w:sz w:val="24"/>
        </w:rPr>
        <w:t>2 起草</w:t>
      </w:r>
      <w:r>
        <w:rPr>
          <w:rFonts w:ascii="楷体_GB2312" w:eastAsia="楷体_GB2312"/>
          <w:sz w:val="24"/>
        </w:rPr>
        <w:t>单位和主要起草人</w:t>
      </w:r>
    </w:p>
    <w:p w14:paraId="6462125B">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left"/>
        <w:textAlignment w:val="auto"/>
        <w:outlineLvl w:val="1"/>
        <w:rPr>
          <w:rFonts w:hint="eastAsia" w:ascii="仿宋_GB2312" w:hAnsi="宋体" w:eastAsia="仿宋_GB2312"/>
          <w:sz w:val="24"/>
        </w:rPr>
      </w:pPr>
      <w:r>
        <w:rPr>
          <w:rFonts w:hint="eastAsia" w:ascii="仿宋_GB2312" w:hAnsi="宋体" w:eastAsia="仿宋_GB2312"/>
          <w:sz w:val="24"/>
        </w:rPr>
        <w:t>本标准原实施单位为:山西省农业科学院农业环境与资源研究所。</w:t>
      </w:r>
    </w:p>
    <w:p w14:paraId="4F62E62E">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left"/>
        <w:textAlignment w:val="auto"/>
        <w:outlineLvl w:val="1"/>
        <w:rPr>
          <w:rFonts w:hint="eastAsia" w:ascii="仿宋_GB2312" w:hAnsi="宋体" w:eastAsia="仿宋_GB2312"/>
          <w:sz w:val="24"/>
        </w:rPr>
      </w:pPr>
      <w:r>
        <w:rPr>
          <w:rFonts w:hint="eastAsia" w:ascii="仿宋_GB2312" w:hAnsi="宋体" w:eastAsia="仿宋_GB2312"/>
          <w:sz w:val="24"/>
        </w:rPr>
        <w:t>本标准原起草人为:杨治平、张强、郭军玲、王永亮、郭彩霞</w:t>
      </w:r>
      <w:r>
        <w:rPr>
          <w:rFonts w:hint="eastAsia" w:ascii="仿宋_GB2312" w:hAnsi="宋体" w:eastAsia="仿宋_GB2312"/>
          <w:sz w:val="24"/>
          <w:lang w:eastAsia="zh-CN"/>
        </w:rPr>
        <w:t>、</w:t>
      </w:r>
      <w:r>
        <w:rPr>
          <w:rFonts w:hint="eastAsia" w:ascii="仿宋_GB2312" w:hAnsi="宋体" w:eastAsia="仿宋_GB2312"/>
          <w:sz w:val="24"/>
          <w:lang w:val="en-US" w:eastAsia="zh-CN"/>
        </w:rPr>
        <w:t>武文丽、郝保平</w:t>
      </w:r>
      <w:r>
        <w:rPr>
          <w:rFonts w:hint="eastAsia" w:ascii="仿宋_GB2312" w:hAnsi="宋体" w:eastAsia="仿宋_GB2312"/>
          <w:sz w:val="24"/>
        </w:rPr>
        <w:t>。</w:t>
      </w:r>
    </w:p>
    <w:p w14:paraId="4CCE94A0">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left"/>
        <w:textAlignment w:val="auto"/>
        <w:outlineLvl w:val="1"/>
        <w:rPr>
          <w:rFonts w:hint="eastAsia" w:ascii="仿宋_GB2312" w:hAnsi="宋体" w:eastAsia="仿宋_GB2312"/>
          <w:sz w:val="24"/>
        </w:rPr>
      </w:pPr>
      <w:r>
        <w:rPr>
          <w:rFonts w:hint="eastAsia" w:ascii="仿宋_GB2312" w:hAnsi="宋体" w:eastAsia="仿宋_GB2312"/>
          <w:sz w:val="24"/>
        </w:rPr>
        <w:t>因山西农业大学与山西省农业科学院合署，因此实施单位变更为：山西农业大学。本标准起草任务由山西农业大学承担。</w:t>
      </w:r>
    </w:p>
    <w:p w14:paraId="5BEEA256">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left"/>
        <w:textAlignment w:val="auto"/>
        <w:outlineLvl w:val="1"/>
        <w:rPr>
          <w:rFonts w:hint="eastAsia" w:ascii="仿宋_GB2312" w:hAnsi="宋体" w:eastAsia="仿宋_GB2312"/>
          <w:sz w:val="24"/>
          <w:lang w:eastAsia="zh-CN"/>
        </w:rPr>
      </w:pPr>
      <w:r>
        <w:rPr>
          <w:rFonts w:hint="eastAsia" w:ascii="仿宋_GB2312" w:hAnsi="宋体" w:eastAsia="仿宋_GB2312"/>
          <w:sz w:val="24"/>
        </w:rPr>
        <w:t>主要起草人员变更为：王永亮、杨治平、张强、</w:t>
      </w:r>
      <w:r>
        <w:rPr>
          <w:rFonts w:hint="eastAsia" w:ascii="仿宋_GB2312" w:hAnsi="宋体" w:eastAsia="仿宋_GB2312"/>
          <w:sz w:val="24"/>
          <w:lang w:val="en-US" w:eastAsia="zh-CN"/>
        </w:rPr>
        <w:t>白炬</w:t>
      </w:r>
      <w:r>
        <w:rPr>
          <w:rFonts w:hint="eastAsia" w:ascii="仿宋_GB2312" w:hAnsi="宋体" w:eastAsia="仿宋_GB2312"/>
          <w:sz w:val="24"/>
        </w:rPr>
        <w:t>、郭军玲、郭彩霞、</w:t>
      </w:r>
      <w:r>
        <w:rPr>
          <w:rFonts w:hint="eastAsia" w:ascii="仿宋_GB2312" w:hAnsi="宋体" w:eastAsia="仿宋_GB2312"/>
          <w:sz w:val="24"/>
          <w:lang w:val="en-US" w:eastAsia="zh-CN"/>
        </w:rPr>
        <w:t>郝保平</w:t>
      </w:r>
      <w:r>
        <w:rPr>
          <w:rFonts w:hint="eastAsia" w:ascii="仿宋_GB2312" w:hAnsi="宋体" w:eastAsia="仿宋_GB2312"/>
          <w:sz w:val="24"/>
          <w:lang w:eastAsia="zh-CN"/>
        </w:rPr>
        <w:t>。</w:t>
      </w:r>
    </w:p>
    <w:p w14:paraId="7D87863D">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left"/>
        <w:textAlignment w:val="auto"/>
        <w:outlineLvl w:val="1"/>
        <w:rPr>
          <w:rFonts w:ascii="仿宋_GB2312" w:hAnsi="宋体" w:eastAsia="仿宋_GB2312"/>
          <w:sz w:val="24"/>
        </w:rPr>
      </w:pPr>
      <w:r>
        <w:rPr>
          <w:rFonts w:hint="eastAsia" w:ascii="仿宋_GB2312" w:hAnsi="宋体" w:eastAsia="仿宋_GB2312"/>
          <w:sz w:val="24"/>
        </w:rPr>
        <w:t>鉴于对本标准实施过程的贡献程度，根据工作实际、人员工作变化、对本文件修订工作任务分工进行了适度调整，主要起草人信息见表1。</w:t>
      </w:r>
    </w:p>
    <w:p w14:paraId="7FDB72C9">
      <w:pPr>
        <w:spacing w:line="360" w:lineRule="auto"/>
        <w:ind w:firstLine="480" w:firstLineChars="200"/>
        <w:jc w:val="center"/>
        <w:outlineLvl w:val="1"/>
        <w:rPr>
          <w:rFonts w:ascii="仿宋_GB2312" w:hAnsi="宋体" w:eastAsia="仿宋_GB2312"/>
          <w:sz w:val="24"/>
        </w:rPr>
      </w:pPr>
      <w:r>
        <w:rPr>
          <w:rFonts w:hint="eastAsia" w:ascii="仿宋_GB2312" w:hAnsi="宋体" w:eastAsia="仿宋_GB2312"/>
          <w:sz w:val="24"/>
        </w:rPr>
        <w:t>表1</w:t>
      </w:r>
      <w:r>
        <w:rPr>
          <w:rFonts w:hint="eastAsia" w:ascii="仿宋_GB2312" w:hAnsi="宋体" w:eastAsia="仿宋_GB2312"/>
          <w:sz w:val="24"/>
          <w:lang w:val="en-US" w:eastAsia="zh-CN"/>
        </w:rPr>
        <w:t xml:space="preserve"> </w:t>
      </w:r>
      <w:r>
        <w:rPr>
          <w:rFonts w:ascii="仿宋_GB2312" w:hAnsi="宋体" w:eastAsia="仿宋_GB2312"/>
          <w:sz w:val="24"/>
        </w:rPr>
        <w:t>主要起草人信息</w:t>
      </w:r>
    </w:p>
    <w:tbl>
      <w:tblPr>
        <w:tblStyle w:val="12"/>
        <w:tblW w:w="84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2"/>
        <w:gridCol w:w="968"/>
        <w:gridCol w:w="2223"/>
        <w:gridCol w:w="2081"/>
        <w:gridCol w:w="1973"/>
      </w:tblGrid>
      <w:tr w14:paraId="58E9A9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1212" w:type="dxa"/>
          </w:tcPr>
          <w:p w14:paraId="73666254">
            <w:pPr>
              <w:spacing w:line="400" w:lineRule="exact"/>
              <w:jc w:val="center"/>
              <w:rPr>
                <w:rFonts w:ascii="仿宋" w:hAnsi="仿宋" w:eastAsia="仿宋" w:cs="Courier New"/>
                <w:sz w:val="24"/>
              </w:rPr>
            </w:pPr>
            <w:r>
              <w:rPr>
                <w:rFonts w:hint="eastAsia" w:ascii="仿宋" w:hAnsi="仿宋" w:eastAsia="仿宋" w:cs="Courier New"/>
                <w:sz w:val="24"/>
              </w:rPr>
              <w:t>姓名</w:t>
            </w:r>
          </w:p>
        </w:tc>
        <w:tc>
          <w:tcPr>
            <w:tcW w:w="968" w:type="dxa"/>
          </w:tcPr>
          <w:p w14:paraId="755E248C">
            <w:pPr>
              <w:spacing w:line="400" w:lineRule="exact"/>
              <w:jc w:val="center"/>
              <w:rPr>
                <w:rFonts w:ascii="仿宋" w:hAnsi="仿宋" w:eastAsia="仿宋" w:cs="Courier New"/>
                <w:sz w:val="24"/>
              </w:rPr>
            </w:pPr>
            <w:r>
              <w:rPr>
                <w:rFonts w:hint="eastAsia" w:ascii="仿宋" w:hAnsi="仿宋" w:eastAsia="仿宋" w:cs="Courier New"/>
                <w:sz w:val="24"/>
              </w:rPr>
              <w:t>性别</w:t>
            </w:r>
          </w:p>
        </w:tc>
        <w:tc>
          <w:tcPr>
            <w:tcW w:w="2223" w:type="dxa"/>
          </w:tcPr>
          <w:p w14:paraId="25079A69">
            <w:pPr>
              <w:spacing w:line="400" w:lineRule="exact"/>
              <w:jc w:val="center"/>
              <w:rPr>
                <w:rFonts w:ascii="仿宋" w:hAnsi="仿宋" w:eastAsia="仿宋" w:cs="Courier New"/>
                <w:sz w:val="24"/>
              </w:rPr>
            </w:pPr>
            <w:r>
              <w:rPr>
                <w:rFonts w:hint="eastAsia" w:ascii="仿宋" w:hAnsi="仿宋" w:eastAsia="仿宋" w:cs="Courier New"/>
                <w:sz w:val="24"/>
              </w:rPr>
              <w:t>职务/职称</w:t>
            </w:r>
          </w:p>
        </w:tc>
        <w:tc>
          <w:tcPr>
            <w:tcW w:w="2081" w:type="dxa"/>
          </w:tcPr>
          <w:p w14:paraId="06E0480F">
            <w:pPr>
              <w:spacing w:line="400" w:lineRule="exact"/>
              <w:jc w:val="center"/>
              <w:rPr>
                <w:rFonts w:ascii="仿宋" w:hAnsi="仿宋" w:eastAsia="仿宋" w:cs="Courier New"/>
                <w:sz w:val="24"/>
              </w:rPr>
            </w:pPr>
            <w:r>
              <w:rPr>
                <w:rFonts w:hint="eastAsia" w:ascii="仿宋" w:hAnsi="仿宋" w:eastAsia="仿宋" w:cs="Courier New"/>
                <w:sz w:val="24"/>
              </w:rPr>
              <w:t>工作单位</w:t>
            </w:r>
          </w:p>
        </w:tc>
        <w:tc>
          <w:tcPr>
            <w:tcW w:w="1973" w:type="dxa"/>
          </w:tcPr>
          <w:p w14:paraId="3B70C835">
            <w:pPr>
              <w:spacing w:line="400" w:lineRule="exact"/>
              <w:jc w:val="center"/>
              <w:rPr>
                <w:rFonts w:ascii="仿宋" w:hAnsi="仿宋" w:eastAsia="仿宋" w:cs="Courier New"/>
                <w:sz w:val="24"/>
              </w:rPr>
            </w:pPr>
            <w:r>
              <w:rPr>
                <w:rFonts w:hint="eastAsia" w:ascii="仿宋" w:hAnsi="仿宋" w:eastAsia="仿宋" w:cs="Courier New"/>
                <w:sz w:val="24"/>
              </w:rPr>
              <w:t>任务分工</w:t>
            </w:r>
          </w:p>
        </w:tc>
      </w:tr>
      <w:tr w14:paraId="7E82E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1212" w:type="dxa"/>
            <w:vAlign w:val="top"/>
          </w:tcPr>
          <w:p w14:paraId="5E82C23E">
            <w:pPr>
              <w:spacing w:line="400" w:lineRule="exact"/>
              <w:jc w:val="center"/>
              <w:rPr>
                <w:rFonts w:hint="eastAsia" w:ascii="Times New Roman" w:hAnsi="Times New Roman" w:eastAsia="宋体" w:cs="Times New Roman"/>
                <w:lang w:eastAsia="zh-CN"/>
              </w:rPr>
            </w:pPr>
            <w:r>
              <w:rPr>
                <w:rFonts w:hint="eastAsia" w:cs="Times New Roman"/>
                <w:lang w:val="en-US" w:eastAsia="zh-CN"/>
              </w:rPr>
              <w:t>王永亮</w:t>
            </w:r>
          </w:p>
        </w:tc>
        <w:tc>
          <w:tcPr>
            <w:tcW w:w="968" w:type="dxa"/>
            <w:vAlign w:val="top"/>
          </w:tcPr>
          <w:p w14:paraId="42E2DBB7">
            <w:pPr>
              <w:spacing w:line="400" w:lineRule="exact"/>
              <w:jc w:val="center"/>
              <w:rPr>
                <w:rFonts w:hint="eastAsia" w:ascii="仿宋" w:hAnsi="仿宋" w:eastAsia="仿宋" w:cs="Courier New"/>
                <w:sz w:val="24"/>
              </w:rPr>
            </w:pPr>
            <w:r>
              <w:rPr>
                <w:rFonts w:hint="eastAsia" w:ascii="仿宋" w:hAnsi="仿宋" w:eastAsia="仿宋" w:cs="Courier New"/>
                <w:sz w:val="24"/>
                <w:lang w:val="en-US" w:eastAsia="zh-CN"/>
              </w:rPr>
              <w:t>男</w:t>
            </w:r>
          </w:p>
        </w:tc>
        <w:tc>
          <w:tcPr>
            <w:tcW w:w="2223" w:type="dxa"/>
            <w:vAlign w:val="top"/>
          </w:tcPr>
          <w:p w14:paraId="759CA41A">
            <w:pPr>
              <w:tabs>
                <w:tab w:val="left" w:pos="380"/>
                <w:tab w:val="center" w:pos="802"/>
              </w:tabs>
              <w:spacing w:line="400" w:lineRule="exact"/>
              <w:jc w:val="center"/>
              <w:rPr>
                <w:rFonts w:hint="eastAsia" w:ascii="仿宋" w:hAnsi="仿宋" w:eastAsia="仿宋" w:cs="Courier New"/>
                <w:sz w:val="24"/>
                <w:lang w:eastAsia="zh-CN"/>
              </w:rPr>
            </w:pPr>
            <w:r>
              <w:rPr>
                <w:rFonts w:hint="eastAsia" w:ascii="仿宋" w:hAnsi="仿宋" w:eastAsia="仿宋" w:cs="Courier New"/>
                <w:sz w:val="24"/>
                <w:lang w:val="en-US" w:eastAsia="zh-CN"/>
              </w:rPr>
              <w:t>研究员</w:t>
            </w:r>
          </w:p>
        </w:tc>
        <w:tc>
          <w:tcPr>
            <w:tcW w:w="2081" w:type="dxa"/>
            <w:vAlign w:val="top"/>
          </w:tcPr>
          <w:p w14:paraId="2D18F73C">
            <w:pPr>
              <w:spacing w:line="400" w:lineRule="exact"/>
              <w:jc w:val="center"/>
              <w:rPr>
                <w:rFonts w:hint="eastAsia" w:ascii="仿宋" w:hAnsi="仿宋" w:eastAsia="仿宋" w:cs="Courier New"/>
                <w:sz w:val="24"/>
                <w:lang w:eastAsia="zh-CN"/>
              </w:rPr>
            </w:pPr>
            <w:r>
              <w:rPr>
                <w:rFonts w:hint="eastAsia" w:ascii="仿宋" w:hAnsi="仿宋" w:eastAsia="仿宋" w:cs="Courier New"/>
                <w:sz w:val="24"/>
                <w:lang w:val="en-US" w:eastAsia="zh-CN"/>
              </w:rPr>
              <w:t>山西农业大学</w:t>
            </w:r>
          </w:p>
        </w:tc>
        <w:tc>
          <w:tcPr>
            <w:tcW w:w="1973" w:type="dxa"/>
            <w:vAlign w:val="top"/>
          </w:tcPr>
          <w:p w14:paraId="00765A4F">
            <w:pPr>
              <w:spacing w:line="360" w:lineRule="auto"/>
              <w:jc w:val="center"/>
              <w:rPr>
                <w:rFonts w:hint="eastAsia" w:ascii="仿宋" w:hAnsi="仿宋" w:eastAsia="仿宋" w:cs="Courier New"/>
                <w:sz w:val="24"/>
              </w:rPr>
            </w:pPr>
            <w:r>
              <w:rPr>
                <w:rFonts w:hint="eastAsia" w:ascii="仿宋" w:hAnsi="仿宋" w:eastAsia="仿宋"/>
                <w:sz w:val="24"/>
              </w:rPr>
              <w:t>负责人主编人</w:t>
            </w:r>
          </w:p>
        </w:tc>
      </w:tr>
      <w:tr w14:paraId="56EC1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1212" w:type="dxa"/>
            <w:vAlign w:val="top"/>
          </w:tcPr>
          <w:p w14:paraId="57D4BB58">
            <w:pPr>
              <w:spacing w:line="400" w:lineRule="exact"/>
              <w:jc w:val="center"/>
              <w:rPr>
                <w:rFonts w:hint="eastAsia" w:ascii="Times New Roman" w:hAnsi="Times New Roman" w:eastAsia="宋体" w:cs="Times New Roman"/>
                <w:lang w:eastAsia="zh-CN"/>
              </w:rPr>
            </w:pPr>
            <w:r>
              <w:rPr>
                <w:rFonts w:hint="eastAsia" w:cs="Times New Roman"/>
                <w:lang w:val="en-US" w:eastAsia="zh-CN"/>
              </w:rPr>
              <w:t>杨治平</w:t>
            </w:r>
          </w:p>
        </w:tc>
        <w:tc>
          <w:tcPr>
            <w:tcW w:w="968" w:type="dxa"/>
            <w:vAlign w:val="top"/>
          </w:tcPr>
          <w:p w14:paraId="2265CD2E">
            <w:pPr>
              <w:spacing w:line="400" w:lineRule="exact"/>
              <w:jc w:val="center"/>
              <w:rPr>
                <w:rFonts w:hint="eastAsia" w:ascii="仿宋" w:hAnsi="仿宋" w:eastAsia="仿宋" w:cs="Courier New"/>
                <w:sz w:val="24"/>
              </w:rPr>
            </w:pPr>
            <w:r>
              <w:rPr>
                <w:rFonts w:hint="eastAsia" w:ascii="仿宋" w:hAnsi="仿宋" w:eastAsia="仿宋" w:cs="Courier New"/>
                <w:sz w:val="24"/>
                <w:lang w:val="en-US" w:eastAsia="zh-CN"/>
              </w:rPr>
              <w:t>女</w:t>
            </w:r>
          </w:p>
        </w:tc>
        <w:tc>
          <w:tcPr>
            <w:tcW w:w="2223" w:type="dxa"/>
            <w:vAlign w:val="top"/>
          </w:tcPr>
          <w:p w14:paraId="6B609505">
            <w:pPr>
              <w:spacing w:line="400" w:lineRule="exact"/>
              <w:jc w:val="center"/>
              <w:rPr>
                <w:rFonts w:hint="eastAsia" w:ascii="仿宋" w:hAnsi="仿宋" w:eastAsia="仿宋" w:cs="Courier New"/>
                <w:sz w:val="24"/>
                <w:lang w:eastAsia="zh-CN"/>
              </w:rPr>
            </w:pPr>
            <w:r>
              <w:rPr>
                <w:rFonts w:hint="eastAsia" w:ascii="仿宋" w:hAnsi="仿宋" w:eastAsia="仿宋" w:cs="Courier New"/>
                <w:sz w:val="24"/>
                <w:lang w:val="en-US" w:eastAsia="zh-CN"/>
              </w:rPr>
              <w:t>副院长/研究员</w:t>
            </w:r>
          </w:p>
        </w:tc>
        <w:tc>
          <w:tcPr>
            <w:tcW w:w="2081" w:type="dxa"/>
            <w:vAlign w:val="top"/>
          </w:tcPr>
          <w:p w14:paraId="455EF489">
            <w:pPr>
              <w:spacing w:line="400" w:lineRule="exact"/>
              <w:jc w:val="center"/>
              <w:rPr>
                <w:rFonts w:hint="eastAsia" w:ascii="仿宋" w:hAnsi="仿宋" w:eastAsia="仿宋" w:cs="Courier New"/>
                <w:sz w:val="24"/>
                <w:lang w:eastAsia="zh-CN"/>
              </w:rPr>
            </w:pPr>
            <w:r>
              <w:rPr>
                <w:rFonts w:hint="eastAsia" w:ascii="仿宋" w:hAnsi="仿宋" w:eastAsia="仿宋" w:cs="Courier New"/>
                <w:sz w:val="24"/>
                <w:lang w:val="en-US" w:eastAsia="zh-CN"/>
              </w:rPr>
              <w:t>山西农业大学</w:t>
            </w:r>
          </w:p>
        </w:tc>
        <w:tc>
          <w:tcPr>
            <w:tcW w:w="1973" w:type="dxa"/>
            <w:vAlign w:val="top"/>
          </w:tcPr>
          <w:p w14:paraId="2208D249">
            <w:pPr>
              <w:spacing w:line="360" w:lineRule="auto"/>
              <w:jc w:val="center"/>
              <w:rPr>
                <w:rFonts w:hint="default" w:ascii="仿宋" w:hAnsi="仿宋" w:eastAsia="仿宋" w:cs="Courier New"/>
                <w:sz w:val="24"/>
                <w:lang w:val="en-US" w:eastAsia="zh-CN"/>
              </w:rPr>
            </w:pPr>
            <w:r>
              <w:rPr>
                <w:rFonts w:hint="eastAsia" w:ascii="仿宋" w:hAnsi="仿宋" w:eastAsia="仿宋" w:cs="Courier New"/>
                <w:sz w:val="24"/>
                <w:lang w:val="en-US" w:eastAsia="zh-CN"/>
              </w:rPr>
              <w:t>参与编写</w:t>
            </w:r>
          </w:p>
        </w:tc>
      </w:tr>
      <w:tr w14:paraId="7F9BB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1212" w:type="dxa"/>
            <w:vAlign w:val="top"/>
          </w:tcPr>
          <w:p w14:paraId="6BBE23BC">
            <w:pPr>
              <w:spacing w:line="400" w:lineRule="exact"/>
              <w:jc w:val="center"/>
              <w:rPr>
                <w:rFonts w:hint="eastAsia" w:ascii="Times New Roman" w:hAnsi="Times New Roman" w:eastAsia="宋体" w:cs="Times New Roman"/>
                <w:lang w:eastAsia="zh-CN"/>
              </w:rPr>
            </w:pPr>
            <w:r>
              <w:rPr>
                <w:rFonts w:hint="eastAsia" w:cs="Times New Roman"/>
                <w:lang w:val="en-US" w:eastAsia="zh-CN"/>
              </w:rPr>
              <w:t>张强</w:t>
            </w:r>
          </w:p>
        </w:tc>
        <w:tc>
          <w:tcPr>
            <w:tcW w:w="968" w:type="dxa"/>
            <w:vAlign w:val="top"/>
          </w:tcPr>
          <w:p w14:paraId="310DB01A">
            <w:pPr>
              <w:spacing w:line="400" w:lineRule="exact"/>
              <w:jc w:val="center"/>
              <w:rPr>
                <w:rFonts w:hint="eastAsia" w:ascii="仿宋" w:hAnsi="仿宋" w:eastAsia="仿宋" w:cs="Courier New"/>
                <w:sz w:val="24"/>
              </w:rPr>
            </w:pPr>
            <w:r>
              <w:rPr>
                <w:rFonts w:hint="eastAsia" w:ascii="仿宋" w:hAnsi="仿宋" w:eastAsia="仿宋" w:cs="Courier New"/>
                <w:sz w:val="24"/>
                <w:lang w:val="en-US" w:eastAsia="zh-CN"/>
              </w:rPr>
              <w:t>男</w:t>
            </w:r>
          </w:p>
        </w:tc>
        <w:tc>
          <w:tcPr>
            <w:tcW w:w="2223" w:type="dxa"/>
            <w:vAlign w:val="top"/>
          </w:tcPr>
          <w:p w14:paraId="224E8415">
            <w:pPr>
              <w:spacing w:line="400" w:lineRule="exact"/>
              <w:jc w:val="center"/>
              <w:rPr>
                <w:rFonts w:hint="eastAsia" w:ascii="仿宋" w:hAnsi="仿宋" w:eastAsia="仿宋" w:cs="Courier New"/>
                <w:sz w:val="24"/>
                <w:lang w:eastAsia="zh-CN"/>
              </w:rPr>
            </w:pPr>
            <w:r>
              <w:rPr>
                <w:rFonts w:hint="eastAsia" w:ascii="仿宋" w:hAnsi="仿宋" w:eastAsia="仿宋" w:cs="Courier New"/>
                <w:sz w:val="24"/>
                <w:lang w:val="en-US" w:eastAsia="zh-CN"/>
              </w:rPr>
              <w:t>校长/研究员</w:t>
            </w:r>
          </w:p>
        </w:tc>
        <w:tc>
          <w:tcPr>
            <w:tcW w:w="2081" w:type="dxa"/>
            <w:vAlign w:val="top"/>
          </w:tcPr>
          <w:p w14:paraId="3C81B6DF">
            <w:pPr>
              <w:spacing w:line="400" w:lineRule="exact"/>
              <w:jc w:val="center"/>
              <w:rPr>
                <w:rFonts w:hint="eastAsia" w:ascii="仿宋" w:hAnsi="仿宋" w:eastAsia="仿宋" w:cs="Courier New"/>
                <w:sz w:val="24"/>
                <w:lang w:eastAsia="zh-CN"/>
              </w:rPr>
            </w:pPr>
            <w:r>
              <w:rPr>
                <w:rFonts w:hint="eastAsia" w:ascii="仿宋" w:hAnsi="仿宋" w:eastAsia="仿宋" w:cs="Courier New"/>
                <w:sz w:val="24"/>
                <w:lang w:val="en-US" w:eastAsia="zh-CN"/>
              </w:rPr>
              <w:t>山西农业大学</w:t>
            </w:r>
          </w:p>
        </w:tc>
        <w:tc>
          <w:tcPr>
            <w:tcW w:w="1973" w:type="dxa"/>
            <w:vAlign w:val="top"/>
          </w:tcPr>
          <w:p w14:paraId="43E55637">
            <w:pPr>
              <w:spacing w:line="360" w:lineRule="auto"/>
              <w:jc w:val="center"/>
              <w:rPr>
                <w:rFonts w:hint="default" w:ascii="仿宋" w:hAnsi="仿宋" w:eastAsia="仿宋" w:cs="Courier New"/>
                <w:sz w:val="24"/>
                <w:lang w:val="en-US" w:eastAsia="zh-CN"/>
              </w:rPr>
            </w:pPr>
            <w:r>
              <w:rPr>
                <w:rFonts w:hint="eastAsia" w:ascii="仿宋" w:hAnsi="仿宋" w:eastAsia="仿宋" w:cs="Courier New"/>
                <w:sz w:val="24"/>
                <w:lang w:val="en-US" w:eastAsia="zh-CN"/>
              </w:rPr>
              <w:t>参与编写</w:t>
            </w:r>
          </w:p>
        </w:tc>
      </w:tr>
      <w:tr w14:paraId="2A4D0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1212" w:type="dxa"/>
            <w:vAlign w:val="top"/>
          </w:tcPr>
          <w:p w14:paraId="4AAB302E">
            <w:pPr>
              <w:spacing w:line="400" w:lineRule="exact"/>
              <w:jc w:val="center"/>
              <w:rPr>
                <w:rFonts w:hint="eastAsia" w:ascii="Times New Roman" w:hAnsi="Times New Roman" w:eastAsia="宋体" w:cs="Times New Roman"/>
                <w:lang w:eastAsia="zh-CN"/>
              </w:rPr>
            </w:pPr>
            <w:r>
              <w:rPr>
                <w:rFonts w:hint="eastAsia" w:cs="Times New Roman"/>
                <w:lang w:val="en-US" w:eastAsia="zh-CN"/>
              </w:rPr>
              <w:t>白炬</w:t>
            </w:r>
          </w:p>
        </w:tc>
        <w:tc>
          <w:tcPr>
            <w:tcW w:w="968" w:type="dxa"/>
            <w:vAlign w:val="top"/>
          </w:tcPr>
          <w:p w14:paraId="73825860">
            <w:pPr>
              <w:spacing w:line="400" w:lineRule="exact"/>
              <w:jc w:val="center"/>
              <w:rPr>
                <w:rFonts w:hint="eastAsia" w:ascii="仿宋" w:hAnsi="仿宋" w:eastAsia="仿宋" w:cs="Courier New"/>
                <w:sz w:val="24"/>
              </w:rPr>
            </w:pPr>
            <w:r>
              <w:rPr>
                <w:rFonts w:hint="eastAsia" w:ascii="仿宋" w:hAnsi="仿宋" w:eastAsia="仿宋" w:cs="Courier New"/>
                <w:sz w:val="24"/>
                <w:lang w:val="en-US" w:eastAsia="zh-CN"/>
              </w:rPr>
              <w:t>男</w:t>
            </w:r>
          </w:p>
        </w:tc>
        <w:tc>
          <w:tcPr>
            <w:tcW w:w="2223" w:type="dxa"/>
            <w:vAlign w:val="top"/>
          </w:tcPr>
          <w:p w14:paraId="582B169F">
            <w:pPr>
              <w:spacing w:line="400" w:lineRule="exact"/>
              <w:jc w:val="center"/>
              <w:rPr>
                <w:rFonts w:hint="eastAsia" w:ascii="仿宋" w:hAnsi="仿宋" w:eastAsia="仿宋" w:cs="Courier New"/>
                <w:sz w:val="24"/>
                <w:lang w:eastAsia="zh-CN"/>
              </w:rPr>
            </w:pPr>
            <w:r>
              <w:rPr>
                <w:rFonts w:hint="eastAsia" w:ascii="仿宋" w:hAnsi="仿宋" w:eastAsia="仿宋" w:cs="Courier New"/>
                <w:sz w:val="24"/>
                <w:lang w:val="en-US" w:eastAsia="zh-CN"/>
              </w:rPr>
              <w:t>副研究员</w:t>
            </w:r>
          </w:p>
        </w:tc>
        <w:tc>
          <w:tcPr>
            <w:tcW w:w="2081" w:type="dxa"/>
            <w:vAlign w:val="top"/>
          </w:tcPr>
          <w:p w14:paraId="3B342E92">
            <w:pPr>
              <w:spacing w:line="400" w:lineRule="exact"/>
              <w:jc w:val="center"/>
              <w:rPr>
                <w:rFonts w:hint="eastAsia" w:ascii="仿宋" w:hAnsi="仿宋" w:eastAsia="仿宋" w:cs="Courier New"/>
                <w:sz w:val="24"/>
                <w:lang w:eastAsia="zh-CN"/>
              </w:rPr>
            </w:pPr>
            <w:r>
              <w:rPr>
                <w:rFonts w:hint="eastAsia" w:ascii="仿宋" w:hAnsi="仿宋" w:eastAsia="仿宋" w:cs="Courier New"/>
                <w:sz w:val="24"/>
                <w:lang w:val="en-US" w:eastAsia="zh-CN"/>
              </w:rPr>
              <w:t>山西农业大学</w:t>
            </w:r>
          </w:p>
        </w:tc>
        <w:tc>
          <w:tcPr>
            <w:tcW w:w="1973" w:type="dxa"/>
            <w:vAlign w:val="top"/>
          </w:tcPr>
          <w:p w14:paraId="4F81FBEC">
            <w:pPr>
              <w:spacing w:line="360" w:lineRule="auto"/>
              <w:jc w:val="center"/>
              <w:rPr>
                <w:rFonts w:hint="eastAsia" w:ascii="仿宋" w:hAnsi="仿宋" w:eastAsia="仿宋" w:cs="Courier New"/>
                <w:sz w:val="24"/>
              </w:rPr>
            </w:pPr>
            <w:r>
              <w:rPr>
                <w:rFonts w:hint="eastAsia" w:ascii="仿宋" w:hAnsi="仿宋" w:eastAsia="仿宋"/>
                <w:sz w:val="24"/>
              </w:rPr>
              <w:t>编写人</w:t>
            </w:r>
          </w:p>
        </w:tc>
      </w:tr>
      <w:tr w14:paraId="5C64F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1212" w:type="dxa"/>
            <w:vAlign w:val="top"/>
          </w:tcPr>
          <w:p w14:paraId="4A2B61FE">
            <w:pPr>
              <w:spacing w:line="400" w:lineRule="exact"/>
              <w:jc w:val="center"/>
              <w:rPr>
                <w:rFonts w:hint="eastAsia" w:ascii="Times New Roman" w:hAnsi="Times New Roman" w:eastAsia="宋体" w:cs="Times New Roman"/>
                <w:lang w:eastAsia="zh-CN"/>
              </w:rPr>
            </w:pPr>
            <w:r>
              <w:rPr>
                <w:rFonts w:hint="eastAsia" w:cs="Times New Roman"/>
                <w:lang w:val="en-US" w:eastAsia="zh-CN"/>
              </w:rPr>
              <w:t>郭军玲</w:t>
            </w:r>
          </w:p>
        </w:tc>
        <w:tc>
          <w:tcPr>
            <w:tcW w:w="968" w:type="dxa"/>
            <w:vAlign w:val="top"/>
          </w:tcPr>
          <w:p w14:paraId="582EB982">
            <w:pPr>
              <w:spacing w:line="400" w:lineRule="exact"/>
              <w:jc w:val="center"/>
              <w:rPr>
                <w:rFonts w:hint="eastAsia" w:ascii="仿宋" w:hAnsi="仿宋" w:eastAsia="仿宋" w:cs="Courier New"/>
                <w:sz w:val="24"/>
              </w:rPr>
            </w:pPr>
            <w:r>
              <w:rPr>
                <w:rFonts w:hint="eastAsia" w:ascii="仿宋" w:hAnsi="仿宋" w:eastAsia="仿宋" w:cs="Courier New"/>
                <w:sz w:val="24"/>
                <w:lang w:val="en-US" w:eastAsia="zh-CN"/>
              </w:rPr>
              <w:t>女</w:t>
            </w:r>
          </w:p>
        </w:tc>
        <w:tc>
          <w:tcPr>
            <w:tcW w:w="2223" w:type="dxa"/>
            <w:vAlign w:val="top"/>
          </w:tcPr>
          <w:p w14:paraId="78D938F4">
            <w:pPr>
              <w:spacing w:line="400" w:lineRule="exact"/>
              <w:jc w:val="center"/>
              <w:rPr>
                <w:rFonts w:hint="eastAsia" w:ascii="仿宋" w:hAnsi="仿宋" w:eastAsia="仿宋" w:cs="Courier New"/>
                <w:sz w:val="24"/>
                <w:lang w:eastAsia="zh-CN"/>
              </w:rPr>
            </w:pPr>
            <w:r>
              <w:rPr>
                <w:rFonts w:hint="eastAsia" w:ascii="仿宋" w:hAnsi="仿宋" w:eastAsia="仿宋" w:cs="Courier New"/>
                <w:sz w:val="24"/>
                <w:lang w:val="en-US" w:eastAsia="zh-CN"/>
              </w:rPr>
              <w:t>副研究员</w:t>
            </w:r>
          </w:p>
        </w:tc>
        <w:tc>
          <w:tcPr>
            <w:tcW w:w="2081" w:type="dxa"/>
            <w:vAlign w:val="top"/>
          </w:tcPr>
          <w:p w14:paraId="7DF6631D">
            <w:pPr>
              <w:spacing w:line="400" w:lineRule="exact"/>
              <w:jc w:val="center"/>
              <w:rPr>
                <w:rFonts w:hint="eastAsia" w:ascii="仿宋" w:hAnsi="仿宋" w:eastAsia="仿宋" w:cs="Courier New"/>
                <w:sz w:val="24"/>
                <w:lang w:eastAsia="zh-CN"/>
              </w:rPr>
            </w:pPr>
            <w:r>
              <w:rPr>
                <w:rFonts w:hint="eastAsia" w:ascii="仿宋" w:hAnsi="仿宋" w:eastAsia="仿宋" w:cs="Courier New"/>
                <w:sz w:val="24"/>
                <w:lang w:val="en-US" w:eastAsia="zh-CN"/>
              </w:rPr>
              <w:t>山西农业大学</w:t>
            </w:r>
          </w:p>
        </w:tc>
        <w:tc>
          <w:tcPr>
            <w:tcW w:w="1973" w:type="dxa"/>
            <w:vAlign w:val="top"/>
          </w:tcPr>
          <w:p w14:paraId="74632D20">
            <w:pPr>
              <w:spacing w:line="360" w:lineRule="auto"/>
              <w:jc w:val="center"/>
              <w:rPr>
                <w:rFonts w:hint="eastAsia" w:ascii="仿宋" w:hAnsi="仿宋" w:eastAsia="仿宋" w:cs="Courier New"/>
                <w:sz w:val="24"/>
              </w:rPr>
            </w:pPr>
            <w:r>
              <w:rPr>
                <w:rFonts w:hint="eastAsia" w:ascii="仿宋" w:hAnsi="仿宋" w:eastAsia="仿宋"/>
                <w:sz w:val="24"/>
              </w:rPr>
              <w:t>参与部分工作</w:t>
            </w:r>
          </w:p>
        </w:tc>
      </w:tr>
      <w:tr w14:paraId="6A80A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1212" w:type="dxa"/>
            <w:vAlign w:val="top"/>
          </w:tcPr>
          <w:p w14:paraId="2F92BC40">
            <w:pPr>
              <w:spacing w:line="400" w:lineRule="exact"/>
              <w:jc w:val="center"/>
              <w:rPr>
                <w:rFonts w:hint="eastAsia" w:ascii="Times New Roman" w:hAnsi="Times New Roman" w:eastAsia="宋体" w:cs="Times New Roman"/>
                <w:lang w:eastAsia="zh-CN"/>
              </w:rPr>
            </w:pPr>
            <w:r>
              <w:rPr>
                <w:rFonts w:hint="eastAsia" w:cs="Times New Roman"/>
                <w:lang w:val="en-US" w:eastAsia="zh-CN"/>
              </w:rPr>
              <w:t>郭彩霞</w:t>
            </w:r>
          </w:p>
        </w:tc>
        <w:tc>
          <w:tcPr>
            <w:tcW w:w="968" w:type="dxa"/>
            <w:vAlign w:val="top"/>
          </w:tcPr>
          <w:p w14:paraId="2D7190DF">
            <w:pPr>
              <w:spacing w:line="400" w:lineRule="exact"/>
              <w:jc w:val="center"/>
              <w:rPr>
                <w:rFonts w:hint="eastAsia" w:ascii="仿宋" w:hAnsi="仿宋" w:eastAsia="仿宋" w:cs="Courier New"/>
                <w:sz w:val="24"/>
              </w:rPr>
            </w:pPr>
            <w:r>
              <w:rPr>
                <w:rFonts w:hint="eastAsia" w:ascii="仿宋" w:hAnsi="仿宋" w:eastAsia="仿宋" w:cs="Courier New"/>
                <w:sz w:val="24"/>
                <w:lang w:val="en-US" w:eastAsia="zh-CN"/>
              </w:rPr>
              <w:t>女</w:t>
            </w:r>
          </w:p>
        </w:tc>
        <w:tc>
          <w:tcPr>
            <w:tcW w:w="2223" w:type="dxa"/>
            <w:vAlign w:val="top"/>
          </w:tcPr>
          <w:p w14:paraId="535FBEEC">
            <w:pPr>
              <w:spacing w:line="400" w:lineRule="exact"/>
              <w:jc w:val="center"/>
              <w:rPr>
                <w:rFonts w:hint="eastAsia" w:ascii="仿宋" w:hAnsi="仿宋" w:eastAsia="仿宋" w:cs="Courier New"/>
                <w:sz w:val="24"/>
                <w:lang w:eastAsia="zh-CN"/>
              </w:rPr>
            </w:pPr>
            <w:r>
              <w:rPr>
                <w:rFonts w:hint="eastAsia" w:ascii="仿宋" w:hAnsi="仿宋" w:eastAsia="仿宋" w:cs="Courier New"/>
                <w:sz w:val="24"/>
                <w:lang w:val="en-US" w:eastAsia="zh-CN"/>
              </w:rPr>
              <w:t>副研究员</w:t>
            </w:r>
          </w:p>
        </w:tc>
        <w:tc>
          <w:tcPr>
            <w:tcW w:w="2081" w:type="dxa"/>
            <w:vAlign w:val="top"/>
          </w:tcPr>
          <w:p w14:paraId="6BB506DD">
            <w:pPr>
              <w:spacing w:line="400" w:lineRule="exact"/>
              <w:jc w:val="center"/>
              <w:rPr>
                <w:rFonts w:hint="eastAsia" w:ascii="仿宋" w:hAnsi="仿宋" w:eastAsia="仿宋" w:cs="Courier New"/>
                <w:sz w:val="24"/>
                <w:lang w:eastAsia="zh-CN"/>
              </w:rPr>
            </w:pPr>
            <w:r>
              <w:rPr>
                <w:rFonts w:hint="eastAsia" w:ascii="仿宋" w:hAnsi="仿宋" w:eastAsia="仿宋" w:cs="Courier New"/>
                <w:sz w:val="24"/>
                <w:lang w:val="en-US" w:eastAsia="zh-CN"/>
              </w:rPr>
              <w:t>山西农业大学</w:t>
            </w:r>
          </w:p>
        </w:tc>
        <w:tc>
          <w:tcPr>
            <w:tcW w:w="1973" w:type="dxa"/>
            <w:vAlign w:val="top"/>
          </w:tcPr>
          <w:p w14:paraId="52DD17A7">
            <w:pPr>
              <w:spacing w:line="360" w:lineRule="auto"/>
              <w:jc w:val="center"/>
              <w:rPr>
                <w:rFonts w:hint="eastAsia" w:ascii="仿宋" w:hAnsi="仿宋" w:eastAsia="仿宋" w:cs="Courier New"/>
                <w:sz w:val="24"/>
              </w:rPr>
            </w:pPr>
            <w:r>
              <w:rPr>
                <w:rFonts w:hint="eastAsia" w:ascii="仿宋" w:hAnsi="仿宋" w:eastAsia="仿宋"/>
                <w:sz w:val="24"/>
              </w:rPr>
              <w:t>参与部分工作</w:t>
            </w:r>
          </w:p>
        </w:tc>
      </w:tr>
      <w:tr w14:paraId="21DFF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trPr>
        <w:tc>
          <w:tcPr>
            <w:tcW w:w="1212" w:type="dxa"/>
            <w:vAlign w:val="top"/>
          </w:tcPr>
          <w:p w14:paraId="13F07666">
            <w:pPr>
              <w:spacing w:line="400" w:lineRule="exact"/>
              <w:jc w:val="center"/>
              <w:rPr>
                <w:rFonts w:hint="eastAsia" w:ascii="Times New Roman" w:hAnsi="Times New Roman" w:eastAsia="宋体" w:cs="Times New Roman"/>
                <w:lang w:eastAsia="zh-CN"/>
              </w:rPr>
            </w:pPr>
            <w:r>
              <w:rPr>
                <w:rFonts w:hint="eastAsia" w:cs="Times New Roman"/>
                <w:lang w:val="en-US" w:eastAsia="zh-CN"/>
              </w:rPr>
              <w:t>郝保平</w:t>
            </w:r>
          </w:p>
        </w:tc>
        <w:tc>
          <w:tcPr>
            <w:tcW w:w="968" w:type="dxa"/>
            <w:vAlign w:val="top"/>
          </w:tcPr>
          <w:p w14:paraId="769D2AC8">
            <w:pPr>
              <w:spacing w:line="400" w:lineRule="exact"/>
              <w:jc w:val="center"/>
              <w:rPr>
                <w:rFonts w:hint="eastAsia" w:ascii="仿宋" w:hAnsi="仿宋" w:eastAsia="仿宋" w:cs="Courier New"/>
                <w:sz w:val="24"/>
              </w:rPr>
            </w:pPr>
            <w:r>
              <w:rPr>
                <w:rFonts w:hint="eastAsia" w:ascii="仿宋" w:hAnsi="仿宋" w:eastAsia="仿宋" w:cs="Courier New"/>
                <w:sz w:val="24"/>
                <w:lang w:val="en-US" w:eastAsia="zh-CN"/>
              </w:rPr>
              <w:t>男</w:t>
            </w:r>
          </w:p>
        </w:tc>
        <w:tc>
          <w:tcPr>
            <w:tcW w:w="2223" w:type="dxa"/>
            <w:vAlign w:val="top"/>
          </w:tcPr>
          <w:p w14:paraId="75D51582">
            <w:pPr>
              <w:spacing w:line="400" w:lineRule="exact"/>
              <w:jc w:val="center"/>
              <w:rPr>
                <w:rFonts w:hint="eastAsia" w:ascii="仿宋" w:hAnsi="仿宋" w:eastAsia="仿宋" w:cs="Courier New"/>
                <w:sz w:val="24"/>
                <w:lang w:eastAsia="zh-CN"/>
              </w:rPr>
            </w:pPr>
            <w:r>
              <w:rPr>
                <w:rFonts w:hint="eastAsia" w:ascii="仿宋" w:hAnsi="仿宋" w:eastAsia="仿宋" w:cs="Courier New"/>
                <w:sz w:val="24"/>
                <w:lang w:val="en-US" w:eastAsia="zh-CN"/>
              </w:rPr>
              <w:t>副研究员</w:t>
            </w:r>
          </w:p>
        </w:tc>
        <w:tc>
          <w:tcPr>
            <w:tcW w:w="2081" w:type="dxa"/>
            <w:vAlign w:val="top"/>
          </w:tcPr>
          <w:p w14:paraId="5A555317">
            <w:pPr>
              <w:spacing w:line="400" w:lineRule="exact"/>
              <w:jc w:val="center"/>
              <w:rPr>
                <w:rFonts w:hint="eastAsia" w:ascii="仿宋" w:hAnsi="仿宋" w:eastAsia="仿宋" w:cs="Courier New"/>
                <w:sz w:val="24"/>
                <w:lang w:eastAsia="zh-CN"/>
              </w:rPr>
            </w:pPr>
            <w:r>
              <w:rPr>
                <w:rFonts w:hint="eastAsia" w:ascii="仿宋" w:hAnsi="仿宋" w:eastAsia="仿宋" w:cs="Courier New"/>
                <w:sz w:val="24"/>
                <w:lang w:val="en-US" w:eastAsia="zh-CN"/>
              </w:rPr>
              <w:t>山西农业大学</w:t>
            </w:r>
          </w:p>
        </w:tc>
        <w:tc>
          <w:tcPr>
            <w:tcW w:w="1973" w:type="dxa"/>
            <w:vAlign w:val="top"/>
          </w:tcPr>
          <w:p w14:paraId="65AE75CA">
            <w:pPr>
              <w:spacing w:line="360" w:lineRule="auto"/>
              <w:jc w:val="center"/>
              <w:rPr>
                <w:rFonts w:hint="eastAsia" w:ascii="仿宋" w:hAnsi="仿宋" w:eastAsia="仿宋" w:cs="Courier New"/>
                <w:sz w:val="24"/>
              </w:rPr>
            </w:pPr>
            <w:r>
              <w:rPr>
                <w:rFonts w:hint="eastAsia" w:ascii="仿宋" w:hAnsi="仿宋" w:eastAsia="仿宋"/>
                <w:sz w:val="24"/>
              </w:rPr>
              <w:t>参与部分工作</w:t>
            </w:r>
          </w:p>
        </w:tc>
      </w:tr>
    </w:tbl>
    <w:p w14:paraId="41E6C454">
      <w:pPr>
        <w:spacing w:line="360" w:lineRule="auto"/>
        <w:ind w:firstLine="480" w:firstLineChars="200"/>
        <w:outlineLvl w:val="0"/>
        <w:rPr>
          <w:rFonts w:ascii="楷体" w:hAnsi="楷体" w:eastAsia="楷体" w:cs="Courier New"/>
          <w:sz w:val="28"/>
          <w:szCs w:val="28"/>
        </w:rPr>
      </w:pPr>
      <w:r>
        <w:rPr>
          <w:rFonts w:ascii="黑体" w:eastAsia="黑体"/>
          <w:sz w:val="24"/>
        </w:rPr>
        <w:t>二、</w:t>
      </w:r>
      <w:r>
        <w:rPr>
          <w:rFonts w:hint="eastAsia" w:ascii="黑体" w:eastAsia="黑体"/>
          <w:sz w:val="24"/>
        </w:rPr>
        <w:t>修</w:t>
      </w:r>
      <w:r>
        <w:rPr>
          <w:rFonts w:ascii="黑体" w:eastAsia="黑体"/>
          <w:sz w:val="24"/>
        </w:rPr>
        <w:t>订标准的必要性和意义</w:t>
      </w:r>
    </w:p>
    <w:p w14:paraId="4A2CCD9C">
      <w:pPr>
        <w:spacing w:line="360" w:lineRule="auto"/>
        <w:ind w:firstLine="480" w:firstLineChars="200"/>
        <w:outlineLvl w:val="0"/>
        <w:rPr>
          <w:rFonts w:hint="eastAsia" w:ascii="仿宋_GB2312" w:hAnsi="仿宋" w:eastAsia="仿宋_GB2312" w:cs="Times New Roman"/>
          <w:sz w:val="24"/>
          <w:szCs w:val="24"/>
          <w:lang w:val="en-US" w:eastAsia="zh-CN"/>
        </w:rPr>
      </w:pPr>
      <w:r>
        <w:rPr>
          <w:rFonts w:hint="eastAsia" w:ascii="仿宋_GB2312" w:hAnsi="仿宋" w:eastAsia="仿宋_GB2312" w:cs="Times New Roman"/>
          <w:sz w:val="24"/>
          <w:szCs w:val="24"/>
          <w:lang w:val="en-US" w:eastAsia="zh-CN"/>
        </w:rPr>
        <w:t>我国盐渍化土壤面积达9913.3万公顷，其中内陆型盐渍土面积最大，包括西北、东北和黄河中上游地区,是宝贵的后备土地资源。山西省现有盐碱地451.9万亩，其中耕地面积315.5万亩，占盐碱地面积的70%，是我省重要的耕地储备区域。但由于盐渍土地区地形复杂、土壤成因条件不同，土壤盐碱形成的原因与空间分布差异较大，增加了盐渍土治理难度，盐碱障碍已成为盐碱区域发展中迫切需要解决的重要问题，改良利用盐碱地,有效增加耕地面积，恢复退化生态，提高农业综合生产能力，对于保障我国粮食安全和生态安全具有重要意义。</w:t>
      </w:r>
    </w:p>
    <w:p w14:paraId="557B152B">
      <w:pPr>
        <w:spacing w:line="360" w:lineRule="auto"/>
        <w:ind w:firstLine="480" w:firstLineChars="200"/>
        <w:outlineLvl w:val="0"/>
        <w:rPr>
          <w:rFonts w:hint="eastAsia" w:ascii="仿宋_GB2312" w:hAnsi="仿宋" w:eastAsia="仿宋_GB2312" w:cs="Times New Roman"/>
          <w:sz w:val="24"/>
          <w:szCs w:val="24"/>
          <w:lang w:val="en-US" w:eastAsia="zh-CN"/>
        </w:rPr>
      </w:pPr>
      <w:r>
        <w:rPr>
          <w:rFonts w:hint="eastAsia" w:ascii="仿宋_GB2312" w:hAnsi="仿宋" w:eastAsia="仿宋_GB2312" w:cs="Times New Roman"/>
          <w:sz w:val="24"/>
          <w:szCs w:val="24"/>
          <w:lang w:val="en-US" w:eastAsia="zh-CN"/>
        </w:rPr>
        <w:t>其中，轻度盐碱耕地由于盐碱程度低，改良难度小、易利用，具有很强开发利用价值。同时，玉米作为我省第一大粮食作物，具有产量高、适应性强、抗逆性强等特点，被广泛种植在轻中度退化耕地。所以制定合理的轻度盐碱地玉米高产栽培技术规程，有利于我省轻度盐碱地的科学改良和合理开发利用，并且对于保证我省粮食生产以及国家粮食安全具有重要意义。</w:t>
      </w:r>
    </w:p>
    <w:p w14:paraId="25C96E88">
      <w:pPr>
        <w:spacing w:line="360" w:lineRule="auto"/>
        <w:ind w:firstLine="480" w:firstLineChars="200"/>
        <w:outlineLvl w:val="0"/>
        <w:rPr>
          <w:rFonts w:hint="eastAsia" w:ascii="仿宋_GB2312" w:hAnsi="仿宋" w:eastAsia="仿宋_GB2312" w:cs="Times New Roman"/>
          <w:sz w:val="24"/>
          <w:szCs w:val="24"/>
          <w:lang w:val="en-US" w:eastAsia="zh-CN"/>
        </w:rPr>
      </w:pPr>
      <w:r>
        <w:rPr>
          <w:rFonts w:hint="eastAsia" w:ascii="仿宋_GB2312" w:hAnsi="仿宋" w:eastAsia="仿宋_GB2312" w:cs="Times New Roman"/>
          <w:sz w:val="24"/>
          <w:szCs w:val="24"/>
          <w:lang w:val="en-US" w:eastAsia="zh-CN"/>
        </w:rPr>
        <w:t>但是，目前现行标准DB14/T 815-2013《轻度盐碱地玉米高产栽培技术规程》的颁布实施已10余年，与新形势下的轻度盐碱地利用、玉米高产栽培以及环境保护方面的工作存在较大差距，主要体现在农机更新、膜下滴灌的普及、盐碱地改良物料的更新、专用肥料的研发创新以及环境保护等方面。原有标准内的部分内容已无法满足目前农户的在轻度盐碱地的玉米高产栽培技术需求。</w:t>
      </w:r>
    </w:p>
    <w:p w14:paraId="3204F143">
      <w:pPr>
        <w:spacing w:line="360" w:lineRule="auto"/>
        <w:ind w:firstLine="480" w:firstLineChars="200"/>
        <w:outlineLvl w:val="0"/>
        <w:rPr>
          <w:rFonts w:hint="eastAsia" w:ascii="仿宋_GB2312" w:hAnsi="仿宋" w:eastAsia="仿宋_GB2312" w:cs="Times New Roman"/>
          <w:sz w:val="24"/>
          <w:szCs w:val="24"/>
          <w:lang w:val="en-US" w:eastAsia="zh-CN"/>
        </w:rPr>
      </w:pPr>
      <w:r>
        <w:rPr>
          <w:rFonts w:hint="eastAsia" w:ascii="仿宋_GB2312" w:hAnsi="仿宋" w:eastAsia="仿宋_GB2312" w:cs="Times New Roman"/>
          <w:sz w:val="24"/>
          <w:szCs w:val="24"/>
          <w:lang w:val="en-US" w:eastAsia="zh-CN"/>
        </w:rPr>
        <w:t>标准的及时修订可更好地指导农户科学施肥、合理用水、科学改良土壤的同时还能提高产量，减少环境污染，提高农产品品质，对提升我省退化耕地质量，保证粮食生产能力有重要指导作用，具有较强的社会、经济、生态效益。</w:t>
      </w:r>
    </w:p>
    <w:p w14:paraId="0EDB408F">
      <w:pPr>
        <w:spacing w:line="360" w:lineRule="auto"/>
        <w:ind w:firstLine="480" w:firstLineChars="200"/>
        <w:outlineLvl w:val="0"/>
        <w:rPr>
          <w:rFonts w:ascii="黑体" w:eastAsia="黑体"/>
          <w:sz w:val="24"/>
        </w:rPr>
      </w:pPr>
      <w:r>
        <w:rPr>
          <w:rFonts w:ascii="黑体" w:eastAsia="黑体"/>
          <w:sz w:val="24"/>
        </w:rPr>
        <w:t>三、主要</w:t>
      </w:r>
      <w:r>
        <w:rPr>
          <w:rFonts w:hint="eastAsia" w:ascii="黑体" w:eastAsia="黑体"/>
          <w:sz w:val="24"/>
        </w:rPr>
        <w:t>修订</w:t>
      </w:r>
      <w:r>
        <w:rPr>
          <w:rFonts w:ascii="黑体" w:eastAsia="黑体"/>
          <w:sz w:val="24"/>
        </w:rPr>
        <w:t>工作过程</w:t>
      </w:r>
    </w:p>
    <w:p w14:paraId="1A84A0E3">
      <w:pPr>
        <w:spacing w:line="360" w:lineRule="auto"/>
        <w:ind w:firstLine="480" w:firstLineChars="200"/>
        <w:outlineLvl w:val="0"/>
        <w:rPr>
          <w:rFonts w:hint="eastAsia" w:ascii="仿宋_GB2312" w:hAnsi="仿宋" w:eastAsia="仿宋_GB2312" w:cs="Times New Roman"/>
          <w:sz w:val="24"/>
          <w:szCs w:val="24"/>
          <w:lang w:val="en-US" w:eastAsia="zh-CN"/>
        </w:rPr>
      </w:pPr>
      <w:r>
        <w:rPr>
          <w:rFonts w:hint="eastAsia" w:eastAsia="仿宋_GB2312"/>
          <w:bCs/>
          <w:sz w:val="24"/>
        </w:rPr>
        <w:t>1、</w:t>
      </w:r>
      <w:r>
        <w:rPr>
          <w:rFonts w:hint="eastAsia" w:ascii="仿宋_GB2312" w:hAnsi="仿宋" w:eastAsia="仿宋_GB2312" w:cs="Times New Roman"/>
          <w:sz w:val="24"/>
          <w:szCs w:val="24"/>
          <w:lang w:val="en-US" w:eastAsia="zh-CN"/>
        </w:rPr>
        <w:t>成立标准修订工作组</w:t>
      </w:r>
    </w:p>
    <w:p w14:paraId="723FBCED">
      <w:pPr>
        <w:spacing w:line="360" w:lineRule="auto"/>
        <w:ind w:firstLine="480" w:firstLineChars="200"/>
        <w:outlineLvl w:val="0"/>
        <w:rPr>
          <w:rFonts w:hint="eastAsia" w:ascii="仿宋_GB2312" w:hAnsi="仿宋" w:eastAsia="仿宋_GB2312" w:cs="Times New Roman"/>
          <w:sz w:val="24"/>
          <w:szCs w:val="24"/>
          <w:lang w:val="en-US" w:eastAsia="zh-CN"/>
        </w:rPr>
      </w:pPr>
      <w:r>
        <w:rPr>
          <w:rFonts w:hint="default" w:ascii="仿宋_GB2312" w:hAnsi="仿宋" w:eastAsia="仿宋_GB2312" w:cs="Times New Roman"/>
          <w:sz w:val="24"/>
          <w:szCs w:val="24"/>
          <w:lang w:val="en-US" w:eastAsia="zh-CN"/>
        </w:rPr>
        <w:t>成立了标准起草工作组，学习了标准的相关知识。标准起草工作组的成员是多年从事土壤养分管理研究的科研骨干，具有很强的理论知识和实际工作经验。标准起草工作组认真学习了《标准化工作导则 第1部分：标准化文件的结构和起草规则》（GB/T 1.1-2020）和相关的国家与行业标准。</w:t>
      </w:r>
    </w:p>
    <w:p w14:paraId="3F71CE34">
      <w:pPr>
        <w:spacing w:line="400" w:lineRule="exact"/>
        <w:ind w:firstLine="480" w:firstLineChars="200"/>
        <w:rPr>
          <w:rFonts w:hint="eastAsia" w:ascii="仿宋_GB2312" w:hAnsi="仿宋" w:eastAsia="仿宋_GB2312" w:cs="Times New Roman"/>
          <w:sz w:val="24"/>
          <w:szCs w:val="24"/>
          <w:lang w:val="en-US" w:eastAsia="zh-CN"/>
        </w:rPr>
      </w:pPr>
      <w:r>
        <w:rPr>
          <w:rFonts w:hint="eastAsia" w:eastAsia="仿宋_GB2312"/>
          <w:bCs/>
          <w:sz w:val="24"/>
        </w:rPr>
        <w:t>2、</w:t>
      </w:r>
      <w:r>
        <w:rPr>
          <w:rFonts w:hint="eastAsia" w:ascii="仿宋_GB2312" w:hAnsi="仿宋" w:eastAsia="仿宋_GB2312" w:cs="Times New Roman"/>
          <w:sz w:val="24"/>
          <w:szCs w:val="24"/>
          <w:lang w:val="en-US" w:eastAsia="zh-CN"/>
        </w:rPr>
        <w:t>调研考察</w:t>
      </w:r>
    </w:p>
    <w:p w14:paraId="15794CA1">
      <w:pPr>
        <w:spacing w:line="360" w:lineRule="auto"/>
        <w:ind w:firstLine="480" w:firstLineChars="200"/>
        <w:outlineLvl w:val="0"/>
        <w:rPr>
          <w:rFonts w:hint="eastAsia" w:ascii="仿宋_GB2312" w:hAnsi="仿宋" w:eastAsia="仿宋_GB2312" w:cs="Times New Roman"/>
          <w:sz w:val="24"/>
          <w:szCs w:val="24"/>
          <w:lang w:val="en-US" w:eastAsia="zh-CN"/>
        </w:rPr>
      </w:pPr>
      <w:r>
        <w:rPr>
          <w:rFonts w:hint="eastAsia" w:ascii="仿宋_GB2312" w:hAnsi="仿宋" w:eastAsia="仿宋_GB2312" w:cs="Times New Roman"/>
          <w:sz w:val="24"/>
          <w:szCs w:val="24"/>
          <w:lang w:val="en-US" w:eastAsia="zh-CN"/>
        </w:rPr>
        <w:t>工作组在土壤养分管理研究工作的基础上，对山西省轻度盐碱地玉米土壤耕作、施肥、灌水等技术进行农户调查，考察试验基地建设状况，以及对长期定位试验土壤进行化验分析。</w:t>
      </w:r>
    </w:p>
    <w:p w14:paraId="353B3FFB">
      <w:pPr>
        <w:spacing w:line="360" w:lineRule="auto"/>
        <w:ind w:firstLine="480" w:firstLineChars="200"/>
        <w:outlineLvl w:val="0"/>
        <w:rPr>
          <w:rFonts w:hint="eastAsia" w:ascii="仿宋_GB2312" w:hAnsi="仿宋" w:eastAsia="仿宋_GB2312" w:cs="Times New Roman"/>
          <w:sz w:val="24"/>
          <w:szCs w:val="24"/>
          <w:lang w:val="en-US" w:eastAsia="zh-CN"/>
        </w:rPr>
      </w:pPr>
      <w:r>
        <w:rPr>
          <w:rFonts w:hint="eastAsia" w:eastAsia="仿宋_GB2312"/>
          <w:bCs/>
          <w:sz w:val="24"/>
        </w:rPr>
        <w:t>3、</w:t>
      </w:r>
      <w:r>
        <w:rPr>
          <w:rFonts w:hint="eastAsia" w:ascii="仿宋_GB2312" w:hAnsi="仿宋" w:eastAsia="仿宋_GB2312" w:cs="Times New Roman"/>
          <w:sz w:val="24"/>
          <w:szCs w:val="24"/>
          <w:lang w:val="en-US" w:eastAsia="zh-CN"/>
        </w:rPr>
        <w:t>收集资料</w:t>
      </w:r>
    </w:p>
    <w:p w14:paraId="6AC42C5D">
      <w:pPr>
        <w:spacing w:line="360" w:lineRule="auto"/>
        <w:ind w:firstLine="480" w:firstLineChars="200"/>
        <w:outlineLvl w:val="0"/>
        <w:rPr>
          <w:rFonts w:hint="eastAsia" w:ascii="仿宋_GB2312" w:hAnsi="仿宋" w:eastAsia="仿宋_GB2312" w:cs="Times New Roman"/>
          <w:sz w:val="24"/>
          <w:szCs w:val="24"/>
          <w:lang w:val="en-US" w:eastAsia="zh-CN"/>
        </w:rPr>
      </w:pPr>
      <w:r>
        <w:rPr>
          <w:rFonts w:hint="default" w:ascii="仿宋_GB2312" w:hAnsi="仿宋" w:eastAsia="仿宋_GB2312" w:cs="Times New Roman"/>
          <w:sz w:val="24"/>
          <w:szCs w:val="24"/>
          <w:lang w:val="en-US" w:eastAsia="zh-CN"/>
        </w:rPr>
        <w:t>相关技术资料的获取方面，并查阅检索了国内外大量的文献资料，确定了《</w:t>
      </w:r>
      <w:r>
        <w:rPr>
          <w:rFonts w:hint="eastAsia" w:ascii="仿宋_GB2312" w:hAnsi="仿宋" w:eastAsia="仿宋_GB2312" w:cs="Times New Roman"/>
          <w:sz w:val="24"/>
          <w:szCs w:val="24"/>
          <w:lang w:val="en-US" w:eastAsia="zh-CN"/>
        </w:rPr>
        <w:t>轻</w:t>
      </w:r>
      <w:r>
        <w:rPr>
          <w:rFonts w:hint="default" w:ascii="仿宋_GB2312" w:hAnsi="仿宋" w:eastAsia="仿宋_GB2312" w:cs="Times New Roman"/>
          <w:sz w:val="24"/>
          <w:szCs w:val="24"/>
          <w:lang w:val="en-US" w:eastAsia="zh-CN"/>
        </w:rPr>
        <w:t>度盐碱地玉米高产栽培技术规程》地方标准修订的基本内容和思路。</w:t>
      </w:r>
    </w:p>
    <w:p w14:paraId="33E42E3E">
      <w:pPr>
        <w:spacing w:line="360" w:lineRule="auto"/>
        <w:ind w:firstLine="480" w:firstLineChars="200"/>
        <w:outlineLvl w:val="0"/>
        <w:rPr>
          <w:rFonts w:hint="eastAsia" w:ascii="仿宋_GB2312" w:hAnsi="仿宋" w:eastAsia="仿宋_GB2312" w:cs="Times New Roman"/>
          <w:sz w:val="24"/>
          <w:szCs w:val="24"/>
          <w:lang w:val="en-US" w:eastAsia="zh-CN"/>
        </w:rPr>
      </w:pPr>
      <w:r>
        <w:rPr>
          <w:rFonts w:hint="eastAsia" w:eastAsia="仿宋_GB2312"/>
          <w:bCs/>
          <w:sz w:val="24"/>
        </w:rPr>
        <w:t>4、</w:t>
      </w:r>
      <w:r>
        <w:rPr>
          <w:rFonts w:hint="eastAsia" w:ascii="仿宋_GB2312" w:hAnsi="仿宋" w:eastAsia="仿宋_GB2312" w:cs="Times New Roman"/>
          <w:sz w:val="24"/>
          <w:szCs w:val="24"/>
          <w:lang w:val="en-US" w:eastAsia="zh-CN"/>
        </w:rPr>
        <w:t>修订文本</w:t>
      </w:r>
    </w:p>
    <w:p w14:paraId="68F0340C">
      <w:pPr>
        <w:spacing w:line="360" w:lineRule="auto"/>
        <w:ind w:firstLine="480" w:firstLineChars="200"/>
        <w:outlineLvl w:val="0"/>
        <w:rPr>
          <w:rFonts w:hint="default" w:ascii="仿宋_GB2312" w:hAnsi="仿宋" w:eastAsia="仿宋_GB2312" w:cs="Times New Roman"/>
          <w:sz w:val="24"/>
          <w:szCs w:val="24"/>
          <w:lang w:val="en-US" w:eastAsia="zh-CN"/>
        </w:rPr>
      </w:pPr>
      <w:r>
        <w:rPr>
          <w:rFonts w:hint="default" w:ascii="仿宋_GB2312" w:hAnsi="仿宋" w:eastAsia="仿宋_GB2312" w:cs="Times New Roman"/>
          <w:sz w:val="24"/>
          <w:szCs w:val="24"/>
          <w:lang w:val="en-US" w:eastAsia="zh-CN"/>
        </w:rPr>
        <w:t>标准修订工作组按照标准的要求，经过反复研讨，形成了本标准的编制原则及纲要，形成初步文稿。（含：征求意见、形成征求意见稿）</w:t>
      </w:r>
    </w:p>
    <w:p w14:paraId="2DDE3CF1">
      <w:pPr>
        <w:spacing w:line="360" w:lineRule="auto"/>
        <w:ind w:firstLine="480" w:firstLineChars="200"/>
        <w:outlineLvl w:val="0"/>
        <w:rPr>
          <w:rFonts w:hint="eastAsia" w:ascii="仿宋_GB2312" w:hAnsi="仿宋" w:eastAsia="仿宋_GB2312" w:cs="Times New Roman"/>
          <w:sz w:val="24"/>
          <w:szCs w:val="24"/>
          <w:lang w:val="en-US" w:eastAsia="zh-CN"/>
        </w:rPr>
      </w:pPr>
      <w:r>
        <w:rPr>
          <w:rFonts w:hint="eastAsia" w:eastAsia="仿宋_GB2312"/>
          <w:bCs/>
          <w:sz w:val="24"/>
        </w:rPr>
        <w:t>5、</w:t>
      </w:r>
      <w:r>
        <w:rPr>
          <w:rFonts w:hint="eastAsia" w:ascii="仿宋_GB2312" w:hAnsi="仿宋" w:eastAsia="仿宋_GB2312" w:cs="Times New Roman"/>
          <w:sz w:val="24"/>
          <w:szCs w:val="24"/>
          <w:lang w:val="en-US" w:eastAsia="zh-CN"/>
        </w:rPr>
        <w:t>技术评审</w:t>
      </w:r>
    </w:p>
    <w:p w14:paraId="1B95B1CD">
      <w:pPr>
        <w:spacing w:line="360" w:lineRule="auto"/>
        <w:ind w:firstLine="480" w:firstLineChars="200"/>
        <w:outlineLvl w:val="0"/>
        <w:rPr>
          <w:rFonts w:hint="eastAsia" w:eastAsia="仿宋_GB2312"/>
          <w:bCs/>
          <w:sz w:val="24"/>
          <w:lang w:val="en-US" w:eastAsia="zh-CN"/>
        </w:rPr>
      </w:pPr>
      <w:r>
        <w:rPr>
          <w:rFonts w:hint="default" w:ascii="仿宋_GB2312" w:hAnsi="仿宋" w:eastAsia="仿宋_GB2312" w:cs="Times New Roman"/>
          <w:sz w:val="24"/>
          <w:szCs w:val="24"/>
          <w:lang w:val="en-US" w:eastAsia="zh-CN"/>
        </w:rPr>
        <w:t>标准修订工作组按照标准的要求，经过反复研讨，形成了本标准的编制原则及纲要，形成初步文稿。</w:t>
      </w:r>
    </w:p>
    <w:p w14:paraId="6D996405">
      <w:pPr>
        <w:spacing w:line="360" w:lineRule="auto"/>
        <w:ind w:firstLine="480" w:firstLineChars="200"/>
        <w:outlineLvl w:val="0"/>
        <w:rPr>
          <w:rFonts w:hint="eastAsia" w:ascii="仿宋_GB2312" w:hAnsi="仿宋" w:eastAsia="仿宋_GB2312" w:cs="Times New Roman"/>
          <w:sz w:val="24"/>
          <w:szCs w:val="24"/>
          <w:lang w:val="en-US" w:eastAsia="zh-CN"/>
        </w:rPr>
      </w:pPr>
      <w:r>
        <w:rPr>
          <w:rFonts w:hint="eastAsia" w:ascii="仿宋_GB2312" w:hAnsi="仿宋" w:eastAsia="仿宋_GB2312" w:cs="Times New Roman"/>
          <w:sz w:val="24"/>
          <w:szCs w:val="24"/>
          <w:lang w:val="en-US" w:eastAsia="zh-CN"/>
        </w:rPr>
        <w:t>6、征求意见</w:t>
      </w:r>
    </w:p>
    <w:p w14:paraId="5E69C453">
      <w:pPr>
        <w:spacing w:line="360" w:lineRule="auto"/>
        <w:ind w:firstLine="480" w:firstLineChars="200"/>
        <w:outlineLvl w:val="0"/>
        <w:rPr>
          <w:rFonts w:hint="default" w:ascii="仿宋_GB2312" w:hAnsi="仿宋" w:eastAsia="仿宋_GB2312" w:cs="Times New Roman"/>
          <w:sz w:val="24"/>
          <w:szCs w:val="24"/>
          <w:lang w:val="en-US" w:eastAsia="zh-CN"/>
        </w:rPr>
      </w:pPr>
      <w:r>
        <w:rPr>
          <w:rFonts w:hint="default" w:ascii="仿宋_GB2312" w:hAnsi="仿宋" w:eastAsia="仿宋_GB2312" w:cs="Times New Roman"/>
          <w:sz w:val="24"/>
          <w:szCs w:val="24"/>
          <w:lang w:val="en-US" w:eastAsia="zh-CN"/>
        </w:rPr>
        <w:t>标准起草工作组编制完成标准征求意见稿和编制说明。</w:t>
      </w:r>
      <w:r>
        <w:rPr>
          <w:rFonts w:hint="eastAsia" w:ascii="仿宋_GB2312" w:hAnsi="仿宋" w:eastAsia="仿宋_GB2312" w:cs="Times New Roman"/>
          <w:sz w:val="24"/>
          <w:szCs w:val="24"/>
          <w:lang w:val="en-US" w:eastAsia="zh-CN"/>
        </w:rPr>
        <w:t>（报省市场监督管理局挂网向社会公开征求意见1个月）</w:t>
      </w:r>
    </w:p>
    <w:p w14:paraId="0EA2E796">
      <w:pPr>
        <w:spacing w:line="360" w:lineRule="auto"/>
        <w:ind w:firstLine="480" w:firstLineChars="200"/>
        <w:outlineLvl w:val="0"/>
        <w:rPr>
          <w:rFonts w:hint="default" w:ascii="仿宋_GB2312" w:hAnsi="仿宋" w:eastAsia="仿宋_GB2312" w:cs="Times New Roman"/>
          <w:sz w:val="24"/>
          <w:szCs w:val="24"/>
          <w:lang w:val="en-US" w:eastAsia="zh-CN"/>
        </w:rPr>
      </w:pPr>
      <w:r>
        <w:rPr>
          <w:rFonts w:hint="eastAsia" w:ascii="仿宋_GB2312" w:hAnsi="仿宋" w:eastAsia="仿宋_GB2312" w:cs="Times New Roman"/>
          <w:sz w:val="24"/>
          <w:szCs w:val="24"/>
          <w:lang w:val="en-US" w:eastAsia="zh-CN"/>
        </w:rPr>
        <w:t>7、完善文本</w:t>
      </w:r>
    </w:p>
    <w:p w14:paraId="05F6BE3D">
      <w:pPr>
        <w:spacing w:line="360" w:lineRule="auto"/>
        <w:ind w:firstLine="480" w:firstLineChars="200"/>
        <w:outlineLvl w:val="0"/>
        <w:rPr>
          <w:rFonts w:hint="default" w:ascii="仿宋_GB2312" w:hAnsi="仿宋" w:eastAsia="仿宋_GB2312" w:cs="Times New Roman"/>
          <w:sz w:val="24"/>
          <w:szCs w:val="24"/>
          <w:lang w:val="en-US" w:eastAsia="zh-CN"/>
        </w:rPr>
      </w:pPr>
      <w:r>
        <w:rPr>
          <w:rFonts w:hint="default" w:ascii="仿宋_GB2312" w:hAnsi="仿宋" w:eastAsia="仿宋_GB2312" w:cs="Times New Roman"/>
          <w:sz w:val="24"/>
          <w:szCs w:val="24"/>
          <w:lang w:val="en-US" w:eastAsia="zh-CN"/>
        </w:rPr>
        <w:t>标准初稿、征求意见稿、送审稿、编制说明经历2次专家评审、2次标准起草工作组内部会议修订。</w:t>
      </w:r>
      <w:r>
        <w:rPr>
          <w:rFonts w:hint="eastAsia" w:ascii="仿宋_GB2312" w:hAnsi="仿宋" w:eastAsia="仿宋_GB2312" w:cs="Times New Roman"/>
          <w:sz w:val="24"/>
          <w:szCs w:val="24"/>
          <w:lang w:val="en-US" w:eastAsia="zh-CN"/>
        </w:rPr>
        <w:t>（进一步修改完善后形成标准送审稿，标委会表决......）</w:t>
      </w:r>
    </w:p>
    <w:p w14:paraId="0D1EBFAA">
      <w:pPr>
        <w:spacing w:line="360" w:lineRule="auto"/>
        <w:ind w:firstLine="480" w:firstLineChars="200"/>
        <w:outlineLvl w:val="0"/>
        <w:rPr>
          <w:rFonts w:hint="default" w:ascii="仿宋_GB2312" w:hAnsi="仿宋" w:eastAsia="仿宋_GB2312" w:cs="Times New Roman"/>
          <w:sz w:val="24"/>
          <w:szCs w:val="24"/>
          <w:lang w:val="en-US" w:eastAsia="zh-CN"/>
        </w:rPr>
      </w:pPr>
      <w:r>
        <w:rPr>
          <w:rFonts w:hint="eastAsia" w:ascii="仿宋_GB2312" w:hAnsi="仿宋" w:eastAsia="仿宋_GB2312" w:cs="Times New Roman"/>
          <w:sz w:val="24"/>
          <w:szCs w:val="24"/>
          <w:lang w:val="en-US" w:eastAsia="zh-CN"/>
        </w:rPr>
        <w:t>8、形成报批稿、提交报批材料......</w:t>
      </w:r>
    </w:p>
    <w:p w14:paraId="51CD17A5">
      <w:pPr>
        <w:spacing w:line="360" w:lineRule="auto"/>
        <w:ind w:firstLine="480" w:firstLineChars="200"/>
        <w:outlineLvl w:val="0"/>
        <w:rPr>
          <w:rFonts w:hint="default" w:ascii="仿宋_GB2312" w:hAnsi="仿宋" w:eastAsia="仿宋_GB2312" w:cs="Times New Roman"/>
          <w:sz w:val="24"/>
          <w:szCs w:val="24"/>
          <w:lang w:val="en-US" w:eastAsia="zh-CN"/>
        </w:rPr>
      </w:pPr>
      <w:r>
        <w:rPr>
          <w:rFonts w:hint="default" w:ascii="仿宋_GB2312" w:hAnsi="仿宋" w:eastAsia="仿宋_GB2312" w:cs="Times New Roman"/>
          <w:sz w:val="24"/>
          <w:szCs w:val="24"/>
          <w:lang w:val="en-US" w:eastAsia="zh-CN"/>
        </w:rPr>
        <w:t>标准起草工作组采纳专家组意见，最终形成报批稿。主要修改成果：A、标准结构框架的修改；B、标准内容的细化；C、专家意见的采纳；D、参考标准、计量单位的规范。</w:t>
      </w:r>
    </w:p>
    <w:p w14:paraId="2250E39D">
      <w:pPr>
        <w:spacing w:line="360" w:lineRule="auto"/>
        <w:ind w:firstLine="480" w:firstLineChars="200"/>
        <w:outlineLvl w:val="0"/>
        <w:rPr>
          <w:rFonts w:ascii="黑体" w:eastAsia="黑体"/>
          <w:sz w:val="24"/>
        </w:rPr>
      </w:pPr>
      <w:r>
        <w:rPr>
          <w:rFonts w:hint="eastAsia" w:ascii="黑体" w:eastAsia="黑体"/>
          <w:sz w:val="24"/>
        </w:rPr>
        <w:t>四</w:t>
      </w:r>
      <w:r>
        <w:rPr>
          <w:rFonts w:ascii="黑体" w:eastAsia="黑体"/>
          <w:sz w:val="24"/>
        </w:rPr>
        <w:t>、</w:t>
      </w:r>
      <w:r>
        <w:rPr>
          <w:rFonts w:hint="eastAsia" w:ascii="黑体" w:eastAsia="黑体"/>
          <w:sz w:val="24"/>
          <w:lang w:eastAsia="zh-CN"/>
        </w:rPr>
        <w:t>制修</w:t>
      </w:r>
      <w:r>
        <w:rPr>
          <w:rFonts w:ascii="黑体" w:eastAsia="黑体"/>
          <w:sz w:val="24"/>
        </w:rPr>
        <w:t>订标准的原则和依据，与现行法律、法规、标准的关系</w:t>
      </w:r>
    </w:p>
    <w:p w14:paraId="5C42998B">
      <w:pPr>
        <w:spacing w:line="360" w:lineRule="auto"/>
        <w:ind w:firstLine="480" w:firstLineChars="200"/>
        <w:outlineLvl w:val="0"/>
        <w:rPr>
          <w:rFonts w:hint="eastAsia" w:ascii="仿宋_GB2312" w:hAnsi="仿宋" w:eastAsia="仿宋_GB2312" w:cs="Times New Roman"/>
          <w:sz w:val="24"/>
          <w:szCs w:val="24"/>
          <w:lang w:val="en-US" w:eastAsia="zh-CN"/>
        </w:rPr>
      </w:pPr>
      <w:r>
        <w:rPr>
          <w:rFonts w:hint="default" w:ascii="仿宋_GB2312" w:hAnsi="仿宋" w:eastAsia="仿宋_GB2312" w:cs="Times New Roman"/>
          <w:sz w:val="24"/>
          <w:szCs w:val="24"/>
          <w:lang w:val="en-US" w:eastAsia="zh-CN"/>
        </w:rPr>
        <w:t>修订工作组对本标准的修订均参考相关国家标准和行业标准，具有很好的合法性、安全性；修订工作组对本标准的修订是基于近年来在我省</w:t>
      </w:r>
      <w:r>
        <w:rPr>
          <w:rFonts w:hint="eastAsia" w:ascii="仿宋_GB2312" w:hAnsi="仿宋" w:eastAsia="仿宋_GB2312" w:cs="Times New Roman"/>
          <w:sz w:val="24"/>
          <w:szCs w:val="24"/>
          <w:lang w:val="en-US" w:eastAsia="zh-CN"/>
        </w:rPr>
        <w:t>轻</w:t>
      </w:r>
      <w:r>
        <w:rPr>
          <w:rFonts w:hint="default" w:ascii="仿宋_GB2312" w:hAnsi="仿宋" w:eastAsia="仿宋_GB2312" w:cs="Times New Roman"/>
          <w:sz w:val="24"/>
          <w:szCs w:val="24"/>
          <w:lang w:val="en-US" w:eastAsia="zh-CN"/>
        </w:rPr>
        <w:t>度盐碱地玉米种植生产中出现的新问题进行修改和完善，具有很好的适应性、协调性；修订工作组通过资料收集、调研、实验数据整理等多种形式获取相关资料的情况下，对原标准进行优化整理，具有很好的先进性和可操作性；同时标准修订与现行法律、法规及标准协调一致、没有冲突。</w:t>
      </w:r>
    </w:p>
    <w:p w14:paraId="35C61D61">
      <w:pPr>
        <w:spacing w:line="360" w:lineRule="auto"/>
        <w:ind w:firstLine="480" w:firstLineChars="200"/>
        <w:outlineLvl w:val="0"/>
        <w:rPr>
          <w:rFonts w:ascii="黑体" w:eastAsia="黑体"/>
          <w:sz w:val="24"/>
        </w:rPr>
      </w:pPr>
      <w:r>
        <w:rPr>
          <w:rFonts w:hint="eastAsia" w:ascii="黑体" w:eastAsia="黑体"/>
          <w:sz w:val="24"/>
        </w:rPr>
        <w:t>五</w:t>
      </w:r>
      <w:r>
        <w:rPr>
          <w:rFonts w:ascii="黑体" w:eastAsia="黑体"/>
          <w:sz w:val="24"/>
        </w:rPr>
        <w:t>、主要条款的说明，主要技术指标、参数、试验验证的分析、综合论述</w:t>
      </w:r>
    </w:p>
    <w:p w14:paraId="26E3A4A0">
      <w:pPr>
        <w:spacing w:line="360" w:lineRule="auto"/>
        <w:ind w:firstLine="480" w:firstLineChars="200"/>
        <w:outlineLvl w:val="0"/>
        <w:rPr>
          <w:rFonts w:hint="eastAsia" w:ascii="仿宋_GB2312" w:hAnsi="仿宋" w:eastAsia="仿宋_GB2312" w:cs="Times New Roman"/>
          <w:sz w:val="24"/>
          <w:szCs w:val="24"/>
          <w:lang w:val="en-US" w:eastAsia="zh-CN"/>
        </w:rPr>
      </w:pPr>
      <w:r>
        <w:rPr>
          <w:rFonts w:hint="eastAsia" w:ascii="仿宋_GB2312" w:hAnsi="仿宋" w:eastAsia="仿宋_GB2312" w:cs="Times New Roman"/>
          <w:sz w:val="24"/>
          <w:szCs w:val="24"/>
          <w:lang w:val="en-US" w:eastAsia="zh-CN"/>
        </w:rPr>
        <w:t>标准起草组以“合法性、安全性、适应性、协调性和先进性”为修订原则，以文本结构更加合理、表述更加准确、技术指标更加科学为修订目标，从16个方面对文本进行了修订，其中：</w:t>
      </w:r>
    </w:p>
    <w:p w14:paraId="0EDF2352">
      <w:pPr>
        <w:spacing w:line="360" w:lineRule="auto"/>
        <w:ind w:firstLine="480" w:firstLineChars="200"/>
        <w:outlineLvl w:val="0"/>
        <w:rPr>
          <w:rFonts w:hint="eastAsia" w:ascii="仿宋_GB2312" w:hAnsi="仿宋" w:eastAsia="仿宋_GB2312" w:cs="Times New Roman"/>
          <w:sz w:val="24"/>
          <w:szCs w:val="24"/>
          <w:lang w:val="en-US" w:eastAsia="zh-CN"/>
        </w:rPr>
      </w:pPr>
      <w:r>
        <w:rPr>
          <w:rFonts w:hint="eastAsia" w:ascii="仿宋_GB2312" w:hAnsi="仿宋" w:eastAsia="仿宋_GB2312" w:cs="Times New Roman"/>
          <w:sz w:val="24"/>
          <w:szCs w:val="24"/>
          <w:lang w:val="en-US" w:eastAsia="zh-CN"/>
        </w:rPr>
        <w:t>1、涉及结构性调整的主要有9项：</w:t>
      </w:r>
    </w:p>
    <w:p w14:paraId="686B11E8">
      <w:pPr>
        <w:spacing w:line="360" w:lineRule="auto"/>
        <w:ind w:firstLine="480" w:firstLineChars="200"/>
        <w:outlineLvl w:val="0"/>
        <w:rPr>
          <w:rFonts w:hint="default" w:ascii="仿宋_GB2312" w:hAnsi="仿宋" w:eastAsia="仿宋_GB2312" w:cs="Times New Roman"/>
          <w:sz w:val="24"/>
          <w:szCs w:val="24"/>
          <w:lang w:val="en-US" w:eastAsia="zh-CN"/>
        </w:rPr>
      </w:pPr>
      <w:r>
        <w:rPr>
          <w:rFonts w:hint="default" w:ascii="仿宋_GB2312" w:hAnsi="仿宋" w:eastAsia="仿宋_GB2312" w:cs="Times New Roman"/>
          <w:sz w:val="24"/>
          <w:szCs w:val="24"/>
          <w:lang w:val="en-US" w:eastAsia="zh-CN"/>
        </w:rPr>
        <w:t>（</w:t>
      </w:r>
      <w:r>
        <w:rPr>
          <w:rFonts w:hint="eastAsia" w:ascii="仿宋_GB2312" w:hAnsi="仿宋" w:eastAsia="仿宋_GB2312" w:cs="Times New Roman"/>
          <w:sz w:val="24"/>
          <w:szCs w:val="24"/>
          <w:lang w:val="en-US" w:eastAsia="zh-CN"/>
        </w:rPr>
        <w:t>1</w:t>
      </w:r>
      <w:r>
        <w:rPr>
          <w:rFonts w:hint="default" w:ascii="仿宋_GB2312" w:hAnsi="仿宋" w:eastAsia="仿宋_GB2312" w:cs="Times New Roman"/>
          <w:sz w:val="24"/>
          <w:szCs w:val="24"/>
          <w:lang w:val="en-US" w:eastAsia="zh-CN"/>
        </w:rPr>
        <w:t>）增加了覆膜。修订原因：修订后标准对地膜选择有了明确规定，具有较强的合法性和安全性；对覆膜方式进行了具体描述，且对起垄机、起垄覆膜一体机等内容进行补充，具有很好的适应性和先进性</w:t>
      </w:r>
    </w:p>
    <w:p w14:paraId="0FF4A068">
      <w:pPr>
        <w:spacing w:line="360" w:lineRule="auto"/>
        <w:ind w:firstLine="480" w:firstLineChars="200"/>
        <w:outlineLvl w:val="0"/>
        <w:rPr>
          <w:rFonts w:hint="default" w:ascii="仿宋_GB2312" w:hAnsi="仿宋" w:eastAsia="仿宋_GB2312" w:cs="Times New Roman"/>
          <w:sz w:val="24"/>
          <w:szCs w:val="24"/>
          <w:lang w:val="en-US" w:eastAsia="zh-CN"/>
        </w:rPr>
      </w:pPr>
      <w:r>
        <w:rPr>
          <w:rFonts w:hint="default" w:ascii="仿宋_GB2312" w:hAnsi="仿宋" w:eastAsia="仿宋_GB2312" w:cs="Times New Roman"/>
          <w:sz w:val="24"/>
          <w:szCs w:val="24"/>
          <w:lang w:val="en-US" w:eastAsia="zh-CN"/>
        </w:rPr>
        <w:t>（</w:t>
      </w:r>
      <w:r>
        <w:rPr>
          <w:rFonts w:hint="eastAsia" w:ascii="仿宋_GB2312" w:hAnsi="仿宋" w:eastAsia="仿宋_GB2312" w:cs="Times New Roman"/>
          <w:sz w:val="24"/>
          <w:szCs w:val="24"/>
          <w:lang w:val="en-US" w:eastAsia="zh-CN"/>
        </w:rPr>
        <w:t>2</w:t>
      </w:r>
      <w:r>
        <w:rPr>
          <w:rFonts w:hint="default" w:ascii="仿宋_GB2312" w:hAnsi="仿宋" w:eastAsia="仿宋_GB2312" w:cs="Times New Roman"/>
          <w:sz w:val="24"/>
          <w:szCs w:val="24"/>
          <w:lang w:val="en-US" w:eastAsia="zh-CN"/>
        </w:rPr>
        <w:t>）增加了播种深度。修订原因：由于盐碱</w:t>
      </w:r>
      <w:r>
        <w:rPr>
          <w:rFonts w:hint="eastAsia" w:ascii="仿宋_GB2312" w:hAnsi="仿宋" w:eastAsia="仿宋_GB2312" w:cs="Times New Roman"/>
          <w:sz w:val="24"/>
          <w:szCs w:val="24"/>
          <w:lang w:val="en-US" w:eastAsia="zh-CN"/>
        </w:rPr>
        <w:t>土</w:t>
      </w:r>
      <w:r>
        <w:rPr>
          <w:rFonts w:hint="default" w:ascii="仿宋_GB2312" w:hAnsi="仿宋" w:eastAsia="仿宋_GB2312" w:cs="Times New Roman"/>
          <w:sz w:val="24"/>
          <w:szCs w:val="24"/>
          <w:lang w:val="en-US" w:eastAsia="zh-CN"/>
        </w:rPr>
        <w:t>易板结，不合理的播种深度非常容易玉米出苗困难，所以修订后的标准增加了对玉米播种深度进行补充，具有一定的适应性。</w:t>
      </w:r>
    </w:p>
    <w:p w14:paraId="094385CA">
      <w:pPr>
        <w:spacing w:line="360" w:lineRule="auto"/>
        <w:ind w:firstLine="480" w:firstLineChars="200"/>
        <w:outlineLvl w:val="0"/>
        <w:rPr>
          <w:rFonts w:hint="default" w:ascii="仿宋_GB2312" w:hAnsi="仿宋" w:eastAsia="仿宋_GB2312" w:cs="Times New Roman"/>
          <w:sz w:val="24"/>
          <w:szCs w:val="24"/>
          <w:lang w:val="en-US" w:eastAsia="zh-CN"/>
        </w:rPr>
      </w:pPr>
      <w:r>
        <w:rPr>
          <w:rFonts w:hint="default" w:ascii="仿宋_GB2312" w:hAnsi="仿宋" w:eastAsia="仿宋_GB2312" w:cs="Times New Roman"/>
          <w:sz w:val="24"/>
          <w:szCs w:val="24"/>
          <w:lang w:val="en-US" w:eastAsia="zh-CN"/>
        </w:rPr>
        <w:t>（</w:t>
      </w:r>
      <w:r>
        <w:rPr>
          <w:rFonts w:hint="eastAsia" w:ascii="仿宋_GB2312" w:hAnsi="仿宋" w:eastAsia="仿宋_GB2312" w:cs="Times New Roman"/>
          <w:sz w:val="24"/>
          <w:szCs w:val="24"/>
          <w:lang w:val="en-US" w:eastAsia="zh-CN"/>
        </w:rPr>
        <w:t>3</w:t>
      </w:r>
      <w:r>
        <w:rPr>
          <w:rFonts w:hint="default" w:ascii="仿宋_GB2312" w:hAnsi="仿宋" w:eastAsia="仿宋_GB2312" w:cs="Times New Roman"/>
          <w:sz w:val="24"/>
          <w:szCs w:val="24"/>
          <w:lang w:val="en-US" w:eastAsia="zh-CN"/>
        </w:rPr>
        <w:t>）删除了基肥与土壤改良剂的施用。修订原因：原标准中的基肥与土壤改良剂的施用部分用法单一，无法满足目前农户旱地灌区随水追施以及</w:t>
      </w:r>
      <w:r>
        <w:rPr>
          <w:rFonts w:hint="eastAsia" w:ascii="仿宋_GB2312" w:hAnsi="仿宋" w:eastAsia="仿宋_GB2312" w:cs="Times New Roman"/>
          <w:sz w:val="24"/>
          <w:szCs w:val="24"/>
          <w:lang w:val="en-US" w:eastAsia="zh-CN"/>
        </w:rPr>
        <w:t>、</w:t>
      </w:r>
      <w:r>
        <w:rPr>
          <w:rFonts w:hint="default" w:ascii="仿宋_GB2312" w:hAnsi="仿宋" w:eastAsia="仿宋_GB2312" w:cs="Times New Roman"/>
          <w:sz w:val="24"/>
          <w:szCs w:val="24"/>
          <w:lang w:val="en-US" w:eastAsia="zh-CN"/>
        </w:rPr>
        <w:t>专用肥一次性施肥</w:t>
      </w:r>
      <w:r>
        <w:rPr>
          <w:rFonts w:hint="eastAsia" w:ascii="仿宋_GB2312" w:hAnsi="仿宋" w:eastAsia="仿宋_GB2312" w:cs="Times New Roman"/>
          <w:sz w:val="24"/>
          <w:szCs w:val="24"/>
          <w:lang w:val="en-US" w:eastAsia="zh-CN"/>
        </w:rPr>
        <w:t>以及土壤改良剂应用</w:t>
      </w:r>
      <w:r>
        <w:rPr>
          <w:rFonts w:hint="default" w:ascii="仿宋_GB2312" w:hAnsi="仿宋" w:eastAsia="仿宋_GB2312" w:cs="Times New Roman"/>
          <w:sz w:val="24"/>
          <w:szCs w:val="24"/>
          <w:lang w:val="en-US" w:eastAsia="zh-CN"/>
        </w:rPr>
        <w:t>的需求，缺乏先进性。</w:t>
      </w:r>
    </w:p>
    <w:p w14:paraId="2098AE00">
      <w:pPr>
        <w:spacing w:line="360" w:lineRule="auto"/>
        <w:ind w:firstLine="480" w:firstLineChars="200"/>
        <w:outlineLvl w:val="0"/>
        <w:rPr>
          <w:rFonts w:hint="default" w:ascii="仿宋_GB2312" w:hAnsi="仿宋" w:eastAsia="仿宋_GB2312" w:cs="Times New Roman"/>
          <w:sz w:val="24"/>
          <w:szCs w:val="24"/>
          <w:lang w:val="en-US" w:eastAsia="zh-CN"/>
        </w:rPr>
      </w:pPr>
      <w:r>
        <w:rPr>
          <w:rFonts w:hint="default" w:ascii="仿宋_GB2312" w:hAnsi="仿宋" w:eastAsia="仿宋_GB2312" w:cs="Times New Roman"/>
          <w:sz w:val="24"/>
          <w:szCs w:val="24"/>
          <w:lang w:val="en-US" w:eastAsia="zh-CN"/>
        </w:rPr>
        <w:t>（</w:t>
      </w:r>
      <w:r>
        <w:rPr>
          <w:rFonts w:hint="eastAsia" w:ascii="仿宋_GB2312" w:hAnsi="仿宋" w:eastAsia="仿宋_GB2312" w:cs="Times New Roman"/>
          <w:sz w:val="24"/>
          <w:szCs w:val="24"/>
          <w:lang w:val="en-US" w:eastAsia="zh-CN"/>
        </w:rPr>
        <w:t>4</w:t>
      </w:r>
      <w:r>
        <w:rPr>
          <w:rFonts w:hint="default" w:ascii="仿宋_GB2312" w:hAnsi="仿宋" w:eastAsia="仿宋_GB2312" w:cs="Times New Roman"/>
          <w:sz w:val="24"/>
          <w:szCs w:val="24"/>
          <w:lang w:val="en-US" w:eastAsia="zh-CN"/>
        </w:rPr>
        <w:t>）增加了土壤改良剂与肥料的施用。修订原因：修订后标准中针对目前农户</w:t>
      </w:r>
      <w:r>
        <w:rPr>
          <w:rFonts w:hint="eastAsia" w:ascii="仿宋_GB2312" w:hAnsi="仿宋" w:eastAsia="仿宋_GB2312" w:cs="Times New Roman"/>
          <w:sz w:val="24"/>
          <w:szCs w:val="24"/>
          <w:lang w:val="en-US" w:eastAsia="zh-CN"/>
        </w:rPr>
        <w:t>土壤改良剂精准施用、</w:t>
      </w:r>
      <w:r>
        <w:rPr>
          <w:rFonts w:hint="default" w:ascii="仿宋_GB2312" w:hAnsi="仿宋" w:eastAsia="仿宋_GB2312" w:cs="Times New Roman"/>
          <w:sz w:val="24"/>
          <w:szCs w:val="24"/>
          <w:lang w:val="en-US" w:eastAsia="zh-CN"/>
        </w:rPr>
        <w:t>灌区随水追施以及专用肥一次性施肥的需求，进行了补充，具有很好的先进性和适应性。</w:t>
      </w:r>
    </w:p>
    <w:p w14:paraId="5999A29C">
      <w:pPr>
        <w:spacing w:line="360" w:lineRule="auto"/>
        <w:ind w:firstLine="480" w:firstLineChars="200"/>
        <w:outlineLvl w:val="0"/>
        <w:rPr>
          <w:rFonts w:hint="default" w:ascii="仿宋_GB2312" w:hAnsi="仿宋" w:eastAsia="仿宋_GB2312" w:cs="Times New Roman"/>
          <w:sz w:val="24"/>
          <w:szCs w:val="24"/>
          <w:lang w:val="en-US" w:eastAsia="zh-CN"/>
        </w:rPr>
      </w:pPr>
      <w:r>
        <w:rPr>
          <w:rFonts w:hint="default" w:ascii="仿宋_GB2312" w:hAnsi="仿宋" w:eastAsia="仿宋_GB2312" w:cs="Times New Roman"/>
          <w:sz w:val="24"/>
          <w:szCs w:val="24"/>
          <w:lang w:val="en-US" w:eastAsia="zh-CN"/>
        </w:rPr>
        <w:t>（</w:t>
      </w:r>
      <w:r>
        <w:rPr>
          <w:rFonts w:hint="eastAsia" w:ascii="仿宋_GB2312" w:hAnsi="仿宋" w:eastAsia="仿宋_GB2312" w:cs="Times New Roman"/>
          <w:sz w:val="24"/>
          <w:szCs w:val="24"/>
          <w:lang w:val="en-US" w:eastAsia="zh-CN"/>
        </w:rPr>
        <w:t>5</w:t>
      </w:r>
      <w:r>
        <w:rPr>
          <w:rFonts w:hint="default" w:ascii="仿宋_GB2312" w:hAnsi="仿宋" w:eastAsia="仿宋_GB2312" w:cs="Times New Roman"/>
          <w:sz w:val="24"/>
          <w:szCs w:val="24"/>
          <w:lang w:val="en-US" w:eastAsia="zh-CN"/>
        </w:rPr>
        <w:t>）删除了追肥灌水。修订原因：原标准中的追肥灌水无法满足目前农户对追肥措施和灌水措施的需求，缺乏先进性。</w:t>
      </w:r>
    </w:p>
    <w:p w14:paraId="389D8E7D">
      <w:pPr>
        <w:spacing w:line="360" w:lineRule="auto"/>
        <w:ind w:firstLine="480" w:firstLineChars="200"/>
        <w:outlineLvl w:val="0"/>
        <w:rPr>
          <w:rFonts w:hint="default" w:ascii="仿宋_GB2312" w:hAnsi="仿宋" w:eastAsia="仿宋_GB2312" w:cs="Times New Roman"/>
          <w:sz w:val="24"/>
          <w:szCs w:val="24"/>
          <w:lang w:val="en-US" w:eastAsia="zh-CN"/>
        </w:rPr>
      </w:pPr>
      <w:r>
        <w:rPr>
          <w:rFonts w:hint="default" w:ascii="仿宋_GB2312" w:hAnsi="仿宋" w:eastAsia="仿宋_GB2312" w:cs="Times New Roman"/>
          <w:sz w:val="24"/>
          <w:szCs w:val="24"/>
          <w:lang w:val="en-US" w:eastAsia="zh-CN"/>
        </w:rPr>
        <w:t>（</w:t>
      </w:r>
      <w:r>
        <w:rPr>
          <w:rFonts w:hint="eastAsia" w:ascii="仿宋_GB2312" w:hAnsi="仿宋" w:eastAsia="仿宋_GB2312" w:cs="Times New Roman"/>
          <w:sz w:val="24"/>
          <w:szCs w:val="24"/>
          <w:lang w:val="en-US" w:eastAsia="zh-CN"/>
        </w:rPr>
        <w:t>6</w:t>
      </w:r>
      <w:r>
        <w:rPr>
          <w:rFonts w:hint="default" w:ascii="仿宋_GB2312" w:hAnsi="仿宋" w:eastAsia="仿宋_GB2312" w:cs="Times New Roman"/>
          <w:sz w:val="24"/>
          <w:szCs w:val="24"/>
          <w:lang w:val="en-US" w:eastAsia="zh-CN"/>
        </w:rPr>
        <w:t>）增加了穗期灌水。修订原因：修订后标准中分别针对无滴灌条件的灌溉区和有滴灌条件的灌溉区进行了详细说明，可满足不同区域农户的灌水需求，具有较强的先进性。</w:t>
      </w:r>
    </w:p>
    <w:p w14:paraId="48914813">
      <w:pPr>
        <w:spacing w:line="360" w:lineRule="auto"/>
        <w:ind w:firstLine="480" w:firstLineChars="200"/>
        <w:outlineLvl w:val="0"/>
        <w:rPr>
          <w:rFonts w:hint="default" w:ascii="仿宋_GB2312" w:hAnsi="仿宋" w:eastAsia="仿宋_GB2312" w:cs="Times New Roman"/>
          <w:sz w:val="24"/>
          <w:szCs w:val="24"/>
          <w:lang w:val="en-US" w:eastAsia="zh-CN"/>
        </w:rPr>
      </w:pPr>
      <w:r>
        <w:rPr>
          <w:rFonts w:hint="default" w:ascii="仿宋_GB2312" w:hAnsi="仿宋" w:eastAsia="仿宋_GB2312" w:cs="Times New Roman"/>
          <w:sz w:val="24"/>
          <w:szCs w:val="24"/>
          <w:lang w:val="en-US" w:eastAsia="zh-CN"/>
        </w:rPr>
        <w:t>（</w:t>
      </w:r>
      <w:r>
        <w:rPr>
          <w:rFonts w:hint="eastAsia" w:ascii="仿宋_GB2312" w:hAnsi="仿宋" w:eastAsia="仿宋_GB2312" w:cs="Times New Roman"/>
          <w:sz w:val="24"/>
          <w:szCs w:val="24"/>
          <w:lang w:val="en-US" w:eastAsia="zh-CN"/>
        </w:rPr>
        <w:t>7</w:t>
      </w:r>
      <w:r>
        <w:rPr>
          <w:rFonts w:hint="default" w:ascii="仿宋_GB2312" w:hAnsi="仿宋" w:eastAsia="仿宋_GB2312" w:cs="Times New Roman"/>
          <w:sz w:val="24"/>
          <w:szCs w:val="24"/>
          <w:lang w:val="en-US" w:eastAsia="zh-CN"/>
        </w:rPr>
        <w:t>）增加了废旧地膜回收。修订原因：针对目前国家对环境污染和土壤质量的相关要求，修订后的标准增加了对废旧地膜回收的操作要求，具有较强的合法性、适应性和先进性。</w:t>
      </w:r>
    </w:p>
    <w:p w14:paraId="7C50F426">
      <w:pPr>
        <w:numPr>
          <w:ilvl w:val="0"/>
          <w:numId w:val="0"/>
        </w:numPr>
        <w:spacing w:line="400" w:lineRule="exact"/>
        <w:ind w:firstLine="480" w:firstLineChars="200"/>
        <w:rPr>
          <w:rFonts w:hint="default" w:ascii="Times New Roman" w:hAnsi="Times New Roman" w:eastAsia="仿宋_GB2312" w:cs="Times New Roman"/>
          <w:bCs/>
          <w:sz w:val="24"/>
          <w:lang w:val="en-US" w:eastAsia="zh-CN"/>
        </w:rPr>
      </w:pPr>
      <w:r>
        <w:rPr>
          <w:rFonts w:hint="default" w:ascii="Times New Roman" w:hAnsi="Times New Roman" w:eastAsia="仿宋_GB2312" w:cs="Times New Roman"/>
          <w:bCs/>
          <w:sz w:val="24"/>
          <w:lang w:val="en-US" w:eastAsia="zh-CN"/>
        </w:rPr>
        <w:t>（</w:t>
      </w:r>
      <w:r>
        <w:rPr>
          <w:rFonts w:hint="eastAsia" w:eastAsia="仿宋_GB2312" w:cs="Times New Roman"/>
          <w:bCs/>
          <w:sz w:val="24"/>
          <w:lang w:val="en-US" w:eastAsia="zh-CN"/>
        </w:rPr>
        <w:t>8</w:t>
      </w:r>
      <w:r>
        <w:rPr>
          <w:rFonts w:hint="default" w:ascii="Times New Roman" w:hAnsi="Times New Roman" w:eastAsia="仿宋_GB2312" w:cs="Times New Roman"/>
          <w:bCs/>
          <w:sz w:val="24"/>
          <w:lang w:val="en-US" w:eastAsia="zh-CN"/>
        </w:rPr>
        <w:t>）增加了生产档案。修订原因：</w:t>
      </w:r>
      <w:r>
        <w:rPr>
          <w:rFonts w:hint="eastAsia" w:eastAsia="仿宋_GB2312" w:cs="Times New Roman"/>
          <w:bCs/>
          <w:sz w:val="24"/>
          <w:lang w:val="en-US" w:eastAsia="zh-CN"/>
        </w:rPr>
        <w:t>为了保</w:t>
      </w:r>
      <w:r>
        <w:rPr>
          <w:rFonts w:hint="eastAsia" w:ascii="Times New Roman" w:hAnsi="Times New Roman" w:eastAsia="仿宋_GB2312" w:cs="Times New Roman"/>
          <w:bCs/>
          <w:sz w:val="24"/>
          <w:lang w:val="en-US" w:eastAsia="zh-CN"/>
        </w:rPr>
        <w:t>障</w:t>
      </w:r>
      <w:r>
        <w:rPr>
          <w:rFonts w:hint="default" w:ascii="Times New Roman" w:hAnsi="Times New Roman" w:eastAsia="仿宋_GB2312" w:cs="Times New Roman"/>
          <w:bCs/>
          <w:sz w:val="24"/>
          <w:lang w:val="en-US" w:eastAsia="zh-CN"/>
        </w:rPr>
        <w:t>农产品质量安全</w:t>
      </w:r>
      <w:r>
        <w:rPr>
          <w:rFonts w:hint="eastAsia" w:ascii="Times New Roman" w:hAnsi="Times New Roman" w:eastAsia="仿宋_GB2312" w:cs="Times New Roman"/>
          <w:bCs/>
          <w:sz w:val="24"/>
          <w:lang w:val="en-US" w:eastAsia="zh-CN"/>
        </w:rPr>
        <w:t>，</w:t>
      </w:r>
      <w:r>
        <w:rPr>
          <w:rFonts w:hint="default" w:ascii="Times New Roman" w:hAnsi="Times New Roman" w:eastAsia="仿宋_GB2312" w:cs="Times New Roman"/>
          <w:bCs/>
          <w:sz w:val="24"/>
          <w:lang w:val="en-US" w:eastAsia="zh-CN"/>
        </w:rPr>
        <w:t>提高生产管理水平</w:t>
      </w:r>
      <w:r>
        <w:rPr>
          <w:rFonts w:hint="eastAsia" w:ascii="Times New Roman" w:hAnsi="Times New Roman" w:eastAsia="仿宋_GB2312" w:cs="Times New Roman"/>
          <w:bCs/>
          <w:sz w:val="24"/>
          <w:lang w:val="en-US" w:eastAsia="zh-CN"/>
        </w:rPr>
        <w:t>，</w:t>
      </w:r>
      <w:r>
        <w:rPr>
          <w:rFonts w:hint="default" w:ascii="Times New Roman" w:hAnsi="Times New Roman" w:eastAsia="仿宋_GB2312" w:cs="Times New Roman"/>
          <w:bCs/>
          <w:sz w:val="24"/>
          <w:lang w:val="en-US" w:eastAsia="zh-CN"/>
        </w:rPr>
        <w:t>满足市场需求和监管要求，修订后的标准增加了对生产档案</w:t>
      </w:r>
      <w:r>
        <w:rPr>
          <w:rFonts w:hint="eastAsia" w:ascii="Times New Roman" w:hAnsi="Times New Roman" w:eastAsia="仿宋_GB2312" w:cs="Times New Roman"/>
          <w:bCs/>
          <w:sz w:val="24"/>
          <w:lang w:val="en-US" w:eastAsia="zh-CN"/>
        </w:rPr>
        <w:t>建立</w:t>
      </w:r>
      <w:r>
        <w:rPr>
          <w:rFonts w:hint="default" w:ascii="Times New Roman" w:hAnsi="Times New Roman" w:eastAsia="仿宋_GB2312" w:cs="Times New Roman"/>
          <w:bCs/>
          <w:sz w:val="24"/>
          <w:lang w:val="en-US" w:eastAsia="zh-CN"/>
        </w:rPr>
        <w:t>的要求，具有较强的合法性、适应性和先进性。</w:t>
      </w:r>
    </w:p>
    <w:p w14:paraId="7CBE6267">
      <w:pPr>
        <w:numPr>
          <w:ilvl w:val="0"/>
          <w:numId w:val="0"/>
        </w:numPr>
        <w:spacing w:line="400" w:lineRule="exact"/>
        <w:ind w:firstLine="480" w:firstLineChars="200"/>
        <w:rPr>
          <w:rFonts w:hint="default" w:ascii="仿宋_GB2312" w:hAnsi="仿宋" w:eastAsia="仿宋_GB2312" w:cs="Times New Roman"/>
          <w:sz w:val="24"/>
          <w:szCs w:val="24"/>
          <w:lang w:val="en-US" w:eastAsia="zh-CN"/>
        </w:rPr>
      </w:pPr>
      <w:r>
        <w:rPr>
          <w:rFonts w:hint="default" w:ascii="Times New Roman" w:hAnsi="Times New Roman" w:eastAsia="仿宋_GB2312" w:cs="Times New Roman"/>
          <w:bCs/>
          <w:sz w:val="24"/>
          <w:lang w:val="en-US" w:eastAsia="zh-CN"/>
        </w:rPr>
        <w:t>（</w:t>
      </w:r>
      <w:r>
        <w:rPr>
          <w:rFonts w:hint="eastAsia" w:eastAsia="仿宋_GB2312" w:cs="Times New Roman"/>
          <w:bCs/>
          <w:sz w:val="24"/>
          <w:lang w:val="en-US" w:eastAsia="zh-CN"/>
        </w:rPr>
        <w:t>9</w:t>
      </w:r>
      <w:r>
        <w:rPr>
          <w:rFonts w:hint="default" w:ascii="Times New Roman" w:hAnsi="Times New Roman" w:eastAsia="仿宋_GB2312" w:cs="Times New Roman"/>
          <w:bCs/>
          <w:sz w:val="24"/>
          <w:lang w:val="en-US" w:eastAsia="zh-CN"/>
        </w:rPr>
        <w:t>）增加了农户生产档案。修订原因：</w:t>
      </w:r>
      <w:r>
        <w:rPr>
          <w:rFonts w:hint="eastAsia" w:eastAsia="仿宋_GB2312" w:cs="Times New Roman"/>
          <w:bCs/>
          <w:sz w:val="24"/>
          <w:lang w:val="en-US" w:eastAsia="zh-CN"/>
        </w:rPr>
        <w:t>规范了农户</w:t>
      </w:r>
      <w:r>
        <w:rPr>
          <w:rFonts w:hint="default" w:ascii="Times New Roman" w:hAnsi="Times New Roman" w:eastAsia="仿宋_GB2312" w:cs="Times New Roman"/>
          <w:bCs/>
          <w:sz w:val="24"/>
          <w:lang w:val="en-US" w:eastAsia="zh-CN"/>
        </w:rPr>
        <w:t>生产档案</w:t>
      </w:r>
      <w:r>
        <w:rPr>
          <w:rFonts w:hint="eastAsia" w:ascii="Times New Roman" w:hAnsi="Times New Roman" w:eastAsia="仿宋_GB2312" w:cs="Times New Roman"/>
          <w:bCs/>
          <w:sz w:val="24"/>
          <w:lang w:val="en-US" w:eastAsia="zh-CN"/>
        </w:rPr>
        <w:t>建立</w:t>
      </w:r>
      <w:r>
        <w:rPr>
          <w:rFonts w:hint="default" w:ascii="Times New Roman" w:hAnsi="Times New Roman" w:eastAsia="仿宋_GB2312" w:cs="Times New Roman"/>
          <w:bCs/>
          <w:sz w:val="24"/>
          <w:lang w:val="en-US" w:eastAsia="zh-CN"/>
        </w:rPr>
        <w:t>，具有较强的合法性、适应性和先进性。</w:t>
      </w:r>
    </w:p>
    <w:p w14:paraId="67419904">
      <w:pPr>
        <w:spacing w:line="360" w:lineRule="auto"/>
        <w:ind w:firstLine="480" w:firstLineChars="200"/>
        <w:outlineLvl w:val="0"/>
        <w:rPr>
          <w:rFonts w:hint="default" w:ascii="仿宋_GB2312" w:hAnsi="仿宋" w:eastAsia="仿宋_GB2312" w:cs="Times New Roman"/>
          <w:sz w:val="24"/>
          <w:szCs w:val="24"/>
          <w:lang w:val="en-US" w:eastAsia="zh-CN"/>
        </w:rPr>
      </w:pPr>
      <w:r>
        <w:rPr>
          <w:rFonts w:hint="eastAsia" w:ascii="仿宋_GB2312" w:hAnsi="仿宋" w:eastAsia="仿宋_GB2312" w:cs="Times New Roman"/>
          <w:sz w:val="24"/>
          <w:szCs w:val="24"/>
          <w:lang w:val="en-US" w:eastAsia="zh-CN"/>
        </w:rPr>
        <w:t>2、涉及表述与编辑性修改的主要有5项：</w:t>
      </w:r>
    </w:p>
    <w:p w14:paraId="7D9C2979">
      <w:pPr>
        <w:spacing w:line="360" w:lineRule="auto"/>
        <w:ind w:firstLine="480" w:firstLineChars="200"/>
        <w:outlineLvl w:val="0"/>
        <w:rPr>
          <w:rFonts w:hint="default" w:ascii="Times New Roman" w:hAnsi="Times New Roman" w:eastAsia="仿宋_GB2312" w:cs="Times New Roman"/>
          <w:bCs/>
          <w:sz w:val="24"/>
          <w:lang w:eastAsia="zh-CN"/>
        </w:rPr>
      </w:pPr>
      <w:r>
        <w:rPr>
          <w:rFonts w:hint="default" w:ascii="仿宋_GB2312" w:hAnsi="仿宋" w:eastAsia="仿宋_GB2312" w:cs="Times New Roman"/>
          <w:sz w:val="24"/>
          <w:szCs w:val="24"/>
          <w:lang w:val="en-US" w:eastAsia="zh-CN"/>
        </w:rPr>
        <w:t>（1）</w:t>
      </w:r>
      <w:r>
        <w:rPr>
          <w:rFonts w:hint="default" w:ascii="Times New Roman" w:hAnsi="Times New Roman" w:eastAsia="仿宋_GB2312" w:cs="Times New Roman"/>
          <w:bCs/>
          <w:sz w:val="24"/>
          <w:lang w:eastAsia="zh-CN"/>
        </w:rPr>
        <w:t>更改了标准项目名称</w:t>
      </w:r>
      <w:r>
        <w:rPr>
          <w:rFonts w:hint="eastAsia" w:eastAsia="仿宋_GB2312" w:cs="Times New Roman"/>
          <w:bCs/>
          <w:sz w:val="24"/>
          <w:lang w:val="en-US" w:eastAsia="zh-CN"/>
        </w:rPr>
        <w:t>。修订原因：修订后标准中主要针对轻度盐碱地玉米覆膜种植技术进行了规范，</w:t>
      </w:r>
      <w:r>
        <w:rPr>
          <w:rFonts w:hint="default" w:ascii="Times New Roman" w:hAnsi="Times New Roman" w:eastAsia="仿宋_GB2312" w:cs="Times New Roman"/>
          <w:bCs/>
          <w:sz w:val="24"/>
          <w:lang w:val="en-US" w:eastAsia="zh-CN"/>
        </w:rPr>
        <w:t>具有更好的先进性和合法性</w:t>
      </w:r>
      <w:r>
        <w:rPr>
          <w:rFonts w:hint="default" w:ascii="Times New Roman" w:hAnsi="Times New Roman" w:eastAsia="仿宋_GB2312" w:cs="Times New Roman"/>
          <w:bCs/>
          <w:sz w:val="24"/>
          <w:lang w:eastAsia="zh-CN"/>
        </w:rPr>
        <w:t>。</w:t>
      </w:r>
    </w:p>
    <w:p w14:paraId="3E280CBD">
      <w:pPr>
        <w:numPr>
          <w:ilvl w:val="0"/>
          <w:numId w:val="0"/>
        </w:numPr>
        <w:spacing w:line="400" w:lineRule="exact"/>
        <w:ind w:firstLine="480" w:firstLineChars="200"/>
        <w:rPr>
          <w:rFonts w:hint="default" w:eastAsia="仿宋_GB2312" w:cs="Times New Roman"/>
          <w:bCs/>
          <w:sz w:val="24"/>
          <w:lang w:val="en-US" w:eastAsia="zh-CN"/>
        </w:rPr>
      </w:pPr>
      <w:r>
        <w:rPr>
          <w:rFonts w:hint="default" w:ascii="Times New Roman" w:hAnsi="Times New Roman" w:eastAsia="仿宋_GB2312" w:cs="Times New Roman"/>
          <w:bCs/>
          <w:sz w:val="24"/>
          <w:lang w:eastAsia="zh-CN"/>
        </w:rPr>
        <w:t>（</w:t>
      </w:r>
      <w:r>
        <w:rPr>
          <w:rFonts w:hint="eastAsia" w:eastAsia="仿宋_GB2312" w:cs="Times New Roman"/>
          <w:bCs/>
          <w:sz w:val="24"/>
          <w:lang w:val="en-US" w:eastAsia="zh-CN"/>
        </w:rPr>
        <w:t>2</w:t>
      </w:r>
      <w:r>
        <w:rPr>
          <w:rFonts w:hint="default" w:ascii="Times New Roman" w:hAnsi="Times New Roman" w:eastAsia="仿宋_GB2312" w:cs="Times New Roman"/>
          <w:bCs/>
          <w:sz w:val="24"/>
          <w:lang w:eastAsia="zh-CN"/>
        </w:rPr>
        <w:t>）更改了</w:t>
      </w:r>
      <w:r>
        <w:rPr>
          <w:rFonts w:hint="eastAsia" w:eastAsia="仿宋_GB2312" w:cs="Times New Roman"/>
          <w:bCs/>
          <w:sz w:val="24"/>
          <w:lang w:val="en-US" w:eastAsia="zh-CN"/>
        </w:rPr>
        <w:t>范围。</w:t>
      </w:r>
      <w:r>
        <w:rPr>
          <w:rFonts w:hint="default" w:ascii="Times New Roman" w:hAnsi="Times New Roman" w:eastAsia="仿宋_GB2312" w:cs="Times New Roman"/>
          <w:bCs/>
          <w:sz w:val="24"/>
          <w:lang w:eastAsia="zh-CN"/>
        </w:rPr>
        <w:t>修订原因</w:t>
      </w:r>
      <w:r>
        <w:rPr>
          <w:rFonts w:hint="eastAsia" w:eastAsia="仿宋_GB2312" w:cs="Times New Roman"/>
          <w:bCs/>
          <w:sz w:val="24"/>
          <w:lang w:eastAsia="zh-CN"/>
        </w:rPr>
        <w:t>：修订后标准中</w:t>
      </w:r>
      <w:r>
        <w:rPr>
          <w:rFonts w:hint="eastAsia" w:eastAsia="仿宋_GB2312" w:cs="Times New Roman"/>
          <w:bCs/>
          <w:sz w:val="24"/>
          <w:lang w:val="en-US" w:eastAsia="zh-CN"/>
        </w:rPr>
        <w:t>针对山西省大同盆地轻度盐碱地玉米的覆膜种植技术进行了规范，具有更好的适应性。</w:t>
      </w:r>
    </w:p>
    <w:p w14:paraId="0ACD9F09">
      <w:pPr>
        <w:spacing w:line="360" w:lineRule="auto"/>
        <w:ind w:firstLine="480" w:firstLineChars="200"/>
        <w:outlineLvl w:val="0"/>
        <w:rPr>
          <w:rFonts w:hint="default" w:ascii="仿宋_GB2312" w:hAnsi="仿宋" w:eastAsia="仿宋_GB2312" w:cs="Times New Roman"/>
          <w:sz w:val="24"/>
          <w:szCs w:val="24"/>
          <w:lang w:val="en-US" w:eastAsia="zh-CN"/>
        </w:rPr>
      </w:pPr>
      <w:r>
        <w:rPr>
          <w:rFonts w:hint="default" w:ascii="Times New Roman" w:hAnsi="Times New Roman" w:eastAsia="仿宋_GB2312" w:cs="Times New Roman"/>
          <w:bCs/>
          <w:sz w:val="24"/>
          <w:lang w:eastAsia="zh-CN"/>
        </w:rPr>
        <w:t>（</w:t>
      </w:r>
      <w:r>
        <w:rPr>
          <w:rFonts w:hint="eastAsia" w:eastAsia="仿宋_GB2312" w:cs="Times New Roman"/>
          <w:bCs/>
          <w:sz w:val="24"/>
          <w:lang w:val="en-US" w:eastAsia="zh-CN"/>
        </w:rPr>
        <w:t>3</w:t>
      </w:r>
      <w:r>
        <w:rPr>
          <w:rFonts w:hint="default" w:ascii="Times New Roman" w:hAnsi="Times New Roman" w:eastAsia="仿宋_GB2312" w:cs="Times New Roman"/>
          <w:bCs/>
          <w:sz w:val="24"/>
          <w:lang w:eastAsia="zh-CN"/>
        </w:rPr>
        <w:t>）</w:t>
      </w:r>
      <w:r>
        <w:rPr>
          <w:rFonts w:hint="default" w:ascii="仿宋_GB2312" w:hAnsi="仿宋" w:eastAsia="仿宋_GB2312" w:cs="Times New Roman"/>
          <w:sz w:val="24"/>
          <w:szCs w:val="24"/>
          <w:lang w:val="en-US" w:eastAsia="zh-CN"/>
        </w:rPr>
        <w:t>更改了规范性引用文件。修订原因：修订后标准中在规范性引用文件中添加了农田灌溉水质标准</w:t>
      </w:r>
      <w:r>
        <w:rPr>
          <w:rFonts w:hint="eastAsia" w:ascii="仿宋_GB2312" w:hAnsi="仿宋" w:eastAsia="仿宋_GB2312" w:cs="Times New Roman"/>
          <w:sz w:val="24"/>
          <w:szCs w:val="24"/>
          <w:lang w:val="en-US" w:eastAsia="zh-CN"/>
        </w:rPr>
        <w:t>，</w:t>
      </w:r>
      <w:r>
        <w:rPr>
          <w:rFonts w:hint="default" w:ascii="仿宋_GB2312" w:hAnsi="仿宋" w:eastAsia="仿宋_GB2312" w:cs="Times New Roman"/>
          <w:sz w:val="24"/>
          <w:szCs w:val="24"/>
          <w:lang w:val="en-US" w:eastAsia="zh-CN"/>
        </w:rPr>
        <w:t>聚乙烯吹塑农用地面覆盖薄膜标准</w:t>
      </w:r>
      <w:r>
        <w:rPr>
          <w:rFonts w:hint="eastAsia" w:eastAsia="仿宋_GB2312" w:cs="Times New Roman"/>
          <w:bCs/>
          <w:sz w:val="24"/>
          <w:lang w:val="en-US" w:eastAsia="zh-CN"/>
        </w:rPr>
        <w:t>和</w:t>
      </w:r>
      <w:r>
        <w:rPr>
          <w:rFonts w:hint="eastAsia" w:ascii="Times New Roman" w:hAnsi="Times New Roman" w:eastAsia="仿宋_GB2312" w:cs="Times New Roman"/>
          <w:bCs/>
          <w:sz w:val="24"/>
          <w:lang w:val="en-US" w:eastAsia="zh-CN"/>
        </w:rPr>
        <w:t>农产品生产档案记载规范</w:t>
      </w:r>
      <w:r>
        <w:rPr>
          <w:rFonts w:hint="eastAsia" w:eastAsia="仿宋_GB2312" w:cs="Times New Roman"/>
          <w:bCs/>
          <w:sz w:val="24"/>
          <w:lang w:val="en-US" w:eastAsia="zh-CN"/>
        </w:rPr>
        <w:t>标准</w:t>
      </w:r>
      <w:r>
        <w:rPr>
          <w:rFonts w:hint="default" w:ascii="仿宋_GB2312" w:hAnsi="仿宋" w:eastAsia="仿宋_GB2312" w:cs="Times New Roman"/>
          <w:sz w:val="24"/>
          <w:szCs w:val="24"/>
          <w:lang w:val="en-US" w:eastAsia="zh-CN"/>
        </w:rPr>
        <w:t>，具有更好的先进性和合法性。</w:t>
      </w:r>
    </w:p>
    <w:p w14:paraId="469C3D16">
      <w:pPr>
        <w:spacing w:line="360" w:lineRule="auto"/>
        <w:ind w:firstLine="480" w:firstLineChars="200"/>
        <w:outlineLvl w:val="0"/>
        <w:rPr>
          <w:rFonts w:hint="default" w:ascii="Times New Roman" w:hAnsi="Times New Roman" w:eastAsia="仿宋_GB2312" w:cs="Times New Roman"/>
          <w:bCs/>
          <w:sz w:val="24"/>
          <w:lang w:val="en-US" w:eastAsia="zh-CN"/>
        </w:rPr>
      </w:pPr>
      <w:r>
        <w:rPr>
          <w:rFonts w:hint="default" w:ascii="Times New Roman" w:hAnsi="Times New Roman" w:eastAsia="仿宋_GB2312" w:cs="Times New Roman"/>
          <w:bCs/>
          <w:sz w:val="24"/>
          <w:lang w:eastAsia="zh-CN"/>
        </w:rPr>
        <w:t>（</w:t>
      </w:r>
      <w:r>
        <w:rPr>
          <w:rFonts w:hint="eastAsia" w:eastAsia="仿宋_GB2312" w:cs="Times New Roman"/>
          <w:bCs/>
          <w:sz w:val="24"/>
          <w:lang w:val="en-US" w:eastAsia="zh-CN"/>
        </w:rPr>
        <w:t>4</w:t>
      </w:r>
      <w:r>
        <w:rPr>
          <w:rFonts w:hint="default" w:ascii="Times New Roman" w:hAnsi="Times New Roman" w:eastAsia="仿宋_GB2312" w:cs="Times New Roman"/>
          <w:bCs/>
          <w:sz w:val="24"/>
          <w:lang w:eastAsia="zh-CN"/>
        </w:rPr>
        <w:t>）更改了</w:t>
      </w:r>
      <w:r>
        <w:rPr>
          <w:rFonts w:hint="eastAsia" w:eastAsia="仿宋_GB2312" w:cs="Times New Roman"/>
          <w:bCs/>
          <w:sz w:val="24"/>
          <w:lang w:val="en-US" w:eastAsia="zh-CN"/>
        </w:rPr>
        <w:t>术语和定义</w:t>
      </w:r>
      <w:r>
        <w:rPr>
          <w:rFonts w:hint="default" w:ascii="Times New Roman" w:hAnsi="Times New Roman" w:eastAsia="仿宋_GB2312" w:cs="Times New Roman"/>
          <w:bCs/>
          <w:sz w:val="24"/>
          <w:lang w:eastAsia="zh-CN"/>
        </w:rPr>
        <w:t>。修订原因：</w:t>
      </w:r>
      <w:r>
        <w:rPr>
          <w:rFonts w:hint="default" w:ascii="Times New Roman" w:hAnsi="Times New Roman" w:eastAsia="仿宋_GB2312" w:cs="Times New Roman"/>
          <w:bCs/>
          <w:sz w:val="24"/>
          <w:lang w:val="en-US" w:eastAsia="zh-CN"/>
        </w:rPr>
        <w:t>修订后标准中</w:t>
      </w:r>
      <w:r>
        <w:rPr>
          <w:rFonts w:hint="eastAsia" w:eastAsia="仿宋_GB2312" w:cs="Times New Roman"/>
          <w:bCs/>
          <w:sz w:val="24"/>
          <w:lang w:val="en-US" w:eastAsia="zh-CN"/>
        </w:rPr>
        <w:t>，进一步规范了轻度盐碱地和土壤改良剂的定义，</w:t>
      </w:r>
      <w:r>
        <w:rPr>
          <w:rFonts w:hint="default" w:ascii="Times New Roman" w:hAnsi="Times New Roman" w:eastAsia="仿宋_GB2312" w:cs="Times New Roman"/>
          <w:bCs/>
          <w:sz w:val="24"/>
          <w:lang w:val="en-US" w:eastAsia="zh-CN"/>
        </w:rPr>
        <w:t>具有更好的先进性</w:t>
      </w:r>
      <w:r>
        <w:rPr>
          <w:rFonts w:hint="default" w:ascii="Times New Roman" w:hAnsi="Times New Roman" w:eastAsia="仿宋_GB2312" w:cs="Times New Roman"/>
          <w:bCs/>
          <w:sz w:val="24"/>
          <w:lang w:eastAsia="zh-CN"/>
        </w:rPr>
        <w:t>。</w:t>
      </w:r>
    </w:p>
    <w:p w14:paraId="307DFFD6">
      <w:pPr>
        <w:keepNext w:val="0"/>
        <w:keepLines w:val="0"/>
        <w:pageBreakBefore w:val="0"/>
        <w:widowControl w:val="0"/>
        <w:kinsoku/>
        <w:wordWrap/>
        <w:overflowPunct/>
        <w:topLinePunct w:val="0"/>
        <w:autoSpaceDE/>
        <w:autoSpaceDN/>
        <w:bidi w:val="0"/>
        <w:adjustRightInd/>
        <w:spacing w:line="360" w:lineRule="auto"/>
        <w:ind w:firstLine="480" w:firstLineChars="200"/>
        <w:textAlignment w:val="auto"/>
        <w:outlineLvl w:val="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（5）更改了播种方法。修订原因：针对非灌区的全膜双垄沟播和灌区覆膜平作进行了相关规定，具有更好的先进性和适应性。</w:t>
      </w:r>
    </w:p>
    <w:p w14:paraId="2704F236">
      <w:pPr>
        <w:keepNext w:val="0"/>
        <w:keepLines w:val="0"/>
        <w:pageBreakBefore w:val="0"/>
        <w:widowControl w:val="0"/>
        <w:kinsoku/>
        <w:wordWrap/>
        <w:overflowPunct/>
        <w:topLinePunct w:val="0"/>
        <w:autoSpaceDE/>
        <w:autoSpaceDN/>
        <w:bidi w:val="0"/>
        <w:adjustRightInd/>
        <w:spacing w:line="360" w:lineRule="auto"/>
        <w:ind w:firstLine="480" w:firstLineChars="200"/>
        <w:textAlignment w:val="auto"/>
        <w:outlineLvl w:val="0"/>
        <w:rPr>
          <w:rFonts w:hint="eastAsia" w:ascii="方正仿宋_GB2312" w:hAnsi="方正仿宋_GB2312" w:eastAsia="方正仿宋_GB2312" w:cs="方正仿宋_GB2312"/>
          <w:sz w:val="24"/>
          <w:szCs w:val="24"/>
          <w:lang w:val="en-US" w:eastAsia="zh-CN"/>
        </w:rPr>
      </w:pPr>
      <w:r>
        <w:rPr>
          <w:rFonts w:hint="eastAsia" w:ascii="方正仿宋_GB2312" w:hAnsi="方正仿宋_GB2312" w:eastAsia="方正仿宋_GB2312" w:cs="方正仿宋_GB2312"/>
          <w:sz w:val="24"/>
          <w:szCs w:val="24"/>
          <w:lang w:val="en-US" w:eastAsia="zh-CN"/>
        </w:rPr>
        <w:t>3、涉及到的技术指标主要有2项：</w:t>
      </w:r>
    </w:p>
    <w:p w14:paraId="7C60DF48">
      <w:pPr>
        <w:keepNext w:val="0"/>
        <w:keepLines w:val="0"/>
        <w:pageBreakBefore w:val="0"/>
        <w:widowControl w:val="0"/>
        <w:kinsoku/>
        <w:wordWrap/>
        <w:overflowPunct/>
        <w:topLinePunct w:val="0"/>
        <w:autoSpaceDE/>
        <w:autoSpaceDN/>
        <w:bidi w:val="0"/>
        <w:adjustRightInd/>
        <w:spacing w:line="360" w:lineRule="auto"/>
        <w:ind w:firstLine="480" w:firstLineChars="200"/>
        <w:textAlignment w:val="auto"/>
        <w:outlineLvl w:val="0"/>
        <w:rPr>
          <w:rFonts w:hint="eastAsia" w:ascii="方正仿宋_GB2312" w:hAnsi="方正仿宋_GB2312" w:eastAsia="方正仿宋_GB2312" w:cs="方正仿宋_GB2312"/>
          <w:sz w:val="24"/>
          <w:szCs w:val="24"/>
          <w:lang w:val="en-US" w:eastAsia="zh-CN"/>
        </w:rPr>
      </w:pPr>
      <w:r>
        <w:rPr>
          <w:rFonts w:hint="eastAsia" w:ascii="方正仿宋_GB2312" w:hAnsi="方正仿宋_GB2312" w:eastAsia="方正仿宋_GB2312" w:cs="方正仿宋_GB2312"/>
          <w:sz w:val="24"/>
          <w:szCs w:val="24"/>
          <w:lang w:val="en-US" w:eastAsia="zh-CN"/>
        </w:rPr>
        <w:t>（1）旱区起垄覆膜垄沟播种栽培模式的提出。修订原因及试验验证分析：</w:t>
      </w:r>
    </w:p>
    <w:p w14:paraId="57538AB8">
      <w:pPr>
        <w:keepNext w:val="0"/>
        <w:keepLines w:val="0"/>
        <w:pageBreakBefore w:val="0"/>
        <w:widowControl w:val="0"/>
        <w:kinsoku/>
        <w:wordWrap/>
        <w:overflowPunct/>
        <w:topLinePunct w:val="0"/>
        <w:autoSpaceDE/>
        <w:autoSpaceDN/>
        <w:bidi w:val="0"/>
        <w:adjustRightInd/>
        <w:spacing w:line="360" w:lineRule="auto"/>
        <w:ind w:firstLine="480" w:firstLineChars="200"/>
        <w:textAlignment w:val="auto"/>
        <w:outlineLvl w:val="0"/>
        <w:rPr>
          <w:rFonts w:hint="eastAsia" w:ascii="方正仿宋_GB2312" w:hAnsi="方正仿宋_GB2312" w:eastAsia="方正仿宋_GB2312" w:cs="方正仿宋_GB2312"/>
          <w:sz w:val="24"/>
          <w:szCs w:val="24"/>
          <w:lang w:val="en-US" w:eastAsia="zh-CN"/>
        </w:rPr>
      </w:pPr>
      <w:r>
        <w:rPr>
          <w:rFonts w:hint="eastAsia" w:ascii="方正仿宋_GB2312" w:hAnsi="方正仿宋_GB2312" w:eastAsia="方正仿宋_GB2312" w:cs="方正仿宋_GB2312"/>
          <w:sz w:val="24"/>
          <w:szCs w:val="24"/>
          <w:lang w:val="en-US" w:eastAsia="zh-CN"/>
        </w:rPr>
        <w:t>修订原因：通过试验数据表明，针对盐碱地水盐动态，创新与盐碱作物水肥热盐耦合调控相融合的起垄、覆膜、垄侧或垄沟播种相结合的栽培模式是最优模式。</w:t>
      </w:r>
    </w:p>
    <w:p w14:paraId="2095BF04">
      <w:pPr>
        <w:keepNext w:val="0"/>
        <w:keepLines w:val="0"/>
        <w:pageBreakBefore w:val="0"/>
        <w:widowControl w:val="0"/>
        <w:kinsoku/>
        <w:wordWrap/>
        <w:overflowPunct/>
        <w:topLinePunct w:val="0"/>
        <w:autoSpaceDE/>
        <w:autoSpaceDN/>
        <w:bidi w:val="0"/>
        <w:adjustRightInd/>
        <w:spacing w:line="360" w:lineRule="auto"/>
        <w:ind w:firstLine="480" w:firstLineChars="200"/>
        <w:textAlignment w:val="auto"/>
        <w:outlineLvl w:val="0"/>
        <w:rPr>
          <w:rFonts w:hint="eastAsia" w:ascii="方正仿宋_GB2312" w:hAnsi="方正仿宋_GB2312" w:eastAsia="方正仿宋_GB2312" w:cs="方正仿宋_GB2312"/>
          <w:sz w:val="24"/>
          <w:szCs w:val="24"/>
          <w:lang w:val="en-US" w:eastAsia="zh-CN"/>
        </w:rPr>
      </w:pPr>
      <w:r>
        <w:rPr>
          <w:rFonts w:hint="eastAsia" w:ascii="方正仿宋_GB2312" w:hAnsi="方正仿宋_GB2312" w:eastAsia="方正仿宋_GB2312" w:cs="方正仿宋_GB2312"/>
          <w:sz w:val="24"/>
          <w:szCs w:val="24"/>
          <w:lang w:val="en-US" w:eastAsia="zh-CN"/>
        </w:rPr>
        <w:t>试验验证分析：</w:t>
      </w:r>
    </w:p>
    <w:p w14:paraId="217DB87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方正仿宋_GB2312" w:hAnsi="方正仿宋_GB2312" w:eastAsia="方正仿宋_GB2312" w:cs="方正仿宋_GB2312"/>
          <w:bCs/>
          <w:sz w:val="24"/>
          <w:lang w:val="en-US" w:eastAsia="zh-CN"/>
        </w:rPr>
      </w:pPr>
      <w:r>
        <w:rPr>
          <w:rFonts w:hint="eastAsia" w:ascii="方正仿宋_GB2312" w:hAnsi="方正仿宋_GB2312" w:eastAsia="方正仿宋_GB2312" w:cs="方正仿宋_GB2312"/>
          <w:bCs/>
          <w:sz w:val="24"/>
          <w:lang w:val="en-US" w:eastAsia="zh-CN"/>
        </w:rPr>
        <w:t>针对大同盆地苏打盐化土玉米种植的限制因素，采用四种改良苏打盐化土效果良好的覆膜垄作措施：平作不覆膜（T1）、平作常规覆膜（T2）、起垄覆膜膜侧种植（T3）、全覆膜起垄垄沟种植（T4），每个处理重复4次，小区随机排列。肥料一次性施入，品种为盐碱地玉米专用肥（N-P</w:t>
      </w:r>
      <w:r>
        <w:rPr>
          <w:rFonts w:hint="eastAsia" w:ascii="方正仿宋_GB2312" w:hAnsi="方正仿宋_GB2312" w:eastAsia="方正仿宋_GB2312" w:cs="方正仿宋_GB2312"/>
          <w:bCs/>
          <w:sz w:val="24"/>
          <w:vertAlign w:val="subscript"/>
          <w:lang w:val="en-US" w:eastAsia="zh-CN"/>
        </w:rPr>
        <w:t>2</w:t>
      </w:r>
      <w:r>
        <w:rPr>
          <w:rFonts w:hint="eastAsia" w:ascii="方正仿宋_GB2312" w:hAnsi="方正仿宋_GB2312" w:eastAsia="方正仿宋_GB2312" w:cs="方正仿宋_GB2312"/>
          <w:bCs/>
          <w:sz w:val="24"/>
          <w:lang w:val="en-US" w:eastAsia="zh-CN"/>
        </w:rPr>
        <w:t>O</w:t>
      </w:r>
      <w:r>
        <w:rPr>
          <w:rFonts w:hint="eastAsia" w:ascii="方正仿宋_GB2312" w:hAnsi="方正仿宋_GB2312" w:eastAsia="方正仿宋_GB2312" w:cs="方正仿宋_GB2312"/>
          <w:bCs/>
          <w:sz w:val="24"/>
          <w:vertAlign w:val="subscript"/>
          <w:lang w:val="en-US" w:eastAsia="zh-CN"/>
        </w:rPr>
        <w:t>5</w:t>
      </w:r>
      <w:r>
        <w:rPr>
          <w:rFonts w:hint="eastAsia" w:ascii="方正仿宋_GB2312" w:hAnsi="方正仿宋_GB2312" w:eastAsia="方正仿宋_GB2312" w:cs="方正仿宋_GB2312"/>
          <w:bCs/>
          <w:sz w:val="24"/>
          <w:lang w:val="en-US" w:eastAsia="zh-CN"/>
        </w:rPr>
        <w:t>-K</w:t>
      </w:r>
      <w:r>
        <w:rPr>
          <w:rFonts w:hint="eastAsia" w:ascii="方正仿宋_GB2312" w:hAnsi="方正仿宋_GB2312" w:eastAsia="方正仿宋_GB2312" w:cs="方正仿宋_GB2312"/>
          <w:bCs/>
          <w:sz w:val="24"/>
          <w:vertAlign w:val="subscript"/>
          <w:lang w:val="en-US" w:eastAsia="zh-CN"/>
        </w:rPr>
        <w:t>2</w:t>
      </w:r>
      <w:r>
        <w:rPr>
          <w:rFonts w:hint="eastAsia" w:ascii="方正仿宋_GB2312" w:hAnsi="方正仿宋_GB2312" w:eastAsia="方正仿宋_GB2312" w:cs="方正仿宋_GB2312"/>
          <w:bCs/>
          <w:sz w:val="24"/>
          <w:lang w:val="en-US" w:eastAsia="zh-CN"/>
        </w:rPr>
        <w:t>O=30-12-6），施用量为750kg/ha。各处理田间管理措施一致，10月初收获。</w:t>
      </w:r>
    </w:p>
    <w:p w14:paraId="5012E6F4">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hint="eastAsia"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图</w:t>
      </w:r>
      <w:r>
        <w:rPr>
          <w:rFonts w:hint="eastAsia" w:ascii="方正仿宋_GB2312" w:hAnsi="方正仿宋_GB2312" w:eastAsia="方正仿宋_GB2312" w:cs="方正仿宋_GB2312"/>
          <w:sz w:val="24"/>
          <w:szCs w:val="24"/>
          <w:lang w:val="en-US" w:eastAsia="zh-CN"/>
        </w:rPr>
        <w:t>1</w:t>
      </w:r>
      <w:r>
        <w:rPr>
          <w:rFonts w:hint="eastAsia" w:ascii="方正仿宋_GB2312" w:hAnsi="方正仿宋_GB2312" w:eastAsia="方正仿宋_GB2312" w:cs="方正仿宋_GB2312"/>
          <w:sz w:val="24"/>
          <w:szCs w:val="24"/>
        </w:rPr>
        <w:t>显示的是玉米播种点位各处理土壤EC状况。结果显示，耕作和覆盖方式的改变显著影响0-40</w:t>
      </w:r>
      <w:r>
        <w:rPr>
          <w:rFonts w:hint="eastAsia" w:ascii="方正仿宋_GB2312" w:hAnsi="方正仿宋_GB2312" w:eastAsia="方正仿宋_GB2312" w:cs="方正仿宋_GB2312"/>
          <w:sz w:val="24"/>
          <w:szCs w:val="24"/>
          <w:lang w:val="en-US" w:eastAsia="zh-CN"/>
        </w:rPr>
        <w:t xml:space="preserve"> </w:t>
      </w:r>
      <w:r>
        <w:rPr>
          <w:rFonts w:hint="eastAsia" w:ascii="方正仿宋_GB2312" w:hAnsi="方正仿宋_GB2312" w:eastAsia="方正仿宋_GB2312" w:cs="方正仿宋_GB2312"/>
          <w:sz w:val="24"/>
          <w:szCs w:val="24"/>
        </w:rPr>
        <w:t>cm土体土壤EC，尤其是对0-20</w:t>
      </w:r>
      <w:r>
        <w:rPr>
          <w:rFonts w:hint="eastAsia" w:ascii="方正仿宋_GB2312" w:hAnsi="方正仿宋_GB2312" w:eastAsia="方正仿宋_GB2312" w:cs="方正仿宋_GB2312"/>
          <w:sz w:val="24"/>
          <w:szCs w:val="24"/>
          <w:lang w:val="en-US" w:eastAsia="zh-CN"/>
        </w:rPr>
        <w:t xml:space="preserve"> </w:t>
      </w:r>
      <w:r>
        <w:rPr>
          <w:rFonts w:hint="eastAsia" w:ascii="方正仿宋_GB2312" w:hAnsi="方正仿宋_GB2312" w:eastAsia="方正仿宋_GB2312" w:cs="方正仿宋_GB2312"/>
          <w:sz w:val="24"/>
          <w:szCs w:val="24"/>
        </w:rPr>
        <w:t>cm玉米根层影响显著。从玉米生育时期看，主要影响玉米苗期-吐丝期土壤的EC。玉米苗期-吐丝期期间，T3处理和T4处理土壤EC明显低于T1和T2处理，T1处理EC值含量最高。尤其是在玉米的苗期，这种趋势比较明显，0-10cm土层T3处理土壤EC为1.05</w:t>
      </w:r>
      <w:r>
        <w:rPr>
          <w:rFonts w:hint="eastAsia" w:ascii="方正仿宋_GB2312" w:hAnsi="方正仿宋_GB2312" w:eastAsia="方正仿宋_GB2312" w:cs="方正仿宋_GB2312"/>
          <w:sz w:val="24"/>
          <w:szCs w:val="24"/>
          <w:lang w:val="en-US" w:eastAsia="zh-CN"/>
        </w:rPr>
        <w:t xml:space="preserve"> </w:t>
      </w:r>
      <w:r>
        <w:rPr>
          <w:rFonts w:hint="eastAsia" w:ascii="方正仿宋_GB2312" w:hAnsi="方正仿宋_GB2312" w:eastAsia="方正仿宋_GB2312" w:cs="方正仿宋_GB2312"/>
          <w:sz w:val="24"/>
          <w:szCs w:val="24"/>
        </w:rPr>
        <w:t>mS/cm，T4处理土壤EC1.35</w:t>
      </w:r>
      <w:r>
        <w:rPr>
          <w:rFonts w:hint="eastAsia" w:ascii="方正仿宋_GB2312" w:hAnsi="方正仿宋_GB2312" w:eastAsia="方正仿宋_GB2312" w:cs="方正仿宋_GB2312"/>
          <w:sz w:val="24"/>
          <w:szCs w:val="24"/>
          <w:lang w:val="en-US" w:eastAsia="zh-CN"/>
        </w:rPr>
        <w:t xml:space="preserve"> </w:t>
      </w:r>
      <w:r>
        <w:rPr>
          <w:rFonts w:hint="eastAsia" w:ascii="方正仿宋_GB2312" w:hAnsi="方正仿宋_GB2312" w:eastAsia="方正仿宋_GB2312" w:cs="方正仿宋_GB2312"/>
          <w:sz w:val="24"/>
          <w:szCs w:val="24"/>
        </w:rPr>
        <w:t>mS/cm，而T1处理土壤EC高达1.99</w:t>
      </w:r>
      <w:r>
        <w:rPr>
          <w:rFonts w:hint="eastAsia" w:ascii="方正仿宋_GB2312" w:hAnsi="方正仿宋_GB2312" w:eastAsia="方正仿宋_GB2312" w:cs="方正仿宋_GB2312"/>
          <w:sz w:val="24"/>
          <w:szCs w:val="24"/>
          <w:lang w:val="en-US" w:eastAsia="zh-CN"/>
        </w:rPr>
        <w:t xml:space="preserve"> </w:t>
      </w:r>
      <w:r>
        <w:rPr>
          <w:rFonts w:hint="eastAsia" w:ascii="方正仿宋_GB2312" w:hAnsi="方正仿宋_GB2312" w:eastAsia="方正仿宋_GB2312" w:cs="方正仿宋_GB2312"/>
          <w:sz w:val="24"/>
          <w:szCs w:val="24"/>
        </w:rPr>
        <w:t>mS/cm，T2处理1.76</w:t>
      </w:r>
      <w:r>
        <w:rPr>
          <w:rFonts w:hint="eastAsia" w:ascii="方正仿宋_GB2312" w:hAnsi="方正仿宋_GB2312" w:eastAsia="方正仿宋_GB2312" w:cs="方正仿宋_GB2312"/>
          <w:sz w:val="24"/>
          <w:szCs w:val="24"/>
          <w:lang w:val="en-US" w:eastAsia="zh-CN"/>
        </w:rPr>
        <w:t xml:space="preserve"> </w:t>
      </w:r>
      <w:r>
        <w:rPr>
          <w:rFonts w:hint="eastAsia" w:ascii="方正仿宋_GB2312" w:hAnsi="方正仿宋_GB2312" w:eastAsia="方正仿宋_GB2312" w:cs="方正仿宋_GB2312"/>
          <w:sz w:val="24"/>
          <w:szCs w:val="24"/>
        </w:rPr>
        <w:t>mS/cm。10-20cm土层T3处理土壤EC1.08</w:t>
      </w:r>
      <w:r>
        <w:rPr>
          <w:rFonts w:hint="eastAsia" w:ascii="方正仿宋_GB2312" w:hAnsi="方正仿宋_GB2312" w:eastAsia="方正仿宋_GB2312" w:cs="方正仿宋_GB2312"/>
          <w:sz w:val="24"/>
          <w:szCs w:val="24"/>
          <w:lang w:val="en-US" w:eastAsia="zh-CN"/>
        </w:rPr>
        <w:t xml:space="preserve"> </w:t>
      </w:r>
      <w:r>
        <w:rPr>
          <w:rFonts w:hint="eastAsia" w:ascii="方正仿宋_GB2312" w:hAnsi="方正仿宋_GB2312" w:eastAsia="方正仿宋_GB2312" w:cs="方正仿宋_GB2312"/>
          <w:sz w:val="24"/>
          <w:szCs w:val="24"/>
        </w:rPr>
        <w:t>mS/cm，T4处理EC0.71</w:t>
      </w:r>
      <w:r>
        <w:rPr>
          <w:rFonts w:hint="eastAsia" w:ascii="方正仿宋_GB2312" w:hAnsi="方正仿宋_GB2312" w:eastAsia="方正仿宋_GB2312" w:cs="方正仿宋_GB2312"/>
          <w:sz w:val="24"/>
          <w:szCs w:val="24"/>
          <w:lang w:val="en-US" w:eastAsia="zh-CN"/>
        </w:rPr>
        <w:t xml:space="preserve"> </w:t>
      </w:r>
      <w:r>
        <w:rPr>
          <w:rFonts w:hint="eastAsia" w:ascii="方正仿宋_GB2312" w:hAnsi="方正仿宋_GB2312" w:eastAsia="方正仿宋_GB2312" w:cs="方正仿宋_GB2312"/>
          <w:sz w:val="24"/>
          <w:szCs w:val="24"/>
        </w:rPr>
        <w:t>mS/cm，而T1处理土壤EC1.59</w:t>
      </w:r>
      <w:r>
        <w:rPr>
          <w:rFonts w:hint="eastAsia" w:ascii="方正仿宋_GB2312" w:hAnsi="方正仿宋_GB2312" w:eastAsia="方正仿宋_GB2312" w:cs="方正仿宋_GB2312"/>
          <w:sz w:val="24"/>
          <w:szCs w:val="24"/>
          <w:lang w:val="en-US" w:eastAsia="zh-CN"/>
        </w:rPr>
        <w:t xml:space="preserve"> </w:t>
      </w:r>
      <w:r>
        <w:rPr>
          <w:rFonts w:hint="eastAsia" w:ascii="方正仿宋_GB2312" w:hAnsi="方正仿宋_GB2312" w:eastAsia="方正仿宋_GB2312" w:cs="方正仿宋_GB2312"/>
          <w:sz w:val="24"/>
          <w:szCs w:val="24"/>
        </w:rPr>
        <w:t>mS/cm，T2处理1.45</w:t>
      </w:r>
      <w:r>
        <w:rPr>
          <w:rFonts w:hint="eastAsia" w:ascii="方正仿宋_GB2312" w:hAnsi="方正仿宋_GB2312" w:eastAsia="方正仿宋_GB2312" w:cs="方正仿宋_GB2312"/>
          <w:sz w:val="24"/>
          <w:szCs w:val="24"/>
          <w:lang w:val="en-US" w:eastAsia="zh-CN"/>
        </w:rPr>
        <w:t xml:space="preserve"> </w:t>
      </w:r>
      <w:r>
        <w:rPr>
          <w:rFonts w:hint="eastAsia" w:ascii="方正仿宋_GB2312" w:hAnsi="方正仿宋_GB2312" w:eastAsia="方正仿宋_GB2312" w:cs="方正仿宋_GB2312"/>
          <w:sz w:val="24"/>
          <w:szCs w:val="24"/>
        </w:rPr>
        <w:t>mS/cm。</w:t>
      </w:r>
    </w:p>
    <w:p w14:paraId="660ED2ED">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hint="eastAsia"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可见，玉米受盐分胁迫主要发生在苗期，因为苗期降雨量少，蒸发强度高，盐分处于上行状态，大量盐分在土壤表层集聚。为此，降低苗期的盐分含量是玉米种植的关键环节。平作不覆膜（T1）处理是过去传统的耕作措施，土壤表层的水盐胁迫相当严重，抑制玉米苗期的生长。平作覆膜（T2）处理，采取了覆膜措施，膜下保证了一定的含水量，蒸发量减少，一定程度上减少了盐分的表聚。全膜覆盖垄沟种植（T4）和起垄半膜覆盖膜侧种植（T3）这两种方式玉米播种部位的土壤水分状况明显好于T1和T2处理，水分的蒸发减少，盐分上移行为受阻，土壤EC值低于T1和T2，为玉米根系生长提供了一个良好的微环境。</w:t>
      </w:r>
    </w:p>
    <w:p w14:paraId="0B283E29">
      <w:pPr>
        <w:snapToGrid w:val="0"/>
        <w:spacing w:line="360" w:lineRule="auto"/>
        <w:ind w:firstLine="480" w:firstLineChars="200"/>
        <w:jc w:val="center"/>
        <w:rPr>
          <w:rFonts w:hint="default" w:ascii="Times New Roman" w:hAnsi="Times New Roman" w:eastAsia="方正仿宋_GB2312" w:cs="Times New Roman"/>
          <w:sz w:val="24"/>
          <w:szCs w:val="24"/>
        </w:rPr>
      </w:pPr>
      <w:r>
        <w:rPr>
          <w:rFonts w:hint="default" w:ascii="Times New Roman" w:hAnsi="Times New Roman" w:eastAsia="方正仿宋_GB2312" w:cs="Times New Roman"/>
          <w:sz w:val="24"/>
          <w:szCs w:val="24"/>
        </w:rPr>
        <w:drawing>
          <wp:anchor distT="0" distB="0" distL="114300" distR="114300" simplePos="0" relativeHeight="251659264" behindDoc="0" locked="0" layoutInCell="1" allowOverlap="1">
            <wp:simplePos x="0" y="0"/>
            <wp:positionH relativeFrom="column">
              <wp:posOffset>224155</wp:posOffset>
            </wp:positionH>
            <wp:positionV relativeFrom="paragraph">
              <wp:posOffset>54610</wp:posOffset>
            </wp:positionV>
            <wp:extent cx="4880610" cy="2849245"/>
            <wp:effectExtent l="0" t="0" r="15240" b="8255"/>
            <wp:wrapTopAndBottom/>
            <wp:docPr id="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9"/>
                    <pic:cNvPicPr>
                      <a:picLocks noChangeAspect="1"/>
                    </pic:cNvPicPr>
                  </pic:nvPicPr>
                  <pic:blipFill>
                    <a:blip r:embed="rId5"/>
                    <a:stretch>
                      <a:fillRect/>
                    </a:stretch>
                  </pic:blipFill>
                  <pic:spPr>
                    <a:xfrm>
                      <a:off x="0" y="0"/>
                      <a:ext cx="4880610" cy="2849245"/>
                    </a:xfrm>
                    <a:prstGeom prst="rect">
                      <a:avLst/>
                    </a:prstGeom>
                    <a:noFill/>
                    <a:ln>
                      <a:noFill/>
                    </a:ln>
                  </pic:spPr>
                </pic:pic>
              </a:graphicData>
            </a:graphic>
          </wp:anchor>
        </w:drawing>
      </w:r>
      <w:bookmarkStart w:id="0" w:name="_Toc524015565"/>
      <w:r>
        <w:rPr>
          <w:rFonts w:hint="default" w:ascii="Times New Roman" w:hAnsi="Times New Roman" w:eastAsia="方正仿宋_GB2312" w:cs="Times New Roman"/>
          <w:sz w:val="24"/>
          <w:szCs w:val="24"/>
        </w:rPr>
        <w:t xml:space="preserve">图 </w:t>
      </w:r>
      <w:r>
        <w:rPr>
          <w:rFonts w:hint="eastAsia" w:ascii="Times New Roman" w:hAnsi="Times New Roman" w:eastAsia="方正仿宋_GB2312" w:cs="Times New Roman"/>
          <w:sz w:val="24"/>
          <w:szCs w:val="24"/>
          <w:lang w:val="en-US" w:eastAsia="zh-CN"/>
        </w:rPr>
        <w:t>1</w:t>
      </w:r>
      <w:r>
        <w:rPr>
          <w:rFonts w:hint="default" w:ascii="Times New Roman" w:hAnsi="Times New Roman" w:eastAsia="方正仿宋_GB2312" w:cs="Times New Roman"/>
          <w:sz w:val="24"/>
          <w:szCs w:val="24"/>
        </w:rPr>
        <w:t xml:space="preserve">  不同处理玉米生育时期播种点位土壤EC</w:t>
      </w:r>
      <w:bookmarkEnd w:id="0"/>
    </w:p>
    <w:p w14:paraId="051E5A5A">
      <w:pPr>
        <w:keepNext w:val="0"/>
        <w:keepLines w:val="0"/>
        <w:pageBreakBefore w:val="0"/>
        <w:widowControl w:val="0"/>
        <w:kinsoku/>
        <w:wordWrap/>
        <w:overflowPunct/>
        <w:topLinePunct w:val="0"/>
        <w:autoSpaceDE/>
        <w:autoSpaceDN/>
        <w:bidi w:val="0"/>
        <w:adjustRightInd/>
        <w:snapToGrid w:val="0"/>
        <w:spacing w:line="360" w:lineRule="auto"/>
        <w:ind w:firstLine="480" w:firstLineChars="200"/>
        <w:jc w:val="left"/>
        <w:textAlignment w:val="auto"/>
        <w:rPr>
          <w:rFonts w:hint="eastAsia"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试验同样比较了T3和T4处理垄背、垄侧和垄沟的土壤EC状况。从图</w:t>
      </w:r>
      <w:r>
        <w:rPr>
          <w:rFonts w:hint="eastAsia" w:ascii="方正仿宋_GB2312" w:hAnsi="方正仿宋_GB2312" w:eastAsia="方正仿宋_GB2312" w:cs="方正仿宋_GB2312"/>
          <w:sz w:val="24"/>
          <w:szCs w:val="24"/>
          <w:lang w:val="en-US" w:eastAsia="zh-CN"/>
        </w:rPr>
        <w:t>2</w:t>
      </w:r>
      <w:r>
        <w:rPr>
          <w:rFonts w:hint="eastAsia" w:ascii="方正仿宋_GB2312" w:hAnsi="方正仿宋_GB2312" w:eastAsia="方正仿宋_GB2312" w:cs="方正仿宋_GB2312"/>
          <w:sz w:val="24"/>
          <w:szCs w:val="24"/>
        </w:rPr>
        <w:t>看，起垄和覆膜改变了土壤的EC状况，主要影响0-40cm土层土壤EC，尤其是0-20cm土层影响显著。同样是影响玉米苗期-吐丝期阶段的土壤EC，苗期影响更为显著。0-10cm土层T3处理苗期垄背、垄侧、垄沟土壤EC分别为1.95mS/cm、1.35mS/cm、1.18mS/cm，T4处理苗期垄背、垄沟土壤EC分别为1.81mS/cm和1.02mS/cm。10-20cm土层T3处理苗期垄背、垄侧、垄沟土壤EC分别为1.77mS/cm、1.08mS/cm、0.80mS/cm，T4处理苗期垄背、垄沟土壤EC分别为1.61mS/cm和0.61mS/cm。</w:t>
      </w:r>
    </w:p>
    <w:p w14:paraId="2E1360FE">
      <w:pPr>
        <w:keepNext w:val="0"/>
        <w:keepLines w:val="0"/>
        <w:pageBreakBefore w:val="0"/>
        <w:widowControl w:val="0"/>
        <w:kinsoku/>
        <w:wordWrap/>
        <w:overflowPunct/>
        <w:topLinePunct w:val="0"/>
        <w:autoSpaceDE/>
        <w:autoSpaceDN/>
        <w:bidi w:val="0"/>
        <w:adjustRightInd/>
        <w:snapToGrid w:val="0"/>
        <w:spacing w:line="360" w:lineRule="auto"/>
        <w:ind w:firstLine="480" w:firstLineChars="200"/>
        <w:jc w:val="left"/>
        <w:textAlignment w:val="auto"/>
        <w:rPr>
          <w:rFonts w:hint="eastAsia"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从结果看出，2种处理的垄背盐分含量高于垄侧和垄沟，不适合将玉米种植在垄背上。T4处理垄沟盐分含量低于垄背，垄沟种植玉米苗期发育也很好。T3处理垄侧盐分含量虽低于垄沟，但从我们监测的土壤温度数据看，垄侧土温高于垄沟，对玉米苗期的发育有利。</w:t>
      </w:r>
    </w:p>
    <w:p w14:paraId="2D1F8133">
      <w:pPr>
        <w:snapToGrid w:val="0"/>
        <w:spacing w:line="360" w:lineRule="auto"/>
        <w:jc w:val="center"/>
        <w:rPr>
          <w:rFonts w:hint="default" w:ascii="Times New Roman" w:hAnsi="Times New Roman" w:eastAsia="方正仿宋_GB2312" w:cs="Times New Roman"/>
          <w:sz w:val="24"/>
          <w:szCs w:val="24"/>
        </w:rPr>
      </w:pPr>
      <w:bookmarkStart w:id="1" w:name="_Toc524015566"/>
      <w:r>
        <w:rPr>
          <w:rFonts w:hint="default" w:ascii="Times New Roman" w:hAnsi="Times New Roman" w:eastAsia="方正仿宋_GB2312" w:cs="Times New Roman"/>
          <w:sz w:val="24"/>
          <w:szCs w:val="24"/>
        </w:rPr>
        <w:drawing>
          <wp:anchor distT="0" distB="0" distL="114300" distR="114300" simplePos="0" relativeHeight="251660288" behindDoc="0" locked="0" layoutInCell="1" allowOverlap="1">
            <wp:simplePos x="0" y="0"/>
            <wp:positionH relativeFrom="column">
              <wp:posOffset>315595</wp:posOffset>
            </wp:positionH>
            <wp:positionV relativeFrom="paragraph">
              <wp:posOffset>23495</wp:posOffset>
            </wp:positionV>
            <wp:extent cx="4588510" cy="3266440"/>
            <wp:effectExtent l="0" t="0" r="2540" b="10160"/>
            <wp:wrapTopAndBottom/>
            <wp:docPr id="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0"/>
                    <pic:cNvPicPr>
                      <a:picLocks noChangeAspect="1"/>
                    </pic:cNvPicPr>
                  </pic:nvPicPr>
                  <pic:blipFill>
                    <a:blip r:embed="rId6"/>
                    <a:stretch>
                      <a:fillRect/>
                    </a:stretch>
                  </pic:blipFill>
                  <pic:spPr>
                    <a:xfrm>
                      <a:off x="0" y="0"/>
                      <a:ext cx="4588510" cy="3266440"/>
                    </a:xfrm>
                    <a:prstGeom prst="rect">
                      <a:avLst/>
                    </a:prstGeom>
                    <a:noFill/>
                    <a:ln>
                      <a:noFill/>
                    </a:ln>
                  </pic:spPr>
                </pic:pic>
              </a:graphicData>
            </a:graphic>
          </wp:anchor>
        </w:drawing>
      </w:r>
      <w:r>
        <w:rPr>
          <w:rFonts w:hint="default" w:ascii="Times New Roman" w:hAnsi="Times New Roman" w:eastAsia="方正仿宋_GB2312" w:cs="Times New Roman"/>
          <w:sz w:val="24"/>
          <w:szCs w:val="24"/>
        </w:rPr>
        <w:t xml:space="preserve">图 </w:t>
      </w:r>
      <w:r>
        <w:rPr>
          <w:rFonts w:hint="eastAsia" w:ascii="Times New Roman" w:hAnsi="Times New Roman" w:eastAsia="方正仿宋_GB2312" w:cs="Times New Roman"/>
          <w:sz w:val="24"/>
          <w:szCs w:val="24"/>
          <w:lang w:val="en-US" w:eastAsia="zh-CN"/>
        </w:rPr>
        <w:t>2</w:t>
      </w:r>
      <w:r>
        <w:rPr>
          <w:rFonts w:hint="default" w:ascii="Times New Roman" w:hAnsi="Times New Roman" w:eastAsia="方正仿宋_GB2312" w:cs="Times New Roman"/>
          <w:sz w:val="24"/>
          <w:szCs w:val="24"/>
        </w:rPr>
        <w:t xml:space="preserve">  不同处理玉米生育时期不同部位土壤EC</w:t>
      </w:r>
      <w:bookmarkEnd w:id="1"/>
    </w:p>
    <w:p w14:paraId="6F1A62E6">
      <w:pPr>
        <w:keepNext w:val="0"/>
        <w:keepLines w:val="0"/>
        <w:pageBreakBefore w:val="0"/>
        <w:widowControl w:val="0"/>
        <w:kinsoku/>
        <w:wordWrap/>
        <w:overflowPunct/>
        <w:topLinePunct w:val="0"/>
        <w:autoSpaceDE/>
        <w:autoSpaceDN/>
        <w:bidi w:val="0"/>
        <w:adjustRightInd/>
        <w:snapToGrid w:val="0"/>
        <w:spacing w:line="360" w:lineRule="auto"/>
        <w:ind w:firstLine="480" w:firstLineChars="200"/>
        <w:jc w:val="left"/>
        <w:textAlignment w:val="auto"/>
        <w:rPr>
          <w:rFonts w:hint="eastAsia" w:ascii="方正仿宋_GB2312" w:hAnsi="方正仿宋_GB2312" w:eastAsia="方正仿宋_GB2312" w:cs="方正仿宋_GB2312"/>
          <w:i w:val="0"/>
          <w:iCs w:val="0"/>
          <w:sz w:val="24"/>
          <w:szCs w:val="24"/>
        </w:rPr>
      </w:pPr>
      <w:r>
        <w:rPr>
          <w:rFonts w:hint="eastAsia" w:ascii="方正仿宋_GB2312" w:hAnsi="方正仿宋_GB2312" w:eastAsia="方正仿宋_GB2312" w:cs="方正仿宋_GB2312"/>
          <w:i w:val="0"/>
          <w:iCs w:val="0"/>
          <w:sz w:val="24"/>
          <w:szCs w:val="24"/>
          <w:lang w:val="en-US" w:eastAsia="zh-CN"/>
        </w:rPr>
        <w:t>两年间</w:t>
      </w:r>
      <w:r>
        <w:rPr>
          <w:rFonts w:hint="eastAsia" w:ascii="方正仿宋_GB2312" w:hAnsi="方正仿宋_GB2312" w:eastAsia="方正仿宋_GB2312" w:cs="方正仿宋_GB2312"/>
          <w:i w:val="0"/>
          <w:iCs w:val="0"/>
          <w:sz w:val="24"/>
          <w:szCs w:val="24"/>
        </w:rPr>
        <w:t>对玉米干物质积累的研究（图</w:t>
      </w:r>
      <w:r>
        <w:rPr>
          <w:rFonts w:hint="eastAsia" w:ascii="方正仿宋_GB2312" w:hAnsi="方正仿宋_GB2312" w:eastAsia="方正仿宋_GB2312" w:cs="方正仿宋_GB2312"/>
          <w:i w:val="0"/>
          <w:iCs w:val="0"/>
          <w:sz w:val="24"/>
          <w:szCs w:val="24"/>
          <w:lang w:val="en-US" w:eastAsia="zh-CN"/>
        </w:rPr>
        <w:t>3</w:t>
      </w:r>
      <w:r>
        <w:rPr>
          <w:rFonts w:hint="eastAsia" w:ascii="方正仿宋_GB2312" w:hAnsi="方正仿宋_GB2312" w:eastAsia="方正仿宋_GB2312" w:cs="方正仿宋_GB2312"/>
          <w:i w:val="0"/>
          <w:iCs w:val="0"/>
          <w:sz w:val="24"/>
          <w:szCs w:val="24"/>
        </w:rPr>
        <w:t>），玉米不同生育时期T3和T4处理的干物质积累要显著高于T2和T1处理。尤其是在玉米的苗期，T3处理长势强壮，植株显著高于T1和T2处理。盐碱地玉米种植关键是解决好出苗问题，起垄覆膜膜侧种植方式协调了玉米苗期土壤水分、温度、盐分三者之间的关系，达到了有效避盐和减少表层聚盐的目的。随着玉米的生长发育，不同处理之间差异愈来愈明显，最显著的差异出现在玉米的VT时期，也即抽雄吐丝期。T3处理干物质积累稍高于T4处理，但差异不显著。</w:t>
      </w:r>
    </w:p>
    <w:p w14:paraId="4337685F">
      <w:pPr>
        <w:snapToGrid w:val="0"/>
        <w:spacing w:line="360" w:lineRule="auto"/>
        <w:ind w:firstLine="480" w:firstLineChars="200"/>
        <w:jc w:val="center"/>
        <w:rPr>
          <w:rFonts w:hint="default" w:ascii="Times New Roman" w:hAnsi="Times New Roman" w:eastAsia="方正仿宋_GB2312" w:cs="Times New Roman"/>
          <w:i w:val="0"/>
          <w:iCs w:val="0"/>
          <w:sz w:val="24"/>
          <w:szCs w:val="24"/>
        </w:rPr>
      </w:pPr>
      <w:r>
        <w:rPr>
          <w:rFonts w:hint="default" w:ascii="Times New Roman" w:hAnsi="Times New Roman" w:eastAsia="方正仿宋_GB2312" w:cs="Times New Roman"/>
          <w:i w:val="0"/>
          <w:iCs w:val="0"/>
          <w:sz w:val="24"/>
          <w:szCs w:val="24"/>
        </w:rPr>
        <w:drawing>
          <wp:inline distT="0" distB="0" distL="114300" distR="114300">
            <wp:extent cx="4169410" cy="1584325"/>
            <wp:effectExtent l="0" t="0" r="2540" b="1587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
                    <a:stretch>
                      <a:fillRect/>
                    </a:stretch>
                  </pic:blipFill>
                  <pic:spPr>
                    <a:xfrm>
                      <a:off x="0" y="0"/>
                      <a:ext cx="4169410" cy="1584325"/>
                    </a:xfrm>
                    <a:prstGeom prst="rect">
                      <a:avLst/>
                    </a:prstGeom>
                    <a:noFill/>
                    <a:ln>
                      <a:noFill/>
                    </a:ln>
                  </pic:spPr>
                </pic:pic>
              </a:graphicData>
            </a:graphic>
          </wp:inline>
        </w:drawing>
      </w:r>
    </w:p>
    <w:p w14:paraId="173D12FA">
      <w:pPr>
        <w:pStyle w:val="4"/>
        <w:adjustRightInd w:val="0"/>
        <w:snapToGrid w:val="0"/>
        <w:spacing w:line="360" w:lineRule="auto"/>
        <w:jc w:val="center"/>
        <w:rPr>
          <w:rFonts w:hint="default" w:ascii="Times New Roman" w:hAnsi="Times New Roman" w:eastAsia="方正仿宋_GB2312" w:cs="Times New Roman"/>
          <w:i w:val="0"/>
          <w:iCs w:val="0"/>
          <w:kern w:val="2"/>
          <w:sz w:val="24"/>
          <w:szCs w:val="24"/>
          <w:lang w:val="en-US" w:eastAsia="zh-CN" w:bidi="ar-SA"/>
        </w:rPr>
      </w:pPr>
      <w:bookmarkStart w:id="2" w:name="_Toc524015572"/>
      <w:r>
        <w:rPr>
          <w:rFonts w:hint="default" w:ascii="Times New Roman" w:hAnsi="Times New Roman" w:eastAsia="方正仿宋_GB2312" w:cs="Times New Roman"/>
          <w:i w:val="0"/>
          <w:iCs w:val="0"/>
          <w:kern w:val="2"/>
          <w:sz w:val="24"/>
          <w:szCs w:val="24"/>
          <w:lang w:val="en-US" w:eastAsia="zh-CN" w:bidi="ar-SA"/>
        </w:rPr>
        <w:t xml:space="preserve">图 </w:t>
      </w:r>
      <w:r>
        <w:rPr>
          <w:rFonts w:hint="eastAsia" w:ascii="Times New Roman" w:hAnsi="Times New Roman" w:eastAsia="方正仿宋_GB2312" w:cs="Times New Roman"/>
          <w:i w:val="0"/>
          <w:iCs w:val="0"/>
          <w:kern w:val="2"/>
          <w:sz w:val="24"/>
          <w:szCs w:val="24"/>
          <w:lang w:val="en-US" w:eastAsia="zh-CN" w:bidi="ar-SA"/>
        </w:rPr>
        <w:t>3</w:t>
      </w:r>
      <w:r>
        <w:rPr>
          <w:rFonts w:hint="default" w:ascii="Times New Roman" w:hAnsi="Times New Roman" w:eastAsia="方正仿宋_GB2312" w:cs="Times New Roman"/>
          <w:i w:val="0"/>
          <w:iCs w:val="0"/>
          <w:kern w:val="2"/>
          <w:sz w:val="24"/>
          <w:szCs w:val="24"/>
          <w:lang w:val="en-US" w:eastAsia="zh-CN" w:bidi="ar-SA"/>
        </w:rPr>
        <w:t xml:space="preserve">  不同处理玉米干物质积累</w:t>
      </w:r>
      <w:bookmarkEnd w:id="2"/>
    </w:p>
    <w:p w14:paraId="5AF010CA">
      <w:pPr>
        <w:snapToGrid w:val="0"/>
        <w:spacing w:line="360" w:lineRule="auto"/>
        <w:ind w:firstLine="480" w:firstLineChars="200"/>
        <w:jc w:val="left"/>
        <w:rPr>
          <w:rFonts w:hint="eastAsia" w:ascii="方正仿宋_GB2312" w:hAnsi="方正仿宋_GB2312" w:eastAsia="方正仿宋_GB2312" w:cs="方正仿宋_GB2312"/>
          <w:i w:val="0"/>
          <w:iCs w:val="0"/>
          <w:sz w:val="24"/>
          <w:szCs w:val="24"/>
        </w:rPr>
      </w:pPr>
      <w:r>
        <w:rPr>
          <w:rFonts w:hint="eastAsia" w:ascii="方正仿宋_GB2312" w:hAnsi="方正仿宋_GB2312" w:eastAsia="方正仿宋_GB2312" w:cs="方正仿宋_GB2312"/>
          <w:i w:val="0"/>
          <w:iCs w:val="0"/>
          <w:kern w:val="2"/>
          <w:sz w:val="24"/>
          <w:szCs w:val="24"/>
          <w:lang w:val="en-US" w:eastAsia="zh-CN" w:bidi="ar-SA"/>
        </w:rPr>
        <w:t>对玉米产量的结果统计分析（图4），T3和T4处理的产量要显著高于T2和T1处理。T3处理玉米籽粒产量是T1处理的1.5倍，T4处理玉米籽粒产量是T1处理的1.4倍。T4处理籽粒产量稍低于T3处理，但差异不显著。三年的结果分析，随着改良措施和耕作与覆盖方式的连年应用，玉米籽粒产量逐年增加。产量的增加原因，一方面是气候因素，主要的影响因素还是耕作和覆盖方式对土壤水、温度、盐分三者之间的调控达到了协调目的。</w:t>
      </w:r>
    </w:p>
    <w:p w14:paraId="0723F705">
      <w:pPr>
        <w:pStyle w:val="4"/>
        <w:snapToGrid w:val="0"/>
        <w:spacing w:line="360" w:lineRule="auto"/>
        <w:jc w:val="center"/>
        <w:rPr>
          <w:rFonts w:hint="default" w:ascii="Times New Roman" w:hAnsi="Times New Roman" w:eastAsia="方正仿宋_GB2312" w:cs="Times New Roman"/>
          <w:i w:val="0"/>
          <w:iCs w:val="0"/>
          <w:sz w:val="28"/>
          <w:szCs w:val="28"/>
        </w:rPr>
      </w:pPr>
      <w:r>
        <w:rPr>
          <w:rFonts w:hint="default" w:ascii="Times New Roman" w:hAnsi="Times New Roman" w:eastAsia="方正仿宋_GB2312" w:cs="Times New Roman"/>
          <w:i w:val="0"/>
          <w:iCs w:val="0"/>
          <w:sz w:val="28"/>
          <w:szCs w:val="28"/>
        </w:rPr>
        <w:drawing>
          <wp:inline distT="0" distB="0" distL="114300" distR="114300">
            <wp:extent cx="5490845" cy="1144270"/>
            <wp:effectExtent l="0" t="0" r="14605" b="1778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8"/>
                    <a:srcRect t="10792"/>
                    <a:stretch>
                      <a:fillRect/>
                    </a:stretch>
                  </pic:blipFill>
                  <pic:spPr>
                    <a:xfrm>
                      <a:off x="0" y="0"/>
                      <a:ext cx="5490845" cy="1144270"/>
                    </a:xfrm>
                    <a:prstGeom prst="rect">
                      <a:avLst/>
                    </a:prstGeom>
                    <a:noFill/>
                    <a:ln>
                      <a:noFill/>
                    </a:ln>
                  </pic:spPr>
                </pic:pic>
              </a:graphicData>
            </a:graphic>
          </wp:inline>
        </w:drawing>
      </w:r>
    </w:p>
    <w:p w14:paraId="3AB95D5B">
      <w:pPr>
        <w:pStyle w:val="4"/>
        <w:adjustRightInd w:val="0"/>
        <w:snapToGrid w:val="0"/>
        <w:spacing w:line="360" w:lineRule="auto"/>
        <w:jc w:val="center"/>
        <w:rPr>
          <w:rFonts w:hint="default" w:ascii="Times New Roman" w:hAnsi="Times New Roman" w:eastAsia="方正仿宋_GB2312" w:cs="Times New Roman"/>
          <w:i w:val="0"/>
          <w:iCs w:val="0"/>
          <w:sz w:val="24"/>
          <w:szCs w:val="28"/>
        </w:rPr>
      </w:pPr>
      <w:bookmarkStart w:id="3" w:name="_Toc524015573"/>
      <w:r>
        <w:rPr>
          <w:rFonts w:hint="default" w:ascii="Times New Roman" w:hAnsi="Times New Roman" w:eastAsia="方正仿宋_GB2312" w:cs="Times New Roman"/>
          <w:i w:val="0"/>
          <w:iCs w:val="0"/>
          <w:sz w:val="24"/>
          <w:szCs w:val="28"/>
        </w:rPr>
        <w:t xml:space="preserve">图 </w:t>
      </w:r>
      <w:r>
        <w:rPr>
          <w:rFonts w:hint="eastAsia" w:ascii="Times New Roman" w:hAnsi="Times New Roman" w:eastAsia="方正仿宋_GB2312" w:cs="Times New Roman"/>
          <w:i w:val="0"/>
          <w:iCs w:val="0"/>
          <w:sz w:val="24"/>
          <w:szCs w:val="28"/>
          <w:lang w:val="en-US" w:eastAsia="zh-CN"/>
        </w:rPr>
        <w:t>4</w:t>
      </w:r>
      <w:r>
        <w:rPr>
          <w:rFonts w:hint="default" w:ascii="Times New Roman" w:hAnsi="Times New Roman" w:eastAsia="方正仿宋_GB2312" w:cs="Times New Roman"/>
          <w:i w:val="0"/>
          <w:iCs w:val="0"/>
          <w:sz w:val="24"/>
          <w:szCs w:val="28"/>
        </w:rPr>
        <w:t xml:space="preserve">  不同处理玉米籽粒产量</w:t>
      </w:r>
      <w:bookmarkEnd w:id="3"/>
    </w:p>
    <w:p w14:paraId="018F7C90">
      <w:pPr>
        <w:keepNext w:val="0"/>
        <w:keepLines w:val="0"/>
        <w:pageBreakBefore w:val="0"/>
        <w:widowControl w:val="0"/>
        <w:numPr>
          <w:ilvl w:val="0"/>
          <w:numId w:val="0"/>
        </w:numPr>
        <w:kinsoku/>
        <w:wordWrap/>
        <w:overflowPunct/>
        <w:topLinePunct w:val="0"/>
        <w:autoSpaceDE/>
        <w:autoSpaceDN/>
        <w:bidi w:val="0"/>
        <w:adjustRightInd/>
        <w:spacing w:line="360" w:lineRule="auto"/>
        <w:ind w:firstLine="480" w:firstLineChars="200"/>
        <w:jc w:val="both"/>
        <w:textAlignment w:val="auto"/>
        <w:rPr>
          <w:rFonts w:hint="eastAsia" w:ascii="方正仿宋_GB2312" w:hAnsi="方正仿宋_GB2312" w:eastAsia="方正仿宋_GB2312" w:cs="方正仿宋_GB2312"/>
          <w:bCs/>
          <w:sz w:val="24"/>
          <w:lang w:val="en-US" w:eastAsia="zh-CN"/>
        </w:rPr>
      </w:pPr>
      <w:r>
        <w:rPr>
          <w:rFonts w:hint="eastAsia" w:ascii="方正仿宋_GB2312" w:hAnsi="方正仿宋_GB2312" w:eastAsia="方正仿宋_GB2312" w:cs="方正仿宋_GB2312"/>
          <w:bCs/>
          <w:sz w:val="24"/>
          <w:lang w:val="en-US" w:eastAsia="zh-CN"/>
        </w:rPr>
        <w:t>最终可以看出，针对盐碱地水盐动态，起垄、覆膜、垄侧或垄沟</w:t>
      </w:r>
      <w:bookmarkStart w:id="7" w:name="_GoBack"/>
      <w:bookmarkEnd w:id="7"/>
      <w:r>
        <w:rPr>
          <w:rFonts w:hint="eastAsia" w:ascii="方正仿宋_GB2312" w:hAnsi="方正仿宋_GB2312" w:eastAsia="方正仿宋_GB2312" w:cs="方正仿宋_GB2312"/>
          <w:bCs/>
          <w:sz w:val="24"/>
          <w:lang w:val="en-US" w:eastAsia="zh-CN"/>
        </w:rPr>
        <w:t>播种相结合的栽培模式可以更好的与盐碱作物水肥热盐耦合，并获得较高产量。</w:t>
      </w:r>
    </w:p>
    <w:p w14:paraId="17127301">
      <w:pPr>
        <w:keepNext w:val="0"/>
        <w:keepLines w:val="0"/>
        <w:pageBreakBefore w:val="0"/>
        <w:widowControl w:val="0"/>
        <w:numPr>
          <w:ilvl w:val="0"/>
          <w:numId w:val="3"/>
        </w:numPr>
        <w:kinsoku/>
        <w:wordWrap/>
        <w:overflowPunct/>
        <w:topLinePunct w:val="0"/>
        <w:autoSpaceDE/>
        <w:autoSpaceDN/>
        <w:bidi w:val="0"/>
        <w:adjustRightInd/>
        <w:spacing w:line="360" w:lineRule="auto"/>
        <w:ind w:left="0" w:leftChars="0" w:firstLine="480" w:firstLineChars="200"/>
        <w:textAlignment w:val="auto"/>
        <w:outlineLvl w:val="0"/>
        <w:rPr>
          <w:rFonts w:hint="eastAsia" w:ascii="方正仿宋_GB2312" w:hAnsi="方正仿宋_GB2312" w:eastAsia="方正仿宋_GB2312" w:cs="方正仿宋_GB2312"/>
          <w:bCs/>
          <w:sz w:val="24"/>
          <w:lang w:eastAsia="zh-CN"/>
        </w:rPr>
      </w:pPr>
      <w:r>
        <w:rPr>
          <w:rFonts w:hint="eastAsia" w:ascii="方正仿宋_GB2312" w:hAnsi="方正仿宋_GB2312" w:eastAsia="方正仿宋_GB2312" w:cs="方正仿宋_GB2312"/>
          <w:sz w:val="24"/>
          <w:lang w:val="en-US" w:eastAsia="zh-CN"/>
        </w:rPr>
        <w:t>提出了一次性施肥中，</w:t>
      </w:r>
      <w:r>
        <w:rPr>
          <w:rFonts w:hint="eastAsia" w:ascii="方正仿宋_GB2312" w:hAnsi="方正仿宋_GB2312" w:eastAsia="方正仿宋_GB2312" w:cs="方正仿宋_GB2312"/>
          <w:bCs/>
          <w:sz w:val="24"/>
          <w:lang w:val="en-US" w:eastAsia="zh-CN"/>
        </w:rPr>
        <w:t>氮源选择添加33%缓效氮比例</w:t>
      </w:r>
      <w:r>
        <w:rPr>
          <w:rFonts w:hint="eastAsia" w:ascii="方正仿宋_GB2312" w:hAnsi="方正仿宋_GB2312" w:eastAsia="方正仿宋_GB2312" w:cs="方正仿宋_GB2312"/>
          <w:bCs/>
          <w:sz w:val="24"/>
          <w:lang w:eastAsia="zh-CN"/>
        </w:rPr>
        <w:t>。修订原因</w:t>
      </w:r>
      <w:r>
        <w:rPr>
          <w:rFonts w:hint="eastAsia" w:ascii="方正仿宋_GB2312" w:hAnsi="方正仿宋_GB2312" w:eastAsia="方正仿宋_GB2312" w:cs="方正仿宋_GB2312"/>
          <w:bCs/>
          <w:sz w:val="24"/>
          <w:lang w:val="en-US" w:eastAsia="zh-CN"/>
        </w:rPr>
        <w:t>及试验验证分析</w:t>
      </w:r>
      <w:r>
        <w:rPr>
          <w:rFonts w:hint="eastAsia" w:ascii="方正仿宋_GB2312" w:hAnsi="方正仿宋_GB2312" w:eastAsia="方正仿宋_GB2312" w:cs="方正仿宋_GB2312"/>
          <w:bCs/>
          <w:sz w:val="24"/>
          <w:lang w:eastAsia="zh-CN"/>
        </w:rPr>
        <w:t>：</w:t>
      </w:r>
    </w:p>
    <w:p w14:paraId="1D68CBFC">
      <w:pPr>
        <w:keepNext w:val="0"/>
        <w:keepLines w:val="0"/>
        <w:pageBreakBefore w:val="0"/>
        <w:widowControl w:val="0"/>
        <w:numPr>
          <w:ilvl w:val="0"/>
          <w:numId w:val="0"/>
        </w:numPr>
        <w:kinsoku/>
        <w:wordWrap/>
        <w:overflowPunct/>
        <w:topLinePunct w:val="0"/>
        <w:autoSpaceDE/>
        <w:autoSpaceDN/>
        <w:bidi w:val="0"/>
        <w:adjustRightInd/>
        <w:spacing w:line="360" w:lineRule="auto"/>
        <w:ind w:firstLine="480" w:firstLineChars="200"/>
        <w:textAlignment w:val="auto"/>
        <w:rPr>
          <w:rFonts w:hint="eastAsia" w:ascii="方正仿宋_GB2312" w:hAnsi="方正仿宋_GB2312" w:eastAsia="方正仿宋_GB2312" w:cs="方正仿宋_GB2312"/>
          <w:bCs/>
          <w:sz w:val="24"/>
          <w:lang w:eastAsia="zh-CN"/>
        </w:rPr>
      </w:pPr>
      <w:r>
        <w:rPr>
          <w:rFonts w:hint="eastAsia" w:ascii="方正仿宋_GB2312" w:hAnsi="方正仿宋_GB2312" w:eastAsia="方正仿宋_GB2312" w:cs="方正仿宋_GB2312"/>
          <w:bCs/>
          <w:sz w:val="24"/>
          <w:lang w:val="en-US" w:eastAsia="zh-CN"/>
        </w:rPr>
        <w:t>修订原因：通过试验数据表明，添加33%缓效氮的释放能够更好的满足玉米各生育期对氮素的需求，增加玉米生殖生长期间干物质积累量及吸氮量，并对根系的生长有良好的促进作用，能合理供应玉米全生育期养分需求</w:t>
      </w:r>
      <w:r>
        <w:rPr>
          <w:rFonts w:hint="eastAsia" w:ascii="方正仿宋_GB2312" w:hAnsi="方正仿宋_GB2312" w:eastAsia="方正仿宋_GB2312" w:cs="方正仿宋_GB2312"/>
          <w:bCs/>
          <w:sz w:val="24"/>
          <w:lang w:eastAsia="zh-CN"/>
        </w:rPr>
        <w:t>。</w:t>
      </w:r>
    </w:p>
    <w:p w14:paraId="51A9C07B">
      <w:pPr>
        <w:keepNext w:val="0"/>
        <w:keepLines w:val="0"/>
        <w:pageBreakBefore w:val="0"/>
        <w:widowControl w:val="0"/>
        <w:numPr>
          <w:ilvl w:val="0"/>
          <w:numId w:val="0"/>
        </w:numPr>
        <w:kinsoku/>
        <w:wordWrap/>
        <w:overflowPunct/>
        <w:topLinePunct w:val="0"/>
        <w:autoSpaceDE/>
        <w:autoSpaceDN/>
        <w:bidi w:val="0"/>
        <w:adjustRightInd/>
        <w:spacing w:line="360" w:lineRule="auto"/>
        <w:ind w:firstLine="480" w:firstLineChars="200"/>
        <w:jc w:val="both"/>
        <w:textAlignment w:val="auto"/>
        <w:rPr>
          <w:rFonts w:hint="eastAsia" w:ascii="方正仿宋_GB2312" w:hAnsi="方正仿宋_GB2312" w:eastAsia="方正仿宋_GB2312" w:cs="方正仿宋_GB2312"/>
          <w:bCs/>
          <w:sz w:val="24"/>
          <w:lang w:val="en-US" w:eastAsia="zh-CN"/>
        </w:rPr>
      </w:pPr>
      <w:r>
        <w:rPr>
          <w:rFonts w:hint="eastAsia" w:ascii="方正仿宋_GB2312" w:hAnsi="方正仿宋_GB2312" w:eastAsia="方正仿宋_GB2312" w:cs="方正仿宋_GB2312"/>
          <w:bCs/>
          <w:sz w:val="24"/>
          <w:lang w:val="en-US" w:eastAsia="zh-CN"/>
        </w:rPr>
        <w:t>试验验证分析：</w:t>
      </w:r>
    </w:p>
    <w:p w14:paraId="18CCC49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outlineLvl w:val="0"/>
        <w:rPr>
          <w:rFonts w:hint="eastAsia" w:ascii="方正仿宋_GB2312" w:hAnsi="方正仿宋_GB2312" w:eastAsia="方正仿宋_GB2312" w:cs="方正仿宋_GB2312"/>
          <w:bCs/>
          <w:sz w:val="24"/>
          <w:lang w:val="en-US" w:eastAsia="zh-CN"/>
        </w:rPr>
      </w:pPr>
      <w:r>
        <w:rPr>
          <w:rFonts w:hint="eastAsia" w:ascii="方正仿宋_GB2312" w:hAnsi="方正仿宋_GB2312" w:eastAsia="方正仿宋_GB2312" w:cs="方正仿宋_GB2312"/>
          <w:bCs/>
          <w:sz w:val="24"/>
          <w:lang w:val="en-US" w:eastAsia="zh-CN"/>
        </w:rPr>
        <w:t>试验采用单因子完全随机设计，试验用盆规格为：上底直径45 cm，下底直径37 cm，高47 cm。试验用土0～20 cm和20～40 cm含水率分别为13.81%和17.63%，每盆装土83kg，试验盆模拟大田玉米播种株行距45cm*45cm均匀摆放，将盆埋入土体，盆边外露3cm，保证试验气候环境与大田生产环境一致。</w:t>
      </w:r>
    </w:p>
    <w:p w14:paraId="08788A5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outlineLvl w:val="0"/>
        <w:rPr>
          <w:rFonts w:hint="eastAsia" w:ascii="方正仿宋_GB2312" w:hAnsi="方正仿宋_GB2312" w:eastAsia="方正仿宋_GB2312" w:cs="方正仿宋_GB2312"/>
          <w:bCs/>
          <w:sz w:val="24"/>
          <w:szCs w:val="24"/>
          <w:lang w:val="en-US" w:eastAsia="zh-CN"/>
        </w:rPr>
      </w:pPr>
      <w:r>
        <w:rPr>
          <w:rFonts w:hint="eastAsia" w:ascii="方正仿宋_GB2312" w:hAnsi="方正仿宋_GB2312" w:eastAsia="方正仿宋_GB2312" w:cs="方正仿宋_GB2312"/>
          <w:bCs/>
          <w:sz w:val="24"/>
          <w:lang w:val="en-US" w:eastAsia="zh-CN"/>
        </w:rPr>
        <w:t>将氮肥按缓效氮不同添加比例施用，试验共设6处理，分别为（1）CK：不施氮处理；（2）T0：100%普通尿素；（3）T1：67%缓效氮33%普通尿素；（4）T2：50%缓效氮50%普通尿素；（5）T3：33%缓效氮67%普通尿素；（6）T4：25%</w:t>
      </w:r>
      <w:r>
        <w:rPr>
          <w:rFonts w:hint="eastAsia" w:ascii="方正仿宋_GB2312" w:hAnsi="方正仿宋_GB2312" w:eastAsia="方正仿宋_GB2312" w:cs="方正仿宋_GB2312"/>
          <w:bCs/>
          <w:sz w:val="24"/>
          <w:szCs w:val="24"/>
          <w:lang w:val="en-US" w:eastAsia="zh-CN"/>
        </w:rPr>
        <w:t>缓效氮75%普通尿素。</w:t>
      </w:r>
    </w:p>
    <w:p w14:paraId="36C9EC23">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hint="eastAsia"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由图</w:t>
      </w:r>
      <w:r>
        <w:rPr>
          <w:rFonts w:hint="eastAsia" w:ascii="方正仿宋_GB2312" w:hAnsi="方正仿宋_GB2312" w:eastAsia="方正仿宋_GB2312" w:cs="方正仿宋_GB2312"/>
          <w:sz w:val="24"/>
          <w:szCs w:val="24"/>
          <w:lang w:val="en-US" w:eastAsia="zh-CN"/>
        </w:rPr>
        <w:t>5</w:t>
      </w:r>
      <w:r>
        <w:rPr>
          <w:rFonts w:hint="eastAsia" w:ascii="方正仿宋_GB2312" w:hAnsi="方正仿宋_GB2312" w:eastAsia="方正仿宋_GB2312" w:cs="方正仿宋_GB2312"/>
          <w:sz w:val="24"/>
          <w:szCs w:val="24"/>
        </w:rPr>
        <w:t>可以看出，不同缓效氮添加比例各处理缓效氮养分在盆栽试验中的累积释放率与玉米氮素吸收规律相似，生殖生长期间释放较缓；在播种后10d和玉米苗期，T3处理释放最为缓慢，其累积释放率显著低于其他处理，其它处理间差异不显著；各处理均在苗期-大喇叭口期释放较快，缓效氮累积释放率从大到小分别为T3&gt;T2&gt;T1&gt;T4，释放率分别为14.00%、9.44%、8.50%和6.82%；在生殖生长期间，T3处理的累积释放率保持最高，在吐丝期和成熟期其累积释放率分别为94.26%和96.55%；其它处理释放较为平缓，到收获时释放率均达到85%以上。</w:t>
      </w:r>
    </w:p>
    <w:p w14:paraId="1E9D4AB8">
      <w:pPr>
        <w:snapToGrid w:val="0"/>
        <w:spacing w:line="360" w:lineRule="auto"/>
        <w:ind w:firstLine="480" w:firstLineChars="200"/>
        <w:jc w:val="center"/>
        <w:rPr>
          <w:rFonts w:hint="default" w:ascii="Times New Roman" w:hAnsi="Times New Roman" w:eastAsia="方正仿宋_GB2312" w:cs="Times New Roman"/>
          <w:b/>
          <w:sz w:val="24"/>
          <w:szCs w:val="24"/>
        </w:rPr>
      </w:pPr>
      <w:r>
        <w:rPr>
          <w:rFonts w:hint="default" w:ascii="Times New Roman" w:hAnsi="Times New Roman" w:eastAsia="方正仿宋_GB2312" w:cs="Times New Roman"/>
          <w:sz w:val="24"/>
          <w:szCs w:val="24"/>
        </w:rPr>
        <w:object>
          <v:shape id="_x0000_i1025" o:spt="75" type="#_x0000_t75" style="height:209.6pt;width:261.05pt;" o:ole="t" filled="f" o:preferrelative="t" stroked="f" coordsize="21600,21600">
            <v:path/>
            <v:fill on="f" focussize="0,0"/>
            <v:stroke on="f"/>
            <v:imagedata r:id="rId10" o:title=""/>
            <o:lock v:ext="edit" aspectratio="t"/>
            <w10:wrap type="none"/>
            <w10:anchorlock/>
          </v:shape>
          <o:OLEObject Type="Embed" ProgID="SigmaPlotGraphicObject.11" ShapeID="_x0000_i1025" DrawAspect="Content" ObjectID="_1468075725" r:id="rId9">
            <o:LockedField>false</o:LockedField>
          </o:OLEObject>
        </w:object>
      </w:r>
      <w:r>
        <w:rPr>
          <w:rFonts w:hint="default" w:ascii="Times New Roman" w:hAnsi="Times New Roman" w:eastAsia="方正仿宋_GB2312" w:cs="Times New Roman"/>
          <w:sz w:val="24"/>
          <w:szCs w:val="24"/>
        </w:rPr>
        <mc:AlternateContent>
          <mc:Choice Requires="wps">
            <w:drawing>
              <wp:anchor distT="0" distB="0" distL="114300" distR="114300" simplePos="0" relativeHeight="251661312" behindDoc="0" locked="0" layoutInCell="1" allowOverlap="1">
                <wp:simplePos x="0" y="0"/>
                <wp:positionH relativeFrom="column">
                  <wp:posOffset>1279525</wp:posOffset>
                </wp:positionH>
                <wp:positionV relativeFrom="paragraph">
                  <wp:posOffset>423545</wp:posOffset>
                </wp:positionV>
                <wp:extent cx="441325" cy="16129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441325" cy="1612900"/>
                        </a:xfrm>
                        <a:prstGeom prst="rect">
                          <a:avLst/>
                        </a:prstGeom>
                        <a:noFill/>
                        <a:ln w="6350">
                          <a:noFill/>
                        </a:ln>
                        <a:effectLst/>
                      </wps:spPr>
                      <wps:txbx>
                        <w:txbxContent>
                          <w:p w14:paraId="5990160B">
                            <w:pPr>
                              <w:spacing w:line="160" w:lineRule="exact"/>
                              <w:jc w:val="center"/>
                              <w:rPr>
                                <w:sz w:val="15"/>
                                <w:szCs w:val="15"/>
                              </w:rPr>
                            </w:pPr>
                            <w:r>
                              <w:rPr>
                                <w:sz w:val="15"/>
                                <w:szCs w:val="15"/>
                              </w:rPr>
                              <w:t>氮素累积释放率</w:t>
                            </w:r>
                          </w:p>
                          <w:p w14:paraId="3557A35F"/>
                        </w:txbxContent>
                      </wps:txbx>
                      <wps:bodyPr rot="0" spcFirstLastPara="0" vertOverflow="overflow" horzOverflow="overflow" vert="vert270"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0.75pt;margin-top:33.35pt;height:127pt;width:34.75pt;z-index:251661312;mso-width-relative:page;mso-height-relative:page;" filled="f" stroked="f" coordsize="21600,21600" o:gfxdata="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OSS9AzZAAAACgEAAA8AAAAAAAAAAQAg&#10;AAAAIgAAAGRycy9kb3ducmV2LnhtbFBLAQIUABQAAAAIAIdO4kAaXJWPRgIAAHkEAAAOAAAAAAAA&#10;AAEAIAAAACgBAABkcnMvZTJvRG9jLnhtbFBLBQYAAAAABgAGAFkBAADgBQAAAAA=&#10;">
                <v:fill on="f" focussize="0,0"/>
                <v:stroke on="f" weight="0.5pt"/>
                <v:imagedata o:title=""/>
                <o:lock v:ext="edit" aspectratio="f"/>
                <v:textbox style="layout-flow:vertical;mso-layout-flow-alt:bottom-to-top;">
                  <w:txbxContent>
                    <w:p w14:paraId="5990160B">
                      <w:pPr>
                        <w:spacing w:line="160" w:lineRule="exact"/>
                        <w:jc w:val="center"/>
                        <w:rPr>
                          <w:sz w:val="15"/>
                          <w:szCs w:val="15"/>
                        </w:rPr>
                      </w:pPr>
                      <w:r>
                        <w:rPr>
                          <w:sz w:val="15"/>
                          <w:szCs w:val="15"/>
                        </w:rPr>
                        <w:t>氮素累积释放率</w:t>
                      </w:r>
                    </w:p>
                    <w:p w14:paraId="3557A35F"/>
                  </w:txbxContent>
                </v:textbox>
              </v:shape>
            </w:pict>
          </mc:Fallback>
        </mc:AlternateContent>
      </w:r>
    </w:p>
    <w:p w14:paraId="4EAFBDF8">
      <w:pPr>
        <w:spacing w:line="320" w:lineRule="exact"/>
        <w:jc w:val="center"/>
        <w:rPr>
          <w:rFonts w:hint="default" w:ascii="Times New Roman" w:hAnsi="Times New Roman" w:eastAsia="方正仿宋_GB2312" w:cs="Times New Roman"/>
          <w:sz w:val="24"/>
          <w:szCs w:val="24"/>
        </w:rPr>
      </w:pPr>
      <w:bookmarkStart w:id="4" w:name="_Toc447026193"/>
      <w:r>
        <w:rPr>
          <w:rFonts w:hint="default" w:ascii="Times New Roman" w:hAnsi="Times New Roman" w:eastAsia="方正仿宋_GB2312" w:cs="Times New Roman"/>
          <w:sz w:val="24"/>
          <w:szCs w:val="24"/>
        </w:rPr>
        <w:t>图</w:t>
      </w:r>
      <w:r>
        <w:rPr>
          <w:rFonts w:hint="eastAsia" w:ascii="Times New Roman" w:hAnsi="Times New Roman" w:eastAsia="方正仿宋_GB2312" w:cs="Times New Roman"/>
          <w:sz w:val="24"/>
          <w:szCs w:val="24"/>
          <w:lang w:val="en-US" w:eastAsia="zh-CN"/>
        </w:rPr>
        <w:t>5</w:t>
      </w:r>
      <w:r>
        <w:rPr>
          <w:rFonts w:hint="default" w:ascii="Times New Roman" w:hAnsi="Times New Roman" w:eastAsia="方正仿宋_GB2312" w:cs="Times New Roman"/>
          <w:sz w:val="24"/>
          <w:szCs w:val="24"/>
        </w:rPr>
        <w:t xml:space="preserve"> 不同缓效氮添加比例中缓效氮累积释放率</w:t>
      </w:r>
    </w:p>
    <w:bookmarkEnd w:id="4"/>
    <w:p w14:paraId="77F6BE47">
      <w:pPr>
        <w:keepNext w:val="0"/>
        <w:keepLines w:val="0"/>
        <w:pageBreakBefore w:val="0"/>
        <w:widowControl w:val="0"/>
        <w:kinsoku/>
        <w:wordWrap/>
        <w:overflowPunct/>
        <w:topLinePunct w:val="0"/>
        <w:autoSpaceDE/>
        <w:autoSpaceDN/>
        <w:bidi w:val="0"/>
        <w:adjustRightInd/>
        <w:snapToGrid w:val="0"/>
        <w:spacing w:before="161" w:beforeLines="50" w:line="360" w:lineRule="auto"/>
        <w:ind w:firstLine="480" w:firstLineChars="200"/>
        <w:textAlignment w:val="auto"/>
        <w:rPr>
          <w:rFonts w:hint="eastAsia"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由图</w:t>
      </w:r>
      <w:r>
        <w:rPr>
          <w:rFonts w:hint="eastAsia" w:ascii="方正仿宋_GB2312" w:hAnsi="方正仿宋_GB2312" w:eastAsia="方正仿宋_GB2312" w:cs="方正仿宋_GB2312"/>
          <w:sz w:val="24"/>
          <w:szCs w:val="24"/>
          <w:lang w:val="en-US" w:eastAsia="zh-CN"/>
        </w:rPr>
        <w:t>6</w:t>
      </w:r>
      <w:r>
        <w:rPr>
          <w:rFonts w:hint="eastAsia" w:ascii="方正仿宋_GB2312" w:hAnsi="方正仿宋_GB2312" w:eastAsia="方正仿宋_GB2312" w:cs="方正仿宋_GB2312"/>
          <w:sz w:val="24"/>
          <w:szCs w:val="24"/>
        </w:rPr>
        <w:t xml:space="preserve"> 可知，施氮各处理在玉米整个生育期干物质量都高于不施氮处理，从大喇叭口期开始差异显著，与CK相比，成熟期T3处理干物质量增幅最大，达86.05%。配施缓效氮相比全部普通尿素处理增加了玉米各生育期的干物质量，在玉米苗期，各处理间干物质量差异不显著，T3处理比T0处理增加7.34%；在玉米大喇叭口期，T1、T2和T3三个处理的干物质量与T0处理及T4处理相比差异显著，T1、T2和T3处理分别比T0处理干物质量增加36.53%、35.57%、32.64%；在玉米吐丝期和成熟期，各处理间差异不显著，成熟期T3和T4处理分别比T0处理干物质量增加20.10%和19.16%。与T0处理相比，玉米成熟期干物质量变化随缓效氮添加比例的减小呈现先增大后减小的变化规律，T3处理增加值最大，其次为T4处理。</w:t>
      </w:r>
    </w:p>
    <w:p w14:paraId="6955F051">
      <w:pPr>
        <w:snapToGrid w:val="0"/>
        <w:spacing w:line="360" w:lineRule="auto"/>
        <w:ind w:firstLine="480" w:firstLineChars="200"/>
        <w:jc w:val="center"/>
        <w:rPr>
          <w:rFonts w:hint="default" w:ascii="Times New Roman" w:hAnsi="Times New Roman" w:eastAsia="方正仿宋_GB2312" w:cs="Times New Roman"/>
          <w:sz w:val="24"/>
          <w:szCs w:val="24"/>
        </w:rPr>
      </w:pPr>
      <w:r>
        <w:rPr>
          <w:rFonts w:hint="default" w:ascii="Times New Roman" w:hAnsi="Times New Roman" w:eastAsia="方正仿宋_GB2312" w:cs="Times New Roman"/>
          <w:sz w:val="24"/>
          <w:szCs w:val="24"/>
        </w:rPr>
        <w:object>
          <v:shape id="_x0000_i1026" o:spt="75" type="#_x0000_t75" style="height:174.6pt;width:220.15pt;" o:ole="t" filled="f" stroked="f" coordsize="21600,21600">
            <v:path/>
            <v:fill on="f" focussize="0,0"/>
            <v:stroke on="f"/>
            <v:imagedata r:id="rId12" o:title=""/>
            <o:lock v:ext="edit" aspectratio="t"/>
            <w10:wrap type="none"/>
            <w10:anchorlock/>
          </v:shape>
          <o:OLEObject Type="Embed" ProgID="SigmaPlotGraphicObject.11" ShapeID="_x0000_i1026" DrawAspect="Content" ObjectID="_1468075726" r:id="rId11">
            <o:LockedField>false</o:LockedField>
          </o:OLEObject>
        </w:object>
      </w:r>
    </w:p>
    <w:p w14:paraId="20FAF262">
      <w:pPr>
        <w:spacing w:line="280" w:lineRule="exact"/>
        <w:jc w:val="center"/>
        <w:rPr>
          <w:rFonts w:hint="default" w:ascii="Times New Roman" w:hAnsi="Times New Roman" w:eastAsia="方正仿宋_GB2312" w:cs="Times New Roman"/>
          <w:sz w:val="24"/>
          <w:szCs w:val="24"/>
        </w:rPr>
      </w:pPr>
      <w:r>
        <w:rPr>
          <w:rFonts w:hint="default" w:ascii="Times New Roman" w:hAnsi="Times New Roman" w:eastAsia="方正仿宋_GB2312" w:cs="Times New Roman"/>
          <w:sz w:val="24"/>
          <w:szCs w:val="24"/>
        </w:rPr>
        <w:t>图</w:t>
      </w:r>
      <w:r>
        <w:rPr>
          <w:rFonts w:hint="eastAsia" w:ascii="Times New Roman" w:hAnsi="Times New Roman" w:eastAsia="方正仿宋_GB2312" w:cs="Times New Roman"/>
          <w:sz w:val="24"/>
          <w:szCs w:val="24"/>
          <w:lang w:val="en-US" w:eastAsia="zh-CN"/>
        </w:rPr>
        <w:t>6</w:t>
      </w:r>
      <w:r>
        <w:rPr>
          <w:rFonts w:hint="default" w:ascii="Times New Roman" w:hAnsi="Times New Roman" w:eastAsia="方正仿宋_GB2312" w:cs="Times New Roman"/>
          <w:sz w:val="24"/>
          <w:szCs w:val="24"/>
        </w:rPr>
        <w:t xml:space="preserve"> 缓效氮不同配比处理对玉米地上部干物质量的影响</w:t>
      </w:r>
    </w:p>
    <w:p w14:paraId="2EA38446">
      <w:pPr>
        <w:snapToGrid w:val="0"/>
        <w:spacing w:line="360" w:lineRule="auto"/>
        <w:ind w:firstLine="480" w:firstLineChars="200"/>
        <w:rPr>
          <w:rFonts w:hint="default" w:ascii="Times New Roman" w:hAnsi="Times New Roman" w:eastAsia="方正仿宋_GB2312" w:cs="Times New Roman"/>
          <w:sz w:val="24"/>
          <w:szCs w:val="24"/>
        </w:rPr>
      </w:pPr>
    </w:p>
    <w:p w14:paraId="2C52C8A3">
      <w:pPr>
        <w:snapToGrid w:val="0"/>
        <w:spacing w:line="360" w:lineRule="auto"/>
        <w:ind w:firstLine="480" w:firstLineChars="200"/>
        <w:rPr>
          <w:rFonts w:hint="eastAsia"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从图</w:t>
      </w:r>
      <w:r>
        <w:rPr>
          <w:rFonts w:hint="eastAsia" w:ascii="方正仿宋_GB2312" w:hAnsi="方正仿宋_GB2312" w:eastAsia="方正仿宋_GB2312" w:cs="方正仿宋_GB2312"/>
          <w:sz w:val="24"/>
          <w:szCs w:val="24"/>
          <w:lang w:val="en-US" w:eastAsia="zh-CN"/>
        </w:rPr>
        <w:t>7</w:t>
      </w:r>
      <w:r>
        <w:rPr>
          <w:rFonts w:hint="eastAsia" w:ascii="方正仿宋_GB2312" w:hAnsi="方正仿宋_GB2312" w:eastAsia="方正仿宋_GB2312" w:cs="方正仿宋_GB2312"/>
          <w:sz w:val="24"/>
          <w:szCs w:val="24"/>
        </w:rPr>
        <w:t>可以看出，地上部吸氮量和干物质积累量呈现出类似的变化规律，表现为随生育时期的推后吸氮量增加。从拔节期开始，施氮各处理相比不施氮处理地上部吸氮量显著增加，其中T3处理增幅最大，到玉米成熟期相比T0处理T3处理增幅达92.06%；玉米营养生长期间，植株吸氮量增加较快，玉米苗期T0处理吸氮量最大，各处理间无显著差异，玉米大喇叭口期配施缓效氮处理比较T0处理增幅为12.84%～37.22%；进入生殖生长期，部分处理吸氮量增加减缓，但配施缓效氮处理的吸氮量均较T0增加迅速。</w:t>
      </w:r>
    </w:p>
    <w:p w14:paraId="5B05BDCA">
      <w:pPr>
        <w:snapToGrid w:val="0"/>
        <w:spacing w:line="360" w:lineRule="auto"/>
        <w:ind w:firstLine="480" w:firstLineChars="200"/>
        <w:rPr>
          <w:rFonts w:hint="eastAsia"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配施氮肥处理增加了玉米地上部吸氮量，其中T3处理地上部吸氮量最大。玉米收获后，地上部吸氮量从大到小分别为T3&gt;T2&gt; T4&gt;T1&gt;T0，添加缓效氮处理比T0吸氮量增加0.10～0.52</w:t>
      </w:r>
      <w:r>
        <w:rPr>
          <w:rFonts w:hint="eastAsia" w:ascii="方正仿宋_GB2312" w:hAnsi="方正仿宋_GB2312" w:eastAsia="方正仿宋_GB2312" w:cs="方正仿宋_GB2312"/>
          <w:sz w:val="24"/>
          <w:szCs w:val="24"/>
          <w:lang w:val="en-US" w:eastAsia="zh-CN"/>
        </w:rPr>
        <w:t xml:space="preserve"> </w:t>
      </w:r>
      <w:r>
        <w:rPr>
          <w:rFonts w:hint="eastAsia" w:ascii="方正仿宋_GB2312" w:hAnsi="方正仿宋_GB2312" w:eastAsia="方正仿宋_GB2312" w:cs="方正仿宋_GB2312"/>
          <w:sz w:val="24"/>
          <w:szCs w:val="24"/>
        </w:rPr>
        <w:t>g</w:t>
      </w:r>
      <w:r>
        <w:rPr>
          <w:rFonts w:hint="eastAsia" w:ascii="方正仿宋_GB2312" w:hAnsi="方正仿宋_GB2312" w:eastAsia="方正仿宋_GB2312" w:cs="方正仿宋_GB2312"/>
          <w:sz w:val="24"/>
          <w:szCs w:val="24"/>
          <w:lang w:val="en-US" w:eastAsia="zh-CN"/>
        </w:rPr>
        <w:t xml:space="preserve"> </w:t>
      </w:r>
      <w:r>
        <w:rPr>
          <w:rFonts w:hint="eastAsia" w:ascii="方正仿宋_GB2312" w:hAnsi="方正仿宋_GB2312" w:eastAsia="方正仿宋_GB2312" w:cs="方正仿宋_GB2312"/>
          <w:sz w:val="24"/>
          <w:szCs w:val="24"/>
        </w:rPr>
        <w:t>株</w:t>
      </w:r>
      <w:r>
        <w:rPr>
          <w:rFonts w:hint="eastAsia" w:ascii="方正仿宋_GB2312" w:hAnsi="方正仿宋_GB2312" w:eastAsia="方正仿宋_GB2312" w:cs="方正仿宋_GB2312"/>
          <w:sz w:val="24"/>
          <w:szCs w:val="24"/>
          <w:vertAlign w:val="superscript"/>
        </w:rPr>
        <w:t>-1</w:t>
      </w:r>
      <w:r>
        <w:rPr>
          <w:rFonts w:hint="eastAsia" w:ascii="方正仿宋_GB2312" w:hAnsi="方正仿宋_GB2312" w:eastAsia="方正仿宋_GB2312" w:cs="方正仿宋_GB2312"/>
          <w:sz w:val="24"/>
          <w:szCs w:val="24"/>
        </w:rPr>
        <w:t>，增幅为2.93%～15.40%。配施缓效氮有效满足了春玉米生殖生长期对氮素的需求，增加了玉米吸氮量，为玉米生殖生长提供足够的氮素营养，其中尤以T3处理为最佳，其次为T2处理。</w:t>
      </w:r>
    </w:p>
    <w:p w14:paraId="4BEFDF5F">
      <w:pPr>
        <w:snapToGrid w:val="0"/>
        <w:spacing w:line="360" w:lineRule="auto"/>
        <w:jc w:val="center"/>
        <w:rPr>
          <w:rFonts w:hint="default" w:ascii="Times New Roman" w:hAnsi="Times New Roman" w:eastAsia="方正仿宋_GB2312" w:cs="Times New Roman"/>
          <w:sz w:val="24"/>
          <w:szCs w:val="24"/>
        </w:rPr>
      </w:pPr>
      <w:r>
        <w:rPr>
          <w:rFonts w:ascii="宋体" w:hAnsi="宋体"/>
          <w:sz w:val="28"/>
          <w:szCs w:val="28"/>
        </w:rPr>
        <w:object>
          <v:shape id="_x0000_i1027" o:spt="75" type="#_x0000_t75" style="height:228.2pt;width:280.7pt;" o:ole="t" filled="f" o:preferrelative="t" stroked="f" coordsize="21600,21600">
            <v:path/>
            <v:fill on="f" alignshape="1" focussize="0,0"/>
            <v:stroke on="f"/>
            <v:imagedata r:id="rId14" o:title=""/>
            <o:lock v:ext="edit" aspectratio="t"/>
            <w10:wrap type="none"/>
            <w10:anchorlock/>
          </v:shape>
          <o:OLEObject Type="Embed" ProgID="SigmaPlotGraphicObject.11" ShapeID="_x0000_i1027" DrawAspect="Content" ObjectID="_1468075727" r:id="rId13">
            <o:LockedField>false</o:LockedField>
          </o:OLEObject>
        </w:object>
      </w:r>
    </w:p>
    <w:p w14:paraId="3E8712CD">
      <w:pPr>
        <w:snapToGrid w:val="0"/>
        <w:spacing w:line="360" w:lineRule="auto"/>
        <w:jc w:val="center"/>
        <w:rPr>
          <w:rFonts w:hint="default" w:ascii="Times New Roman" w:hAnsi="Times New Roman" w:eastAsia="方正仿宋_GB2312" w:cs="Times New Roman"/>
          <w:sz w:val="24"/>
          <w:szCs w:val="24"/>
        </w:rPr>
      </w:pPr>
      <w:r>
        <w:rPr>
          <w:rFonts w:hint="default" w:ascii="Times New Roman" w:hAnsi="Times New Roman" w:eastAsia="方正仿宋_GB2312" w:cs="Times New Roman"/>
          <w:sz w:val="24"/>
          <w:szCs w:val="24"/>
        </w:rPr>
        <w:t>图</w:t>
      </w:r>
      <w:r>
        <w:rPr>
          <w:rFonts w:hint="eastAsia" w:ascii="Times New Roman" w:hAnsi="Times New Roman" w:eastAsia="方正仿宋_GB2312" w:cs="Times New Roman"/>
          <w:sz w:val="24"/>
          <w:szCs w:val="24"/>
          <w:lang w:val="en-US" w:eastAsia="zh-CN"/>
        </w:rPr>
        <w:t>7</w:t>
      </w:r>
      <w:r>
        <w:rPr>
          <w:rFonts w:hint="default" w:ascii="Times New Roman" w:hAnsi="Times New Roman" w:eastAsia="方正仿宋_GB2312" w:cs="Times New Roman"/>
          <w:sz w:val="24"/>
          <w:szCs w:val="24"/>
        </w:rPr>
        <w:t xml:space="preserve"> 不同缓效氮添加比例对春玉米地上部吸氮量的影响</w:t>
      </w:r>
    </w:p>
    <w:p w14:paraId="07106C0A">
      <w:pPr>
        <w:snapToGrid w:val="0"/>
        <w:spacing w:line="360" w:lineRule="auto"/>
        <w:ind w:firstLine="480" w:firstLineChars="200"/>
        <w:rPr>
          <w:rFonts w:hint="eastAsia"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穗长、秃尖长、穗粒数和百粒重等是影响单株玉米籽粒产量的重要因素，研究显示，不同配比氮肥对玉米产量构成因素影响显著，最终影响玉米单株产量。由表</w:t>
      </w:r>
      <w:r>
        <w:rPr>
          <w:rFonts w:hint="eastAsia" w:ascii="方正仿宋_GB2312" w:hAnsi="方正仿宋_GB2312" w:eastAsia="方正仿宋_GB2312" w:cs="方正仿宋_GB2312"/>
          <w:sz w:val="24"/>
          <w:szCs w:val="24"/>
          <w:lang w:val="en-US" w:eastAsia="zh-CN"/>
        </w:rPr>
        <w:t>2</w:t>
      </w:r>
      <w:r>
        <w:rPr>
          <w:rFonts w:hint="eastAsia" w:ascii="方正仿宋_GB2312" w:hAnsi="方正仿宋_GB2312" w:eastAsia="方正仿宋_GB2312" w:cs="方正仿宋_GB2312"/>
          <w:sz w:val="24"/>
          <w:szCs w:val="24"/>
        </w:rPr>
        <w:t>可以看出，施氮处理显著高于不施氮处理，6个处理中T3处理的产量最高，与其它5个处理的产量差异达显著水平，T3、T4、T2和T1处理分别比T0处理增产73.83%、56.71%、53.72%和47.28%。</w:t>
      </w:r>
    </w:p>
    <w:p w14:paraId="08E7DE5A">
      <w:pPr>
        <w:snapToGrid w:val="0"/>
        <w:spacing w:line="360" w:lineRule="auto"/>
        <w:ind w:firstLine="480" w:firstLineChars="200"/>
        <w:rPr>
          <w:rFonts w:hint="eastAsia"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各处理穗粒数、穗直径和百粒重均呈现施氮处理优于不施氮处理，其中各处理间秃尖长度差异显著；百粒重、穗长、穗直径三因素中，T3处理最大；穗粒数表现为T4处理最大，其次为T3处理；T3和T4与T0相比，穗长分别增加24.69%和23、94%，穗粒数分别增加29.46%和30.29%，穗直径分别增加19.75和16.16%，百粒重分别增加32.92%和29.82%。配施缓效氮可以有效增加玉米产量，这是由于添加缓效氮增加了玉米生殖生长期间的氮素营养，改善了玉米后期脱肥现象。</w:t>
      </w:r>
    </w:p>
    <w:p w14:paraId="62FBB80C">
      <w:pPr>
        <w:autoSpaceDE w:val="0"/>
        <w:autoSpaceDN w:val="0"/>
        <w:adjustRightInd w:val="0"/>
        <w:snapToGrid w:val="0"/>
        <w:spacing w:line="360" w:lineRule="auto"/>
        <w:jc w:val="center"/>
        <w:rPr>
          <w:rFonts w:hint="default" w:ascii="Times New Roman" w:hAnsi="Times New Roman" w:eastAsia="方正仿宋_GB2312" w:cs="Times New Roman"/>
          <w:sz w:val="24"/>
          <w:szCs w:val="24"/>
        </w:rPr>
      </w:pPr>
      <w:r>
        <w:rPr>
          <w:rFonts w:hint="default" w:ascii="Times New Roman" w:hAnsi="Times New Roman" w:eastAsia="方正仿宋_GB2312" w:cs="Times New Roman"/>
          <w:sz w:val="24"/>
          <w:szCs w:val="24"/>
        </w:rPr>
        <w:t>表</w:t>
      </w:r>
      <w:r>
        <w:rPr>
          <w:rFonts w:hint="eastAsia" w:ascii="Times New Roman" w:hAnsi="Times New Roman" w:eastAsia="方正仿宋_GB2312" w:cs="Times New Roman"/>
          <w:sz w:val="24"/>
          <w:szCs w:val="24"/>
          <w:lang w:val="en-US" w:eastAsia="zh-CN"/>
        </w:rPr>
        <w:t>2</w:t>
      </w:r>
      <w:r>
        <w:rPr>
          <w:rFonts w:hint="default" w:ascii="Times New Roman" w:hAnsi="Times New Roman" w:eastAsia="方正仿宋_GB2312" w:cs="Times New Roman"/>
          <w:sz w:val="24"/>
          <w:szCs w:val="24"/>
        </w:rPr>
        <w:t xml:space="preserve">  不同缓效氮添加比例对春玉米产量及其构成因素的影响</w:t>
      </w:r>
    </w:p>
    <w:tbl>
      <w:tblPr>
        <w:tblStyle w:val="11"/>
        <w:tblW w:w="7936" w:type="dxa"/>
        <w:jc w:val="center"/>
        <w:tblBorders>
          <w:top w:val="single" w:color="000000" w:sz="8" w:space="0"/>
          <w:left w:val="none" w:color="auto" w:sz="0" w:space="0"/>
          <w:bottom w:val="single" w:color="000000" w:sz="8"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07"/>
        <w:gridCol w:w="1602"/>
        <w:gridCol w:w="1494"/>
        <w:gridCol w:w="1494"/>
        <w:gridCol w:w="1604"/>
        <w:gridCol w:w="935"/>
      </w:tblGrid>
      <w:tr w14:paraId="3C10B3D1">
        <w:tblPrEx>
          <w:tblBorders>
            <w:top w:val="single" w:color="000000" w:sz="8" w:space="0"/>
            <w:left w:val="none" w:color="auto" w:sz="0" w:space="0"/>
            <w:bottom w:val="single" w:color="000000"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0" w:hRule="atLeast"/>
          <w:jc w:val="center"/>
        </w:trPr>
        <w:tc>
          <w:tcPr>
            <w:tcW w:w="807" w:type="dxa"/>
            <w:tcBorders>
              <w:top w:val="single" w:color="000000" w:sz="8" w:space="0"/>
              <w:bottom w:val="single" w:color="auto" w:sz="4" w:space="0"/>
            </w:tcBorders>
            <w:noWrap w:val="0"/>
            <w:vAlign w:val="top"/>
          </w:tcPr>
          <w:p w14:paraId="0D1BF639">
            <w:pPr>
              <w:autoSpaceDE w:val="0"/>
              <w:autoSpaceDN w:val="0"/>
              <w:adjustRightInd w:val="0"/>
              <w:snapToGrid w:val="0"/>
              <w:jc w:val="center"/>
              <w:rPr>
                <w:rFonts w:hint="default" w:ascii="Times New Roman" w:hAnsi="Times New Roman" w:eastAsia="方正仿宋_GB2312" w:cs="Times New Roman"/>
                <w:bCs/>
                <w:color w:val="000000"/>
                <w:sz w:val="21"/>
                <w:szCs w:val="21"/>
              </w:rPr>
            </w:pPr>
            <w:r>
              <w:rPr>
                <w:rFonts w:hint="default" w:ascii="Times New Roman" w:hAnsi="Times New Roman" w:eastAsia="方正仿宋_GB2312" w:cs="Times New Roman"/>
                <w:bCs/>
                <w:color w:val="000000"/>
                <w:sz w:val="21"/>
                <w:szCs w:val="21"/>
              </w:rPr>
              <w:t>处理</w:t>
            </w:r>
          </w:p>
        </w:tc>
        <w:tc>
          <w:tcPr>
            <w:tcW w:w="1602" w:type="dxa"/>
            <w:tcBorders>
              <w:top w:val="single" w:color="000000" w:sz="8" w:space="0"/>
              <w:bottom w:val="single" w:color="auto" w:sz="4" w:space="0"/>
            </w:tcBorders>
            <w:noWrap w:val="0"/>
            <w:vAlign w:val="top"/>
          </w:tcPr>
          <w:p w14:paraId="62A176D8">
            <w:pPr>
              <w:autoSpaceDE w:val="0"/>
              <w:autoSpaceDN w:val="0"/>
              <w:adjustRightInd w:val="0"/>
              <w:snapToGrid w:val="0"/>
              <w:jc w:val="center"/>
              <w:rPr>
                <w:rFonts w:hint="default" w:ascii="Times New Roman" w:hAnsi="Times New Roman" w:eastAsia="方正仿宋_GB2312" w:cs="Times New Roman"/>
                <w:bCs/>
                <w:color w:val="000000"/>
                <w:sz w:val="21"/>
                <w:szCs w:val="21"/>
              </w:rPr>
            </w:pPr>
            <w:r>
              <w:rPr>
                <w:rFonts w:hint="default" w:ascii="Times New Roman" w:hAnsi="Times New Roman" w:eastAsia="方正仿宋_GB2312" w:cs="Times New Roman"/>
                <w:bCs/>
                <w:color w:val="000000"/>
                <w:sz w:val="21"/>
                <w:szCs w:val="21"/>
              </w:rPr>
              <w:t>穗粒数</w:t>
            </w:r>
          </w:p>
        </w:tc>
        <w:tc>
          <w:tcPr>
            <w:tcW w:w="1494" w:type="dxa"/>
            <w:tcBorders>
              <w:top w:val="single" w:color="000000" w:sz="8" w:space="0"/>
              <w:bottom w:val="single" w:color="auto" w:sz="4" w:space="0"/>
            </w:tcBorders>
            <w:noWrap w:val="0"/>
            <w:vAlign w:val="top"/>
          </w:tcPr>
          <w:p w14:paraId="4ECA4FF6">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bCs/>
                <w:color w:val="000000"/>
                <w:sz w:val="21"/>
                <w:szCs w:val="21"/>
              </w:rPr>
              <w:t>穗直径mm</w:t>
            </w:r>
          </w:p>
        </w:tc>
        <w:tc>
          <w:tcPr>
            <w:tcW w:w="1494" w:type="dxa"/>
            <w:tcBorders>
              <w:top w:val="single" w:color="000000" w:sz="8" w:space="0"/>
              <w:bottom w:val="single" w:color="auto" w:sz="4" w:space="0"/>
            </w:tcBorders>
            <w:noWrap w:val="0"/>
            <w:vAlign w:val="top"/>
          </w:tcPr>
          <w:p w14:paraId="6FF94A44">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bCs/>
                <w:color w:val="000000"/>
                <w:sz w:val="21"/>
                <w:szCs w:val="21"/>
              </w:rPr>
              <w:t>百粒重g</w:t>
            </w:r>
          </w:p>
        </w:tc>
        <w:tc>
          <w:tcPr>
            <w:tcW w:w="1604" w:type="dxa"/>
            <w:tcBorders>
              <w:top w:val="single" w:color="000000" w:sz="8" w:space="0"/>
              <w:bottom w:val="single" w:color="auto" w:sz="4" w:space="0"/>
            </w:tcBorders>
            <w:noWrap w:val="0"/>
            <w:vAlign w:val="top"/>
          </w:tcPr>
          <w:p w14:paraId="2866A01A">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bCs/>
                <w:color w:val="000000"/>
                <w:sz w:val="21"/>
                <w:szCs w:val="21"/>
              </w:rPr>
              <w:t>产量g·株</w:t>
            </w:r>
          </w:p>
        </w:tc>
        <w:tc>
          <w:tcPr>
            <w:tcW w:w="935" w:type="dxa"/>
            <w:tcBorders>
              <w:top w:val="single" w:color="000000" w:sz="8" w:space="0"/>
              <w:bottom w:val="single" w:color="auto" w:sz="4" w:space="0"/>
            </w:tcBorders>
            <w:noWrap w:val="0"/>
            <w:vAlign w:val="top"/>
          </w:tcPr>
          <w:p w14:paraId="2742B508">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bCs/>
                <w:color w:val="000000"/>
                <w:sz w:val="21"/>
                <w:szCs w:val="21"/>
              </w:rPr>
              <w:t>增产%</w:t>
            </w:r>
          </w:p>
        </w:tc>
      </w:tr>
      <w:tr w14:paraId="55958880">
        <w:tblPrEx>
          <w:tblBorders>
            <w:top w:val="single" w:color="000000" w:sz="8" w:space="0"/>
            <w:left w:val="none" w:color="auto" w:sz="0" w:space="0"/>
            <w:bottom w:val="single" w:color="000000"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6" w:hRule="atLeast"/>
          <w:jc w:val="center"/>
        </w:trPr>
        <w:tc>
          <w:tcPr>
            <w:tcW w:w="807" w:type="dxa"/>
            <w:tcBorders>
              <w:top w:val="single" w:color="auto" w:sz="4" w:space="0"/>
              <w:bottom w:val="nil"/>
            </w:tcBorders>
            <w:noWrap w:val="0"/>
            <w:vAlign w:val="top"/>
          </w:tcPr>
          <w:p w14:paraId="37ED330C">
            <w:pPr>
              <w:autoSpaceDE w:val="0"/>
              <w:autoSpaceDN w:val="0"/>
              <w:adjustRightInd w:val="0"/>
              <w:snapToGrid w:val="0"/>
              <w:jc w:val="center"/>
              <w:rPr>
                <w:rFonts w:hint="default" w:ascii="Times New Roman" w:hAnsi="Times New Roman" w:eastAsia="方正仿宋_GB2312" w:cs="Times New Roman"/>
                <w:bCs/>
                <w:color w:val="000000"/>
                <w:sz w:val="21"/>
                <w:szCs w:val="21"/>
              </w:rPr>
            </w:pPr>
            <w:r>
              <w:rPr>
                <w:rFonts w:hint="default" w:ascii="Times New Roman" w:hAnsi="Times New Roman" w:eastAsia="方正仿宋_GB2312" w:cs="Times New Roman"/>
                <w:bCs/>
                <w:color w:val="000000"/>
                <w:sz w:val="21"/>
                <w:szCs w:val="21"/>
              </w:rPr>
              <w:t>CK</w:t>
            </w:r>
          </w:p>
        </w:tc>
        <w:tc>
          <w:tcPr>
            <w:tcW w:w="1602" w:type="dxa"/>
            <w:tcBorders>
              <w:top w:val="single" w:color="auto" w:sz="4" w:space="0"/>
              <w:left w:val="nil"/>
              <w:bottom w:val="nil"/>
              <w:right w:val="nil"/>
            </w:tcBorders>
            <w:noWrap w:val="0"/>
            <w:vAlign w:val="top"/>
          </w:tcPr>
          <w:p w14:paraId="4E52A966">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387.90±27.2a</w:t>
            </w:r>
          </w:p>
        </w:tc>
        <w:tc>
          <w:tcPr>
            <w:tcW w:w="1494" w:type="dxa"/>
            <w:tcBorders>
              <w:top w:val="single" w:color="auto" w:sz="4" w:space="0"/>
              <w:bottom w:val="nil"/>
            </w:tcBorders>
            <w:noWrap w:val="0"/>
            <w:vAlign w:val="top"/>
          </w:tcPr>
          <w:p w14:paraId="6DEE7B04">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34.03±0.69a</w:t>
            </w:r>
          </w:p>
        </w:tc>
        <w:tc>
          <w:tcPr>
            <w:tcW w:w="1494" w:type="dxa"/>
            <w:tcBorders>
              <w:top w:val="single" w:color="auto" w:sz="4" w:space="0"/>
              <w:left w:val="nil"/>
              <w:bottom w:val="nil"/>
              <w:right w:val="nil"/>
            </w:tcBorders>
            <w:noWrap w:val="0"/>
            <w:vAlign w:val="top"/>
          </w:tcPr>
          <w:p w14:paraId="01568D5C">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12.00±0.17a</w:t>
            </w:r>
          </w:p>
        </w:tc>
        <w:tc>
          <w:tcPr>
            <w:tcW w:w="1604" w:type="dxa"/>
            <w:tcBorders>
              <w:top w:val="single" w:color="auto" w:sz="4" w:space="0"/>
              <w:bottom w:val="nil"/>
            </w:tcBorders>
            <w:noWrap w:val="0"/>
            <w:vAlign w:val="top"/>
          </w:tcPr>
          <w:p w14:paraId="44BF7F40">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51.01±1.54c</w:t>
            </w:r>
          </w:p>
        </w:tc>
        <w:tc>
          <w:tcPr>
            <w:tcW w:w="935" w:type="dxa"/>
            <w:tcBorders>
              <w:top w:val="single" w:color="auto" w:sz="4" w:space="0"/>
              <w:left w:val="nil"/>
              <w:bottom w:val="nil"/>
              <w:right w:val="nil"/>
            </w:tcBorders>
            <w:noWrap w:val="0"/>
            <w:vAlign w:val="top"/>
          </w:tcPr>
          <w:p w14:paraId="1BEB30F3">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w:t>
            </w:r>
          </w:p>
        </w:tc>
      </w:tr>
      <w:tr w14:paraId="1DC6E3FF">
        <w:tblPrEx>
          <w:tblBorders>
            <w:top w:val="single" w:color="000000" w:sz="8" w:space="0"/>
            <w:left w:val="none" w:color="auto" w:sz="0" w:space="0"/>
            <w:bottom w:val="single" w:color="000000"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6" w:hRule="atLeast"/>
          <w:jc w:val="center"/>
        </w:trPr>
        <w:tc>
          <w:tcPr>
            <w:tcW w:w="807" w:type="dxa"/>
            <w:tcBorders>
              <w:top w:val="nil"/>
            </w:tcBorders>
            <w:noWrap w:val="0"/>
            <w:vAlign w:val="top"/>
          </w:tcPr>
          <w:p w14:paraId="4719B98C">
            <w:pPr>
              <w:autoSpaceDE w:val="0"/>
              <w:autoSpaceDN w:val="0"/>
              <w:adjustRightInd w:val="0"/>
              <w:snapToGrid w:val="0"/>
              <w:jc w:val="center"/>
              <w:rPr>
                <w:rFonts w:hint="default" w:ascii="Times New Roman" w:hAnsi="Times New Roman" w:eastAsia="方正仿宋_GB2312" w:cs="Times New Roman"/>
                <w:bCs/>
                <w:color w:val="000000"/>
                <w:sz w:val="21"/>
                <w:szCs w:val="21"/>
              </w:rPr>
            </w:pPr>
            <w:r>
              <w:rPr>
                <w:rFonts w:hint="default" w:ascii="Times New Roman" w:hAnsi="Times New Roman" w:eastAsia="方正仿宋_GB2312" w:cs="Times New Roman"/>
                <w:bCs/>
                <w:color w:val="000000"/>
                <w:sz w:val="21"/>
                <w:szCs w:val="21"/>
              </w:rPr>
              <w:t>T0</w:t>
            </w:r>
          </w:p>
        </w:tc>
        <w:tc>
          <w:tcPr>
            <w:tcW w:w="1602" w:type="dxa"/>
            <w:tcBorders>
              <w:top w:val="nil"/>
              <w:left w:val="nil"/>
              <w:right w:val="nil"/>
            </w:tcBorders>
            <w:noWrap w:val="0"/>
            <w:vAlign w:val="top"/>
          </w:tcPr>
          <w:p w14:paraId="3F81BD3A">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482.00±76.1a</w:t>
            </w:r>
          </w:p>
        </w:tc>
        <w:tc>
          <w:tcPr>
            <w:tcW w:w="1494" w:type="dxa"/>
            <w:tcBorders>
              <w:top w:val="nil"/>
            </w:tcBorders>
            <w:noWrap w:val="0"/>
            <w:vAlign w:val="top"/>
          </w:tcPr>
          <w:p w14:paraId="3BDC5683">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34.66±2.83a</w:t>
            </w:r>
          </w:p>
        </w:tc>
        <w:tc>
          <w:tcPr>
            <w:tcW w:w="1494" w:type="dxa"/>
            <w:tcBorders>
              <w:top w:val="nil"/>
              <w:left w:val="nil"/>
              <w:right w:val="nil"/>
            </w:tcBorders>
            <w:noWrap w:val="0"/>
            <w:vAlign w:val="top"/>
          </w:tcPr>
          <w:p w14:paraId="3B397D00">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12.39±0.98a</w:t>
            </w:r>
          </w:p>
        </w:tc>
        <w:tc>
          <w:tcPr>
            <w:tcW w:w="1604" w:type="dxa"/>
            <w:tcBorders>
              <w:top w:val="nil"/>
            </w:tcBorders>
            <w:noWrap w:val="0"/>
            <w:vAlign w:val="top"/>
          </w:tcPr>
          <w:p w14:paraId="6A19D53E">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67.69±1.27c</w:t>
            </w:r>
          </w:p>
        </w:tc>
        <w:tc>
          <w:tcPr>
            <w:tcW w:w="935" w:type="dxa"/>
            <w:tcBorders>
              <w:top w:val="nil"/>
              <w:left w:val="nil"/>
              <w:bottom w:val="nil"/>
              <w:right w:val="nil"/>
            </w:tcBorders>
            <w:noWrap w:val="0"/>
            <w:vAlign w:val="bottom"/>
          </w:tcPr>
          <w:p w14:paraId="777A5751">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w:t>
            </w:r>
          </w:p>
        </w:tc>
      </w:tr>
      <w:tr w14:paraId="5AACC971">
        <w:tblPrEx>
          <w:tblBorders>
            <w:top w:val="single" w:color="000000" w:sz="8" w:space="0"/>
            <w:left w:val="none" w:color="auto" w:sz="0" w:space="0"/>
            <w:bottom w:val="single" w:color="000000"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6" w:hRule="atLeast"/>
          <w:jc w:val="center"/>
        </w:trPr>
        <w:tc>
          <w:tcPr>
            <w:tcW w:w="807" w:type="dxa"/>
            <w:noWrap w:val="0"/>
            <w:vAlign w:val="top"/>
          </w:tcPr>
          <w:p w14:paraId="552BA5BA">
            <w:pPr>
              <w:autoSpaceDE w:val="0"/>
              <w:autoSpaceDN w:val="0"/>
              <w:adjustRightInd w:val="0"/>
              <w:snapToGrid w:val="0"/>
              <w:jc w:val="center"/>
              <w:rPr>
                <w:rFonts w:hint="default" w:ascii="Times New Roman" w:hAnsi="Times New Roman" w:eastAsia="方正仿宋_GB2312" w:cs="Times New Roman"/>
                <w:bCs/>
                <w:color w:val="000000"/>
                <w:sz w:val="21"/>
                <w:szCs w:val="21"/>
              </w:rPr>
            </w:pPr>
            <w:r>
              <w:rPr>
                <w:rFonts w:hint="default" w:ascii="Times New Roman" w:hAnsi="Times New Roman" w:eastAsia="方正仿宋_GB2312" w:cs="Times New Roman"/>
                <w:bCs/>
                <w:color w:val="000000"/>
                <w:sz w:val="21"/>
                <w:szCs w:val="21"/>
              </w:rPr>
              <w:t>T1</w:t>
            </w:r>
          </w:p>
        </w:tc>
        <w:tc>
          <w:tcPr>
            <w:tcW w:w="1602" w:type="dxa"/>
            <w:noWrap w:val="0"/>
            <w:vAlign w:val="top"/>
          </w:tcPr>
          <w:p w14:paraId="6A23909F">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565.10±54.3a</w:t>
            </w:r>
          </w:p>
        </w:tc>
        <w:tc>
          <w:tcPr>
            <w:tcW w:w="1494" w:type="dxa"/>
            <w:noWrap w:val="0"/>
            <w:vAlign w:val="top"/>
          </w:tcPr>
          <w:p w14:paraId="06B42E08">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39.14±0.65a</w:t>
            </w:r>
          </w:p>
        </w:tc>
        <w:tc>
          <w:tcPr>
            <w:tcW w:w="1494" w:type="dxa"/>
            <w:noWrap w:val="0"/>
            <w:vAlign w:val="top"/>
          </w:tcPr>
          <w:p w14:paraId="2D64DABA">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13.06±1.57a</w:t>
            </w:r>
          </w:p>
        </w:tc>
        <w:tc>
          <w:tcPr>
            <w:tcW w:w="1604" w:type="dxa"/>
            <w:noWrap w:val="0"/>
            <w:vAlign w:val="top"/>
          </w:tcPr>
          <w:p w14:paraId="72EF74A6">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99.70±0.99b</w:t>
            </w:r>
          </w:p>
        </w:tc>
        <w:tc>
          <w:tcPr>
            <w:tcW w:w="935" w:type="dxa"/>
            <w:tcBorders>
              <w:top w:val="nil"/>
              <w:left w:val="nil"/>
              <w:bottom w:val="nil"/>
              <w:right w:val="nil"/>
            </w:tcBorders>
            <w:noWrap w:val="0"/>
            <w:vAlign w:val="bottom"/>
          </w:tcPr>
          <w:p w14:paraId="482D19F3">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47.28</w:t>
            </w:r>
          </w:p>
        </w:tc>
      </w:tr>
      <w:tr w14:paraId="541941EC">
        <w:tblPrEx>
          <w:tblBorders>
            <w:top w:val="single" w:color="000000" w:sz="8" w:space="0"/>
            <w:left w:val="none" w:color="auto" w:sz="0" w:space="0"/>
            <w:bottom w:val="single" w:color="000000"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6" w:hRule="atLeast"/>
          <w:jc w:val="center"/>
        </w:trPr>
        <w:tc>
          <w:tcPr>
            <w:tcW w:w="807" w:type="dxa"/>
            <w:tcBorders>
              <w:left w:val="nil"/>
              <w:right w:val="nil"/>
            </w:tcBorders>
            <w:noWrap w:val="0"/>
            <w:vAlign w:val="top"/>
          </w:tcPr>
          <w:p w14:paraId="1F752D9A">
            <w:pPr>
              <w:autoSpaceDE w:val="0"/>
              <w:autoSpaceDN w:val="0"/>
              <w:adjustRightInd w:val="0"/>
              <w:snapToGrid w:val="0"/>
              <w:jc w:val="center"/>
              <w:rPr>
                <w:rFonts w:hint="default" w:ascii="Times New Roman" w:hAnsi="Times New Roman" w:eastAsia="方正仿宋_GB2312" w:cs="Times New Roman"/>
                <w:bCs/>
                <w:color w:val="000000"/>
                <w:sz w:val="21"/>
                <w:szCs w:val="21"/>
              </w:rPr>
            </w:pPr>
            <w:r>
              <w:rPr>
                <w:rFonts w:hint="default" w:ascii="Times New Roman" w:hAnsi="Times New Roman" w:eastAsia="方正仿宋_GB2312" w:cs="Times New Roman"/>
                <w:bCs/>
                <w:color w:val="000000"/>
                <w:sz w:val="21"/>
                <w:szCs w:val="21"/>
              </w:rPr>
              <w:t>T2</w:t>
            </w:r>
          </w:p>
        </w:tc>
        <w:tc>
          <w:tcPr>
            <w:tcW w:w="1602" w:type="dxa"/>
            <w:tcBorders>
              <w:left w:val="nil"/>
              <w:right w:val="nil"/>
            </w:tcBorders>
            <w:noWrap w:val="0"/>
            <w:vAlign w:val="top"/>
          </w:tcPr>
          <w:p w14:paraId="67CC2FEF">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620.07±87.5a</w:t>
            </w:r>
          </w:p>
        </w:tc>
        <w:tc>
          <w:tcPr>
            <w:tcW w:w="1494" w:type="dxa"/>
            <w:tcBorders>
              <w:left w:val="nil"/>
              <w:right w:val="nil"/>
            </w:tcBorders>
            <w:noWrap w:val="0"/>
            <w:vAlign w:val="top"/>
          </w:tcPr>
          <w:p w14:paraId="661365D2">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40.49±3.46a</w:t>
            </w:r>
          </w:p>
        </w:tc>
        <w:tc>
          <w:tcPr>
            <w:tcW w:w="1494" w:type="dxa"/>
            <w:tcBorders>
              <w:left w:val="nil"/>
              <w:right w:val="nil"/>
            </w:tcBorders>
            <w:noWrap w:val="0"/>
            <w:vAlign w:val="top"/>
          </w:tcPr>
          <w:p w14:paraId="671AE174">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15.21±2.69a</w:t>
            </w:r>
          </w:p>
        </w:tc>
        <w:tc>
          <w:tcPr>
            <w:tcW w:w="1604" w:type="dxa"/>
            <w:tcBorders>
              <w:left w:val="nil"/>
              <w:right w:val="nil"/>
            </w:tcBorders>
            <w:noWrap w:val="0"/>
            <w:vAlign w:val="top"/>
          </w:tcPr>
          <w:p w14:paraId="0E879B17">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104.06±0.51b</w:t>
            </w:r>
          </w:p>
        </w:tc>
        <w:tc>
          <w:tcPr>
            <w:tcW w:w="935" w:type="dxa"/>
            <w:tcBorders>
              <w:top w:val="nil"/>
              <w:left w:val="nil"/>
              <w:bottom w:val="nil"/>
              <w:right w:val="nil"/>
            </w:tcBorders>
            <w:noWrap w:val="0"/>
            <w:vAlign w:val="bottom"/>
          </w:tcPr>
          <w:p w14:paraId="4007F9D6">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53.72</w:t>
            </w:r>
          </w:p>
        </w:tc>
      </w:tr>
      <w:tr w14:paraId="759CB57F">
        <w:tblPrEx>
          <w:tblBorders>
            <w:top w:val="single" w:color="000000" w:sz="8" w:space="0"/>
            <w:left w:val="none" w:color="auto" w:sz="0" w:space="0"/>
            <w:bottom w:val="single" w:color="000000"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6" w:hRule="atLeast"/>
          <w:jc w:val="center"/>
        </w:trPr>
        <w:tc>
          <w:tcPr>
            <w:tcW w:w="807" w:type="dxa"/>
            <w:tcBorders>
              <w:bottom w:val="nil"/>
            </w:tcBorders>
            <w:noWrap w:val="0"/>
            <w:vAlign w:val="top"/>
          </w:tcPr>
          <w:p w14:paraId="6368FC36">
            <w:pPr>
              <w:autoSpaceDE w:val="0"/>
              <w:autoSpaceDN w:val="0"/>
              <w:adjustRightInd w:val="0"/>
              <w:snapToGrid w:val="0"/>
              <w:jc w:val="center"/>
              <w:rPr>
                <w:rFonts w:hint="default" w:ascii="Times New Roman" w:hAnsi="Times New Roman" w:eastAsia="方正仿宋_GB2312" w:cs="Times New Roman"/>
                <w:bCs/>
                <w:color w:val="000000"/>
                <w:sz w:val="21"/>
                <w:szCs w:val="21"/>
              </w:rPr>
            </w:pPr>
            <w:r>
              <w:rPr>
                <w:rFonts w:hint="default" w:ascii="Times New Roman" w:hAnsi="Times New Roman" w:eastAsia="方正仿宋_GB2312" w:cs="Times New Roman"/>
                <w:bCs/>
                <w:color w:val="000000"/>
                <w:sz w:val="21"/>
                <w:szCs w:val="21"/>
              </w:rPr>
              <w:t>T3</w:t>
            </w:r>
          </w:p>
        </w:tc>
        <w:tc>
          <w:tcPr>
            <w:tcW w:w="1602" w:type="dxa"/>
            <w:tcBorders>
              <w:bottom w:val="nil"/>
            </w:tcBorders>
            <w:noWrap w:val="0"/>
            <w:vAlign w:val="top"/>
          </w:tcPr>
          <w:p w14:paraId="0730BA57">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624.00±24.4a</w:t>
            </w:r>
          </w:p>
        </w:tc>
        <w:tc>
          <w:tcPr>
            <w:tcW w:w="1494" w:type="dxa"/>
            <w:tcBorders>
              <w:bottom w:val="nil"/>
            </w:tcBorders>
            <w:noWrap w:val="0"/>
            <w:vAlign w:val="top"/>
          </w:tcPr>
          <w:p w14:paraId="4EA3CFD1">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41.51±0.71a</w:t>
            </w:r>
          </w:p>
        </w:tc>
        <w:tc>
          <w:tcPr>
            <w:tcW w:w="1494" w:type="dxa"/>
            <w:tcBorders>
              <w:bottom w:val="nil"/>
            </w:tcBorders>
            <w:noWrap w:val="0"/>
            <w:vAlign w:val="top"/>
          </w:tcPr>
          <w:p w14:paraId="3DCFE67E">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16.46±0.99a</w:t>
            </w:r>
          </w:p>
        </w:tc>
        <w:tc>
          <w:tcPr>
            <w:tcW w:w="1604" w:type="dxa"/>
            <w:tcBorders>
              <w:bottom w:val="nil"/>
            </w:tcBorders>
            <w:noWrap w:val="0"/>
            <w:vAlign w:val="top"/>
          </w:tcPr>
          <w:p w14:paraId="4C8CE245">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117.67±2.1a</w:t>
            </w:r>
          </w:p>
        </w:tc>
        <w:tc>
          <w:tcPr>
            <w:tcW w:w="935" w:type="dxa"/>
            <w:tcBorders>
              <w:top w:val="nil"/>
              <w:left w:val="nil"/>
              <w:bottom w:val="nil"/>
              <w:right w:val="nil"/>
            </w:tcBorders>
            <w:noWrap w:val="0"/>
            <w:vAlign w:val="bottom"/>
          </w:tcPr>
          <w:p w14:paraId="7580A3EF">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73.83</w:t>
            </w:r>
          </w:p>
        </w:tc>
      </w:tr>
      <w:tr w14:paraId="44E82C3C">
        <w:tblPrEx>
          <w:tblBorders>
            <w:top w:val="single" w:color="000000" w:sz="8" w:space="0"/>
            <w:left w:val="none" w:color="auto" w:sz="0" w:space="0"/>
            <w:bottom w:val="single" w:color="000000"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6" w:hRule="atLeast"/>
          <w:jc w:val="center"/>
        </w:trPr>
        <w:tc>
          <w:tcPr>
            <w:tcW w:w="807" w:type="dxa"/>
            <w:tcBorders>
              <w:top w:val="nil"/>
              <w:bottom w:val="single" w:color="auto" w:sz="4" w:space="0"/>
            </w:tcBorders>
            <w:noWrap w:val="0"/>
            <w:vAlign w:val="top"/>
          </w:tcPr>
          <w:p w14:paraId="195B07BD">
            <w:pPr>
              <w:autoSpaceDE w:val="0"/>
              <w:autoSpaceDN w:val="0"/>
              <w:adjustRightInd w:val="0"/>
              <w:snapToGrid w:val="0"/>
              <w:jc w:val="center"/>
              <w:rPr>
                <w:rFonts w:hint="default" w:ascii="Times New Roman" w:hAnsi="Times New Roman" w:eastAsia="方正仿宋_GB2312" w:cs="Times New Roman"/>
                <w:bCs/>
                <w:color w:val="000000"/>
                <w:sz w:val="21"/>
                <w:szCs w:val="21"/>
              </w:rPr>
            </w:pPr>
            <w:r>
              <w:rPr>
                <w:rFonts w:hint="default" w:ascii="Times New Roman" w:hAnsi="Times New Roman" w:eastAsia="方正仿宋_GB2312" w:cs="Times New Roman"/>
                <w:bCs/>
                <w:color w:val="000000"/>
                <w:sz w:val="21"/>
                <w:szCs w:val="21"/>
              </w:rPr>
              <w:t>T4</w:t>
            </w:r>
          </w:p>
        </w:tc>
        <w:tc>
          <w:tcPr>
            <w:tcW w:w="1602" w:type="dxa"/>
            <w:tcBorders>
              <w:top w:val="nil"/>
              <w:left w:val="nil"/>
              <w:bottom w:val="single" w:color="auto" w:sz="4" w:space="0"/>
              <w:right w:val="nil"/>
            </w:tcBorders>
            <w:noWrap w:val="0"/>
            <w:vAlign w:val="top"/>
          </w:tcPr>
          <w:p w14:paraId="71F96C63">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628.00±12.5a</w:t>
            </w:r>
          </w:p>
        </w:tc>
        <w:tc>
          <w:tcPr>
            <w:tcW w:w="1494" w:type="dxa"/>
            <w:tcBorders>
              <w:top w:val="nil"/>
              <w:bottom w:val="single" w:color="auto" w:sz="4" w:space="0"/>
            </w:tcBorders>
            <w:noWrap w:val="0"/>
            <w:vAlign w:val="top"/>
          </w:tcPr>
          <w:p w14:paraId="55FACCC4">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40.26±0.89a</w:t>
            </w:r>
          </w:p>
        </w:tc>
        <w:tc>
          <w:tcPr>
            <w:tcW w:w="1494" w:type="dxa"/>
            <w:tcBorders>
              <w:top w:val="nil"/>
              <w:left w:val="nil"/>
              <w:bottom w:val="single" w:color="auto" w:sz="4" w:space="0"/>
              <w:right w:val="nil"/>
            </w:tcBorders>
            <w:noWrap w:val="0"/>
            <w:vAlign w:val="top"/>
          </w:tcPr>
          <w:p w14:paraId="679ADC7C">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16.08±0.55a</w:t>
            </w:r>
          </w:p>
        </w:tc>
        <w:tc>
          <w:tcPr>
            <w:tcW w:w="1604" w:type="dxa"/>
            <w:tcBorders>
              <w:top w:val="nil"/>
              <w:bottom w:val="single" w:color="auto" w:sz="4" w:space="0"/>
            </w:tcBorders>
            <w:noWrap w:val="0"/>
            <w:vAlign w:val="top"/>
          </w:tcPr>
          <w:p w14:paraId="3AA66C3B">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106.68±2.33b</w:t>
            </w:r>
          </w:p>
        </w:tc>
        <w:tc>
          <w:tcPr>
            <w:tcW w:w="935" w:type="dxa"/>
            <w:tcBorders>
              <w:top w:val="nil"/>
              <w:left w:val="nil"/>
              <w:bottom w:val="single" w:color="auto" w:sz="4" w:space="0"/>
              <w:right w:val="nil"/>
            </w:tcBorders>
            <w:noWrap w:val="0"/>
            <w:vAlign w:val="bottom"/>
          </w:tcPr>
          <w:p w14:paraId="35E06290">
            <w:pPr>
              <w:autoSpaceDE w:val="0"/>
              <w:autoSpaceDN w:val="0"/>
              <w:adjustRightInd w:val="0"/>
              <w:snapToGrid w:val="0"/>
              <w:jc w:val="center"/>
              <w:rPr>
                <w:rFonts w:hint="default" w:ascii="Times New Roman" w:hAnsi="Times New Roman" w:eastAsia="方正仿宋_GB2312" w:cs="Times New Roman"/>
                <w:color w:val="000000"/>
                <w:sz w:val="21"/>
                <w:szCs w:val="21"/>
              </w:rPr>
            </w:pPr>
            <w:r>
              <w:rPr>
                <w:rFonts w:hint="default" w:ascii="Times New Roman" w:hAnsi="Times New Roman" w:eastAsia="方正仿宋_GB2312" w:cs="Times New Roman"/>
                <w:color w:val="000000"/>
                <w:sz w:val="21"/>
                <w:szCs w:val="21"/>
              </w:rPr>
              <w:t>56.71</w:t>
            </w:r>
          </w:p>
        </w:tc>
      </w:tr>
    </w:tbl>
    <w:p w14:paraId="6D1C485E">
      <w:pPr>
        <w:autoSpaceDE w:val="0"/>
        <w:autoSpaceDN w:val="0"/>
        <w:adjustRightInd w:val="0"/>
        <w:snapToGrid w:val="0"/>
        <w:spacing w:line="360" w:lineRule="auto"/>
        <w:rPr>
          <w:rFonts w:hint="default" w:ascii="Times New Roman" w:hAnsi="Times New Roman" w:eastAsia="方正仿宋_GB2312" w:cs="Times New Roman"/>
          <w:sz w:val="24"/>
          <w:szCs w:val="24"/>
        </w:rPr>
      </w:pPr>
    </w:p>
    <w:p w14:paraId="54F06CF9">
      <w:pPr>
        <w:autoSpaceDE w:val="0"/>
        <w:autoSpaceDN w:val="0"/>
        <w:adjustRightInd w:val="0"/>
        <w:snapToGrid w:val="0"/>
        <w:spacing w:line="360" w:lineRule="auto"/>
        <w:ind w:firstLine="480" w:firstLineChars="200"/>
        <w:rPr>
          <w:rFonts w:hint="default" w:eastAsia="仿宋_GB2312"/>
          <w:bCs/>
          <w:sz w:val="24"/>
          <w:lang w:val="en-US" w:eastAsia="zh-CN"/>
        </w:rPr>
      </w:pPr>
      <w:r>
        <w:rPr>
          <w:rFonts w:hint="eastAsia" w:ascii="方正仿宋_GB2312" w:hAnsi="方正仿宋_GB2312" w:eastAsia="方正仿宋_GB2312" w:cs="方正仿宋_GB2312"/>
          <w:sz w:val="24"/>
          <w:szCs w:val="24"/>
        </w:rPr>
        <w:t>不同种类氮肥对玉米干物质量积累的影响不同，缓释氮肥具有控释和释放缓慢的特点，使耕层土壤中速效氮含量在玉米全生育期始终保持较高水平，能够满足玉米各生长发育时期养分对氮素吸收的需求，特别是玉米生育中后期，促进营养体内氮、磷、钾养分向籽粒中的转移，增加干物质积累量。本研究通过缓效氮不同添加比例缓效氮累积释放的分析发现，添加33%缓效氮的释放能够更好的满足玉米各生育期对氮素的需求，增加玉米生殖生长期间干物质积累量及吸氮量，并对根系的生长有良好的促进作用，能合理供应玉米全生育期养分需求。</w:t>
      </w:r>
    </w:p>
    <w:p w14:paraId="3B8BE0C8">
      <w:pPr>
        <w:numPr>
          <w:ilvl w:val="0"/>
          <w:numId w:val="4"/>
        </w:numPr>
        <w:spacing w:line="360" w:lineRule="auto"/>
        <w:ind w:firstLine="480" w:firstLineChars="200"/>
        <w:outlineLvl w:val="0"/>
        <w:rPr>
          <w:rFonts w:ascii="黑体" w:eastAsia="黑体"/>
          <w:sz w:val="24"/>
        </w:rPr>
      </w:pPr>
      <w:r>
        <w:rPr>
          <w:rFonts w:hint="eastAsia" w:ascii="黑体" w:eastAsia="黑体"/>
          <w:sz w:val="24"/>
        </w:rPr>
        <w:t>重大</w:t>
      </w:r>
      <w:r>
        <w:rPr>
          <w:rFonts w:ascii="黑体" w:eastAsia="黑体"/>
          <w:sz w:val="24"/>
        </w:rPr>
        <w:t>意见分歧的处理依据和结果</w:t>
      </w:r>
    </w:p>
    <w:p w14:paraId="56F24539">
      <w:pPr>
        <w:spacing w:line="360" w:lineRule="auto"/>
        <w:ind w:firstLine="480" w:firstLineChars="200"/>
        <w:jc w:val="left"/>
        <w:rPr>
          <w:rFonts w:hint="eastAsia" w:ascii="仿宋_GB2312" w:hAnsi="宋体" w:eastAsia="仿宋_GB2312"/>
          <w:sz w:val="24"/>
          <w:lang w:eastAsia="zh-CN"/>
        </w:rPr>
      </w:pPr>
      <w:r>
        <w:rPr>
          <w:rFonts w:hint="eastAsia" w:ascii="仿宋_GB2312" w:hAnsi="宋体" w:eastAsia="仿宋_GB2312"/>
          <w:sz w:val="24"/>
          <w:lang w:val="en-US" w:eastAsia="zh-CN"/>
        </w:rPr>
        <w:t>无重大意见分歧（针对有无重大意见分歧进行说明</w:t>
      </w:r>
      <w:r>
        <w:rPr>
          <w:rFonts w:hint="eastAsia" w:ascii="仿宋_GB2312" w:hAnsi="宋体" w:eastAsia="仿宋_GB2312"/>
          <w:sz w:val="24"/>
        </w:rPr>
        <w:t>。</w:t>
      </w:r>
      <w:r>
        <w:rPr>
          <w:rFonts w:hint="eastAsia" w:ascii="仿宋_GB2312" w:hAnsi="宋体" w:eastAsia="仿宋_GB2312"/>
          <w:sz w:val="24"/>
          <w:lang w:eastAsia="zh-CN"/>
        </w:rPr>
        <w:t>征求意见汇总处理表见附表。）</w:t>
      </w:r>
    </w:p>
    <w:p w14:paraId="55ED6317">
      <w:pPr>
        <w:spacing w:line="360" w:lineRule="auto"/>
        <w:ind w:firstLine="480" w:firstLineChars="200"/>
        <w:jc w:val="left"/>
        <w:rPr>
          <w:rFonts w:hint="eastAsia" w:ascii="仿宋_GB2312" w:hAnsi="宋体" w:eastAsia="仿宋_GB2312"/>
          <w:sz w:val="24"/>
          <w:lang w:eastAsia="zh-CN"/>
        </w:rPr>
      </w:pPr>
      <w:r>
        <w:rPr>
          <w:rFonts w:hint="eastAsia" w:ascii="仿宋_GB2312" w:hAnsi="宋体" w:eastAsia="仿宋_GB2312"/>
          <w:sz w:val="24"/>
          <w:lang w:eastAsia="zh-CN"/>
        </w:rPr>
        <w:t>发送征求意见稿单位数6个；回到征求意见稿回函的单位数6个；收到征求意见稿并提出意见的单位数6个；没有回函的单位数0个；共收到32条意见，采纳22条意见，部分采纳3条意见，未采纳7条意见。</w:t>
      </w:r>
    </w:p>
    <w:p w14:paraId="5EB2B07C">
      <w:pPr>
        <w:spacing w:line="360" w:lineRule="auto"/>
        <w:ind w:firstLine="480" w:firstLineChars="200"/>
        <w:jc w:val="left"/>
        <w:rPr>
          <w:rFonts w:hint="default" w:ascii="仿宋_GB2312" w:hAnsi="宋体" w:eastAsia="仿宋_GB2312"/>
          <w:sz w:val="24"/>
          <w:highlight w:val="yellow"/>
          <w:lang w:val="en-US" w:eastAsia="zh-CN"/>
        </w:rPr>
      </w:pPr>
      <w:r>
        <w:rPr>
          <w:rFonts w:hint="eastAsia" w:ascii="仿宋_GB2312" w:hAnsi="宋体" w:eastAsia="仿宋_GB2312"/>
          <w:sz w:val="24"/>
          <w:highlight w:val="yellow"/>
          <w:lang w:val="en-US" w:eastAsia="zh-CN"/>
        </w:rPr>
        <w:t>文件通过山西省省级地方标准专家技术初审，5名专家主要提出5条修改意见，全部采纳，均无重大意见分歧</w:t>
      </w:r>
      <w:r>
        <w:rPr>
          <w:rFonts w:hint="eastAsia" w:ascii="仿宋_GB2312" w:hAnsi="宋体" w:eastAsia="仿宋_GB2312"/>
          <w:sz w:val="24"/>
          <w:highlight w:val="yellow"/>
          <w:lang w:eastAsia="zh-CN"/>
        </w:rPr>
        <w:t>。</w:t>
      </w:r>
    </w:p>
    <w:p w14:paraId="366F724D">
      <w:pPr>
        <w:spacing w:line="360" w:lineRule="auto"/>
        <w:ind w:firstLine="480" w:firstLineChars="200"/>
        <w:outlineLvl w:val="0"/>
        <w:rPr>
          <w:rFonts w:ascii="黑体" w:eastAsia="黑体"/>
          <w:sz w:val="24"/>
        </w:rPr>
      </w:pPr>
      <w:r>
        <w:rPr>
          <w:rFonts w:hint="eastAsia" w:ascii="黑体" w:eastAsia="黑体"/>
          <w:sz w:val="24"/>
        </w:rPr>
        <w:t>七</w:t>
      </w:r>
      <w:r>
        <w:rPr>
          <w:rFonts w:ascii="黑体" w:eastAsia="黑体"/>
          <w:sz w:val="24"/>
        </w:rPr>
        <w:t>、</w:t>
      </w:r>
      <w:r>
        <w:rPr>
          <w:rFonts w:hint="eastAsia" w:ascii="黑体" w:eastAsia="黑体"/>
          <w:sz w:val="24"/>
        </w:rPr>
        <w:t>采标</w:t>
      </w:r>
      <w:r>
        <w:rPr>
          <w:rFonts w:ascii="黑体" w:eastAsia="黑体"/>
          <w:sz w:val="24"/>
        </w:rPr>
        <w:t>情况，是否合规引用或采用国际标准和国外先进标准，以及与国内外同类标准水平的对比情况</w:t>
      </w:r>
    </w:p>
    <w:p w14:paraId="53CECD10">
      <w:pPr>
        <w:spacing w:line="360" w:lineRule="auto"/>
        <w:ind w:firstLine="480" w:firstLineChars="200"/>
        <w:outlineLvl w:val="0"/>
        <w:rPr>
          <w:rFonts w:hint="default" w:ascii="仿宋_GB2312" w:hAnsi="宋体" w:eastAsia="仿宋_GB2312"/>
          <w:sz w:val="24"/>
          <w:lang w:val="en-US" w:eastAsia="zh-CN"/>
        </w:rPr>
      </w:pPr>
      <w:r>
        <w:rPr>
          <w:rFonts w:hint="eastAsia" w:ascii="仿宋_GB2312" w:hAnsi="宋体" w:eastAsia="仿宋_GB2312"/>
          <w:sz w:val="24"/>
          <w:lang w:val="en-US" w:eastAsia="zh-CN"/>
        </w:rPr>
        <w:t>本标准合规引用或采用国际标准和国外先进标准，与国内外同类标准水平的对比达到先进水平。</w:t>
      </w:r>
    </w:p>
    <w:p w14:paraId="503FD917">
      <w:pPr>
        <w:spacing w:line="360" w:lineRule="auto"/>
        <w:ind w:firstLine="480" w:firstLineChars="200"/>
        <w:outlineLvl w:val="0"/>
        <w:rPr>
          <w:rFonts w:ascii="黑体" w:eastAsia="黑体"/>
          <w:sz w:val="24"/>
        </w:rPr>
      </w:pPr>
      <w:r>
        <w:rPr>
          <w:rFonts w:hint="eastAsia" w:ascii="黑体" w:eastAsia="黑体"/>
          <w:sz w:val="24"/>
        </w:rPr>
        <w:t>八</w:t>
      </w:r>
      <w:r>
        <w:rPr>
          <w:rFonts w:hint="eastAsia" w:ascii="黑体" w:eastAsia="黑体"/>
          <w:sz w:val="24"/>
          <w:lang w:eastAsia="zh-CN"/>
        </w:rPr>
        <w:t>、</w:t>
      </w:r>
      <w:r>
        <w:rPr>
          <w:rFonts w:hint="eastAsia" w:ascii="黑体" w:hAnsi="黑体" w:eastAsia="黑体"/>
          <w:sz w:val="24"/>
          <w:szCs w:val="24"/>
        </w:rPr>
        <w:t>作为推荐性标准或者强制性标准的建议及其理由。</w:t>
      </w:r>
    </w:p>
    <w:p w14:paraId="1467E493">
      <w:pPr>
        <w:spacing w:line="360" w:lineRule="auto"/>
        <w:ind w:firstLine="480" w:firstLineChars="200"/>
        <w:jc w:val="left"/>
        <w:rPr>
          <w:rFonts w:ascii="仿宋_GB2312" w:hAnsi="宋体" w:eastAsia="仿宋_GB2312"/>
          <w:sz w:val="24"/>
        </w:rPr>
      </w:pPr>
      <w:r>
        <w:rPr>
          <w:rFonts w:ascii="仿宋_GB2312" w:hAnsi="宋体" w:eastAsia="仿宋_GB2312"/>
          <w:sz w:val="24"/>
        </w:rPr>
        <w:t>建议本标准为推荐性标准。</w:t>
      </w:r>
    </w:p>
    <w:p w14:paraId="3CD24E38">
      <w:pPr>
        <w:spacing w:line="360" w:lineRule="auto"/>
        <w:ind w:firstLine="480" w:firstLineChars="200"/>
        <w:outlineLvl w:val="0"/>
        <w:rPr>
          <w:rFonts w:ascii="黑体" w:eastAsia="黑体"/>
          <w:sz w:val="24"/>
        </w:rPr>
      </w:pPr>
      <w:r>
        <w:rPr>
          <w:rFonts w:hint="eastAsia" w:ascii="黑体" w:eastAsia="黑体"/>
          <w:sz w:val="24"/>
        </w:rPr>
        <w:t>九</w:t>
      </w:r>
      <w:r>
        <w:rPr>
          <w:rFonts w:ascii="黑体" w:eastAsia="黑体"/>
          <w:sz w:val="24"/>
        </w:rPr>
        <w:t>、</w:t>
      </w:r>
      <w:r>
        <w:rPr>
          <w:rFonts w:hint="eastAsia" w:ascii="黑体" w:eastAsia="黑体"/>
          <w:sz w:val="24"/>
        </w:rPr>
        <w:t>实施</w:t>
      </w:r>
      <w:r>
        <w:rPr>
          <w:rFonts w:ascii="黑体" w:eastAsia="黑体"/>
          <w:sz w:val="24"/>
        </w:rPr>
        <w:t>标准的措施建议</w:t>
      </w:r>
    </w:p>
    <w:p w14:paraId="5FF70A1E">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ascii="仿宋_GB2312" w:hAnsi="宋体" w:eastAsia="仿宋_GB2312"/>
          <w:sz w:val="24"/>
          <w:lang w:val="en-US" w:eastAsia="zh-CN"/>
        </w:rPr>
      </w:pPr>
      <w:r>
        <w:rPr>
          <w:rFonts w:hint="eastAsia" w:ascii="仿宋_GB2312" w:hAnsi="宋体" w:eastAsia="仿宋_GB2312"/>
          <w:sz w:val="24"/>
        </w:rPr>
        <w:t>1、</w:t>
      </w:r>
      <w:r>
        <w:rPr>
          <w:rFonts w:hint="eastAsia" w:ascii="仿宋_GB2312" w:hAnsi="宋体" w:eastAsia="仿宋_GB2312"/>
          <w:sz w:val="24"/>
          <w:lang w:val="en-US" w:eastAsia="zh-CN"/>
        </w:rPr>
        <w:t>标准发布后，建议在山西省轻度盐碱地玉米上进行大量的试验示范，以进一步在适宜生产区搞好推广应用工作。</w:t>
      </w:r>
    </w:p>
    <w:p w14:paraId="703343F8">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仿宋_GB2312" w:hAnsi="宋体" w:eastAsia="仿宋_GB2312"/>
          <w:sz w:val="24"/>
        </w:rPr>
      </w:pPr>
      <w:r>
        <w:rPr>
          <w:rFonts w:hint="eastAsia" w:ascii="仿宋_GB2312" w:hAnsi="宋体" w:eastAsia="仿宋_GB2312"/>
          <w:sz w:val="24"/>
        </w:rPr>
        <w:t>2、</w:t>
      </w:r>
      <w:r>
        <w:rPr>
          <w:rFonts w:hint="eastAsia" w:ascii="仿宋_GB2312" w:hAnsi="宋体" w:eastAsia="仿宋_GB2312"/>
          <w:sz w:val="24"/>
          <w:lang w:val="en-US" w:eastAsia="zh-CN"/>
        </w:rPr>
        <w:t>加强对标准的宣传和执行，以标准来规范生产。</w:t>
      </w:r>
    </w:p>
    <w:p w14:paraId="6888BEBD">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仿宋_GB2312" w:hAnsi="宋体" w:eastAsia="仿宋_GB2312"/>
          <w:sz w:val="24"/>
          <w:lang w:val="en-US" w:eastAsia="zh-CN"/>
        </w:rPr>
        <w:sectPr>
          <w:pgSz w:w="11906" w:h="16838"/>
          <w:pgMar w:top="1440" w:right="1803" w:bottom="1440" w:left="1803" w:header="851" w:footer="992" w:gutter="0"/>
          <w:pgNumType w:start="1"/>
          <w:cols w:space="0" w:num="1"/>
          <w:titlePg/>
          <w:rtlGutter w:val="0"/>
          <w:docGrid w:type="lines" w:linePitch="319" w:charSpace="0"/>
        </w:sectPr>
      </w:pPr>
      <w:r>
        <w:rPr>
          <w:rFonts w:hint="eastAsia" w:ascii="仿宋_GB2312" w:hAnsi="宋体" w:eastAsia="仿宋_GB2312"/>
          <w:sz w:val="24"/>
        </w:rPr>
        <w:t>3、</w:t>
      </w:r>
      <w:r>
        <w:rPr>
          <w:rFonts w:hint="eastAsia" w:ascii="仿宋_GB2312" w:hAnsi="宋体" w:eastAsia="仿宋_GB2312"/>
          <w:sz w:val="24"/>
          <w:lang w:val="en-US" w:eastAsia="zh-CN"/>
        </w:rPr>
        <w:t>建议在实施标准的过程中对所发现的问题应及时反馈，以利于标准的修订和完善。</w:t>
      </w:r>
    </w:p>
    <w:p w14:paraId="5C847E83">
      <w:pPr>
        <w:spacing w:line="360" w:lineRule="auto"/>
        <w:ind w:firstLine="480" w:firstLineChars="200"/>
        <w:jc w:val="left"/>
        <w:rPr>
          <w:rFonts w:hint="eastAsia" w:ascii="仿宋_GB2312" w:hAnsi="宋体" w:eastAsia="仿宋_GB2312"/>
          <w:sz w:val="24"/>
          <w:lang w:val="en-US" w:eastAsia="zh-CN"/>
        </w:rPr>
      </w:pPr>
      <w:r>
        <w:rPr>
          <w:rFonts w:hint="eastAsia" w:ascii="仿宋_GB2312" w:hAnsi="宋体" w:eastAsia="仿宋_GB2312"/>
          <w:sz w:val="24"/>
          <w:lang w:val="en-US" w:eastAsia="zh-CN"/>
        </w:rPr>
        <w:t>附表</w:t>
      </w:r>
    </w:p>
    <w:p w14:paraId="625885E2">
      <w:pPr>
        <w:keepNext w:val="0"/>
        <w:keepLines w:val="0"/>
        <w:pageBreakBefore w:val="0"/>
        <w:widowControl w:val="0"/>
        <w:kinsoku/>
        <w:wordWrap/>
        <w:overflowPunct/>
        <w:topLinePunct w:val="0"/>
        <w:autoSpaceDE/>
        <w:autoSpaceDN/>
        <w:bidi w:val="0"/>
        <w:adjustRightInd/>
        <w:snapToGrid/>
        <w:spacing w:after="161" w:afterLines="50"/>
        <w:jc w:val="center"/>
        <w:textAlignment w:val="auto"/>
        <w:rPr>
          <w:rFonts w:hint="eastAsia" w:ascii="仿宋_GB2312" w:hAnsi="宋体" w:eastAsia="仿宋_GB2312"/>
          <w:sz w:val="24"/>
          <w:lang w:val="en-US" w:eastAsia="zh-CN"/>
        </w:rPr>
      </w:pPr>
      <w:bookmarkStart w:id="5" w:name="bookmark12"/>
      <w:bookmarkEnd w:id="5"/>
      <w:bookmarkStart w:id="6" w:name="bookmark12"/>
      <w:bookmarkEnd w:id="6"/>
      <w:r>
        <w:rPr>
          <w:rFonts w:hint="eastAsia" w:ascii="仿宋_GB2312" w:hAnsi="宋体" w:eastAsia="仿宋_GB2312"/>
          <w:sz w:val="24"/>
          <w:lang w:val="en-US" w:eastAsia="zh-CN"/>
        </w:rPr>
        <w:t>《轻度盐碱地玉米高产高效栽培技术规程》征求意见汇总处理表</w:t>
      </w:r>
    </w:p>
    <w:p w14:paraId="7D072E98">
      <w:pPr>
        <w:widowControl/>
        <w:kinsoku w:val="0"/>
        <w:autoSpaceDE w:val="0"/>
        <w:autoSpaceDN w:val="0"/>
        <w:adjustRightInd w:val="0"/>
        <w:snapToGrid w:val="0"/>
        <w:spacing w:before="68" w:line="221" w:lineRule="auto"/>
        <w:ind w:left="541"/>
        <w:jc w:val="left"/>
        <w:textAlignment w:val="baseline"/>
        <w:rPr>
          <w:rFonts w:ascii="宋体" w:hAnsi="宋体" w:eastAsia="宋体" w:cs="宋体"/>
          <w:snapToGrid w:val="0"/>
          <w:color w:val="000000"/>
          <w:spacing w:val="-1"/>
          <w:kern w:val="0"/>
          <w:sz w:val="21"/>
          <w:szCs w:val="21"/>
          <w:lang w:eastAsia="en-US"/>
        </w:rPr>
      </w:pPr>
    </w:p>
    <w:p w14:paraId="076A878B">
      <w:pPr>
        <w:widowControl/>
        <w:kinsoku w:val="0"/>
        <w:autoSpaceDE w:val="0"/>
        <w:autoSpaceDN w:val="0"/>
        <w:adjustRightInd w:val="0"/>
        <w:snapToGrid w:val="0"/>
        <w:spacing w:before="199" w:line="221" w:lineRule="auto"/>
        <w:ind w:left="121"/>
        <w:jc w:val="left"/>
        <w:textAlignment w:val="baseline"/>
        <w:rPr>
          <w:rFonts w:hint="default" w:ascii="宋体" w:hAnsi="宋体" w:eastAsia="宋体" w:cs="宋体"/>
          <w:snapToGrid w:val="0"/>
          <w:color w:val="000000"/>
          <w:kern w:val="0"/>
          <w:sz w:val="21"/>
          <w:szCs w:val="21"/>
          <w:lang w:val="en-US" w:eastAsia="zh-CN"/>
        </w:rPr>
      </w:pPr>
      <w:r>
        <w:rPr>
          <w:rFonts w:ascii="宋体" w:hAnsi="宋体" w:eastAsia="宋体" w:cs="宋体"/>
          <w:snapToGrid w:val="0"/>
          <w:color w:val="000000"/>
          <w:kern w:val="0"/>
          <w:sz w:val="21"/>
          <w:szCs w:val="21"/>
          <w:lang w:eastAsia="en-US"/>
        </w:rPr>
        <w:t>起草单位：</w:t>
      </w:r>
      <w:r>
        <w:rPr>
          <w:rFonts w:hint="eastAsia" w:ascii="宋体" w:hAnsi="宋体" w:eastAsia="宋体" w:cs="宋体"/>
          <w:snapToGrid w:val="0"/>
          <w:color w:val="000000"/>
          <w:kern w:val="0"/>
          <w:sz w:val="21"/>
          <w:szCs w:val="21"/>
          <w:lang w:val="en-US" w:eastAsia="zh-CN"/>
        </w:rPr>
        <w:t>山西农业大学</w:t>
      </w:r>
      <w:r>
        <w:rPr>
          <w:rFonts w:ascii="宋体" w:hAnsi="宋体" w:eastAsia="宋体" w:cs="宋体"/>
          <w:snapToGrid w:val="0"/>
          <w:color w:val="000000"/>
          <w:kern w:val="0"/>
          <w:sz w:val="21"/>
          <w:szCs w:val="21"/>
          <w:lang w:eastAsia="en-US"/>
        </w:rPr>
        <w:t xml:space="preserve">                          承办人：</w:t>
      </w:r>
      <w:r>
        <w:rPr>
          <w:rFonts w:hint="eastAsia" w:ascii="宋体" w:hAnsi="宋体" w:eastAsia="宋体" w:cs="宋体"/>
          <w:snapToGrid w:val="0"/>
          <w:color w:val="000000"/>
          <w:kern w:val="0"/>
          <w:sz w:val="21"/>
          <w:szCs w:val="21"/>
          <w:lang w:val="en-US" w:eastAsia="zh-CN"/>
        </w:rPr>
        <w:t>王永亮</w:t>
      </w:r>
      <w:r>
        <w:rPr>
          <w:rFonts w:ascii="宋体" w:hAnsi="宋体" w:eastAsia="宋体" w:cs="宋体"/>
          <w:snapToGrid w:val="0"/>
          <w:color w:val="000000"/>
          <w:kern w:val="0"/>
          <w:sz w:val="21"/>
          <w:szCs w:val="21"/>
          <w:lang w:eastAsia="en-US"/>
        </w:rPr>
        <w:t xml:space="preserve">             联系电话：</w:t>
      </w:r>
      <w:r>
        <w:rPr>
          <w:rFonts w:hint="eastAsia" w:ascii="宋体" w:hAnsi="宋体" w:eastAsia="宋体" w:cs="宋体"/>
          <w:snapToGrid w:val="0"/>
          <w:color w:val="000000"/>
          <w:kern w:val="0"/>
          <w:sz w:val="21"/>
          <w:szCs w:val="21"/>
          <w:lang w:val="en-US" w:eastAsia="zh-CN"/>
        </w:rPr>
        <w:t>13753103352</w:t>
      </w:r>
      <w:r>
        <w:rPr>
          <w:rFonts w:ascii="宋体" w:hAnsi="宋体" w:eastAsia="宋体" w:cs="宋体"/>
          <w:snapToGrid w:val="0"/>
          <w:color w:val="000000"/>
          <w:kern w:val="0"/>
          <w:sz w:val="21"/>
          <w:szCs w:val="21"/>
          <w:lang w:eastAsia="en-US"/>
        </w:rPr>
        <w:t xml:space="preserve">   </w:t>
      </w:r>
      <w:r>
        <w:rPr>
          <w:rFonts w:hint="eastAsia" w:ascii="宋体" w:hAnsi="宋体" w:eastAsia="宋体" w:cs="宋体"/>
          <w:snapToGrid w:val="0"/>
          <w:color w:val="000000"/>
          <w:kern w:val="0"/>
          <w:sz w:val="21"/>
          <w:szCs w:val="21"/>
          <w:lang w:val="en-US" w:eastAsia="zh-CN"/>
        </w:rPr>
        <w:t xml:space="preserve">    </w:t>
      </w:r>
      <w:r>
        <w:rPr>
          <w:rFonts w:ascii="宋体" w:hAnsi="宋体" w:eastAsia="宋体" w:cs="宋体"/>
          <w:snapToGrid w:val="0"/>
          <w:color w:val="000000"/>
          <w:spacing w:val="-1"/>
          <w:kern w:val="0"/>
          <w:sz w:val="21"/>
          <w:szCs w:val="21"/>
          <w:lang w:eastAsia="en-US"/>
        </w:rPr>
        <w:t xml:space="preserve"> 填写时间：</w:t>
      </w:r>
      <w:r>
        <w:rPr>
          <w:rFonts w:hint="eastAsia" w:ascii="宋体" w:hAnsi="宋体" w:eastAsia="宋体" w:cs="宋体"/>
          <w:snapToGrid w:val="0"/>
          <w:color w:val="000000"/>
          <w:spacing w:val="-1"/>
          <w:kern w:val="0"/>
          <w:sz w:val="21"/>
          <w:szCs w:val="21"/>
          <w:lang w:val="en-US" w:eastAsia="zh-CN"/>
        </w:rPr>
        <w:t>2024年10月14日</w:t>
      </w:r>
    </w:p>
    <w:tbl>
      <w:tblPr>
        <w:tblStyle w:val="32"/>
        <w:tblW w:w="13938"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14"/>
        <w:gridCol w:w="1516"/>
        <w:gridCol w:w="3740"/>
        <w:gridCol w:w="2794"/>
        <w:gridCol w:w="1573"/>
        <w:gridCol w:w="3201"/>
      </w:tblGrid>
      <w:tr w14:paraId="2E976A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64" w:hRule="atLeast"/>
        </w:trPr>
        <w:tc>
          <w:tcPr>
            <w:tcW w:w="1114" w:type="dxa"/>
            <w:vAlign w:val="top"/>
          </w:tcPr>
          <w:p w14:paraId="02F8206C">
            <w:pPr>
              <w:kinsoku w:val="0"/>
              <w:autoSpaceDE w:val="0"/>
              <w:autoSpaceDN w:val="0"/>
              <w:adjustRightInd w:val="0"/>
              <w:snapToGrid w:val="0"/>
              <w:spacing w:line="384" w:lineRule="auto"/>
              <w:jc w:val="left"/>
              <w:textAlignment w:val="baseline"/>
              <w:rPr>
                <w:rFonts w:ascii="Arial" w:hAnsi="Arial" w:eastAsia="Arial" w:cs="Arial"/>
                <w:snapToGrid w:val="0"/>
                <w:color w:val="000000"/>
                <w:kern w:val="0"/>
                <w:sz w:val="21"/>
                <w:szCs w:val="21"/>
                <w:lang w:val="en-US" w:eastAsia="en-US" w:bidi="ar-SA"/>
              </w:rPr>
            </w:pPr>
          </w:p>
          <w:p w14:paraId="133269D0">
            <w:pPr>
              <w:widowControl/>
              <w:kinsoku w:val="0"/>
              <w:autoSpaceDE w:val="0"/>
              <w:autoSpaceDN w:val="0"/>
              <w:adjustRightInd w:val="0"/>
              <w:snapToGrid w:val="0"/>
              <w:spacing w:before="58" w:line="221" w:lineRule="auto"/>
              <w:ind w:left="385"/>
              <w:jc w:val="left"/>
              <w:textAlignment w:val="baseline"/>
              <w:rPr>
                <w:rFonts w:ascii="宋体" w:hAnsi="宋体" w:eastAsia="宋体" w:cs="宋体"/>
                <w:snapToGrid w:val="0"/>
                <w:color w:val="000000"/>
                <w:kern w:val="0"/>
                <w:sz w:val="18"/>
                <w:szCs w:val="18"/>
                <w:lang w:eastAsia="en-US"/>
              </w:rPr>
            </w:pPr>
            <w:r>
              <w:rPr>
                <w:rFonts w:ascii="宋体" w:hAnsi="宋体" w:eastAsia="宋体" w:cs="宋体"/>
                <w:snapToGrid w:val="0"/>
                <w:color w:val="000000"/>
                <w:spacing w:val="-2"/>
                <w:kern w:val="0"/>
                <w:sz w:val="18"/>
                <w:szCs w:val="18"/>
                <w:lang w:eastAsia="en-US"/>
              </w:rPr>
              <w:t>序号</w:t>
            </w:r>
          </w:p>
        </w:tc>
        <w:tc>
          <w:tcPr>
            <w:tcW w:w="1516" w:type="dxa"/>
            <w:vAlign w:val="top"/>
          </w:tcPr>
          <w:p w14:paraId="7E3639A0">
            <w:pPr>
              <w:kinsoku w:val="0"/>
              <w:autoSpaceDE w:val="0"/>
              <w:autoSpaceDN w:val="0"/>
              <w:adjustRightInd w:val="0"/>
              <w:snapToGrid w:val="0"/>
              <w:spacing w:line="384" w:lineRule="auto"/>
              <w:jc w:val="left"/>
              <w:textAlignment w:val="baseline"/>
              <w:rPr>
                <w:rFonts w:ascii="Arial" w:hAnsi="Arial" w:eastAsia="Arial" w:cs="Arial"/>
                <w:snapToGrid w:val="0"/>
                <w:color w:val="000000"/>
                <w:kern w:val="0"/>
                <w:sz w:val="21"/>
                <w:szCs w:val="21"/>
                <w:lang w:val="en-US" w:eastAsia="en-US" w:bidi="ar-SA"/>
              </w:rPr>
            </w:pPr>
          </w:p>
          <w:p w14:paraId="0F42CE0D">
            <w:pPr>
              <w:widowControl/>
              <w:kinsoku w:val="0"/>
              <w:autoSpaceDE w:val="0"/>
              <w:autoSpaceDN w:val="0"/>
              <w:adjustRightInd w:val="0"/>
              <w:snapToGrid w:val="0"/>
              <w:spacing w:before="58" w:line="219" w:lineRule="auto"/>
              <w:ind w:left="345"/>
              <w:jc w:val="left"/>
              <w:textAlignment w:val="baseline"/>
              <w:rPr>
                <w:rFonts w:ascii="宋体" w:hAnsi="宋体" w:eastAsia="宋体" w:cs="宋体"/>
                <w:snapToGrid w:val="0"/>
                <w:color w:val="000000"/>
                <w:kern w:val="0"/>
                <w:sz w:val="18"/>
                <w:szCs w:val="18"/>
                <w:lang w:eastAsia="en-US"/>
              </w:rPr>
            </w:pPr>
            <w:r>
              <w:rPr>
                <w:rFonts w:ascii="宋体" w:hAnsi="宋体" w:eastAsia="宋体" w:cs="宋体"/>
                <w:snapToGrid w:val="0"/>
                <w:color w:val="000000"/>
                <w:spacing w:val="-2"/>
                <w:kern w:val="0"/>
                <w:sz w:val="18"/>
                <w:szCs w:val="18"/>
                <w:lang w:eastAsia="en-US"/>
              </w:rPr>
              <w:t>标准章条编号</w:t>
            </w:r>
          </w:p>
        </w:tc>
        <w:tc>
          <w:tcPr>
            <w:tcW w:w="3740" w:type="dxa"/>
            <w:vAlign w:val="top"/>
          </w:tcPr>
          <w:p w14:paraId="3901367E">
            <w:pPr>
              <w:kinsoku w:val="0"/>
              <w:autoSpaceDE w:val="0"/>
              <w:autoSpaceDN w:val="0"/>
              <w:adjustRightInd w:val="0"/>
              <w:snapToGrid w:val="0"/>
              <w:spacing w:line="383" w:lineRule="auto"/>
              <w:jc w:val="left"/>
              <w:textAlignment w:val="baseline"/>
              <w:rPr>
                <w:rFonts w:ascii="Arial" w:hAnsi="Arial" w:eastAsia="Arial" w:cs="Arial"/>
                <w:snapToGrid w:val="0"/>
                <w:color w:val="000000"/>
                <w:kern w:val="0"/>
                <w:sz w:val="21"/>
                <w:szCs w:val="21"/>
                <w:lang w:val="en-US" w:eastAsia="en-US" w:bidi="ar-SA"/>
              </w:rPr>
            </w:pPr>
          </w:p>
          <w:p w14:paraId="75BD2361">
            <w:pPr>
              <w:widowControl/>
              <w:kinsoku w:val="0"/>
              <w:autoSpaceDE w:val="0"/>
              <w:autoSpaceDN w:val="0"/>
              <w:adjustRightInd w:val="0"/>
              <w:snapToGrid w:val="0"/>
              <w:spacing w:before="59" w:line="220" w:lineRule="auto"/>
              <w:ind w:left="1724"/>
              <w:jc w:val="left"/>
              <w:textAlignment w:val="baseline"/>
              <w:rPr>
                <w:rFonts w:ascii="宋体" w:hAnsi="宋体" w:eastAsia="宋体" w:cs="宋体"/>
                <w:snapToGrid w:val="0"/>
                <w:color w:val="000000"/>
                <w:kern w:val="0"/>
                <w:sz w:val="18"/>
                <w:szCs w:val="18"/>
                <w:lang w:eastAsia="en-US"/>
              </w:rPr>
            </w:pPr>
            <w:r>
              <w:rPr>
                <w:rFonts w:ascii="宋体" w:hAnsi="宋体" w:eastAsia="宋体" w:cs="宋体"/>
                <w:snapToGrid w:val="0"/>
                <w:color w:val="000000"/>
                <w:spacing w:val="-3"/>
                <w:kern w:val="0"/>
                <w:sz w:val="18"/>
                <w:szCs w:val="18"/>
                <w:lang w:eastAsia="en-US"/>
              </w:rPr>
              <w:t>意见内容</w:t>
            </w:r>
          </w:p>
        </w:tc>
        <w:tc>
          <w:tcPr>
            <w:tcW w:w="2794" w:type="dxa"/>
            <w:vAlign w:val="top"/>
          </w:tcPr>
          <w:p w14:paraId="11BC372E">
            <w:pPr>
              <w:kinsoku w:val="0"/>
              <w:autoSpaceDE w:val="0"/>
              <w:autoSpaceDN w:val="0"/>
              <w:adjustRightInd w:val="0"/>
              <w:snapToGrid w:val="0"/>
              <w:spacing w:line="383" w:lineRule="auto"/>
              <w:jc w:val="left"/>
              <w:textAlignment w:val="baseline"/>
              <w:rPr>
                <w:rFonts w:ascii="Arial" w:hAnsi="Arial" w:eastAsia="Arial" w:cs="Arial"/>
                <w:snapToGrid w:val="0"/>
                <w:color w:val="000000"/>
                <w:kern w:val="0"/>
                <w:sz w:val="21"/>
                <w:szCs w:val="21"/>
                <w:lang w:val="en-US" w:eastAsia="en-US" w:bidi="ar-SA"/>
              </w:rPr>
            </w:pPr>
          </w:p>
          <w:p w14:paraId="67EC9AF4">
            <w:pPr>
              <w:widowControl/>
              <w:kinsoku w:val="0"/>
              <w:autoSpaceDE w:val="0"/>
              <w:autoSpaceDN w:val="0"/>
              <w:adjustRightInd w:val="0"/>
              <w:snapToGrid w:val="0"/>
              <w:spacing w:before="59" w:line="220" w:lineRule="auto"/>
              <w:ind w:left="274"/>
              <w:jc w:val="left"/>
              <w:textAlignment w:val="baseline"/>
              <w:rPr>
                <w:rFonts w:ascii="宋体" w:hAnsi="宋体" w:eastAsia="宋体" w:cs="宋体"/>
                <w:snapToGrid w:val="0"/>
                <w:color w:val="000000"/>
                <w:kern w:val="0"/>
                <w:sz w:val="18"/>
                <w:szCs w:val="18"/>
                <w:lang w:eastAsia="en-US"/>
              </w:rPr>
            </w:pPr>
            <w:r>
              <w:rPr>
                <w:rFonts w:ascii="宋体" w:hAnsi="宋体" w:eastAsia="宋体" w:cs="宋体"/>
                <w:snapToGrid w:val="0"/>
                <w:color w:val="000000"/>
                <w:spacing w:val="-2"/>
                <w:kern w:val="0"/>
                <w:sz w:val="18"/>
                <w:szCs w:val="18"/>
                <w:lang w:eastAsia="en-US"/>
              </w:rPr>
              <w:t>提出单位（或个人）</w:t>
            </w:r>
          </w:p>
        </w:tc>
        <w:tc>
          <w:tcPr>
            <w:tcW w:w="1573" w:type="dxa"/>
            <w:vAlign w:val="top"/>
          </w:tcPr>
          <w:p w14:paraId="1F2220C2">
            <w:pPr>
              <w:widowControl/>
              <w:kinsoku w:val="0"/>
              <w:autoSpaceDE w:val="0"/>
              <w:autoSpaceDN w:val="0"/>
              <w:adjustRightInd w:val="0"/>
              <w:snapToGrid w:val="0"/>
              <w:spacing w:before="288" w:line="220" w:lineRule="auto"/>
              <w:ind w:left="537"/>
              <w:jc w:val="left"/>
              <w:textAlignment w:val="baseline"/>
              <w:rPr>
                <w:rFonts w:ascii="宋体" w:hAnsi="宋体" w:eastAsia="宋体" w:cs="宋体"/>
                <w:snapToGrid w:val="0"/>
                <w:color w:val="000000"/>
                <w:kern w:val="0"/>
                <w:sz w:val="18"/>
                <w:szCs w:val="18"/>
                <w:lang w:eastAsia="en-US"/>
              </w:rPr>
            </w:pPr>
            <w:r>
              <w:rPr>
                <w:rFonts w:ascii="宋体" w:hAnsi="宋体" w:eastAsia="宋体" w:cs="宋体"/>
                <w:snapToGrid w:val="0"/>
                <w:color w:val="000000"/>
                <w:spacing w:val="-2"/>
                <w:kern w:val="0"/>
                <w:sz w:val="18"/>
                <w:szCs w:val="18"/>
                <w:lang w:eastAsia="en-US"/>
              </w:rPr>
              <w:t>处理意见</w:t>
            </w:r>
          </w:p>
          <w:p w14:paraId="008981B8">
            <w:pPr>
              <w:widowControl/>
              <w:kinsoku w:val="0"/>
              <w:autoSpaceDE w:val="0"/>
              <w:autoSpaceDN w:val="0"/>
              <w:adjustRightInd w:val="0"/>
              <w:snapToGrid w:val="0"/>
              <w:spacing w:before="98" w:line="233" w:lineRule="auto"/>
              <w:ind w:left="233"/>
              <w:jc w:val="left"/>
              <w:textAlignment w:val="baseline"/>
              <w:rPr>
                <w:rFonts w:ascii="宋体" w:hAnsi="宋体" w:eastAsia="宋体" w:cs="宋体"/>
                <w:snapToGrid w:val="0"/>
                <w:color w:val="000000"/>
                <w:kern w:val="0"/>
                <w:sz w:val="18"/>
                <w:szCs w:val="18"/>
                <w:lang w:eastAsia="en-US"/>
              </w:rPr>
            </w:pPr>
            <w:r>
              <w:rPr>
                <w:rFonts w:ascii="宋体" w:hAnsi="宋体" w:eastAsia="宋体" w:cs="宋体"/>
                <w:snapToGrid w:val="0"/>
                <w:color w:val="000000"/>
                <w:spacing w:val="-3"/>
                <w:kern w:val="0"/>
                <w:sz w:val="18"/>
                <w:szCs w:val="18"/>
                <w:lang w:eastAsia="en-US"/>
              </w:rPr>
              <w:t>（采纳</w:t>
            </w:r>
            <w:r>
              <w:rPr>
                <w:rFonts w:ascii="Calibri" w:hAnsi="Calibri" w:eastAsia="Calibri" w:cs="Calibri"/>
                <w:snapToGrid w:val="0"/>
                <w:color w:val="000000"/>
                <w:spacing w:val="-3"/>
                <w:kern w:val="0"/>
                <w:sz w:val="18"/>
                <w:szCs w:val="18"/>
                <w:lang w:eastAsia="en-US"/>
              </w:rPr>
              <w:t>/</w:t>
            </w:r>
            <w:r>
              <w:rPr>
                <w:rFonts w:ascii="宋体" w:hAnsi="宋体" w:eastAsia="宋体" w:cs="宋体"/>
                <w:snapToGrid w:val="0"/>
                <w:color w:val="000000"/>
                <w:spacing w:val="-3"/>
                <w:kern w:val="0"/>
                <w:sz w:val="18"/>
                <w:szCs w:val="18"/>
                <w:lang w:eastAsia="en-US"/>
              </w:rPr>
              <w:t>不采纳）</w:t>
            </w:r>
          </w:p>
        </w:tc>
        <w:tc>
          <w:tcPr>
            <w:tcW w:w="3201" w:type="dxa"/>
            <w:vAlign w:val="top"/>
          </w:tcPr>
          <w:p w14:paraId="61AD6465">
            <w:pPr>
              <w:widowControl/>
              <w:kinsoku w:val="0"/>
              <w:autoSpaceDE w:val="0"/>
              <w:autoSpaceDN w:val="0"/>
              <w:adjustRightInd w:val="0"/>
              <w:snapToGrid w:val="0"/>
              <w:spacing w:before="288" w:line="220" w:lineRule="auto"/>
              <w:ind w:left="1029"/>
              <w:jc w:val="left"/>
              <w:textAlignment w:val="baseline"/>
              <w:rPr>
                <w:rFonts w:ascii="宋体" w:hAnsi="宋体" w:eastAsia="宋体" w:cs="宋体"/>
                <w:snapToGrid w:val="0"/>
                <w:color w:val="000000"/>
                <w:kern w:val="0"/>
                <w:sz w:val="18"/>
                <w:szCs w:val="18"/>
                <w:lang w:eastAsia="en-US"/>
              </w:rPr>
            </w:pPr>
            <w:r>
              <w:rPr>
                <w:rFonts w:ascii="宋体" w:hAnsi="宋体" w:eastAsia="宋体" w:cs="宋体"/>
                <w:snapToGrid w:val="0"/>
                <w:color w:val="000000"/>
                <w:spacing w:val="-2"/>
                <w:kern w:val="0"/>
                <w:sz w:val="18"/>
                <w:szCs w:val="18"/>
                <w:lang w:eastAsia="en-US"/>
              </w:rPr>
              <w:t>意见处理说明</w:t>
            </w:r>
          </w:p>
          <w:p w14:paraId="00F49708">
            <w:pPr>
              <w:widowControl/>
              <w:kinsoku w:val="0"/>
              <w:autoSpaceDE w:val="0"/>
              <w:autoSpaceDN w:val="0"/>
              <w:adjustRightInd w:val="0"/>
              <w:snapToGrid w:val="0"/>
              <w:spacing w:before="97" w:line="219" w:lineRule="auto"/>
              <w:ind w:left="760"/>
              <w:jc w:val="left"/>
              <w:textAlignment w:val="baseline"/>
              <w:rPr>
                <w:rFonts w:ascii="宋体" w:hAnsi="宋体" w:eastAsia="宋体" w:cs="宋体"/>
                <w:snapToGrid w:val="0"/>
                <w:color w:val="000000"/>
                <w:kern w:val="0"/>
                <w:sz w:val="18"/>
                <w:szCs w:val="18"/>
                <w:lang w:eastAsia="en-US"/>
              </w:rPr>
            </w:pPr>
            <w:r>
              <w:rPr>
                <w:rFonts w:ascii="宋体" w:hAnsi="宋体" w:eastAsia="宋体" w:cs="宋体"/>
                <w:snapToGrid w:val="0"/>
                <w:color w:val="000000"/>
                <w:spacing w:val="-3"/>
                <w:kern w:val="0"/>
                <w:sz w:val="18"/>
                <w:szCs w:val="18"/>
                <w:lang w:eastAsia="en-US"/>
              </w:rPr>
              <w:t>（不采纳的理由等）</w:t>
            </w:r>
          </w:p>
        </w:tc>
      </w:tr>
      <w:tr w14:paraId="5319FB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431CCA01">
            <w:pPr>
              <w:widowControl/>
              <w:kinsoku w:val="0"/>
              <w:autoSpaceDE w:val="0"/>
              <w:autoSpaceDN w:val="0"/>
              <w:adjustRightInd w:val="0"/>
              <w:snapToGrid w:val="0"/>
              <w:spacing w:before="208" w:line="179" w:lineRule="auto"/>
              <w:ind w:left="524"/>
              <w:jc w:val="left"/>
              <w:textAlignment w:val="baseline"/>
              <w:rPr>
                <w:rFonts w:ascii="Calibri" w:hAnsi="Calibri" w:eastAsia="Calibri" w:cs="Calibri"/>
                <w:snapToGrid w:val="0"/>
                <w:color w:val="000000"/>
                <w:kern w:val="0"/>
                <w:sz w:val="21"/>
                <w:szCs w:val="21"/>
                <w:lang w:eastAsia="en-US"/>
              </w:rPr>
            </w:pPr>
            <w:r>
              <w:rPr>
                <w:rFonts w:ascii="Calibri" w:hAnsi="Calibri" w:eastAsia="Calibri" w:cs="Calibri"/>
                <w:snapToGrid w:val="0"/>
                <w:color w:val="000000"/>
                <w:kern w:val="0"/>
                <w:sz w:val="21"/>
                <w:szCs w:val="21"/>
                <w:lang w:eastAsia="en-US"/>
              </w:rPr>
              <w:t>1</w:t>
            </w:r>
          </w:p>
        </w:tc>
        <w:tc>
          <w:tcPr>
            <w:tcW w:w="1516" w:type="dxa"/>
            <w:vAlign w:val="top"/>
          </w:tcPr>
          <w:p w14:paraId="7D6F44E9">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6.2.1</w:t>
            </w:r>
          </w:p>
        </w:tc>
        <w:tc>
          <w:tcPr>
            <w:tcW w:w="3740" w:type="dxa"/>
            <w:vAlign w:val="center"/>
          </w:tcPr>
          <w:p w14:paraId="0DE3418F">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z w:val="18"/>
                <w:szCs w:val="18"/>
                <w:lang w:val="en-US" w:eastAsia="zh-CN"/>
              </w:rPr>
              <w:t>全膜双垄沟播，建议参考DB 14/T 812—2013；</w:t>
            </w:r>
          </w:p>
        </w:tc>
        <w:tc>
          <w:tcPr>
            <w:tcW w:w="2794" w:type="dxa"/>
            <w:vAlign w:val="center"/>
          </w:tcPr>
          <w:p w14:paraId="7B8269B7">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zh-CN"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山西农业大学园艺学院（李磊）</w:t>
            </w:r>
          </w:p>
        </w:tc>
        <w:tc>
          <w:tcPr>
            <w:tcW w:w="1573" w:type="dxa"/>
            <w:vAlign w:val="center"/>
          </w:tcPr>
          <w:p w14:paraId="377396FF">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26C1AD0A">
            <w:pPr>
              <w:numPr>
                <w:ilvl w:val="0"/>
                <w:numId w:val="0"/>
              </w:numPr>
              <w:jc w:val="both"/>
              <w:rPr>
                <w:rFonts w:hint="default"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val="en-US" w:eastAsia="zh-CN"/>
              </w:rPr>
              <w:t>DB 14/T 812—2013描述更准确</w:t>
            </w:r>
          </w:p>
        </w:tc>
      </w:tr>
      <w:tr w14:paraId="19554D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54CE2174">
            <w:pPr>
              <w:widowControl/>
              <w:kinsoku w:val="0"/>
              <w:autoSpaceDE w:val="0"/>
              <w:autoSpaceDN w:val="0"/>
              <w:adjustRightInd w:val="0"/>
              <w:snapToGrid w:val="0"/>
              <w:spacing w:before="208" w:line="180" w:lineRule="auto"/>
              <w:ind w:left="518"/>
              <w:jc w:val="left"/>
              <w:textAlignment w:val="baseline"/>
              <w:rPr>
                <w:rFonts w:ascii="Calibri" w:hAnsi="Calibri" w:eastAsia="Calibri" w:cs="Calibri"/>
                <w:snapToGrid w:val="0"/>
                <w:color w:val="000000"/>
                <w:kern w:val="0"/>
                <w:sz w:val="21"/>
                <w:szCs w:val="21"/>
                <w:lang w:eastAsia="en-US"/>
              </w:rPr>
            </w:pPr>
            <w:r>
              <w:rPr>
                <w:rFonts w:ascii="Calibri" w:hAnsi="Calibri" w:eastAsia="Calibri" w:cs="Calibri"/>
                <w:snapToGrid w:val="0"/>
                <w:color w:val="000000"/>
                <w:kern w:val="0"/>
                <w:sz w:val="21"/>
                <w:szCs w:val="21"/>
                <w:lang w:eastAsia="en-US"/>
              </w:rPr>
              <w:t>2</w:t>
            </w:r>
          </w:p>
        </w:tc>
        <w:tc>
          <w:tcPr>
            <w:tcW w:w="1516" w:type="dxa"/>
            <w:vAlign w:val="top"/>
          </w:tcPr>
          <w:p w14:paraId="06E5416F">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7.2.1</w:t>
            </w:r>
          </w:p>
        </w:tc>
        <w:tc>
          <w:tcPr>
            <w:tcW w:w="3740" w:type="dxa"/>
            <w:vAlign w:val="center"/>
          </w:tcPr>
          <w:p w14:paraId="5D4965BE">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z w:val="18"/>
                <w:szCs w:val="18"/>
                <w:lang w:val="en-US" w:eastAsia="zh-CN"/>
              </w:rPr>
              <w:t>全膜双垄沟播，建议将“破膜穴播在垄侧”和“膜侧种植”改为“破膜穴播在垄沟”和“垄沟种植”。</w:t>
            </w:r>
          </w:p>
        </w:tc>
        <w:tc>
          <w:tcPr>
            <w:tcW w:w="2794" w:type="dxa"/>
            <w:vAlign w:val="center"/>
          </w:tcPr>
          <w:p w14:paraId="26D66F09">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山西农业大学园艺学院（李磊）</w:t>
            </w:r>
          </w:p>
        </w:tc>
        <w:tc>
          <w:tcPr>
            <w:tcW w:w="1573" w:type="dxa"/>
            <w:vAlign w:val="center"/>
          </w:tcPr>
          <w:p w14:paraId="5B2E1C65">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2D8CF20F">
            <w:pPr>
              <w:numPr>
                <w:ilvl w:val="0"/>
                <w:numId w:val="0"/>
              </w:numPr>
              <w:jc w:val="both"/>
              <w:rPr>
                <w:rFonts w:hint="default" w:asciiTheme="minorEastAsia" w:hAnsiTheme="minorEastAsia" w:eastAsiaTheme="minorEastAsia" w:cstheme="minorEastAsia"/>
                <w:b w:val="0"/>
                <w:bCs w:val="0"/>
                <w:sz w:val="18"/>
                <w:szCs w:val="18"/>
                <w:lang w:val="en-US" w:eastAsia="zh-CN"/>
              </w:rPr>
            </w:pPr>
            <w:r>
              <w:rPr>
                <w:rFonts w:hint="eastAsia" w:asciiTheme="minorEastAsia" w:hAnsiTheme="minorEastAsia" w:eastAsiaTheme="minorEastAsia" w:cstheme="minorEastAsia"/>
                <w:b w:val="0"/>
                <w:bCs w:val="0"/>
                <w:sz w:val="18"/>
                <w:szCs w:val="18"/>
                <w:lang w:val="en-US" w:eastAsia="zh-CN"/>
              </w:rPr>
              <w:t>专家意见进一步明确了“膜侧种植”与“垄沟种植”方式</w:t>
            </w:r>
          </w:p>
        </w:tc>
      </w:tr>
      <w:tr w14:paraId="68B073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4" w:hRule="atLeast"/>
        </w:trPr>
        <w:tc>
          <w:tcPr>
            <w:tcW w:w="1114" w:type="dxa"/>
            <w:vAlign w:val="top"/>
          </w:tcPr>
          <w:p w14:paraId="7B43C1D1">
            <w:pPr>
              <w:widowControl/>
              <w:kinsoku w:val="0"/>
              <w:autoSpaceDE w:val="0"/>
              <w:autoSpaceDN w:val="0"/>
              <w:adjustRightInd w:val="0"/>
              <w:snapToGrid w:val="0"/>
              <w:spacing w:before="209" w:line="179" w:lineRule="auto"/>
              <w:ind w:left="516"/>
              <w:jc w:val="left"/>
              <w:textAlignment w:val="baseline"/>
              <w:rPr>
                <w:rFonts w:ascii="Calibri" w:hAnsi="Calibri" w:eastAsia="Calibri" w:cs="Calibri"/>
                <w:snapToGrid w:val="0"/>
                <w:color w:val="000000"/>
                <w:kern w:val="0"/>
                <w:sz w:val="21"/>
                <w:szCs w:val="21"/>
                <w:lang w:eastAsia="en-US"/>
              </w:rPr>
            </w:pPr>
            <w:r>
              <w:rPr>
                <w:rFonts w:ascii="Calibri" w:hAnsi="Calibri" w:eastAsia="Calibri" w:cs="Calibri"/>
                <w:snapToGrid w:val="0"/>
                <w:color w:val="000000"/>
                <w:kern w:val="0"/>
                <w:sz w:val="21"/>
                <w:szCs w:val="21"/>
                <w:lang w:eastAsia="en-US"/>
              </w:rPr>
              <w:t>3</w:t>
            </w:r>
          </w:p>
        </w:tc>
        <w:tc>
          <w:tcPr>
            <w:tcW w:w="1516" w:type="dxa"/>
            <w:vAlign w:val="top"/>
          </w:tcPr>
          <w:p w14:paraId="6C8BE87F">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8.1</w:t>
            </w:r>
          </w:p>
        </w:tc>
        <w:tc>
          <w:tcPr>
            <w:tcW w:w="3740" w:type="dxa"/>
            <w:vAlign w:val="center"/>
          </w:tcPr>
          <w:p w14:paraId="72F2CDB1">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z w:val="18"/>
                <w:szCs w:val="18"/>
                <w:lang w:val="en-US" w:eastAsia="zh-CN"/>
              </w:rPr>
              <w:t>土壤改良剂的施用，其中“以腐殖酸、含硫化合物和微量元素为主的土壤改良剂”的土壤改良剂产品不明确，建议删除。</w:t>
            </w:r>
          </w:p>
        </w:tc>
        <w:tc>
          <w:tcPr>
            <w:tcW w:w="2794" w:type="dxa"/>
            <w:vAlign w:val="center"/>
          </w:tcPr>
          <w:p w14:paraId="77F87D94">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山西农业大学园艺学院（李磊）</w:t>
            </w:r>
          </w:p>
        </w:tc>
        <w:tc>
          <w:tcPr>
            <w:tcW w:w="1573" w:type="dxa"/>
            <w:vAlign w:val="center"/>
          </w:tcPr>
          <w:p w14:paraId="4CB8D674">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val="en-US" w:eastAsia="zh-CN"/>
              </w:rPr>
              <w:t>不</w:t>
            </w: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6C61DA5A">
            <w:pPr>
              <w:numPr>
                <w:ilvl w:val="0"/>
                <w:numId w:val="0"/>
              </w:numPr>
              <w:jc w:val="both"/>
              <w:rPr>
                <w:rFonts w:hint="default" w:asciiTheme="minorEastAsia" w:hAnsiTheme="minorEastAsia" w:eastAsiaTheme="minorEastAsia" w:cstheme="minorEastAsia"/>
                <w:b w:val="0"/>
                <w:bCs w:val="0"/>
                <w:sz w:val="18"/>
                <w:szCs w:val="18"/>
                <w:lang w:val="en-US" w:eastAsia="zh-CN"/>
              </w:rPr>
            </w:pPr>
            <w:r>
              <w:rPr>
                <w:rFonts w:hint="eastAsia" w:asciiTheme="minorEastAsia" w:hAnsiTheme="minorEastAsia" w:eastAsiaTheme="minorEastAsia" w:cstheme="minorEastAsia"/>
                <w:b w:val="0"/>
                <w:bCs w:val="0"/>
                <w:sz w:val="18"/>
                <w:szCs w:val="18"/>
                <w:lang w:val="en-US" w:eastAsia="zh-CN"/>
              </w:rPr>
              <w:t>一般情况下，标准不标明具体产品名。</w:t>
            </w:r>
          </w:p>
        </w:tc>
      </w:tr>
      <w:tr w14:paraId="540366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07835A06">
            <w:pPr>
              <w:kinsoku w:val="0"/>
              <w:autoSpaceDE w:val="0"/>
              <w:autoSpaceDN w:val="0"/>
              <w:adjustRightInd w:val="0"/>
              <w:snapToGrid w:val="0"/>
              <w:spacing w:line="259" w:lineRule="auto"/>
              <w:jc w:val="left"/>
              <w:textAlignment w:val="baseline"/>
              <w:rPr>
                <w:rFonts w:ascii="Arial" w:hAnsi="Arial" w:eastAsia="Arial" w:cs="Arial"/>
                <w:snapToGrid w:val="0"/>
                <w:color w:val="000000"/>
                <w:kern w:val="0"/>
                <w:sz w:val="21"/>
                <w:szCs w:val="21"/>
                <w:lang w:val="en-US" w:eastAsia="en-US" w:bidi="ar-SA"/>
              </w:rPr>
            </w:pPr>
          </w:p>
          <w:p w14:paraId="235252AD">
            <w:pPr>
              <w:widowControl/>
              <w:kinsoku w:val="0"/>
              <w:autoSpaceDE w:val="0"/>
              <w:autoSpaceDN w:val="0"/>
              <w:adjustRightInd w:val="0"/>
              <w:snapToGrid w:val="0"/>
              <w:spacing w:before="64" w:line="79" w:lineRule="exact"/>
              <w:ind w:left="495"/>
              <w:jc w:val="left"/>
              <w:textAlignment w:val="baseline"/>
              <w:rPr>
                <w:rFonts w:hint="eastAsia" w:ascii="Calibri" w:hAnsi="Calibri" w:eastAsia="宋体" w:cs="Calibri"/>
                <w:snapToGrid w:val="0"/>
                <w:color w:val="000000"/>
                <w:kern w:val="0"/>
                <w:sz w:val="21"/>
                <w:szCs w:val="21"/>
                <w:lang w:eastAsia="zh-CN"/>
              </w:rPr>
            </w:pPr>
            <w:r>
              <w:rPr>
                <w:rFonts w:hint="eastAsia" w:ascii="Calibri" w:hAnsi="Calibri" w:eastAsia="宋体" w:cs="Calibri"/>
                <w:snapToGrid w:val="0"/>
                <w:color w:val="000000"/>
                <w:spacing w:val="-4"/>
                <w:kern w:val="0"/>
                <w:position w:val="-1"/>
                <w:sz w:val="21"/>
                <w:szCs w:val="21"/>
                <w:lang w:val="en-US" w:eastAsia="zh-CN"/>
              </w:rPr>
              <w:t>4</w:t>
            </w:r>
          </w:p>
        </w:tc>
        <w:tc>
          <w:tcPr>
            <w:tcW w:w="1516" w:type="dxa"/>
            <w:vAlign w:val="top"/>
          </w:tcPr>
          <w:p w14:paraId="0E706EA2">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8.2.1</w:t>
            </w:r>
          </w:p>
        </w:tc>
        <w:tc>
          <w:tcPr>
            <w:tcW w:w="3740" w:type="dxa"/>
            <w:vAlign w:val="center"/>
          </w:tcPr>
          <w:p w14:paraId="0B784800">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z w:val="18"/>
                <w:szCs w:val="18"/>
                <w:lang w:val="en-US" w:eastAsia="zh-CN"/>
              </w:rPr>
              <w:t>有机肥施用方法中，建议将“或春季整地”删除。</w:t>
            </w:r>
          </w:p>
        </w:tc>
        <w:tc>
          <w:tcPr>
            <w:tcW w:w="2794" w:type="dxa"/>
            <w:vAlign w:val="center"/>
          </w:tcPr>
          <w:p w14:paraId="195C2AD5">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山西农业大学园艺学院（李磊）</w:t>
            </w:r>
          </w:p>
        </w:tc>
        <w:tc>
          <w:tcPr>
            <w:tcW w:w="1573" w:type="dxa"/>
            <w:vAlign w:val="center"/>
          </w:tcPr>
          <w:p w14:paraId="6EEC0906">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308B7092">
            <w:pPr>
              <w:numPr>
                <w:ilvl w:val="0"/>
                <w:numId w:val="0"/>
              </w:numPr>
              <w:jc w:val="both"/>
              <w:rPr>
                <w:rFonts w:hint="default" w:asciiTheme="minorEastAsia" w:hAnsiTheme="minorEastAsia" w:eastAsiaTheme="minorEastAsia" w:cstheme="minorEastAsia"/>
                <w:b w:val="0"/>
                <w:bCs w:val="0"/>
                <w:sz w:val="18"/>
                <w:szCs w:val="18"/>
                <w:lang w:val="en-US" w:eastAsia="zh-CN"/>
              </w:rPr>
            </w:pPr>
            <w:r>
              <w:rPr>
                <w:rFonts w:hint="eastAsia" w:asciiTheme="minorEastAsia" w:hAnsiTheme="minorEastAsia" w:eastAsiaTheme="minorEastAsia" w:cstheme="minorEastAsia"/>
                <w:b w:val="0"/>
                <w:bCs w:val="0"/>
                <w:sz w:val="18"/>
                <w:szCs w:val="18"/>
                <w:lang w:val="en-US" w:eastAsia="zh-CN"/>
              </w:rPr>
              <w:t>结合目前生产实际和科研技术，有机肥的施用方法主要以秋施肥为主。</w:t>
            </w:r>
          </w:p>
        </w:tc>
      </w:tr>
      <w:tr w14:paraId="0D551C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103C23DA">
            <w:pPr>
              <w:widowControl/>
              <w:kinsoku w:val="0"/>
              <w:autoSpaceDE w:val="0"/>
              <w:autoSpaceDN w:val="0"/>
              <w:adjustRightInd w:val="0"/>
              <w:snapToGrid w:val="0"/>
              <w:spacing w:before="208" w:line="179" w:lineRule="auto"/>
              <w:ind w:left="524"/>
              <w:jc w:val="left"/>
              <w:textAlignment w:val="baseline"/>
              <w:rPr>
                <w:rFonts w:hint="eastAsia" w:ascii="Arial" w:hAnsi="Arial" w:eastAsia="宋体" w:cs="Arial"/>
                <w:snapToGrid w:val="0"/>
                <w:color w:val="000000"/>
                <w:kern w:val="0"/>
                <w:sz w:val="21"/>
                <w:szCs w:val="21"/>
                <w:lang w:val="en-US" w:eastAsia="zh-CN" w:bidi="ar-SA"/>
              </w:rPr>
            </w:pPr>
            <w:r>
              <w:rPr>
                <w:rFonts w:hint="eastAsia" w:eastAsia="宋体" w:cs="Arial"/>
                <w:snapToGrid w:val="0"/>
                <w:color w:val="000000"/>
                <w:kern w:val="0"/>
                <w:sz w:val="21"/>
                <w:szCs w:val="21"/>
                <w:lang w:val="en-US" w:eastAsia="zh-CN" w:bidi="ar-SA"/>
              </w:rPr>
              <w:t>5</w:t>
            </w:r>
          </w:p>
        </w:tc>
        <w:tc>
          <w:tcPr>
            <w:tcW w:w="1516" w:type="dxa"/>
            <w:vAlign w:val="top"/>
          </w:tcPr>
          <w:p w14:paraId="74F1A51D">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zh-CN"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3.1</w:t>
            </w:r>
          </w:p>
        </w:tc>
        <w:tc>
          <w:tcPr>
            <w:tcW w:w="3740" w:type="dxa"/>
            <w:vAlign w:val="center"/>
          </w:tcPr>
          <w:p w14:paraId="0BC57A8F">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z w:val="18"/>
                <w:szCs w:val="18"/>
              </w:rPr>
              <w:t>盐碱地定义中，轻度盐化途与轻度碱化土的指标有重合的地方，二者是否能完全分开？</w:t>
            </w:r>
          </w:p>
        </w:tc>
        <w:tc>
          <w:tcPr>
            <w:tcW w:w="2794" w:type="dxa"/>
            <w:vAlign w:val="center"/>
          </w:tcPr>
          <w:p w14:paraId="37A94D45">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zh-CN"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山西省农业科学院植物保护研究所（赵晓军）</w:t>
            </w:r>
          </w:p>
        </w:tc>
        <w:tc>
          <w:tcPr>
            <w:tcW w:w="1573" w:type="dxa"/>
            <w:vAlign w:val="center"/>
          </w:tcPr>
          <w:p w14:paraId="07456FBE">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1F7E5B49">
            <w:pPr>
              <w:numPr>
                <w:ilvl w:val="0"/>
                <w:numId w:val="0"/>
              </w:numPr>
              <w:jc w:val="both"/>
              <w:rPr>
                <w:rFonts w:hint="default" w:asciiTheme="minorEastAsia" w:hAnsiTheme="minorEastAsia" w:eastAsiaTheme="minorEastAsia" w:cstheme="minorEastAsia"/>
                <w:b w:val="0"/>
                <w:bCs w:val="0"/>
                <w:sz w:val="18"/>
                <w:szCs w:val="18"/>
                <w:lang w:val="en-US" w:eastAsia="zh-CN"/>
              </w:rPr>
            </w:pPr>
            <w:r>
              <w:rPr>
                <w:rFonts w:hint="eastAsia" w:asciiTheme="minorEastAsia" w:hAnsiTheme="minorEastAsia" w:eastAsiaTheme="minorEastAsia" w:cstheme="minorEastAsia"/>
                <w:b w:val="0"/>
                <w:bCs w:val="0"/>
                <w:sz w:val="18"/>
                <w:szCs w:val="18"/>
                <w:lang w:val="en-US" w:eastAsia="zh-CN"/>
              </w:rPr>
              <w:t>原标准中两种盐碱程度的定义对ESP的描述不准确，其他专家也有明确修改意见。</w:t>
            </w:r>
          </w:p>
        </w:tc>
      </w:tr>
      <w:tr w14:paraId="2FFF5F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700E0DC4">
            <w:pPr>
              <w:widowControl/>
              <w:kinsoku w:val="0"/>
              <w:autoSpaceDE w:val="0"/>
              <w:autoSpaceDN w:val="0"/>
              <w:adjustRightInd w:val="0"/>
              <w:snapToGrid w:val="0"/>
              <w:spacing w:before="208" w:line="179" w:lineRule="auto"/>
              <w:ind w:left="524"/>
              <w:jc w:val="left"/>
              <w:textAlignment w:val="baseline"/>
              <w:rPr>
                <w:rFonts w:hint="eastAsia" w:ascii="Arial" w:hAnsi="Arial" w:eastAsia="宋体" w:cs="Arial"/>
                <w:snapToGrid w:val="0"/>
                <w:color w:val="000000"/>
                <w:kern w:val="0"/>
                <w:sz w:val="21"/>
                <w:szCs w:val="21"/>
                <w:lang w:val="en-US" w:eastAsia="zh-CN" w:bidi="ar-SA"/>
              </w:rPr>
            </w:pPr>
            <w:r>
              <w:rPr>
                <w:rFonts w:hint="eastAsia" w:eastAsia="宋体" w:cs="Arial"/>
                <w:snapToGrid w:val="0"/>
                <w:color w:val="000000"/>
                <w:kern w:val="0"/>
                <w:sz w:val="21"/>
                <w:szCs w:val="21"/>
                <w:lang w:val="en-US" w:eastAsia="zh-CN" w:bidi="ar-SA"/>
              </w:rPr>
              <w:t>6</w:t>
            </w:r>
          </w:p>
        </w:tc>
        <w:tc>
          <w:tcPr>
            <w:tcW w:w="1516" w:type="dxa"/>
            <w:vAlign w:val="top"/>
          </w:tcPr>
          <w:p w14:paraId="4982B468">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en-US" w:bidi="ar-SA"/>
              </w:rPr>
              <w:t>6.2.1</w:t>
            </w:r>
          </w:p>
        </w:tc>
        <w:tc>
          <w:tcPr>
            <w:tcW w:w="3740" w:type="dxa"/>
            <w:vAlign w:val="center"/>
          </w:tcPr>
          <w:p w14:paraId="3275AACF">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z w:val="18"/>
                <w:szCs w:val="18"/>
              </w:rPr>
              <w:t>全膜双垄沟播部分补充地膜宽度，地膜颜色等具体信息</w:t>
            </w:r>
          </w:p>
        </w:tc>
        <w:tc>
          <w:tcPr>
            <w:tcW w:w="2794" w:type="dxa"/>
            <w:vAlign w:val="center"/>
          </w:tcPr>
          <w:p w14:paraId="29FEC8FC">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山西省农业科学院植物保护研究所（赵晓军）</w:t>
            </w:r>
          </w:p>
        </w:tc>
        <w:tc>
          <w:tcPr>
            <w:tcW w:w="1573" w:type="dxa"/>
            <w:vAlign w:val="center"/>
          </w:tcPr>
          <w:p w14:paraId="1C0301CC">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val="en-US" w:eastAsia="zh-CN"/>
              </w:rPr>
              <w:t>部分</w:t>
            </w: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22ECFEE3">
            <w:pPr>
              <w:numPr>
                <w:ilvl w:val="0"/>
                <w:numId w:val="0"/>
              </w:numPr>
              <w:jc w:val="both"/>
              <w:rPr>
                <w:rFonts w:hint="default" w:asciiTheme="minorEastAsia" w:hAnsiTheme="minorEastAsia" w:eastAsiaTheme="minorEastAsia" w:cstheme="minorEastAsia"/>
                <w:b w:val="0"/>
                <w:bCs w:val="0"/>
                <w:sz w:val="18"/>
                <w:szCs w:val="18"/>
                <w:lang w:val="en-US" w:eastAsia="zh-CN"/>
              </w:rPr>
            </w:pPr>
            <w:r>
              <w:rPr>
                <w:rFonts w:hint="eastAsia" w:asciiTheme="minorEastAsia" w:hAnsiTheme="minorEastAsia" w:eastAsiaTheme="minorEastAsia" w:cstheme="minorEastAsia"/>
                <w:b w:val="0"/>
                <w:bCs w:val="0"/>
                <w:sz w:val="18"/>
                <w:szCs w:val="18"/>
                <w:lang w:val="en-US" w:eastAsia="zh-CN"/>
              </w:rPr>
              <w:t>“地膜颜色”有的专家建议删除。</w:t>
            </w:r>
          </w:p>
        </w:tc>
      </w:tr>
      <w:tr w14:paraId="30C855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2F240CA8">
            <w:pPr>
              <w:kinsoku w:val="0"/>
              <w:autoSpaceDE w:val="0"/>
              <w:autoSpaceDN w:val="0"/>
              <w:adjustRightInd w:val="0"/>
              <w:snapToGrid w:val="0"/>
              <w:spacing w:line="240" w:lineRule="auto"/>
              <w:jc w:val="left"/>
              <w:textAlignment w:val="baseline"/>
              <w:rPr>
                <w:rFonts w:ascii="Arial" w:hAnsi="Arial" w:eastAsia="Arial" w:cs="Arial"/>
                <w:snapToGrid w:val="0"/>
                <w:color w:val="000000"/>
                <w:kern w:val="0"/>
                <w:sz w:val="21"/>
                <w:szCs w:val="21"/>
                <w:lang w:val="en-US" w:eastAsia="en-US" w:bidi="ar-SA"/>
              </w:rPr>
            </w:pPr>
          </w:p>
          <w:p w14:paraId="7060A30F">
            <w:pPr>
              <w:widowControl/>
              <w:kinsoku w:val="0"/>
              <w:autoSpaceDE w:val="0"/>
              <w:autoSpaceDN w:val="0"/>
              <w:adjustRightInd w:val="0"/>
              <w:snapToGrid w:val="0"/>
              <w:spacing w:before="208" w:line="179" w:lineRule="auto"/>
              <w:ind w:left="524"/>
              <w:jc w:val="left"/>
              <w:textAlignment w:val="baseline"/>
              <w:rPr>
                <w:rFonts w:hint="eastAsia" w:ascii="Arial" w:hAnsi="Arial" w:eastAsia="宋体" w:cs="Arial"/>
                <w:snapToGrid w:val="0"/>
                <w:color w:val="000000"/>
                <w:kern w:val="0"/>
                <w:sz w:val="21"/>
                <w:szCs w:val="21"/>
                <w:lang w:val="en-US" w:eastAsia="zh-CN" w:bidi="ar-SA"/>
              </w:rPr>
            </w:pPr>
            <w:r>
              <w:rPr>
                <w:rFonts w:hint="eastAsia" w:eastAsia="宋体" w:cs="Arial"/>
                <w:snapToGrid w:val="0"/>
                <w:color w:val="000000"/>
                <w:kern w:val="0"/>
                <w:sz w:val="21"/>
                <w:szCs w:val="21"/>
                <w:lang w:val="en-US" w:eastAsia="zh-CN" w:bidi="ar-SA"/>
              </w:rPr>
              <w:t>7</w:t>
            </w:r>
          </w:p>
        </w:tc>
        <w:tc>
          <w:tcPr>
            <w:tcW w:w="1516" w:type="dxa"/>
            <w:vAlign w:val="top"/>
          </w:tcPr>
          <w:p w14:paraId="0D24F519">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en-US" w:bidi="ar-SA"/>
              </w:rPr>
              <w:t>9.1.2</w:t>
            </w:r>
          </w:p>
        </w:tc>
        <w:tc>
          <w:tcPr>
            <w:tcW w:w="3740" w:type="dxa"/>
            <w:vAlign w:val="center"/>
          </w:tcPr>
          <w:p w14:paraId="2BF00511">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rPr>
              <w:t>化学除草部分，这部分除草剂的用量是否为裸地条件时的除草剂用量？对于全膜双垄沟播，是否可以不用除草剂？覆膜平作部分，是否只在裸露土壤部分喷施除草剂？</w:t>
            </w:r>
          </w:p>
        </w:tc>
        <w:tc>
          <w:tcPr>
            <w:tcW w:w="2794" w:type="dxa"/>
            <w:vAlign w:val="center"/>
          </w:tcPr>
          <w:p w14:paraId="58862DE3">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山西省农业科学院植物保护研究所（赵晓军）</w:t>
            </w:r>
          </w:p>
        </w:tc>
        <w:tc>
          <w:tcPr>
            <w:tcW w:w="1573" w:type="dxa"/>
            <w:vAlign w:val="center"/>
          </w:tcPr>
          <w:p w14:paraId="57A628D9">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1EFFD4CD">
            <w:pPr>
              <w:numPr>
                <w:ilvl w:val="0"/>
                <w:numId w:val="0"/>
              </w:numPr>
              <w:jc w:val="both"/>
              <w:rPr>
                <w:rFonts w:hint="default"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val="en-US" w:eastAsia="zh-CN"/>
              </w:rPr>
              <w:t>原标准未明确苗前封闭喷药位置为裸露土壤部分。</w:t>
            </w:r>
          </w:p>
        </w:tc>
      </w:tr>
      <w:tr w14:paraId="26351F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499D4196">
            <w:pPr>
              <w:widowControl/>
              <w:kinsoku w:val="0"/>
              <w:autoSpaceDE w:val="0"/>
              <w:autoSpaceDN w:val="0"/>
              <w:adjustRightInd w:val="0"/>
              <w:snapToGrid w:val="0"/>
              <w:spacing w:before="208" w:line="179" w:lineRule="auto"/>
              <w:ind w:left="524"/>
              <w:jc w:val="left"/>
              <w:textAlignment w:val="baseline"/>
              <w:rPr>
                <w:rFonts w:hint="eastAsia" w:ascii="Arial" w:hAnsi="Arial" w:eastAsia="宋体" w:cs="Arial"/>
                <w:snapToGrid w:val="0"/>
                <w:color w:val="000000"/>
                <w:kern w:val="0"/>
                <w:sz w:val="21"/>
                <w:szCs w:val="21"/>
                <w:lang w:val="en-US" w:eastAsia="zh-CN" w:bidi="ar-SA"/>
              </w:rPr>
            </w:pPr>
            <w:r>
              <w:rPr>
                <w:rFonts w:hint="eastAsia" w:eastAsia="宋体" w:cs="Arial"/>
                <w:snapToGrid w:val="0"/>
                <w:color w:val="000000"/>
                <w:kern w:val="0"/>
                <w:sz w:val="21"/>
                <w:szCs w:val="21"/>
                <w:lang w:val="en-US" w:eastAsia="zh-CN" w:bidi="ar-SA"/>
              </w:rPr>
              <w:t>8</w:t>
            </w:r>
          </w:p>
        </w:tc>
        <w:tc>
          <w:tcPr>
            <w:tcW w:w="1516" w:type="dxa"/>
            <w:vAlign w:val="top"/>
          </w:tcPr>
          <w:p w14:paraId="2F2A7854">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rPr>
              <w:t>9.2.1</w:t>
            </w:r>
          </w:p>
        </w:tc>
        <w:tc>
          <w:tcPr>
            <w:tcW w:w="3740" w:type="dxa"/>
            <w:vAlign w:val="center"/>
          </w:tcPr>
          <w:p w14:paraId="545D10D4">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lang w:eastAsia="zh-CN"/>
              </w:rPr>
            </w:pPr>
            <w:r>
              <w:rPr>
                <w:rFonts w:hint="eastAsia" w:asciiTheme="minorEastAsia" w:hAnsiTheme="minorEastAsia" w:eastAsiaTheme="minorEastAsia" w:cstheme="minorEastAsia"/>
                <w:b w:val="0"/>
                <w:bCs w:val="0"/>
                <w:sz w:val="18"/>
                <w:szCs w:val="18"/>
              </w:rPr>
              <w:t>“每次亩灌水量”建议改为“每666.7m</w:t>
            </w:r>
            <w:r>
              <w:rPr>
                <w:rFonts w:hint="eastAsia" w:asciiTheme="minorEastAsia" w:hAnsiTheme="minorEastAsia" w:eastAsiaTheme="minorEastAsia" w:cstheme="minorEastAsia"/>
                <w:b w:val="0"/>
                <w:bCs w:val="0"/>
                <w:sz w:val="18"/>
                <w:szCs w:val="18"/>
                <w:vertAlign w:val="superscript"/>
              </w:rPr>
              <w:t>2</w:t>
            </w:r>
            <w:r>
              <w:rPr>
                <w:rFonts w:hint="eastAsia" w:asciiTheme="minorEastAsia" w:hAnsiTheme="minorEastAsia" w:eastAsiaTheme="minorEastAsia" w:cstheme="minorEastAsia"/>
                <w:b w:val="0"/>
                <w:bCs w:val="0"/>
                <w:sz w:val="18"/>
                <w:szCs w:val="18"/>
              </w:rPr>
              <w:t>”</w:t>
            </w:r>
            <w:r>
              <w:rPr>
                <w:rFonts w:hint="eastAsia" w:asciiTheme="minorEastAsia" w:hAnsiTheme="minorEastAsia" w:eastAsiaTheme="minorEastAsia" w:cstheme="minorEastAsia"/>
                <w:b w:val="0"/>
                <w:bCs w:val="0"/>
                <w:sz w:val="18"/>
                <w:szCs w:val="18"/>
                <w:lang w:eastAsia="zh-CN"/>
              </w:rPr>
              <w:t>。</w:t>
            </w:r>
          </w:p>
        </w:tc>
        <w:tc>
          <w:tcPr>
            <w:tcW w:w="2794" w:type="dxa"/>
            <w:vAlign w:val="center"/>
          </w:tcPr>
          <w:p w14:paraId="4111FE7D">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山西省农业科学院植物保护研究所（赵晓军）</w:t>
            </w:r>
          </w:p>
        </w:tc>
        <w:tc>
          <w:tcPr>
            <w:tcW w:w="1573" w:type="dxa"/>
            <w:vAlign w:val="center"/>
          </w:tcPr>
          <w:p w14:paraId="6653E27F">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3BB7ED32">
            <w:pPr>
              <w:numPr>
                <w:ilvl w:val="0"/>
                <w:numId w:val="0"/>
              </w:numPr>
              <w:jc w:val="both"/>
              <w:rPr>
                <w:rFonts w:hint="default" w:asciiTheme="minorEastAsia" w:hAnsiTheme="minorEastAsia" w:eastAsiaTheme="minorEastAsia" w:cstheme="minorEastAsia"/>
                <w:b w:val="0"/>
                <w:bCs w:val="0"/>
                <w:sz w:val="18"/>
                <w:szCs w:val="18"/>
                <w:lang w:val="en-US" w:eastAsia="zh-CN"/>
              </w:rPr>
            </w:pPr>
            <w:r>
              <w:rPr>
                <w:rFonts w:hint="eastAsia" w:asciiTheme="minorEastAsia" w:hAnsiTheme="minorEastAsia" w:eastAsiaTheme="minorEastAsia" w:cstheme="minorEastAsia"/>
                <w:b w:val="0"/>
                <w:bCs w:val="0"/>
                <w:sz w:val="18"/>
                <w:szCs w:val="18"/>
              </w:rPr>
              <w:t>“666.7</w:t>
            </w:r>
            <w:r>
              <w:rPr>
                <w:rFonts w:hint="eastAsia" w:asciiTheme="minorEastAsia" w:hAnsiTheme="minorEastAsia" w:eastAsiaTheme="minorEastAsia" w:cstheme="minorEastAsia"/>
                <w:b w:val="0"/>
                <w:bCs w:val="0"/>
                <w:sz w:val="18"/>
                <w:szCs w:val="18"/>
                <w:lang w:val="en-US" w:eastAsia="zh-CN"/>
              </w:rPr>
              <w:t>m2”为标准面积单位，而不是“亩”。</w:t>
            </w:r>
          </w:p>
        </w:tc>
      </w:tr>
      <w:tr w14:paraId="2294CA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083A352D">
            <w:pPr>
              <w:widowControl/>
              <w:kinsoku w:val="0"/>
              <w:autoSpaceDE w:val="0"/>
              <w:autoSpaceDN w:val="0"/>
              <w:adjustRightInd w:val="0"/>
              <w:snapToGrid w:val="0"/>
              <w:spacing w:before="208" w:line="179" w:lineRule="auto"/>
              <w:ind w:left="524"/>
              <w:jc w:val="left"/>
              <w:textAlignment w:val="baseline"/>
              <w:rPr>
                <w:rFonts w:hint="eastAsia" w:ascii="Arial" w:hAnsi="Arial" w:eastAsia="宋体" w:cs="Arial"/>
                <w:snapToGrid w:val="0"/>
                <w:color w:val="000000"/>
                <w:kern w:val="0"/>
                <w:sz w:val="21"/>
                <w:szCs w:val="21"/>
                <w:lang w:val="en-US" w:eastAsia="zh-CN" w:bidi="ar-SA"/>
              </w:rPr>
            </w:pPr>
            <w:r>
              <w:rPr>
                <w:rFonts w:hint="eastAsia" w:eastAsia="宋体" w:cs="Arial"/>
                <w:snapToGrid w:val="0"/>
                <w:color w:val="000000"/>
                <w:kern w:val="0"/>
                <w:sz w:val="21"/>
                <w:szCs w:val="21"/>
                <w:lang w:val="en-US" w:eastAsia="zh-CN" w:bidi="ar-SA"/>
              </w:rPr>
              <w:t>9</w:t>
            </w:r>
          </w:p>
        </w:tc>
        <w:tc>
          <w:tcPr>
            <w:tcW w:w="1516" w:type="dxa"/>
            <w:vAlign w:val="top"/>
          </w:tcPr>
          <w:p w14:paraId="1A84139C">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napToGrid w:val="0"/>
                <w:color w:val="000000"/>
                <w:kern w:val="0"/>
                <w:sz w:val="18"/>
                <w:szCs w:val="18"/>
                <w:lang w:val="en-US" w:eastAsia="en-US" w:bidi="ar-SA"/>
              </w:rPr>
              <w:t>10</w:t>
            </w:r>
            <w:r>
              <w:rPr>
                <w:rFonts w:hint="eastAsia" w:asciiTheme="minorEastAsia" w:hAnsiTheme="minorEastAsia" w:eastAsiaTheme="minorEastAsia" w:cstheme="minorEastAsia"/>
                <w:b w:val="0"/>
                <w:bCs w:val="0"/>
                <w:sz w:val="18"/>
                <w:szCs w:val="18"/>
              </w:rPr>
              <w:t xml:space="preserve">.2 </w:t>
            </w:r>
          </w:p>
        </w:tc>
        <w:tc>
          <w:tcPr>
            <w:tcW w:w="3740" w:type="dxa"/>
            <w:vAlign w:val="center"/>
          </w:tcPr>
          <w:p w14:paraId="05A62B9F">
            <w:pPr>
              <w:jc w:val="both"/>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rPr>
              <w:t>玉米螟部分，建议增加玉米螟防治的条件</w:t>
            </w:r>
            <w:r>
              <w:rPr>
                <w:rFonts w:hint="eastAsia" w:asciiTheme="minorEastAsia" w:hAnsiTheme="minorEastAsia" w:eastAsiaTheme="minorEastAsia" w:cstheme="minorEastAsia"/>
                <w:b w:val="0"/>
                <w:bCs w:val="0"/>
                <w:sz w:val="18"/>
                <w:szCs w:val="18"/>
                <w:lang w:eastAsia="zh-CN"/>
              </w:rPr>
              <w:t>。</w:t>
            </w:r>
          </w:p>
        </w:tc>
        <w:tc>
          <w:tcPr>
            <w:tcW w:w="2794" w:type="dxa"/>
            <w:vAlign w:val="center"/>
          </w:tcPr>
          <w:p w14:paraId="7F20289B">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山西省农业科学院植物保护研究所（赵晓军）</w:t>
            </w:r>
          </w:p>
        </w:tc>
        <w:tc>
          <w:tcPr>
            <w:tcW w:w="1573" w:type="dxa"/>
            <w:vAlign w:val="center"/>
          </w:tcPr>
          <w:p w14:paraId="5EB111C2">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68250B76">
            <w:pPr>
              <w:numPr>
                <w:ilvl w:val="0"/>
                <w:numId w:val="0"/>
              </w:numPr>
              <w:jc w:val="both"/>
              <w:rPr>
                <w:rFonts w:hint="default" w:asciiTheme="minorEastAsia" w:hAnsiTheme="minorEastAsia" w:eastAsiaTheme="minorEastAsia" w:cstheme="minorEastAsia"/>
                <w:b w:val="0"/>
                <w:bCs w:val="0"/>
                <w:sz w:val="18"/>
                <w:szCs w:val="18"/>
                <w:lang w:val="en-US" w:eastAsia="zh-CN"/>
              </w:rPr>
            </w:pPr>
            <w:r>
              <w:rPr>
                <w:rFonts w:hint="eastAsia" w:asciiTheme="minorEastAsia" w:hAnsiTheme="minorEastAsia" w:eastAsiaTheme="minorEastAsia" w:cstheme="minorEastAsia"/>
                <w:b w:val="0"/>
                <w:bCs w:val="0"/>
                <w:sz w:val="18"/>
                <w:szCs w:val="18"/>
              </w:rPr>
              <w:t>增加玉米螟防治的条件</w:t>
            </w:r>
            <w:r>
              <w:rPr>
                <w:rFonts w:hint="eastAsia" w:asciiTheme="minorEastAsia" w:hAnsiTheme="minorEastAsia" w:eastAsiaTheme="minorEastAsia" w:cstheme="minorEastAsia"/>
                <w:b w:val="0"/>
                <w:bCs w:val="0"/>
                <w:sz w:val="18"/>
                <w:szCs w:val="18"/>
                <w:lang w:val="en-US" w:eastAsia="zh-CN"/>
              </w:rPr>
              <w:t>后更能为精准指导</w:t>
            </w:r>
            <w:r>
              <w:rPr>
                <w:rFonts w:hint="eastAsia" w:asciiTheme="minorEastAsia" w:hAnsiTheme="minorEastAsia" w:eastAsiaTheme="minorEastAsia" w:cstheme="minorEastAsia"/>
                <w:b w:val="0"/>
                <w:bCs w:val="0"/>
                <w:sz w:val="18"/>
                <w:szCs w:val="18"/>
              </w:rPr>
              <w:t>玉米螟防治</w:t>
            </w:r>
            <w:r>
              <w:rPr>
                <w:rFonts w:hint="eastAsia" w:asciiTheme="minorEastAsia" w:hAnsiTheme="minorEastAsia" w:eastAsiaTheme="minorEastAsia" w:cstheme="minorEastAsia"/>
                <w:b w:val="0"/>
                <w:bCs w:val="0"/>
                <w:sz w:val="18"/>
                <w:szCs w:val="18"/>
                <w:lang w:val="en-US" w:eastAsia="zh-CN"/>
              </w:rPr>
              <w:t>的最佳时期。</w:t>
            </w:r>
          </w:p>
        </w:tc>
      </w:tr>
      <w:tr w14:paraId="45E319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3C6E8CF1">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eastAsia="宋体" w:cs="Arial"/>
                <w:snapToGrid w:val="0"/>
                <w:color w:val="000000"/>
                <w:kern w:val="0"/>
                <w:sz w:val="21"/>
                <w:szCs w:val="21"/>
                <w:lang w:val="en-US" w:eastAsia="zh-CN" w:bidi="ar-SA"/>
              </w:rPr>
              <w:t>10</w:t>
            </w:r>
          </w:p>
        </w:tc>
        <w:tc>
          <w:tcPr>
            <w:tcW w:w="1516" w:type="dxa"/>
            <w:vAlign w:val="top"/>
          </w:tcPr>
          <w:p w14:paraId="1686CEDB">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3.1</w:t>
            </w:r>
          </w:p>
        </w:tc>
        <w:tc>
          <w:tcPr>
            <w:tcW w:w="3740" w:type="dxa"/>
            <w:vAlign w:val="center"/>
          </w:tcPr>
          <w:p w14:paraId="21644A7F">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lang w:val="en-US" w:eastAsia="zh-CN"/>
              </w:rPr>
              <w:t>盐碱地中，ESP不宜作为轻度盐化土的判定标准。</w:t>
            </w:r>
          </w:p>
        </w:tc>
        <w:tc>
          <w:tcPr>
            <w:tcW w:w="2794" w:type="dxa"/>
            <w:vAlign w:val="center"/>
          </w:tcPr>
          <w:p w14:paraId="153947A5">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zh-CN"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山西农业大学信息科学与工程学院（王斌）</w:t>
            </w:r>
          </w:p>
        </w:tc>
        <w:tc>
          <w:tcPr>
            <w:tcW w:w="1573" w:type="dxa"/>
            <w:vAlign w:val="center"/>
          </w:tcPr>
          <w:p w14:paraId="2DDC2BCB">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6265B9D6">
            <w:pPr>
              <w:numPr>
                <w:ilvl w:val="0"/>
                <w:numId w:val="0"/>
              </w:numPr>
              <w:jc w:val="both"/>
              <w:rPr>
                <w:rFonts w:hint="default"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val="en-US" w:eastAsia="zh-CN"/>
              </w:rPr>
              <w:t>轻度盐碱土中的钠离子含量不高，碱化度不能作为轻度盐碱土判定标准。</w:t>
            </w:r>
          </w:p>
        </w:tc>
      </w:tr>
      <w:tr w14:paraId="5D089A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60E3BC55">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eastAsia="宋体" w:cs="Arial"/>
                <w:snapToGrid w:val="0"/>
                <w:color w:val="000000"/>
                <w:kern w:val="0"/>
                <w:sz w:val="21"/>
                <w:szCs w:val="21"/>
                <w:lang w:val="en-US" w:eastAsia="zh-CN" w:bidi="ar-SA"/>
              </w:rPr>
              <w:t>11</w:t>
            </w:r>
          </w:p>
        </w:tc>
        <w:tc>
          <w:tcPr>
            <w:tcW w:w="1516" w:type="dxa"/>
            <w:vAlign w:val="top"/>
          </w:tcPr>
          <w:p w14:paraId="4063B5D4">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3.2</w:t>
            </w:r>
          </w:p>
        </w:tc>
        <w:tc>
          <w:tcPr>
            <w:tcW w:w="3740" w:type="dxa"/>
            <w:vAlign w:val="center"/>
          </w:tcPr>
          <w:p w14:paraId="412E6782">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lang w:val="en-US" w:eastAsia="zh-CN"/>
              </w:rPr>
              <w:t>耐密型品种，和本标准关系不大，建议删除。</w:t>
            </w:r>
          </w:p>
        </w:tc>
        <w:tc>
          <w:tcPr>
            <w:tcW w:w="2794" w:type="dxa"/>
            <w:vAlign w:val="center"/>
          </w:tcPr>
          <w:p w14:paraId="5F64182B">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山西农业大学信息科学与工程学院（王斌）</w:t>
            </w:r>
          </w:p>
        </w:tc>
        <w:tc>
          <w:tcPr>
            <w:tcW w:w="1573" w:type="dxa"/>
            <w:vAlign w:val="center"/>
          </w:tcPr>
          <w:p w14:paraId="032DC0E1">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5119217B">
            <w:pPr>
              <w:numPr>
                <w:ilvl w:val="0"/>
                <w:numId w:val="0"/>
              </w:numPr>
              <w:jc w:val="both"/>
              <w:rPr>
                <w:rFonts w:hint="default" w:asciiTheme="minorEastAsia" w:hAnsiTheme="minorEastAsia" w:eastAsiaTheme="minorEastAsia" w:cstheme="minorEastAsia"/>
                <w:b w:val="0"/>
                <w:bCs w:val="0"/>
                <w:sz w:val="18"/>
                <w:szCs w:val="18"/>
                <w:lang w:val="en-US" w:eastAsia="zh-CN"/>
              </w:rPr>
            </w:pPr>
            <w:r>
              <w:rPr>
                <w:rFonts w:hint="eastAsia" w:asciiTheme="minorEastAsia" w:hAnsiTheme="minorEastAsia" w:eastAsiaTheme="minorEastAsia" w:cstheme="minorEastAsia"/>
                <w:b w:val="0"/>
                <w:bCs w:val="0"/>
                <w:sz w:val="18"/>
                <w:szCs w:val="18"/>
                <w:lang w:val="en-US" w:eastAsia="zh-CN"/>
              </w:rPr>
              <w:t>原标准制定时间为2013年，当时的品种市场还有部分稀植大穗型玉米品种，现阶段耐密品种已成为市场的主流，无需再明确。</w:t>
            </w:r>
          </w:p>
        </w:tc>
      </w:tr>
      <w:tr w14:paraId="68432D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009A8E50">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ascii="Arial" w:hAnsi="Arial" w:eastAsia="宋体" w:cs="Arial"/>
                <w:snapToGrid w:val="0"/>
                <w:color w:val="000000"/>
                <w:kern w:val="0"/>
                <w:sz w:val="21"/>
                <w:szCs w:val="21"/>
                <w:lang w:val="en-US" w:eastAsia="zh-CN" w:bidi="ar-SA"/>
              </w:rPr>
              <w:t>12</w:t>
            </w:r>
          </w:p>
        </w:tc>
        <w:tc>
          <w:tcPr>
            <w:tcW w:w="1516" w:type="dxa"/>
            <w:vAlign w:val="top"/>
          </w:tcPr>
          <w:p w14:paraId="21294AEF">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4.2.1</w:t>
            </w:r>
          </w:p>
        </w:tc>
        <w:tc>
          <w:tcPr>
            <w:tcW w:w="3740" w:type="dxa"/>
            <w:vAlign w:val="center"/>
          </w:tcPr>
          <w:p w14:paraId="0D249D25">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lang w:val="en-US" w:eastAsia="zh-CN"/>
              </w:rPr>
              <w:t>秋季整地中，秸秆还田不是必须的，建议删除。</w:t>
            </w:r>
          </w:p>
        </w:tc>
        <w:tc>
          <w:tcPr>
            <w:tcW w:w="2794" w:type="dxa"/>
            <w:vAlign w:val="center"/>
          </w:tcPr>
          <w:p w14:paraId="3D8593E8">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山西农业大学信息科学与工程学院（王斌）</w:t>
            </w:r>
          </w:p>
        </w:tc>
        <w:tc>
          <w:tcPr>
            <w:tcW w:w="1573" w:type="dxa"/>
            <w:vAlign w:val="center"/>
          </w:tcPr>
          <w:p w14:paraId="530D076E">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val="en-US" w:eastAsia="zh-CN"/>
              </w:rPr>
              <w:t>不</w:t>
            </w: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204D4E0E">
            <w:pPr>
              <w:numPr>
                <w:ilvl w:val="0"/>
                <w:numId w:val="0"/>
              </w:numPr>
              <w:jc w:val="both"/>
              <w:rPr>
                <w:rFonts w:hint="default" w:asciiTheme="minorEastAsia" w:hAnsiTheme="minorEastAsia" w:eastAsiaTheme="minorEastAsia" w:cstheme="minorEastAsia"/>
                <w:b w:val="0"/>
                <w:bCs w:val="0"/>
                <w:sz w:val="18"/>
                <w:szCs w:val="18"/>
                <w:lang w:val="en-US" w:eastAsia="zh-CN"/>
              </w:rPr>
            </w:pPr>
            <w:r>
              <w:rPr>
                <w:rFonts w:hint="eastAsia" w:asciiTheme="minorEastAsia" w:hAnsiTheme="minorEastAsia" w:eastAsiaTheme="minorEastAsia" w:cstheme="minorEastAsia"/>
                <w:b w:val="0"/>
                <w:bCs w:val="0"/>
                <w:sz w:val="18"/>
                <w:szCs w:val="18"/>
                <w:lang w:val="en-US" w:eastAsia="zh-CN"/>
              </w:rPr>
              <w:t>秸秆还田技术目前在盐碱地利用中效果明显，考虑保留。</w:t>
            </w:r>
          </w:p>
        </w:tc>
      </w:tr>
      <w:tr w14:paraId="20005C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1D3131C9">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ascii="Arial" w:hAnsi="Arial" w:eastAsia="宋体" w:cs="Arial"/>
                <w:snapToGrid w:val="0"/>
                <w:color w:val="000000"/>
                <w:kern w:val="0"/>
                <w:sz w:val="21"/>
                <w:szCs w:val="21"/>
                <w:lang w:val="en-US" w:eastAsia="zh-CN" w:bidi="ar-SA"/>
              </w:rPr>
              <w:t>13</w:t>
            </w:r>
          </w:p>
        </w:tc>
        <w:tc>
          <w:tcPr>
            <w:tcW w:w="1516" w:type="dxa"/>
            <w:vAlign w:val="top"/>
          </w:tcPr>
          <w:p w14:paraId="783A5F92">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5.1</w:t>
            </w:r>
          </w:p>
        </w:tc>
        <w:tc>
          <w:tcPr>
            <w:tcW w:w="3740" w:type="dxa"/>
            <w:vAlign w:val="center"/>
          </w:tcPr>
          <w:p w14:paraId="14877ACD">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lang w:val="en-US" w:eastAsia="zh-CN"/>
              </w:rPr>
              <w:t>品种选择中，耐密型品种不是必须的，建议删除。</w:t>
            </w:r>
          </w:p>
        </w:tc>
        <w:tc>
          <w:tcPr>
            <w:tcW w:w="2794" w:type="dxa"/>
            <w:vAlign w:val="center"/>
          </w:tcPr>
          <w:p w14:paraId="0AC1516F">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山西农业大学信息科学与工程学院（王斌）</w:t>
            </w:r>
          </w:p>
        </w:tc>
        <w:tc>
          <w:tcPr>
            <w:tcW w:w="1573" w:type="dxa"/>
            <w:vAlign w:val="center"/>
          </w:tcPr>
          <w:p w14:paraId="76A617E7">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1435F56B">
            <w:pPr>
              <w:numPr>
                <w:ilvl w:val="0"/>
                <w:numId w:val="0"/>
              </w:numPr>
              <w:jc w:val="both"/>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val="en-US" w:eastAsia="zh-CN"/>
              </w:rPr>
              <w:t>原标准制定时间为2013年，当时的品种市场还有部分稀植大穗型玉米品种，现阶段耐密品种已成为市场的主流，无需再明确。</w:t>
            </w:r>
          </w:p>
        </w:tc>
      </w:tr>
      <w:tr w14:paraId="548FA7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6CDCC081">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ascii="Arial" w:hAnsi="Arial" w:eastAsia="宋体" w:cs="Arial"/>
                <w:snapToGrid w:val="0"/>
                <w:color w:val="000000"/>
                <w:kern w:val="0"/>
                <w:sz w:val="21"/>
                <w:szCs w:val="21"/>
                <w:lang w:val="en-US" w:eastAsia="zh-CN" w:bidi="ar-SA"/>
              </w:rPr>
              <w:t>14</w:t>
            </w:r>
          </w:p>
        </w:tc>
        <w:tc>
          <w:tcPr>
            <w:tcW w:w="1516" w:type="dxa"/>
            <w:vAlign w:val="top"/>
          </w:tcPr>
          <w:p w14:paraId="7DB94419">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6.2.2</w:t>
            </w:r>
          </w:p>
        </w:tc>
        <w:tc>
          <w:tcPr>
            <w:tcW w:w="3740" w:type="dxa"/>
            <w:vAlign w:val="center"/>
          </w:tcPr>
          <w:p w14:paraId="58D140B5">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lang w:val="en-US" w:eastAsia="zh-CN"/>
              </w:rPr>
              <w:t>覆膜平作中，黑色地膜不是必须的，建议删除黑色。</w:t>
            </w:r>
          </w:p>
        </w:tc>
        <w:tc>
          <w:tcPr>
            <w:tcW w:w="2794" w:type="dxa"/>
            <w:vAlign w:val="center"/>
          </w:tcPr>
          <w:p w14:paraId="049BED36">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山西农业大学信息科学与工程学院（王斌）</w:t>
            </w:r>
          </w:p>
        </w:tc>
        <w:tc>
          <w:tcPr>
            <w:tcW w:w="1573" w:type="dxa"/>
            <w:vAlign w:val="center"/>
          </w:tcPr>
          <w:p w14:paraId="1074C4C3">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590828A0">
            <w:pPr>
              <w:numPr>
                <w:ilvl w:val="0"/>
                <w:numId w:val="0"/>
              </w:numPr>
              <w:jc w:val="both"/>
              <w:rPr>
                <w:rFonts w:hint="default"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val="en-US" w:eastAsia="zh-CN"/>
              </w:rPr>
              <w:t>黑色地膜在玉米生产中虽然是一种行之有效的技术，但是目前市场还未形成主流，可不作为制定标准的内容。</w:t>
            </w:r>
          </w:p>
        </w:tc>
      </w:tr>
      <w:tr w14:paraId="05E26B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2F90AF82">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ascii="Arial" w:hAnsi="Arial" w:eastAsia="宋体" w:cs="Arial"/>
                <w:snapToGrid w:val="0"/>
                <w:color w:val="000000"/>
                <w:kern w:val="0"/>
                <w:sz w:val="21"/>
                <w:szCs w:val="21"/>
                <w:lang w:val="en-US" w:eastAsia="zh-CN" w:bidi="ar-SA"/>
              </w:rPr>
              <w:t>15</w:t>
            </w:r>
          </w:p>
        </w:tc>
        <w:tc>
          <w:tcPr>
            <w:tcW w:w="1516" w:type="dxa"/>
            <w:vAlign w:val="top"/>
          </w:tcPr>
          <w:p w14:paraId="2A88B972">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7.2.1</w:t>
            </w:r>
          </w:p>
        </w:tc>
        <w:tc>
          <w:tcPr>
            <w:tcW w:w="3740" w:type="dxa"/>
            <w:vAlign w:val="center"/>
          </w:tcPr>
          <w:p w14:paraId="6D7BCF98">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lang w:val="en-US" w:eastAsia="zh-CN"/>
              </w:rPr>
              <w:t>全膜双垄沟播中，“每穴播种1粒”，建议修改为“1-2粒”，因盐碱地相对难出苗</w:t>
            </w:r>
          </w:p>
        </w:tc>
        <w:tc>
          <w:tcPr>
            <w:tcW w:w="2794" w:type="dxa"/>
            <w:vAlign w:val="center"/>
          </w:tcPr>
          <w:p w14:paraId="12DC0175">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山西农业大学信息科学与工程学院（王斌）</w:t>
            </w:r>
          </w:p>
        </w:tc>
        <w:tc>
          <w:tcPr>
            <w:tcW w:w="1573" w:type="dxa"/>
            <w:vAlign w:val="center"/>
          </w:tcPr>
          <w:p w14:paraId="39331DF2">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277C6E21">
            <w:pPr>
              <w:numPr>
                <w:ilvl w:val="0"/>
                <w:numId w:val="0"/>
              </w:numPr>
              <w:jc w:val="both"/>
              <w:rPr>
                <w:rFonts w:hint="default" w:asciiTheme="minorEastAsia" w:hAnsiTheme="minorEastAsia" w:eastAsiaTheme="minorEastAsia" w:cstheme="minorEastAsia"/>
                <w:b w:val="0"/>
                <w:bCs w:val="0"/>
                <w:sz w:val="18"/>
                <w:szCs w:val="18"/>
                <w:lang w:val="en-US" w:eastAsia="zh-CN"/>
              </w:rPr>
            </w:pPr>
            <w:r>
              <w:rPr>
                <w:rFonts w:hint="eastAsia" w:asciiTheme="minorEastAsia" w:hAnsiTheme="minorEastAsia" w:eastAsiaTheme="minorEastAsia" w:cstheme="minorEastAsia"/>
                <w:b w:val="0"/>
                <w:bCs w:val="0"/>
                <w:sz w:val="18"/>
                <w:szCs w:val="18"/>
                <w:lang w:val="en-US" w:eastAsia="zh-CN"/>
              </w:rPr>
              <w:t>结合生产实际，轻度盐碱地出苗率略低于普通农田，因此播种时每穴可适度多多播。</w:t>
            </w:r>
          </w:p>
        </w:tc>
      </w:tr>
      <w:tr w14:paraId="1B0D62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3FEF0172">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ascii="Arial" w:hAnsi="Arial" w:eastAsia="宋体" w:cs="Arial"/>
                <w:snapToGrid w:val="0"/>
                <w:color w:val="000000"/>
                <w:kern w:val="0"/>
                <w:sz w:val="21"/>
                <w:szCs w:val="21"/>
                <w:lang w:val="en-US" w:eastAsia="zh-CN" w:bidi="ar-SA"/>
              </w:rPr>
              <w:t>16</w:t>
            </w:r>
          </w:p>
        </w:tc>
        <w:tc>
          <w:tcPr>
            <w:tcW w:w="1516" w:type="dxa"/>
            <w:vAlign w:val="top"/>
          </w:tcPr>
          <w:p w14:paraId="08DA4F20">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8.2.1</w:t>
            </w:r>
          </w:p>
        </w:tc>
        <w:tc>
          <w:tcPr>
            <w:tcW w:w="3740" w:type="dxa"/>
            <w:vAlign w:val="center"/>
          </w:tcPr>
          <w:p w14:paraId="06773400">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lang w:val="en-US" w:eastAsia="zh-CN"/>
              </w:rPr>
              <w:t>有机肥施用方法中，通常农家肥为秋季施用；建议去掉春季整地。</w:t>
            </w:r>
          </w:p>
        </w:tc>
        <w:tc>
          <w:tcPr>
            <w:tcW w:w="2794" w:type="dxa"/>
            <w:vAlign w:val="center"/>
          </w:tcPr>
          <w:p w14:paraId="6DBA15A0">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山西农业大学信息科学与工程学院（王斌）</w:t>
            </w:r>
          </w:p>
        </w:tc>
        <w:tc>
          <w:tcPr>
            <w:tcW w:w="1573" w:type="dxa"/>
            <w:vAlign w:val="center"/>
          </w:tcPr>
          <w:p w14:paraId="12CB1B25">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54CA55D6">
            <w:pPr>
              <w:numPr>
                <w:ilvl w:val="0"/>
                <w:numId w:val="0"/>
              </w:numPr>
              <w:jc w:val="both"/>
              <w:rPr>
                <w:rFonts w:hint="default" w:asciiTheme="minorEastAsia" w:hAnsiTheme="minorEastAsia" w:eastAsiaTheme="minorEastAsia" w:cstheme="minorEastAsia"/>
                <w:b w:val="0"/>
                <w:bCs w:val="0"/>
                <w:sz w:val="18"/>
                <w:szCs w:val="18"/>
                <w:lang w:val="en-US" w:eastAsia="zh-CN"/>
              </w:rPr>
            </w:pPr>
            <w:r>
              <w:rPr>
                <w:rFonts w:hint="eastAsia" w:asciiTheme="minorEastAsia" w:hAnsiTheme="minorEastAsia" w:eastAsiaTheme="minorEastAsia" w:cstheme="minorEastAsia"/>
                <w:b w:val="0"/>
                <w:bCs w:val="0"/>
                <w:sz w:val="18"/>
                <w:szCs w:val="18"/>
                <w:lang w:val="en-US" w:eastAsia="zh-CN"/>
              </w:rPr>
              <w:t>结合目前生产实际和科研技术，有机肥的施用方法主要以秋施肥为主。</w:t>
            </w:r>
          </w:p>
        </w:tc>
      </w:tr>
      <w:tr w14:paraId="4CBFD8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4D8CCCED">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ascii="Arial" w:hAnsi="Arial" w:eastAsia="宋体" w:cs="Arial"/>
                <w:snapToGrid w:val="0"/>
                <w:color w:val="000000"/>
                <w:kern w:val="0"/>
                <w:sz w:val="21"/>
                <w:szCs w:val="21"/>
                <w:lang w:val="en-US" w:eastAsia="zh-CN" w:bidi="ar-SA"/>
              </w:rPr>
              <w:t>17</w:t>
            </w:r>
          </w:p>
        </w:tc>
        <w:tc>
          <w:tcPr>
            <w:tcW w:w="1516" w:type="dxa"/>
            <w:vAlign w:val="top"/>
          </w:tcPr>
          <w:p w14:paraId="13354956">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9.2.1</w:t>
            </w:r>
          </w:p>
        </w:tc>
        <w:tc>
          <w:tcPr>
            <w:tcW w:w="3740" w:type="dxa"/>
            <w:vAlign w:val="center"/>
          </w:tcPr>
          <w:p w14:paraId="37119F0D">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lang w:val="en-US" w:eastAsia="zh-CN"/>
              </w:rPr>
              <w:t>穗期灌水中，亩应与文中其他地方表述一致，即</w:t>
            </w:r>
            <w:r>
              <w:rPr>
                <w:rFonts w:hint="eastAsia" w:asciiTheme="minorEastAsia" w:hAnsiTheme="minorEastAsia" w:eastAsiaTheme="minorEastAsia" w:cstheme="minorEastAsia"/>
                <w:b w:val="0"/>
                <w:bCs w:val="0"/>
                <w:sz w:val="18"/>
                <w:szCs w:val="18"/>
              </w:rPr>
              <w:t>666.7m</w:t>
            </w:r>
            <w:r>
              <w:rPr>
                <w:rFonts w:hint="eastAsia" w:asciiTheme="minorEastAsia" w:hAnsiTheme="minorEastAsia" w:eastAsiaTheme="minorEastAsia" w:cstheme="minorEastAsia"/>
                <w:b w:val="0"/>
                <w:bCs w:val="0"/>
                <w:sz w:val="18"/>
                <w:szCs w:val="18"/>
                <w:vertAlign w:val="superscript"/>
              </w:rPr>
              <w:t>2</w:t>
            </w:r>
            <w:r>
              <w:rPr>
                <w:rFonts w:hint="eastAsia" w:asciiTheme="minorEastAsia" w:hAnsiTheme="minorEastAsia" w:eastAsiaTheme="minorEastAsia" w:cstheme="minorEastAsia"/>
                <w:b w:val="0"/>
                <w:bCs w:val="0"/>
                <w:sz w:val="18"/>
                <w:szCs w:val="18"/>
                <w:lang w:val="en-US" w:eastAsia="zh-CN"/>
              </w:rPr>
              <w:t>。</w:t>
            </w:r>
          </w:p>
        </w:tc>
        <w:tc>
          <w:tcPr>
            <w:tcW w:w="2794" w:type="dxa"/>
            <w:vAlign w:val="center"/>
          </w:tcPr>
          <w:p w14:paraId="5716F754">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山西农业大学信息科学与工程学院（王斌）</w:t>
            </w:r>
          </w:p>
        </w:tc>
        <w:tc>
          <w:tcPr>
            <w:tcW w:w="1573" w:type="dxa"/>
            <w:vAlign w:val="center"/>
          </w:tcPr>
          <w:p w14:paraId="3F145B29">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1D268A75">
            <w:pPr>
              <w:numPr>
                <w:ilvl w:val="0"/>
                <w:numId w:val="0"/>
              </w:numPr>
              <w:jc w:val="both"/>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rPr>
              <w:t>“666.7</w:t>
            </w:r>
            <w:r>
              <w:rPr>
                <w:rFonts w:hint="eastAsia" w:asciiTheme="minorEastAsia" w:hAnsiTheme="minorEastAsia" w:eastAsiaTheme="minorEastAsia" w:cstheme="minorEastAsia"/>
                <w:b w:val="0"/>
                <w:bCs w:val="0"/>
                <w:sz w:val="18"/>
                <w:szCs w:val="18"/>
                <w:lang w:val="en-US" w:eastAsia="zh-CN"/>
              </w:rPr>
              <w:t>m2”为标准面积单位，而不是“亩”。</w:t>
            </w:r>
          </w:p>
        </w:tc>
      </w:tr>
      <w:tr w14:paraId="7BAD6D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7B730791">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ascii="Arial" w:hAnsi="Arial" w:eastAsia="宋体" w:cs="Arial"/>
                <w:snapToGrid w:val="0"/>
                <w:color w:val="000000"/>
                <w:kern w:val="0"/>
                <w:sz w:val="21"/>
                <w:szCs w:val="21"/>
                <w:lang w:val="en-US" w:eastAsia="zh-CN" w:bidi="ar-SA"/>
              </w:rPr>
              <w:t>18</w:t>
            </w:r>
          </w:p>
        </w:tc>
        <w:tc>
          <w:tcPr>
            <w:tcW w:w="1516" w:type="dxa"/>
            <w:vAlign w:val="top"/>
          </w:tcPr>
          <w:p w14:paraId="0E7A6FED">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zh-CN" w:bidi="ar-SA"/>
              </w:rPr>
            </w:pPr>
          </w:p>
        </w:tc>
        <w:tc>
          <w:tcPr>
            <w:tcW w:w="3740" w:type="dxa"/>
            <w:vAlign w:val="center"/>
          </w:tcPr>
          <w:p w14:paraId="39B4C214">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lang w:val="en-US" w:eastAsia="zh-CN"/>
              </w:rPr>
            </w:pPr>
            <w:r>
              <w:rPr>
                <w:rFonts w:hint="eastAsia" w:asciiTheme="minorEastAsia" w:hAnsiTheme="minorEastAsia" w:eastAsiaTheme="minorEastAsia" w:cstheme="minorEastAsia"/>
                <w:b w:val="0"/>
                <w:bCs w:val="0"/>
                <w:sz w:val="18"/>
                <w:szCs w:val="18"/>
              </w:rPr>
              <w:t>进一步规范文档和文中专业用语。</w:t>
            </w:r>
          </w:p>
        </w:tc>
        <w:tc>
          <w:tcPr>
            <w:tcW w:w="2794" w:type="dxa"/>
            <w:vAlign w:val="center"/>
          </w:tcPr>
          <w:p w14:paraId="0D031DB0">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zh-CN"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山西农业大学信息科学与工程学院（王斌）</w:t>
            </w:r>
          </w:p>
        </w:tc>
        <w:tc>
          <w:tcPr>
            <w:tcW w:w="1573" w:type="dxa"/>
            <w:vAlign w:val="center"/>
          </w:tcPr>
          <w:p w14:paraId="7B21B666">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31A04E11">
            <w:pPr>
              <w:numPr>
                <w:ilvl w:val="0"/>
                <w:numId w:val="0"/>
              </w:numPr>
              <w:jc w:val="both"/>
              <w:rPr>
                <w:rFonts w:hint="default" w:asciiTheme="minorEastAsia" w:hAnsiTheme="minorEastAsia" w:eastAsiaTheme="minorEastAsia" w:cstheme="minorEastAsia"/>
                <w:b w:val="0"/>
                <w:bCs w:val="0"/>
                <w:sz w:val="18"/>
                <w:szCs w:val="18"/>
                <w:lang w:val="en-US" w:eastAsia="zh-CN"/>
              </w:rPr>
            </w:pPr>
            <w:r>
              <w:rPr>
                <w:rFonts w:hint="eastAsia" w:asciiTheme="minorEastAsia" w:hAnsiTheme="minorEastAsia" w:eastAsiaTheme="minorEastAsia" w:cstheme="minorEastAsia"/>
                <w:b w:val="0"/>
                <w:bCs w:val="0"/>
                <w:sz w:val="18"/>
                <w:szCs w:val="18"/>
                <w:lang w:val="en-US" w:eastAsia="zh-CN"/>
              </w:rPr>
              <w:t>文本应严格按要求规范写作</w:t>
            </w:r>
          </w:p>
        </w:tc>
      </w:tr>
      <w:tr w14:paraId="0756A0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73C82A56">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ascii="Arial" w:hAnsi="Arial" w:eastAsia="宋体" w:cs="Arial"/>
                <w:snapToGrid w:val="0"/>
                <w:color w:val="000000"/>
                <w:kern w:val="0"/>
                <w:sz w:val="21"/>
                <w:szCs w:val="21"/>
                <w:lang w:val="en-US" w:eastAsia="zh-CN" w:bidi="ar-SA"/>
              </w:rPr>
              <w:t>19</w:t>
            </w:r>
          </w:p>
        </w:tc>
        <w:tc>
          <w:tcPr>
            <w:tcW w:w="1516" w:type="dxa"/>
            <w:vAlign w:val="top"/>
          </w:tcPr>
          <w:p w14:paraId="092A7F91">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6.2.2</w:t>
            </w:r>
          </w:p>
        </w:tc>
        <w:tc>
          <w:tcPr>
            <w:tcW w:w="3740" w:type="dxa"/>
            <w:vAlign w:val="center"/>
          </w:tcPr>
          <w:p w14:paraId="48E78F04">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lang w:val="en-US" w:eastAsia="zh-CN"/>
              </w:rPr>
              <w:t>覆膜平作中，黑色地膜建议删除“黑色”。</w:t>
            </w:r>
          </w:p>
        </w:tc>
        <w:tc>
          <w:tcPr>
            <w:tcW w:w="2794" w:type="dxa"/>
            <w:vAlign w:val="center"/>
          </w:tcPr>
          <w:p w14:paraId="2909FC99">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zh-CN"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山西农业大学农学院（原向阳）</w:t>
            </w:r>
          </w:p>
        </w:tc>
        <w:tc>
          <w:tcPr>
            <w:tcW w:w="1573" w:type="dxa"/>
            <w:vAlign w:val="center"/>
          </w:tcPr>
          <w:p w14:paraId="1204C2BE">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6E4EED63">
            <w:pPr>
              <w:numPr>
                <w:ilvl w:val="0"/>
                <w:numId w:val="0"/>
              </w:numPr>
              <w:jc w:val="both"/>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val="en-US" w:eastAsia="zh-CN"/>
              </w:rPr>
              <w:t>黑色地膜在玉米生产中虽然是一种行之有效的技术，但是目前市场还未形成主流，可不作为制定标准的内容。</w:t>
            </w:r>
          </w:p>
        </w:tc>
      </w:tr>
      <w:tr w14:paraId="02BFBF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4F2FE77C">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ascii="Arial" w:hAnsi="Arial" w:eastAsia="宋体" w:cs="Arial"/>
                <w:snapToGrid w:val="0"/>
                <w:color w:val="000000"/>
                <w:kern w:val="0"/>
                <w:sz w:val="21"/>
                <w:szCs w:val="21"/>
                <w:lang w:val="en-US" w:eastAsia="zh-CN" w:bidi="ar-SA"/>
              </w:rPr>
              <w:t>20</w:t>
            </w:r>
          </w:p>
        </w:tc>
        <w:tc>
          <w:tcPr>
            <w:tcW w:w="1516" w:type="dxa"/>
            <w:vAlign w:val="top"/>
          </w:tcPr>
          <w:p w14:paraId="699382C2">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7.2.1</w:t>
            </w:r>
          </w:p>
        </w:tc>
        <w:tc>
          <w:tcPr>
            <w:tcW w:w="3740" w:type="dxa"/>
            <w:vAlign w:val="center"/>
          </w:tcPr>
          <w:p w14:paraId="7096A865">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lang w:val="en-US" w:eastAsia="zh-CN"/>
              </w:rPr>
              <w:t>全膜双垄沟播中，“每穴播种1粒”，建议修改为“1-2粒”。</w:t>
            </w:r>
          </w:p>
        </w:tc>
        <w:tc>
          <w:tcPr>
            <w:tcW w:w="2794" w:type="dxa"/>
            <w:vAlign w:val="center"/>
          </w:tcPr>
          <w:p w14:paraId="4D7177FD">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山西农业大学农学院（原向阳）</w:t>
            </w:r>
          </w:p>
        </w:tc>
        <w:tc>
          <w:tcPr>
            <w:tcW w:w="1573" w:type="dxa"/>
            <w:vAlign w:val="center"/>
          </w:tcPr>
          <w:p w14:paraId="63430EFD">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2F0B5FAB">
            <w:pPr>
              <w:numPr>
                <w:ilvl w:val="0"/>
                <w:numId w:val="0"/>
              </w:numPr>
              <w:jc w:val="both"/>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val="en-US" w:eastAsia="zh-CN"/>
              </w:rPr>
              <w:t>结合生产实际，轻度盐碱地出苗率略低于普通农田，因此播种时每穴可适度多多播。</w:t>
            </w:r>
          </w:p>
        </w:tc>
      </w:tr>
      <w:tr w14:paraId="5452F8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01A14DF0">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ascii="Arial" w:hAnsi="Arial" w:eastAsia="宋体" w:cs="Arial"/>
                <w:snapToGrid w:val="0"/>
                <w:color w:val="000000"/>
                <w:kern w:val="0"/>
                <w:sz w:val="21"/>
                <w:szCs w:val="21"/>
                <w:lang w:val="en-US" w:eastAsia="zh-CN" w:bidi="ar-SA"/>
              </w:rPr>
              <w:t>21</w:t>
            </w:r>
          </w:p>
        </w:tc>
        <w:tc>
          <w:tcPr>
            <w:tcW w:w="1516" w:type="dxa"/>
            <w:vAlign w:val="top"/>
          </w:tcPr>
          <w:p w14:paraId="1A025147">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8.2.1</w:t>
            </w:r>
          </w:p>
        </w:tc>
        <w:tc>
          <w:tcPr>
            <w:tcW w:w="3740" w:type="dxa"/>
            <w:vAlign w:val="center"/>
          </w:tcPr>
          <w:p w14:paraId="4537A77B">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lang w:val="en-US" w:eastAsia="zh-CN"/>
              </w:rPr>
              <w:t>有机肥施用方法中，通常农家肥为秋季施用，可去掉春季整地。</w:t>
            </w:r>
          </w:p>
        </w:tc>
        <w:tc>
          <w:tcPr>
            <w:tcW w:w="2794" w:type="dxa"/>
            <w:vAlign w:val="center"/>
          </w:tcPr>
          <w:p w14:paraId="7DA648C6">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山西农业大学农学院（原向阳）</w:t>
            </w:r>
          </w:p>
        </w:tc>
        <w:tc>
          <w:tcPr>
            <w:tcW w:w="1573" w:type="dxa"/>
            <w:vAlign w:val="center"/>
          </w:tcPr>
          <w:p w14:paraId="4F1732BA">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6DF98445">
            <w:pPr>
              <w:numPr>
                <w:ilvl w:val="0"/>
                <w:numId w:val="0"/>
              </w:numPr>
              <w:jc w:val="both"/>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val="en-US" w:eastAsia="zh-CN"/>
              </w:rPr>
              <w:t>结合目前生产实际和科研技术，有机肥的施用方法主要以秋施肥为主。</w:t>
            </w:r>
          </w:p>
        </w:tc>
      </w:tr>
      <w:tr w14:paraId="4F3AB3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6541BBE0">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ascii="Arial" w:hAnsi="Arial" w:eastAsia="宋体" w:cs="Arial"/>
                <w:snapToGrid w:val="0"/>
                <w:color w:val="000000"/>
                <w:kern w:val="0"/>
                <w:sz w:val="21"/>
                <w:szCs w:val="21"/>
                <w:lang w:val="en-US" w:eastAsia="zh-CN" w:bidi="ar-SA"/>
              </w:rPr>
              <w:t>22</w:t>
            </w:r>
          </w:p>
        </w:tc>
        <w:tc>
          <w:tcPr>
            <w:tcW w:w="1516" w:type="dxa"/>
            <w:vAlign w:val="top"/>
          </w:tcPr>
          <w:p w14:paraId="1C5D60FF">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9.2.1</w:t>
            </w:r>
          </w:p>
        </w:tc>
        <w:tc>
          <w:tcPr>
            <w:tcW w:w="3740" w:type="dxa"/>
            <w:vAlign w:val="center"/>
          </w:tcPr>
          <w:p w14:paraId="46CBAB9E">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lang w:val="en-US" w:eastAsia="zh-CN"/>
              </w:rPr>
              <w:t>穗期灌水中，“亩”改为“</w:t>
            </w:r>
            <w:r>
              <w:rPr>
                <w:rFonts w:hint="eastAsia" w:asciiTheme="minorEastAsia" w:hAnsiTheme="minorEastAsia" w:eastAsiaTheme="minorEastAsia" w:cstheme="minorEastAsia"/>
                <w:b w:val="0"/>
                <w:bCs w:val="0"/>
                <w:sz w:val="18"/>
                <w:szCs w:val="18"/>
              </w:rPr>
              <w:t>666.7m</w:t>
            </w:r>
            <w:r>
              <w:rPr>
                <w:rFonts w:hint="eastAsia" w:asciiTheme="minorEastAsia" w:hAnsiTheme="minorEastAsia" w:eastAsiaTheme="minorEastAsia" w:cstheme="minorEastAsia"/>
                <w:b w:val="0"/>
                <w:bCs w:val="0"/>
                <w:sz w:val="18"/>
                <w:szCs w:val="18"/>
                <w:vertAlign w:val="superscript"/>
              </w:rPr>
              <w:t>2</w:t>
            </w:r>
            <w:r>
              <w:rPr>
                <w:rFonts w:hint="eastAsia" w:asciiTheme="minorEastAsia" w:hAnsiTheme="minorEastAsia" w:eastAsiaTheme="minorEastAsia" w:cstheme="minorEastAsia"/>
                <w:b w:val="0"/>
                <w:bCs w:val="0"/>
                <w:sz w:val="18"/>
                <w:szCs w:val="18"/>
                <w:vertAlign w:val="baseline"/>
                <w:lang w:eastAsia="zh-CN"/>
              </w:rPr>
              <w:t>”</w:t>
            </w:r>
            <w:r>
              <w:rPr>
                <w:rFonts w:hint="eastAsia" w:asciiTheme="minorEastAsia" w:hAnsiTheme="minorEastAsia" w:eastAsiaTheme="minorEastAsia" w:cstheme="minorEastAsia"/>
                <w:b w:val="0"/>
                <w:bCs w:val="0"/>
                <w:sz w:val="18"/>
                <w:szCs w:val="18"/>
                <w:lang w:val="en-US" w:eastAsia="zh-CN"/>
              </w:rPr>
              <w:t>。</w:t>
            </w:r>
          </w:p>
        </w:tc>
        <w:tc>
          <w:tcPr>
            <w:tcW w:w="2794" w:type="dxa"/>
            <w:vAlign w:val="center"/>
          </w:tcPr>
          <w:p w14:paraId="7C253133">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山西农业大学农学院（原向阳）</w:t>
            </w:r>
          </w:p>
        </w:tc>
        <w:tc>
          <w:tcPr>
            <w:tcW w:w="1573" w:type="dxa"/>
            <w:vAlign w:val="center"/>
          </w:tcPr>
          <w:p w14:paraId="3BBADD95">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1A1B875B">
            <w:pPr>
              <w:numPr>
                <w:ilvl w:val="0"/>
                <w:numId w:val="0"/>
              </w:numPr>
              <w:jc w:val="both"/>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rPr>
              <w:t>“666.7</w:t>
            </w:r>
            <w:r>
              <w:rPr>
                <w:rFonts w:hint="eastAsia" w:asciiTheme="minorEastAsia" w:hAnsiTheme="minorEastAsia" w:eastAsiaTheme="minorEastAsia" w:cstheme="minorEastAsia"/>
                <w:b w:val="0"/>
                <w:bCs w:val="0"/>
                <w:sz w:val="18"/>
                <w:szCs w:val="18"/>
                <w:lang w:val="en-US" w:eastAsia="zh-CN"/>
              </w:rPr>
              <w:t>m2”为标准面积单位，而不是“亩”。</w:t>
            </w:r>
          </w:p>
        </w:tc>
      </w:tr>
      <w:tr w14:paraId="139ED3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29D0F7D2">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ascii="Arial" w:hAnsi="Arial" w:eastAsia="宋体" w:cs="Arial"/>
                <w:snapToGrid w:val="0"/>
                <w:color w:val="000000"/>
                <w:kern w:val="0"/>
                <w:sz w:val="21"/>
                <w:szCs w:val="21"/>
                <w:lang w:val="en-US" w:eastAsia="zh-CN" w:bidi="ar-SA"/>
              </w:rPr>
              <w:t>23</w:t>
            </w:r>
          </w:p>
        </w:tc>
        <w:tc>
          <w:tcPr>
            <w:tcW w:w="1516" w:type="dxa"/>
            <w:vAlign w:val="top"/>
          </w:tcPr>
          <w:p w14:paraId="184063D8">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9.2.1</w:t>
            </w:r>
          </w:p>
        </w:tc>
        <w:tc>
          <w:tcPr>
            <w:tcW w:w="3740" w:type="dxa"/>
            <w:vAlign w:val="center"/>
          </w:tcPr>
          <w:p w14:paraId="794D686D">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lang w:val="en-US" w:eastAsia="zh-CN"/>
              </w:rPr>
              <w:t>穗期灌水中，表1“注明”部分应放在表格下方。</w:t>
            </w:r>
          </w:p>
        </w:tc>
        <w:tc>
          <w:tcPr>
            <w:tcW w:w="2794" w:type="dxa"/>
            <w:vAlign w:val="center"/>
          </w:tcPr>
          <w:p w14:paraId="7204CE6E">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山西农业大学农学院（原向阳）</w:t>
            </w:r>
          </w:p>
        </w:tc>
        <w:tc>
          <w:tcPr>
            <w:tcW w:w="1573" w:type="dxa"/>
            <w:vAlign w:val="center"/>
          </w:tcPr>
          <w:p w14:paraId="17B75F80">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2277A638">
            <w:pPr>
              <w:numPr>
                <w:ilvl w:val="0"/>
                <w:numId w:val="0"/>
              </w:numPr>
              <w:jc w:val="both"/>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val="en-US" w:eastAsia="zh-CN"/>
              </w:rPr>
              <w:t>专家所提意见更能规范文本格式</w:t>
            </w:r>
          </w:p>
        </w:tc>
      </w:tr>
      <w:tr w14:paraId="7EDF91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5A376253">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ascii="Arial" w:hAnsi="Arial" w:eastAsia="宋体" w:cs="Arial"/>
                <w:snapToGrid w:val="0"/>
                <w:color w:val="000000"/>
                <w:kern w:val="0"/>
                <w:sz w:val="21"/>
                <w:szCs w:val="21"/>
                <w:lang w:val="en-US" w:eastAsia="zh-CN" w:bidi="ar-SA"/>
              </w:rPr>
              <w:t>24</w:t>
            </w:r>
          </w:p>
        </w:tc>
        <w:tc>
          <w:tcPr>
            <w:tcW w:w="1516" w:type="dxa"/>
            <w:vAlign w:val="top"/>
          </w:tcPr>
          <w:p w14:paraId="184A1885">
            <w:pPr>
              <w:kinsoku w:val="0"/>
              <w:autoSpaceDE w:val="0"/>
              <w:autoSpaceDN w:val="0"/>
              <w:adjustRightInd w:val="0"/>
              <w:snapToGrid w:val="0"/>
              <w:spacing w:line="240" w:lineRule="auto"/>
              <w:jc w:val="left"/>
              <w:textAlignment w:val="baseline"/>
              <w:rPr>
                <w:rFonts w:hint="eastAsia" w:asciiTheme="minorEastAsia" w:hAnsiTheme="minorEastAsia" w:eastAsiaTheme="minorEastAsia" w:cstheme="minorEastAsia"/>
                <w:b w:val="0"/>
                <w:bCs w:val="0"/>
                <w:sz w:val="18"/>
                <w:szCs w:val="18"/>
              </w:rPr>
            </w:pPr>
          </w:p>
        </w:tc>
        <w:tc>
          <w:tcPr>
            <w:tcW w:w="3740" w:type="dxa"/>
            <w:vAlign w:val="center"/>
          </w:tcPr>
          <w:p w14:paraId="56A31322">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rPr>
              <w:t>进一步规范标题层级，如在“规范性引用文件”“术语和定义”等部分前面添加一级标题序号和名称，使文档结构更清晰，符合标准文档格式规范。</w:t>
            </w:r>
          </w:p>
        </w:tc>
        <w:tc>
          <w:tcPr>
            <w:tcW w:w="2794" w:type="dxa"/>
            <w:vAlign w:val="center"/>
          </w:tcPr>
          <w:p w14:paraId="35E709B8">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zh-CN"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山西农业大学农学院（王创云）</w:t>
            </w:r>
          </w:p>
        </w:tc>
        <w:tc>
          <w:tcPr>
            <w:tcW w:w="1573" w:type="dxa"/>
            <w:vAlign w:val="center"/>
          </w:tcPr>
          <w:p w14:paraId="03470150">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482451C7">
            <w:pPr>
              <w:numPr>
                <w:ilvl w:val="0"/>
                <w:numId w:val="0"/>
              </w:numPr>
              <w:jc w:val="both"/>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val="en-US" w:eastAsia="zh-CN"/>
              </w:rPr>
              <w:t>专家所提意见更能规范文本格式</w:t>
            </w:r>
          </w:p>
        </w:tc>
      </w:tr>
      <w:tr w14:paraId="3C318B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003A0ECA">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ascii="Arial" w:hAnsi="Arial" w:eastAsia="宋体" w:cs="Arial"/>
                <w:snapToGrid w:val="0"/>
                <w:color w:val="000000"/>
                <w:kern w:val="0"/>
                <w:sz w:val="21"/>
                <w:szCs w:val="21"/>
                <w:lang w:val="en-US" w:eastAsia="zh-CN" w:bidi="ar-SA"/>
              </w:rPr>
              <w:t>25</w:t>
            </w:r>
          </w:p>
        </w:tc>
        <w:tc>
          <w:tcPr>
            <w:tcW w:w="1516" w:type="dxa"/>
            <w:vAlign w:val="top"/>
          </w:tcPr>
          <w:p w14:paraId="7384ADEC">
            <w:pPr>
              <w:kinsoku w:val="0"/>
              <w:autoSpaceDE w:val="0"/>
              <w:autoSpaceDN w:val="0"/>
              <w:adjustRightInd w:val="0"/>
              <w:snapToGrid w:val="0"/>
              <w:spacing w:line="240" w:lineRule="auto"/>
              <w:jc w:val="left"/>
              <w:textAlignment w:val="baseline"/>
              <w:rPr>
                <w:rFonts w:hint="eastAsia" w:asciiTheme="minorEastAsia" w:hAnsiTheme="minorEastAsia" w:eastAsiaTheme="minorEastAsia" w:cstheme="minorEastAsia"/>
                <w:b w:val="0"/>
                <w:bCs w:val="0"/>
                <w:sz w:val="18"/>
                <w:szCs w:val="18"/>
              </w:rPr>
            </w:pPr>
          </w:p>
        </w:tc>
        <w:tc>
          <w:tcPr>
            <w:tcW w:w="3740" w:type="dxa"/>
            <w:vAlign w:val="center"/>
          </w:tcPr>
          <w:p w14:paraId="79DABA62">
            <w:pPr>
              <w:numPr>
                <w:ilvl w:val="0"/>
                <w:numId w:val="0"/>
              </w:numPr>
              <w:jc w:val="both"/>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rPr>
              <w:t>对文中图表（如表格）应明确编号规则，并在图表下方或临近位置详细说明图表的内容和用途，以便读者更好地理解。</w:t>
            </w:r>
          </w:p>
        </w:tc>
        <w:tc>
          <w:tcPr>
            <w:tcW w:w="2794" w:type="dxa"/>
            <w:vAlign w:val="center"/>
          </w:tcPr>
          <w:p w14:paraId="3B627A6F">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山西农业大学农学院（王创云）</w:t>
            </w:r>
          </w:p>
        </w:tc>
        <w:tc>
          <w:tcPr>
            <w:tcW w:w="1573" w:type="dxa"/>
            <w:vAlign w:val="center"/>
          </w:tcPr>
          <w:p w14:paraId="3D8EADD2">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35CF73C8">
            <w:pPr>
              <w:numPr>
                <w:ilvl w:val="0"/>
                <w:numId w:val="0"/>
              </w:numPr>
              <w:jc w:val="both"/>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val="en-US" w:eastAsia="zh-CN"/>
              </w:rPr>
              <w:t>专家所提意见更能规范文本格式</w:t>
            </w:r>
          </w:p>
        </w:tc>
      </w:tr>
      <w:tr w14:paraId="06E8F2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62E829E5">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ascii="Arial" w:hAnsi="Arial" w:eastAsia="宋体" w:cs="Arial"/>
                <w:snapToGrid w:val="0"/>
                <w:color w:val="000000"/>
                <w:kern w:val="0"/>
                <w:sz w:val="21"/>
                <w:szCs w:val="21"/>
                <w:lang w:val="en-US" w:eastAsia="zh-CN" w:bidi="ar-SA"/>
              </w:rPr>
              <w:t>26</w:t>
            </w:r>
          </w:p>
        </w:tc>
        <w:tc>
          <w:tcPr>
            <w:tcW w:w="1516" w:type="dxa"/>
            <w:vAlign w:val="top"/>
          </w:tcPr>
          <w:p w14:paraId="1E7EA700">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p>
        </w:tc>
        <w:tc>
          <w:tcPr>
            <w:tcW w:w="3740" w:type="dxa"/>
            <w:vAlign w:val="center"/>
          </w:tcPr>
          <w:p w14:paraId="34D0995A">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rPr>
              <w:t>对于一些关键的技术措施，如土壤改良剂和肥料的施用、覆膜方式的选择等，可以简要提及成本因素以及预期的产量和经济效益，帮助种植者更好地进行决策。</w:t>
            </w:r>
          </w:p>
        </w:tc>
        <w:tc>
          <w:tcPr>
            <w:tcW w:w="2794" w:type="dxa"/>
            <w:vAlign w:val="center"/>
          </w:tcPr>
          <w:p w14:paraId="0332A8FC">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山西农业大学农学院（王创云）</w:t>
            </w:r>
          </w:p>
        </w:tc>
        <w:tc>
          <w:tcPr>
            <w:tcW w:w="1573" w:type="dxa"/>
            <w:vAlign w:val="center"/>
          </w:tcPr>
          <w:p w14:paraId="7AE7B621">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val="en-US" w:eastAsia="zh-CN"/>
              </w:rPr>
              <w:t>不</w:t>
            </w: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23C946F2">
            <w:pPr>
              <w:numPr>
                <w:ilvl w:val="0"/>
                <w:numId w:val="0"/>
              </w:numPr>
              <w:jc w:val="both"/>
              <w:rPr>
                <w:rFonts w:hint="default" w:asciiTheme="minorEastAsia" w:hAnsiTheme="minorEastAsia" w:eastAsiaTheme="minorEastAsia" w:cstheme="minorEastAsia"/>
                <w:b w:val="0"/>
                <w:bCs w:val="0"/>
                <w:sz w:val="18"/>
                <w:szCs w:val="18"/>
                <w:lang w:val="en-US" w:eastAsia="zh-CN"/>
              </w:rPr>
            </w:pPr>
            <w:r>
              <w:rPr>
                <w:rFonts w:hint="eastAsia" w:asciiTheme="minorEastAsia" w:hAnsiTheme="minorEastAsia" w:eastAsiaTheme="minorEastAsia" w:cstheme="minorEastAsia"/>
                <w:b w:val="0"/>
                <w:bCs w:val="0"/>
                <w:sz w:val="18"/>
                <w:szCs w:val="18"/>
                <w:lang w:val="en-US" w:eastAsia="zh-CN"/>
              </w:rPr>
              <w:t>经济效益等指标与地方标准内容无关</w:t>
            </w:r>
          </w:p>
        </w:tc>
      </w:tr>
      <w:tr w14:paraId="21AE49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5787DC96">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ascii="Arial" w:hAnsi="Arial" w:eastAsia="宋体" w:cs="Arial"/>
                <w:snapToGrid w:val="0"/>
                <w:color w:val="000000"/>
                <w:kern w:val="0"/>
                <w:sz w:val="21"/>
                <w:szCs w:val="21"/>
                <w:lang w:val="en-US" w:eastAsia="zh-CN" w:bidi="ar-SA"/>
              </w:rPr>
              <w:t>27</w:t>
            </w:r>
          </w:p>
        </w:tc>
        <w:tc>
          <w:tcPr>
            <w:tcW w:w="1516" w:type="dxa"/>
            <w:vAlign w:val="top"/>
          </w:tcPr>
          <w:p w14:paraId="5783FB06">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zh-CN"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12</w:t>
            </w:r>
          </w:p>
        </w:tc>
        <w:tc>
          <w:tcPr>
            <w:tcW w:w="3740" w:type="dxa"/>
            <w:vAlign w:val="center"/>
          </w:tcPr>
          <w:p w14:paraId="39110A5A">
            <w:pPr>
              <w:numPr>
                <w:ilvl w:val="0"/>
                <w:numId w:val="0"/>
              </w:numPr>
              <w:jc w:val="both"/>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rPr>
              <w:t>废旧地膜回收”模块可添加“回收后处理方式”，进行简单描述即可。</w:t>
            </w:r>
          </w:p>
          <w:p w14:paraId="267B1BDF">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rPr>
            </w:pPr>
          </w:p>
        </w:tc>
        <w:tc>
          <w:tcPr>
            <w:tcW w:w="2794" w:type="dxa"/>
            <w:vAlign w:val="center"/>
          </w:tcPr>
          <w:p w14:paraId="32EA033B">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山西农业大学农学院（王创云）</w:t>
            </w:r>
          </w:p>
        </w:tc>
        <w:tc>
          <w:tcPr>
            <w:tcW w:w="1573" w:type="dxa"/>
            <w:vAlign w:val="center"/>
          </w:tcPr>
          <w:p w14:paraId="2B8A1739">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val="en-US" w:eastAsia="zh-CN"/>
              </w:rPr>
              <w:t>不</w:t>
            </w: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56A100B6">
            <w:pPr>
              <w:numPr>
                <w:ilvl w:val="0"/>
                <w:numId w:val="0"/>
              </w:numPr>
              <w:jc w:val="both"/>
              <w:rPr>
                <w:rFonts w:hint="default" w:asciiTheme="minorEastAsia" w:hAnsiTheme="minorEastAsia" w:eastAsiaTheme="minorEastAsia" w:cstheme="minorEastAsia"/>
                <w:b w:val="0"/>
                <w:bCs w:val="0"/>
                <w:sz w:val="18"/>
                <w:szCs w:val="18"/>
                <w:lang w:val="en-US" w:eastAsia="zh-CN"/>
              </w:rPr>
            </w:pPr>
            <w:r>
              <w:rPr>
                <w:rFonts w:hint="eastAsia" w:asciiTheme="minorEastAsia" w:hAnsiTheme="minorEastAsia" w:eastAsiaTheme="minorEastAsia" w:cstheme="minorEastAsia"/>
                <w:b w:val="0"/>
                <w:bCs w:val="0"/>
                <w:sz w:val="18"/>
                <w:szCs w:val="18"/>
                <w:lang w:val="en-US" w:eastAsia="zh-CN"/>
              </w:rPr>
              <w:t>地膜回收后处理环节超出了本标准制定范围</w:t>
            </w:r>
          </w:p>
        </w:tc>
      </w:tr>
      <w:tr w14:paraId="29BFFB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68096D55">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ascii="Arial" w:hAnsi="Arial" w:eastAsia="宋体" w:cs="Arial"/>
                <w:snapToGrid w:val="0"/>
                <w:color w:val="000000"/>
                <w:kern w:val="0"/>
                <w:sz w:val="21"/>
                <w:szCs w:val="21"/>
                <w:lang w:val="en-US" w:eastAsia="zh-CN" w:bidi="ar-SA"/>
              </w:rPr>
              <w:t>28</w:t>
            </w:r>
          </w:p>
        </w:tc>
        <w:tc>
          <w:tcPr>
            <w:tcW w:w="1516" w:type="dxa"/>
            <w:vAlign w:val="top"/>
          </w:tcPr>
          <w:p w14:paraId="439F5A9B">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zh-CN"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前言</w:t>
            </w:r>
          </w:p>
        </w:tc>
        <w:tc>
          <w:tcPr>
            <w:tcW w:w="3740" w:type="dxa"/>
            <w:vAlign w:val="center"/>
          </w:tcPr>
          <w:p w14:paraId="254C74B0">
            <w:pPr>
              <w:numPr>
                <w:ilvl w:val="0"/>
                <w:numId w:val="0"/>
              </w:numPr>
              <w:jc w:val="both"/>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rPr>
              <w:t>“前言”中可更改为“更改规范性引用文件”、“增加覆膜”、“更改播种方法”等等。</w:t>
            </w:r>
          </w:p>
          <w:p w14:paraId="6A1D86FD">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rPr>
            </w:pPr>
          </w:p>
        </w:tc>
        <w:tc>
          <w:tcPr>
            <w:tcW w:w="2794" w:type="dxa"/>
            <w:vAlign w:val="center"/>
          </w:tcPr>
          <w:p w14:paraId="638A86B9">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zh-CN"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山西农业大学农学院（秦丽霞）</w:t>
            </w:r>
          </w:p>
        </w:tc>
        <w:tc>
          <w:tcPr>
            <w:tcW w:w="1573" w:type="dxa"/>
            <w:vAlign w:val="center"/>
          </w:tcPr>
          <w:p w14:paraId="0814AA94">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val="en-US" w:eastAsia="zh-CN"/>
              </w:rPr>
              <w:t>不</w:t>
            </w: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3DC4907F">
            <w:pPr>
              <w:numPr>
                <w:ilvl w:val="0"/>
                <w:numId w:val="0"/>
              </w:numPr>
              <w:jc w:val="both"/>
              <w:rPr>
                <w:rFonts w:hint="default" w:asciiTheme="minorEastAsia" w:hAnsiTheme="minorEastAsia" w:eastAsiaTheme="minorEastAsia" w:cstheme="minorEastAsia"/>
                <w:b w:val="0"/>
                <w:bCs w:val="0"/>
                <w:sz w:val="18"/>
                <w:szCs w:val="18"/>
                <w:lang w:val="en-US" w:eastAsia="zh-CN"/>
              </w:rPr>
            </w:pPr>
            <w:r>
              <w:rPr>
                <w:rFonts w:hint="eastAsia" w:asciiTheme="minorEastAsia" w:hAnsiTheme="minorEastAsia" w:eastAsiaTheme="minorEastAsia" w:cstheme="minorEastAsia"/>
                <w:b w:val="0"/>
                <w:bCs w:val="0"/>
                <w:sz w:val="18"/>
                <w:szCs w:val="18"/>
                <w:lang w:val="en-US" w:eastAsia="zh-CN"/>
              </w:rPr>
              <w:t>原文更适合标准修订要求</w:t>
            </w:r>
          </w:p>
        </w:tc>
      </w:tr>
      <w:tr w14:paraId="6C7286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6FA5662B">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ascii="Arial" w:hAnsi="Arial" w:eastAsia="宋体" w:cs="Arial"/>
                <w:snapToGrid w:val="0"/>
                <w:color w:val="000000"/>
                <w:kern w:val="0"/>
                <w:sz w:val="21"/>
                <w:szCs w:val="21"/>
                <w:lang w:val="en-US" w:eastAsia="zh-CN" w:bidi="ar-SA"/>
              </w:rPr>
              <w:t>26</w:t>
            </w:r>
          </w:p>
        </w:tc>
        <w:tc>
          <w:tcPr>
            <w:tcW w:w="1516" w:type="dxa"/>
            <w:vAlign w:val="top"/>
          </w:tcPr>
          <w:p w14:paraId="56EB0EF9">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zh-CN"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3.3</w:t>
            </w:r>
          </w:p>
        </w:tc>
        <w:tc>
          <w:tcPr>
            <w:tcW w:w="3740" w:type="dxa"/>
            <w:vAlign w:val="center"/>
          </w:tcPr>
          <w:p w14:paraId="7CFD9610">
            <w:pPr>
              <w:numPr>
                <w:ilvl w:val="0"/>
                <w:numId w:val="0"/>
              </w:numPr>
              <w:jc w:val="both"/>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rPr>
              <w:t>土壤改良剂：详阐述本标准中所采用的腐殖酸、含硫化合物和微量元素为主的物料的作用机制及其对盐碱地土壤特性的具体改善效果，增强种植者对土壤改良过程的理解。</w:t>
            </w:r>
          </w:p>
        </w:tc>
        <w:tc>
          <w:tcPr>
            <w:tcW w:w="2794" w:type="dxa"/>
            <w:vAlign w:val="center"/>
          </w:tcPr>
          <w:p w14:paraId="51D19021">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山西农业大学农学院（秦丽霞）</w:t>
            </w:r>
          </w:p>
        </w:tc>
        <w:tc>
          <w:tcPr>
            <w:tcW w:w="1573" w:type="dxa"/>
            <w:vAlign w:val="center"/>
          </w:tcPr>
          <w:p w14:paraId="3853F479">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val="en-US" w:eastAsia="zh-CN"/>
              </w:rPr>
              <w:t>不</w:t>
            </w: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1ECC31E7">
            <w:pPr>
              <w:numPr>
                <w:ilvl w:val="0"/>
                <w:numId w:val="0"/>
              </w:numPr>
              <w:jc w:val="both"/>
              <w:rPr>
                <w:rFonts w:hint="default" w:asciiTheme="minorEastAsia" w:hAnsiTheme="minorEastAsia" w:eastAsiaTheme="minorEastAsia" w:cstheme="minorEastAsia"/>
                <w:b w:val="0"/>
                <w:bCs w:val="0"/>
                <w:sz w:val="18"/>
                <w:szCs w:val="18"/>
                <w:lang w:val="en-US" w:eastAsia="zh-CN"/>
              </w:rPr>
            </w:pPr>
            <w:r>
              <w:rPr>
                <w:rFonts w:hint="eastAsia" w:asciiTheme="minorEastAsia" w:hAnsiTheme="minorEastAsia" w:eastAsiaTheme="minorEastAsia" w:cstheme="minorEastAsia"/>
                <w:b w:val="0"/>
                <w:bCs w:val="0"/>
                <w:sz w:val="18"/>
                <w:szCs w:val="18"/>
                <w:lang w:val="en-US" w:eastAsia="zh-CN"/>
              </w:rPr>
              <w:t>改良剂作用机制与效果在编制说明中体现，文本中不再阐述。</w:t>
            </w:r>
          </w:p>
        </w:tc>
      </w:tr>
      <w:tr w14:paraId="59218E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2BC5F882">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ascii="Arial" w:hAnsi="Arial" w:eastAsia="宋体" w:cs="Arial"/>
                <w:snapToGrid w:val="0"/>
                <w:color w:val="000000"/>
                <w:kern w:val="0"/>
                <w:sz w:val="21"/>
                <w:szCs w:val="21"/>
                <w:lang w:val="en-US" w:eastAsia="zh-CN" w:bidi="ar-SA"/>
              </w:rPr>
              <w:t>30</w:t>
            </w:r>
          </w:p>
        </w:tc>
        <w:tc>
          <w:tcPr>
            <w:tcW w:w="1516" w:type="dxa"/>
            <w:vAlign w:val="top"/>
          </w:tcPr>
          <w:p w14:paraId="2E6C2BB3">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zh-CN"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10</w:t>
            </w:r>
          </w:p>
        </w:tc>
        <w:tc>
          <w:tcPr>
            <w:tcW w:w="3740" w:type="dxa"/>
            <w:vAlign w:val="center"/>
          </w:tcPr>
          <w:p w14:paraId="7856D332">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rPr>
              <w:t>病虫害防治：除防治方法外，补充病虫害的危害特征和发生规律，以便种植者能及时准确识别并预防。</w:t>
            </w:r>
          </w:p>
        </w:tc>
        <w:tc>
          <w:tcPr>
            <w:tcW w:w="2794" w:type="dxa"/>
            <w:vAlign w:val="center"/>
          </w:tcPr>
          <w:p w14:paraId="0CC40896">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山西农业大学农学院（秦丽霞）</w:t>
            </w:r>
          </w:p>
        </w:tc>
        <w:tc>
          <w:tcPr>
            <w:tcW w:w="1573" w:type="dxa"/>
            <w:vAlign w:val="center"/>
          </w:tcPr>
          <w:p w14:paraId="7966B501">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val="en-US" w:eastAsia="zh-CN"/>
              </w:rPr>
              <w:t>部分</w:t>
            </w: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5A7B6A8D">
            <w:pPr>
              <w:numPr>
                <w:ilvl w:val="0"/>
                <w:numId w:val="0"/>
              </w:numPr>
              <w:jc w:val="both"/>
              <w:rPr>
                <w:rFonts w:hint="eastAsia" w:asciiTheme="minorEastAsia" w:hAnsiTheme="minorEastAsia" w:eastAsiaTheme="minorEastAsia" w:cstheme="minorEastAsia"/>
                <w:b w:val="0"/>
                <w:bCs w:val="0"/>
                <w:sz w:val="18"/>
                <w:szCs w:val="18"/>
                <w:lang w:val="en-US" w:eastAsia="zh-CN"/>
              </w:rPr>
            </w:pPr>
            <w:r>
              <w:rPr>
                <w:rFonts w:hint="eastAsia" w:asciiTheme="minorEastAsia" w:hAnsiTheme="minorEastAsia" w:eastAsiaTheme="minorEastAsia" w:cstheme="minorEastAsia"/>
                <w:b w:val="0"/>
                <w:bCs w:val="0"/>
                <w:sz w:val="18"/>
                <w:szCs w:val="18"/>
              </w:rPr>
              <w:t>病虫害的危害特征和发生规律</w:t>
            </w:r>
            <w:r>
              <w:rPr>
                <w:rFonts w:hint="eastAsia" w:asciiTheme="minorEastAsia" w:hAnsiTheme="minorEastAsia" w:eastAsiaTheme="minorEastAsia" w:cstheme="minorEastAsia"/>
                <w:b w:val="0"/>
                <w:bCs w:val="0"/>
                <w:sz w:val="18"/>
                <w:szCs w:val="18"/>
                <w:lang w:val="en-US" w:eastAsia="zh-CN"/>
              </w:rPr>
              <w:t>不应在文本中出现，但可</w:t>
            </w:r>
            <w:r>
              <w:rPr>
                <w:rFonts w:hint="eastAsia" w:asciiTheme="minorEastAsia" w:hAnsiTheme="minorEastAsia" w:eastAsiaTheme="minorEastAsia" w:cstheme="minorEastAsia"/>
                <w:b w:val="0"/>
                <w:bCs w:val="0"/>
                <w:sz w:val="18"/>
                <w:szCs w:val="18"/>
              </w:rPr>
              <w:t>增加病虫害防治的条件</w:t>
            </w:r>
            <w:r>
              <w:rPr>
                <w:rFonts w:hint="eastAsia" w:asciiTheme="minorEastAsia" w:hAnsiTheme="minorEastAsia" w:eastAsiaTheme="minorEastAsia" w:cstheme="minorEastAsia"/>
                <w:b w:val="0"/>
                <w:bCs w:val="0"/>
                <w:sz w:val="18"/>
                <w:szCs w:val="18"/>
                <w:lang w:eastAsia="zh-CN"/>
              </w:rPr>
              <w:t>。</w:t>
            </w:r>
          </w:p>
        </w:tc>
      </w:tr>
      <w:tr w14:paraId="21A7A8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2A451A7D">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ascii="Arial" w:hAnsi="Arial" w:eastAsia="宋体" w:cs="Arial"/>
                <w:snapToGrid w:val="0"/>
                <w:color w:val="000000"/>
                <w:kern w:val="0"/>
                <w:sz w:val="21"/>
                <w:szCs w:val="21"/>
                <w:lang w:val="en-US" w:eastAsia="zh-CN" w:bidi="ar-SA"/>
              </w:rPr>
              <w:t>31</w:t>
            </w:r>
          </w:p>
        </w:tc>
        <w:tc>
          <w:tcPr>
            <w:tcW w:w="1516" w:type="dxa"/>
            <w:vAlign w:val="top"/>
          </w:tcPr>
          <w:p w14:paraId="1D49A4B3">
            <w:pPr>
              <w:widowControl/>
              <w:kinsoku w:val="0"/>
              <w:autoSpaceDE w:val="0"/>
              <w:autoSpaceDN w:val="0"/>
              <w:adjustRightInd w:val="0"/>
              <w:snapToGrid w:val="0"/>
              <w:spacing w:before="208" w:line="179" w:lineRule="auto"/>
              <w:ind w:left="524"/>
              <w:jc w:val="left"/>
              <w:textAlignment w:val="baseline"/>
              <w:rPr>
                <w:rFonts w:hint="eastAsia" w:asciiTheme="minorEastAsia" w:hAnsiTheme="minorEastAsia" w:eastAsiaTheme="minorEastAsia" w:cstheme="minorEastAsia"/>
                <w:b w:val="0"/>
                <w:bCs w:val="0"/>
                <w:snapToGrid w:val="0"/>
                <w:color w:val="000000"/>
                <w:kern w:val="0"/>
                <w:sz w:val="18"/>
                <w:szCs w:val="18"/>
                <w:lang w:val="en-US" w:eastAsia="zh-CN"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7.2.1</w:t>
            </w:r>
          </w:p>
        </w:tc>
        <w:tc>
          <w:tcPr>
            <w:tcW w:w="3740" w:type="dxa"/>
            <w:vAlign w:val="center"/>
          </w:tcPr>
          <w:p w14:paraId="124B2531">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rPr>
              <w:t>“全膜双垄沟播”与“播种深度”内容有重复，可以去除其中一块。</w:t>
            </w:r>
          </w:p>
        </w:tc>
        <w:tc>
          <w:tcPr>
            <w:tcW w:w="2794" w:type="dxa"/>
            <w:vAlign w:val="center"/>
          </w:tcPr>
          <w:p w14:paraId="462FE82E">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山西农业大学农学院（秦丽霞）</w:t>
            </w:r>
          </w:p>
        </w:tc>
        <w:tc>
          <w:tcPr>
            <w:tcW w:w="1573" w:type="dxa"/>
            <w:vAlign w:val="center"/>
          </w:tcPr>
          <w:p w14:paraId="543E1E98">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val="en-US" w:eastAsia="zh-CN"/>
              </w:rPr>
              <w:t>不</w:t>
            </w: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6AED770B">
            <w:pPr>
              <w:numPr>
                <w:ilvl w:val="0"/>
                <w:numId w:val="0"/>
              </w:numPr>
              <w:jc w:val="both"/>
              <w:rPr>
                <w:rFonts w:hint="default" w:asciiTheme="minorEastAsia" w:hAnsiTheme="minorEastAsia" w:eastAsiaTheme="minorEastAsia" w:cstheme="minorEastAsia"/>
                <w:b w:val="0"/>
                <w:bCs w:val="0"/>
                <w:sz w:val="18"/>
                <w:szCs w:val="18"/>
                <w:lang w:val="en-US" w:eastAsia="zh-CN"/>
              </w:rPr>
            </w:pPr>
            <w:r>
              <w:rPr>
                <w:rFonts w:hint="eastAsia" w:asciiTheme="minorEastAsia" w:hAnsiTheme="minorEastAsia" w:eastAsiaTheme="minorEastAsia" w:cstheme="minorEastAsia"/>
                <w:b w:val="0"/>
                <w:bCs w:val="0"/>
                <w:sz w:val="18"/>
                <w:szCs w:val="18"/>
              </w:rPr>
              <w:t>“播种深度”</w:t>
            </w:r>
            <w:r>
              <w:rPr>
                <w:rFonts w:hint="eastAsia" w:asciiTheme="minorEastAsia" w:hAnsiTheme="minorEastAsia" w:eastAsiaTheme="minorEastAsia" w:cstheme="minorEastAsia"/>
                <w:b w:val="0"/>
                <w:bCs w:val="0"/>
                <w:sz w:val="18"/>
                <w:szCs w:val="18"/>
                <w:lang w:val="en-US" w:eastAsia="zh-CN"/>
              </w:rPr>
              <w:t>应明确</w:t>
            </w:r>
          </w:p>
        </w:tc>
      </w:tr>
      <w:tr w14:paraId="084763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1114" w:type="dxa"/>
            <w:vAlign w:val="top"/>
          </w:tcPr>
          <w:p w14:paraId="54239E9A">
            <w:pPr>
              <w:widowControl/>
              <w:kinsoku w:val="0"/>
              <w:autoSpaceDE w:val="0"/>
              <w:autoSpaceDN w:val="0"/>
              <w:adjustRightInd w:val="0"/>
              <w:snapToGrid w:val="0"/>
              <w:spacing w:before="208" w:line="179" w:lineRule="auto"/>
              <w:ind w:left="524"/>
              <w:jc w:val="left"/>
              <w:textAlignment w:val="baseline"/>
              <w:rPr>
                <w:rFonts w:hint="default" w:ascii="Arial" w:hAnsi="Arial" w:eastAsia="宋体" w:cs="Arial"/>
                <w:snapToGrid w:val="0"/>
                <w:color w:val="000000"/>
                <w:kern w:val="0"/>
                <w:sz w:val="21"/>
                <w:szCs w:val="21"/>
                <w:lang w:val="en-US" w:eastAsia="zh-CN" w:bidi="ar-SA"/>
              </w:rPr>
            </w:pPr>
            <w:r>
              <w:rPr>
                <w:rFonts w:hint="eastAsia" w:ascii="Arial" w:hAnsi="Arial" w:eastAsia="宋体" w:cs="Arial"/>
                <w:snapToGrid w:val="0"/>
                <w:color w:val="000000"/>
                <w:kern w:val="0"/>
                <w:sz w:val="21"/>
                <w:szCs w:val="21"/>
                <w:lang w:val="en-US" w:eastAsia="zh-CN" w:bidi="ar-SA"/>
              </w:rPr>
              <w:t>32</w:t>
            </w:r>
          </w:p>
        </w:tc>
        <w:tc>
          <w:tcPr>
            <w:tcW w:w="1516" w:type="dxa"/>
            <w:vAlign w:val="top"/>
          </w:tcPr>
          <w:p w14:paraId="07DCF022">
            <w:pPr>
              <w:kinsoku w:val="0"/>
              <w:autoSpaceDE w:val="0"/>
              <w:autoSpaceDN w:val="0"/>
              <w:adjustRightInd w:val="0"/>
              <w:snapToGrid w:val="0"/>
              <w:spacing w:line="240" w:lineRule="auto"/>
              <w:jc w:val="left"/>
              <w:textAlignment w:val="baseline"/>
              <w:rPr>
                <w:rFonts w:hint="eastAsia" w:asciiTheme="minorEastAsia" w:hAnsiTheme="minorEastAsia" w:eastAsiaTheme="minorEastAsia" w:cstheme="minorEastAsia"/>
                <w:b w:val="0"/>
                <w:bCs w:val="0"/>
                <w:sz w:val="18"/>
                <w:szCs w:val="18"/>
              </w:rPr>
            </w:pPr>
          </w:p>
        </w:tc>
        <w:tc>
          <w:tcPr>
            <w:tcW w:w="3740" w:type="dxa"/>
            <w:vAlign w:val="center"/>
          </w:tcPr>
          <w:p w14:paraId="22590291">
            <w:pPr>
              <w:kinsoku w:val="0"/>
              <w:autoSpaceDE w:val="0"/>
              <w:autoSpaceDN w:val="0"/>
              <w:adjustRightInd w:val="0"/>
              <w:snapToGrid w:val="0"/>
              <w:spacing w:line="240" w:lineRule="auto"/>
              <w:jc w:val="both"/>
              <w:textAlignment w:val="baseline"/>
              <w:rPr>
                <w:rFonts w:hint="eastAsia" w:asciiTheme="minorEastAsia" w:hAnsiTheme="minorEastAsia" w:eastAsiaTheme="minorEastAsia" w:cstheme="minorEastAsia"/>
                <w:b w:val="0"/>
                <w:bCs w:val="0"/>
                <w:sz w:val="18"/>
                <w:szCs w:val="18"/>
              </w:rPr>
            </w:pPr>
            <w:r>
              <w:rPr>
                <w:rFonts w:hint="eastAsia" w:asciiTheme="minorEastAsia" w:hAnsiTheme="minorEastAsia" w:eastAsiaTheme="minorEastAsia" w:cstheme="minorEastAsia"/>
                <w:b w:val="0"/>
                <w:bCs w:val="0"/>
                <w:sz w:val="18"/>
                <w:szCs w:val="18"/>
              </w:rPr>
              <w:t>对于文中出现的专业术语，如“ESP”，如果首次出现且不被大众熟知，应在第一次出现时给出完整中文解释，并在后续使用中保持一致。如果不同部分有不同侧重点解释，应明确说明差异。</w:t>
            </w:r>
          </w:p>
        </w:tc>
        <w:tc>
          <w:tcPr>
            <w:tcW w:w="2794" w:type="dxa"/>
            <w:vAlign w:val="center"/>
          </w:tcPr>
          <w:p w14:paraId="43569F95">
            <w:pPr>
              <w:kinsoku w:val="0"/>
              <w:autoSpaceDE w:val="0"/>
              <w:autoSpaceDN w:val="0"/>
              <w:adjustRightInd w:val="0"/>
              <w:snapToGrid w:val="0"/>
              <w:spacing w:line="240" w:lineRule="auto"/>
              <w:jc w:val="center"/>
              <w:textAlignment w:val="baseline"/>
              <w:rPr>
                <w:rFonts w:hint="eastAsia" w:asciiTheme="minorEastAsia" w:hAnsiTheme="minorEastAsia" w:eastAsiaTheme="minorEastAsia" w:cstheme="minorEastAsia"/>
                <w:b w:val="0"/>
                <w:bCs w:val="0"/>
                <w:snapToGrid w:val="0"/>
                <w:color w:val="000000"/>
                <w:kern w:val="0"/>
                <w:sz w:val="18"/>
                <w:szCs w:val="18"/>
                <w:lang w:val="en-US" w:eastAsia="en-US" w:bidi="ar-SA"/>
              </w:rPr>
            </w:pPr>
            <w:r>
              <w:rPr>
                <w:rFonts w:hint="eastAsia" w:asciiTheme="minorEastAsia" w:hAnsiTheme="minorEastAsia" w:eastAsiaTheme="minorEastAsia" w:cstheme="minorEastAsia"/>
                <w:b w:val="0"/>
                <w:bCs w:val="0"/>
                <w:snapToGrid w:val="0"/>
                <w:color w:val="000000"/>
                <w:kern w:val="0"/>
                <w:sz w:val="18"/>
                <w:szCs w:val="18"/>
                <w:lang w:val="en-US" w:eastAsia="zh-CN" w:bidi="ar-SA"/>
              </w:rPr>
              <w:t>山西农业大学农学院（秦丽霞）</w:t>
            </w:r>
          </w:p>
        </w:tc>
        <w:tc>
          <w:tcPr>
            <w:tcW w:w="1573" w:type="dxa"/>
            <w:vAlign w:val="center"/>
          </w:tcPr>
          <w:p w14:paraId="7C19460D">
            <w:pPr>
              <w:numPr>
                <w:ilvl w:val="0"/>
                <w:numId w:val="0"/>
              </w:numPr>
              <w:jc w:val="center"/>
              <w:rPr>
                <w:rFonts w:hint="eastAsia" w:asciiTheme="minorEastAsia" w:hAnsiTheme="minorEastAsia" w:eastAsiaTheme="minorEastAsia" w:cstheme="minorEastAsia"/>
                <w:b w:val="0"/>
                <w:bCs w:val="0"/>
                <w:sz w:val="18"/>
                <w:szCs w:val="18"/>
                <w:lang w:val="en-US" w:eastAsia="en-US"/>
              </w:rPr>
            </w:pPr>
            <w:r>
              <w:rPr>
                <w:rFonts w:hint="eastAsia" w:asciiTheme="minorEastAsia" w:hAnsiTheme="minorEastAsia" w:eastAsiaTheme="minorEastAsia" w:cstheme="minorEastAsia"/>
                <w:b w:val="0"/>
                <w:bCs w:val="0"/>
                <w:sz w:val="18"/>
                <w:szCs w:val="18"/>
                <w:lang w:val="en-US" w:eastAsia="zh-CN"/>
              </w:rPr>
              <w:t>部分</w:t>
            </w:r>
            <w:r>
              <w:rPr>
                <w:rFonts w:hint="eastAsia" w:asciiTheme="minorEastAsia" w:hAnsiTheme="minorEastAsia" w:eastAsiaTheme="minorEastAsia" w:cstheme="minorEastAsia"/>
                <w:b w:val="0"/>
                <w:bCs w:val="0"/>
                <w:sz w:val="18"/>
                <w:szCs w:val="18"/>
                <w:lang w:eastAsia="en-US"/>
              </w:rPr>
              <w:t>采纳</w:t>
            </w:r>
          </w:p>
        </w:tc>
        <w:tc>
          <w:tcPr>
            <w:tcW w:w="3201" w:type="dxa"/>
            <w:vAlign w:val="center"/>
          </w:tcPr>
          <w:p w14:paraId="12CEED0D">
            <w:pPr>
              <w:numPr>
                <w:ilvl w:val="0"/>
                <w:numId w:val="0"/>
              </w:numPr>
              <w:jc w:val="both"/>
              <w:rPr>
                <w:rFonts w:hint="default" w:asciiTheme="minorEastAsia" w:hAnsiTheme="minorEastAsia" w:eastAsiaTheme="minorEastAsia" w:cstheme="minorEastAsia"/>
                <w:b w:val="0"/>
                <w:bCs w:val="0"/>
                <w:sz w:val="18"/>
                <w:szCs w:val="18"/>
                <w:lang w:val="en-US" w:eastAsia="zh-CN"/>
              </w:rPr>
            </w:pPr>
            <w:r>
              <w:rPr>
                <w:rFonts w:hint="eastAsia" w:asciiTheme="minorEastAsia" w:hAnsiTheme="minorEastAsia" w:eastAsiaTheme="minorEastAsia" w:cstheme="minorEastAsia"/>
                <w:b w:val="0"/>
                <w:bCs w:val="0"/>
                <w:sz w:val="18"/>
                <w:szCs w:val="18"/>
                <w:lang w:val="en-US" w:eastAsia="zh-CN"/>
              </w:rPr>
              <w:t>较常规的专业术语从业者应了解，无需解释。</w:t>
            </w:r>
          </w:p>
        </w:tc>
      </w:tr>
      <w:tr w14:paraId="3B27EF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00" w:hRule="atLeast"/>
        </w:trPr>
        <w:tc>
          <w:tcPr>
            <w:tcW w:w="13938" w:type="dxa"/>
            <w:gridSpan w:val="6"/>
            <w:vAlign w:val="top"/>
          </w:tcPr>
          <w:p w14:paraId="25F1A0F3">
            <w:pPr>
              <w:widowControl/>
              <w:kinsoku w:val="0"/>
              <w:autoSpaceDE w:val="0"/>
              <w:autoSpaceDN w:val="0"/>
              <w:adjustRightInd w:val="0"/>
              <w:snapToGrid w:val="0"/>
              <w:spacing w:before="67" w:line="220" w:lineRule="auto"/>
              <w:ind w:left="476"/>
              <w:jc w:val="left"/>
              <w:textAlignment w:val="baseline"/>
              <w:rPr>
                <w:rFonts w:ascii="宋体" w:hAnsi="宋体" w:eastAsia="宋体" w:cs="宋体"/>
                <w:snapToGrid w:val="0"/>
                <w:color w:val="000000"/>
                <w:kern w:val="0"/>
                <w:sz w:val="18"/>
                <w:szCs w:val="18"/>
                <w:lang w:eastAsia="en-US"/>
              </w:rPr>
            </w:pPr>
            <w:r>
              <w:rPr>
                <w:rFonts w:ascii="宋体" w:hAnsi="宋体" w:eastAsia="宋体" w:cs="宋体"/>
                <w:snapToGrid w:val="0"/>
                <w:color w:val="000000"/>
                <w:spacing w:val="-1"/>
                <w:kern w:val="0"/>
                <w:sz w:val="18"/>
                <w:szCs w:val="18"/>
                <w:lang w:eastAsia="en-US"/>
              </w:rPr>
              <w:t>说明：</w:t>
            </w:r>
            <w:r>
              <w:rPr>
                <w:rFonts w:ascii="Calibri" w:hAnsi="Calibri" w:eastAsia="Calibri" w:cs="Calibri"/>
                <w:snapToGrid w:val="0"/>
                <w:color w:val="000000"/>
                <w:spacing w:val="-1"/>
                <w:kern w:val="0"/>
                <w:sz w:val="18"/>
                <w:szCs w:val="18"/>
                <w:lang w:eastAsia="en-US"/>
              </w:rPr>
              <w:t>1</w:t>
            </w:r>
            <w:r>
              <w:rPr>
                <w:rFonts w:ascii="宋体" w:hAnsi="宋体" w:eastAsia="宋体" w:cs="宋体"/>
                <w:snapToGrid w:val="0"/>
                <w:color w:val="000000"/>
                <w:spacing w:val="-1"/>
                <w:kern w:val="0"/>
                <w:sz w:val="18"/>
                <w:szCs w:val="18"/>
                <w:lang w:eastAsia="en-US"/>
              </w:rPr>
              <w:t>、针对明确回复无意见的单位，请在“意见内容”中注明无意见，在“提出单位”中列出无意见单位的名称。</w:t>
            </w:r>
          </w:p>
          <w:p w14:paraId="6F975091">
            <w:pPr>
              <w:widowControl/>
              <w:kinsoku w:val="0"/>
              <w:autoSpaceDE w:val="0"/>
              <w:autoSpaceDN w:val="0"/>
              <w:adjustRightInd w:val="0"/>
              <w:snapToGrid w:val="0"/>
              <w:spacing w:before="98" w:line="306" w:lineRule="auto"/>
              <w:ind w:left="1074" w:right="289" w:hanging="61"/>
              <w:jc w:val="left"/>
              <w:textAlignment w:val="baseline"/>
              <w:rPr>
                <w:rFonts w:ascii="宋体" w:hAnsi="宋体" w:eastAsia="宋体" w:cs="宋体"/>
                <w:snapToGrid w:val="0"/>
                <w:color w:val="000000"/>
                <w:kern w:val="0"/>
                <w:sz w:val="18"/>
                <w:szCs w:val="18"/>
                <w:lang w:eastAsia="en-US"/>
              </w:rPr>
            </w:pPr>
            <w:r>
              <w:rPr>
                <w:rFonts w:ascii="Calibri" w:hAnsi="Calibri" w:eastAsia="Calibri" w:cs="Calibri"/>
                <w:snapToGrid w:val="0"/>
                <w:color w:val="000000"/>
                <w:spacing w:val="-1"/>
                <w:kern w:val="0"/>
                <w:sz w:val="18"/>
                <w:szCs w:val="18"/>
                <w:lang w:eastAsia="en-US"/>
              </w:rPr>
              <w:t>2</w:t>
            </w:r>
            <w:r>
              <w:rPr>
                <w:rFonts w:ascii="Calibri" w:hAnsi="Calibri" w:eastAsia="Calibri" w:cs="Calibri"/>
                <w:snapToGrid w:val="0"/>
                <w:color w:val="000000"/>
                <w:spacing w:val="-18"/>
                <w:kern w:val="0"/>
                <w:sz w:val="18"/>
                <w:szCs w:val="18"/>
                <w:lang w:eastAsia="en-US"/>
              </w:rPr>
              <w:t xml:space="preserve"> </w:t>
            </w:r>
            <w:r>
              <w:rPr>
                <w:rFonts w:ascii="宋体" w:hAnsi="宋体" w:eastAsia="宋体" w:cs="宋体"/>
                <w:snapToGrid w:val="0"/>
                <w:color w:val="000000"/>
                <w:spacing w:val="-1"/>
                <w:kern w:val="0"/>
                <w:sz w:val="18"/>
                <w:szCs w:val="18"/>
                <w:lang w:eastAsia="en-US"/>
              </w:rPr>
              <w:t>、发送征求意见稿单位数</w:t>
            </w:r>
            <w:r>
              <w:rPr>
                <w:rFonts w:ascii="宋体" w:hAnsi="宋体" w:eastAsia="宋体" w:cs="宋体"/>
                <w:snapToGrid w:val="0"/>
                <w:color w:val="000000"/>
                <w:spacing w:val="-1"/>
                <w:kern w:val="0"/>
                <w:sz w:val="18"/>
                <w:szCs w:val="18"/>
                <w:u w:val="single" w:color="auto"/>
                <w:lang w:eastAsia="en-US"/>
              </w:rPr>
              <w:t xml:space="preserve">  </w:t>
            </w:r>
            <w:r>
              <w:rPr>
                <w:rFonts w:hint="eastAsia" w:ascii="宋体" w:hAnsi="宋体" w:cs="宋体"/>
                <w:snapToGrid w:val="0"/>
                <w:color w:val="000000"/>
                <w:spacing w:val="-1"/>
                <w:kern w:val="0"/>
                <w:sz w:val="18"/>
                <w:szCs w:val="18"/>
                <w:u w:val="single" w:color="auto"/>
                <w:lang w:val="en-US" w:eastAsia="zh-CN"/>
              </w:rPr>
              <w:t>6</w:t>
            </w:r>
            <w:r>
              <w:rPr>
                <w:rFonts w:ascii="宋体" w:hAnsi="宋体" w:eastAsia="宋体" w:cs="宋体"/>
                <w:snapToGrid w:val="0"/>
                <w:color w:val="000000"/>
                <w:spacing w:val="-1"/>
                <w:kern w:val="0"/>
                <w:sz w:val="18"/>
                <w:szCs w:val="18"/>
                <w:u w:val="single" w:color="auto"/>
                <w:lang w:eastAsia="en-US"/>
              </w:rPr>
              <w:t xml:space="preserve">  </w:t>
            </w:r>
            <w:r>
              <w:rPr>
                <w:rFonts w:ascii="宋体" w:hAnsi="宋体" w:eastAsia="宋体" w:cs="宋体"/>
                <w:snapToGrid w:val="0"/>
                <w:color w:val="000000"/>
                <w:spacing w:val="-83"/>
                <w:kern w:val="0"/>
                <w:sz w:val="18"/>
                <w:szCs w:val="18"/>
                <w:lang w:eastAsia="en-US"/>
              </w:rPr>
              <w:t xml:space="preserve"> </w:t>
            </w:r>
            <w:r>
              <w:rPr>
                <w:rFonts w:ascii="宋体" w:hAnsi="宋体" w:eastAsia="宋体" w:cs="宋体"/>
                <w:snapToGrid w:val="0"/>
                <w:color w:val="000000"/>
                <w:spacing w:val="-1"/>
                <w:kern w:val="0"/>
                <w:sz w:val="18"/>
                <w:szCs w:val="18"/>
                <w:lang w:eastAsia="en-US"/>
              </w:rPr>
              <w:t>个；回到征求意见稿回函的单位数</w:t>
            </w:r>
            <w:r>
              <w:rPr>
                <w:rFonts w:ascii="宋体" w:hAnsi="宋体" w:eastAsia="宋体" w:cs="宋体"/>
                <w:snapToGrid w:val="0"/>
                <w:color w:val="000000"/>
                <w:spacing w:val="-89"/>
                <w:kern w:val="0"/>
                <w:sz w:val="18"/>
                <w:szCs w:val="18"/>
                <w:lang w:eastAsia="en-US"/>
              </w:rPr>
              <w:t xml:space="preserve"> </w:t>
            </w:r>
            <w:r>
              <w:rPr>
                <w:rFonts w:ascii="宋体" w:hAnsi="宋体" w:eastAsia="宋体" w:cs="宋体"/>
                <w:snapToGrid w:val="0"/>
                <w:color w:val="000000"/>
                <w:kern w:val="0"/>
                <w:sz w:val="18"/>
                <w:szCs w:val="18"/>
                <w:u w:val="single" w:color="auto"/>
                <w:lang w:eastAsia="en-US"/>
              </w:rPr>
              <w:t xml:space="preserve"> </w:t>
            </w:r>
            <w:r>
              <w:rPr>
                <w:rFonts w:hint="eastAsia" w:ascii="宋体" w:hAnsi="宋体" w:cs="宋体"/>
                <w:snapToGrid w:val="0"/>
                <w:color w:val="000000"/>
                <w:kern w:val="0"/>
                <w:sz w:val="18"/>
                <w:szCs w:val="18"/>
                <w:u w:val="single" w:color="auto"/>
                <w:lang w:val="en-US" w:eastAsia="zh-CN"/>
              </w:rPr>
              <w:t>6</w:t>
            </w:r>
            <w:r>
              <w:rPr>
                <w:rFonts w:ascii="宋体" w:hAnsi="宋体" w:eastAsia="宋体" w:cs="宋体"/>
                <w:snapToGrid w:val="0"/>
                <w:color w:val="000000"/>
                <w:kern w:val="0"/>
                <w:sz w:val="18"/>
                <w:szCs w:val="18"/>
                <w:u w:val="single" w:color="auto"/>
                <w:lang w:eastAsia="en-US"/>
              </w:rPr>
              <w:t xml:space="preserve"> </w:t>
            </w:r>
            <w:r>
              <w:rPr>
                <w:rFonts w:ascii="宋体" w:hAnsi="宋体" w:eastAsia="宋体" w:cs="宋体"/>
                <w:snapToGrid w:val="0"/>
                <w:color w:val="000000"/>
                <w:spacing w:val="-81"/>
                <w:kern w:val="0"/>
                <w:sz w:val="18"/>
                <w:szCs w:val="18"/>
                <w:lang w:eastAsia="en-US"/>
              </w:rPr>
              <w:t xml:space="preserve"> </w:t>
            </w:r>
            <w:r>
              <w:rPr>
                <w:rFonts w:ascii="宋体" w:hAnsi="宋体" w:eastAsia="宋体" w:cs="宋体"/>
                <w:snapToGrid w:val="0"/>
                <w:color w:val="000000"/>
                <w:spacing w:val="-1"/>
                <w:kern w:val="0"/>
                <w:sz w:val="18"/>
                <w:szCs w:val="18"/>
                <w:lang w:eastAsia="en-US"/>
              </w:rPr>
              <w:t>个；收到征求意见稿并提出意见的单位数</w:t>
            </w:r>
            <w:r>
              <w:rPr>
                <w:rFonts w:ascii="宋体" w:hAnsi="宋体" w:eastAsia="宋体" w:cs="宋体"/>
                <w:snapToGrid w:val="0"/>
                <w:color w:val="000000"/>
                <w:spacing w:val="-89"/>
                <w:kern w:val="0"/>
                <w:sz w:val="18"/>
                <w:szCs w:val="18"/>
                <w:lang w:eastAsia="en-US"/>
              </w:rPr>
              <w:t xml:space="preserve"> </w:t>
            </w:r>
            <w:r>
              <w:rPr>
                <w:rFonts w:ascii="宋体" w:hAnsi="宋体" w:eastAsia="宋体" w:cs="宋体"/>
                <w:snapToGrid w:val="0"/>
                <w:color w:val="000000"/>
                <w:kern w:val="0"/>
                <w:sz w:val="18"/>
                <w:szCs w:val="18"/>
                <w:u w:val="single" w:color="auto"/>
                <w:lang w:eastAsia="en-US"/>
              </w:rPr>
              <w:t xml:space="preserve"> </w:t>
            </w:r>
            <w:r>
              <w:rPr>
                <w:rFonts w:hint="eastAsia" w:ascii="宋体" w:hAnsi="宋体" w:cs="宋体"/>
                <w:snapToGrid w:val="0"/>
                <w:color w:val="000000"/>
                <w:kern w:val="0"/>
                <w:sz w:val="18"/>
                <w:szCs w:val="18"/>
                <w:u w:val="single" w:color="auto"/>
                <w:lang w:val="en-US" w:eastAsia="zh-CN"/>
              </w:rPr>
              <w:t>6</w:t>
            </w:r>
            <w:r>
              <w:rPr>
                <w:rFonts w:hint="eastAsia" w:ascii="宋体" w:hAnsi="宋体" w:eastAsia="宋体" w:cs="宋体"/>
                <w:snapToGrid w:val="0"/>
                <w:color w:val="000000"/>
                <w:kern w:val="0"/>
                <w:sz w:val="18"/>
                <w:szCs w:val="18"/>
                <w:u w:val="single" w:color="auto"/>
                <w:lang w:val="en-US" w:eastAsia="zh-CN"/>
              </w:rPr>
              <w:t xml:space="preserve"> </w:t>
            </w:r>
            <w:r>
              <w:rPr>
                <w:rFonts w:ascii="宋体" w:hAnsi="宋体" w:eastAsia="宋体" w:cs="宋体"/>
                <w:snapToGrid w:val="0"/>
                <w:color w:val="000000"/>
                <w:spacing w:val="-83"/>
                <w:kern w:val="0"/>
                <w:sz w:val="18"/>
                <w:szCs w:val="18"/>
                <w:lang w:eastAsia="en-US"/>
              </w:rPr>
              <w:t xml:space="preserve"> </w:t>
            </w:r>
            <w:r>
              <w:rPr>
                <w:rFonts w:ascii="宋体" w:hAnsi="宋体" w:eastAsia="宋体" w:cs="宋体"/>
                <w:snapToGrid w:val="0"/>
                <w:color w:val="000000"/>
                <w:spacing w:val="-1"/>
                <w:kern w:val="0"/>
                <w:sz w:val="18"/>
                <w:szCs w:val="18"/>
                <w:lang w:eastAsia="en-US"/>
              </w:rPr>
              <w:t>个；没有回函的单位数</w:t>
            </w:r>
            <w:r>
              <w:rPr>
                <w:rFonts w:ascii="宋体" w:hAnsi="宋体" w:eastAsia="宋体" w:cs="宋体"/>
                <w:snapToGrid w:val="0"/>
                <w:color w:val="000000"/>
                <w:spacing w:val="-90"/>
                <w:kern w:val="0"/>
                <w:sz w:val="18"/>
                <w:szCs w:val="18"/>
                <w:lang w:eastAsia="en-US"/>
              </w:rPr>
              <w:t xml:space="preserve"> </w:t>
            </w:r>
            <w:r>
              <w:rPr>
                <w:rFonts w:ascii="宋体" w:hAnsi="宋体" w:eastAsia="宋体" w:cs="宋体"/>
                <w:snapToGrid w:val="0"/>
                <w:color w:val="000000"/>
                <w:kern w:val="0"/>
                <w:sz w:val="18"/>
                <w:szCs w:val="18"/>
                <w:u w:val="single" w:color="auto"/>
                <w:lang w:eastAsia="en-US"/>
              </w:rPr>
              <w:t xml:space="preserve">   </w:t>
            </w:r>
            <w:r>
              <w:rPr>
                <w:rFonts w:hint="eastAsia" w:ascii="宋体" w:hAnsi="宋体" w:eastAsia="宋体" w:cs="宋体"/>
                <w:snapToGrid w:val="0"/>
                <w:color w:val="000000"/>
                <w:kern w:val="0"/>
                <w:sz w:val="18"/>
                <w:szCs w:val="18"/>
                <w:u w:val="single" w:color="auto"/>
                <w:lang w:val="en-US" w:eastAsia="zh-CN"/>
              </w:rPr>
              <w:t>0</w:t>
            </w:r>
            <w:r>
              <w:rPr>
                <w:rFonts w:ascii="宋体" w:hAnsi="宋体" w:eastAsia="宋体" w:cs="宋体"/>
                <w:snapToGrid w:val="0"/>
                <w:color w:val="000000"/>
                <w:kern w:val="0"/>
                <w:sz w:val="18"/>
                <w:szCs w:val="18"/>
                <w:u w:val="single" w:color="auto"/>
                <w:lang w:eastAsia="en-US"/>
              </w:rPr>
              <w:t xml:space="preserve">   </w:t>
            </w:r>
            <w:r>
              <w:rPr>
                <w:rFonts w:ascii="宋体" w:hAnsi="宋体" w:eastAsia="宋体" w:cs="宋体"/>
                <w:snapToGrid w:val="0"/>
                <w:color w:val="000000"/>
                <w:spacing w:val="-82"/>
                <w:kern w:val="0"/>
                <w:sz w:val="18"/>
                <w:szCs w:val="18"/>
                <w:lang w:eastAsia="en-US"/>
              </w:rPr>
              <w:t xml:space="preserve"> </w:t>
            </w:r>
            <w:r>
              <w:rPr>
                <w:rFonts w:ascii="宋体" w:hAnsi="宋体" w:eastAsia="宋体" w:cs="宋体"/>
                <w:snapToGrid w:val="0"/>
                <w:color w:val="000000"/>
                <w:spacing w:val="-1"/>
                <w:kern w:val="0"/>
                <w:sz w:val="18"/>
                <w:szCs w:val="18"/>
                <w:lang w:eastAsia="en-US"/>
              </w:rPr>
              <w:t>个；共收</w:t>
            </w:r>
            <w:r>
              <w:rPr>
                <w:rFonts w:ascii="宋体" w:hAnsi="宋体" w:eastAsia="宋体" w:cs="宋体"/>
                <w:snapToGrid w:val="0"/>
                <w:color w:val="000000"/>
                <w:kern w:val="0"/>
                <w:sz w:val="18"/>
                <w:szCs w:val="18"/>
                <w:lang w:eastAsia="en-US"/>
              </w:rPr>
              <w:t xml:space="preserve"> </w:t>
            </w:r>
            <w:r>
              <w:rPr>
                <w:rFonts w:ascii="宋体" w:hAnsi="宋体" w:eastAsia="宋体" w:cs="宋体"/>
                <w:snapToGrid w:val="0"/>
                <w:color w:val="000000"/>
                <w:spacing w:val="-1"/>
                <w:kern w:val="0"/>
                <w:sz w:val="18"/>
                <w:szCs w:val="18"/>
                <w:lang w:eastAsia="en-US"/>
              </w:rPr>
              <w:t xml:space="preserve">到 </w:t>
            </w:r>
            <w:r>
              <w:rPr>
                <w:rFonts w:ascii="宋体" w:hAnsi="宋体" w:eastAsia="宋体" w:cs="宋体"/>
                <w:snapToGrid w:val="0"/>
                <w:color w:val="000000"/>
                <w:spacing w:val="-1"/>
                <w:kern w:val="0"/>
                <w:sz w:val="18"/>
                <w:szCs w:val="18"/>
                <w:u w:val="single" w:color="auto"/>
                <w:lang w:eastAsia="en-US"/>
              </w:rPr>
              <w:t xml:space="preserve"> </w:t>
            </w:r>
            <w:r>
              <w:rPr>
                <w:rFonts w:hint="eastAsia" w:ascii="宋体" w:hAnsi="宋体" w:eastAsia="宋体" w:cs="宋体"/>
                <w:snapToGrid w:val="0"/>
                <w:color w:val="000000"/>
                <w:spacing w:val="-1"/>
                <w:kern w:val="0"/>
                <w:sz w:val="18"/>
                <w:szCs w:val="18"/>
                <w:u w:val="single" w:color="auto"/>
                <w:lang w:val="en-US" w:eastAsia="zh-CN"/>
              </w:rPr>
              <w:t>32</w:t>
            </w:r>
            <w:r>
              <w:rPr>
                <w:rFonts w:ascii="宋体" w:hAnsi="宋体" w:eastAsia="宋体" w:cs="宋体"/>
                <w:snapToGrid w:val="0"/>
                <w:color w:val="000000"/>
                <w:spacing w:val="-1"/>
                <w:kern w:val="0"/>
                <w:sz w:val="18"/>
                <w:szCs w:val="18"/>
                <w:u w:val="single" w:color="auto"/>
                <w:lang w:eastAsia="en-US"/>
              </w:rPr>
              <w:t xml:space="preserve">      </w:t>
            </w:r>
            <w:r>
              <w:rPr>
                <w:rFonts w:ascii="宋体" w:hAnsi="宋体" w:eastAsia="宋体" w:cs="宋体"/>
                <w:snapToGrid w:val="0"/>
                <w:color w:val="000000"/>
                <w:spacing w:val="-81"/>
                <w:kern w:val="0"/>
                <w:sz w:val="18"/>
                <w:szCs w:val="18"/>
                <w:lang w:eastAsia="en-US"/>
              </w:rPr>
              <w:t xml:space="preserve"> </w:t>
            </w:r>
            <w:r>
              <w:rPr>
                <w:rFonts w:ascii="宋体" w:hAnsi="宋体" w:eastAsia="宋体" w:cs="宋体"/>
                <w:snapToGrid w:val="0"/>
                <w:color w:val="000000"/>
                <w:spacing w:val="-1"/>
                <w:kern w:val="0"/>
                <w:sz w:val="18"/>
                <w:szCs w:val="18"/>
                <w:lang w:eastAsia="en-US"/>
              </w:rPr>
              <w:t>条意见，采纳</w:t>
            </w:r>
            <w:r>
              <w:rPr>
                <w:rFonts w:ascii="宋体" w:hAnsi="宋体" w:eastAsia="宋体" w:cs="宋体"/>
                <w:snapToGrid w:val="0"/>
                <w:color w:val="000000"/>
                <w:spacing w:val="-1"/>
                <w:kern w:val="0"/>
                <w:sz w:val="18"/>
                <w:szCs w:val="18"/>
                <w:u w:val="single" w:color="auto"/>
                <w:lang w:eastAsia="en-US"/>
              </w:rPr>
              <w:t xml:space="preserve">  </w:t>
            </w:r>
            <w:r>
              <w:rPr>
                <w:rFonts w:hint="eastAsia" w:ascii="宋体" w:hAnsi="宋体" w:eastAsia="宋体" w:cs="宋体"/>
                <w:snapToGrid w:val="0"/>
                <w:color w:val="000000"/>
                <w:spacing w:val="-1"/>
                <w:kern w:val="0"/>
                <w:sz w:val="18"/>
                <w:szCs w:val="18"/>
                <w:u w:val="single" w:color="auto"/>
                <w:lang w:val="en-US" w:eastAsia="zh-CN"/>
              </w:rPr>
              <w:t xml:space="preserve">22 </w:t>
            </w:r>
            <w:r>
              <w:rPr>
                <w:rFonts w:ascii="宋体" w:hAnsi="宋体" w:eastAsia="宋体" w:cs="宋体"/>
                <w:snapToGrid w:val="0"/>
                <w:color w:val="000000"/>
                <w:spacing w:val="-1"/>
                <w:kern w:val="0"/>
                <w:sz w:val="18"/>
                <w:szCs w:val="18"/>
                <w:u w:val="single" w:color="auto"/>
                <w:lang w:eastAsia="en-US"/>
              </w:rPr>
              <w:t xml:space="preserve"> </w:t>
            </w:r>
            <w:r>
              <w:rPr>
                <w:rFonts w:ascii="宋体" w:hAnsi="宋体" w:eastAsia="宋体" w:cs="宋体"/>
                <w:snapToGrid w:val="0"/>
                <w:color w:val="000000"/>
                <w:spacing w:val="-82"/>
                <w:kern w:val="0"/>
                <w:sz w:val="18"/>
                <w:szCs w:val="18"/>
                <w:lang w:eastAsia="en-US"/>
              </w:rPr>
              <w:t xml:space="preserve"> </w:t>
            </w:r>
            <w:r>
              <w:rPr>
                <w:rFonts w:ascii="宋体" w:hAnsi="宋体" w:eastAsia="宋体" w:cs="宋体"/>
                <w:snapToGrid w:val="0"/>
                <w:color w:val="000000"/>
                <w:spacing w:val="-1"/>
                <w:kern w:val="0"/>
                <w:sz w:val="18"/>
                <w:szCs w:val="18"/>
                <w:lang w:eastAsia="en-US"/>
              </w:rPr>
              <w:t>条意见，部分采纳</w:t>
            </w:r>
            <w:r>
              <w:rPr>
                <w:rFonts w:ascii="宋体" w:hAnsi="宋体" w:eastAsia="宋体" w:cs="宋体"/>
                <w:snapToGrid w:val="0"/>
                <w:color w:val="000000"/>
                <w:spacing w:val="-89"/>
                <w:kern w:val="0"/>
                <w:sz w:val="18"/>
                <w:szCs w:val="18"/>
                <w:lang w:eastAsia="en-US"/>
              </w:rPr>
              <w:t xml:space="preserve"> </w:t>
            </w:r>
            <w:r>
              <w:rPr>
                <w:rFonts w:ascii="宋体" w:hAnsi="宋体" w:eastAsia="宋体" w:cs="宋体"/>
                <w:snapToGrid w:val="0"/>
                <w:color w:val="000000"/>
                <w:kern w:val="0"/>
                <w:sz w:val="18"/>
                <w:szCs w:val="18"/>
                <w:u w:val="single" w:color="auto"/>
                <w:lang w:eastAsia="en-US"/>
              </w:rPr>
              <w:t xml:space="preserve">  </w:t>
            </w:r>
            <w:r>
              <w:rPr>
                <w:rFonts w:hint="eastAsia" w:ascii="宋体" w:hAnsi="宋体" w:eastAsia="宋体" w:cs="宋体"/>
                <w:snapToGrid w:val="0"/>
                <w:color w:val="000000"/>
                <w:kern w:val="0"/>
                <w:sz w:val="18"/>
                <w:szCs w:val="18"/>
                <w:u w:val="single" w:color="auto"/>
                <w:lang w:val="en-US" w:eastAsia="zh-CN"/>
              </w:rPr>
              <w:t>3</w:t>
            </w:r>
            <w:r>
              <w:rPr>
                <w:rFonts w:ascii="宋体" w:hAnsi="宋体" w:eastAsia="宋体" w:cs="宋体"/>
                <w:snapToGrid w:val="0"/>
                <w:color w:val="000000"/>
                <w:kern w:val="0"/>
                <w:sz w:val="18"/>
                <w:szCs w:val="18"/>
                <w:u w:val="single" w:color="auto"/>
                <w:lang w:eastAsia="en-US"/>
              </w:rPr>
              <w:t xml:space="preserve">   </w:t>
            </w:r>
            <w:r>
              <w:rPr>
                <w:rFonts w:ascii="宋体" w:hAnsi="宋体" w:eastAsia="宋体" w:cs="宋体"/>
                <w:snapToGrid w:val="0"/>
                <w:color w:val="000000"/>
                <w:spacing w:val="-80"/>
                <w:kern w:val="0"/>
                <w:sz w:val="18"/>
                <w:szCs w:val="18"/>
                <w:lang w:eastAsia="en-US"/>
              </w:rPr>
              <w:t xml:space="preserve"> </w:t>
            </w:r>
            <w:r>
              <w:rPr>
                <w:rFonts w:ascii="宋体" w:hAnsi="宋体" w:eastAsia="宋体" w:cs="宋体"/>
                <w:snapToGrid w:val="0"/>
                <w:color w:val="000000"/>
                <w:spacing w:val="-1"/>
                <w:kern w:val="0"/>
                <w:sz w:val="18"/>
                <w:szCs w:val="18"/>
                <w:lang w:eastAsia="en-US"/>
              </w:rPr>
              <w:t>条意见，</w:t>
            </w:r>
            <w:r>
              <w:rPr>
                <w:rFonts w:ascii="宋体" w:hAnsi="宋体" w:eastAsia="宋体" w:cs="宋体"/>
                <w:snapToGrid w:val="0"/>
                <w:color w:val="000000"/>
                <w:spacing w:val="-2"/>
                <w:kern w:val="0"/>
                <w:sz w:val="18"/>
                <w:szCs w:val="18"/>
                <w:lang w:eastAsia="en-US"/>
              </w:rPr>
              <w:t>未采纳</w:t>
            </w:r>
            <w:r>
              <w:rPr>
                <w:rFonts w:ascii="宋体" w:hAnsi="宋体" w:eastAsia="宋体" w:cs="宋体"/>
                <w:snapToGrid w:val="0"/>
                <w:color w:val="000000"/>
                <w:spacing w:val="-2"/>
                <w:kern w:val="0"/>
                <w:sz w:val="18"/>
                <w:szCs w:val="18"/>
                <w:u w:val="single" w:color="auto"/>
                <w:lang w:eastAsia="en-US"/>
              </w:rPr>
              <w:t xml:space="preserve">  </w:t>
            </w:r>
            <w:r>
              <w:rPr>
                <w:rFonts w:hint="eastAsia" w:ascii="宋体" w:hAnsi="宋体" w:eastAsia="宋体" w:cs="宋体"/>
                <w:snapToGrid w:val="0"/>
                <w:color w:val="000000"/>
                <w:spacing w:val="-2"/>
                <w:kern w:val="0"/>
                <w:sz w:val="18"/>
                <w:szCs w:val="18"/>
                <w:u w:val="single" w:color="auto"/>
                <w:lang w:val="en-US" w:eastAsia="zh-CN"/>
              </w:rPr>
              <w:t>7</w:t>
            </w:r>
            <w:r>
              <w:rPr>
                <w:rFonts w:ascii="宋体" w:hAnsi="宋体" w:eastAsia="宋体" w:cs="宋体"/>
                <w:snapToGrid w:val="0"/>
                <w:color w:val="000000"/>
                <w:spacing w:val="-2"/>
                <w:kern w:val="0"/>
                <w:sz w:val="18"/>
                <w:szCs w:val="18"/>
                <w:u w:val="single" w:color="auto"/>
                <w:lang w:eastAsia="en-US"/>
              </w:rPr>
              <w:t xml:space="preserve">  </w:t>
            </w:r>
            <w:r>
              <w:rPr>
                <w:rFonts w:ascii="宋体" w:hAnsi="宋体" w:eastAsia="宋体" w:cs="宋体"/>
                <w:snapToGrid w:val="0"/>
                <w:color w:val="000000"/>
                <w:spacing w:val="-82"/>
                <w:kern w:val="0"/>
                <w:sz w:val="18"/>
                <w:szCs w:val="18"/>
                <w:lang w:eastAsia="en-US"/>
              </w:rPr>
              <w:t xml:space="preserve"> </w:t>
            </w:r>
            <w:r>
              <w:rPr>
                <w:rFonts w:ascii="宋体" w:hAnsi="宋体" w:eastAsia="宋体" w:cs="宋体"/>
                <w:snapToGrid w:val="0"/>
                <w:color w:val="000000"/>
                <w:spacing w:val="-2"/>
                <w:kern w:val="0"/>
                <w:sz w:val="18"/>
                <w:szCs w:val="18"/>
                <w:lang w:eastAsia="en-US"/>
              </w:rPr>
              <w:t>条意见。</w:t>
            </w:r>
          </w:p>
        </w:tc>
      </w:tr>
    </w:tbl>
    <w:p w14:paraId="59E6336D">
      <w:pPr>
        <w:jc w:val="center"/>
        <w:rPr>
          <w:rFonts w:ascii="黑体" w:hAnsi="黑体" w:eastAsia="黑体" w:cs="黑体"/>
          <w:snapToGrid w:val="0"/>
          <w:color w:val="000000"/>
          <w:spacing w:val="-1"/>
          <w:kern w:val="0"/>
          <w:sz w:val="21"/>
          <w:szCs w:val="21"/>
          <w:lang w:val="en-US" w:eastAsia="en-US" w:bidi="ar-SA"/>
        </w:rPr>
      </w:pPr>
    </w:p>
    <w:p w14:paraId="5763F318">
      <w:pPr>
        <w:jc w:val="center"/>
        <w:rPr>
          <w:rFonts w:hint="default" w:ascii="仿宋_GB2312" w:hAnsi="宋体" w:eastAsia="仿宋_GB2312"/>
          <w:color w:val="0000FF"/>
          <w:sz w:val="24"/>
          <w:lang w:val="en-US" w:eastAsia="zh-CN"/>
        </w:rPr>
      </w:pPr>
    </w:p>
    <w:sectPr>
      <w:pgSz w:w="16838" w:h="11906" w:orient="landscape"/>
      <w:pgMar w:top="1803" w:right="1440" w:bottom="1803" w:left="1440" w:header="851" w:footer="992" w:gutter="0"/>
      <w:pgNumType w:start="1"/>
      <w:cols w:space="0" w:num="1"/>
      <w:titlePg/>
      <w:rtlGutter w:val="0"/>
      <w:docGrid w:type="lines" w:linePitch="31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cript"/>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A2E83B9B-9D22-4D27-B125-A9B15D124F7E}"/>
  </w:font>
  <w:font w:name="黑体">
    <w:panose1 w:val="02010609060101010101"/>
    <w:charset w:val="86"/>
    <w:family w:val="auto"/>
    <w:pitch w:val="default"/>
    <w:sig w:usb0="800002BF" w:usb1="38CF7CFA" w:usb2="00000016" w:usb3="00000000" w:csb0="00040001" w:csb1="00000000"/>
    <w:embedRegular r:id="rId2" w:fontKey="{7EE30329-7049-4DE6-9D34-08A5FCA9FDEB}"/>
  </w:font>
  <w:font w:name="Courier New">
    <w:panose1 w:val="02070309020205020404"/>
    <w:charset w:val="01"/>
    <w:family w:val="modern"/>
    <w:pitch w:val="default"/>
    <w:sig w:usb0="E0002EFF" w:usb1="C0007843" w:usb2="00000009" w:usb3="00000000" w:csb0="400001FF" w:csb1="FFFF0000"/>
    <w:embedRegular r:id="rId3" w:fontKey="{D510B65F-7882-4577-837D-4AEC91B30695}"/>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4" w:fontKey="{35DB9979-BCE1-4A2E-80E5-B5D73A0D03AE}"/>
  </w:font>
  <w:font w:name="Mangal">
    <w:altName w:val="Segoe Print"/>
    <w:panose1 w:val="00000400000000000000"/>
    <w:charset w:val="01"/>
    <w:family w:val="roman"/>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embedRegular r:id="rId5" w:fontKey="{7615E2F5-3C24-44A0-A3A2-211D2D80C82A}"/>
  </w:font>
  <w:font w:name="楷体_GB2312">
    <w:altName w:val="楷体"/>
    <w:panose1 w:val="00000000000000000000"/>
    <w:charset w:val="86"/>
    <w:family w:val="modern"/>
    <w:pitch w:val="default"/>
    <w:sig w:usb0="00000000" w:usb1="00000000" w:usb2="00000010" w:usb3="00000000" w:csb0="00040000" w:csb1="00000000"/>
    <w:embedRegular r:id="rId6" w:fontKey="{BA0864A6-76C0-425B-B409-43D7749580E4}"/>
  </w:font>
  <w:font w:name="仿宋_GB2312">
    <w:altName w:val="仿宋"/>
    <w:panose1 w:val="02010609030101010101"/>
    <w:charset w:val="86"/>
    <w:family w:val="modern"/>
    <w:pitch w:val="default"/>
    <w:sig w:usb0="00000000" w:usb1="00000000" w:usb2="00000000" w:usb3="00000000" w:csb0="00040000" w:csb1="00000000"/>
    <w:embedRegular r:id="rId7" w:fontKey="{C5C67301-5DCD-40B6-A3C5-EE0B177DE3EA}"/>
  </w:font>
  <w:font w:name="楷体">
    <w:panose1 w:val="02010609060101010101"/>
    <w:charset w:val="86"/>
    <w:family w:val="modern"/>
    <w:pitch w:val="default"/>
    <w:sig w:usb0="800002BF" w:usb1="38CF7CFA" w:usb2="00000016" w:usb3="00000000" w:csb0="00040001" w:csb1="00000000"/>
    <w:embedRegular r:id="rId8" w:fontKey="{817BA3BA-C6BD-4F28-B23D-DF4081D47EA3}"/>
  </w:font>
  <w:font w:name="方正仿宋_GB2312">
    <w:panose1 w:val="02000000000000000000"/>
    <w:charset w:val="86"/>
    <w:family w:val="auto"/>
    <w:pitch w:val="default"/>
    <w:sig w:usb0="A00002BF" w:usb1="184F6CFA" w:usb2="00000012" w:usb3="00000000" w:csb0="00040001" w:csb1="00000000"/>
    <w:embedRegular r:id="rId9" w:fontKey="{67FB31C1-958F-467F-9BB0-DA289A09ECB1}"/>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405274">
    <w:pPr>
      <w:pStyle w:val="8"/>
      <w:jc w:val="center"/>
    </w:pPr>
    <w:r>
      <w:fldChar w:fldCharType="begin"/>
    </w:r>
    <w:r>
      <w:instrText xml:space="preserve">PAGE   \* MERGEFORMAT</w:instrText>
    </w:r>
    <w:r>
      <w:fldChar w:fldCharType="separate"/>
    </w:r>
    <w:r>
      <w:rPr>
        <w:lang w:val="zh-CN"/>
      </w:rPr>
      <w:t>2</w:t>
    </w:r>
    <w:r>
      <w:fldChar w:fldCharType="end"/>
    </w:r>
  </w:p>
  <w:p w14:paraId="41EDF7EE">
    <w:pPr>
      <w:pStyle w:val="8"/>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81B4E19"/>
    <w:multiLevelType w:val="singleLevel"/>
    <w:tmpl w:val="F81B4E19"/>
    <w:lvl w:ilvl="0" w:tentative="0">
      <w:start w:val="6"/>
      <w:numFmt w:val="chineseCounting"/>
      <w:suff w:val="nothing"/>
      <w:lvlText w:val="%1、"/>
      <w:lvlJc w:val="left"/>
      <w:rPr>
        <w:rFonts w:hint="eastAsia"/>
      </w:rPr>
    </w:lvl>
  </w:abstractNum>
  <w:abstractNum w:abstractNumId="1">
    <w:nsid w:val="1FC91163"/>
    <w:multiLevelType w:val="multilevel"/>
    <w:tmpl w:val="1FC91163"/>
    <w:lvl w:ilvl="0" w:tentative="0">
      <w:start w:val="1"/>
      <w:numFmt w:val="decimal"/>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29"/>
      <w:suff w:val="nothing"/>
      <w:lvlText w:val="%1.%2　"/>
      <w:lvlJc w:val="left"/>
      <w:pPr>
        <w:ind w:left="0" w:firstLine="0"/>
      </w:pPr>
      <w:rPr>
        <w:rFonts w:hint="eastAsia" w:ascii="黑体" w:hAnsi="Times New Roman" w:eastAsia="黑体" w:cs="Times New Roman"/>
        <w:b w:val="0"/>
        <w:bCs w:val="0"/>
        <w:i w:val="0"/>
        <w:iCs w:val="0"/>
        <w:caps w:val="0"/>
        <w:strike w:val="0"/>
        <w:dstrike w:val="0"/>
        <w:vanish w:val="0"/>
        <w:spacing w:val="0"/>
        <w:kern w:val="0"/>
        <w:position w:val="0"/>
        <w:sz w:val="21"/>
        <w:szCs w:val="21"/>
        <w:u w:val="none"/>
        <w:vertAlign w:val="baseline"/>
      </w:rPr>
    </w:lvl>
    <w:lvl w:ilvl="2" w:tentative="0">
      <w:start w:val="1"/>
      <w:numFmt w:val="decimal"/>
      <w:pStyle w:val="30"/>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
    <w:nsid w:val="52E6D736"/>
    <w:multiLevelType w:val="singleLevel"/>
    <w:tmpl w:val="52E6D736"/>
    <w:lvl w:ilvl="0" w:tentative="0">
      <w:start w:val="2"/>
      <w:numFmt w:val="decimal"/>
      <w:suff w:val="nothing"/>
      <w:lvlText w:val="（%1）"/>
      <w:lvlJc w:val="left"/>
    </w:lvl>
  </w:abstractNum>
  <w:abstractNum w:abstractNumId="3">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31"/>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1"/>
  <w:embedTrueTypeFonts/>
  <w:saveSubsetFonts/>
  <w:bordersDoNotSurroundHeader w:val="0"/>
  <w:bordersDoNotSurroundFooter w:val="0"/>
  <w:doNotTrackMoves/>
  <w:documentProtection w:enforcement="0"/>
  <w:defaultTabStop w:val="420"/>
  <w:drawingGridHorizontalSpacing w:val="105"/>
  <w:drawingGridVerticalSpacing w:val="159"/>
  <w:displayHorizontalDrawingGridEvery w:val="1"/>
  <w:displayVerticalDrawingGridEvery w:val="2"/>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doNotUseIndentAsNumberingTabStop/>
    <w:useAltKinsokuLineBreakRules/>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FiMzg3MDQzMjllYWU4MDc1MjBlMWYzYmQ2YjkxYTMifQ=="/>
  </w:docVars>
  <w:rsids>
    <w:rsidRoot w:val="00636FC5"/>
    <w:rsid w:val="00001C9C"/>
    <w:rsid w:val="00002121"/>
    <w:rsid w:val="00003D4E"/>
    <w:rsid w:val="0001430A"/>
    <w:rsid w:val="000173E8"/>
    <w:rsid w:val="000203B7"/>
    <w:rsid w:val="00021FC1"/>
    <w:rsid w:val="00024D73"/>
    <w:rsid w:val="00025BA5"/>
    <w:rsid w:val="00035FEB"/>
    <w:rsid w:val="000443C0"/>
    <w:rsid w:val="00045395"/>
    <w:rsid w:val="00045C4C"/>
    <w:rsid w:val="000471FB"/>
    <w:rsid w:val="00051B0A"/>
    <w:rsid w:val="00054BA0"/>
    <w:rsid w:val="00061514"/>
    <w:rsid w:val="00073F3B"/>
    <w:rsid w:val="000754B9"/>
    <w:rsid w:val="00080D84"/>
    <w:rsid w:val="00087B70"/>
    <w:rsid w:val="0009360F"/>
    <w:rsid w:val="0009699A"/>
    <w:rsid w:val="000974DE"/>
    <w:rsid w:val="000A23F9"/>
    <w:rsid w:val="000A281F"/>
    <w:rsid w:val="000B59DE"/>
    <w:rsid w:val="000C1548"/>
    <w:rsid w:val="000C203B"/>
    <w:rsid w:val="000C24FA"/>
    <w:rsid w:val="000C2F16"/>
    <w:rsid w:val="000C3919"/>
    <w:rsid w:val="000C5AE1"/>
    <w:rsid w:val="000C62FE"/>
    <w:rsid w:val="000D7E22"/>
    <w:rsid w:val="000E0029"/>
    <w:rsid w:val="000E0518"/>
    <w:rsid w:val="000E5DDF"/>
    <w:rsid w:val="00104D9E"/>
    <w:rsid w:val="001079E4"/>
    <w:rsid w:val="00114B28"/>
    <w:rsid w:val="00136B80"/>
    <w:rsid w:val="00140883"/>
    <w:rsid w:val="001422D2"/>
    <w:rsid w:val="00142DCA"/>
    <w:rsid w:val="001451F2"/>
    <w:rsid w:val="00153E55"/>
    <w:rsid w:val="00155235"/>
    <w:rsid w:val="0016381F"/>
    <w:rsid w:val="0016534D"/>
    <w:rsid w:val="001653E3"/>
    <w:rsid w:val="001657F4"/>
    <w:rsid w:val="00184DC2"/>
    <w:rsid w:val="00195264"/>
    <w:rsid w:val="001A0041"/>
    <w:rsid w:val="001A0916"/>
    <w:rsid w:val="001C0311"/>
    <w:rsid w:val="001C1B81"/>
    <w:rsid w:val="001C2BE8"/>
    <w:rsid w:val="001C3ACE"/>
    <w:rsid w:val="001D06C4"/>
    <w:rsid w:val="001D0957"/>
    <w:rsid w:val="001D7128"/>
    <w:rsid w:val="001E486F"/>
    <w:rsid w:val="001F695E"/>
    <w:rsid w:val="001F7C13"/>
    <w:rsid w:val="001F7CF9"/>
    <w:rsid w:val="0020132D"/>
    <w:rsid w:val="002042E4"/>
    <w:rsid w:val="00211530"/>
    <w:rsid w:val="00213570"/>
    <w:rsid w:val="00217A11"/>
    <w:rsid w:val="002216A8"/>
    <w:rsid w:val="00226A9A"/>
    <w:rsid w:val="00226FD3"/>
    <w:rsid w:val="00227FEE"/>
    <w:rsid w:val="00230DF6"/>
    <w:rsid w:val="00233658"/>
    <w:rsid w:val="00233B76"/>
    <w:rsid w:val="00243164"/>
    <w:rsid w:val="00243B8F"/>
    <w:rsid w:val="00243DA6"/>
    <w:rsid w:val="00243E19"/>
    <w:rsid w:val="00247BC6"/>
    <w:rsid w:val="002508ED"/>
    <w:rsid w:val="00252DE5"/>
    <w:rsid w:val="002606D8"/>
    <w:rsid w:val="00261187"/>
    <w:rsid w:val="00267EEC"/>
    <w:rsid w:val="00270C24"/>
    <w:rsid w:val="00273B1D"/>
    <w:rsid w:val="002746DC"/>
    <w:rsid w:val="00277378"/>
    <w:rsid w:val="00277EC1"/>
    <w:rsid w:val="0028564F"/>
    <w:rsid w:val="00285ABA"/>
    <w:rsid w:val="002B52FE"/>
    <w:rsid w:val="002B6A3E"/>
    <w:rsid w:val="002B7335"/>
    <w:rsid w:val="002C169F"/>
    <w:rsid w:val="002C3C6B"/>
    <w:rsid w:val="002D3E11"/>
    <w:rsid w:val="002E04E6"/>
    <w:rsid w:val="002E5A2F"/>
    <w:rsid w:val="003024F7"/>
    <w:rsid w:val="0031028C"/>
    <w:rsid w:val="003150DE"/>
    <w:rsid w:val="00315657"/>
    <w:rsid w:val="003158E5"/>
    <w:rsid w:val="003221E9"/>
    <w:rsid w:val="003259EC"/>
    <w:rsid w:val="00330396"/>
    <w:rsid w:val="003311E6"/>
    <w:rsid w:val="00332318"/>
    <w:rsid w:val="0033472D"/>
    <w:rsid w:val="00336488"/>
    <w:rsid w:val="00342A32"/>
    <w:rsid w:val="003439A2"/>
    <w:rsid w:val="00344D61"/>
    <w:rsid w:val="003469EC"/>
    <w:rsid w:val="00347085"/>
    <w:rsid w:val="003509C0"/>
    <w:rsid w:val="003556E4"/>
    <w:rsid w:val="0036351B"/>
    <w:rsid w:val="00366032"/>
    <w:rsid w:val="003705E8"/>
    <w:rsid w:val="00371543"/>
    <w:rsid w:val="003716D4"/>
    <w:rsid w:val="003925B2"/>
    <w:rsid w:val="00394B25"/>
    <w:rsid w:val="0039560A"/>
    <w:rsid w:val="003A21FE"/>
    <w:rsid w:val="003A5C65"/>
    <w:rsid w:val="003B0DE6"/>
    <w:rsid w:val="003B17F4"/>
    <w:rsid w:val="003B1D77"/>
    <w:rsid w:val="003B7D6F"/>
    <w:rsid w:val="003C3911"/>
    <w:rsid w:val="003D3463"/>
    <w:rsid w:val="003D528A"/>
    <w:rsid w:val="003D6374"/>
    <w:rsid w:val="003D6FB0"/>
    <w:rsid w:val="003E0207"/>
    <w:rsid w:val="003E24D6"/>
    <w:rsid w:val="003E2D3A"/>
    <w:rsid w:val="003F035B"/>
    <w:rsid w:val="003F1FC6"/>
    <w:rsid w:val="003F3EBE"/>
    <w:rsid w:val="00402952"/>
    <w:rsid w:val="004047A2"/>
    <w:rsid w:val="00404C7A"/>
    <w:rsid w:val="00407C56"/>
    <w:rsid w:val="00410C0E"/>
    <w:rsid w:val="00420EB4"/>
    <w:rsid w:val="004240E3"/>
    <w:rsid w:val="00433525"/>
    <w:rsid w:val="00435EF8"/>
    <w:rsid w:val="00441A8F"/>
    <w:rsid w:val="00441B8A"/>
    <w:rsid w:val="0044501D"/>
    <w:rsid w:val="004450AB"/>
    <w:rsid w:val="00451A7E"/>
    <w:rsid w:val="004547E0"/>
    <w:rsid w:val="00461F43"/>
    <w:rsid w:val="0046480C"/>
    <w:rsid w:val="004770BA"/>
    <w:rsid w:val="0048050F"/>
    <w:rsid w:val="00485AB3"/>
    <w:rsid w:val="0049020D"/>
    <w:rsid w:val="004943B6"/>
    <w:rsid w:val="00494F67"/>
    <w:rsid w:val="00495DCD"/>
    <w:rsid w:val="004A0CC0"/>
    <w:rsid w:val="004A2295"/>
    <w:rsid w:val="004A6D81"/>
    <w:rsid w:val="004A7E24"/>
    <w:rsid w:val="004B7966"/>
    <w:rsid w:val="004B7B8C"/>
    <w:rsid w:val="004D4066"/>
    <w:rsid w:val="004D62AF"/>
    <w:rsid w:val="004E42DA"/>
    <w:rsid w:val="004E45D5"/>
    <w:rsid w:val="004E531D"/>
    <w:rsid w:val="004E5AFA"/>
    <w:rsid w:val="004F10CE"/>
    <w:rsid w:val="004F4490"/>
    <w:rsid w:val="004F4EF5"/>
    <w:rsid w:val="004F6A63"/>
    <w:rsid w:val="00504A7B"/>
    <w:rsid w:val="0050538B"/>
    <w:rsid w:val="005119FA"/>
    <w:rsid w:val="00513F60"/>
    <w:rsid w:val="005165DC"/>
    <w:rsid w:val="00532EC9"/>
    <w:rsid w:val="0053409C"/>
    <w:rsid w:val="0053513E"/>
    <w:rsid w:val="005354BE"/>
    <w:rsid w:val="00535FC3"/>
    <w:rsid w:val="00536728"/>
    <w:rsid w:val="0056323B"/>
    <w:rsid w:val="00573771"/>
    <w:rsid w:val="005811F3"/>
    <w:rsid w:val="00582DEA"/>
    <w:rsid w:val="0058589E"/>
    <w:rsid w:val="0059142D"/>
    <w:rsid w:val="005915E3"/>
    <w:rsid w:val="00597C60"/>
    <w:rsid w:val="005A0ED2"/>
    <w:rsid w:val="005A3C89"/>
    <w:rsid w:val="005A42A5"/>
    <w:rsid w:val="005B07C8"/>
    <w:rsid w:val="005B1473"/>
    <w:rsid w:val="005B4A6F"/>
    <w:rsid w:val="005B7CA6"/>
    <w:rsid w:val="005C1F9E"/>
    <w:rsid w:val="005E5E7B"/>
    <w:rsid w:val="005F020B"/>
    <w:rsid w:val="005F3B9E"/>
    <w:rsid w:val="005F3DB9"/>
    <w:rsid w:val="005F5D65"/>
    <w:rsid w:val="005F76FB"/>
    <w:rsid w:val="00604181"/>
    <w:rsid w:val="00604E2D"/>
    <w:rsid w:val="0060567D"/>
    <w:rsid w:val="00611A58"/>
    <w:rsid w:val="00614AA4"/>
    <w:rsid w:val="00616FC1"/>
    <w:rsid w:val="00620469"/>
    <w:rsid w:val="006206EA"/>
    <w:rsid w:val="0063154F"/>
    <w:rsid w:val="00633B19"/>
    <w:rsid w:val="00633EF1"/>
    <w:rsid w:val="00636FC5"/>
    <w:rsid w:val="006400BA"/>
    <w:rsid w:val="00641B9A"/>
    <w:rsid w:val="006423BB"/>
    <w:rsid w:val="00642628"/>
    <w:rsid w:val="006467CA"/>
    <w:rsid w:val="006500A2"/>
    <w:rsid w:val="0066172F"/>
    <w:rsid w:val="00662AD1"/>
    <w:rsid w:val="00663745"/>
    <w:rsid w:val="00670B31"/>
    <w:rsid w:val="006756E6"/>
    <w:rsid w:val="0068404D"/>
    <w:rsid w:val="00691427"/>
    <w:rsid w:val="006915F6"/>
    <w:rsid w:val="006918FB"/>
    <w:rsid w:val="00693173"/>
    <w:rsid w:val="0069777F"/>
    <w:rsid w:val="006A4784"/>
    <w:rsid w:val="006A5225"/>
    <w:rsid w:val="006A7107"/>
    <w:rsid w:val="006B3E2E"/>
    <w:rsid w:val="006C472E"/>
    <w:rsid w:val="006C7054"/>
    <w:rsid w:val="006D0FBE"/>
    <w:rsid w:val="006D1116"/>
    <w:rsid w:val="006E02DD"/>
    <w:rsid w:val="006E1129"/>
    <w:rsid w:val="00702811"/>
    <w:rsid w:val="00706BC0"/>
    <w:rsid w:val="007138B0"/>
    <w:rsid w:val="00713D54"/>
    <w:rsid w:val="00715399"/>
    <w:rsid w:val="00720C80"/>
    <w:rsid w:val="007230A0"/>
    <w:rsid w:val="0072360B"/>
    <w:rsid w:val="0072435E"/>
    <w:rsid w:val="007249D5"/>
    <w:rsid w:val="00730F68"/>
    <w:rsid w:val="00734037"/>
    <w:rsid w:val="0074190C"/>
    <w:rsid w:val="00755C73"/>
    <w:rsid w:val="00757A64"/>
    <w:rsid w:val="00760C71"/>
    <w:rsid w:val="00763867"/>
    <w:rsid w:val="00767B97"/>
    <w:rsid w:val="0077176C"/>
    <w:rsid w:val="00772C34"/>
    <w:rsid w:val="00773A15"/>
    <w:rsid w:val="007743EC"/>
    <w:rsid w:val="00776852"/>
    <w:rsid w:val="00776D66"/>
    <w:rsid w:val="00777B27"/>
    <w:rsid w:val="00791BB3"/>
    <w:rsid w:val="0079399E"/>
    <w:rsid w:val="00795AB4"/>
    <w:rsid w:val="007975E1"/>
    <w:rsid w:val="007A65A0"/>
    <w:rsid w:val="007B0D2E"/>
    <w:rsid w:val="007B2777"/>
    <w:rsid w:val="007B2968"/>
    <w:rsid w:val="007C39F2"/>
    <w:rsid w:val="007C3AD6"/>
    <w:rsid w:val="007C3D18"/>
    <w:rsid w:val="007D08C1"/>
    <w:rsid w:val="007D31A8"/>
    <w:rsid w:val="007E6D31"/>
    <w:rsid w:val="00800843"/>
    <w:rsid w:val="008024F2"/>
    <w:rsid w:val="00807629"/>
    <w:rsid w:val="008125DA"/>
    <w:rsid w:val="00817229"/>
    <w:rsid w:val="00820DFB"/>
    <w:rsid w:val="00821F58"/>
    <w:rsid w:val="008263E7"/>
    <w:rsid w:val="008306CD"/>
    <w:rsid w:val="00840427"/>
    <w:rsid w:val="008449F5"/>
    <w:rsid w:val="0084546C"/>
    <w:rsid w:val="008471EC"/>
    <w:rsid w:val="008519FE"/>
    <w:rsid w:val="00856ECE"/>
    <w:rsid w:val="00862581"/>
    <w:rsid w:val="00863825"/>
    <w:rsid w:val="008729C9"/>
    <w:rsid w:val="00874B45"/>
    <w:rsid w:val="00880EC6"/>
    <w:rsid w:val="00884A91"/>
    <w:rsid w:val="008935DA"/>
    <w:rsid w:val="008A1B81"/>
    <w:rsid w:val="008A36A4"/>
    <w:rsid w:val="008A699E"/>
    <w:rsid w:val="008A6D37"/>
    <w:rsid w:val="008B7F7F"/>
    <w:rsid w:val="008C1D81"/>
    <w:rsid w:val="008C4583"/>
    <w:rsid w:val="008E256F"/>
    <w:rsid w:val="008E454E"/>
    <w:rsid w:val="008F1AAD"/>
    <w:rsid w:val="008F5288"/>
    <w:rsid w:val="0091113A"/>
    <w:rsid w:val="00915F25"/>
    <w:rsid w:val="009166F0"/>
    <w:rsid w:val="00916E3B"/>
    <w:rsid w:val="00920385"/>
    <w:rsid w:val="009211BD"/>
    <w:rsid w:val="0092160B"/>
    <w:rsid w:val="0092627B"/>
    <w:rsid w:val="00934199"/>
    <w:rsid w:val="009358E1"/>
    <w:rsid w:val="00936A6B"/>
    <w:rsid w:val="00953792"/>
    <w:rsid w:val="009705E2"/>
    <w:rsid w:val="00975940"/>
    <w:rsid w:val="0098254B"/>
    <w:rsid w:val="00983D55"/>
    <w:rsid w:val="0098417D"/>
    <w:rsid w:val="009875C5"/>
    <w:rsid w:val="00991DF6"/>
    <w:rsid w:val="0099572B"/>
    <w:rsid w:val="00996196"/>
    <w:rsid w:val="0099787D"/>
    <w:rsid w:val="009A2FA1"/>
    <w:rsid w:val="009B4E35"/>
    <w:rsid w:val="009C3329"/>
    <w:rsid w:val="009C558A"/>
    <w:rsid w:val="009C596B"/>
    <w:rsid w:val="009C5E73"/>
    <w:rsid w:val="009D5C90"/>
    <w:rsid w:val="009F1169"/>
    <w:rsid w:val="009F39E8"/>
    <w:rsid w:val="009F75FD"/>
    <w:rsid w:val="00A2176F"/>
    <w:rsid w:val="00A25526"/>
    <w:rsid w:val="00A30ABC"/>
    <w:rsid w:val="00A31F81"/>
    <w:rsid w:val="00A37819"/>
    <w:rsid w:val="00A4435A"/>
    <w:rsid w:val="00A4451F"/>
    <w:rsid w:val="00A46A80"/>
    <w:rsid w:val="00A52D3C"/>
    <w:rsid w:val="00A53139"/>
    <w:rsid w:val="00A53AA5"/>
    <w:rsid w:val="00A62ED4"/>
    <w:rsid w:val="00A6637E"/>
    <w:rsid w:val="00A73148"/>
    <w:rsid w:val="00A74F2B"/>
    <w:rsid w:val="00A8184F"/>
    <w:rsid w:val="00A90B3A"/>
    <w:rsid w:val="00A935E8"/>
    <w:rsid w:val="00A9450A"/>
    <w:rsid w:val="00A9569D"/>
    <w:rsid w:val="00AA538B"/>
    <w:rsid w:val="00AA685C"/>
    <w:rsid w:val="00AB297F"/>
    <w:rsid w:val="00AB4A9B"/>
    <w:rsid w:val="00AC0AF2"/>
    <w:rsid w:val="00AC2568"/>
    <w:rsid w:val="00AC7446"/>
    <w:rsid w:val="00AD10B8"/>
    <w:rsid w:val="00AD6B94"/>
    <w:rsid w:val="00AF0D1C"/>
    <w:rsid w:val="00AF58B6"/>
    <w:rsid w:val="00B01F81"/>
    <w:rsid w:val="00B03A6D"/>
    <w:rsid w:val="00B04CAD"/>
    <w:rsid w:val="00B04FD0"/>
    <w:rsid w:val="00B071E5"/>
    <w:rsid w:val="00B104BD"/>
    <w:rsid w:val="00B1146C"/>
    <w:rsid w:val="00B130AF"/>
    <w:rsid w:val="00B22B39"/>
    <w:rsid w:val="00B24ED8"/>
    <w:rsid w:val="00B271DE"/>
    <w:rsid w:val="00B27F8A"/>
    <w:rsid w:val="00B3317B"/>
    <w:rsid w:val="00B36550"/>
    <w:rsid w:val="00B43960"/>
    <w:rsid w:val="00B503CA"/>
    <w:rsid w:val="00B56043"/>
    <w:rsid w:val="00B67E1C"/>
    <w:rsid w:val="00B767B8"/>
    <w:rsid w:val="00B77A1D"/>
    <w:rsid w:val="00B80ADA"/>
    <w:rsid w:val="00B8370A"/>
    <w:rsid w:val="00B85CE2"/>
    <w:rsid w:val="00B877F0"/>
    <w:rsid w:val="00B93351"/>
    <w:rsid w:val="00B95E63"/>
    <w:rsid w:val="00B96E91"/>
    <w:rsid w:val="00BA2CDB"/>
    <w:rsid w:val="00BA3C87"/>
    <w:rsid w:val="00BA595B"/>
    <w:rsid w:val="00BA7A98"/>
    <w:rsid w:val="00BB1509"/>
    <w:rsid w:val="00BB6BC4"/>
    <w:rsid w:val="00BC5FAC"/>
    <w:rsid w:val="00BD5606"/>
    <w:rsid w:val="00BE2554"/>
    <w:rsid w:val="00BE3B52"/>
    <w:rsid w:val="00BE465C"/>
    <w:rsid w:val="00C0419D"/>
    <w:rsid w:val="00C05123"/>
    <w:rsid w:val="00C06C73"/>
    <w:rsid w:val="00C15323"/>
    <w:rsid w:val="00C3286F"/>
    <w:rsid w:val="00C3299F"/>
    <w:rsid w:val="00C33013"/>
    <w:rsid w:val="00C43949"/>
    <w:rsid w:val="00C459D1"/>
    <w:rsid w:val="00C505BD"/>
    <w:rsid w:val="00C561D9"/>
    <w:rsid w:val="00C665D4"/>
    <w:rsid w:val="00C7245E"/>
    <w:rsid w:val="00C76C16"/>
    <w:rsid w:val="00C77D84"/>
    <w:rsid w:val="00C815C4"/>
    <w:rsid w:val="00C84B6C"/>
    <w:rsid w:val="00C93AC5"/>
    <w:rsid w:val="00CA0F6E"/>
    <w:rsid w:val="00CA1614"/>
    <w:rsid w:val="00CA54AC"/>
    <w:rsid w:val="00CA746E"/>
    <w:rsid w:val="00CA7B78"/>
    <w:rsid w:val="00CB117C"/>
    <w:rsid w:val="00CC297A"/>
    <w:rsid w:val="00CC3B0C"/>
    <w:rsid w:val="00CD687E"/>
    <w:rsid w:val="00CD6BB6"/>
    <w:rsid w:val="00CE3B64"/>
    <w:rsid w:val="00CE7C77"/>
    <w:rsid w:val="00CF763D"/>
    <w:rsid w:val="00D002E5"/>
    <w:rsid w:val="00D020CC"/>
    <w:rsid w:val="00D042CB"/>
    <w:rsid w:val="00D10633"/>
    <w:rsid w:val="00D10DC3"/>
    <w:rsid w:val="00D211A9"/>
    <w:rsid w:val="00D259BF"/>
    <w:rsid w:val="00D26281"/>
    <w:rsid w:val="00D27F7C"/>
    <w:rsid w:val="00D46020"/>
    <w:rsid w:val="00D56B74"/>
    <w:rsid w:val="00D57A84"/>
    <w:rsid w:val="00D665A9"/>
    <w:rsid w:val="00D72C03"/>
    <w:rsid w:val="00D81CD3"/>
    <w:rsid w:val="00D9062C"/>
    <w:rsid w:val="00D91C3A"/>
    <w:rsid w:val="00D93605"/>
    <w:rsid w:val="00D9617E"/>
    <w:rsid w:val="00DB07A4"/>
    <w:rsid w:val="00DB0DAB"/>
    <w:rsid w:val="00DB2837"/>
    <w:rsid w:val="00DB2D8F"/>
    <w:rsid w:val="00DB4B2E"/>
    <w:rsid w:val="00DB6514"/>
    <w:rsid w:val="00DB6A89"/>
    <w:rsid w:val="00DC266B"/>
    <w:rsid w:val="00DC4130"/>
    <w:rsid w:val="00DD18A1"/>
    <w:rsid w:val="00DD4471"/>
    <w:rsid w:val="00DE552D"/>
    <w:rsid w:val="00DE5BA8"/>
    <w:rsid w:val="00DE7291"/>
    <w:rsid w:val="00DE73B5"/>
    <w:rsid w:val="00DE7809"/>
    <w:rsid w:val="00DF4B68"/>
    <w:rsid w:val="00E05868"/>
    <w:rsid w:val="00E07594"/>
    <w:rsid w:val="00E11D5F"/>
    <w:rsid w:val="00E15C5B"/>
    <w:rsid w:val="00E23F76"/>
    <w:rsid w:val="00E275CE"/>
    <w:rsid w:val="00E41C96"/>
    <w:rsid w:val="00E42650"/>
    <w:rsid w:val="00E4682B"/>
    <w:rsid w:val="00E47699"/>
    <w:rsid w:val="00E628B1"/>
    <w:rsid w:val="00E71D53"/>
    <w:rsid w:val="00E722BD"/>
    <w:rsid w:val="00E830F6"/>
    <w:rsid w:val="00E87347"/>
    <w:rsid w:val="00E945B0"/>
    <w:rsid w:val="00E94AFD"/>
    <w:rsid w:val="00E957AE"/>
    <w:rsid w:val="00EA6262"/>
    <w:rsid w:val="00EB4480"/>
    <w:rsid w:val="00EB6465"/>
    <w:rsid w:val="00ED6677"/>
    <w:rsid w:val="00EE6530"/>
    <w:rsid w:val="00F00E80"/>
    <w:rsid w:val="00F0713A"/>
    <w:rsid w:val="00F11018"/>
    <w:rsid w:val="00F15AF4"/>
    <w:rsid w:val="00F16E22"/>
    <w:rsid w:val="00F17C71"/>
    <w:rsid w:val="00F27339"/>
    <w:rsid w:val="00F37D20"/>
    <w:rsid w:val="00F42342"/>
    <w:rsid w:val="00F44A09"/>
    <w:rsid w:val="00F52378"/>
    <w:rsid w:val="00F54888"/>
    <w:rsid w:val="00F57262"/>
    <w:rsid w:val="00F61A51"/>
    <w:rsid w:val="00F6407D"/>
    <w:rsid w:val="00F64FBB"/>
    <w:rsid w:val="00F67F81"/>
    <w:rsid w:val="00F703AD"/>
    <w:rsid w:val="00F70EA3"/>
    <w:rsid w:val="00F73553"/>
    <w:rsid w:val="00F778B9"/>
    <w:rsid w:val="00F77E65"/>
    <w:rsid w:val="00F8226F"/>
    <w:rsid w:val="00F83543"/>
    <w:rsid w:val="00F84C53"/>
    <w:rsid w:val="00F907D1"/>
    <w:rsid w:val="00F926B8"/>
    <w:rsid w:val="00F9426F"/>
    <w:rsid w:val="00F95F55"/>
    <w:rsid w:val="00F968DC"/>
    <w:rsid w:val="00FA2E27"/>
    <w:rsid w:val="00FA4128"/>
    <w:rsid w:val="00FA6158"/>
    <w:rsid w:val="00FA63F4"/>
    <w:rsid w:val="00FB15E3"/>
    <w:rsid w:val="00FB79BD"/>
    <w:rsid w:val="00FC754C"/>
    <w:rsid w:val="00FD0304"/>
    <w:rsid w:val="00FD3CE4"/>
    <w:rsid w:val="00FD684B"/>
    <w:rsid w:val="027B0459"/>
    <w:rsid w:val="07DF378C"/>
    <w:rsid w:val="0840574F"/>
    <w:rsid w:val="08422985"/>
    <w:rsid w:val="0B834620"/>
    <w:rsid w:val="0D15073F"/>
    <w:rsid w:val="0DB1493F"/>
    <w:rsid w:val="1ACE0E74"/>
    <w:rsid w:val="1DBC5E71"/>
    <w:rsid w:val="22D1390C"/>
    <w:rsid w:val="2E61525B"/>
    <w:rsid w:val="2FA52D67"/>
    <w:rsid w:val="34285E0D"/>
    <w:rsid w:val="38AC635E"/>
    <w:rsid w:val="3BE5330C"/>
    <w:rsid w:val="3D25D500"/>
    <w:rsid w:val="3EEF98DD"/>
    <w:rsid w:val="3F9FD22F"/>
    <w:rsid w:val="45B819E1"/>
    <w:rsid w:val="470749E1"/>
    <w:rsid w:val="4F7B247E"/>
    <w:rsid w:val="557E2768"/>
    <w:rsid w:val="57D94567"/>
    <w:rsid w:val="591744DE"/>
    <w:rsid w:val="5CFF1606"/>
    <w:rsid w:val="5DFFCE9C"/>
    <w:rsid w:val="5FB81DCD"/>
    <w:rsid w:val="60D60409"/>
    <w:rsid w:val="63BD8BA4"/>
    <w:rsid w:val="66BC3D51"/>
    <w:rsid w:val="6A927F6A"/>
    <w:rsid w:val="6BFEE3C0"/>
    <w:rsid w:val="6BFF0146"/>
    <w:rsid w:val="6EFD90F7"/>
    <w:rsid w:val="72DE18B7"/>
    <w:rsid w:val="7329008F"/>
    <w:rsid w:val="77C6AB6B"/>
    <w:rsid w:val="77FF4F98"/>
    <w:rsid w:val="79FF0142"/>
    <w:rsid w:val="7AEE7323"/>
    <w:rsid w:val="7BFB120F"/>
    <w:rsid w:val="7F7F1836"/>
    <w:rsid w:val="7FDE9EE2"/>
    <w:rsid w:val="93EEA786"/>
    <w:rsid w:val="9CFB7DEA"/>
    <w:rsid w:val="ADAF1DB9"/>
    <w:rsid w:val="B5FF0B5B"/>
    <w:rsid w:val="B76B45F2"/>
    <w:rsid w:val="D5FE192F"/>
    <w:rsid w:val="DDDB2668"/>
    <w:rsid w:val="DFFB0938"/>
    <w:rsid w:val="EB7DFDD5"/>
    <w:rsid w:val="EC3D1978"/>
    <w:rsid w:val="FEFFD74D"/>
    <w:rsid w:val="FFFF8C4C"/>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0" w:name="heading 2" w:locked="1"/>
    <w:lsdException w:qFormat="1" w:unhideWhenUsed="0" w:uiPriority="99" w:semiHidden="0" w:name="heading 3"/>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nhideWhenUsed="0" w:uiPriority="99"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99" w:semiHidden="0" w:name="Strong"/>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5"/>
    <w:qFormat/>
    <w:uiPriority w:val="99"/>
    <w:pPr>
      <w:keepNext/>
      <w:keepLines/>
      <w:tabs>
        <w:tab w:val="left" w:pos="0"/>
      </w:tabs>
      <w:suppressAutoHyphens/>
      <w:spacing w:before="340" w:after="330" w:line="480" w:lineRule="auto"/>
      <w:ind w:left="432" w:hanging="432"/>
      <w:outlineLvl w:val="0"/>
    </w:pPr>
    <w:rPr>
      <w:b/>
      <w:bCs/>
      <w:kern w:val="1"/>
      <w:sz w:val="44"/>
      <w:szCs w:val="44"/>
      <w:lang w:eastAsia="ar-SA"/>
    </w:rPr>
  </w:style>
  <w:style w:type="paragraph" w:styleId="3">
    <w:name w:val="heading 3"/>
    <w:basedOn w:val="1"/>
    <w:next w:val="1"/>
    <w:link w:val="16"/>
    <w:autoRedefine/>
    <w:qFormat/>
    <w:uiPriority w:val="99"/>
    <w:pPr>
      <w:keepNext/>
      <w:keepLines/>
      <w:tabs>
        <w:tab w:val="left" w:pos="0"/>
      </w:tabs>
      <w:suppressAutoHyphens/>
      <w:spacing w:before="260" w:after="260" w:line="412" w:lineRule="auto"/>
      <w:ind w:left="720" w:hanging="720"/>
      <w:outlineLvl w:val="2"/>
    </w:pPr>
    <w:rPr>
      <w:b/>
      <w:bCs/>
      <w:kern w:val="21"/>
      <w:sz w:val="32"/>
      <w:szCs w:val="32"/>
      <w:lang w:eastAsia="ar-SA"/>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4">
    <w:name w:val="caption"/>
    <w:basedOn w:val="1"/>
    <w:next w:val="1"/>
    <w:qFormat/>
    <w:uiPriority w:val="99"/>
    <w:pPr>
      <w:suppressLineNumbers/>
      <w:suppressAutoHyphens/>
      <w:spacing w:before="120" w:after="120"/>
    </w:pPr>
    <w:rPr>
      <w:rFonts w:cs="Mangal"/>
      <w:i/>
      <w:iCs/>
      <w:kern w:val="21"/>
      <w:sz w:val="24"/>
      <w:lang w:eastAsia="ar-SA"/>
    </w:rPr>
  </w:style>
  <w:style w:type="paragraph" w:styleId="5">
    <w:name w:val="Body Text"/>
    <w:basedOn w:val="1"/>
    <w:link w:val="26"/>
    <w:qFormat/>
    <w:uiPriority w:val="0"/>
    <w:pPr>
      <w:spacing w:after="120"/>
    </w:pPr>
  </w:style>
  <w:style w:type="paragraph" w:styleId="6">
    <w:name w:val="Date"/>
    <w:basedOn w:val="1"/>
    <w:next w:val="1"/>
    <w:link w:val="25"/>
    <w:semiHidden/>
    <w:unhideWhenUsed/>
    <w:qFormat/>
    <w:uiPriority w:val="99"/>
    <w:pPr>
      <w:ind w:left="100" w:leftChars="2500"/>
    </w:pPr>
  </w:style>
  <w:style w:type="paragraph" w:styleId="7">
    <w:name w:val="Balloon Text"/>
    <w:basedOn w:val="1"/>
    <w:link w:val="22"/>
    <w:semiHidden/>
    <w:unhideWhenUsed/>
    <w:qFormat/>
    <w:uiPriority w:val="99"/>
    <w:rPr>
      <w:sz w:val="18"/>
      <w:szCs w:val="18"/>
    </w:rPr>
  </w:style>
  <w:style w:type="paragraph" w:styleId="8">
    <w:name w:val="footer"/>
    <w:basedOn w:val="1"/>
    <w:link w:val="21"/>
    <w:unhideWhenUsed/>
    <w:qFormat/>
    <w:uiPriority w:val="99"/>
    <w:pPr>
      <w:tabs>
        <w:tab w:val="center" w:pos="4153"/>
        <w:tab w:val="right" w:pos="8306"/>
      </w:tabs>
      <w:snapToGrid w:val="0"/>
      <w:jc w:val="left"/>
    </w:pPr>
    <w:rPr>
      <w:sz w:val="18"/>
      <w:szCs w:val="18"/>
    </w:rPr>
  </w:style>
  <w:style w:type="paragraph" w:styleId="9">
    <w:name w:val="header"/>
    <w:basedOn w:val="1"/>
    <w:link w:val="20"/>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table" w:styleId="12">
    <w:name w:val="Table Grid"/>
    <w:basedOn w:val="11"/>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4">
    <w:name w:val="Strong"/>
    <w:qFormat/>
    <w:uiPriority w:val="99"/>
    <w:rPr>
      <w:rFonts w:cs="Times New Roman"/>
      <w:b/>
    </w:rPr>
  </w:style>
  <w:style w:type="character" w:customStyle="1" w:styleId="15">
    <w:name w:val="标题 1 Char"/>
    <w:link w:val="2"/>
    <w:qFormat/>
    <w:locked/>
    <w:uiPriority w:val="99"/>
    <w:rPr>
      <w:rFonts w:cs="Times New Roman"/>
      <w:b/>
      <w:kern w:val="1"/>
      <w:sz w:val="44"/>
      <w:lang w:eastAsia="ar-SA" w:bidi="ar-SA"/>
    </w:rPr>
  </w:style>
  <w:style w:type="character" w:customStyle="1" w:styleId="16">
    <w:name w:val="标题 3 Char"/>
    <w:link w:val="3"/>
    <w:qFormat/>
    <w:locked/>
    <w:uiPriority w:val="99"/>
    <w:rPr>
      <w:rFonts w:cs="Times New Roman"/>
      <w:b/>
      <w:kern w:val="21"/>
      <w:sz w:val="32"/>
      <w:lang w:eastAsia="ar-SA" w:bidi="ar-SA"/>
    </w:rPr>
  </w:style>
  <w:style w:type="paragraph" w:styleId="17">
    <w:name w:val="List Paragraph"/>
    <w:basedOn w:val="1"/>
    <w:qFormat/>
    <w:uiPriority w:val="99"/>
    <w:pPr>
      <w:suppressAutoHyphens/>
      <w:ind w:firstLine="420" w:firstLineChars="200"/>
    </w:pPr>
    <w:rPr>
      <w:kern w:val="21"/>
      <w:lang w:eastAsia="ar-SA"/>
    </w:rPr>
  </w:style>
  <w:style w:type="paragraph" w:customStyle="1" w:styleId="18">
    <w:name w:val="段"/>
    <w:link w:val="19"/>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19">
    <w:name w:val="段 Char"/>
    <w:link w:val="18"/>
    <w:autoRedefine/>
    <w:qFormat/>
    <w:locked/>
    <w:uiPriority w:val="0"/>
    <w:rPr>
      <w:rFonts w:ascii="宋体" w:cs="Times New Roman"/>
      <w:sz w:val="21"/>
      <w:lang w:val="en-US" w:eastAsia="zh-CN" w:bidi="ar-SA"/>
    </w:rPr>
  </w:style>
  <w:style w:type="character" w:customStyle="1" w:styleId="20">
    <w:name w:val="页眉 Char"/>
    <w:link w:val="9"/>
    <w:qFormat/>
    <w:uiPriority w:val="99"/>
    <w:rPr>
      <w:sz w:val="18"/>
      <w:szCs w:val="18"/>
    </w:rPr>
  </w:style>
  <w:style w:type="character" w:customStyle="1" w:styleId="21">
    <w:name w:val="页脚 Char"/>
    <w:link w:val="8"/>
    <w:qFormat/>
    <w:uiPriority w:val="99"/>
    <w:rPr>
      <w:sz w:val="18"/>
      <w:szCs w:val="18"/>
    </w:rPr>
  </w:style>
  <w:style w:type="character" w:customStyle="1" w:styleId="22">
    <w:name w:val="批注框文本 Char"/>
    <w:link w:val="7"/>
    <w:semiHidden/>
    <w:qFormat/>
    <w:uiPriority w:val="99"/>
    <w:rPr>
      <w:kern w:val="2"/>
      <w:sz w:val="18"/>
      <w:szCs w:val="18"/>
    </w:rPr>
  </w:style>
  <w:style w:type="table" w:customStyle="1" w:styleId="23">
    <w:name w:val="浅色底纹1"/>
    <w:basedOn w:val="11"/>
    <w:autoRedefine/>
    <w:qFormat/>
    <w:uiPriority w:val="60"/>
    <w:rPr>
      <w:color w:val="000000"/>
    </w:rPr>
    <w:tblPr>
      <w:tblBorders>
        <w:top w:val="single" w:color="000000" w:sz="8" w:space="0"/>
        <w:bottom w:val="single" w:color="000000" w:sz="8" w:space="0"/>
      </w:tblBorders>
      <w:tblCellMar>
        <w:top w:w="0" w:type="dxa"/>
        <w:left w:w="108" w:type="dxa"/>
        <w:bottom w:w="0" w:type="dxa"/>
        <w:right w:w="108" w:type="dxa"/>
      </w:tblCellMar>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4">
    <w:name w:val="浅色底纹2"/>
    <w:basedOn w:val="11"/>
    <w:qFormat/>
    <w:uiPriority w:val="60"/>
    <w:rPr>
      <w:color w:val="000000"/>
    </w:rPr>
    <w:tblPr>
      <w:tblBorders>
        <w:top w:val="single" w:color="000000" w:sz="8" w:space="0"/>
        <w:bottom w:val="single" w:color="000000" w:sz="8" w:space="0"/>
      </w:tblBorders>
      <w:tblCellMar>
        <w:top w:w="0" w:type="dxa"/>
        <w:left w:w="108" w:type="dxa"/>
        <w:bottom w:w="0" w:type="dxa"/>
        <w:right w:w="108" w:type="dxa"/>
      </w:tblCellMar>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character" w:customStyle="1" w:styleId="25">
    <w:name w:val="日期 Char"/>
    <w:basedOn w:val="13"/>
    <w:link w:val="6"/>
    <w:semiHidden/>
    <w:qFormat/>
    <w:uiPriority w:val="99"/>
    <w:rPr>
      <w:kern w:val="2"/>
      <w:sz w:val="21"/>
      <w:szCs w:val="24"/>
    </w:rPr>
  </w:style>
  <w:style w:type="character" w:customStyle="1" w:styleId="26">
    <w:name w:val="正文文本 Char"/>
    <w:basedOn w:val="13"/>
    <w:link w:val="5"/>
    <w:qFormat/>
    <w:uiPriority w:val="0"/>
    <w:rPr>
      <w:kern w:val="2"/>
      <w:sz w:val="21"/>
      <w:szCs w:val="24"/>
    </w:rPr>
  </w:style>
  <w:style w:type="paragraph" w:customStyle="1" w:styleId="27">
    <w:name w:val="标准文件_段"/>
    <w:link w:val="28"/>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28">
    <w:name w:val="标准文件_段 Char"/>
    <w:link w:val="27"/>
    <w:qFormat/>
    <w:uiPriority w:val="0"/>
    <w:rPr>
      <w:rFonts w:ascii="宋体"/>
      <w:sz w:val="21"/>
    </w:rPr>
  </w:style>
  <w:style w:type="paragraph" w:customStyle="1" w:styleId="29">
    <w:name w:val="一级条标题"/>
    <w:next w:val="18"/>
    <w:qFormat/>
    <w:uiPriority w:val="0"/>
    <w:pPr>
      <w:numPr>
        <w:ilvl w:val="1"/>
        <w:numId w:val="1"/>
      </w:numPr>
      <w:spacing w:before="156" w:beforeLines="50" w:after="156" w:afterLines="50"/>
      <w:outlineLvl w:val="2"/>
    </w:pPr>
    <w:rPr>
      <w:rFonts w:ascii="黑体" w:hAnsi="Times New Roman" w:eastAsia="黑体" w:cs="Times New Roman"/>
      <w:sz w:val="21"/>
      <w:szCs w:val="21"/>
      <w:lang w:val="en-US" w:eastAsia="zh-CN" w:bidi="ar-SA"/>
    </w:rPr>
  </w:style>
  <w:style w:type="paragraph" w:customStyle="1" w:styleId="30">
    <w:name w:val="二级条标题"/>
    <w:basedOn w:val="29"/>
    <w:next w:val="18"/>
    <w:qFormat/>
    <w:uiPriority w:val="0"/>
    <w:pPr>
      <w:numPr>
        <w:ilvl w:val="2"/>
        <w:numId w:val="1"/>
      </w:numPr>
      <w:spacing w:before="50" w:after="50"/>
      <w:outlineLvl w:val="3"/>
    </w:pPr>
  </w:style>
  <w:style w:type="paragraph" w:customStyle="1" w:styleId="31">
    <w:name w:val="附录表标题"/>
    <w:basedOn w:val="1"/>
    <w:next w:val="18"/>
    <w:qFormat/>
    <w:uiPriority w:val="0"/>
    <w:pPr>
      <w:numPr>
        <w:ilvl w:val="1"/>
        <w:numId w:val="2"/>
      </w:numPr>
      <w:tabs>
        <w:tab w:val="left" w:pos="180"/>
      </w:tabs>
      <w:spacing w:before="50" w:beforeLines="50" w:after="50" w:afterLines="50"/>
      <w:ind w:left="0" w:firstLine="0"/>
      <w:jc w:val="center"/>
    </w:pPr>
    <w:rPr>
      <w:rFonts w:ascii="黑体" w:eastAsia="黑体"/>
      <w:szCs w:val="21"/>
    </w:rPr>
  </w:style>
  <w:style w:type="table" w:customStyle="1" w:styleId="32">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7.emf"/><Relationship Id="rId13" Type="http://schemas.openxmlformats.org/officeDocument/2006/relationships/oleObject" Target="embeddings/oleObject3.bin"/><Relationship Id="rId12" Type="http://schemas.openxmlformats.org/officeDocument/2006/relationships/image" Target="media/image6.emf"/><Relationship Id="rId11" Type="http://schemas.openxmlformats.org/officeDocument/2006/relationships/oleObject" Target="embeddings/oleObject2.bin"/><Relationship Id="rId10" Type="http://schemas.openxmlformats.org/officeDocument/2006/relationships/image" Target="media/image5.emf"/><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Lenovo</Company>
  <Pages>19</Pages>
  <Words>7427</Words>
  <Characters>8382</Characters>
  <Lines>49</Lines>
  <Paragraphs>13</Paragraphs>
  <TotalTime>7</TotalTime>
  <ScaleCrop>false</ScaleCrop>
  <LinksUpToDate>false</LinksUpToDate>
  <CharactersWithSpaces>8477</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2016-02-24T23:17:00Z</dcterms:created>
  <dc:creator>lenovo</dc:creator>
  <cp:lastModifiedBy>longwithnotleav</cp:lastModifiedBy>
  <cp:lastPrinted>2017-01-18T23:31:00Z</cp:lastPrinted>
  <dcterms:modified xsi:type="dcterms:W3CDTF">2024-10-28T02:59:57Z</dcterms:modified>
  <cp:revision>536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16DEC057891D4C0DB8764FBC7996C205_13</vt:lpwstr>
  </property>
</Properties>
</file>