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B2A2A">
      <w:pPr>
        <w:spacing w:line="360" w:lineRule="auto"/>
        <w:jc w:val="center"/>
        <w:rPr>
          <w:rFonts w:hint="default" w:ascii="Times New Roman" w:hAnsi="Times New Roman" w:eastAsia="华文中宋" w:cs="Times New Roman"/>
          <w:b/>
          <w:bCs/>
          <w:color w:val="000000"/>
          <w:sz w:val="52"/>
          <w:szCs w:val="52"/>
        </w:rPr>
      </w:pPr>
      <w:r>
        <w:rPr>
          <w:rFonts w:hint="default" w:ascii="Times New Roman" w:hAnsi="Times New Roman" w:eastAsia="黑体" w:cs="Times New Roman"/>
          <w:b/>
          <w:bCs/>
          <w:color w:val="000000"/>
          <w:sz w:val="32"/>
          <w:szCs w:val="32"/>
        </w:rPr>
        <w:t>安徽省地方标准编制说明</w:t>
      </w:r>
    </w:p>
    <w:tbl>
      <w:tblPr>
        <w:tblStyle w:val="9"/>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322"/>
        <w:gridCol w:w="2664"/>
        <w:gridCol w:w="1600"/>
        <w:gridCol w:w="1642"/>
        <w:gridCol w:w="1648"/>
      </w:tblGrid>
      <w:tr w14:paraId="591AB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016" w:type="dxa"/>
            <w:gridSpan w:val="2"/>
            <w:vAlign w:val="center"/>
          </w:tcPr>
          <w:p w14:paraId="6F499B1F">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标准名称</w:t>
            </w:r>
          </w:p>
        </w:tc>
        <w:tc>
          <w:tcPr>
            <w:tcW w:w="7554" w:type="dxa"/>
            <w:gridSpan w:val="4"/>
            <w:vAlign w:val="center"/>
          </w:tcPr>
          <w:sdt>
            <w:sdtPr>
              <w:rPr>
                <w:rFonts w:hint="default" w:ascii="Times New Roman" w:hAnsi="Times New Roman" w:cs="Times New Roman"/>
              </w:rPr>
              <w:tag w:val="NEW_STAND_NAME"/>
              <w:id w:val="595910757"/>
              <w:lock w:val="sdtLocked"/>
              <w:placeholder>
                <w:docPart w:val="{98209e35-3e6f-48f9-9342-ccdd9bf04a39}"/>
              </w:placeholder>
            </w:sdtPr>
            <w:sdtEndPr>
              <w:rPr>
                <w:rFonts w:hint="default" w:ascii="Times New Roman" w:hAnsi="Times New Roman" w:cs="Times New Roman"/>
              </w:rPr>
            </w:sdtEndPr>
            <w:sdtContent>
              <w:p w14:paraId="72AEB2F9">
                <w:pPr>
                  <w:pStyle w:val="31"/>
                  <w:adjustRightInd w:val="0"/>
                  <w:spacing w:line="360" w:lineRule="auto"/>
                  <w:ind w:firstLine="0" w:firstLineChars="0"/>
                  <w:contextualSpacing/>
                  <w:jc w:val="center"/>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生态产品总值核算技术规范</w:t>
                </w:r>
                <w:r>
                  <w:rPr>
                    <w:rFonts w:hint="default" w:ascii="Times New Roman" w:hAnsi="Times New Roman" w:cs="Times New Roman"/>
                    <w:lang w:eastAsia="zh-CN"/>
                  </w:rPr>
                  <w:t>》</w:t>
                </w:r>
              </w:p>
            </w:sdtContent>
          </w:sdt>
        </w:tc>
      </w:tr>
      <w:tr w14:paraId="176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612B80FD">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任务来源</w:t>
            </w:r>
          </w:p>
          <w:p w14:paraId="7EFADEF6">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（项目计划号）</w:t>
            </w:r>
          </w:p>
        </w:tc>
        <w:tc>
          <w:tcPr>
            <w:tcW w:w="7554" w:type="dxa"/>
            <w:gridSpan w:val="4"/>
            <w:vAlign w:val="center"/>
          </w:tcPr>
          <w:p w14:paraId="6BC09BB2">
            <w:pPr>
              <w:keepNext w:val="0"/>
              <w:keepLines w:val="0"/>
              <w:widowControl/>
              <w:suppressLineNumbers w:val="0"/>
              <w:jc w:val="left"/>
              <w:rPr>
                <w:rFonts w:hint="default" w:ascii="Times New Roman" w:hAnsi="Times New Roman" w:cs="Times New Roman"/>
                <w:szCs w:val="21"/>
                <w:lang w:val="en-US"/>
              </w:rPr>
            </w:pPr>
            <w:r>
              <w:rPr>
                <w:rFonts w:hint="default" w:ascii="Times New Roman" w:hAnsi="Times New Roman" w:eastAsia="宋体" w:cs="Times New Roman"/>
                <w:kern w:val="0"/>
                <w:sz w:val="21"/>
                <w:szCs w:val="21"/>
                <w:lang w:val="en-US" w:eastAsia="zh-CN" w:bidi="ar-SA"/>
              </w:rPr>
              <w:t>安徽省市场监督管理局关于下达202</w:t>
            </w:r>
            <w:r>
              <w:rPr>
                <w:rFonts w:hint="eastAsia" w:ascii="Times New Roman" w:hAnsi="Times New Roman"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年第</w:t>
            </w:r>
            <w:r>
              <w:rPr>
                <w:rFonts w:hint="eastAsia" w:ascii="Times New Roman" w:hAnsi="Times New Roman" w:cs="Times New Roman"/>
                <w:kern w:val="0"/>
                <w:sz w:val="21"/>
                <w:szCs w:val="21"/>
                <w:lang w:val="en-US" w:eastAsia="zh-CN" w:bidi="ar-SA"/>
              </w:rPr>
              <w:t>二</w:t>
            </w:r>
            <w:r>
              <w:rPr>
                <w:rFonts w:hint="default" w:ascii="Times New Roman" w:hAnsi="Times New Roman" w:eastAsia="宋体" w:cs="Times New Roman"/>
                <w:kern w:val="0"/>
                <w:sz w:val="21"/>
                <w:szCs w:val="21"/>
                <w:lang w:val="en-US" w:eastAsia="zh-CN" w:bidi="ar-SA"/>
              </w:rPr>
              <w:t>批安徽省地方标准制修订计划的通知</w:t>
            </w:r>
            <w:r>
              <w:rPr>
                <w:rFonts w:hint="eastAsia" w:hAnsi="宋体"/>
                <w:color w:val="000000"/>
                <w:szCs w:val="21"/>
                <w:highlight w:val="none"/>
                <w:lang w:val="en-US" w:eastAsia="zh-CN"/>
              </w:rPr>
              <w:t>，项目</w:t>
            </w:r>
            <w:r>
              <w:rPr>
                <w:rFonts w:hint="eastAsia" w:hAnsi="宋体" w:eastAsia="宋体"/>
                <w:color w:val="000000"/>
                <w:szCs w:val="21"/>
                <w:highlight w:val="none"/>
                <w:lang w:val="en-US" w:eastAsia="zh-CN"/>
              </w:rPr>
              <w:t>计划号</w:t>
            </w:r>
            <w:r>
              <w:rPr>
                <w:rFonts w:hint="eastAsia" w:hAnsi="宋体" w:eastAsia="宋体"/>
                <w:color w:val="000000"/>
                <w:szCs w:val="21"/>
                <w:highlight w:val="none"/>
              </w:rPr>
              <w:t>：</w:t>
            </w:r>
            <w:r>
              <w:rPr>
                <w:rFonts w:hint="default" w:ascii="Times New Roman" w:hAnsi="Times New Roman" w:eastAsia="宋体" w:cs="Times New Roman"/>
                <w:kern w:val="0"/>
                <w:sz w:val="21"/>
                <w:szCs w:val="21"/>
                <w:lang w:val="en-US" w:eastAsia="zh-CN" w:bidi="ar-SA"/>
              </w:rPr>
              <w:t>202</w:t>
            </w:r>
            <w:r>
              <w:rPr>
                <w:rFonts w:hint="eastAsia" w:ascii="Times New Roman" w:hAnsi="Times New Roman" w:cs="Times New Roman"/>
                <w:kern w:val="0"/>
                <w:sz w:val="21"/>
                <w:szCs w:val="21"/>
                <w:lang w:val="en-US" w:eastAsia="zh-CN" w:bidi="ar-SA"/>
              </w:rPr>
              <w:t>3</w:t>
            </w:r>
            <w:r>
              <w:rPr>
                <w:rFonts w:hint="default" w:ascii="Times New Roman" w:hAnsi="Times New Roman" w:eastAsia="宋体"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2</w:t>
            </w:r>
            <w:r>
              <w:rPr>
                <w:rFonts w:hint="default" w:ascii="Times New Roman" w:hAnsi="Times New Roman" w:eastAsia="宋体" w:cs="Times New Roman"/>
                <w:kern w:val="0"/>
                <w:sz w:val="21"/>
                <w:szCs w:val="21"/>
                <w:lang w:val="en-US" w:eastAsia="zh-CN" w:bidi="ar-SA"/>
              </w:rPr>
              <w:t>-</w:t>
            </w:r>
            <w:r>
              <w:rPr>
                <w:rFonts w:hint="default" w:ascii="Times New Roman" w:hAnsi="Times New Roman" w:cs="Times New Roman"/>
                <w:kern w:val="0"/>
                <w:sz w:val="21"/>
                <w:szCs w:val="21"/>
                <w:lang w:val="en-US" w:eastAsia="zh-CN" w:bidi="ar-SA"/>
              </w:rPr>
              <w:t>7</w:t>
            </w:r>
          </w:p>
        </w:tc>
      </w:tr>
      <w:tr w14:paraId="1919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16" w:type="dxa"/>
            <w:gridSpan w:val="2"/>
            <w:vAlign w:val="center"/>
          </w:tcPr>
          <w:p w14:paraId="17FBB8B8">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第一起草单位</w:t>
            </w:r>
          </w:p>
          <w:p w14:paraId="7273611B">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（盖章）</w:t>
            </w:r>
          </w:p>
        </w:tc>
        <w:tc>
          <w:tcPr>
            <w:tcW w:w="7554" w:type="dxa"/>
            <w:gridSpan w:val="4"/>
            <w:vAlign w:val="center"/>
          </w:tcPr>
          <w:p w14:paraId="4309EB16">
            <w:pPr>
              <w:keepNext w:val="0"/>
              <w:keepLines w:val="0"/>
              <w:widowControl/>
              <w:suppressLineNumbers w:val="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安徽省经济研究院</w:t>
            </w:r>
          </w:p>
        </w:tc>
      </w:tr>
      <w:tr w14:paraId="543A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6" w:type="dxa"/>
            <w:gridSpan w:val="2"/>
            <w:vAlign w:val="center"/>
          </w:tcPr>
          <w:p w14:paraId="0BEE4ED0">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单位地址</w:t>
            </w:r>
          </w:p>
        </w:tc>
        <w:tc>
          <w:tcPr>
            <w:tcW w:w="7554" w:type="dxa"/>
            <w:gridSpan w:val="4"/>
            <w:vAlign w:val="center"/>
          </w:tcPr>
          <w:p w14:paraId="3EEF8CEE">
            <w:pPr>
              <w:pStyle w:val="31"/>
              <w:adjustRightInd w:val="0"/>
              <w:spacing w:line="360" w:lineRule="auto"/>
              <w:ind w:firstLine="0" w:firstLineChars="0"/>
              <w:contextualSpacing/>
              <w:jc w:val="center"/>
              <w:rPr>
                <w:rFonts w:hint="default" w:ascii="Times New Roman" w:hAnsi="Times New Roman" w:eastAsia="宋体" w:cs="Times New Roman"/>
                <w:szCs w:val="21"/>
                <w:lang w:val="en-US" w:eastAsia="zh-CN"/>
              </w:rPr>
            </w:pPr>
            <w:r>
              <w:rPr>
                <w:rFonts w:hint="default" w:ascii="Times New Roman" w:hAnsi="Times New Roman" w:cs="Times New Roman"/>
                <w:szCs w:val="21"/>
                <w:lang w:eastAsia="zh-CN"/>
              </w:rPr>
              <w:t>安徽省合肥市包河区</w:t>
            </w:r>
            <w:r>
              <w:rPr>
                <w:rFonts w:hint="eastAsia" w:ascii="Times New Roman" w:cs="Times New Roman"/>
                <w:szCs w:val="21"/>
                <w:lang w:val="en-US" w:eastAsia="zh-CN"/>
              </w:rPr>
              <w:t>福州</w:t>
            </w:r>
            <w:r>
              <w:rPr>
                <w:rFonts w:hint="default" w:ascii="Times New Roman" w:hAnsi="Times New Roman" w:cs="Times New Roman"/>
                <w:szCs w:val="21"/>
                <w:lang w:eastAsia="zh-CN"/>
              </w:rPr>
              <w:t>路与</w:t>
            </w:r>
            <w:r>
              <w:rPr>
                <w:rFonts w:hint="eastAsia" w:ascii="Times New Roman" w:cs="Times New Roman"/>
                <w:szCs w:val="21"/>
                <w:lang w:val="en-US" w:eastAsia="zh-CN"/>
              </w:rPr>
              <w:t>安徽</w:t>
            </w:r>
            <w:r>
              <w:rPr>
                <w:rFonts w:hint="default" w:ascii="Times New Roman" w:hAnsi="Times New Roman" w:cs="Times New Roman"/>
                <w:szCs w:val="21"/>
                <w:lang w:eastAsia="zh-CN"/>
              </w:rPr>
              <w:t>路交口西南角</w:t>
            </w:r>
          </w:p>
        </w:tc>
      </w:tr>
      <w:tr w14:paraId="3C5F3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2016" w:type="dxa"/>
            <w:gridSpan w:val="2"/>
            <w:vAlign w:val="center"/>
          </w:tcPr>
          <w:p w14:paraId="3B2C41D3">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参与起草单位</w:t>
            </w:r>
          </w:p>
        </w:tc>
        <w:tc>
          <w:tcPr>
            <w:tcW w:w="7554" w:type="dxa"/>
            <w:gridSpan w:val="4"/>
            <w:vAlign w:val="center"/>
          </w:tcPr>
          <w:p w14:paraId="096B8B07">
            <w:pPr>
              <w:keepNext w:val="0"/>
              <w:keepLines w:val="0"/>
              <w:widowControl/>
              <w:suppressLineNumbers w:val="0"/>
              <w:jc w:val="left"/>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cs="Times New Roman"/>
                <w:color w:val="000000"/>
                <w:szCs w:val="21"/>
              </w:rPr>
              <w:t>安徽省发展和改革委员会长江经济带发展处（皖江经济发展处）、安徽省工程咨询研究院（安徽省政府投资项目评审中心）、合肥工业大学、安徽农业大学、滁州学院、全椒县林业局</w:t>
            </w:r>
          </w:p>
        </w:tc>
      </w:tr>
      <w:tr w14:paraId="1C0C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70" w:type="dxa"/>
            <w:gridSpan w:val="6"/>
            <w:vAlign w:val="center"/>
          </w:tcPr>
          <w:p w14:paraId="24E364D9">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标准起草人</w:t>
            </w:r>
          </w:p>
          <w:p w14:paraId="2F9F1BE5">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（全部起草人，应与标准文本前言中起草人排序一致）</w:t>
            </w:r>
          </w:p>
        </w:tc>
      </w:tr>
      <w:tr w14:paraId="705E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14:paraId="6B915B9A">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序号</w:t>
            </w:r>
          </w:p>
        </w:tc>
        <w:tc>
          <w:tcPr>
            <w:tcW w:w="1322" w:type="dxa"/>
            <w:vAlign w:val="center"/>
          </w:tcPr>
          <w:p w14:paraId="19B1B080">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姓名</w:t>
            </w:r>
          </w:p>
        </w:tc>
        <w:tc>
          <w:tcPr>
            <w:tcW w:w="2664" w:type="dxa"/>
            <w:vAlign w:val="center"/>
          </w:tcPr>
          <w:p w14:paraId="69601EB8">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单位</w:t>
            </w:r>
          </w:p>
        </w:tc>
        <w:tc>
          <w:tcPr>
            <w:tcW w:w="1600" w:type="dxa"/>
            <w:vAlign w:val="center"/>
          </w:tcPr>
          <w:p w14:paraId="4D4F5D72">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职务</w:t>
            </w:r>
          </w:p>
        </w:tc>
        <w:tc>
          <w:tcPr>
            <w:tcW w:w="1642" w:type="dxa"/>
            <w:vAlign w:val="center"/>
          </w:tcPr>
          <w:p w14:paraId="5A6FBE35">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职称</w:t>
            </w:r>
          </w:p>
        </w:tc>
        <w:tc>
          <w:tcPr>
            <w:tcW w:w="1648" w:type="dxa"/>
            <w:vAlign w:val="center"/>
          </w:tcPr>
          <w:p w14:paraId="7494CA80">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电话</w:t>
            </w:r>
          </w:p>
        </w:tc>
      </w:tr>
      <w:tr w14:paraId="0FD2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69463ED6">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eastAsia="宋体" w:cs="Times New Roman"/>
                <w:szCs w:val="21"/>
                <w:lang w:val="en-US" w:eastAsia="zh-CN"/>
              </w:rPr>
            </w:pPr>
            <w:r>
              <w:rPr>
                <w:rFonts w:hint="eastAsia" w:ascii="Times New Roman" w:cs="Times New Roman"/>
                <w:szCs w:val="21"/>
                <w:lang w:val="en-US" w:eastAsia="zh-CN"/>
              </w:rPr>
              <w:t>1</w:t>
            </w:r>
          </w:p>
        </w:tc>
        <w:tc>
          <w:tcPr>
            <w:tcW w:w="1322" w:type="dxa"/>
            <w:shd w:val="clear" w:color="auto" w:fill="auto"/>
            <w:vAlign w:val="center"/>
          </w:tcPr>
          <w:p w14:paraId="2CBB604C">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张贝尔</w:t>
            </w:r>
          </w:p>
        </w:tc>
        <w:tc>
          <w:tcPr>
            <w:tcW w:w="2664" w:type="dxa"/>
            <w:shd w:val="clear" w:color="auto" w:fill="auto"/>
            <w:vAlign w:val="center"/>
          </w:tcPr>
          <w:p w14:paraId="667FEAB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color="auto" w:fill="auto"/>
            <w:vAlign w:val="center"/>
          </w:tcPr>
          <w:p w14:paraId="0D2E25E6">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主任</w:t>
            </w:r>
          </w:p>
        </w:tc>
        <w:tc>
          <w:tcPr>
            <w:tcW w:w="1642" w:type="dxa"/>
            <w:shd w:val="clear" w:color="auto" w:fill="auto"/>
            <w:vAlign w:val="center"/>
          </w:tcPr>
          <w:p w14:paraId="191A63C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副研究员</w:t>
            </w:r>
          </w:p>
        </w:tc>
        <w:tc>
          <w:tcPr>
            <w:tcW w:w="1648" w:type="dxa"/>
            <w:shd w:val="clear" w:color="auto" w:fill="auto"/>
            <w:vAlign w:val="center"/>
          </w:tcPr>
          <w:p w14:paraId="64B6253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13866199836</w:t>
            </w:r>
          </w:p>
        </w:tc>
      </w:tr>
      <w:tr w14:paraId="39CB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0ACBDE81">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2</w:t>
            </w:r>
          </w:p>
        </w:tc>
        <w:tc>
          <w:tcPr>
            <w:tcW w:w="1322" w:type="dxa"/>
            <w:shd w:val="clear" w:color="auto" w:fill="auto"/>
            <w:vAlign w:val="center"/>
          </w:tcPr>
          <w:p w14:paraId="52B2C1FF">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蒋旭东</w:t>
            </w:r>
          </w:p>
        </w:tc>
        <w:tc>
          <w:tcPr>
            <w:tcW w:w="2664" w:type="dxa"/>
            <w:shd w:val="clear" w:color="auto" w:fill="auto"/>
            <w:vAlign w:val="center"/>
          </w:tcPr>
          <w:p w14:paraId="72A4743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color="auto" w:fill="auto"/>
            <w:vAlign w:val="center"/>
          </w:tcPr>
          <w:p w14:paraId="4BF6C49B">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副院长</w:t>
            </w:r>
          </w:p>
        </w:tc>
        <w:tc>
          <w:tcPr>
            <w:tcW w:w="1642" w:type="dxa"/>
            <w:shd w:val="clear" w:color="auto" w:fill="auto"/>
            <w:vAlign w:val="center"/>
          </w:tcPr>
          <w:p w14:paraId="4FBDD71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正高级工程师</w:t>
            </w:r>
          </w:p>
        </w:tc>
        <w:tc>
          <w:tcPr>
            <w:tcW w:w="1648" w:type="dxa"/>
            <w:shd w:val="clear" w:color="auto" w:fill="auto"/>
            <w:vAlign w:val="center"/>
          </w:tcPr>
          <w:p w14:paraId="7E37B5FD">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18955168980</w:t>
            </w:r>
          </w:p>
        </w:tc>
      </w:tr>
      <w:tr w14:paraId="7BD9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1C6AA0F4">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cs="Times New Roman"/>
                <w:szCs w:val="21"/>
                <w:lang w:val="en-US" w:eastAsia="zh-CN"/>
              </w:rPr>
            </w:pPr>
            <w:r>
              <w:rPr>
                <w:rFonts w:hint="eastAsia" w:ascii="Times New Roman" w:cs="Times New Roman"/>
                <w:szCs w:val="21"/>
                <w:lang w:val="en-US" w:eastAsia="zh-CN"/>
              </w:rPr>
              <w:t>3</w:t>
            </w:r>
          </w:p>
        </w:tc>
        <w:tc>
          <w:tcPr>
            <w:tcW w:w="1322" w:type="dxa"/>
            <w:shd w:val="clear" w:color="auto" w:fill="auto"/>
            <w:vAlign w:val="center"/>
          </w:tcPr>
          <w:p w14:paraId="4A7C3D7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孙京禄</w:t>
            </w:r>
          </w:p>
        </w:tc>
        <w:tc>
          <w:tcPr>
            <w:tcW w:w="2664" w:type="dxa"/>
            <w:shd w:val="clear" w:color="auto" w:fill="auto"/>
            <w:vAlign w:val="center"/>
          </w:tcPr>
          <w:p w14:paraId="02A3E74C">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color="auto" w:fill="auto"/>
            <w:vAlign w:val="center"/>
          </w:tcPr>
          <w:p w14:paraId="345D21A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副所长</w:t>
            </w:r>
          </w:p>
        </w:tc>
        <w:tc>
          <w:tcPr>
            <w:tcW w:w="1642" w:type="dxa"/>
            <w:shd w:val="clear" w:color="auto" w:fill="auto"/>
            <w:vAlign w:val="center"/>
          </w:tcPr>
          <w:p w14:paraId="4A3F01F6">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副</w:t>
            </w:r>
            <w:r>
              <w:rPr>
                <w:rFonts w:hint="default" w:ascii="Times New Roman" w:hAnsi="Times New Roman" w:cs="Times New Roman"/>
                <w:i w:val="0"/>
                <w:iCs w:val="0"/>
                <w:color w:val="000000"/>
                <w:kern w:val="0"/>
                <w:sz w:val="21"/>
                <w:szCs w:val="21"/>
                <w:u w:val="none"/>
                <w:lang w:val="en-US" w:eastAsia="zh-CN" w:bidi="ar"/>
              </w:rPr>
              <w:t>研究员</w:t>
            </w:r>
          </w:p>
        </w:tc>
        <w:tc>
          <w:tcPr>
            <w:tcW w:w="1648" w:type="dxa"/>
            <w:shd w:val="clear" w:color="auto" w:fill="auto"/>
            <w:vAlign w:val="center"/>
          </w:tcPr>
          <w:p w14:paraId="3CBE587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18355103166</w:t>
            </w:r>
          </w:p>
        </w:tc>
      </w:tr>
      <w:tr w14:paraId="6ECFD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021DBBA2">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4</w:t>
            </w:r>
          </w:p>
        </w:tc>
        <w:tc>
          <w:tcPr>
            <w:tcW w:w="1322" w:type="dxa"/>
            <w:shd w:val="clear" w:color="auto" w:fill="auto"/>
            <w:vAlign w:val="center"/>
          </w:tcPr>
          <w:p w14:paraId="18E5928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朱竹墨</w:t>
            </w:r>
          </w:p>
        </w:tc>
        <w:tc>
          <w:tcPr>
            <w:tcW w:w="2664" w:type="dxa"/>
            <w:shd w:val="clear" w:color="auto" w:fill="auto"/>
            <w:vAlign w:val="center"/>
          </w:tcPr>
          <w:p w14:paraId="71A5C83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color="auto" w:fill="auto"/>
            <w:vAlign w:val="center"/>
          </w:tcPr>
          <w:p w14:paraId="62E696D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642" w:type="dxa"/>
            <w:shd w:val="clear" w:color="auto" w:fill="auto"/>
            <w:vAlign w:val="center"/>
          </w:tcPr>
          <w:p w14:paraId="168F8211">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研究实习员</w:t>
            </w:r>
          </w:p>
        </w:tc>
        <w:tc>
          <w:tcPr>
            <w:tcW w:w="1648" w:type="dxa"/>
            <w:shd w:val="clear" w:color="auto" w:fill="auto"/>
            <w:vAlign w:val="center"/>
          </w:tcPr>
          <w:p w14:paraId="6817BD8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15255117746</w:t>
            </w:r>
          </w:p>
        </w:tc>
      </w:tr>
      <w:tr w14:paraId="4F433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5F9A6A59">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5</w:t>
            </w:r>
          </w:p>
        </w:tc>
        <w:tc>
          <w:tcPr>
            <w:tcW w:w="1322" w:type="dxa"/>
            <w:vAlign w:val="center"/>
          </w:tcPr>
          <w:p w14:paraId="4FC0AE75">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highlight w:val="none"/>
                <w:u w:val="none"/>
                <w:lang w:val="en-US" w:eastAsia="zh-CN" w:bidi="ar"/>
              </w:rPr>
              <w:t>杨  浅</w:t>
            </w:r>
          </w:p>
        </w:tc>
        <w:tc>
          <w:tcPr>
            <w:tcW w:w="2664" w:type="dxa"/>
            <w:vAlign w:val="center"/>
          </w:tcPr>
          <w:p w14:paraId="39F4612F">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安徽省发展和改革委员会</w:t>
            </w:r>
          </w:p>
        </w:tc>
        <w:tc>
          <w:tcPr>
            <w:tcW w:w="1600" w:type="dxa"/>
            <w:vAlign w:val="center"/>
          </w:tcPr>
          <w:p w14:paraId="4361DA3F">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处长</w:t>
            </w:r>
          </w:p>
        </w:tc>
        <w:tc>
          <w:tcPr>
            <w:tcW w:w="1642" w:type="dxa"/>
            <w:vAlign w:val="center"/>
          </w:tcPr>
          <w:p w14:paraId="6E478DB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p>
        </w:tc>
        <w:tc>
          <w:tcPr>
            <w:tcW w:w="1648" w:type="dxa"/>
            <w:vAlign w:val="center"/>
          </w:tcPr>
          <w:p w14:paraId="246E681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0551-</w:t>
            </w:r>
            <w:r>
              <w:rPr>
                <w:rFonts w:hint="eastAsia" w:ascii="Times New Roman" w:hAnsi="Times New Roman" w:cs="Times New Roman"/>
                <w:i w:val="0"/>
                <w:iCs w:val="0"/>
                <w:color w:val="000000"/>
                <w:kern w:val="0"/>
                <w:sz w:val="21"/>
                <w:szCs w:val="21"/>
                <w:u w:val="none"/>
                <w:lang w:val="en-US" w:eastAsia="zh-CN" w:bidi="ar"/>
              </w:rPr>
              <w:t>63609491</w:t>
            </w:r>
          </w:p>
        </w:tc>
      </w:tr>
      <w:tr w14:paraId="1DEB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565DD416">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6</w:t>
            </w:r>
          </w:p>
        </w:tc>
        <w:tc>
          <w:tcPr>
            <w:tcW w:w="1322" w:type="dxa"/>
            <w:vAlign w:val="center"/>
          </w:tcPr>
          <w:p w14:paraId="3210B692">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highlight w:val="none"/>
                <w:u w:val="none"/>
                <w:lang w:val="en-US" w:eastAsia="zh-CN" w:bidi="ar"/>
              </w:rPr>
            </w:pPr>
            <w:r>
              <w:rPr>
                <w:rFonts w:hint="eastAsia" w:ascii="Times New Roman" w:hAnsi="Times New Roman" w:cs="Times New Roman"/>
                <w:i w:val="0"/>
                <w:iCs w:val="0"/>
                <w:color w:val="000000"/>
                <w:kern w:val="0"/>
                <w:sz w:val="21"/>
                <w:szCs w:val="21"/>
                <w:highlight w:val="none"/>
                <w:u w:val="none"/>
                <w:lang w:val="en-US" w:eastAsia="zh-CN" w:bidi="ar"/>
              </w:rPr>
              <w:t>陈梦吟</w:t>
            </w:r>
          </w:p>
        </w:tc>
        <w:tc>
          <w:tcPr>
            <w:tcW w:w="2664" w:type="dxa"/>
            <w:vAlign w:val="center"/>
          </w:tcPr>
          <w:p w14:paraId="3B10492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安徽省发展和改革委员会</w:t>
            </w:r>
          </w:p>
        </w:tc>
        <w:tc>
          <w:tcPr>
            <w:tcW w:w="1600" w:type="dxa"/>
            <w:vAlign w:val="center"/>
          </w:tcPr>
          <w:p w14:paraId="6313566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三级调研员</w:t>
            </w:r>
          </w:p>
        </w:tc>
        <w:tc>
          <w:tcPr>
            <w:tcW w:w="1642" w:type="dxa"/>
            <w:vAlign w:val="center"/>
          </w:tcPr>
          <w:p w14:paraId="5D48821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p>
        </w:tc>
        <w:tc>
          <w:tcPr>
            <w:tcW w:w="1648" w:type="dxa"/>
            <w:vAlign w:val="center"/>
          </w:tcPr>
          <w:p w14:paraId="0898642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0551-62601839</w:t>
            </w:r>
          </w:p>
        </w:tc>
      </w:tr>
      <w:tr w14:paraId="0DFF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757A4487">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7</w:t>
            </w:r>
          </w:p>
        </w:tc>
        <w:tc>
          <w:tcPr>
            <w:tcW w:w="1322" w:type="dxa"/>
            <w:vAlign w:val="center"/>
          </w:tcPr>
          <w:p w14:paraId="4CF47E22">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highlight w:val="none"/>
                <w:u w:val="none"/>
                <w:lang w:val="en-US" w:eastAsia="zh-CN" w:bidi="ar"/>
              </w:rPr>
            </w:pPr>
            <w:r>
              <w:rPr>
                <w:rFonts w:hint="eastAsia" w:ascii="Times New Roman" w:hAnsi="Times New Roman" w:cs="Times New Roman"/>
                <w:i w:val="0"/>
                <w:iCs w:val="0"/>
                <w:color w:val="000000"/>
                <w:kern w:val="0"/>
                <w:sz w:val="21"/>
                <w:szCs w:val="21"/>
                <w:highlight w:val="none"/>
                <w:u w:val="none"/>
                <w:lang w:val="en-US" w:eastAsia="zh-CN" w:bidi="ar"/>
              </w:rPr>
              <w:t>赵明伟</w:t>
            </w:r>
          </w:p>
        </w:tc>
        <w:tc>
          <w:tcPr>
            <w:tcW w:w="2664" w:type="dxa"/>
            <w:vAlign w:val="center"/>
          </w:tcPr>
          <w:p w14:paraId="6803DDB2">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滁州学院</w:t>
            </w:r>
          </w:p>
        </w:tc>
        <w:tc>
          <w:tcPr>
            <w:tcW w:w="1600" w:type="dxa"/>
            <w:vAlign w:val="center"/>
          </w:tcPr>
          <w:p w14:paraId="2E203A5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cs="Times New Roman"/>
                <w:i w:val="0"/>
                <w:iCs w:val="0"/>
                <w:color w:val="000000"/>
                <w:kern w:val="0"/>
                <w:sz w:val="21"/>
                <w:szCs w:val="21"/>
                <w:u w:val="none"/>
                <w:lang w:val="en-US" w:eastAsia="zh-CN" w:bidi="ar"/>
              </w:rPr>
            </w:pPr>
          </w:p>
        </w:tc>
        <w:tc>
          <w:tcPr>
            <w:tcW w:w="1642" w:type="dxa"/>
            <w:vAlign w:val="center"/>
          </w:tcPr>
          <w:p w14:paraId="182572C2">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教授</w:t>
            </w:r>
          </w:p>
        </w:tc>
        <w:tc>
          <w:tcPr>
            <w:tcW w:w="1648" w:type="dxa"/>
            <w:vAlign w:val="center"/>
          </w:tcPr>
          <w:p w14:paraId="0CFD8F45">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18365000696</w:t>
            </w:r>
          </w:p>
        </w:tc>
      </w:tr>
      <w:tr w14:paraId="04EF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0143D631">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8</w:t>
            </w:r>
          </w:p>
        </w:tc>
        <w:tc>
          <w:tcPr>
            <w:tcW w:w="1322" w:type="dxa"/>
            <w:vAlign w:val="center"/>
          </w:tcPr>
          <w:p w14:paraId="2228EFC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highlight w:val="none"/>
                <w:u w:val="none"/>
                <w:lang w:val="en-US" w:eastAsia="zh-CN" w:bidi="ar"/>
              </w:rPr>
            </w:pPr>
            <w:r>
              <w:rPr>
                <w:rFonts w:hint="eastAsia" w:ascii="Times New Roman" w:hAnsi="Times New Roman" w:cs="Times New Roman"/>
                <w:i w:val="0"/>
                <w:iCs w:val="0"/>
                <w:color w:val="000000"/>
                <w:kern w:val="0"/>
                <w:sz w:val="21"/>
                <w:szCs w:val="21"/>
                <w:highlight w:val="none"/>
                <w:u w:val="none"/>
                <w:lang w:val="en-US" w:eastAsia="zh-CN" w:bidi="ar"/>
              </w:rPr>
              <w:t>徐小牛</w:t>
            </w:r>
          </w:p>
        </w:tc>
        <w:tc>
          <w:tcPr>
            <w:tcW w:w="2664" w:type="dxa"/>
            <w:vAlign w:val="center"/>
          </w:tcPr>
          <w:p w14:paraId="7C0581F6">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安徽农业大学</w:t>
            </w:r>
          </w:p>
        </w:tc>
        <w:tc>
          <w:tcPr>
            <w:tcW w:w="1600" w:type="dxa"/>
            <w:vAlign w:val="center"/>
          </w:tcPr>
          <w:p w14:paraId="384DE642">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cs="Times New Roman"/>
                <w:i w:val="0"/>
                <w:iCs w:val="0"/>
                <w:color w:val="000000"/>
                <w:kern w:val="0"/>
                <w:sz w:val="21"/>
                <w:szCs w:val="21"/>
                <w:u w:val="none"/>
                <w:lang w:val="en-US" w:eastAsia="zh-CN" w:bidi="ar"/>
              </w:rPr>
            </w:pPr>
          </w:p>
        </w:tc>
        <w:tc>
          <w:tcPr>
            <w:tcW w:w="1642" w:type="dxa"/>
            <w:vAlign w:val="center"/>
          </w:tcPr>
          <w:p w14:paraId="0D135A75">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教授</w:t>
            </w:r>
          </w:p>
        </w:tc>
        <w:tc>
          <w:tcPr>
            <w:tcW w:w="1648" w:type="dxa"/>
            <w:vAlign w:val="center"/>
          </w:tcPr>
          <w:p w14:paraId="0257E8A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13485690689</w:t>
            </w:r>
          </w:p>
        </w:tc>
      </w:tr>
      <w:tr w14:paraId="1CA1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65614702">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9</w:t>
            </w:r>
          </w:p>
        </w:tc>
        <w:tc>
          <w:tcPr>
            <w:tcW w:w="1322" w:type="dxa"/>
            <w:vAlign w:val="center"/>
          </w:tcPr>
          <w:p w14:paraId="0C566BDB">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highlight w:val="none"/>
                <w:u w:val="none"/>
                <w:lang w:val="en-US" w:eastAsia="zh-CN" w:bidi="ar"/>
              </w:rPr>
            </w:pPr>
            <w:r>
              <w:rPr>
                <w:rFonts w:hint="eastAsia" w:ascii="Times New Roman" w:hAnsi="Times New Roman" w:cs="Times New Roman"/>
                <w:i w:val="0"/>
                <w:iCs w:val="0"/>
                <w:color w:val="000000"/>
                <w:kern w:val="0"/>
                <w:sz w:val="21"/>
                <w:szCs w:val="21"/>
                <w:highlight w:val="none"/>
                <w:u w:val="none"/>
                <w:lang w:val="en-US" w:eastAsia="zh-CN" w:bidi="ar"/>
              </w:rPr>
              <w:t>胡淑恒</w:t>
            </w:r>
          </w:p>
        </w:tc>
        <w:tc>
          <w:tcPr>
            <w:tcW w:w="2664" w:type="dxa"/>
            <w:vAlign w:val="center"/>
          </w:tcPr>
          <w:p w14:paraId="32ED3794">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合肥工业大学</w:t>
            </w:r>
          </w:p>
        </w:tc>
        <w:tc>
          <w:tcPr>
            <w:tcW w:w="1600" w:type="dxa"/>
            <w:vAlign w:val="center"/>
          </w:tcPr>
          <w:p w14:paraId="210A3414">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支部书记</w:t>
            </w:r>
          </w:p>
        </w:tc>
        <w:tc>
          <w:tcPr>
            <w:tcW w:w="1642" w:type="dxa"/>
            <w:vAlign w:val="center"/>
          </w:tcPr>
          <w:p w14:paraId="1D5CC786">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副教授</w:t>
            </w:r>
          </w:p>
        </w:tc>
        <w:tc>
          <w:tcPr>
            <w:tcW w:w="1648" w:type="dxa"/>
            <w:vAlign w:val="center"/>
          </w:tcPr>
          <w:p w14:paraId="4305950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13645601150</w:t>
            </w:r>
          </w:p>
        </w:tc>
      </w:tr>
      <w:tr w14:paraId="2034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1615C0BC">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10</w:t>
            </w:r>
          </w:p>
        </w:tc>
        <w:tc>
          <w:tcPr>
            <w:tcW w:w="1322" w:type="dxa"/>
            <w:vAlign w:val="center"/>
          </w:tcPr>
          <w:p w14:paraId="1BAB3976">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highlight w:val="none"/>
                <w:u w:val="none"/>
                <w:lang w:val="en-US" w:eastAsia="zh-CN" w:bidi="ar"/>
              </w:rPr>
            </w:pPr>
            <w:r>
              <w:rPr>
                <w:rFonts w:hint="eastAsia" w:ascii="Times New Roman" w:hAnsi="Times New Roman" w:cs="Times New Roman"/>
                <w:i w:val="0"/>
                <w:iCs w:val="0"/>
                <w:color w:val="000000"/>
                <w:kern w:val="0"/>
                <w:sz w:val="21"/>
                <w:szCs w:val="21"/>
                <w:highlight w:val="none"/>
                <w:u w:val="none"/>
                <w:lang w:val="en-US" w:eastAsia="zh-CN" w:bidi="ar"/>
              </w:rPr>
              <w:t>吴丹舟</w:t>
            </w:r>
          </w:p>
        </w:tc>
        <w:tc>
          <w:tcPr>
            <w:tcW w:w="2664" w:type="dxa"/>
            <w:vAlign w:val="center"/>
          </w:tcPr>
          <w:p w14:paraId="11148EB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安徽省工程咨询研究院（安徽省政府投资项目评审中心）</w:t>
            </w:r>
          </w:p>
        </w:tc>
        <w:tc>
          <w:tcPr>
            <w:tcW w:w="1600" w:type="dxa"/>
            <w:vAlign w:val="center"/>
          </w:tcPr>
          <w:p w14:paraId="608CD876">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cs="Times New Roman"/>
                <w:i w:val="0"/>
                <w:iCs w:val="0"/>
                <w:color w:val="000000"/>
                <w:kern w:val="0"/>
                <w:sz w:val="21"/>
                <w:szCs w:val="21"/>
                <w:u w:val="none"/>
                <w:lang w:val="en-US" w:eastAsia="zh-CN" w:bidi="ar"/>
              </w:rPr>
            </w:pPr>
          </w:p>
        </w:tc>
        <w:tc>
          <w:tcPr>
            <w:tcW w:w="1642" w:type="dxa"/>
            <w:vAlign w:val="center"/>
          </w:tcPr>
          <w:p w14:paraId="7AE85ED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高级工程师</w:t>
            </w:r>
          </w:p>
        </w:tc>
        <w:tc>
          <w:tcPr>
            <w:tcW w:w="1648" w:type="dxa"/>
            <w:vAlign w:val="center"/>
          </w:tcPr>
          <w:p w14:paraId="291174D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13637092895</w:t>
            </w:r>
          </w:p>
        </w:tc>
      </w:tr>
      <w:tr w14:paraId="1573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21BFB608">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11</w:t>
            </w:r>
          </w:p>
        </w:tc>
        <w:tc>
          <w:tcPr>
            <w:tcW w:w="1322" w:type="dxa"/>
            <w:vAlign w:val="center"/>
          </w:tcPr>
          <w:p w14:paraId="6691222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highlight w:val="none"/>
                <w:u w:val="none"/>
                <w:lang w:val="en-US" w:eastAsia="zh-CN" w:bidi="ar"/>
              </w:rPr>
            </w:pPr>
            <w:r>
              <w:rPr>
                <w:rFonts w:hint="eastAsia" w:ascii="Times New Roman" w:hAnsi="Times New Roman" w:cs="Times New Roman"/>
                <w:i w:val="0"/>
                <w:iCs w:val="0"/>
                <w:color w:val="000000"/>
                <w:kern w:val="0"/>
                <w:sz w:val="21"/>
                <w:szCs w:val="21"/>
                <w:highlight w:val="none"/>
                <w:u w:val="none"/>
                <w:lang w:val="en-US" w:eastAsia="zh-CN" w:bidi="ar"/>
              </w:rPr>
              <w:t>杜存文</w:t>
            </w:r>
          </w:p>
        </w:tc>
        <w:tc>
          <w:tcPr>
            <w:tcW w:w="2664" w:type="dxa"/>
            <w:vAlign w:val="center"/>
          </w:tcPr>
          <w:p w14:paraId="32B0EC4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全椒县林业局</w:t>
            </w:r>
          </w:p>
        </w:tc>
        <w:tc>
          <w:tcPr>
            <w:tcW w:w="1600" w:type="dxa"/>
            <w:vAlign w:val="center"/>
          </w:tcPr>
          <w:p w14:paraId="2051532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森林资源林政股负责人</w:t>
            </w:r>
          </w:p>
        </w:tc>
        <w:tc>
          <w:tcPr>
            <w:tcW w:w="1642" w:type="dxa"/>
            <w:vAlign w:val="center"/>
          </w:tcPr>
          <w:p w14:paraId="4FFE775B">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工程师</w:t>
            </w:r>
          </w:p>
        </w:tc>
        <w:tc>
          <w:tcPr>
            <w:tcW w:w="1648" w:type="dxa"/>
            <w:vAlign w:val="center"/>
          </w:tcPr>
          <w:p w14:paraId="632ACEC7">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13855026990</w:t>
            </w:r>
          </w:p>
        </w:tc>
      </w:tr>
      <w:tr w14:paraId="32041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3FFF9798">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12</w:t>
            </w:r>
          </w:p>
        </w:tc>
        <w:tc>
          <w:tcPr>
            <w:tcW w:w="1322" w:type="dxa"/>
            <w:shd w:val="clear" w:color="auto" w:fill="auto"/>
            <w:vAlign w:val="center"/>
          </w:tcPr>
          <w:p w14:paraId="48B39762">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王淑文</w:t>
            </w:r>
          </w:p>
        </w:tc>
        <w:tc>
          <w:tcPr>
            <w:tcW w:w="2664" w:type="dxa"/>
            <w:shd w:val="clear" w:color="auto" w:fill="auto"/>
            <w:vAlign w:val="center"/>
          </w:tcPr>
          <w:p w14:paraId="303F5D6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color="auto" w:fill="auto"/>
            <w:vAlign w:val="center"/>
          </w:tcPr>
          <w:p w14:paraId="34CEA8F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p>
        </w:tc>
        <w:tc>
          <w:tcPr>
            <w:tcW w:w="1642" w:type="dxa"/>
            <w:shd w:val="clear" w:color="auto" w:fill="auto"/>
            <w:vAlign w:val="center"/>
          </w:tcPr>
          <w:p w14:paraId="0F141AA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助理研究员</w:t>
            </w:r>
          </w:p>
        </w:tc>
        <w:tc>
          <w:tcPr>
            <w:tcW w:w="1648" w:type="dxa"/>
            <w:shd w:val="clear" w:color="auto" w:fill="auto"/>
            <w:vAlign w:val="center"/>
          </w:tcPr>
          <w:p w14:paraId="7309A637">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13866786250</w:t>
            </w:r>
          </w:p>
        </w:tc>
      </w:tr>
      <w:tr w14:paraId="17571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7C351F21">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13</w:t>
            </w:r>
          </w:p>
        </w:tc>
        <w:tc>
          <w:tcPr>
            <w:tcW w:w="1322" w:type="dxa"/>
            <w:shd w:val="clear" w:color="auto" w:fill="auto"/>
            <w:vAlign w:val="center"/>
          </w:tcPr>
          <w:p w14:paraId="0E77D5F5">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陆贝贝</w:t>
            </w:r>
          </w:p>
        </w:tc>
        <w:tc>
          <w:tcPr>
            <w:tcW w:w="2664" w:type="dxa"/>
            <w:shd w:val="clear" w:color="auto" w:fill="auto"/>
            <w:vAlign w:val="center"/>
          </w:tcPr>
          <w:p w14:paraId="246189EB">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color="auto" w:fill="auto"/>
            <w:vAlign w:val="center"/>
          </w:tcPr>
          <w:p w14:paraId="71F36FA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p>
        </w:tc>
        <w:tc>
          <w:tcPr>
            <w:tcW w:w="1642" w:type="dxa"/>
            <w:shd w:val="clear" w:color="auto" w:fill="auto"/>
            <w:vAlign w:val="center"/>
          </w:tcPr>
          <w:p w14:paraId="391BF3DA">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经济师</w:t>
            </w:r>
          </w:p>
        </w:tc>
        <w:tc>
          <w:tcPr>
            <w:tcW w:w="1648" w:type="dxa"/>
            <w:shd w:val="clear" w:color="auto" w:fill="auto"/>
            <w:vAlign w:val="center"/>
          </w:tcPr>
          <w:p w14:paraId="3C94B374">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15212160228</w:t>
            </w:r>
          </w:p>
        </w:tc>
      </w:tr>
      <w:tr w14:paraId="29AF7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94" w:type="dxa"/>
            <w:vAlign w:val="center"/>
          </w:tcPr>
          <w:p w14:paraId="40030184">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eastAsia="宋体" w:cs="Times New Roman"/>
                <w:sz w:val="21"/>
                <w:szCs w:val="21"/>
                <w:lang w:val="en-US" w:eastAsia="zh-CN" w:bidi="ar-SA"/>
              </w:rPr>
            </w:pPr>
            <w:r>
              <w:rPr>
                <w:rFonts w:hint="eastAsia" w:ascii="Times New Roman" w:cs="Times New Roman"/>
                <w:sz w:val="21"/>
                <w:szCs w:val="21"/>
                <w:lang w:val="en-US" w:eastAsia="zh-CN" w:bidi="ar-SA"/>
              </w:rPr>
              <w:t>14</w:t>
            </w:r>
          </w:p>
        </w:tc>
        <w:tc>
          <w:tcPr>
            <w:tcW w:w="1322" w:type="dxa"/>
            <w:vAlign w:val="center"/>
          </w:tcPr>
          <w:p w14:paraId="7363362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周玲玉</w:t>
            </w:r>
          </w:p>
        </w:tc>
        <w:tc>
          <w:tcPr>
            <w:tcW w:w="2664" w:type="dxa"/>
            <w:vAlign w:val="center"/>
          </w:tcPr>
          <w:p w14:paraId="7B4291DB">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vAlign w:val="center"/>
          </w:tcPr>
          <w:p w14:paraId="2787AED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p>
        </w:tc>
        <w:tc>
          <w:tcPr>
            <w:tcW w:w="1642" w:type="dxa"/>
            <w:vAlign w:val="center"/>
          </w:tcPr>
          <w:p w14:paraId="4973E00C">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助理经济师</w:t>
            </w:r>
          </w:p>
        </w:tc>
        <w:tc>
          <w:tcPr>
            <w:tcW w:w="1648" w:type="dxa"/>
            <w:vAlign w:val="center"/>
          </w:tcPr>
          <w:p w14:paraId="7263459C">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18326925907</w:t>
            </w:r>
          </w:p>
        </w:tc>
      </w:tr>
      <w:tr w14:paraId="34C1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94" w:type="dxa"/>
            <w:vAlign w:val="center"/>
          </w:tcPr>
          <w:p w14:paraId="0EEC4EA2">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 w:val="21"/>
                <w:szCs w:val="21"/>
                <w:lang w:val="en-US" w:eastAsia="zh-CN" w:bidi="ar-SA"/>
              </w:rPr>
            </w:pPr>
            <w:r>
              <w:rPr>
                <w:rFonts w:hint="eastAsia" w:ascii="Times New Roman" w:cs="Times New Roman"/>
                <w:sz w:val="21"/>
                <w:szCs w:val="21"/>
                <w:lang w:val="en-US" w:eastAsia="zh-CN" w:bidi="ar-SA"/>
              </w:rPr>
              <w:t>15</w:t>
            </w:r>
          </w:p>
        </w:tc>
        <w:tc>
          <w:tcPr>
            <w:tcW w:w="1322" w:type="dxa"/>
            <w:shd w:val="clear"/>
            <w:vAlign w:val="center"/>
          </w:tcPr>
          <w:p w14:paraId="53D1E1B6">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赵晓冉</w:t>
            </w:r>
          </w:p>
        </w:tc>
        <w:tc>
          <w:tcPr>
            <w:tcW w:w="2664" w:type="dxa"/>
            <w:shd w:val="clear"/>
            <w:vAlign w:val="center"/>
          </w:tcPr>
          <w:p w14:paraId="73598E7D">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vAlign w:val="center"/>
          </w:tcPr>
          <w:p w14:paraId="37CB8AD4">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642" w:type="dxa"/>
            <w:shd w:val="clear"/>
            <w:vAlign w:val="center"/>
          </w:tcPr>
          <w:p w14:paraId="7EE2D3C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648" w:type="dxa"/>
            <w:shd w:val="clear"/>
            <w:vAlign w:val="center"/>
          </w:tcPr>
          <w:p w14:paraId="276EEA1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13635690371</w:t>
            </w:r>
          </w:p>
        </w:tc>
      </w:tr>
      <w:tr w14:paraId="08A9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694" w:type="dxa"/>
            <w:vAlign w:val="center"/>
          </w:tcPr>
          <w:p w14:paraId="51B33C79">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cs="Times New Roman"/>
                <w:szCs w:val="21"/>
                <w:lang w:val="en-US" w:eastAsia="zh-CN"/>
              </w:rPr>
            </w:pPr>
            <w:r>
              <w:rPr>
                <w:rFonts w:hint="eastAsia" w:ascii="Times New Roman" w:cs="Times New Roman"/>
                <w:szCs w:val="21"/>
                <w:lang w:val="en-US" w:eastAsia="zh-CN"/>
              </w:rPr>
              <w:t>16</w:t>
            </w:r>
          </w:p>
        </w:tc>
        <w:tc>
          <w:tcPr>
            <w:tcW w:w="1322" w:type="dxa"/>
            <w:shd w:val="clear"/>
            <w:vAlign w:val="center"/>
          </w:tcPr>
          <w:p w14:paraId="1D39774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江  岭</w:t>
            </w:r>
          </w:p>
        </w:tc>
        <w:tc>
          <w:tcPr>
            <w:tcW w:w="2664" w:type="dxa"/>
            <w:shd w:val="clear"/>
            <w:vAlign w:val="center"/>
          </w:tcPr>
          <w:p w14:paraId="5CCA362A">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滁州学院</w:t>
            </w:r>
          </w:p>
        </w:tc>
        <w:tc>
          <w:tcPr>
            <w:tcW w:w="1600" w:type="dxa"/>
            <w:shd w:val="clear"/>
            <w:vAlign w:val="center"/>
          </w:tcPr>
          <w:p w14:paraId="1A72CC1C">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院长</w:t>
            </w:r>
          </w:p>
        </w:tc>
        <w:tc>
          <w:tcPr>
            <w:tcW w:w="1642" w:type="dxa"/>
            <w:shd w:val="clear"/>
            <w:vAlign w:val="center"/>
          </w:tcPr>
          <w:p w14:paraId="1CCB19A2">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教授</w:t>
            </w:r>
          </w:p>
        </w:tc>
        <w:tc>
          <w:tcPr>
            <w:tcW w:w="1648" w:type="dxa"/>
            <w:shd w:val="clear"/>
            <w:vAlign w:val="center"/>
          </w:tcPr>
          <w:p w14:paraId="3FEAFE8D">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15605503315</w:t>
            </w:r>
          </w:p>
        </w:tc>
      </w:tr>
      <w:tr w14:paraId="3786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10B8DDF2">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eastAsia="宋体" w:cs="Times New Roman"/>
                <w:sz w:val="21"/>
                <w:szCs w:val="21"/>
                <w:lang w:val="en-US" w:eastAsia="zh-CN" w:bidi="ar-SA"/>
              </w:rPr>
            </w:pPr>
            <w:r>
              <w:rPr>
                <w:rFonts w:hint="eastAsia" w:ascii="Times New Roman" w:cs="Times New Roman"/>
                <w:szCs w:val="21"/>
                <w:lang w:val="en-US" w:eastAsia="zh-CN"/>
              </w:rPr>
              <w:t>17</w:t>
            </w:r>
          </w:p>
        </w:tc>
        <w:tc>
          <w:tcPr>
            <w:tcW w:w="1322" w:type="dxa"/>
            <w:shd w:val="clear"/>
            <w:vAlign w:val="center"/>
          </w:tcPr>
          <w:p w14:paraId="68DFEAF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黄兴召</w:t>
            </w:r>
          </w:p>
        </w:tc>
        <w:tc>
          <w:tcPr>
            <w:tcW w:w="2664" w:type="dxa"/>
            <w:shd w:val="clear"/>
            <w:vAlign w:val="center"/>
          </w:tcPr>
          <w:p w14:paraId="69B88F0C">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安徽农业大学</w:t>
            </w:r>
          </w:p>
        </w:tc>
        <w:tc>
          <w:tcPr>
            <w:tcW w:w="1600" w:type="dxa"/>
            <w:shd w:val="clear"/>
            <w:vAlign w:val="center"/>
          </w:tcPr>
          <w:p w14:paraId="4BC3B5D4">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林学与园林学院副院长</w:t>
            </w:r>
          </w:p>
        </w:tc>
        <w:tc>
          <w:tcPr>
            <w:tcW w:w="1642" w:type="dxa"/>
            <w:shd w:val="clear"/>
            <w:vAlign w:val="center"/>
          </w:tcPr>
          <w:p w14:paraId="7F90D02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副教授</w:t>
            </w:r>
          </w:p>
        </w:tc>
        <w:tc>
          <w:tcPr>
            <w:tcW w:w="1648" w:type="dxa"/>
            <w:shd w:val="clear"/>
            <w:vAlign w:val="center"/>
          </w:tcPr>
          <w:p w14:paraId="11394975">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15856966182</w:t>
            </w:r>
          </w:p>
        </w:tc>
      </w:tr>
      <w:tr w14:paraId="2EA1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331FD4A3">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eastAsia="宋体" w:cs="Times New Roman"/>
                <w:sz w:val="21"/>
                <w:szCs w:val="21"/>
                <w:lang w:val="en-US" w:eastAsia="zh-CN" w:bidi="ar-SA"/>
              </w:rPr>
            </w:pPr>
            <w:r>
              <w:rPr>
                <w:rFonts w:hint="eastAsia" w:ascii="Times New Roman" w:cs="Times New Roman"/>
                <w:szCs w:val="21"/>
                <w:lang w:val="en-US" w:eastAsia="zh-CN"/>
              </w:rPr>
              <w:t>18</w:t>
            </w:r>
          </w:p>
        </w:tc>
        <w:tc>
          <w:tcPr>
            <w:tcW w:w="1322" w:type="dxa"/>
            <w:shd w:val="clear"/>
            <w:vAlign w:val="center"/>
          </w:tcPr>
          <w:p w14:paraId="67E2A02A">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许子牧</w:t>
            </w:r>
          </w:p>
        </w:tc>
        <w:tc>
          <w:tcPr>
            <w:tcW w:w="2664" w:type="dxa"/>
            <w:shd w:val="clear"/>
            <w:vAlign w:val="center"/>
          </w:tcPr>
          <w:p w14:paraId="75C8ED85">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合肥工业大学</w:t>
            </w:r>
          </w:p>
        </w:tc>
        <w:tc>
          <w:tcPr>
            <w:tcW w:w="1600" w:type="dxa"/>
            <w:shd w:val="clear"/>
            <w:vAlign w:val="center"/>
          </w:tcPr>
          <w:p w14:paraId="37A09154">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副主任</w:t>
            </w:r>
          </w:p>
        </w:tc>
        <w:tc>
          <w:tcPr>
            <w:tcW w:w="1642" w:type="dxa"/>
            <w:shd w:val="clear"/>
            <w:vAlign w:val="center"/>
          </w:tcPr>
          <w:p w14:paraId="20BFDA78">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副教授</w:t>
            </w:r>
          </w:p>
        </w:tc>
        <w:tc>
          <w:tcPr>
            <w:tcW w:w="1648" w:type="dxa"/>
            <w:shd w:val="clear"/>
            <w:vAlign w:val="center"/>
          </w:tcPr>
          <w:p w14:paraId="02249161">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13805516066</w:t>
            </w:r>
          </w:p>
        </w:tc>
      </w:tr>
      <w:tr w14:paraId="24EC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3521340E">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eastAsia="宋体" w:cs="Times New Roman"/>
                <w:sz w:val="21"/>
                <w:szCs w:val="21"/>
                <w:lang w:val="en-US" w:eastAsia="zh-CN" w:bidi="ar-SA"/>
              </w:rPr>
            </w:pPr>
            <w:r>
              <w:rPr>
                <w:rFonts w:hint="eastAsia" w:ascii="Times New Roman" w:cs="Times New Roman"/>
                <w:szCs w:val="21"/>
                <w:lang w:val="en-US" w:eastAsia="zh-CN"/>
              </w:rPr>
              <w:t>19</w:t>
            </w:r>
          </w:p>
        </w:tc>
        <w:tc>
          <w:tcPr>
            <w:tcW w:w="1322" w:type="dxa"/>
            <w:shd w:val="clear"/>
            <w:vAlign w:val="center"/>
          </w:tcPr>
          <w:p w14:paraId="70BCF4F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黄学华</w:t>
            </w:r>
          </w:p>
        </w:tc>
        <w:tc>
          <w:tcPr>
            <w:tcW w:w="2664" w:type="dxa"/>
            <w:shd w:val="clear"/>
            <w:vAlign w:val="center"/>
          </w:tcPr>
          <w:p w14:paraId="18EA115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安徽省工程咨询研究院（安徽省政府投资项目评审中心）</w:t>
            </w:r>
          </w:p>
        </w:tc>
        <w:tc>
          <w:tcPr>
            <w:tcW w:w="1600" w:type="dxa"/>
            <w:shd w:val="clear"/>
            <w:vAlign w:val="center"/>
          </w:tcPr>
          <w:p w14:paraId="44E4188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副院长</w:t>
            </w:r>
          </w:p>
        </w:tc>
        <w:tc>
          <w:tcPr>
            <w:tcW w:w="1642" w:type="dxa"/>
            <w:shd w:val="clear"/>
            <w:vAlign w:val="center"/>
          </w:tcPr>
          <w:p w14:paraId="431A0763">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cs="Times New Roman"/>
                <w:i w:val="0"/>
                <w:iCs w:val="0"/>
                <w:color w:val="000000"/>
                <w:kern w:val="0"/>
                <w:sz w:val="21"/>
                <w:szCs w:val="21"/>
                <w:u w:val="none"/>
                <w:lang w:val="en-US" w:eastAsia="zh-CN" w:bidi="ar"/>
              </w:rPr>
              <w:t>正高级经济师</w:t>
            </w:r>
          </w:p>
        </w:tc>
        <w:tc>
          <w:tcPr>
            <w:tcW w:w="1648" w:type="dxa"/>
            <w:shd w:val="clear"/>
            <w:vAlign w:val="center"/>
          </w:tcPr>
          <w:p w14:paraId="7D520D84">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18655189796</w:t>
            </w:r>
          </w:p>
        </w:tc>
      </w:tr>
      <w:tr w14:paraId="313D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dxa"/>
            <w:vAlign w:val="center"/>
          </w:tcPr>
          <w:p w14:paraId="7118708B">
            <w:pPr>
              <w:pStyle w:val="31"/>
              <w:keepNext w:val="0"/>
              <w:keepLines w:val="0"/>
              <w:pageBreakBefore w:val="0"/>
              <w:kinsoku/>
              <w:wordWrap/>
              <w:overflowPunct/>
              <w:topLinePunct w:val="0"/>
              <w:bidi w:val="0"/>
              <w:adjustRightInd w:val="0"/>
              <w:snapToGrid w:val="0"/>
              <w:spacing w:line="240" w:lineRule="auto"/>
              <w:ind w:firstLine="0" w:firstLineChars="0"/>
              <w:contextualSpacing/>
              <w:jc w:val="center"/>
              <w:rPr>
                <w:rFonts w:hint="default" w:ascii="Times New Roman" w:hAnsi="Times New Roman" w:eastAsia="宋体" w:cs="Times New Roman"/>
                <w:sz w:val="21"/>
                <w:szCs w:val="21"/>
                <w:lang w:val="en-US" w:eastAsia="zh-CN" w:bidi="ar-SA"/>
              </w:rPr>
            </w:pPr>
            <w:r>
              <w:rPr>
                <w:rFonts w:hint="eastAsia" w:ascii="Times New Roman" w:cs="Times New Roman"/>
                <w:sz w:val="21"/>
                <w:szCs w:val="21"/>
                <w:lang w:val="en-US" w:eastAsia="zh-CN" w:bidi="ar-SA"/>
              </w:rPr>
              <w:t>20</w:t>
            </w:r>
          </w:p>
        </w:tc>
        <w:tc>
          <w:tcPr>
            <w:tcW w:w="1322" w:type="dxa"/>
            <w:shd w:val="clear" w:color="auto" w:fill="auto"/>
            <w:vAlign w:val="center"/>
          </w:tcPr>
          <w:p w14:paraId="6766C87D">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许  毅</w:t>
            </w:r>
          </w:p>
        </w:tc>
        <w:tc>
          <w:tcPr>
            <w:tcW w:w="2664" w:type="dxa"/>
            <w:shd w:val="clear" w:color="auto" w:fill="auto"/>
            <w:vAlign w:val="center"/>
          </w:tcPr>
          <w:p w14:paraId="3A580225">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安徽省经济研究院</w:t>
            </w:r>
          </w:p>
        </w:tc>
        <w:tc>
          <w:tcPr>
            <w:tcW w:w="1600" w:type="dxa"/>
            <w:shd w:val="clear" w:color="auto" w:fill="auto"/>
            <w:vAlign w:val="center"/>
          </w:tcPr>
          <w:p w14:paraId="25247E0E">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bookmarkStart w:id="30" w:name="_GoBack"/>
            <w:bookmarkEnd w:id="30"/>
          </w:p>
        </w:tc>
        <w:tc>
          <w:tcPr>
            <w:tcW w:w="1642" w:type="dxa"/>
            <w:shd w:val="clear" w:color="auto" w:fill="auto"/>
            <w:vAlign w:val="center"/>
          </w:tcPr>
          <w:p w14:paraId="55D36890">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p>
        </w:tc>
        <w:tc>
          <w:tcPr>
            <w:tcW w:w="1648" w:type="dxa"/>
            <w:shd w:val="clear" w:color="auto" w:fill="auto"/>
            <w:vAlign w:val="center"/>
          </w:tcPr>
          <w:p w14:paraId="0E6B63B9">
            <w:pPr>
              <w:keepNext w:val="0"/>
              <w:keepLines w:val="0"/>
              <w:pageBreakBefore w:val="0"/>
              <w:widowControl/>
              <w:suppressLineNumbers w:val="0"/>
              <w:kinsoku/>
              <w:wordWrap/>
              <w:overflowPunct/>
              <w:topLinePunct w:val="0"/>
              <w:bidi w:val="0"/>
              <w:adjustRightInd w:val="0"/>
              <w:snapToGrid w:val="0"/>
              <w:spacing w:line="240" w:lineRule="auto"/>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i w:val="0"/>
                <w:iCs w:val="0"/>
                <w:color w:val="000000"/>
                <w:kern w:val="0"/>
                <w:sz w:val="21"/>
                <w:szCs w:val="21"/>
                <w:u w:val="none"/>
                <w:lang w:val="en-US" w:eastAsia="zh-CN" w:bidi="ar"/>
              </w:rPr>
              <w:t>18325533732</w:t>
            </w:r>
          </w:p>
        </w:tc>
      </w:tr>
      <w:tr w14:paraId="44F2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570" w:type="dxa"/>
            <w:gridSpan w:val="6"/>
            <w:vAlign w:val="center"/>
          </w:tcPr>
          <w:p w14:paraId="3CF7503A">
            <w:pPr>
              <w:pStyle w:val="31"/>
              <w:adjustRightInd w:val="0"/>
              <w:spacing w:line="360" w:lineRule="auto"/>
              <w:ind w:firstLine="0" w:firstLineChars="0"/>
              <w:contextualSpacing/>
              <w:jc w:val="center"/>
              <w:rPr>
                <w:rFonts w:hint="default" w:ascii="Times New Roman" w:hAnsi="Times New Roman" w:cs="Times New Roman"/>
                <w:szCs w:val="21"/>
              </w:rPr>
            </w:pPr>
            <w:r>
              <w:rPr>
                <w:rFonts w:hint="default" w:ascii="Times New Roman" w:hAnsi="Times New Roman" w:cs="Times New Roman"/>
                <w:szCs w:val="21"/>
              </w:rPr>
              <w:t>编制情况</w:t>
            </w:r>
          </w:p>
        </w:tc>
      </w:tr>
      <w:tr w14:paraId="53712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9570" w:type="dxa"/>
            <w:gridSpan w:val="6"/>
            <w:vAlign w:val="center"/>
          </w:tcPr>
          <w:p w14:paraId="7723038E">
            <w:pPr>
              <w:pStyle w:val="31"/>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eastAsia="宋体" w:cs="Times New Roman"/>
                <w:kern w:val="2"/>
                <w:sz w:val="24"/>
                <w:szCs w:val="24"/>
                <w:lang w:val="en-US" w:eastAsia="zh-CN" w:bidi="zh-CN"/>
              </w:rPr>
              <w:t>1、编制过程简介</w:t>
            </w:r>
          </w:p>
        </w:tc>
      </w:tr>
      <w:tr w14:paraId="0BDF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2030BF4C">
            <w:pPr>
              <w:spacing w:line="360" w:lineRule="auto"/>
              <w:ind w:firstLine="482" w:firstLineChars="200"/>
              <w:rPr>
                <w:rFonts w:hint="default" w:ascii="Times New Roman" w:hAnsi="Times New Roman" w:cs="Times New Roman"/>
                <w:b/>
                <w:color w:val="000000"/>
                <w:sz w:val="24"/>
                <w:szCs w:val="24"/>
                <w:lang w:val="en-US" w:eastAsia="zh-CN"/>
              </w:rPr>
            </w:pPr>
            <w:r>
              <w:rPr>
                <w:rFonts w:hint="eastAsia" w:ascii="Times New Roman" w:hAnsi="Times New Roman" w:cs="Times New Roman"/>
                <w:b/>
                <w:color w:val="000000"/>
                <w:sz w:val="24"/>
                <w:szCs w:val="24"/>
                <w:lang w:val="en-US" w:eastAsia="zh-CN"/>
              </w:rPr>
              <w:t>一、</w:t>
            </w:r>
            <w:r>
              <w:rPr>
                <w:rFonts w:hint="default" w:ascii="Times New Roman" w:hAnsi="Times New Roman" w:cs="Times New Roman"/>
                <w:b/>
                <w:color w:val="000000"/>
                <w:sz w:val="24"/>
                <w:szCs w:val="24"/>
                <w:lang w:val="en-US" w:eastAsia="zh-CN"/>
              </w:rPr>
              <w:t>成立起草小组</w:t>
            </w:r>
          </w:p>
          <w:p w14:paraId="041DF42C">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w:t>
            </w:r>
            <w:sdt>
              <w:sdtPr>
                <w:rPr>
                  <w:rFonts w:hint="default" w:ascii="Times New Roman" w:hAnsi="Times New Roman" w:cs="Times New Roman"/>
                  <w:color w:val="000000"/>
                  <w:sz w:val="24"/>
                  <w:szCs w:val="24"/>
                  <w:lang w:val="en-US" w:eastAsia="zh-CN"/>
                </w:rPr>
                <w:tag w:val="NEW_STAND_NAME"/>
                <w:id w:val="147472053"/>
                <w:lock w:val="sdtLocked"/>
                <w:placeholder>
                  <w:docPart w:val="{27f6dcf6-472b-4355-86e0-4bb939b6d7a7}"/>
                </w:placeholder>
              </w:sdtPr>
              <w:sdtEndPr>
                <w:rPr>
                  <w:rFonts w:hint="default" w:ascii="Times New Roman" w:hAnsi="Times New Roman" w:cs="Times New Roman"/>
                  <w:color w:val="000000"/>
                  <w:sz w:val="24"/>
                  <w:szCs w:val="24"/>
                  <w:lang w:val="en-US" w:eastAsia="zh-CN"/>
                </w:rPr>
              </w:sdtEndPr>
              <w:sdtContent>
                <w:r>
                  <w:rPr>
                    <w:rFonts w:hint="eastAsia" w:ascii="Times New Roman" w:hAnsi="Times New Roman" w:cs="Times New Roman"/>
                    <w:color w:val="000000"/>
                    <w:sz w:val="24"/>
                    <w:szCs w:val="24"/>
                    <w:lang w:val="en-US" w:eastAsia="zh-CN"/>
                  </w:rPr>
                  <w:t>生态产品总值核算技术</w:t>
                </w:r>
                <w:r>
                  <w:rPr>
                    <w:rFonts w:hint="default" w:ascii="Times New Roman" w:hAnsi="Times New Roman" w:cs="Times New Roman"/>
                    <w:color w:val="000000"/>
                    <w:sz w:val="24"/>
                    <w:szCs w:val="24"/>
                    <w:lang w:val="en-US" w:eastAsia="zh-CN"/>
                  </w:rPr>
                  <w:t>规范</w:t>
                </w:r>
              </w:sdtContent>
            </w:sdt>
            <w:r>
              <w:rPr>
                <w:rFonts w:hint="default" w:ascii="Times New Roman" w:hAnsi="Times New Roman" w:cs="Times New Roman"/>
                <w:color w:val="000000"/>
                <w:sz w:val="24"/>
                <w:szCs w:val="24"/>
                <w:lang w:val="en-US" w:eastAsia="zh-CN"/>
              </w:rPr>
              <w:t>》地方标准编制，成立了由安徽省经济研究院、安徽省发展和改革委员会长江经济带发展处（皖江经济发展处）、安徽省工程咨询研究院（安徽省政府投资项目评审中心）、合肥工业大学、安徽农业大学、滁州学院、全椒县林业局等单位参加的地方标准起草小组。</w:t>
            </w:r>
          </w:p>
          <w:p w14:paraId="2D4E4259">
            <w:pPr>
              <w:spacing w:line="360" w:lineRule="auto"/>
              <w:ind w:firstLine="482" w:firstLineChars="200"/>
              <w:rPr>
                <w:rFonts w:hint="default" w:ascii="Times New Roman" w:hAnsi="Times New Roman" w:cs="Times New Roman"/>
                <w:b/>
                <w:color w:val="000000"/>
                <w:sz w:val="24"/>
                <w:szCs w:val="24"/>
                <w:lang w:val="en-US" w:eastAsia="zh-CN"/>
              </w:rPr>
            </w:pPr>
            <w:r>
              <w:rPr>
                <w:rFonts w:hint="eastAsia" w:ascii="Times New Roman" w:hAnsi="Times New Roman" w:cs="Times New Roman"/>
                <w:b/>
                <w:color w:val="000000"/>
                <w:sz w:val="24"/>
                <w:szCs w:val="24"/>
                <w:lang w:val="en-US" w:eastAsia="zh-CN"/>
              </w:rPr>
              <w:t>二、</w:t>
            </w:r>
            <w:r>
              <w:rPr>
                <w:rFonts w:hint="default" w:ascii="Times New Roman" w:hAnsi="Times New Roman" w:cs="Times New Roman"/>
                <w:b/>
                <w:color w:val="000000"/>
                <w:sz w:val="24"/>
                <w:szCs w:val="24"/>
                <w:lang w:val="en-US" w:eastAsia="zh-CN"/>
              </w:rPr>
              <w:t>标准起草</w:t>
            </w:r>
          </w:p>
          <w:p w14:paraId="4839B547">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收集资料：起草组广泛收集了相关政策文件、国家、行业及其他省市发布的地方标准，研究</w:t>
            </w:r>
            <w:r>
              <w:rPr>
                <w:rFonts w:hint="eastAsia" w:ascii="Times New Roman" w:hAnsi="Times New Roman" w:cs="Times New Roman"/>
                <w:color w:val="000000"/>
                <w:sz w:val="24"/>
                <w:szCs w:val="24"/>
                <w:lang w:val="en-US" w:eastAsia="zh-CN"/>
              </w:rPr>
              <w:t>生态产品总值核算流程、核算内容、指标体系、核算方法等，</w:t>
            </w:r>
            <w:r>
              <w:rPr>
                <w:rFonts w:hint="default" w:ascii="Times New Roman" w:hAnsi="Times New Roman" w:cs="Times New Roman"/>
                <w:color w:val="000000"/>
                <w:sz w:val="24"/>
                <w:szCs w:val="24"/>
                <w:lang w:val="en-US" w:eastAsia="zh-CN"/>
              </w:rPr>
              <w:t>为标准的构建、内容的起草奠定基础。</w:t>
            </w:r>
          </w:p>
          <w:p w14:paraId="51CEBE1F">
            <w:pPr>
              <w:spacing w:line="360" w:lineRule="auto"/>
              <w:ind w:firstLine="480" w:firstLineChars="200"/>
              <w:rPr>
                <w:rFonts w:hint="default" w:ascii="Times New Roman" w:hAnsi="Times New Roman" w:eastAsia="宋体" w:cs="Times New Roman"/>
                <w:szCs w:val="21"/>
                <w:lang w:val="en-US" w:eastAsia="zh-CN"/>
              </w:rPr>
            </w:pPr>
            <w:r>
              <w:rPr>
                <w:rFonts w:hint="default" w:ascii="Times New Roman" w:hAnsi="Times New Roman" w:cs="Times New Roman"/>
                <w:color w:val="000000"/>
                <w:sz w:val="24"/>
                <w:szCs w:val="24"/>
                <w:lang w:val="en-US" w:eastAsia="zh-CN"/>
              </w:rPr>
              <w:t>起草文本：202</w:t>
            </w:r>
            <w:r>
              <w:rPr>
                <w:rFonts w:hint="eastAsia"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lang w:val="en-US" w:eastAsia="zh-CN"/>
              </w:rPr>
              <w:t>年</w:t>
            </w:r>
            <w:r>
              <w:rPr>
                <w:rFonts w:hint="eastAsia" w:ascii="Times New Roman" w:hAnsi="Times New Roman" w:cs="Times New Roman"/>
                <w:color w:val="000000"/>
                <w:sz w:val="24"/>
                <w:szCs w:val="24"/>
                <w:lang w:val="en-US" w:eastAsia="zh-CN"/>
              </w:rPr>
              <w:t>1</w:t>
            </w:r>
            <w:r>
              <w:rPr>
                <w:rFonts w:hint="default" w:ascii="Times New Roman" w:hAnsi="Times New Roman" w:cs="Times New Roman"/>
                <w:color w:val="000000"/>
                <w:sz w:val="24"/>
                <w:szCs w:val="24"/>
                <w:lang w:val="en-US" w:eastAsia="zh-CN"/>
              </w:rPr>
              <w:t>月-</w:t>
            </w:r>
            <w:r>
              <w:rPr>
                <w:rFonts w:hint="eastAsia" w:ascii="Times New Roman" w:hAnsi="Times New Roman" w:cs="Times New Roman"/>
                <w:color w:val="000000"/>
                <w:sz w:val="24"/>
                <w:szCs w:val="24"/>
                <w:lang w:val="en-US" w:eastAsia="zh-CN"/>
              </w:rPr>
              <w:t xml:space="preserve"> 5</w:t>
            </w:r>
            <w:r>
              <w:rPr>
                <w:rFonts w:hint="default" w:ascii="Times New Roman" w:hAnsi="Times New Roman" w:cs="Times New Roman"/>
                <w:color w:val="000000"/>
                <w:sz w:val="24"/>
                <w:szCs w:val="24"/>
                <w:lang w:val="en-US" w:eastAsia="zh-CN"/>
              </w:rPr>
              <w:t>月，起草小组多次召开标准制</w:t>
            </w:r>
            <w:r>
              <w:rPr>
                <w:rFonts w:hint="eastAsia" w:ascii="Times New Roman" w:hAnsi="Times New Roman" w:cs="Times New Roman"/>
                <w:color w:val="000000"/>
                <w:sz w:val="24"/>
                <w:szCs w:val="24"/>
                <w:lang w:val="en-US" w:eastAsia="zh-CN"/>
              </w:rPr>
              <w:t>订</w:t>
            </w:r>
            <w:r>
              <w:rPr>
                <w:rFonts w:hint="default" w:ascii="Times New Roman" w:hAnsi="Times New Roman" w:cs="Times New Roman"/>
                <w:color w:val="000000"/>
                <w:sz w:val="24"/>
                <w:szCs w:val="24"/>
                <w:lang w:val="en-US" w:eastAsia="zh-CN"/>
              </w:rPr>
              <w:t>工作会议，202</w:t>
            </w:r>
            <w:r>
              <w:rPr>
                <w:rFonts w:hint="eastAsia"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lang w:val="en-US" w:eastAsia="zh-CN"/>
              </w:rPr>
              <w:t>年</w:t>
            </w:r>
            <w:r>
              <w:rPr>
                <w:rFonts w:hint="eastAsia"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lang w:val="en-US" w:eastAsia="zh-CN"/>
              </w:rPr>
              <w:t>月</w:t>
            </w:r>
            <w:r>
              <w:rPr>
                <w:rFonts w:hint="eastAsia" w:ascii="Times New Roman" w:hAnsi="Times New Roman" w:cs="Times New Roman"/>
                <w:color w:val="000000"/>
                <w:sz w:val="24"/>
                <w:szCs w:val="24"/>
                <w:lang w:val="en-US" w:eastAsia="zh-CN"/>
              </w:rPr>
              <w:t>1</w:t>
            </w:r>
            <w:r>
              <w:rPr>
                <w:rFonts w:hint="default" w:ascii="Times New Roman" w:hAnsi="Times New Roman" w:cs="Times New Roman"/>
                <w:color w:val="000000"/>
                <w:sz w:val="24"/>
                <w:szCs w:val="24"/>
                <w:lang w:val="en-US" w:eastAsia="zh-CN"/>
              </w:rPr>
              <w:t>0日，起草组</w:t>
            </w:r>
            <w:r>
              <w:rPr>
                <w:rFonts w:hint="eastAsia" w:ascii="Times New Roman" w:hAnsi="Times New Roman" w:cs="Times New Roman"/>
                <w:color w:val="000000"/>
                <w:sz w:val="24"/>
                <w:szCs w:val="24"/>
                <w:lang w:val="en-US" w:eastAsia="zh-CN"/>
              </w:rPr>
              <w:t>通过</w:t>
            </w:r>
            <w:r>
              <w:rPr>
                <w:rFonts w:hint="default" w:ascii="Times New Roman" w:hAnsi="Times New Roman" w:cs="Times New Roman"/>
                <w:color w:val="000000"/>
                <w:sz w:val="24"/>
                <w:szCs w:val="24"/>
                <w:lang w:val="en-US" w:eastAsia="zh-CN"/>
              </w:rPr>
              <w:t>集中研讨，确定了标准整体架构；202</w:t>
            </w:r>
            <w:r>
              <w:rPr>
                <w:rFonts w:hint="eastAsia"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lang w:val="en-US" w:eastAsia="zh-CN"/>
              </w:rPr>
              <w:t>年</w:t>
            </w:r>
            <w:r>
              <w:rPr>
                <w:rFonts w:hint="eastAsia" w:ascii="Times New Roman" w:hAnsi="Times New Roman" w:cs="Times New Roman"/>
                <w:color w:val="000000"/>
                <w:sz w:val="24"/>
                <w:szCs w:val="24"/>
                <w:lang w:val="en-US" w:eastAsia="zh-CN"/>
              </w:rPr>
              <w:t>7</w:t>
            </w:r>
            <w:r>
              <w:rPr>
                <w:rFonts w:hint="default" w:ascii="Times New Roman" w:hAnsi="Times New Roman" w:cs="Times New Roman"/>
                <w:color w:val="000000"/>
                <w:sz w:val="24"/>
                <w:szCs w:val="24"/>
                <w:lang w:val="en-US" w:eastAsia="zh-CN"/>
              </w:rPr>
              <w:t>月2</w:t>
            </w:r>
            <w:r>
              <w:rPr>
                <w:rFonts w:hint="eastAsia" w:ascii="Times New Roman" w:hAnsi="Times New Roman" w:cs="Times New Roman"/>
                <w:color w:val="000000"/>
                <w:sz w:val="24"/>
                <w:szCs w:val="24"/>
                <w:lang w:val="en-US" w:eastAsia="zh-CN"/>
              </w:rPr>
              <w:t>3</w:t>
            </w:r>
            <w:r>
              <w:rPr>
                <w:rFonts w:hint="default" w:ascii="Times New Roman" w:hAnsi="Times New Roman" w:cs="Times New Roman"/>
                <w:color w:val="000000"/>
                <w:sz w:val="24"/>
                <w:szCs w:val="24"/>
                <w:lang w:val="en-US" w:eastAsia="zh-CN"/>
              </w:rPr>
              <w:t>日，起草组在框架的基础上对主要标准内容进行了商讨和确定；202</w:t>
            </w:r>
            <w:r>
              <w:rPr>
                <w:rFonts w:hint="eastAsia"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lang w:val="en-US" w:eastAsia="zh-CN"/>
              </w:rPr>
              <w:t>年</w:t>
            </w:r>
            <w:r>
              <w:rPr>
                <w:rFonts w:hint="eastAsia" w:ascii="Times New Roman" w:hAnsi="Times New Roman" w:cs="Times New Roman"/>
                <w:color w:val="000000"/>
                <w:sz w:val="24"/>
                <w:szCs w:val="24"/>
                <w:lang w:val="en-US" w:eastAsia="zh-CN"/>
              </w:rPr>
              <w:t>9</w:t>
            </w:r>
            <w:r>
              <w:rPr>
                <w:rFonts w:hint="default" w:ascii="Times New Roman" w:hAnsi="Times New Roman" w:cs="Times New Roman"/>
                <w:color w:val="000000"/>
                <w:sz w:val="24"/>
                <w:szCs w:val="24"/>
                <w:lang w:val="en-US" w:eastAsia="zh-CN"/>
              </w:rPr>
              <w:t>月1</w:t>
            </w:r>
            <w:r>
              <w:rPr>
                <w:rFonts w:hint="eastAsia" w:ascii="Times New Roman" w:hAnsi="Times New Roman" w:cs="Times New Roman"/>
                <w:color w:val="000000"/>
                <w:sz w:val="24"/>
                <w:szCs w:val="24"/>
                <w:lang w:val="en-US" w:eastAsia="zh-CN"/>
              </w:rPr>
              <w:t>6</w:t>
            </w:r>
            <w:r>
              <w:rPr>
                <w:rFonts w:hint="default" w:ascii="Times New Roman" w:hAnsi="Times New Roman" w:cs="Times New Roman"/>
                <w:color w:val="000000"/>
                <w:sz w:val="24"/>
                <w:szCs w:val="24"/>
                <w:lang w:val="en-US" w:eastAsia="zh-CN"/>
              </w:rPr>
              <w:t>日，起草组根据GB/T 1.1格式的要求编制，形成了标准草案。202</w:t>
            </w:r>
            <w:r>
              <w:rPr>
                <w:rFonts w:hint="eastAsia"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lang w:val="en-US" w:eastAsia="zh-CN"/>
              </w:rPr>
              <w:t>年1</w:t>
            </w:r>
            <w:r>
              <w:rPr>
                <w:rFonts w:hint="eastAsia" w:ascii="Times New Roman" w:hAnsi="Times New Roman" w:cs="Times New Roman"/>
                <w:color w:val="000000"/>
                <w:sz w:val="24"/>
                <w:szCs w:val="24"/>
                <w:lang w:val="en-US" w:eastAsia="zh-CN"/>
              </w:rPr>
              <w:t>0</w:t>
            </w:r>
            <w:r>
              <w:rPr>
                <w:rFonts w:hint="default" w:ascii="Times New Roman" w:hAnsi="Times New Roman" w:cs="Times New Roman"/>
                <w:color w:val="000000"/>
                <w:sz w:val="24"/>
                <w:szCs w:val="24"/>
                <w:lang w:val="en-US" w:eastAsia="zh-CN"/>
              </w:rPr>
              <w:t>月1</w:t>
            </w:r>
            <w:r>
              <w:rPr>
                <w:rFonts w:hint="eastAsia" w:ascii="Times New Roman" w:hAnsi="Times New Roman" w:cs="Times New Roman"/>
                <w:color w:val="000000"/>
                <w:sz w:val="24"/>
                <w:szCs w:val="24"/>
                <w:lang w:val="en-US" w:eastAsia="zh-CN"/>
              </w:rPr>
              <w:t>3</w:t>
            </w:r>
            <w:r>
              <w:rPr>
                <w:rFonts w:hint="default" w:ascii="Times New Roman" w:hAnsi="Times New Roman" w:cs="Times New Roman"/>
                <w:color w:val="000000"/>
                <w:sz w:val="24"/>
                <w:szCs w:val="24"/>
                <w:lang w:val="en-US" w:eastAsia="zh-CN"/>
              </w:rPr>
              <w:t>日，起草组召开专家论证会，</w:t>
            </w:r>
            <w:sdt>
              <w:sdtPr>
                <w:rPr>
                  <w:rFonts w:hint="default" w:ascii="Times New Roman" w:hAnsi="Times New Roman" w:cs="Times New Roman"/>
                  <w:color w:val="000000"/>
                  <w:sz w:val="24"/>
                  <w:szCs w:val="24"/>
                  <w:lang w:val="en-US" w:eastAsia="zh-CN"/>
                </w:rPr>
                <w:tag w:val="NEW_STAND_NAME"/>
                <w:id w:val="147471318"/>
                <w:lock w:val="sdtLocked"/>
                <w:placeholder>
                  <w:docPart w:val="{67637279-8949-474b-94eb-2a33e1f70555}"/>
                </w:placeholder>
              </w:sdtPr>
              <w:sdtEndPr>
                <w:rPr>
                  <w:rFonts w:hint="default" w:ascii="Times New Roman" w:hAnsi="Times New Roman" w:cs="Times New Roman"/>
                  <w:color w:val="000000"/>
                  <w:sz w:val="24"/>
                  <w:szCs w:val="24"/>
                  <w:lang w:val="en-US" w:eastAsia="zh-CN"/>
                </w:rPr>
              </w:sdtEndPr>
              <w:sdtContent>
                <w:sdt>
                  <w:sdtPr>
                    <w:rPr>
                      <w:rFonts w:hint="default" w:ascii="Times New Roman" w:hAnsi="Times New Roman" w:cs="Times New Roman"/>
                      <w:color w:val="000000"/>
                      <w:sz w:val="24"/>
                      <w:szCs w:val="24"/>
                      <w:lang w:val="en-US" w:eastAsia="zh-CN"/>
                    </w:rPr>
                    <w:tag w:val="NEW_STAND_NAME"/>
                    <w:id w:val="147455870"/>
                    <w:lock w:val="sdtLocked"/>
                    <w:placeholder>
                      <w:docPart w:val="{9100ae7f-83fd-45af-b603-7b29c9e7e64a}"/>
                    </w:placeholder>
                  </w:sdtPr>
                  <w:sdtEndPr>
                    <w:rPr>
                      <w:rFonts w:hint="default" w:ascii="Times New Roman" w:hAnsi="Times New Roman" w:cs="Times New Roman"/>
                      <w:color w:val="000000"/>
                      <w:sz w:val="24"/>
                      <w:szCs w:val="24"/>
                      <w:lang w:val="en-US" w:eastAsia="zh-CN"/>
                    </w:rPr>
                  </w:sdtEndPr>
                  <w:sdtContent>
                    <w:r>
                      <w:rPr>
                        <w:rFonts w:hint="default" w:ascii="Times New Roman" w:hAnsi="Times New Roman" w:cs="Times New Roman"/>
                        <w:color w:val="000000"/>
                        <w:sz w:val="24"/>
                        <w:szCs w:val="24"/>
                        <w:lang w:val="en-US" w:eastAsia="zh-CN"/>
                      </w:rPr>
                      <w:t>标准起草组对草案进一步完善，</w:t>
                    </w:r>
                  </w:sdtContent>
                </w:sdt>
              </w:sdtContent>
            </w:sdt>
            <w:r>
              <w:rPr>
                <w:rFonts w:hint="default" w:ascii="Times New Roman" w:hAnsi="Times New Roman" w:cs="Times New Roman"/>
                <w:color w:val="000000"/>
                <w:sz w:val="24"/>
                <w:szCs w:val="24"/>
                <w:lang w:val="en-US" w:eastAsia="zh-CN"/>
              </w:rPr>
              <w:t>于202</w:t>
            </w:r>
            <w:r>
              <w:rPr>
                <w:rFonts w:hint="eastAsia"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lang w:val="en-US" w:eastAsia="zh-CN"/>
              </w:rPr>
              <w:t>年</w:t>
            </w:r>
            <w:r>
              <w:rPr>
                <w:rFonts w:hint="eastAsia" w:ascii="Times New Roman" w:hAnsi="Times New Roman" w:cs="Times New Roman"/>
                <w:color w:val="000000"/>
                <w:sz w:val="24"/>
                <w:szCs w:val="24"/>
                <w:lang w:val="en-US" w:eastAsia="zh-CN"/>
              </w:rPr>
              <w:t>10</w:t>
            </w:r>
            <w:r>
              <w:rPr>
                <w:rFonts w:hint="default" w:ascii="Times New Roman" w:hAnsi="Times New Roman" w:cs="Times New Roman"/>
                <w:color w:val="000000"/>
                <w:sz w:val="24"/>
                <w:szCs w:val="24"/>
                <w:lang w:val="en-US" w:eastAsia="zh-CN"/>
              </w:rPr>
              <w:t>月</w:t>
            </w:r>
            <w:r>
              <w:rPr>
                <w:rFonts w:hint="eastAsia" w:ascii="Times New Roman" w:hAnsi="Times New Roman" w:cs="Times New Roman"/>
                <w:color w:val="000000"/>
                <w:sz w:val="24"/>
                <w:szCs w:val="24"/>
                <w:lang w:val="en-US" w:eastAsia="zh-CN"/>
              </w:rPr>
              <w:t>22</w:t>
            </w:r>
            <w:r>
              <w:rPr>
                <w:rFonts w:hint="default" w:ascii="Times New Roman" w:hAnsi="Times New Roman" w:cs="Times New Roman"/>
                <w:color w:val="000000"/>
                <w:sz w:val="24"/>
                <w:szCs w:val="24"/>
                <w:lang w:val="en-US" w:eastAsia="zh-CN"/>
              </w:rPr>
              <w:t xml:space="preserve">日形成了公开征求意见稿。 </w:t>
            </w:r>
          </w:p>
        </w:tc>
      </w:tr>
      <w:tr w14:paraId="2227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570" w:type="dxa"/>
            <w:gridSpan w:val="6"/>
            <w:vAlign w:val="center"/>
          </w:tcPr>
          <w:p w14:paraId="4D95CC91">
            <w:pPr>
              <w:pStyle w:val="31"/>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eastAsia="宋体" w:cs="Times New Roman"/>
                <w:kern w:val="2"/>
                <w:sz w:val="24"/>
                <w:szCs w:val="24"/>
                <w:lang w:val="en-US" w:eastAsia="zh-CN" w:bidi="zh-CN"/>
              </w:rPr>
              <w:t>2、制定标准的必要性和意义</w:t>
            </w:r>
          </w:p>
        </w:tc>
      </w:tr>
      <w:tr w14:paraId="6F6FB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jc w:val="center"/>
        </w:trPr>
        <w:tc>
          <w:tcPr>
            <w:tcW w:w="9570" w:type="dxa"/>
            <w:gridSpan w:val="6"/>
            <w:vAlign w:val="center"/>
          </w:tcPr>
          <w:p w14:paraId="222FCEE0">
            <w:pPr>
              <w:spacing w:line="360" w:lineRule="auto"/>
              <w:ind w:firstLine="482" w:firstLineChars="200"/>
              <w:rPr>
                <w:rFonts w:hint="default" w:ascii="Times New Roman" w:hAnsi="Times New Roman" w:cs="Times New Roman"/>
                <w:b/>
                <w:color w:val="000000"/>
                <w:sz w:val="24"/>
                <w:szCs w:val="24"/>
                <w:lang w:eastAsia="zh-CN"/>
              </w:rPr>
            </w:pPr>
            <w:r>
              <w:rPr>
                <w:rFonts w:hint="default" w:ascii="Times New Roman" w:hAnsi="Times New Roman" w:cs="Times New Roman"/>
                <w:b/>
                <w:color w:val="000000"/>
                <w:sz w:val="24"/>
                <w:szCs w:val="24"/>
                <w:lang w:eastAsia="zh-CN"/>
              </w:rPr>
              <w:t>一、必要性</w:t>
            </w:r>
          </w:p>
          <w:p w14:paraId="1800EE18">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党的十八大报告首次提出“生态产品”这一全新概念，明确“增强生态产品生产能力”。党的二十大报告进一步强调“建立生态产品价值实现机制，完善生态保护补偿制度”。2021年4月，中共中央办公厅、国务院办公厅印发《关于建立健全生态产品价值实现机制的意见》，要求针对生态产品价值实现的不同路径，探索构建行政区域单元生态产品总值和特定地域单元生态产品价值评价体系。生态产品总值核算是促进生态产品价值实现的重要基础性工作。</w:t>
            </w:r>
          </w:p>
          <w:p w14:paraId="5A106BCC">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2022年，《中共安徽省委安徽省人民政府关于完整准确全面贯彻新发展理念做好碳达峰碳中和工作的实施意见》《安徽省碳达峰实施方案》要求研究建立生态产品价值实现机制，支持有条件的地区争创国家生态产品价值实现机制试点。目前没有生态产品总值核算的国家标准和行业标准，我省仅黄山市出台市级地方标准，没有适用于全省范围的生态产品总值核算标准，在核算指标、核算方法、技术参数等方面缺少规范，核算结果不具备权威性，无法作为生态补偿、生态产品市场化交易、生态产品价值考核的依据。</w:t>
            </w:r>
          </w:p>
          <w:p w14:paraId="1A148607">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综上所述，为贯彻落实习近平生态文明思想，建立健全生态产品价值实现机制，指导和规范我省生态产品总值核算工作，提高核算的科学性、规范性、可操作性，亟待研究制定适用于我省的生态产品总值核算标准。</w:t>
            </w:r>
          </w:p>
          <w:p w14:paraId="5E61641B">
            <w:pPr>
              <w:spacing w:line="360" w:lineRule="auto"/>
              <w:ind w:firstLine="482" w:firstLineChars="200"/>
              <w:rPr>
                <w:rFonts w:hint="default" w:ascii="Times New Roman" w:hAnsi="Times New Roman" w:cs="Times New Roman"/>
                <w:b/>
                <w:color w:val="000000"/>
                <w:sz w:val="24"/>
                <w:szCs w:val="24"/>
              </w:rPr>
            </w:pPr>
            <w:r>
              <w:rPr>
                <w:rFonts w:hint="default" w:ascii="Times New Roman" w:hAnsi="Times New Roman" w:cs="Times New Roman"/>
                <w:b/>
                <w:color w:val="000000"/>
                <w:sz w:val="24"/>
                <w:szCs w:val="24"/>
              </w:rPr>
              <w:t>二、意义</w:t>
            </w:r>
          </w:p>
          <w:p w14:paraId="0E9F7508">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1.《生态产品总值核算技术规范》（以下简称《规范》）有助于我省建立健全生态产品价值实现机制，促进生态优势转变为发展优势。</w:t>
            </w:r>
          </w:p>
          <w:p w14:paraId="3F5FFC2B">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2.《规范》有助于形成可追溯、可核查、可比较的生态产品总值核算结果，为生态补偿、担保信贷、绿色金融、权益交易、经营开发等提供支撑。</w:t>
            </w:r>
          </w:p>
          <w:p w14:paraId="139C4310">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3.《规范》有助于科学客观评价区域生态产品总值及动态变化情况，为绿色发展绩效考核、领导干部自然资源离任审计等提供支撑。</w:t>
            </w:r>
          </w:p>
          <w:p w14:paraId="21CDC2EC">
            <w:pPr>
              <w:spacing w:line="360" w:lineRule="auto"/>
              <w:ind w:firstLine="480" w:firstLineChars="200"/>
              <w:rPr>
                <w:rFonts w:hint="default"/>
              </w:rPr>
            </w:pPr>
            <w:r>
              <w:rPr>
                <w:rFonts w:hint="default" w:ascii="Times New Roman" w:hAnsi="Times New Roman" w:cs="Times New Roman"/>
                <w:color w:val="000000"/>
                <w:sz w:val="24"/>
                <w:szCs w:val="24"/>
              </w:rPr>
              <w:t>4.《规范》有助于更精准地摸清区域生态家底，为制定绿色发展相关政策、推进重大生态环境基础设施建设提供决策参考。</w:t>
            </w:r>
          </w:p>
        </w:tc>
      </w:tr>
      <w:tr w14:paraId="4E0C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9570" w:type="dxa"/>
            <w:gridSpan w:val="6"/>
            <w:vAlign w:val="center"/>
          </w:tcPr>
          <w:p w14:paraId="7AFF8E4E">
            <w:pPr>
              <w:pStyle w:val="31"/>
              <w:adjustRightInd w:val="0"/>
              <w:spacing w:line="360" w:lineRule="auto"/>
              <w:ind w:firstLine="0" w:firstLineChars="0"/>
              <w:contextualSpacing/>
              <w:rPr>
                <w:rFonts w:hint="default" w:ascii="Times New Roman" w:hAnsi="Times New Roman" w:cs="Times New Roman"/>
                <w:szCs w:val="21"/>
              </w:rPr>
            </w:pPr>
            <w:r>
              <w:rPr>
                <w:rFonts w:hint="default" w:ascii="Times New Roman" w:hAnsi="Times New Roman" w:eastAsia="宋体" w:cs="Times New Roman"/>
                <w:kern w:val="2"/>
                <w:sz w:val="24"/>
                <w:szCs w:val="24"/>
                <w:lang w:val="en-US" w:eastAsia="zh-CN" w:bidi="zh-CN"/>
              </w:rPr>
              <w:t>3、制定标准的原则和依据，与现行法律法规、标准的关系</w:t>
            </w:r>
          </w:p>
        </w:tc>
      </w:tr>
      <w:tr w14:paraId="7EBF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70" w:type="dxa"/>
            <w:gridSpan w:val="6"/>
            <w:vAlign w:val="center"/>
          </w:tcPr>
          <w:p w14:paraId="7D42934F">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一、制定标准的原则</w:t>
            </w:r>
          </w:p>
          <w:p w14:paraId="21E3F021">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本标准的制定</w:t>
            </w:r>
            <w:r>
              <w:rPr>
                <w:rFonts w:hint="default" w:ascii="Times New Roman" w:hAnsi="Times New Roman" w:cs="Times New Roman"/>
                <w:color w:val="000000"/>
                <w:sz w:val="24"/>
                <w:szCs w:val="24"/>
                <w:highlight w:val="none"/>
                <w:lang w:val="en-US" w:eastAsia="zh-CN"/>
              </w:rPr>
              <w:t>本着科学性、合理性</w:t>
            </w:r>
            <w:r>
              <w:rPr>
                <w:rFonts w:hint="eastAsia" w:ascii="Times New Roman" w:hAnsi="Times New Roman" w:cs="Times New Roman"/>
                <w:color w:val="000000"/>
                <w:sz w:val="24"/>
                <w:szCs w:val="24"/>
                <w:highlight w:val="none"/>
                <w:lang w:val="en-US" w:eastAsia="zh-CN"/>
              </w:rPr>
              <w:t>、先进性</w:t>
            </w:r>
            <w:r>
              <w:rPr>
                <w:rFonts w:hint="default" w:ascii="Times New Roman" w:hAnsi="Times New Roman" w:cs="Times New Roman"/>
                <w:color w:val="000000"/>
                <w:sz w:val="24"/>
                <w:szCs w:val="24"/>
                <w:highlight w:val="none"/>
                <w:lang w:val="en-US" w:eastAsia="zh-CN"/>
              </w:rPr>
              <w:t>和可操作性的原则。</w:t>
            </w:r>
            <w:r>
              <w:rPr>
                <w:rFonts w:hint="default" w:ascii="Times New Roman" w:hAnsi="Times New Roman" w:cs="Times New Roman"/>
                <w:b/>
                <w:bCs/>
                <w:color w:val="000000"/>
                <w:sz w:val="24"/>
                <w:szCs w:val="24"/>
                <w:highlight w:val="none"/>
                <w:lang w:val="en-US" w:eastAsia="zh-CN"/>
              </w:rPr>
              <w:t>一是</w:t>
            </w:r>
            <w:r>
              <w:rPr>
                <w:rFonts w:hint="default" w:ascii="Times New Roman" w:hAnsi="Times New Roman" w:cs="Times New Roman"/>
                <w:color w:val="000000"/>
                <w:sz w:val="24"/>
                <w:szCs w:val="24"/>
                <w:highlight w:val="none"/>
                <w:lang w:val="en-US" w:eastAsia="zh-CN"/>
              </w:rPr>
              <w:t>根据《</w:t>
            </w:r>
            <w:r>
              <w:rPr>
                <w:rFonts w:hint="eastAsia" w:ascii="Times New Roman" w:hAnsi="Times New Roman" w:cs="Times New Roman"/>
                <w:color w:val="000000"/>
                <w:sz w:val="24"/>
                <w:szCs w:val="24"/>
                <w:highlight w:val="none"/>
                <w:lang w:val="en-US" w:eastAsia="zh-CN"/>
              </w:rPr>
              <w:t>生态产品总值核算规范（试行）</w:t>
            </w:r>
            <w:r>
              <w:rPr>
                <w:rFonts w:hint="default" w:ascii="Times New Roman" w:hAnsi="Times New Roman" w:cs="Times New Roman"/>
                <w:color w:val="000000"/>
                <w:sz w:val="24"/>
                <w:szCs w:val="24"/>
                <w:highlight w:val="none"/>
                <w:lang w:val="en-US" w:eastAsia="zh-CN"/>
              </w:rPr>
              <w:t>》，以及安徽省</w:t>
            </w:r>
            <w:r>
              <w:rPr>
                <w:rFonts w:hint="eastAsia" w:ascii="Times New Roman" w:hAnsi="Times New Roman" w:cs="Times New Roman"/>
                <w:color w:val="000000"/>
                <w:sz w:val="24"/>
                <w:szCs w:val="24"/>
                <w:highlight w:val="none"/>
                <w:lang w:val="en-US" w:eastAsia="zh-CN"/>
              </w:rPr>
              <w:t>生态产品价值核算</w:t>
            </w:r>
            <w:r>
              <w:rPr>
                <w:rFonts w:hint="default" w:ascii="Times New Roman" w:hAnsi="Times New Roman" w:cs="Times New Roman"/>
                <w:color w:val="000000"/>
                <w:sz w:val="24"/>
                <w:szCs w:val="24"/>
                <w:highlight w:val="none"/>
                <w:lang w:val="en-US" w:eastAsia="zh-CN"/>
              </w:rPr>
              <w:t>现状，参考现行国家、行业标准、相关技术文件及资料等制定。</w:t>
            </w:r>
            <w:r>
              <w:rPr>
                <w:rFonts w:hint="default" w:ascii="Times New Roman" w:hAnsi="Times New Roman" w:cs="Times New Roman"/>
                <w:b/>
                <w:bCs/>
                <w:color w:val="000000"/>
                <w:sz w:val="24"/>
                <w:szCs w:val="24"/>
                <w:highlight w:val="none"/>
                <w:lang w:val="en-US" w:eastAsia="zh-CN"/>
              </w:rPr>
              <w:t>二是</w:t>
            </w:r>
            <w:r>
              <w:rPr>
                <w:rFonts w:hint="default" w:ascii="Times New Roman" w:hAnsi="Times New Roman" w:cs="Times New Roman"/>
                <w:color w:val="000000"/>
                <w:sz w:val="24"/>
                <w:szCs w:val="24"/>
                <w:highlight w:val="none"/>
                <w:lang w:val="en-US" w:eastAsia="zh-CN"/>
              </w:rPr>
              <w:t>按照GB/T 1.1—2020《标准化工作导则  第1部分：标准化文件的结构和起草规则》给出的规则</w:t>
            </w:r>
            <w:r>
              <w:rPr>
                <w:rFonts w:hint="default" w:ascii="Times New Roman" w:hAnsi="Times New Roman" w:cs="Times New Roman"/>
                <w:color w:val="000000"/>
                <w:sz w:val="24"/>
                <w:szCs w:val="24"/>
                <w:lang w:val="en-US" w:eastAsia="zh-CN"/>
              </w:rPr>
              <w:t>编写。本标准的所有条目在表述上力求做到清晰明确，无模棱两可、含糊其辞或易于产生歧义的表达；在方法上力求做到务实、有效、可操作。</w:t>
            </w:r>
            <w:r>
              <w:rPr>
                <w:rFonts w:hint="default" w:ascii="Times New Roman" w:hAnsi="Times New Roman" w:cs="Times New Roman"/>
                <w:b/>
                <w:bCs/>
                <w:color w:val="000000"/>
                <w:sz w:val="24"/>
                <w:szCs w:val="24"/>
                <w:lang w:val="en-US" w:eastAsia="zh-CN"/>
              </w:rPr>
              <w:t>三是</w:t>
            </w:r>
            <w:r>
              <w:rPr>
                <w:rFonts w:hint="default" w:ascii="Times New Roman" w:hAnsi="Times New Roman" w:cs="Times New Roman"/>
                <w:color w:val="000000"/>
                <w:sz w:val="24"/>
                <w:szCs w:val="24"/>
                <w:lang w:val="en-US" w:eastAsia="zh-CN"/>
              </w:rPr>
              <w:t>标准的编写注重于同一领域的</w:t>
            </w:r>
            <w:r>
              <w:rPr>
                <w:rFonts w:hint="eastAsia" w:ascii="Times New Roman" w:hAnsi="Times New Roman" w:cs="Times New Roman"/>
                <w:color w:val="000000"/>
                <w:sz w:val="24"/>
                <w:szCs w:val="24"/>
                <w:lang w:val="en-US" w:eastAsia="zh-CN"/>
              </w:rPr>
              <w:t>环境质量</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生态系统评估</w:t>
            </w:r>
            <w:r>
              <w:rPr>
                <w:rFonts w:hint="default" w:ascii="Times New Roman" w:hAnsi="Times New Roman" w:cs="Times New Roman"/>
                <w:color w:val="000000"/>
                <w:sz w:val="24"/>
                <w:szCs w:val="24"/>
                <w:lang w:val="en-US" w:eastAsia="zh-CN"/>
              </w:rPr>
              <w:t>等标准之间协调，并注意采用已发布的标准中的技术条款，确保制定的标准具有可行性。</w:t>
            </w:r>
            <w:r>
              <w:rPr>
                <w:rFonts w:hint="default" w:ascii="Times New Roman" w:hAnsi="Times New Roman" w:cs="Times New Roman"/>
                <w:b/>
                <w:bCs/>
                <w:color w:val="000000"/>
                <w:sz w:val="24"/>
                <w:szCs w:val="24"/>
                <w:lang w:val="en-US" w:eastAsia="zh-CN"/>
              </w:rPr>
              <w:t>四是</w:t>
            </w:r>
            <w:r>
              <w:rPr>
                <w:rFonts w:hint="default" w:ascii="Times New Roman" w:hAnsi="Times New Roman" w:cs="Times New Roman"/>
                <w:color w:val="000000"/>
                <w:sz w:val="24"/>
                <w:szCs w:val="24"/>
                <w:lang w:val="en-US" w:eastAsia="zh-CN"/>
              </w:rPr>
              <w:t>本标准编写过程中，及时关注最新制修订或发布的国家标准等作为参考。</w:t>
            </w:r>
          </w:p>
          <w:p w14:paraId="07EB8414">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二、制定标准的依据</w:t>
            </w:r>
          </w:p>
          <w:p w14:paraId="517DDE5D">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highlight w:val="none"/>
                <w:lang w:val="en-US" w:eastAsia="zh-CN"/>
              </w:rPr>
              <w:t>《</w:t>
            </w:r>
            <w:r>
              <w:rPr>
                <w:rFonts w:hint="eastAsia" w:ascii="Times New Roman" w:hAnsi="Times New Roman" w:cs="Times New Roman"/>
                <w:color w:val="000000"/>
                <w:sz w:val="24"/>
                <w:szCs w:val="24"/>
                <w:highlight w:val="none"/>
                <w:lang w:val="en-US" w:eastAsia="zh-CN"/>
              </w:rPr>
              <w:t>生态产品总值核算规范（试行）</w:t>
            </w:r>
            <w:r>
              <w:rPr>
                <w:rFonts w:hint="default" w:ascii="Times New Roman" w:hAnsi="Times New Roman" w:cs="Times New Roman"/>
                <w:color w:val="000000"/>
                <w:sz w:val="24"/>
                <w:szCs w:val="24"/>
                <w:highlight w:val="none"/>
                <w:lang w:val="en-US" w:eastAsia="zh-CN"/>
              </w:rPr>
              <w:t>》等文件</w:t>
            </w:r>
          </w:p>
          <w:p w14:paraId="30E93391">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三、与现行法律法规、标准的关系</w:t>
            </w:r>
          </w:p>
          <w:p w14:paraId="34100E44">
            <w:pPr>
              <w:spacing w:line="360" w:lineRule="auto"/>
              <w:ind w:firstLine="480" w:firstLineChars="200"/>
              <w:rPr>
                <w:rFonts w:hint="default" w:ascii="Times New Roman" w:hAnsi="Times New Roman" w:cs="Times New Roman"/>
                <w:szCs w:val="21"/>
              </w:rPr>
            </w:pPr>
            <w:r>
              <w:rPr>
                <w:rFonts w:hint="default" w:ascii="Times New Roman" w:hAnsi="Times New Roman" w:cs="Times New Roman"/>
                <w:color w:val="000000"/>
                <w:sz w:val="24"/>
                <w:szCs w:val="24"/>
                <w:lang w:val="en-US" w:eastAsia="zh-CN"/>
              </w:rPr>
              <w:t>本标准的制定与相关法律法规没有冲突；符合</w:t>
            </w:r>
            <w:r>
              <w:rPr>
                <w:rFonts w:hint="eastAsia" w:ascii="Times New Roman" w:hAnsi="Times New Roman" w:cs="Times New Roman"/>
                <w:color w:val="000000"/>
                <w:sz w:val="24"/>
                <w:szCs w:val="24"/>
                <w:lang w:val="en-US" w:eastAsia="zh-CN"/>
              </w:rPr>
              <w:t>国家</w:t>
            </w:r>
            <w:r>
              <w:rPr>
                <w:rFonts w:hint="default" w:ascii="Times New Roman" w:hAnsi="Times New Roman" w:cs="Times New Roman"/>
                <w:color w:val="000000"/>
                <w:sz w:val="24"/>
                <w:szCs w:val="24"/>
                <w:lang w:val="en-US" w:eastAsia="zh-CN"/>
              </w:rPr>
              <w:t>和</w:t>
            </w:r>
            <w:r>
              <w:rPr>
                <w:rFonts w:hint="eastAsia" w:ascii="Times New Roman" w:hAnsi="Times New Roman" w:cs="Times New Roman"/>
                <w:color w:val="000000"/>
                <w:sz w:val="24"/>
                <w:szCs w:val="24"/>
                <w:lang w:val="en-US" w:eastAsia="zh-CN"/>
              </w:rPr>
              <w:t>省</w:t>
            </w:r>
            <w:r>
              <w:rPr>
                <w:rFonts w:hint="default" w:ascii="Times New Roman" w:hAnsi="Times New Roman" w:cs="Times New Roman"/>
                <w:color w:val="000000"/>
                <w:sz w:val="24"/>
                <w:szCs w:val="24"/>
                <w:lang w:val="en-US" w:eastAsia="zh-CN"/>
              </w:rPr>
              <w:t>相关政策文件要求，同时结合安徽省</w:t>
            </w:r>
            <w:r>
              <w:rPr>
                <w:rFonts w:hint="eastAsia" w:ascii="Times New Roman" w:hAnsi="Times New Roman" w:cs="Times New Roman"/>
                <w:color w:val="000000"/>
                <w:sz w:val="24"/>
                <w:szCs w:val="24"/>
                <w:lang w:val="en-US" w:eastAsia="zh-CN"/>
              </w:rPr>
              <w:t>资源禀赋、生态系统分布等实际情况和生态产品价值实现</w:t>
            </w:r>
            <w:r>
              <w:rPr>
                <w:rFonts w:hint="default" w:ascii="Times New Roman" w:hAnsi="Times New Roman" w:cs="Times New Roman"/>
                <w:color w:val="000000"/>
                <w:sz w:val="24"/>
                <w:szCs w:val="24"/>
                <w:lang w:val="en-US" w:eastAsia="zh-CN"/>
              </w:rPr>
              <w:t>工作</w:t>
            </w:r>
            <w:r>
              <w:rPr>
                <w:rFonts w:hint="eastAsia" w:ascii="Times New Roman" w:hAnsi="Times New Roman" w:cs="Times New Roman"/>
                <w:color w:val="000000"/>
                <w:sz w:val="24"/>
                <w:szCs w:val="24"/>
                <w:lang w:val="en-US" w:eastAsia="zh-CN"/>
              </w:rPr>
              <w:t>需求</w:t>
            </w:r>
            <w:r>
              <w:rPr>
                <w:rFonts w:hint="default" w:ascii="Times New Roman" w:hAnsi="Times New Roman" w:cs="Times New Roman"/>
                <w:color w:val="000000"/>
                <w:sz w:val="24"/>
                <w:szCs w:val="24"/>
                <w:lang w:val="en-US" w:eastAsia="zh-CN"/>
              </w:rPr>
              <w:t>，确保制定的标准具有可行性。</w:t>
            </w:r>
          </w:p>
        </w:tc>
      </w:tr>
      <w:tr w14:paraId="7BB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70" w:type="dxa"/>
            <w:gridSpan w:val="6"/>
            <w:vAlign w:val="top"/>
          </w:tcPr>
          <w:p w14:paraId="5EB6AC6A">
            <w:pPr>
              <w:pStyle w:val="31"/>
              <w:adjustRightInd w:val="0"/>
              <w:spacing w:line="360" w:lineRule="auto"/>
              <w:ind w:firstLine="0" w:firstLineChars="0"/>
              <w:contextualSpacing/>
              <w:rPr>
                <w:rFonts w:hint="default" w:ascii="Times New Roman" w:hAnsi="Times New Roman" w:eastAsia="宋体" w:cs="Times New Roman"/>
                <w:kern w:val="2"/>
                <w:sz w:val="24"/>
                <w:szCs w:val="24"/>
                <w:lang w:val="en-US" w:eastAsia="zh-CN" w:bidi="zh-CN"/>
              </w:rPr>
            </w:pPr>
            <w:r>
              <w:rPr>
                <w:rFonts w:hint="default" w:ascii="Times New Roman" w:hAnsi="Times New Roman" w:eastAsia="宋体" w:cs="Times New Roman"/>
                <w:kern w:val="2"/>
                <w:sz w:val="24"/>
                <w:szCs w:val="24"/>
                <w:lang w:val="en-US" w:eastAsia="zh-CN" w:bidi="zh-CN"/>
              </w:rPr>
              <w:t>4、主要条款的说明，主要技术指标、参数、试验验证的论述（详细说明）</w:t>
            </w:r>
          </w:p>
          <w:p w14:paraId="59E7335A">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一、主要条款</w:t>
            </w:r>
          </w:p>
          <w:p w14:paraId="778E804C">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本标准的章节由范围、规范性引用文件、术语和定义、</w:t>
            </w:r>
            <w:r>
              <w:rPr>
                <w:rFonts w:hint="default" w:ascii="Times New Roman" w:hAnsi="Times New Roman" w:cs="Times New Roman"/>
                <w:color w:val="000000"/>
                <w:sz w:val="24"/>
                <w:szCs w:val="24"/>
                <w:lang w:eastAsia="zh-CN"/>
              </w:rPr>
              <w:t>缩略语、</w:t>
            </w:r>
            <w:r>
              <w:rPr>
                <w:rFonts w:hint="eastAsia" w:ascii="Times New Roman" w:hAnsi="Times New Roman" w:cs="Times New Roman"/>
                <w:color w:val="000000"/>
                <w:sz w:val="24"/>
                <w:szCs w:val="24"/>
                <w:lang w:val="en-US" w:eastAsia="zh-CN"/>
              </w:rPr>
              <w:t>核算流程、核算内容和指标体系、核算方法、附则，以及生态产品目录清单、生态系统类型与土地利用类型对照、生态产品实物量和价值量核算关键参数等3个附录组成。其中，“核算内容和指标体系”“核算方法”“生态产品实物量和价值量核算关键参数”是</w:t>
            </w:r>
            <w:r>
              <w:rPr>
                <w:rFonts w:hint="default" w:ascii="Times New Roman" w:hAnsi="Times New Roman" w:cs="Times New Roman"/>
                <w:color w:val="000000"/>
                <w:sz w:val="24"/>
                <w:szCs w:val="24"/>
              </w:rPr>
              <w:t>本标准的主要技术内容。</w:t>
            </w:r>
          </w:p>
          <w:p w14:paraId="066E8E5B">
            <w:pPr>
              <w:spacing w:line="360" w:lineRule="auto"/>
              <w:ind w:firstLine="480" w:firstLineChars="200"/>
              <w:rPr>
                <w:rFonts w:hint="eastAsia"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rPr>
              <w:t>本标准规定了生态产品总值核算程序、技术流程、指标体系、实物量核算方法、价值量核算方法，以及核算数据清单、部分参数参考值、核算报告编制规范等内容</w:t>
            </w:r>
            <w:r>
              <w:rPr>
                <w:rFonts w:hint="eastAsia" w:ascii="Times New Roman" w:hAnsi="Times New Roman" w:cs="Times New Roman"/>
                <w:color w:val="000000"/>
                <w:sz w:val="24"/>
                <w:szCs w:val="24"/>
                <w:lang w:eastAsia="zh-CN"/>
              </w:rPr>
              <w:t>，</w:t>
            </w:r>
            <w:r>
              <w:rPr>
                <w:rFonts w:hint="eastAsia" w:ascii="Times New Roman" w:hAnsi="Times New Roman" w:cs="Times New Roman"/>
                <w:color w:val="000000"/>
                <w:sz w:val="24"/>
                <w:szCs w:val="24"/>
                <w:lang w:val="en-US" w:eastAsia="zh-CN"/>
              </w:rPr>
              <w:t>适用于安徽省范围内省、市、县（区、市）、乡镇等各级行政区域生态产品总值核算，也适用于上述各级行政区域一类或几类生态系统服务价值核算、生态系统生产总值核算等工作。功能相对完整的生态自然地理区域以及由不同生态系统类型组合而成的地域单元，可参照本文件开展生态产品价值核算。</w:t>
            </w:r>
          </w:p>
          <w:p w14:paraId="018A19F8">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二、主要技术指标、参数的论述</w:t>
            </w:r>
          </w:p>
          <w:p w14:paraId="2F408591">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第一章 范围</w:t>
            </w:r>
          </w:p>
          <w:p w14:paraId="3E9CF6C4">
            <w:pPr>
              <w:spacing w:line="360" w:lineRule="auto"/>
              <w:ind w:firstLine="480" w:firstLineChars="200"/>
              <w:rPr>
                <w:rFonts w:hint="default"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本章主要</w:t>
            </w:r>
            <w:r>
              <w:rPr>
                <w:rFonts w:hint="default" w:ascii="Times New Roman" w:hAnsi="Times New Roman" w:cs="Times New Roman"/>
                <w:color w:val="000000"/>
                <w:sz w:val="24"/>
                <w:szCs w:val="24"/>
                <w:lang w:val="en-US" w:eastAsia="zh-CN"/>
              </w:rPr>
              <w:t>界定</w:t>
            </w:r>
            <w:r>
              <w:rPr>
                <w:rFonts w:hint="eastAsia" w:ascii="Times New Roman" w:hAnsi="Times New Roman" w:cs="Times New Roman"/>
                <w:color w:val="000000"/>
                <w:sz w:val="24"/>
                <w:szCs w:val="24"/>
                <w:lang w:val="en-US" w:eastAsia="zh-CN"/>
              </w:rPr>
              <w:t>标准规范的主要内容，明确标准规范的适用范围。</w:t>
            </w:r>
          </w:p>
          <w:p w14:paraId="3EC534A1">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第二章 规范性引用文件</w:t>
            </w:r>
          </w:p>
          <w:p w14:paraId="312B02E8">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本标准通过引用有关国家标准、行业标准的有效文本而构成本标准的条文。</w:t>
            </w:r>
          </w:p>
          <w:p w14:paraId="7DBDEE4F">
            <w:pPr>
              <w:spacing w:line="360" w:lineRule="auto"/>
              <w:ind w:firstLine="480" w:firstLineChars="200"/>
              <w:rPr>
                <w:rFonts w:hint="eastAsia" w:ascii="Times New Roman" w:hAnsi="Times New Roman" w:eastAsia="宋体" w:cs="Times New Roman"/>
                <w:color w:val="000000"/>
                <w:sz w:val="24"/>
                <w:szCs w:val="24"/>
                <w:lang w:val="en-US" w:eastAsia="zh-CN"/>
              </w:rPr>
            </w:pPr>
            <w:r>
              <w:rPr>
                <w:rFonts w:hint="default" w:ascii="Times New Roman" w:hAnsi="Times New Roman" w:cs="Times New Roman"/>
                <w:color w:val="000000"/>
                <w:sz w:val="24"/>
                <w:szCs w:val="24"/>
                <w:lang w:val="en-US" w:eastAsia="zh-CN"/>
              </w:rPr>
              <w:t>第三章 术语和定义</w:t>
            </w:r>
          </w:p>
          <w:p w14:paraId="448D87F9">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本章对</w:t>
            </w:r>
            <w:r>
              <w:rPr>
                <w:rFonts w:hint="eastAsia" w:ascii="Times New Roman" w:hAnsi="Times New Roman" w:cs="Times New Roman"/>
                <w:color w:val="000000"/>
                <w:sz w:val="24"/>
                <w:szCs w:val="24"/>
                <w:lang w:val="en-US" w:eastAsia="zh-CN"/>
              </w:rPr>
              <w:t>生态系统</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生态产品</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生态产品总值</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物质供给</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调节服务</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水源涵养</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土壤保持</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洪水调蓄</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空气净化</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水质净化</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固定二氧化碳</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气候调节</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噪声消减、实物量、价值量</w:t>
            </w:r>
            <w:r>
              <w:rPr>
                <w:rFonts w:hint="default" w:ascii="Times New Roman" w:hAnsi="Times New Roman" w:cs="Times New Roman"/>
                <w:color w:val="000000"/>
                <w:sz w:val="24"/>
                <w:szCs w:val="24"/>
                <w:lang w:val="en-US" w:eastAsia="zh-CN"/>
              </w:rPr>
              <w:t>等术语进行了定义。</w:t>
            </w:r>
          </w:p>
          <w:p w14:paraId="1DB924C7">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第四章  缩略语</w:t>
            </w:r>
          </w:p>
          <w:p w14:paraId="049A22F3">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本章对</w:t>
            </w:r>
            <w:r>
              <w:rPr>
                <w:rFonts w:hint="eastAsia" w:ascii="Times New Roman" w:hAnsi="Times New Roman" w:cs="Times New Roman"/>
                <w:color w:val="000000"/>
                <w:sz w:val="24"/>
                <w:szCs w:val="24"/>
                <w:lang w:val="en-US" w:eastAsia="zh-CN"/>
              </w:rPr>
              <w:t>GEP</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NEP</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NPP</w:t>
            </w:r>
            <w:r>
              <w:rPr>
                <w:rFonts w:hint="default" w:ascii="Times New Roman" w:hAnsi="Times New Roman" w:cs="Times New Roman"/>
                <w:color w:val="000000"/>
                <w:sz w:val="24"/>
                <w:szCs w:val="24"/>
                <w:lang w:val="en-US" w:eastAsia="zh-CN"/>
              </w:rPr>
              <w:t>、</w:t>
            </w:r>
            <w:r>
              <w:rPr>
                <w:rFonts w:hint="eastAsia" w:ascii="Times New Roman" w:hAnsi="Times New Roman" w:cs="Times New Roman"/>
                <w:color w:val="000000"/>
                <w:sz w:val="24"/>
                <w:szCs w:val="24"/>
                <w:lang w:val="en-US" w:eastAsia="zh-CN"/>
              </w:rPr>
              <w:t>COD</w:t>
            </w:r>
            <w:r>
              <w:rPr>
                <w:rFonts w:hint="default" w:ascii="Times New Roman" w:hAnsi="Times New Roman" w:cs="Times New Roman"/>
                <w:color w:val="000000"/>
                <w:sz w:val="24"/>
                <w:szCs w:val="24"/>
                <w:lang w:val="en-US" w:eastAsia="zh-CN"/>
              </w:rPr>
              <w:t>等缩略语含义进行了阐释。</w:t>
            </w:r>
          </w:p>
          <w:p w14:paraId="7768B415">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 xml:space="preserve">第五章 </w:t>
            </w:r>
            <w:r>
              <w:rPr>
                <w:rFonts w:hint="eastAsia" w:ascii="Times New Roman" w:hAnsi="Times New Roman" w:cs="Times New Roman"/>
                <w:color w:val="000000"/>
                <w:sz w:val="24"/>
                <w:szCs w:val="24"/>
                <w:lang w:val="en-US" w:eastAsia="zh-CN"/>
              </w:rPr>
              <w:t>核算流程</w:t>
            </w:r>
          </w:p>
          <w:p w14:paraId="19E7188E">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本章</w:t>
            </w:r>
            <w:r>
              <w:rPr>
                <w:rFonts w:hint="eastAsia" w:ascii="Times New Roman" w:hAnsi="Times New Roman" w:cs="Times New Roman"/>
                <w:color w:val="000000"/>
                <w:sz w:val="24"/>
                <w:szCs w:val="24"/>
                <w:lang w:val="en-US" w:eastAsia="zh-CN"/>
              </w:rPr>
              <w:t>对生态产品总值核算的周期、工作流程进行明确。</w:t>
            </w:r>
          </w:p>
          <w:p w14:paraId="3187C448">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第六章 核算内容和指标体系</w:t>
            </w:r>
          </w:p>
          <w:p w14:paraId="62EBCB17">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本章</w:t>
            </w:r>
            <w:r>
              <w:rPr>
                <w:rFonts w:hint="eastAsia" w:ascii="Times New Roman" w:hAnsi="Times New Roman" w:cs="Times New Roman"/>
                <w:color w:val="000000"/>
                <w:sz w:val="24"/>
                <w:szCs w:val="24"/>
                <w:lang w:val="en-US" w:eastAsia="zh-CN"/>
              </w:rPr>
              <w:t>明确生态产品总值核算内容、指标体系。主要包括各类生态系统核算内容、指标选取原则、核算指标体系等。</w:t>
            </w:r>
          </w:p>
          <w:p w14:paraId="08FA9D64">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 xml:space="preserve">第七章 </w:t>
            </w:r>
            <w:r>
              <w:rPr>
                <w:rFonts w:hint="eastAsia" w:ascii="Times New Roman" w:hAnsi="Times New Roman" w:cs="Times New Roman"/>
                <w:color w:val="000000"/>
                <w:sz w:val="24"/>
                <w:szCs w:val="24"/>
                <w:lang w:val="en-US" w:eastAsia="zh-CN"/>
              </w:rPr>
              <w:t>核算方法</w:t>
            </w:r>
          </w:p>
          <w:p w14:paraId="69744778">
            <w:pPr>
              <w:spacing w:line="360" w:lineRule="auto"/>
              <w:ind w:firstLine="480" w:firstLineChars="200"/>
              <w:rPr>
                <w:rFonts w:hint="eastAsia"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本章</w:t>
            </w:r>
            <w:r>
              <w:rPr>
                <w:rFonts w:hint="eastAsia" w:ascii="Times New Roman" w:hAnsi="Times New Roman" w:cs="Times New Roman"/>
                <w:color w:val="000000"/>
                <w:sz w:val="24"/>
                <w:szCs w:val="24"/>
                <w:lang w:val="en-US" w:eastAsia="zh-CN"/>
              </w:rPr>
              <w:t>明确具体核算指标的核算方法，包括实物量核算方法和价值量核算方法。</w:t>
            </w:r>
          </w:p>
          <w:p w14:paraId="055A85E0">
            <w:pPr>
              <w:spacing w:line="360" w:lineRule="auto"/>
              <w:ind w:firstLine="480" w:firstLineChars="200"/>
              <w:rPr>
                <w:rFonts w:hint="eastAsia"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第</w:t>
            </w:r>
            <w:r>
              <w:rPr>
                <w:rFonts w:hint="eastAsia" w:ascii="Times New Roman" w:hAnsi="Times New Roman" w:cs="Times New Roman"/>
                <w:color w:val="000000"/>
                <w:sz w:val="24"/>
                <w:szCs w:val="24"/>
                <w:lang w:val="en-US" w:eastAsia="zh-CN"/>
              </w:rPr>
              <w:t>八</w:t>
            </w:r>
            <w:r>
              <w:rPr>
                <w:rFonts w:hint="default" w:ascii="Times New Roman" w:hAnsi="Times New Roman" w:cs="Times New Roman"/>
                <w:color w:val="000000"/>
                <w:sz w:val="24"/>
                <w:szCs w:val="24"/>
                <w:lang w:val="en-US" w:eastAsia="zh-CN"/>
              </w:rPr>
              <w:t xml:space="preserve">章 </w:t>
            </w:r>
            <w:r>
              <w:rPr>
                <w:rFonts w:hint="eastAsia" w:ascii="Times New Roman" w:hAnsi="Times New Roman" w:cs="Times New Roman"/>
                <w:color w:val="000000"/>
                <w:sz w:val="24"/>
                <w:szCs w:val="24"/>
                <w:lang w:val="en-US" w:eastAsia="zh-CN"/>
              </w:rPr>
              <w:t>附则</w:t>
            </w:r>
          </w:p>
          <w:p w14:paraId="786AE524">
            <w:pPr>
              <w:pStyle w:val="2"/>
              <w:ind w:left="0" w:leftChars="0" w:firstLine="0" w:firstLineChars="0"/>
              <w:rPr>
                <w:rFonts w:hint="eastAsia" w:eastAsia="宋体" w:cs="Times New Roman"/>
                <w:color w:val="000000"/>
                <w:kern w:val="2"/>
                <w:sz w:val="24"/>
                <w:szCs w:val="24"/>
                <w:lang w:val="en-US" w:eastAsia="zh-CN" w:bidi="ar-SA"/>
              </w:rPr>
            </w:pPr>
            <w:r>
              <w:rPr>
                <w:rFonts w:hint="eastAsia"/>
                <w:lang w:val="en-US" w:eastAsia="zh-CN"/>
              </w:rPr>
              <w:t xml:space="preserve">   </w:t>
            </w:r>
            <w:r>
              <w:rPr>
                <w:rFonts w:hint="eastAsia" w:ascii="Times New Roman" w:hAnsi="Times New Roman" w:eastAsia="宋体" w:cs="Times New Roman"/>
                <w:color w:val="000000"/>
                <w:kern w:val="2"/>
                <w:sz w:val="24"/>
                <w:szCs w:val="24"/>
                <w:lang w:val="en-US" w:eastAsia="zh-CN" w:bidi="ar-SA"/>
              </w:rPr>
              <w:t>本章</w:t>
            </w:r>
            <w:r>
              <w:rPr>
                <w:rFonts w:hint="eastAsia" w:eastAsia="宋体" w:cs="Times New Roman"/>
                <w:color w:val="000000"/>
                <w:kern w:val="2"/>
                <w:sz w:val="24"/>
                <w:szCs w:val="24"/>
                <w:lang w:val="en-US" w:eastAsia="zh-CN" w:bidi="ar-SA"/>
              </w:rPr>
              <w:t>明确生态产品总值核算工作中对于质量控制、成果汇总等要求。</w:t>
            </w:r>
          </w:p>
          <w:p w14:paraId="2A86B31A">
            <w:pPr>
              <w:pStyle w:val="2"/>
              <w:rPr>
                <w:rFonts w:hint="eastAsia" w:eastAsia="宋体" w:cs="Times New Roman"/>
                <w:color w:val="000000"/>
                <w:kern w:val="2"/>
                <w:sz w:val="24"/>
                <w:szCs w:val="24"/>
                <w:lang w:val="en-US" w:eastAsia="zh-CN" w:bidi="ar-SA"/>
              </w:rPr>
            </w:pPr>
            <w:r>
              <w:rPr>
                <w:rFonts w:hint="eastAsia" w:eastAsia="宋体" w:cs="Times New Roman"/>
                <w:color w:val="000000"/>
                <w:kern w:val="2"/>
                <w:sz w:val="24"/>
                <w:szCs w:val="24"/>
                <w:lang w:val="en-US" w:eastAsia="zh-CN" w:bidi="ar-SA"/>
              </w:rPr>
              <w:t>附录A 生态产品目录清单</w:t>
            </w:r>
          </w:p>
          <w:p w14:paraId="01B82F06">
            <w:pPr>
              <w:pStyle w:val="2"/>
              <w:rPr>
                <w:rFonts w:hint="eastAsia" w:eastAsia="宋体" w:cs="Times New Roman"/>
                <w:color w:val="000000"/>
                <w:kern w:val="2"/>
                <w:sz w:val="24"/>
                <w:szCs w:val="24"/>
                <w:lang w:val="en-US" w:eastAsia="zh-CN" w:bidi="ar-SA"/>
              </w:rPr>
            </w:pPr>
            <w:r>
              <w:rPr>
                <w:rFonts w:hint="eastAsia" w:eastAsia="宋体" w:cs="Times New Roman"/>
                <w:color w:val="000000"/>
                <w:kern w:val="2"/>
                <w:sz w:val="24"/>
                <w:szCs w:val="24"/>
                <w:lang w:val="en-US" w:eastAsia="zh-CN" w:bidi="ar-SA"/>
              </w:rPr>
              <w:t>明确纳入核算的生态产品类别、核算科目和具体内容，包括物质供给、调节服务、文化服务三大类生态产品。</w:t>
            </w:r>
          </w:p>
          <w:p w14:paraId="39F80376">
            <w:pPr>
              <w:pStyle w:val="2"/>
              <w:rPr>
                <w:rFonts w:hint="eastAsia" w:eastAsia="宋体" w:cs="Times New Roman"/>
                <w:color w:val="000000"/>
                <w:kern w:val="2"/>
                <w:sz w:val="24"/>
                <w:szCs w:val="24"/>
                <w:lang w:val="en-US" w:eastAsia="zh-CN" w:bidi="ar-SA"/>
              </w:rPr>
            </w:pPr>
            <w:r>
              <w:rPr>
                <w:rFonts w:hint="eastAsia" w:eastAsia="宋体" w:cs="Times New Roman"/>
                <w:color w:val="000000"/>
                <w:kern w:val="2"/>
                <w:sz w:val="24"/>
                <w:szCs w:val="24"/>
                <w:lang w:val="en-US" w:eastAsia="zh-CN" w:bidi="ar-SA"/>
              </w:rPr>
              <w:t>附录B 生态系统类型与土地利用类型对照</w:t>
            </w:r>
          </w:p>
          <w:p w14:paraId="5A57B243">
            <w:pPr>
              <w:pStyle w:val="2"/>
              <w:rPr>
                <w:rFonts w:hint="eastAsia" w:eastAsia="宋体" w:cs="Times New Roman"/>
                <w:color w:val="000000"/>
                <w:kern w:val="2"/>
                <w:sz w:val="24"/>
                <w:szCs w:val="24"/>
                <w:lang w:val="en-US" w:eastAsia="zh-CN" w:bidi="ar-SA"/>
              </w:rPr>
            </w:pPr>
            <w:r>
              <w:rPr>
                <w:rFonts w:hint="eastAsia" w:eastAsia="宋体" w:cs="Times New Roman"/>
                <w:color w:val="000000"/>
                <w:kern w:val="2"/>
                <w:sz w:val="24"/>
                <w:szCs w:val="24"/>
                <w:lang w:val="en-US" w:eastAsia="zh-CN" w:bidi="ar-SA"/>
              </w:rPr>
              <w:t>明确生态系统类型与土地利用类型对照关系，可在调查或观测数据无法获取或不完整时，基于自然资源部门第三次全国国土调查分类土地利用调查及年度更新结果，参考对照表进行生态系统类型划分。</w:t>
            </w:r>
          </w:p>
          <w:p w14:paraId="43813B1F">
            <w:pPr>
              <w:pStyle w:val="2"/>
              <w:rPr>
                <w:rFonts w:hint="eastAsia" w:eastAsia="宋体" w:cs="Times New Roman"/>
                <w:color w:val="000000"/>
                <w:kern w:val="2"/>
                <w:sz w:val="24"/>
                <w:szCs w:val="24"/>
                <w:lang w:val="en-US" w:eastAsia="zh-CN" w:bidi="ar-SA"/>
              </w:rPr>
            </w:pPr>
            <w:r>
              <w:rPr>
                <w:rFonts w:hint="eastAsia" w:eastAsia="宋体" w:cs="Times New Roman"/>
                <w:color w:val="000000"/>
                <w:kern w:val="2"/>
                <w:sz w:val="24"/>
                <w:szCs w:val="24"/>
                <w:lang w:val="en-US" w:eastAsia="zh-CN" w:bidi="ar-SA"/>
              </w:rPr>
              <w:t>附录C 生态产品实物量和价值量核算关键参数</w:t>
            </w:r>
          </w:p>
          <w:p w14:paraId="5E38E528">
            <w:pPr>
              <w:pStyle w:val="2"/>
              <w:rPr>
                <w:rFonts w:hint="default" w:eastAsia="宋体" w:cs="Times New Roman"/>
                <w:color w:val="000000"/>
                <w:kern w:val="2"/>
                <w:sz w:val="24"/>
                <w:szCs w:val="24"/>
                <w:lang w:val="en-US" w:eastAsia="zh-CN" w:bidi="ar-SA"/>
              </w:rPr>
            </w:pPr>
            <w:r>
              <w:rPr>
                <w:rFonts w:hint="eastAsia" w:eastAsia="宋体" w:cs="Times New Roman"/>
                <w:color w:val="000000"/>
                <w:kern w:val="2"/>
                <w:sz w:val="24"/>
                <w:szCs w:val="24"/>
                <w:lang w:val="en-US" w:eastAsia="zh-CN" w:bidi="ar-SA"/>
              </w:rPr>
              <w:t>提供生态产品实物量和价值量核算的关键参数缺省值，可在缺少实际调查监测数据时作为参考。</w:t>
            </w:r>
          </w:p>
          <w:p w14:paraId="2F8E183F">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三、试验验证的论述</w:t>
            </w:r>
          </w:p>
          <w:p w14:paraId="4AA6CF3D">
            <w:pPr>
              <w:spacing w:line="360" w:lineRule="auto"/>
              <w:ind w:firstLine="480" w:firstLineChars="200"/>
              <w:rPr>
                <w:rFonts w:hint="default" w:ascii="Times New Roman" w:hAnsi="Times New Roman" w:cs="Times New Roman"/>
              </w:rPr>
            </w:pPr>
            <w:r>
              <w:rPr>
                <w:rFonts w:hint="default" w:ascii="Times New Roman" w:hAnsi="Times New Roman" w:cs="Times New Roman"/>
                <w:color w:val="000000"/>
                <w:sz w:val="24"/>
                <w:szCs w:val="24"/>
                <w:lang w:val="en-US" w:eastAsia="zh-CN"/>
              </w:rPr>
              <w:t>本标准的相关技术条款已在《安徽省生态系统生产总值（GEP）核算应用体系研究》《全椒县森林和湿地生态系统生产总值（GEP）核算研究》</w:t>
            </w:r>
            <w:r>
              <w:rPr>
                <w:rFonts w:hint="eastAsia" w:ascii="Times New Roman" w:hAnsi="Times New Roman" w:cs="Times New Roman"/>
                <w:color w:val="000000"/>
                <w:sz w:val="24"/>
                <w:szCs w:val="24"/>
                <w:lang w:val="en-US" w:eastAsia="zh-CN"/>
              </w:rPr>
              <w:t>等研究中</w:t>
            </w:r>
            <w:r>
              <w:rPr>
                <w:rFonts w:hint="default" w:ascii="Times New Roman" w:hAnsi="Times New Roman" w:cs="Times New Roman"/>
                <w:color w:val="000000"/>
                <w:sz w:val="24"/>
                <w:szCs w:val="24"/>
                <w:lang w:val="en-US" w:eastAsia="zh-CN"/>
              </w:rPr>
              <w:t>得到实际验证，实施效果良好。</w:t>
            </w:r>
          </w:p>
        </w:tc>
      </w:tr>
      <w:tr w14:paraId="5B16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FDFA9A9">
            <w:pPr>
              <w:pStyle w:val="31"/>
              <w:keepNext w:val="0"/>
              <w:keepLines w:val="0"/>
              <w:pageBreakBefore w:val="0"/>
              <w:kinsoku/>
              <w:wordWrap/>
              <w:overflowPunct/>
              <w:topLinePunct w:val="0"/>
              <w:bidi w:val="0"/>
              <w:adjustRightInd w:val="0"/>
              <w:snapToGrid/>
              <w:spacing w:line="580" w:lineRule="exact"/>
              <w:ind w:left="0" w:leftChars="0" w:firstLine="0" w:firstLineChars="0"/>
              <w:contextualSpacing/>
              <w:jc w:val="both"/>
              <w:textAlignment w:val="auto"/>
              <w:rPr>
                <w:rFonts w:hint="default" w:ascii="Times New Roman" w:hAnsi="Times New Roman" w:eastAsia="宋体" w:cs="Times New Roman"/>
                <w:kern w:val="2"/>
                <w:sz w:val="24"/>
                <w:szCs w:val="24"/>
                <w:lang w:val="en-US" w:eastAsia="zh-CN" w:bidi="zh-CN"/>
              </w:rPr>
            </w:pPr>
            <w:bookmarkStart w:id="0" w:name="_Toc464902852"/>
            <w:bookmarkStart w:id="1" w:name="_Toc464905613"/>
            <w:bookmarkStart w:id="2" w:name="_Toc464905557"/>
            <w:bookmarkStart w:id="3" w:name="_Toc464905809"/>
            <w:bookmarkStart w:id="4" w:name="_Toc465074266"/>
            <w:r>
              <w:rPr>
                <w:rFonts w:hint="default" w:ascii="Times New Roman" w:hAnsi="Times New Roman" w:eastAsia="宋体" w:cs="Times New Roman"/>
                <w:kern w:val="2"/>
                <w:sz w:val="24"/>
                <w:szCs w:val="24"/>
                <w:lang w:val="en-US" w:eastAsia="zh-CN" w:bidi="zh-CN"/>
              </w:rPr>
              <w:t>5、标准中如果涉及专利，应有明确的知识产权说明</w:t>
            </w:r>
            <w:bookmarkEnd w:id="0"/>
            <w:bookmarkEnd w:id="1"/>
            <w:bookmarkEnd w:id="2"/>
            <w:bookmarkEnd w:id="3"/>
            <w:bookmarkEnd w:id="4"/>
          </w:p>
        </w:tc>
      </w:tr>
      <w:tr w14:paraId="3316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08576261">
            <w:pPr>
              <w:pStyle w:val="31"/>
              <w:keepNext w:val="0"/>
              <w:keepLines w:val="0"/>
              <w:pageBreakBefore w:val="0"/>
              <w:kinsoku/>
              <w:wordWrap/>
              <w:overflowPunct/>
              <w:topLinePunct w:val="0"/>
              <w:bidi w:val="0"/>
              <w:adjustRightInd w:val="0"/>
              <w:snapToGrid/>
              <w:spacing w:line="580" w:lineRule="exact"/>
              <w:contextualSpacing/>
              <w:jc w:val="both"/>
              <w:textAlignment w:val="auto"/>
              <w:rPr>
                <w:rFonts w:hint="default" w:ascii="Times New Roman" w:hAnsi="Times New Roman" w:eastAsia="宋体" w:cs="Times New Roman"/>
                <w:kern w:val="2"/>
                <w:sz w:val="24"/>
                <w:szCs w:val="24"/>
                <w:lang w:val="en-US" w:eastAsia="zh-CN" w:bidi="zh-CN"/>
              </w:rPr>
            </w:pPr>
            <w:r>
              <w:rPr>
                <w:rFonts w:hint="default" w:ascii="Times New Roman" w:hAnsi="Times New Roman" w:eastAsia="宋体" w:cs="Times New Roman"/>
                <w:kern w:val="2"/>
                <w:sz w:val="24"/>
                <w:szCs w:val="24"/>
                <w:lang w:val="en-US" w:eastAsia="zh-CN" w:bidi="zh-CN"/>
              </w:rPr>
              <w:t>本文件不涉及专利问题。</w:t>
            </w:r>
          </w:p>
        </w:tc>
      </w:tr>
      <w:tr w14:paraId="3ADF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120ADA3">
            <w:pPr>
              <w:pStyle w:val="31"/>
              <w:keepNext w:val="0"/>
              <w:keepLines w:val="0"/>
              <w:pageBreakBefore w:val="0"/>
              <w:kinsoku/>
              <w:wordWrap/>
              <w:overflowPunct/>
              <w:topLinePunct w:val="0"/>
              <w:bidi w:val="0"/>
              <w:adjustRightInd w:val="0"/>
              <w:snapToGrid/>
              <w:spacing w:line="580" w:lineRule="exact"/>
              <w:ind w:left="0" w:leftChars="0" w:firstLine="0" w:firstLineChars="0"/>
              <w:contextualSpacing/>
              <w:jc w:val="both"/>
              <w:textAlignment w:val="auto"/>
              <w:rPr>
                <w:rFonts w:hint="default" w:ascii="Times New Roman" w:hAnsi="Times New Roman" w:eastAsia="宋体" w:cs="Times New Roman"/>
                <w:kern w:val="2"/>
                <w:sz w:val="24"/>
                <w:szCs w:val="24"/>
                <w:lang w:val="en-US" w:eastAsia="zh-CN" w:bidi="zh-CN"/>
              </w:rPr>
            </w:pPr>
            <w:bookmarkStart w:id="5" w:name="_Toc464905614"/>
            <w:bookmarkStart w:id="6" w:name="_Toc464905558"/>
            <w:bookmarkStart w:id="7" w:name="_Toc465074267"/>
            <w:bookmarkStart w:id="8" w:name="_Toc464902853"/>
            <w:bookmarkStart w:id="9" w:name="_Toc464905810"/>
            <w:r>
              <w:rPr>
                <w:rFonts w:hint="default" w:ascii="Times New Roman" w:hAnsi="Times New Roman" w:eastAsia="宋体" w:cs="Times New Roman"/>
                <w:kern w:val="2"/>
                <w:sz w:val="24"/>
                <w:szCs w:val="24"/>
                <w:lang w:val="en-US" w:eastAsia="zh-CN" w:bidi="zh-CN"/>
              </w:rPr>
              <w:t>6、采用国际标准或国外先进标准的，说明采标程度，</w:t>
            </w:r>
            <w:r>
              <w:rPr>
                <w:rFonts w:hint="default" w:ascii="Times New Roman" w:hAnsi="Times New Roman" w:eastAsia="宋体" w:cs="Times New Roman"/>
                <w:kern w:val="2"/>
                <w:sz w:val="24"/>
                <w:szCs w:val="24"/>
                <w:highlight w:val="none"/>
                <w:lang w:val="en-US" w:eastAsia="zh-CN" w:bidi="zh-CN"/>
              </w:rPr>
              <w:t>以及国内外同类标准水平的对比情况</w:t>
            </w:r>
            <w:bookmarkEnd w:id="5"/>
            <w:bookmarkEnd w:id="6"/>
            <w:bookmarkEnd w:id="7"/>
            <w:bookmarkEnd w:id="8"/>
            <w:bookmarkEnd w:id="9"/>
          </w:p>
        </w:tc>
      </w:tr>
      <w:tr w14:paraId="7B85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3053BB36">
            <w:pPr>
              <w:spacing w:line="360" w:lineRule="auto"/>
              <w:ind w:firstLine="480" w:firstLineChars="200"/>
              <w:rPr>
                <w:rFonts w:hint="default" w:ascii="Times New Roman" w:hAnsi="Times New Roman" w:cs="Times New Roman"/>
                <w:b w:val="0"/>
                <w:bCs w:val="0"/>
                <w:color w:val="000000"/>
                <w:sz w:val="24"/>
                <w:szCs w:val="24"/>
                <w:lang w:val="en-US" w:eastAsia="zh-CN"/>
              </w:rPr>
            </w:pPr>
            <w:r>
              <w:rPr>
                <w:rFonts w:hint="default" w:ascii="Times New Roman" w:hAnsi="Times New Roman" w:cs="Times New Roman"/>
                <w:b w:val="0"/>
                <w:bCs w:val="0"/>
                <w:color w:val="000000"/>
                <w:sz w:val="24"/>
                <w:szCs w:val="24"/>
                <w:lang w:val="en-US" w:eastAsia="zh-CN"/>
              </w:rPr>
              <w:t>本文件没有采用国际标准。</w:t>
            </w:r>
          </w:p>
          <w:p w14:paraId="77FF3B63">
            <w:pPr>
              <w:spacing w:line="360" w:lineRule="auto"/>
              <w:ind w:firstLine="480" w:firstLineChars="200"/>
              <w:rPr>
                <w:rFonts w:hint="default" w:ascii="Times New Roman" w:hAnsi="Times New Roman" w:cs="Times New Roman"/>
                <w:b w:val="0"/>
                <w:bCs w:val="0"/>
                <w:color w:val="000000"/>
                <w:sz w:val="24"/>
                <w:szCs w:val="24"/>
                <w:lang w:val="en-US" w:eastAsia="zh-CN"/>
              </w:rPr>
            </w:pPr>
            <w:r>
              <w:rPr>
                <w:rFonts w:hint="default" w:ascii="Times New Roman" w:hAnsi="Times New Roman" w:cs="Times New Roman"/>
                <w:b w:val="0"/>
                <w:bCs w:val="0"/>
                <w:color w:val="000000"/>
                <w:sz w:val="24"/>
                <w:szCs w:val="24"/>
                <w:lang w:val="en-US" w:eastAsia="zh-CN"/>
              </w:rPr>
              <w:t>本文件制定过程中未查到同类国家标准。</w:t>
            </w:r>
          </w:p>
          <w:p w14:paraId="53E50051">
            <w:pPr>
              <w:spacing w:line="360" w:lineRule="auto"/>
              <w:ind w:firstLine="480" w:firstLineChars="200"/>
              <w:rPr>
                <w:rFonts w:hint="default" w:ascii="Times New Roman" w:hAnsi="Times New Roman" w:eastAsia="宋体" w:cs="Times New Roman"/>
                <w:kern w:val="2"/>
                <w:sz w:val="24"/>
                <w:szCs w:val="24"/>
                <w:lang w:val="en-US" w:eastAsia="zh-CN" w:bidi="zh-CN"/>
              </w:rPr>
            </w:pPr>
            <w:r>
              <w:rPr>
                <w:rFonts w:hint="default" w:ascii="Times New Roman" w:hAnsi="Times New Roman" w:cs="Times New Roman"/>
                <w:b w:val="0"/>
                <w:bCs w:val="0"/>
                <w:color w:val="000000"/>
                <w:sz w:val="24"/>
                <w:szCs w:val="24"/>
                <w:lang w:val="en-US" w:eastAsia="zh-CN"/>
              </w:rPr>
              <w:t>本标准与部分省份地方标准类似，主要有</w:t>
            </w:r>
            <w:r>
              <w:rPr>
                <w:rFonts w:hint="eastAsia" w:ascii="Times New Roman" w:hAnsi="Times New Roman" w:cs="Times New Roman"/>
                <w:b w:val="0"/>
                <w:bCs w:val="0"/>
                <w:color w:val="000000"/>
                <w:sz w:val="24"/>
                <w:szCs w:val="24"/>
                <w:lang w:val="en-US" w:eastAsia="zh-CN"/>
              </w:rPr>
              <w:t>北京市</w:t>
            </w:r>
            <w:r>
              <w:rPr>
                <w:rFonts w:hint="default" w:ascii="Times New Roman" w:hAnsi="Times New Roman" w:cs="Times New Roman"/>
                <w:b w:val="0"/>
                <w:bCs w:val="0"/>
                <w:color w:val="000000"/>
                <w:sz w:val="24"/>
                <w:szCs w:val="24"/>
                <w:lang w:val="en-US" w:eastAsia="zh-CN"/>
              </w:rPr>
              <w:t>《</w:t>
            </w:r>
            <w:r>
              <w:rPr>
                <w:rFonts w:hint="eastAsia" w:ascii="Times New Roman" w:hAnsi="Times New Roman" w:cs="Times New Roman"/>
                <w:b w:val="0"/>
                <w:bCs w:val="0"/>
                <w:color w:val="000000"/>
                <w:sz w:val="24"/>
                <w:szCs w:val="24"/>
                <w:lang w:val="en-US" w:eastAsia="zh-CN"/>
              </w:rPr>
              <w:t>生态产品总值核算技术规范</w:t>
            </w:r>
            <w:r>
              <w:rPr>
                <w:rFonts w:hint="default" w:ascii="Times New Roman" w:hAnsi="Times New Roman" w:cs="Times New Roman"/>
                <w:b w:val="0"/>
                <w:bCs w:val="0"/>
                <w:color w:val="000000"/>
                <w:sz w:val="24"/>
                <w:szCs w:val="24"/>
                <w:lang w:val="en-US" w:eastAsia="zh-CN"/>
              </w:rPr>
              <w:t>》，</w:t>
            </w:r>
            <w:r>
              <w:rPr>
                <w:rFonts w:hint="eastAsia" w:ascii="Times New Roman" w:hAnsi="Times New Roman" w:cs="Times New Roman"/>
                <w:b w:val="0"/>
                <w:bCs w:val="0"/>
                <w:color w:val="000000"/>
                <w:sz w:val="24"/>
                <w:szCs w:val="24"/>
                <w:lang w:val="en-US" w:eastAsia="zh-CN"/>
              </w:rPr>
              <w:t>浙江省</w:t>
            </w:r>
            <w:r>
              <w:rPr>
                <w:rFonts w:hint="default" w:ascii="Times New Roman" w:hAnsi="Times New Roman" w:cs="Times New Roman"/>
                <w:b w:val="0"/>
                <w:bCs w:val="0"/>
                <w:color w:val="000000"/>
                <w:sz w:val="24"/>
                <w:szCs w:val="24"/>
                <w:lang w:val="en-US" w:eastAsia="zh-CN"/>
              </w:rPr>
              <w:t>《</w:t>
            </w:r>
            <w:r>
              <w:rPr>
                <w:rFonts w:hint="eastAsia" w:ascii="Times New Roman" w:hAnsi="Times New Roman" w:cs="Times New Roman"/>
                <w:b w:val="0"/>
                <w:bCs w:val="0"/>
                <w:color w:val="000000"/>
                <w:sz w:val="24"/>
                <w:szCs w:val="24"/>
                <w:lang w:val="en-US" w:eastAsia="zh-CN"/>
              </w:rPr>
              <w:t>生态系统生产总值（GEP）核算技术规范  陆域生态系统</w:t>
            </w:r>
            <w:r>
              <w:rPr>
                <w:rFonts w:hint="default" w:ascii="Times New Roman" w:hAnsi="Times New Roman" w:cs="Times New Roman"/>
                <w:b w:val="0"/>
                <w:bCs w:val="0"/>
                <w:color w:val="000000"/>
                <w:sz w:val="24"/>
                <w:szCs w:val="24"/>
                <w:lang w:val="en-US" w:eastAsia="zh-CN"/>
              </w:rPr>
              <w:t>》，</w:t>
            </w:r>
            <w:r>
              <w:rPr>
                <w:rFonts w:hint="eastAsia" w:ascii="Times New Roman" w:hAnsi="Times New Roman" w:cs="Times New Roman"/>
                <w:b w:val="0"/>
                <w:bCs w:val="0"/>
                <w:color w:val="000000"/>
                <w:sz w:val="24"/>
                <w:szCs w:val="24"/>
                <w:lang w:val="en-US" w:eastAsia="zh-CN"/>
              </w:rPr>
              <w:t>海南</w:t>
            </w:r>
            <w:r>
              <w:rPr>
                <w:rFonts w:hint="default" w:ascii="Times New Roman" w:hAnsi="Times New Roman" w:cs="Times New Roman"/>
                <w:b w:val="0"/>
                <w:bCs w:val="0"/>
                <w:color w:val="000000"/>
                <w:sz w:val="24"/>
                <w:szCs w:val="24"/>
                <w:lang w:val="en-US" w:eastAsia="zh-CN"/>
              </w:rPr>
              <w:t>省《</w:t>
            </w:r>
            <w:r>
              <w:rPr>
                <w:rFonts w:hint="eastAsia" w:ascii="Times New Roman" w:hAnsi="Times New Roman" w:cs="Times New Roman"/>
                <w:b w:val="0"/>
                <w:bCs w:val="0"/>
                <w:color w:val="000000"/>
                <w:sz w:val="24"/>
                <w:szCs w:val="24"/>
                <w:lang w:val="en-US" w:eastAsia="zh-CN"/>
              </w:rPr>
              <w:t>生态产品总值核算技术规范</w:t>
            </w:r>
            <w:r>
              <w:rPr>
                <w:rFonts w:hint="default" w:ascii="Times New Roman" w:hAnsi="Times New Roman" w:cs="Times New Roman"/>
                <w:b w:val="0"/>
                <w:bCs w:val="0"/>
                <w:color w:val="000000"/>
                <w:sz w:val="24"/>
                <w:szCs w:val="24"/>
                <w:lang w:val="en-US" w:eastAsia="zh-CN"/>
              </w:rPr>
              <w:t>》。目前我省尚未制定相关</w:t>
            </w:r>
            <w:r>
              <w:rPr>
                <w:rFonts w:hint="eastAsia" w:ascii="Times New Roman" w:hAnsi="Times New Roman" w:cs="Times New Roman"/>
                <w:b w:val="0"/>
                <w:bCs w:val="0"/>
                <w:color w:val="000000"/>
                <w:sz w:val="24"/>
                <w:szCs w:val="24"/>
                <w:lang w:val="en-US" w:eastAsia="zh-CN"/>
              </w:rPr>
              <w:t>省级</w:t>
            </w:r>
            <w:r>
              <w:rPr>
                <w:rFonts w:hint="default" w:ascii="Times New Roman" w:hAnsi="Times New Roman" w:cs="Times New Roman"/>
                <w:b w:val="0"/>
                <w:bCs w:val="0"/>
                <w:color w:val="000000"/>
                <w:sz w:val="24"/>
                <w:szCs w:val="24"/>
                <w:lang w:val="en-US" w:eastAsia="zh-CN"/>
              </w:rPr>
              <w:t>地方标准。</w:t>
            </w:r>
          </w:p>
        </w:tc>
      </w:tr>
      <w:tr w14:paraId="3FB3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639906F">
            <w:pPr>
              <w:pStyle w:val="31"/>
              <w:keepNext w:val="0"/>
              <w:keepLines w:val="0"/>
              <w:pageBreakBefore w:val="0"/>
              <w:kinsoku/>
              <w:wordWrap/>
              <w:overflowPunct/>
              <w:topLinePunct w:val="0"/>
              <w:bidi w:val="0"/>
              <w:adjustRightInd w:val="0"/>
              <w:snapToGrid/>
              <w:spacing w:line="580" w:lineRule="exact"/>
              <w:ind w:left="0" w:leftChars="0" w:firstLine="0" w:firstLineChars="0"/>
              <w:contextualSpacing/>
              <w:jc w:val="both"/>
              <w:textAlignment w:val="auto"/>
              <w:rPr>
                <w:rFonts w:hint="default" w:ascii="Times New Roman" w:hAnsi="Times New Roman" w:eastAsia="宋体" w:cs="Times New Roman"/>
                <w:kern w:val="2"/>
                <w:sz w:val="24"/>
                <w:szCs w:val="24"/>
                <w:lang w:val="en-US" w:eastAsia="zh-CN" w:bidi="zh-CN"/>
              </w:rPr>
            </w:pPr>
            <w:bookmarkStart w:id="10" w:name="_Toc464902854"/>
            <w:bookmarkStart w:id="11" w:name="_Toc464905811"/>
            <w:bookmarkStart w:id="12" w:name="_Toc464905615"/>
            <w:bookmarkStart w:id="13" w:name="_Toc464905559"/>
            <w:bookmarkStart w:id="14" w:name="_Toc465074268"/>
            <w:r>
              <w:rPr>
                <w:rFonts w:hint="default" w:ascii="Times New Roman" w:hAnsi="Times New Roman" w:eastAsia="宋体" w:cs="Times New Roman"/>
                <w:kern w:val="2"/>
                <w:sz w:val="24"/>
                <w:szCs w:val="24"/>
                <w:lang w:val="en-US" w:eastAsia="zh-CN" w:bidi="zh-CN"/>
              </w:rPr>
              <w:t>7、重大分歧意见的处理经过和依据</w:t>
            </w:r>
            <w:bookmarkEnd w:id="10"/>
            <w:bookmarkEnd w:id="11"/>
            <w:bookmarkEnd w:id="12"/>
            <w:bookmarkEnd w:id="13"/>
            <w:bookmarkEnd w:id="14"/>
          </w:p>
        </w:tc>
      </w:tr>
      <w:tr w14:paraId="42D2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14C5F4A">
            <w:pPr>
              <w:pStyle w:val="31"/>
              <w:keepNext w:val="0"/>
              <w:keepLines w:val="0"/>
              <w:pageBreakBefore w:val="0"/>
              <w:kinsoku/>
              <w:wordWrap/>
              <w:overflowPunct/>
              <w:topLinePunct w:val="0"/>
              <w:bidi w:val="0"/>
              <w:adjustRightInd w:val="0"/>
              <w:snapToGrid/>
              <w:spacing w:line="580" w:lineRule="exact"/>
              <w:contextualSpacing/>
              <w:jc w:val="both"/>
              <w:textAlignment w:val="auto"/>
              <w:rPr>
                <w:rFonts w:hint="default" w:ascii="Times New Roman" w:hAnsi="Times New Roman" w:eastAsia="宋体" w:cs="Times New Roman"/>
                <w:kern w:val="2"/>
                <w:sz w:val="24"/>
                <w:szCs w:val="24"/>
                <w:lang w:val="en-US" w:eastAsia="zh-CN" w:bidi="zh-CN"/>
              </w:rPr>
            </w:pPr>
            <w:r>
              <w:rPr>
                <w:rFonts w:hint="default" w:ascii="Times New Roman" w:hAnsi="Times New Roman" w:eastAsia="宋体" w:cs="Times New Roman"/>
                <w:kern w:val="2"/>
                <w:sz w:val="24"/>
                <w:szCs w:val="24"/>
                <w:lang w:val="en-US" w:eastAsia="zh-CN" w:bidi="zh-CN"/>
              </w:rPr>
              <w:t>无。</w:t>
            </w:r>
          </w:p>
        </w:tc>
      </w:tr>
      <w:tr w14:paraId="6088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770E12C0">
            <w:pPr>
              <w:pStyle w:val="31"/>
              <w:keepNext w:val="0"/>
              <w:keepLines w:val="0"/>
              <w:pageBreakBefore w:val="0"/>
              <w:kinsoku/>
              <w:wordWrap/>
              <w:overflowPunct/>
              <w:topLinePunct w:val="0"/>
              <w:bidi w:val="0"/>
              <w:adjustRightInd w:val="0"/>
              <w:snapToGrid/>
              <w:spacing w:line="580" w:lineRule="exact"/>
              <w:ind w:left="0" w:leftChars="0" w:firstLine="0" w:firstLineChars="0"/>
              <w:contextualSpacing/>
              <w:jc w:val="both"/>
              <w:textAlignment w:val="auto"/>
              <w:rPr>
                <w:rFonts w:hint="default" w:ascii="Times New Roman" w:hAnsi="Times New Roman" w:eastAsia="宋体" w:cs="Times New Roman"/>
                <w:kern w:val="2"/>
                <w:sz w:val="24"/>
                <w:szCs w:val="24"/>
                <w:lang w:val="en-US" w:eastAsia="zh-CN" w:bidi="zh-CN"/>
              </w:rPr>
            </w:pPr>
            <w:bookmarkStart w:id="15" w:name="_Toc464905812"/>
            <w:bookmarkStart w:id="16" w:name="_Toc465074269"/>
            <w:bookmarkStart w:id="17" w:name="_Toc464905616"/>
            <w:bookmarkStart w:id="18" w:name="_Toc464902855"/>
            <w:bookmarkStart w:id="19" w:name="_Toc464905560"/>
            <w:r>
              <w:rPr>
                <w:rFonts w:hint="default" w:ascii="Times New Roman" w:hAnsi="Times New Roman" w:eastAsia="宋体" w:cs="Times New Roman"/>
                <w:kern w:val="2"/>
                <w:sz w:val="24"/>
                <w:szCs w:val="24"/>
                <w:lang w:val="en-US" w:eastAsia="zh-CN" w:bidi="zh-CN"/>
              </w:rPr>
              <w:t>8、贯彻标准的要求和措施建议（包括组织措施、技术措施、过渡办法、实施日期等）</w:t>
            </w:r>
            <w:bookmarkEnd w:id="15"/>
            <w:bookmarkEnd w:id="16"/>
            <w:bookmarkEnd w:id="17"/>
            <w:bookmarkEnd w:id="18"/>
            <w:bookmarkEnd w:id="19"/>
          </w:p>
        </w:tc>
      </w:tr>
      <w:tr w14:paraId="79E1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92A4E40">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为推广和实施本标准，可以采取如下一些具体措施：</w:t>
            </w:r>
          </w:p>
          <w:p w14:paraId="6C8AD25A">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一、加强制度建设</w:t>
            </w:r>
          </w:p>
          <w:p w14:paraId="5AF9FC20">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积极对接生态产品总值核算主管部门，通过主管部门将标准文件下发至各市、县（市、区），推广使用标准规范，并定期总结《规范》推广应用情况。</w:t>
            </w:r>
          </w:p>
          <w:p w14:paraId="0605896D">
            <w:pPr>
              <w:spacing w:line="360" w:lineRule="auto"/>
              <w:ind w:firstLine="482" w:firstLineChars="200"/>
              <w:rPr>
                <w:rFonts w:hint="default" w:ascii="Times New Roman" w:hAnsi="Times New Roman" w:cs="Times New Roman"/>
                <w:b/>
                <w:bCs/>
                <w:color w:val="000000"/>
                <w:sz w:val="24"/>
                <w:szCs w:val="24"/>
                <w:lang w:val="en-US" w:eastAsia="zh-CN"/>
              </w:rPr>
            </w:pPr>
            <w:r>
              <w:rPr>
                <w:rFonts w:hint="default" w:ascii="Times New Roman" w:hAnsi="Times New Roman" w:cs="Times New Roman"/>
                <w:b/>
                <w:bCs/>
                <w:color w:val="000000"/>
                <w:sz w:val="24"/>
                <w:szCs w:val="24"/>
                <w:lang w:val="en-US" w:eastAsia="zh-CN"/>
              </w:rPr>
              <w:t>二、加强培训指导</w:t>
            </w:r>
          </w:p>
          <w:p w14:paraId="645ED4D4">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召开专题培训会，组织省直相关单位、各市县、研究机构参会学习，对中共中央、国务院印发的《国家标准化发展纲要》以及我省《规范》进行详细解读，开展经验交流，使标准规范更快推广应用。</w:t>
            </w:r>
          </w:p>
          <w:p w14:paraId="6B9A9756">
            <w:pPr>
              <w:spacing w:line="360" w:lineRule="auto"/>
              <w:ind w:firstLine="482" w:firstLineChars="200"/>
              <w:rPr>
                <w:rFonts w:hint="default" w:ascii="Times New Roman" w:hAnsi="Times New Roman" w:cs="Times New Roman"/>
                <w:b/>
                <w:bCs/>
                <w:color w:val="000000"/>
                <w:sz w:val="24"/>
                <w:szCs w:val="24"/>
                <w:lang w:val="en-US" w:eastAsia="zh-CN"/>
              </w:rPr>
            </w:pPr>
            <w:r>
              <w:rPr>
                <w:rFonts w:hint="eastAsia" w:ascii="Times New Roman" w:hAnsi="Times New Roman" w:cs="Times New Roman"/>
                <w:b/>
                <w:bCs/>
                <w:color w:val="000000"/>
                <w:sz w:val="24"/>
                <w:szCs w:val="24"/>
                <w:lang w:val="en-US" w:eastAsia="zh-CN"/>
              </w:rPr>
              <w:t>三</w:t>
            </w:r>
            <w:r>
              <w:rPr>
                <w:rFonts w:hint="default" w:ascii="Times New Roman" w:hAnsi="Times New Roman" w:cs="Times New Roman"/>
                <w:b/>
                <w:bCs/>
                <w:color w:val="000000"/>
                <w:sz w:val="24"/>
                <w:szCs w:val="24"/>
                <w:lang w:val="en-US" w:eastAsia="zh-CN"/>
              </w:rPr>
              <w:t>、加强宣贯力度</w:t>
            </w:r>
          </w:p>
          <w:p w14:paraId="1D041AD3">
            <w:pPr>
              <w:spacing w:line="360" w:lineRule="auto"/>
              <w:ind w:firstLine="480" w:firstLineChars="200"/>
              <w:rPr>
                <w:rFonts w:hint="default" w:ascii="Times New Roman" w:hAnsi="Times New Roman" w:cs="Times New Roman"/>
                <w:color w:val="000000"/>
                <w:sz w:val="24"/>
                <w:szCs w:val="24"/>
                <w:lang w:val="en-US" w:eastAsia="zh-CN"/>
              </w:rPr>
            </w:pPr>
            <w:r>
              <w:rPr>
                <w:rFonts w:hint="default" w:ascii="Times New Roman" w:hAnsi="Times New Roman" w:cs="Times New Roman"/>
                <w:color w:val="000000"/>
                <w:sz w:val="24"/>
                <w:szCs w:val="24"/>
                <w:lang w:val="en-US" w:eastAsia="zh-CN"/>
              </w:rPr>
              <w:t>加强与媒体沟通合作，将《国家标准化发展纲要》《规范》的推行落实使用情况及时进行报道宣传，塑造良好的推广使用形象。适时以行业交流会、座谈会形式开展专项宣贯活动。</w:t>
            </w:r>
          </w:p>
          <w:p w14:paraId="6A4AC514">
            <w:pPr>
              <w:spacing w:line="360" w:lineRule="auto"/>
              <w:ind w:firstLine="482" w:firstLineChars="200"/>
              <w:rPr>
                <w:rFonts w:hint="default" w:ascii="Times New Roman" w:hAnsi="Times New Roman" w:cs="Times New Roman"/>
                <w:b/>
                <w:bCs/>
                <w:color w:val="000000"/>
                <w:sz w:val="24"/>
                <w:szCs w:val="24"/>
                <w:lang w:val="en-US" w:eastAsia="zh-CN"/>
              </w:rPr>
            </w:pPr>
            <w:r>
              <w:rPr>
                <w:rFonts w:hint="eastAsia" w:ascii="Times New Roman" w:hAnsi="Times New Roman" w:cs="Times New Roman"/>
                <w:b/>
                <w:bCs/>
                <w:color w:val="000000"/>
                <w:sz w:val="24"/>
                <w:szCs w:val="24"/>
                <w:lang w:val="en-US" w:eastAsia="zh-CN"/>
              </w:rPr>
              <w:t>四</w:t>
            </w:r>
            <w:r>
              <w:rPr>
                <w:rFonts w:hint="default" w:ascii="Times New Roman" w:hAnsi="Times New Roman" w:cs="Times New Roman"/>
                <w:b/>
                <w:bCs/>
                <w:color w:val="000000"/>
                <w:sz w:val="24"/>
                <w:szCs w:val="24"/>
                <w:lang w:val="en-US" w:eastAsia="zh-CN"/>
              </w:rPr>
              <w:t>、加强调研总结</w:t>
            </w:r>
          </w:p>
          <w:p w14:paraId="5F16FED6">
            <w:pPr>
              <w:spacing w:line="360" w:lineRule="auto"/>
              <w:ind w:firstLine="480" w:firstLineChars="200"/>
              <w:rPr>
                <w:rFonts w:hint="default" w:ascii="Times New Roman" w:hAnsi="Times New Roman" w:eastAsia="宋体" w:cs="Times New Roman"/>
                <w:kern w:val="2"/>
                <w:sz w:val="24"/>
                <w:szCs w:val="24"/>
                <w:lang w:val="en-US" w:eastAsia="zh-CN" w:bidi="zh-CN"/>
              </w:rPr>
            </w:pPr>
            <w:r>
              <w:rPr>
                <w:rFonts w:hint="default" w:ascii="Times New Roman" w:hAnsi="Times New Roman" w:cs="Times New Roman"/>
                <w:color w:val="000000"/>
                <w:sz w:val="24"/>
                <w:szCs w:val="24"/>
                <w:lang w:val="en-US" w:eastAsia="zh-CN"/>
              </w:rPr>
              <w:t>赴相关市县开展调研，对标准规范推广使用情况进行总结梳理，提出针对性意见。</w:t>
            </w:r>
          </w:p>
        </w:tc>
      </w:tr>
      <w:tr w14:paraId="75858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426A3C49">
            <w:pPr>
              <w:pStyle w:val="31"/>
              <w:keepNext w:val="0"/>
              <w:keepLines w:val="0"/>
              <w:pageBreakBefore w:val="0"/>
              <w:kinsoku/>
              <w:wordWrap/>
              <w:overflowPunct/>
              <w:topLinePunct w:val="0"/>
              <w:bidi w:val="0"/>
              <w:adjustRightInd w:val="0"/>
              <w:snapToGrid/>
              <w:spacing w:line="580" w:lineRule="exact"/>
              <w:ind w:left="0" w:leftChars="0" w:firstLine="0" w:firstLineChars="0"/>
              <w:contextualSpacing/>
              <w:jc w:val="both"/>
              <w:textAlignment w:val="auto"/>
              <w:rPr>
                <w:rFonts w:hint="default" w:ascii="Times New Roman" w:hAnsi="Times New Roman" w:eastAsia="宋体" w:cs="Times New Roman"/>
                <w:kern w:val="2"/>
                <w:sz w:val="24"/>
                <w:szCs w:val="24"/>
                <w:lang w:val="en-US" w:eastAsia="zh-CN" w:bidi="zh-CN"/>
              </w:rPr>
            </w:pPr>
            <w:bookmarkStart w:id="20" w:name="_Toc464902856"/>
            <w:bookmarkStart w:id="21" w:name="_Toc464905617"/>
            <w:bookmarkStart w:id="22" w:name="_Toc465074270"/>
            <w:bookmarkStart w:id="23" w:name="_Toc464905561"/>
            <w:bookmarkStart w:id="24" w:name="_Toc464905813"/>
            <w:r>
              <w:rPr>
                <w:rFonts w:hint="default" w:ascii="Times New Roman" w:hAnsi="Times New Roman" w:eastAsia="宋体" w:cs="Times New Roman"/>
                <w:kern w:val="2"/>
                <w:sz w:val="24"/>
                <w:szCs w:val="24"/>
                <w:lang w:val="en-US" w:eastAsia="zh-CN" w:bidi="zh-CN"/>
              </w:rPr>
              <w:t>9、废止现行相关标准的建议</w:t>
            </w:r>
            <w:bookmarkEnd w:id="20"/>
            <w:bookmarkEnd w:id="21"/>
            <w:bookmarkEnd w:id="22"/>
            <w:bookmarkEnd w:id="23"/>
            <w:bookmarkEnd w:id="24"/>
          </w:p>
        </w:tc>
      </w:tr>
      <w:tr w14:paraId="4B3E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50D6E10">
            <w:pPr>
              <w:pStyle w:val="31"/>
              <w:keepNext w:val="0"/>
              <w:keepLines w:val="0"/>
              <w:pageBreakBefore w:val="0"/>
              <w:kinsoku/>
              <w:wordWrap/>
              <w:overflowPunct/>
              <w:topLinePunct w:val="0"/>
              <w:bidi w:val="0"/>
              <w:adjustRightInd w:val="0"/>
              <w:snapToGrid/>
              <w:spacing w:line="580" w:lineRule="exact"/>
              <w:contextualSpacing/>
              <w:jc w:val="both"/>
              <w:textAlignment w:val="auto"/>
              <w:rPr>
                <w:rFonts w:hint="default" w:ascii="Times New Roman" w:hAnsi="Times New Roman" w:eastAsia="宋体" w:cs="Times New Roman"/>
                <w:kern w:val="2"/>
                <w:sz w:val="24"/>
                <w:szCs w:val="24"/>
                <w:lang w:val="en-US" w:eastAsia="zh-CN" w:bidi="zh-CN"/>
              </w:rPr>
            </w:pPr>
            <w:r>
              <w:rPr>
                <w:rFonts w:hint="default" w:ascii="Times New Roman" w:hAnsi="Times New Roman" w:eastAsia="宋体" w:cs="Times New Roman"/>
                <w:kern w:val="2"/>
                <w:sz w:val="24"/>
                <w:szCs w:val="24"/>
                <w:lang w:val="en-US" w:eastAsia="zh-CN" w:bidi="zh-CN"/>
              </w:rPr>
              <w:t>无。</w:t>
            </w:r>
          </w:p>
        </w:tc>
      </w:tr>
      <w:tr w14:paraId="7D806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11669799">
            <w:pPr>
              <w:pStyle w:val="31"/>
              <w:keepNext w:val="0"/>
              <w:keepLines w:val="0"/>
              <w:pageBreakBefore w:val="0"/>
              <w:kinsoku/>
              <w:wordWrap/>
              <w:overflowPunct/>
              <w:topLinePunct w:val="0"/>
              <w:bidi w:val="0"/>
              <w:adjustRightInd w:val="0"/>
              <w:snapToGrid/>
              <w:spacing w:line="580" w:lineRule="exact"/>
              <w:ind w:left="0" w:leftChars="0" w:firstLine="0" w:firstLineChars="0"/>
              <w:contextualSpacing/>
              <w:jc w:val="both"/>
              <w:textAlignment w:val="auto"/>
              <w:rPr>
                <w:rFonts w:hint="default" w:ascii="Times New Roman" w:hAnsi="Times New Roman" w:eastAsia="宋体" w:cs="Times New Roman"/>
                <w:kern w:val="2"/>
                <w:sz w:val="24"/>
                <w:szCs w:val="24"/>
                <w:lang w:val="en-US" w:eastAsia="zh-CN" w:bidi="zh-CN"/>
              </w:rPr>
            </w:pPr>
            <w:bookmarkStart w:id="25" w:name="_Toc464905618"/>
            <w:bookmarkStart w:id="26" w:name="_Toc464905562"/>
            <w:bookmarkStart w:id="27" w:name="_Toc465074271"/>
            <w:bookmarkStart w:id="28" w:name="_Toc464902857"/>
            <w:bookmarkStart w:id="29" w:name="_Toc464905814"/>
            <w:r>
              <w:rPr>
                <w:rFonts w:hint="default" w:ascii="Times New Roman" w:hAnsi="Times New Roman" w:eastAsia="宋体" w:cs="Times New Roman"/>
                <w:kern w:val="2"/>
                <w:sz w:val="24"/>
                <w:szCs w:val="24"/>
                <w:lang w:val="en-US" w:eastAsia="zh-CN" w:bidi="zh-CN"/>
              </w:rPr>
              <w:t>10、其它应予说明的事项</w:t>
            </w:r>
            <w:bookmarkEnd w:id="25"/>
            <w:bookmarkEnd w:id="26"/>
            <w:bookmarkEnd w:id="27"/>
            <w:bookmarkEnd w:id="28"/>
            <w:bookmarkEnd w:id="29"/>
          </w:p>
        </w:tc>
      </w:tr>
      <w:tr w14:paraId="5435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14:paraId="663E57E0">
            <w:pPr>
              <w:pStyle w:val="31"/>
              <w:keepNext w:val="0"/>
              <w:keepLines w:val="0"/>
              <w:pageBreakBefore w:val="0"/>
              <w:kinsoku/>
              <w:wordWrap/>
              <w:overflowPunct/>
              <w:topLinePunct w:val="0"/>
              <w:bidi w:val="0"/>
              <w:adjustRightInd w:val="0"/>
              <w:snapToGrid/>
              <w:spacing w:line="580" w:lineRule="exact"/>
              <w:contextualSpacing/>
              <w:jc w:val="both"/>
              <w:textAlignment w:val="auto"/>
              <w:rPr>
                <w:rFonts w:hint="default" w:ascii="Times New Roman" w:hAnsi="Times New Roman" w:eastAsia="宋体" w:cs="Times New Roman"/>
                <w:kern w:val="2"/>
                <w:sz w:val="24"/>
                <w:szCs w:val="24"/>
                <w:lang w:val="en-US" w:eastAsia="zh-CN" w:bidi="zh-CN"/>
              </w:rPr>
            </w:pPr>
            <w:r>
              <w:rPr>
                <w:rFonts w:hint="default" w:ascii="Times New Roman" w:hAnsi="Times New Roman" w:eastAsia="宋体" w:cs="Times New Roman"/>
                <w:kern w:val="2"/>
                <w:sz w:val="24"/>
                <w:szCs w:val="24"/>
                <w:lang w:val="en-US" w:eastAsia="zh-CN" w:bidi="zh-CN"/>
              </w:rPr>
              <w:t>无。</w:t>
            </w:r>
          </w:p>
        </w:tc>
      </w:tr>
    </w:tbl>
    <w:p w14:paraId="72AEA9ED">
      <w:pPr>
        <w:tabs>
          <w:tab w:val="left" w:pos="2201"/>
        </w:tabs>
        <w:bidi w:val="0"/>
        <w:jc w:val="left"/>
        <w:rPr>
          <w:rFonts w:hint="default" w:ascii="Times New Roman" w:hAnsi="Times New Roman" w:cs="Times New Roman"/>
          <w:b/>
          <w:bCs/>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DC443A-4618-40E9-861A-A1582B88ED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FF40B1F1-F6B0-4080-91E4-F47F8FE012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DEFF2">
    <w:pPr>
      <w:pStyle w:val="14"/>
    </w:pPr>
    <w:r>
      <w:fldChar w:fldCharType="begin"/>
    </w:r>
    <w:r>
      <w:instrText xml:space="preserve">PAGE   \* MERGEFORMAT</w:instrText>
    </w:r>
    <w:r>
      <w:fldChar w:fldCharType="separate"/>
    </w:r>
    <w:r>
      <w:rPr>
        <w:lang w:val="zh-CN"/>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68E67">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2A8F7113"/>
    <w:multiLevelType w:val="multilevel"/>
    <w:tmpl w:val="2A8F7113"/>
    <w:lvl w:ilvl="0" w:tentative="0">
      <w:start w:val="1"/>
      <w:numFmt w:val="upperLetter"/>
      <w:pStyle w:val="33"/>
      <w:suff w:val="space"/>
      <w:lvlText w:val="%1"/>
      <w:lvlJc w:val="left"/>
      <w:pPr>
        <w:ind w:left="623" w:hanging="425"/>
      </w:pPr>
      <w:rPr>
        <w:rFonts w:hint="eastAsia"/>
      </w:rPr>
    </w:lvl>
    <w:lvl w:ilvl="1" w:tentative="0">
      <w:start w:val="1"/>
      <w:numFmt w:val="decimal"/>
      <w:pStyle w:val="3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
    <w:nsid w:val="48802D1C"/>
    <w:multiLevelType w:val="multilevel"/>
    <w:tmpl w:val="48802D1C"/>
    <w:lvl w:ilvl="0" w:tentative="0">
      <w:start w:val="1"/>
      <w:numFmt w:val="upperLetter"/>
      <w:pStyle w:val="29"/>
      <w:lvlText w:val="%1"/>
      <w:lvlJc w:val="left"/>
      <w:pPr>
        <w:ind w:left="420" w:hanging="420"/>
      </w:pPr>
      <w:rPr>
        <w:rFonts w:hint="eastAsia"/>
      </w:rPr>
    </w:lvl>
    <w:lvl w:ilvl="1" w:tentative="0">
      <w:start w:val="1"/>
      <w:numFmt w:val="decimal"/>
      <w:pStyle w:val="2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603797C"/>
    <w:multiLevelType w:val="multilevel"/>
    <w:tmpl w:val="5603797C"/>
    <w:lvl w:ilvl="0" w:tentative="0">
      <w:start w:val="1"/>
      <w:numFmt w:val="upperLetter"/>
      <w:pStyle w:val="30"/>
      <w:suff w:val="space"/>
      <w:lvlText w:val="%1"/>
      <w:lvlJc w:val="left"/>
      <w:pPr>
        <w:ind w:left="425" w:hanging="425"/>
      </w:pPr>
      <w:rPr>
        <w:rFonts w:hint="eastAsia"/>
      </w:rPr>
    </w:lvl>
    <w:lvl w:ilvl="1" w:tentative="0">
      <w:start w:val="1"/>
      <w:numFmt w:val="decimal"/>
      <w:pStyle w:val="1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0B55DC2"/>
    <w:multiLevelType w:val="multilevel"/>
    <w:tmpl w:val="60B55DC2"/>
    <w:lvl w:ilvl="0" w:tentative="0">
      <w:start w:val="1"/>
      <w:numFmt w:val="upperLetter"/>
      <w:pStyle w:val="37"/>
      <w:lvlText w:val="%1"/>
      <w:lvlJc w:val="left"/>
      <w:pPr>
        <w:tabs>
          <w:tab w:val="left" w:pos="0"/>
        </w:tabs>
        <w:ind w:left="0" w:hanging="425"/>
      </w:pPr>
      <w:rPr>
        <w:rFonts w:hint="eastAsia"/>
      </w:rPr>
    </w:lvl>
    <w:lvl w:ilvl="1" w:tentative="0">
      <w:start w:val="1"/>
      <w:numFmt w:val="decimal"/>
      <w:pStyle w:val="3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5">
    <w:nsid w:val="646260FA"/>
    <w:multiLevelType w:val="multilevel"/>
    <w:tmpl w:val="646260FA"/>
    <w:lvl w:ilvl="0" w:tentative="0">
      <w:start w:val="1"/>
      <w:numFmt w:val="decimal"/>
      <w:pStyle w:val="46"/>
      <w:suff w:val="nothing"/>
      <w:lvlText w:val="表%1　"/>
      <w:lvlJc w:val="left"/>
      <w:pPr>
        <w:ind w:left="420" w:firstLine="0"/>
      </w:pPr>
    </w:lvl>
    <w:lvl w:ilvl="1" w:tentative="0">
      <w:start w:val="1"/>
      <w:numFmt w:val="decimal"/>
      <w:lvlText w:val="%1.%2"/>
      <w:lvlJc w:val="left"/>
      <w:pPr>
        <w:tabs>
          <w:tab w:val="left" w:pos="1412"/>
        </w:tabs>
        <w:ind w:left="1412" w:hanging="567"/>
      </w:pPr>
    </w:lvl>
    <w:lvl w:ilvl="2" w:tentative="0">
      <w:start w:val="1"/>
      <w:numFmt w:val="decimal"/>
      <w:lvlText w:val="%1.%2.%3"/>
      <w:lvlJc w:val="left"/>
      <w:pPr>
        <w:tabs>
          <w:tab w:val="left" w:pos="1837"/>
        </w:tabs>
        <w:ind w:left="1837" w:hanging="567"/>
      </w:pPr>
    </w:lvl>
    <w:lvl w:ilvl="3" w:tentative="0">
      <w:start w:val="1"/>
      <w:numFmt w:val="decimal"/>
      <w:lvlText w:val="%1.%2.%3.%4"/>
      <w:lvlJc w:val="left"/>
      <w:pPr>
        <w:tabs>
          <w:tab w:val="left" w:pos="2404"/>
        </w:tabs>
        <w:ind w:left="2404" w:hanging="708"/>
      </w:pPr>
    </w:lvl>
    <w:lvl w:ilvl="4" w:tentative="0">
      <w:start w:val="1"/>
      <w:numFmt w:val="decimal"/>
      <w:lvlText w:val="%1.%2.%3.%4.%5"/>
      <w:lvlJc w:val="left"/>
      <w:pPr>
        <w:tabs>
          <w:tab w:val="left" w:pos="2971"/>
        </w:tabs>
        <w:ind w:left="2971" w:hanging="850"/>
      </w:pPr>
    </w:lvl>
    <w:lvl w:ilvl="5" w:tentative="0">
      <w:start w:val="1"/>
      <w:numFmt w:val="decimal"/>
      <w:lvlText w:val="%1.%2.%3.%4.%5.%6"/>
      <w:lvlJc w:val="left"/>
      <w:pPr>
        <w:tabs>
          <w:tab w:val="left" w:pos="3680"/>
        </w:tabs>
        <w:ind w:left="3680" w:hanging="1134"/>
      </w:pPr>
    </w:lvl>
    <w:lvl w:ilvl="6" w:tentative="0">
      <w:start w:val="1"/>
      <w:numFmt w:val="decimal"/>
      <w:lvlText w:val="%1.%2.%3.%4.%5.%6.%7"/>
      <w:lvlJc w:val="left"/>
      <w:pPr>
        <w:tabs>
          <w:tab w:val="left" w:pos="4247"/>
        </w:tabs>
        <w:ind w:left="4247" w:hanging="1276"/>
      </w:pPr>
    </w:lvl>
    <w:lvl w:ilvl="7" w:tentative="0">
      <w:start w:val="1"/>
      <w:numFmt w:val="decimal"/>
      <w:lvlText w:val="%1.%2.%3.%4.%5.%6.%7.%8"/>
      <w:lvlJc w:val="left"/>
      <w:pPr>
        <w:tabs>
          <w:tab w:val="left" w:pos="4814"/>
        </w:tabs>
        <w:ind w:left="4814" w:hanging="1418"/>
      </w:pPr>
    </w:lvl>
    <w:lvl w:ilvl="8" w:tentative="0">
      <w:start w:val="1"/>
      <w:numFmt w:val="decimal"/>
      <w:lvlText w:val="%1.%2.%3.%4.%5.%6.%7.%8.%9"/>
      <w:lvlJc w:val="left"/>
      <w:pPr>
        <w:tabs>
          <w:tab w:val="left" w:pos="5522"/>
        </w:tabs>
        <w:ind w:left="5522" w:hanging="1700"/>
      </w:pPr>
    </w:lvl>
  </w:abstractNum>
  <w:abstractNum w:abstractNumId="6">
    <w:nsid w:val="657D3FBC"/>
    <w:multiLevelType w:val="multilevel"/>
    <w:tmpl w:val="657D3FBC"/>
    <w:lvl w:ilvl="0" w:tentative="0">
      <w:start w:val="1"/>
      <w:numFmt w:val="upperLetter"/>
      <w:pStyle w:val="18"/>
      <w:suff w:val="nothing"/>
      <w:lvlText w:val="附录%1"/>
      <w:lvlJc w:val="left"/>
      <w:pPr>
        <w:ind w:left="0" w:firstLine="0"/>
      </w:pPr>
      <w:rPr>
        <w:rFonts w:hint="eastAsia"/>
        <w:spacing w:val="100"/>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0" w:firstLine="0"/>
      </w:pPr>
      <w:rPr>
        <w:rFonts w:hint="eastAsia" w:ascii="黑体" w:eastAsia="黑体"/>
        <w:b w:val="0"/>
        <w:i w:val="0"/>
        <w:sz w:val="21"/>
      </w:rPr>
    </w:lvl>
    <w:lvl w:ilvl="3" w:tentative="0">
      <w:start w:val="1"/>
      <w:numFmt w:val="decimal"/>
      <w:pStyle w:val="22"/>
      <w:suff w:val="nothing"/>
      <w:lvlText w:val="%1.%2.%3.%4　"/>
      <w:lvlJc w:val="left"/>
      <w:pPr>
        <w:ind w:left="0" w:firstLine="0"/>
      </w:pPr>
      <w:rPr>
        <w:rFonts w:hint="eastAsia" w:ascii="黑体" w:eastAsia="黑体"/>
        <w:b w:val="0"/>
        <w:i w:val="0"/>
        <w:sz w:val="21"/>
      </w:rPr>
    </w:lvl>
    <w:lvl w:ilvl="4" w:tentative="0">
      <w:start w:val="1"/>
      <w:numFmt w:val="decimal"/>
      <w:pStyle w:val="23"/>
      <w:suff w:val="nothing"/>
      <w:lvlText w:val="%1.%2.%3.%4.%5　"/>
      <w:lvlJc w:val="left"/>
      <w:pPr>
        <w:ind w:left="0" w:firstLine="0"/>
      </w:pPr>
      <w:rPr>
        <w:rFonts w:hint="eastAsia" w:ascii="黑体" w:eastAsia="黑体"/>
        <w:b w:val="0"/>
        <w:i w:val="0"/>
        <w:sz w:val="21"/>
      </w:rPr>
    </w:lvl>
    <w:lvl w:ilvl="5" w:tentative="0">
      <w:start w:val="1"/>
      <w:numFmt w:val="decimal"/>
      <w:pStyle w:val="2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3"/>
      <w:suff w:val="nothing"/>
      <w:lvlText w:val="%1%2　"/>
      <w:lvlJc w:val="left"/>
      <w:pPr>
        <w:ind w:left="0" w:firstLine="0"/>
      </w:pPr>
      <w:rPr>
        <w:rFonts w:hint="eastAsia" w:ascii="黑体" w:eastAsia="黑体"/>
        <w:b w:val="0"/>
        <w:i w:val="0"/>
        <w:sz w:val="21"/>
      </w:rPr>
    </w:lvl>
    <w:lvl w:ilvl="2" w:tentative="0">
      <w:start w:val="1"/>
      <w:numFmt w:val="decimal"/>
      <w:pStyle w:val="4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tentative="0">
      <w:start w:val="1"/>
      <w:numFmt w:val="none"/>
      <w:pStyle w:val="26"/>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6"/>
  </w:num>
  <w:num w:numId="2">
    <w:abstractNumId w:val="3"/>
  </w:num>
  <w:num w:numId="3">
    <w:abstractNumId w:val="2"/>
  </w:num>
  <w:num w:numId="4">
    <w:abstractNumId w:val="8"/>
  </w:num>
  <w:num w:numId="5">
    <w:abstractNumId w:val="0"/>
  </w:num>
  <w:num w:numId="6">
    <w:abstractNumId w:val="1"/>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xOWY2MGRhMGFjMDUxOGUzZDMwYzVmOTE5ZmRmZDYifQ=="/>
  </w:docVars>
  <w:rsids>
    <w:rsidRoot w:val="00172A27"/>
    <w:rsid w:val="00172A27"/>
    <w:rsid w:val="002C03CE"/>
    <w:rsid w:val="00312AF6"/>
    <w:rsid w:val="003B68D8"/>
    <w:rsid w:val="005F44B9"/>
    <w:rsid w:val="00625259"/>
    <w:rsid w:val="006D23C0"/>
    <w:rsid w:val="007F6432"/>
    <w:rsid w:val="008B47BA"/>
    <w:rsid w:val="00A53BE5"/>
    <w:rsid w:val="00A94845"/>
    <w:rsid w:val="00C410D5"/>
    <w:rsid w:val="00D75905"/>
    <w:rsid w:val="00D81E5F"/>
    <w:rsid w:val="00EC03A1"/>
    <w:rsid w:val="00FE3482"/>
    <w:rsid w:val="01EC58FB"/>
    <w:rsid w:val="023535B2"/>
    <w:rsid w:val="02C31095"/>
    <w:rsid w:val="03483348"/>
    <w:rsid w:val="05D04408"/>
    <w:rsid w:val="0728477E"/>
    <w:rsid w:val="079F2E77"/>
    <w:rsid w:val="09D674BD"/>
    <w:rsid w:val="0A217932"/>
    <w:rsid w:val="0A533D2F"/>
    <w:rsid w:val="0B8258BC"/>
    <w:rsid w:val="0C0F534B"/>
    <w:rsid w:val="10792D3F"/>
    <w:rsid w:val="10E70644"/>
    <w:rsid w:val="149A452C"/>
    <w:rsid w:val="157B57FF"/>
    <w:rsid w:val="169F326D"/>
    <w:rsid w:val="17404C97"/>
    <w:rsid w:val="17AF2E7E"/>
    <w:rsid w:val="18755987"/>
    <w:rsid w:val="19A05834"/>
    <w:rsid w:val="1A045DC3"/>
    <w:rsid w:val="1AA2218E"/>
    <w:rsid w:val="1C051EBD"/>
    <w:rsid w:val="1C694603"/>
    <w:rsid w:val="1D1C46BE"/>
    <w:rsid w:val="1DBF3C5B"/>
    <w:rsid w:val="1EC728FE"/>
    <w:rsid w:val="1F9F20EA"/>
    <w:rsid w:val="231C2767"/>
    <w:rsid w:val="235F22BC"/>
    <w:rsid w:val="245D6B87"/>
    <w:rsid w:val="25613834"/>
    <w:rsid w:val="263161E9"/>
    <w:rsid w:val="289724F8"/>
    <w:rsid w:val="2BB47CF5"/>
    <w:rsid w:val="2D9D38B7"/>
    <w:rsid w:val="2F534861"/>
    <w:rsid w:val="313962FD"/>
    <w:rsid w:val="330A1CF1"/>
    <w:rsid w:val="3562697C"/>
    <w:rsid w:val="36C26992"/>
    <w:rsid w:val="37586E51"/>
    <w:rsid w:val="37A47687"/>
    <w:rsid w:val="37E40B8A"/>
    <w:rsid w:val="39A05AB3"/>
    <w:rsid w:val="39D569DC"/>
    <w:rsid w:val="3AF84833"/>
    <w:rsid w:val="3B4958D4"/>
    <w:rsid w:val="3C0D601D"/>
    <w:rsid w:val="3C351DDE"/>
    <w:rsid w:val="3C867EC2"/>
    <w:rsid w:val="3F0D3058"/>
    <w:rsid w:val="40D975DB"/>
    <w:rsid w:val="410159EF"/>
    <w:rsid w:val="415B010F"/>
    <w:rsid w:val="41EE77DC"/>
    <w:rsid w:val="41FF50FC"/>
    <w:rsid w:val="42417305"/>
    <w:rsid w:val="429F227D"/>
    <w:rsid w:val="44BC5AED"/>
    <w:rsid w:val="46916CAB"/>
    <w:rsid w:val="47F40975"/>
    <w:rsid w:val="49EC4CA1"/>
    <w:rsid w:val="4AF25FCF"/>
    <w:rsid w:val="4D9A40AC"/>
    <w:rsid w:val="4DC61224"/>
    <w:rsid w:val="4DF041B7"/>
    <w:rsid w:val="501136F7"/>
    <w:rsid w:val="50597F0F"/>
    <w:rsid w:val="546F1550"/>
    <w:rsid w:val="554051FA"/>
    <w:rsid w:val="556414CC"/>
    <w:rsid w:val="56B122CD"/>
    <w:rsid w:val="572308AA"/>
    <w:rsid w:val="57A71560"/>
    <w:rsid w:val="582A1373"/>
    <w:rsid w:val="587E10CD"/>
    <w:rsid w:val="5A04713E"/>
    <w:rsid w:val="5B286E5C"/>
    <w:rsid w:val="5DED4A68"/>
    <w:rsid w:val="5DF9741A"/>
    <w:rsid w:val="5EA22A81"/>
    <w:rsid w:val="621F7AAC"/>
    <w:rsid w:val="62B127B5"/>
    <w:rsid w:val="62E55633"/>
    <w:rsid w:val="646625F9"/>
    <w:rsid w:val="64FC0D76"/>
    <w:rsid w:val="65053FDE"/>
    <w:rsid w:val="678C3733"/>
    <w:rsid w:val="68394D64"/>
    <w:rsid w:val="684F2066"/>
    <w:rsid w:val="697F37D3"/>
    <w:rsid w:val="69F863B8"/>
    <w:rsid w:val="6C133BF6"/>
    <w:rsid w:val="6C790711"/>
    <w:rsid w:val="6DB6025F"/>
    <w:rsid w:val="6F745AD1"/>
    <w:rsid w:val="6F7C7870"/>
    <w:rsid w:val="6FFF2B15"/>
    <w:rsid w:val="70A26911"/>
    <w:rsid w:val="714314A9"/>
    <w:rsid w:val="7151210F"/>
    <w:rsid w:val="731E2BC7"/>
    <w:rsid w:val="74012775"/>
    <w:rsid w:val="74AA0B54"/>
    <w:rsid w:val="771542E1"/>
    <w:rsid w:val="771B2D19"/>
    <w:rsid w:val="78B31E30"/>
    <w:rsid w:val="79764DDF"/>
    <w:rsid w:val="7C6A0C2B"/>
    <w:rsid w:val="7EB0360C"/>
    <w:rsid w:val="7F4E0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ind w:firstLine="880" w:firstLineChars="200"/>
    </w:pPr>
    <w:rPr>
      <w:rFonts w:ascii="Times New Roman" w:hAnsi="Times New Roman" w:eastAsia="仿宋_GB2312"/>
      <w:sz w:val="32"/>
    </w:rPr>
  </w:style>
  <w:style w:type="paragraph" w:styleId="4">
    <w:name w:val="Balloon Text"/>
    <w:basedOn w:val="1"/>
    <w:link w:val="41"/>
    <w:semiHidden/>
    <w:unhideWhenUsed/>
    <w:qFormat/>
    <w:uiPriority w:val="99"/>
    <w:pPr>
      <w:spacing w:line="240" w:lineRule="auto"/>
    </w:pPr>
    <w:rPr>
      <w:sz w:val="18"/>
      <w:szCs w:val="18"/>
    </w:rPr>
  </w:style>
  <w:style w:type="paragraph" w:styleId="5">
    <w:name w:val="footer"/>
    <w:basedOn w:val="1"/>
    <w:link w:val="40"/>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39"/>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7">
    <w:name w:val="Body Text 2"/>
    <w:unhideWhenUsed/>
    <w:qFormat/>
    <w:uiPriority w:val="99"/>
    <w:pPr>
      <w:widowControl w:val="0"/>
      <w:ind w:firstLine="1840"/>
      <w:jc w:val="both"/>
    </w:pPr>
    <w:rPr>
      <w:rFonts w:ascii="Calibri" w:hAnsi="Calibri" w:eastAsia="宋体" w:cs="Times New Roman"/>
      <w:kern w:val="2"/>
      <w:sz w:val="21"/>
      <w:szCs w:val="22"/>
      <w:lang w:val="en-US" w:eastAsia="zh-CN" w:bidi="ar-SA"/>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qFormat/>
    <w:uiPriority w:val="99"/>
    <w:rPr>
      <w:rFonts w:ascii="宋体" w:hAnsi="Times New Roman" w:eastAsia="宋体"/>
      <w:color w:val="auto"/>
      <w:spacing w:val="0"/>
      <w:w w:val="100"/>
      <w:position w:val="0"/>
      <w:sz w:val="21"/>
      <w:u w:val="none"/>
      <w:vertAlign w:val="baseline"/>
    </w:rPr>
  </w:style>
  <w:style w:type="paragraph" w:customStyle="1" w:styleId="13">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1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5">
    <w:name w:val="标准文件_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7">
    <w:name w:val="标准文件_页眉偶数页"/>
    <w:basedOn w:val="16"/>
    <w:next w:val="1"/>
    <w:qFormat/>
    <w:uiPriority w:val="0"/>
    <w:pPr>
      <w:jc w:val="left"/>
    </w:pPr>
  </w:style>
  <w:style w:type="paragraph" w:customStyle="1" w:styleId="18">
    <w:name w:val="标准文件_附录标识"/>
    <w:next w:val="15"/>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9">
    <w:name w:val="标准文件_附录表标题"/>
    <w:next w:val="15"/>
    <w:qFormat/>
    <w:uiPriority w:val="0"/>
    <w:pPr>
      <w:numPr>
        <w:ilvl w:val="1"/>
        <w:numId w:val="2"/>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20">
    <w:name w:val="标准文件_附录一级条标题"/>
    <w:next w:val="15"/>
    <w:qFormat/>
    <w:uiPriority w:val="0"/>
    <w:pPr>
      <w:widowControl w:val="0"/>
      <w:numPr>
        <w:ilvl w:val="1"/>
        <w:numId w:val="1"/>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21">
    <w:name w:val="标准文件_附录二级条标题"/>
    <w:basedOn w:val="20"/>
    <w:next w:val="15"/>
    <w:qFormat/>
    <w:uiPriority w:val="0"/>
    <w:pPr>
      <w:widowControl/>
      <w:numPr>
        <w:ilvl w:val="2"/>
      </w:numPr>
      <w:wordWrap w:val="0"/>
      <w:overflowPunct w:val="0"/>
      <w:autoSpaceDE w:val="0"/>
      <w:autoSpaceDN w:val="0"/>
      <w:textAlignment w:val="baseline"/>
      <w:outlineLvl w:val="3"/>
    </w:pPr>
  </w:style>
  <w:style w:type="paragraph" w:customStyle="1" w:styleId="22">
    <w:name w:val="标准文件_附录三级条标题"/>
    <w:next w:val="15"/>
    <w:qFormat/>
    <w:uiPriority w:val="0"/>
    <w:pPr>
      <w:widowControl w:val="0"/>
      <w:numPr>
        <w:ilvl w:val="3"/>
        <w:numId w:val="1"/>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23">
    <w:name w:val="标准文件_附录四级条标题"/>
    <w:next w:val="15"/>
    <w:qFormat/>
    <w:uiPriority w:val="0"/>
    <w:pPr>
      <w:widowControl w:val="0"/>
      <w:numPr>
        <w:ilvl w:val="4"/>
        <w:numId w:val="1"/>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24">
    <w:name w:val="标准文件_附录图标题"/>
    <w:next w:val="15"/>
    <w:qFormat/>
    <w:uiPriority w:val="0"/>
    <w:pPr>
      <w:numPr>
        <w:ilvl w:val="1"/>
        <w:numId w:val="3"/>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25">
    <w:name w:val="标准文件_附录五级条标题"/>
    <w:next w:val="15"/>
    <w:qFormat/>
    <w:uiPriority w:val="0"/>
    <w:pPr>
      <w:widowControl w:val="0"/>
      <w:numPr>
        <w:ilvl w:val="5"/>
        <w:numId w:val="1"/>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26">
    <w:name w:val="标准文件_注："/>
    <w:next w:val="15"/>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27">
    <w:name w:val="标准文件_注×："/>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character" w:customStyle="1" w:styleId="28">
    <w:name w:val="标准文件_段 Char"/>
    <w:link w:val="15"/>
    <w:qFormat/>
    <w:uiPriority w:val="0"/>
    <w:rPr>
      <w:rFonts w:ascii="宋体" w:hAnsi="Times New Roman" w:eastAsia="宋体" w:cs="Times New Roman"/>
      <w:kern w:val="0"/>
      <w:szCs w:val="20"/>
    </w:rPr>
  </w:style>
  <w:style w:type="paragraph" w:customStyle="1" w:styleId="29">
    <w:name w:val="标准文件_附录图标号"/>
    <w:basedOn w:val="15"/>
    <w:next w:val="15"/>
    <w:qFormat/>
    <w:uiPriority w:val="0"/>
    <w:pPr>
      <w:numPr>
        <w:ilvl w:val="0"/>
        <w:numId w:val="3"/>
      </w:numPr>
      <w:tabs>
        <w:tab w:val="left" w:pos="360"/>
      </w:tabs>
      <w:spacing w:line="14" w:lineRule="exact"/>
      <w:ind w:left="0" w:firstLine="0" w:firstLineChars="0"/>
      <w:jc w:val="center"/>
    </w:pPr>
    <w:rPr>
      <w:rFonts w:ascii="黑体" w:hAnsi="黑体" w:eastAsia="黑体"/>
      <w:vanish/>
      <w:sz w:val="2"/>
      <w:szCs w:val="21"/>
    </w:rPr>
  </w:style>
  <w:style w:type="paragraph" w:customStyle="1" w:styleId="30">
    <w:name w:val="标准文件_附录表标号"/>
    <w:basedOn w:val="15"/>
    <w:next w:val="15"/>
    <w:qFormat/>
    <w:uiPriority w:val="0"/>
    <w:pPr>
      <w:numPr>
        <w:ilvl w:val="0"/>
        <w:numId w:val="2"/>
      </w:numPr>
      <w:tabs>
        <w:tab w:val="left" w:pos="360"/>
      </w:tabs>
      <w:spacing w:line="14" w:lineRule="exact"/>
      <w:ind w:left="0" w:firstLine="0" w:firstLineChars="0"/>
      <w:jc w:val="center"/>
    </w:pPr>
    <w:rPr>
      <w:rFonts w:eastAsia="黑体"/>
      <w:vanish/>
      <w:sz w:val="2"/>
    </w:rPr>
  </w:style>
  <w:style w:type="paragraph" w:customStyle="1" w:styleId="31">
    <w:name w:val="段"/>
    <w:link w:val="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2">
    <w:name w:val="段 Char"/>
    <w:basedOn w:val="11"/>
    <w:link w:val="31"/>
    <w:qFormat/>
    <w:uiPriority w:val="0"/>
    <w:rPr>
      <w:rFonts w:ascii="宋体" w:hAnsi="Times New Roman" w:eastAsia="宋体" w:cs="Times New Roman"/>
      <w:kern w:val="0"/>
      <w:szCs w:val="20"/>
    </w:rPr>
  </w:style>
  <w:style w:type="paragraph" w:customStyle="1" w:styleId="33">
    <w:name w:val="附录图标号"/>
    <w:basedOn w:val="1"/>
    <w:qFormat/>
    <w:uiPriority w:val="0"/>
    <w:pPr>
      <w:keepNext/>
      <w:pageBreakBefore/>
      <w:widowControl/>
      <w:numPr>
        <w:ilvl w:val="0"/>
        <w:numId w:val="6"/>
      </w:numPr>
      <w:adjustRightInd/>
      <w:spacing w:line="14" w:lineRule="exact"/>
      <w:ind w:left="0" w:firstLine="363"/>
      <w:jc w:val="center"/>
      <w:outlineLvl w:val="0"/>
    </w:pPr>
    <w:rPr>
      <w:rFonts w:ascii="Times New Roman" w:hAnsi="Times New Roman"/>
      <w:color w:val="FFFFFF"/>
      <w:szCs w:val="24"/>
    </w:rPr>
  </w:style>
  <w:style w:type="paragraph" w:customStyle="1" w:styleId="34">
    <w:name w:val="附录图标题"/>
    <w:basedOn w:val="1"/>
    <w:next w:val="31"/>
    <w:qFormat/>
    <w:uiPriority w:val="0"/>
    <w:pPr>
      <w:numPr>
        <w:ilvl w:val="1"/>
        <w:numId w:val="6"/>
      </w:numPr>
      <w:tabs>
        <w:tab w:val="left" w:pos="363"/>
      </w:tabs>
      <w:adjustRightInd/>
      <w:spacing w:beforeLines="50" w:afterLines="50" w:line="240" w:lineRule="auto"/>
      <w:ind w:left="0" w:firstLine="0"/>
      <w:jc w:val="center"/>
    </w:pPr>
    <w:rPr>
      <w:rFonts w:ascii="黑体" w:hAnsi="Times New Roman" w:eastAsia="黑体"/>
    </w:rPr>
  </w:style>
  <w:style w:type="paragraph" w:customStyle="1" w:styleId="35">
    <w:name w:val="附录公式"/>
    <w:basedOn w:val="31"/>
    <w:next w:val="31"/>
    <w:link w:val="36"/>
    <w:qFormat/>
    <w:uiPriority w:val="0"/>
  </w:style>
  <w:style w:type="character" w:customStyle="1" w:styleId="36">
    <w:name w:val="附录公式 Char"/>
    <w:basedOn w:val="32"/>
    <w:link w:val="35"/>
    <w:qFormat/>
    <w:uiPriority w:val="0"/>
    <w:rPr>
      <w:rFonts w:ascii="宋体" w:hAnsi="Times New Roman" w:eastAsia="宋体" w:cs="Times New Roman"/>
      <w:kern w:val="0"/>
      <w:szCs w:val="20"/>
    </w:rPr>
  </w:style>
  <w:style w:type="paragraph" w:customStyle="1" w:styleId="37">
    <w:name w:val="附录表标号"/>
    <w:basedOn w:val="1"/>
    <w:next w:val="31"/>
    <w:qFormat/>
    <w:uiPriority w:val="0"/>
    <w:pPr>
      <w:numPr>
        <w:ilvl w:val="0"/>
        <w:numId w:val="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38">
    <w:name w:val="附录表标题"/>
    <w:basedOn w:val="1"/>
    <w:next w:val="31"/>
    <w:qFormat/>
    <w:uiPriority w:val="0"/>
    <w:pPr>
      <w:numPr>
        <w:ilvl w:val="1"/>
        <w:numId w:val="7"/>
      </w:numPr>
      <w:tabs>
        <w:tab w:val="left" w:pos="180"/>
      </w:tabs>
      <w:adjustRightInd/>
      <w:spacing w:beforeLines="50" w:afterLines="50" w:line="240" w:lineRule="auto"/>
      <w:ind w:left="0" w:firstLine="0"/>
      <w:jc w:val="center"/>
    </w:pPr>
    <w:rPr>
      <w:rFonts w:ascii="黑体" w:hAnsi="Times New Roman" w:eastAsia="黑体"/>
    </w:rPr>
  </w:style>
  <w:style w:type="character" w:customStyle="1" w:styleId="39">
    <w:name w:val="页眉 字符"/>
    <w:basedOn w:val="11"/>
    <w:link w:val="6"/>
    <w:qFormat/>
    <w:uiPriority w:val="99"/>
    <w:rPr>
      <w:rFonts w:ascii="Calibri" w:hAnsi="Calibri" w:eastAsia="宋体" w:cs="Times New Roman"/>
      <w:sz w:val="18"/>
      <w:szCs w:val="18"/>
    </w:rPr>
  </w:style>
  <w:style w:type="character" w:customStyle="1" w:styleId="40">
    <w:name w:val="页脚 字符"/>
    <w:basedOn w:val="11"/>
    <w:link w:val="5"/>
    <w:qFormat/>
    <w:uiPriority w:val="99"/>
    <w:rPr>
      <w:rFonts w:ascii="Calibri" w:hAnsi="Calibri" w:eastAsia="宋体" w:cs="Times New Roman"/>
      <w:sz w:val="18"/>
      <w:szCs w:val="18"/>
    </w:rPr>
  </w:style>
  <w:style w:type="character" w:customStyle="1" w:styleId="41">
    <w:name w:val="批注框文本 字符"/>
    <w:basedOn w:val="11"/>
    <w:link w:val="4"/>
    <w:semiHidden/>
    <w:qFormat/>
    <w:uiPriority w:val="99"/>
    <w:rPr>
      <w:rFonts w:ascii="Calibri" w:hAnsi="Calibri" w:eastAsia="宋体" w:cs="Times New Roman"/>
      <w:sz w:val="18"/>
      <w:szCs w:val="18"/>
    </w:rPr>
  </w:style>
  <w:style w:type="paragraph" w:customStyle="1" w:styleId="42">
    <w:name w:val="标准文件_一级条标题"/>
    <w:basedOn w:val="43"/>
    <w:next w:val="15"/>
    <w:qFormat/>
    <w:uiPriority w:val="0"/>
    <w:pPr>
      <w:numPr>
        <w:ilvl w:val="2"/>
      </w:numPr>
      <w:spacing w:before="50" w:beforeLines="50" w:after="50" w:afterLines="50"/>
      <w:outlineLvl w:val="1"/>
    </w:pPr>
  </w:style>
  <w:style w:type="paragraph" w:customStyle="1" w:styleId="43">
    <w:name w:val="标准文件_章标题"/>
    <w:next w:val="15"/>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character" w:styleId="44">
    <w:name w:val="Placeholder Text"/>
    <w:basedOn w:val="11"/>
    <w:semiHidden/>
    <w:qFormat/>
    <w:uiPriority w:val="99"/>
    <w:rPr>
      <w:color w:val="808080"/>
    </w:rPr>
  </w:style>
  <w:style w:type="paragraph" w:customStyle="1" w:styleId="45">
    <w:name w:val="标准文件_一级无标题"/>
    <w:basedOn w:val="42"/>
    <w:qFormat/>
    <w:uiPriority w:val="0"/>
    <w:pPr>
      <w:spacing w:before="0" w:beforeLines="0" w:after="0" w:afterLines="0"/>
      <w:outlineLvl w:val="9"/>
    </w:pPr>
    <w:rPr>
      <w:rFonts w:ascii="宋体" w:eastAsia="宋体"/>
    </w:rPr>
  </w:style>
  <w:style w:type="paragraph" w:customStyle="1" w:styleId="46">
    <w:name w:val="标准文件_正文表标题"/>
    <w:next w:val="15"/>
    <w:qFormat/>
    <w:uiPriority w:val="0"/>
    <w:pPr>
      <w:numPr>
        <w:ilvl w:val="0"/>
        <w:numId w:val="9"/>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47">
    <w:name w:val="标准文件_表格"/>
    <w:basedOn w:val="15"/>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8209e35-3e6f-48f9-9342-ccdd9bf04a39}"/>
        <w:style w:val=""/>
        <w:category>
          <w:name w:val="常规"/>
          <w:gallery w:val="placeholder"/>
        </w:category>
        <w:types>
          <w:type w:val="bbPlcHdr"/>
        </w:types>
        <w:behaviors>
          <w:behavior w:val="content"/>
        </w:behaviors>
        <w:description w:val=""/>
        <w:guid w:val="{98209e35-3e6f-48f9-9342-ccdd9bf04a39}"/>
      </w:docPartPr>
      <w:docPartBody>
        <w:p w14:paraId="1FCA0A82">
          <w:pPr>
            <w:pStyle w:val="2"/>
          </w:pPr>
          <w:r>
            <w:rPr>
              <w:rStyle w:val="3"/>
              <w:rFonts w:hint="eastAsia"/>
            </w:rPr>
            <w:t>单击或点击此处输入文字。</w:t>
          </w:r>
        </w:p>
      </w:docPartBody>
    </w:docPart>
    <w:docPart>
      <w:docPartPr>
        <w:name w:val="{27f6dcf6-472b-4355-86e0-4bb939b6d7a7}"/>
        <w:style w:val=""/>
        <w:category>
          <w:name w:val="常规"/>
          <w:gallery w:val="placeholder"/>
        </w:category>
        <w:types>
          <w:type w:val="bbPlcHdr"/>
        </w:types>
        <w:behaviors>
          <w:behavior w:val="content"/>
        </w:behaviors>
        <w:description w:val=""/>
        <w:guid w:val="{27f6dcf6-472b-4355-86e0-4bb939b6d7a7}"/>
      </w:docPartPr>
      <w:docPartBody>
        <w:p w14:paraId="627117C5">
          <w:pPr>
            <w:pStyle w:val="2"/>
          </w:pPr>
          <w:r>
            <w:rPr>
              <w:rStyle w:val="3"/>
              <w:rFonts w:hint="eastAsia"/>
            </w:rPr>
            <w:t>单击或点击此处输入文字。</w:t>
          </w:r>
        </w:p>
      </w:docPartBody>
    </w:docPart>
    <w:docPart>
      <w:docPartPr>
        <w:name w:val="{67637279-8949-474b-94eb-2a33e1f70555}"/>
        <w:style w:val=""/>
        <w:category>
          <w:name w:val="常规"/>
          <w:gallery w:val="placeholder"/>
        </w:category>
        <w:types>
          <w:type w:val="bbPlcHdr"/>
        </w:types>
        <w:behaviors>
          <w:behavior w:val="content"/>
        </w:behaviors>
        <w:description w:val=""/>
        <w:guid w:val="{67637279-8949-474b-94eb-2a33e1f70555}"/>
      </w:docPartPr>
      <w:docPartBody>
        <w:p w14:paraId="117BB47D">
          <w:pPr>
            <w:pStyle w:val="2"/>
          </w:pPr>
          <w:r>
            <w:rPr>
              <w:rStyle w:val="3"/>
              <w:rFonts w:hint="eastAsia"/>
            </w:rPr>
            <w:t>单击或点击此处输入文字。</w:t>
          </w:r>
        </w:p>
      </w:docPartBody>
    </w:docPart>
    <w:docPart>
      <w:docPartPr>
        <w:name w:val="{9100ae7f-83fd-45af-b603-7b29c9e7e64a}"/>
        <w:style w:val=""/>
        <w:category>
          <w:name w:val="常规"/>
          <w:gallery w:val="placeholder"/>
        </w:category>
        <w:types>
          <w:type w:val="bbPlcHdr"/>
        </w:types>
        <w:behaviors>
          <w:behavior w:val="content"/>
        </w:behaviors>
        <w:description w:val=""/>
        <w:guid w:val="{9100ae7f-83fd-45af-b603-7b29c9e7e64a}"/>
      </w:docPartPr>
      <w:docPartBody>
        <w:p w14:paraId="4498F35A">
          <w:pPr>
            <w:pStyle w:val="2"/>
          </w:pPr>
          <w:r>
            <w:rPr>
              <w:rStyle w:val="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74905F9508F44D74BF8D09AD31F7ADD9"/>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4031</Words>
  <Characters>4332</Characters>
  <Lines>16</Lines>
  <Paragraphs>4</Paragraphs>
  <TotalTime>0</TotalTime>
  <ScaleCrop>false</ScaleCrop>
  <LinksUpToDate>false</LinksUpToDate>
  <CharactersWithSpaces>4361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2021-02-18T08:41:00Z</dcterms:created>
  <dc:creator>郑玉艳</dc:creator>
  <cp:lastModifiedBy>SJL</cp:lastModifiedBy>
  <cp:lastPrinted>2022-06-15T07:00:00Z</cp:lastPrinted>
  <dcterms:modified xsi:type="dcterms:W3CDTF">2024-10-22T03:27:57Z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SaveFontToCloudKey">
    <vt:lpwstr>434316484_cloud</vt:lpwstr>
  </property>
  <property fmtid="{D5CDD505-2E9C-101B-9397-08002B2CF9AE}" pid="4" name="ICV">
    <vt:lpwstr>8B727AF78A704BC19EE264BF07AA6806</vt:lpwstr>
  </property>
</Properties>
</file>