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E3C87">
      <w:pPr>
        <w:pStyle w:val="129"/>
        <w:framePr w:wrap="around"/>
      </w:pPr>
      <w:r>
        <w:rPr>
          <w:rFonts w:ascii="Times New Roman"/>
        </w:rPr>
        <w:t>ICS</w:t>
      </w:r>
      <w:r>
        <w:rPr>
          <w:rFonts w:hint="eastAsia" w:ascii="MS Mincho" w:hAnsi="MS Mincho" w:eastAsia="MS Mincho" w:cs="MS Mincho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65.020.01</w:t>
      </w:r>
      <w:r>
        <w:fldChar w:fldCharType="end"/>
      </w:r>
      <w:bookmarkEnd w:id="0"/>
    </w:p>
    <w:p w14:paraId="7508BC3B">
      <w:pPr>
        <w:pStyle w:val="129"/>
        <w:framePr w:wrap="around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"/>
    </w:p>
    <w:tbl>
      <w:tblPr>
        <w:tblStyle w:val="36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64AF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ED418">
            <w:pPr>
              <w:pStyle w:val="129"/>
              <w:framePr w:wrap="around"/>
            </w:pPr>
            <w:r>
              <w:pict>
                <v:rect id="BAH" o:spid="_x0000_s1039" o:spt="1" style="position:absolute;left:0pt;margin-left:-5.25pt;margin-top:0pt;height:15.6pt;width:68.25pt;z-index:-251651072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B65</w:t>
            </w:r>
            <w:r>
              <w:fldChar w:fldCharType="end"/>
            </w:r>
            <w:bookmarkEnd w:id="2"/>
          </w:p>
        </w:tc>
      </w:tr>
    </w:tbl>
    <w:p w14:paraId="7A5D3CD9">
      <w:pPr>
        <w:pStyle w:val="115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34</w:t>
      </w:r>
      <w:r>
        <w:fldChar w:fldCharType="end"/>
      </w:r>
      <w:bookmarkEnd w:id="3"/>
    </w:p>
    <w:p w14:paraId="4B1E4AF8">
      <w:pPr>
        <w:pStyle w:val="116"/>
        <w:framePr w:wrap="around"/>
      </w:pPr>
      <w:bookmarkStart w:id="4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安徽省</w:t>
      </w:r>
      <w:r>
        <w:fldChar w:fldCharType="end"/>
      </w:r>
      <w:bookmarkEnd w:id="4"/>
      <w:r>
        <w:rPr>
          <w:rFonts w:hint="eastAsia"/>
        </w:rPr>
        <w:t>地方标准</w:t>
      </w:r>
    </w:p>
    <w:p w14:paraId="7C7AC537">
      <w:pPr>
        <w:pStyle w:val="53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int="eastAsia" w:hAnsi="黑体"/>
        </w:rPr>
        <w:t>34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Style w:val="36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366A4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9D06">
            <w:pPr>
              <w:pStyle w:val="82"/>
              <w:framePr w:wrap="around"/>
            </w:pPr>
            <w:bookmarkStart w:id="8" w:name="DT"/>
            <w:r>
              <w:pict>
                <v:rect id="DT" o:spid="_x0000_s1036" o:spt="1" style="position:absolute;left:0pt;margin-left:372.8pt;margin-top:2.7pt;height:18pt;width:90pt;z-index:-25165414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4BA36349">
      <w:pPr>
        <w:pStyle w:val="53"/>
        <w:framePr w:wrap="around"/>
        <w:rPr>
          <w:rFonts w:hAnsi="黑体"/>
        </w:rPr>
      </w:pPr>
    </w:p>
    <w:p w14:paraId="348DC426">
      <w:pPr>
        <w:pStyle w:val="53"/>
        <w:framePr w:wrap="around"/>
        <w:rPr>
          <w:rFonts w:hAnsi="黑体"/>
        </w:rPr>
      </w:pPr>
    </w:p>
    <w:p w14:paraId="7A571E19">
      <w:pPr>
        <w:pStyle w:val="84"/>
        <w:framePr w:wrap="around"/>
      </w:pPr>
      <w:bookmarkStart w:id="9" w:name="StdName"/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lang w:eastAsia="zh-CN"/>
        </w:rPr>
        <w:t>常春藤无土栽培技术规程</w:t>
      </w:r>
      <w:r>
        <w:fldChar w:fldCharType="end"/>
      </w:r>
      <w:bookmarkEnd w:id="9"/>
    </w:p>
    <w:p w14:paraId="3B53E961">
      <w:pPr>
        <w:pStyle w:val="85"/>
        <w:framePr w:wrap="around"/>
      </w:pPr>
      <w:bookmarkStart w:id="10" w:name="StdEnglishName"/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begin">
          <w:ffData>
            <w:name w:val="StdEnglishName"/>
            <w:enabled/>
            <w:calcOnExit w:val="0"/>
            <w:textInput>
              <w:default w:val="Technical regulations for soilless cultivation of ivy"/>
            </w:textInput>
          </w:ffData>
        </w:fldChar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instrText xml:space="preserve">FORMTEXT</w:instrText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separate"/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t>Technical regulations for soilless cultivation of ivy</w:t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end"/>
      </w:r>
      <w:bookmarkEnd w:id="10"/>
    </w:p>
    <w:p w14:paraId="244B45F2">
      <w:pPr>
        <w:pStyle w:val="86"/>
        <w:framePr w:wrap="around"/>
      </w:pPr>
      <w:bookmarkStart w:id="11" w:name="YZBS"/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1"/>
    </w:p>
    <w:tbl>
      <w:tblPr>
        <w:tblStyle w:val="36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203F1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D34A">
            <w:pPr>
              <w:pStyle w:val="87"/>
              <w:framePr w:wrap="around"/>
            </w:pPr>
            <w:r>
              <w:pict>
                <v:rect id="RQ" o:spid="_x0000_s1038" o:spt="1" style="position:absolute;left:0pt;margin-left:173.3pt;margin-top:45.15pt;height:20pt;width:150pt;z-index:-25165209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pict>
                <v:rect id="LB" o:spid="_x0000_s1037" o:spt="1" style="position:absolute;left:0pt;margin-left:193.3pt;margin-top:20.15pt;height:24pt;width:100pt;z-index:-25165312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tr w14:paraId="4D3E7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1B1F">
            <w:pPr>
              <w:pStyle w:val="88"/>
              <w:framePr w:wrap="around"/>
            </w:pPr>
            <w:bookmarkStart w:id="13" w:name="WCRQ"/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</w:tr>
    </w:tbl>
    <w:p w14:paraId="056CEDB8">
      <w:pPr>
        <w:pStyle w:val="136"/>
        <w:framePr w:wrap="around"/>
      </w:pPr>
      <w:bookmarkStart w:id="14" w:name="FY"/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rPr>
          <w:rFonts w:ascii="黑体"/>
        </w:rPr>
        <w:t>-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o:spid="_x0000_s1034" o:spt="20" style="position:absolute;left:0pt;margin-left:-0.05pt;margin-top:728.5pt;height:0pt;width:481.9pt;mso-position-vertical-relative:page;z-index:251660288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 w14:paraId="0C2BAF56">
      <w:pPr>
        <w:pStyle w:val="137"/>
        <w:framePr w:wrap="around"/>
        <w:jc w:val="center"/>
      </w:pPr>
      <w:bookmarkStart w:id="16" w:name="SY"/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rPr>
          <w:rFonts w:ascii="黑体"/>
        </w:rPr>
        <w:t>-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rPr>
          <w:rFonts w:ascii="黑体"/>
        </w:rPr>
        <w:t>-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 w14:paraId="781776D3">
      <w:pPr>
        <w:pStyle w:val="117"/>
        <w:framePr w:wrap="around"/>
      </w:pPr>
      <w:bookmarkStart w:id="19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安徽省</w:t>
      </w:r>
      <w:r>
        <w:t>市场监督管理局</w:t>
      </w:r>
      <w:r>
        <w:fldChar w:fldCharType="end"/>
      </w:r>
      <w:bookmarkEnd w:id="19"/>
      <w:r>
        <w:rPr>
          <w:rFonts w:hint="eastAsia" w:ascii="MS Mincho" w:hAnsi="MS Mincho" w:eastAsia="MS Mincho" w:cs="MS Mincho"/>
        </w:rPr>
        <w:t>   </w:t>
      </w:r>
      <w:r>
        <w:rPr>
          <w:rStyle w:val="79"/>
          <w:rFonts w:hint="eastAsia"/>
        </w:rPr>
        <w:t>发布</w:t>
      </w:r>
    </w:p>
    <w:p w14:paraId="6F1E7FDA">
      <w:pPr>
        <w:pStyle w:val="26"/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  <w:r>
        <w:pict>
          <v:line id="_x0000_s1035" o:spid="_x0000_s1035" o:spt="20" style="position:absolute;left:0pt;margin-left:-0.05pt;margin-top:184.25pt;height:0pt;width:481.9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44306096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前   言</w:t>
      </w:r>
    </w:p>
    <w:p w14:paraId="424D59D7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ascii="黑体" w:hAnsi="黑体" w:eastAsia="黑体"/>
          <w:kern w:val="0"/>
          <w:sz w:val="32"/>
          <w:szCs w:val="32"/>
        </w:rPr>
      </w:pPr>
    </w:p>
    <w:p w14:paraId="307D6C74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本文件按照 GB/T 1.1-2020 《标准化工作导则 第1部分：标准化文件的结构和起草规则》的规定起草。</w:t>
      </w:r>
    </w:p>
    <w:p w14:paraId="59F1252D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ascii="宋体"/>
          <w:kern w:val="0"/>
          <w:sz w:val="21"/>
          <w:szCs w:val="20"/>
        </w:rPr>
        <w:t>本文件由安徽省林业局提出并归口。</w:t>
      </w:r>
    </w:p>
    <w:p w14:paraId="1DE2C267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ascii="宋体"/>
          <w:kern w:val="0"/>
          <w:sz w:val="21"/>
          <w:szCs w:val="20"/>
        </w:rPr>
        <w:t>本文件起草单位：</w:t>
      </w:r>
      <w:r>
        <w:rPr>
          <w:rFonts w:hint="eastAsia" w:ascii="宋体"/>
          <w:kern w:val="0"/>
          <w:sz w:val="21"/>
          <w:szCs w:val="20"/>
        </w:rPr>
        <w:t>安徽林业职业技术学院</w:t>
      </w:r>
      <w:r>
        <w:rPr>
          <w:rFonts w:ascii="宋体"/>
          <w:kern w:val="0"/>
          <w:sz w:val="21"/>
          <w:szCs w:val="20"/>
        </w:rPr>
        <w:t>、</w:t>
      </w:r>
      <w:r>
        <w:rPr>
          <w:rFonts w:hint="eastAsia" w:ascii="宋体"/>
          <w:kern w:val="0"/>
          <w:sz w:val="21"/>
          <w:szCs w:val="20"/>
        </w:rPr>
        <w:t>合肥美迪园艺有限公司</w:t>
      </w:r>
      <w:r>
        <w:rPr>
          <w:rFonts w:hint="eastAsia" w:ascii="宋体"/>
          <w:kern w:val="0"/>
          <w:sz w:val="21"/>
          <w:szCs w:val="20"/>
          <w:lang w:eastAsia="zh-CN"/>
        </w:rPr>
        <w:t>、安徽美迪生态农业有限公司</w:t>
      </w:r>
      <w:r>
        <w:rPr>
          <w:rFonts w:ascii="宋体"/>
          <w:kern w:val="0"/>
          <w:sz w:val="21"/>
          <w:szCs w:val="20"/>
        </w:rPr>
        <w:t>。</w:t>
      </w:r>
    </w:p>
    <w:p w14:paraId="62CC8068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ascii="宋体"/>
          <w:kern w:val="0"/>
          <w:sz w:val="21"/>
          <w:szCs w:val="20"/>
        </w:rPr>
        <w:t>本文件主要起草人：</w:t>
      </w:r>
      <w:r>
        <w:rPr>
          <w:rFonts w:hint="eastAsia" w:ascii="宋体"/>
          <w:kern w:val="0"/>
          <w:sz w:val="21"/>
          <w:szCs w:val="20"/>
          <w:lang w:val="en-US" w:eastAsia="zh-CN"/>
        </w:rPr>
        <w:t>黄大国、陶涛、尤罗利、刘维敏</w:t>
      </w:r>
      <w:r>
        <w:rPr>
          <w:rFonts w:hint="eastAsia" w:ascii="宋体"/>
          <w:kern w:val="0"/>
          <w:sz w:val="21"/>
          <w:szCs w:val="20"/>
        </w:rPr>
        <w:t>、</w:t>
      </w:r>
      <w:r>
        <w:rPr>
          <w:rFonts w:hint="eastAsia" w:ascii="宋体"/>
          <w:kern w:val="0"/>
          <w:sz w:val="21"/>
          <w:szCs w:val="20"/>
          <w:lang w:val="en-US" w:eastAsia="zh-CN"/>
        </w:rPr>
        <w:t>李陈</w:t>
      </w:r>
      <w:r>
        <w:rPr>
          <w:rFonts w:hint="eastAsia" w:ascii="宋体"/>
          <w:kern w:val="0"/>
          <w:sz w:val="21"/>
          <w:szCs w:val="20"/>
        </w:rPr>
        <w:t>。</w:t>
      </w:r>
    </w:p>
    <w:p w14:paraId="5BB634A0">
      <w:pPr>
        <w:pStyle w:val="150"/>
        <w:jc w:val="center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</w:rPr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start="1"/>
          <w:cols w:space="425" w:num="1"/>
          <w:formProt w:val="0"/>
          <w:docGrid w:type="lines" w:linePitch="312" w:charSpace="0"/>
        </w:sectPr>
      </w:pPr>
    </w:p>
    <w:sdt>
      <w:sdtP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1"/>
          <w:szCs w:val="24"/>
          <w:lang w:val="zh-CN"/>
        </w:rPr>
        <w:id w:val="2000833023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/>
        </w:rPr>
      </w:sdtEndPr>
      <w:sdtContent>
        <w:p w14:paraId="64CD9E38">
          <w:pPr>
            <w:pStyle w:val="150"/>
            <w:spacing w:line="360" w:lineRule="auto"/>
            <w:jc w:val="center"/>
            <w:rPr>
              <w:rFonts w:asciiTheme="majorHAnsi" w:hAnsiTheme="majorHAnsi" w:eastAsiaTheme="majorEastAsia" w:cstheme="majorBidi"/>
              <w:b/>
              <w:bCs/>
              <w:color w:val="366091" w:themeColor="accent1" w:themeShade="BF"/>
              <w:kern w:val="0"/>
              <w:sz w:val="24"/>
              <w:szCs w:val="28"/>
              <w:lang w:val="en-US" w:eastAsia="zh-CN" w:bidi="ar-SA"/>
            </w:rPr>
          </w:pPr>
          <w:r>
            <w:rPr>
              <w:color w:val="auto"/>
              <w:sz w:val="30"/>
              <w:szCs w:val="30"/>
              <w:lang w:val="zh-CN"/>
            </w:rPr>
            <w:t>目</w:t>
          </w:r>
          <w:r>
            <w:rPr>
              <w:rFonts w:hint="eastAsia"/>
              <w:color w:val="auto"/>
              <w:sz w:val="30"/>
              <w:szCs w:val="30"/>
              <w:lang w:val="zh-CN"/>
            </w:rPr>
            <w:t xml:space="preserve">   录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</w:p>
        <w:p w14:paraId="73F9823B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_Toc3558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szCs w:val="21"/>
            </w:rPr>
            <w:t xml:space="preserve">1 </w:t>
          </w:r>
          <w:r>
            <w:rPr>
              <w:rFonts w:hint="eastAsia" w:ascii="黑体" w:eastAsia="黑体"/>
              <w:kern w:val="0"/>
              <w:szCs w:val="20"/>
            </w:rPr>
            <w:t>范围</w:t>
          </w:r>
          <w:r>
            <w:tab/>
          </w:r>
          <w:r>
            <w:fldChar w:fldCharType="begin"/>
          </w:r>
          <w:r>
            <w:instrText xml:space="preserve"> PAGEREF _Toc3558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23CED36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_Toc10242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szCs w:val="21"/>
            </w:rPr>
            <w:t xml:space="preserve">2 </w:t>
          </w:r>
          <w:r>
            <w:rPr>
              <w:rFonts w:hint="eastAsia" w:ascii="黑体" w:eastAsia="黑体"/>
              <w:kern w:val="0"/>
              <w:szCs w:val="20"/>
            </w:rPr>
            <w:t>规范性引用文件</w:t>
          </w:r>
          <w:r>
            <w:tab/>
          </w:r>
          <w:r>
            <w:fldChar w:fldCharType="begin"/>
          </w:r>
          <w:r>
            <w:instrText xml:space="preserve"> PAGEREF _Toc10242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E58DBD9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_Toc11092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szCs w:val="21"/>
            </w:rPr>
            <w:t xml:space="preserve">3 </w:t>
          </w:r>
          <w:r>
            <w:rPr>
              <w:rFonts w:hint="eastAsia" w:ascii="黑体" w:eastAsia="黑体"/>
              <w:kern w:val="0"/>
              <w:szCs w:val="20"/>
              <w:lang w:val="en-US" w:eastAsia="zh-CN"/>
            </w:rPr>
            <w:t>术语和</w:t>
          </w:r>
          <w:r>
            <w:rPr>
              <w:rFonts w:hint="eastAsia" w:ascii="黑体" w:eastAsia="黑体"/>
              <w:kern w:val="0"/>
              <w:szCs w:val="20"/>
            </w:rPr>
            <w:t>定义</w:t>
          </w:r>
          <w:r>
            <w:tab/>
          </w:r>
          <w:r>
            <w:fldChar w:fldCharType="begin"/>
          </w:r>
          <w:r>
            <w:instrText xml:space="preserve"> PAGEREF _Toc11092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0ABBA7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_Toc28891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3.1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常春藤</w:t>
          </w:r>
          <w:r>
            <w:tab/>
          </w:r>
          <w:r>
            <w:fldChar w:fldCharType="begin"/>
          </w:r>
          <w:r>
            <w:instrText xml:space="preserve"> PAGEREF _Toc28891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DDE4C1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_Toc9344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szCs w:val="21"/>
            </w:rPr>
            <w:t xml:space="preserve">3.2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无土栽培</w:t>
          </w:r>
          <w:r>
            <w:tab/>
          </w:r>
          <w:r>
            <w:fldChar w:fldCharType="begin"/>
          </w:r>
          <w:r>
            <w:instrText xml:space="preserve"> PAGEREF _Toc9344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13CE89E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_Toc25814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  <w:lang w:val="en-US" w:eastAsia="zh-CN"/>
            </w:rPr>
            <w:t xml:space="preserve">4 </w:t>
          </w:r>
          <w:r>
            <w:rPr>
              <w:rFonts w:hint="eastAsia" w:ascii="黑体" w:eastAsia="黑体"/>
              <w:kern w:val="0"/>
              <w:szCs w:val="20"/>
              <w:lang w:val="en-US" w:eastAsia="zh-CN"/>
            </w:rPr>
            <w:t>栽培基质及容器</w:t>
          </w:r>
          <w:r>
            <w:tab/>
          </w:r>
          <w:r>
            <w:fldChar w:fldCharType="begin"/>
          </w:r>
          <w:r>
            <w:instrText xml:space="preserve"> PAGEREF _Toc25814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1B99E53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_Toc6709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4.1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栽培</w:t>
          </w:r>
          <w:r>
            <w:rPr>
              <w:rFonts w:hint="eastAsia" w:ascii="黑体" w:eastAsia="黑体"/>
              <w:kern w:val="0"/>
              <w:szCs w:val="21"/>
            </w:rPr>
            <w:t>基质</w:t>
          </w:r>
          <w:r>
            <w:tab/>
          </w:r>
          <w:r>
            <w:fldChar w:fldCharType="begin"/>
          </w:r>
          <w:r>
            <w:instrText xml:space="preserve"> PAGEREF _Toc6709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FBE82F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_Toc15967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4.2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栽培</w:t>
          </w:r>
          <w:r>
            <w:rPr>
              <w:rFonts w:hint="eastAsia" w:ascii="黑体" w:eastAsia="黑体"/>
              <w:kern w:val="0"/>
              <w:szCs w:val="21"/>
            </w:rPr>
            <w:t>容器</w:t>
          </w:r>
          <w:r>
            <w:tab/>
          </w:r>
          <w:r>
            <w:fldChar w:fldCharType="begin"/>
          </w:r>
          <w:r>
            <w:instrText xml:space="preserve"> PAGEREF _Toc15967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24197997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_Toc20159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</w:rPr>
            <w:t xml:space="preserve">5 </w:t>
          </w:r>
          <w:r>
            <w:rPr>
              <w:rFonts w:hint="eastAsia" w:ascii="黑体" w:hAnsi="Times New Roman" w:eastAsia="黑体" w:cs="Times New Roman"/>
              <w:kern w:val="0"/>
              <w:szCs w:val="20"/>
            </w:rPr>
            <w:t>扦插繁殖</w:t>
          </w:r>
          <w:r>
            <w:tab/>
          </w:r>
          <w:r>
            <w:fldChar w:fldCharType="begin"/>
          </w:r>
          <w:r>
            <w:instrText xml:space="preserve"> PAGEREF _Toc20159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5DCA15C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_Toc2554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5.1 </w:t>
          </w:r>
          <w:r>
            <w:rPr>
              <w:rFonts w:hint="eastAsia" w:ascii="黑体" w:hAnsi="黑体" w:eastAsia="黑体"/>
              <w:szCs w:val="24"/>
            </w:rPr>
            <w:t>场地及设施</w:t>
          </w:r>
          <w:r>
            <w:tab/>
          </w:r>
          <w:r>
            <w:fldChar w:fldCharType="begin"/>
          </w:r>
          <w:r>
            <w:instrText xml:space="preserve"> PAGEREF _Toc2554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052FFEC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_Toc10853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5.2 </w:t>
          </w:r>
          <w:r>
            <w:rPr>
              <w:rFonts w:hint="eastAsia" w:ascii="黑体" w:eastAsia="黑体"/>
              <w:kern w:val="0"/>
              <w:szCs w:val="21"/>
            </w:rPr>
            <w:t>插穗</w:t>
          </w:r>
          <w:r>
            <w:tab/>
          </w:r>
          <w:r>
            <w:fldChar w:fldCharType="begin"/>
          </w:r>
          <w:r>
            <w:instrText xml:space="preserve"> PAGEREF _Toc10853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3F00B9D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_Toc19775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</w:rPr>
            <w:t xml:space="preserve">5.3 </w:t>
          </w:r>
          <w:r>
            <w:rPr>
              <w:rFonts w:hint="eastAsia" w:ascii="黑体" w:hAnsi="Times New Roman" w:eastAsia="黑体" w:cs="Times New Roman"/>
              <w:kern w:val="0"/>
              <w:szCs w:val="21"/>
            </w:rPr>
            <w:t>扦插时间</w:t>
          </w:r>
          <w:r>
            <w:tab/>
          </w:r>
          <w:r>
            <w:fldChar w:fldCharType="begin"/>
          </w:r>
          <w:r>
            <w:instrText xml:space="preserve"> PAGEREF _Toc19775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2289E07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_Toc10509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szCs w:val="21"/>
            </w:rPr>
            <w:t xml:space="preserve">5.4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扦插</w:t>
          </w:r>
          <w:r>
            <w:tab/>
          </w:r>
          <w:r>
            <w:fldChar w:fldCharType="begin"/>
          </w:r>
          <w:r>
            <w:instrText xml:space="preserve"> PAGEREF _Toc10509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213AD844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_Toc5762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</w:rPr>
            <w:t xml:space="preserve">6 </w:t>
          </w:r>
          <w:r>
            <w:rPr>
              <w:rFonts w:hint="eastAsia" w:ascii="黑体" w:hAnsi="Times New Roman" w:eastAsia="黑体" w:cs="Times New Roman"/>
              <w:kern w:val="0"/>
              <w:szCs w:val="20"/>
            </w:rPr>
            <w:t>栽培管理技术</w:t>
          </w:r>
          <w:r>
            <w:tab/>
          </w:r>
          <w:r>
            <w:fldChar w:fldCharType="begin"/>
          </w:r>
          <w:r>
            <w:instrText xml:space="preserve"> PAGEREF _Toc5762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0EFFBEC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_Toc8628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  <w:lang w:val="en-US" w:eastAsia="zh-CN"/>
            </w:rPr>
            <w:t xml:space="preserve">6.1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温度</w:t>
          </w:r>
          <w:r>
            <w:tab/>
          </w:r>
          <w:r>
            <w:fldChar w:fldCharType="begin"/>
          </w:r>
          <w:r>
            <w:instrText xml:space="preserve"> PAGEREF _Toc8628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0619ECF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_Toc17118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  <w:lang w:val="en-US" w:eastAsia="zh-CN"/>
            </w:rPr>
            <w:t xml:space="preserve">6.2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光照</w:t>
          </w:r>
          <w:r>
            <w:tab/>
          </w:r>
          <w:r>
            <w:fldChar w:fldCharType="begin"/>
          </w:r>
          <w:r>
            <w:instrText xml:space="preserve"> PAGEREF _Toc17118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62B2F92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_Toc7893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  <w:lang w:val="en-US" w:eastAsia="zh-CN"/>
            </w:rPr>
            <w:t xml:space="preserve">6.3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浇水</w:t>
          </w:r>
          <w:r>
            <w:tab/>
          </w:r>
          <w:r>
            <w:fldChar w:fldCharType="begin"/>
          </w:r>
          <w:r>
            <w:instrText xml:space="preserve"> PAGEREF _Toc7893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849CAC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_Toc30078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  <w:lang w:val="en-US" w:eastAsia="zh-CN"/>
            </w:rPr>
            <w:t xml:space="preserve">6.4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施肥</w:t>
          </w:r>
          <w:r>
            <w:tab/>
          </w:r>
          <w:r>
            <w:fldChar w:fldCharType="begin"/>
          </w:r>
          <w:r>
            <w:instrText xml:space="preserve"> PAGEREF _Toc30078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E01243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_Toc30468 </w:instrText>
          </w:r>
          <w:r>
            <w:fldChar w:fldCharType="separate"/>
          </w:r>
          <w:r>
            <w:rPr>
              <w:rFonts w:hint="eastAsia" w:ascii="黑体" w:hAnsi="Times New Roman" w:eastAsia="黑体" w:cs="Times New Roman"/>
              <w:bCs w:val="0"/>
              <w:iCs w:val="0"/>
              <w:caps w:val="0"/>
              <w:spacing w:val="0"/>
              <w:kern w:val="0"/>
              <w:szCs w:val="21"/>
              <w:lang w:val="en-US" w:eastAsia="zh-CN"/>
            </w:rPr>
            <w:t xml:space="preserve">6.5 </w:t>
          </w:r>
          <w:r>
            <w:rPr>
              <w:rFonts w:hint="eastAsia" w:ascii="黑体" w:eastAsia="黑体"/>
              <w:kern w:val="0"/>
              <w:szCs w:val="21"/>
              <w:lang w:val="en-US" w:eastAsia="zh-CN"/>
            </w:rPr>
            <w:t>修剪</w:t>
          </w:r>
          <w:r>
            <w:tab/>
          </w:r>
          <w:r>
            <w:fldChar w:fldCharType="begin"/>
          </w:r>
          <w:r>
            <w:instrText xml:space="preserve"> PAGEREF _Toc30468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26AD8EC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_Toc21088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</w:rPr>
            <w:t xml:space="preserve">7 </w:t>
          </w:r>
          <w:r>
            <w:rPr>
              <w:rFonts w:hint="eastAsia" w:ascii="黑体" w:hAnsi="Times New Roman" w:eastAsia="黑体" w:cs="Times New Roman"/>
              <w:kern w:val="0"/>
              <w:szCs w:val="20"/>
            </w:rPr>
            <w:t>有害生物防控</w:t>
          </w:r>
          <w:r>
            <w:tab/>
          </w:r>
          <w:r>
            <w:fldChar w:fldCharType="begin"/>
          </w:r>
          <w:r>
            <w:instrText xml:space="preserve"> PAGEREF _Toc21088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43CADCAD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_Toc3896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</w:rPr>
            <w:t xml:space="preserve">8 </w:t>
          </w:r>
          <w:r>
            <w:rPr>
              <w:rFonts w:hint="eastAsia" w:ascii="黑体" w:hAnsi="Times New Roman" w:eastAsia="黑体" w:cs="Times New Roman"/>
              <w:kern w:val="0"/>
              <w:szCs w:val="20"/>
            </w:rPr>
            <w:t>质量指标</w:t>
          </w:r>
          <w:r>
            <w:tab/>
          </w:r>
          <w:r>
            <w:fldChar w:fldCharType="begin"/>
          </w:r>
          <w:r>
            <w:instrText xml:space="preserve"> PAGEREF _Toc3896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1CBE1EE3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_Toc24538 </w:instrText>
          </w:r>
          <w:r>
            <w:fldChar w:fldCharType="separate"/>
          </w:r>
          <w:r>
            <w:rPr>
              <w:rFonts w:hint="eastAsia" w:ascii="黑体" w:hAnsi="Times New Roman" w:eastAsia="黑体" w:cs="黑体"/>
              <w:bCs w:val="0"/>
              <w:iCs w:val="0"/>
              <w:kern w:val="0"/>
              <w:szCs w:val="21"/>
              <w:lang w:val="en-US" w:eastAsia="zh-CN"/>
            </w:rPr>
            <w:t xml:space="preserve">9 </w:t>
          </w:r>
          <w:r>
            <w:rPr>
              <w:rFonts w:hint="eastAsia" w:ascii="黑体" w:hAnsi="Times New Roman" w:eastAsia="黑体" w:cs="Times New Roman"/>
              <w:kern w:val="0"/>
              <w:szCs w:val="20"/>
              <w:lang w:val="en-US" w:eastAsia="zh-CN"/>
            </w:rPr>
            <w:t>档案管理</w:t>
          </w:r>
          <w:r>
            <w:tab/>
          </w:r>
          <w:r>
            <w:fldChar w:fldCharType="begin"/>
          </w:r>
          <w:r>
            <w:instrText xml:space="preserve"> PAGEREF _Toc24538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12E173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1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_Toc15522 </w:instrText>
          </w:r>
          <w:r>
            <w:fldChar w:fldCharType="separate"/>
          </w:r>
          <w:r>
            <w:rPr>
              <w:rFonts w:hint="eastAsia" w:ascii="黑体" w:eastAsia="黑体"/>
              <w:kern w:val="0"/>
              <w:szCs w:val="36"/>
            </w:rPr>
            <w:t>附录</w:t>
          </w:r>
          <w:r>
            <w:rPr>
              <w:rFonts w:ascii="黑体" w:eastAsia="黑体"/>
              <w:kern w:val="0"/>
              <w:szCs w:val="36"/>
            </w:rPr>
            <w:t>A</w:t>
          </w:r>
          <w:r>
            <w:rPr>
              <w:rFonts w:hint="eastAsia" w:ascii="黑体" w:eastAsia="黑体"/>
              <w:kern w:val="0"/>
              <w:szCs w:val="36"/>
              <w:lang w:val="en-US" w:eastAsia="zh-CN"/>
            </w:rPr>
            <w:t>主要病虫害防治方法</w:t>
          </w:r>
          <w:r>
            <w:tab/>
          </w:r>
          <w:r>
            <w:fldChar w:fldCharType="begin"/>
          </w:r>
          <w:r>
            <w:instrText xml:space="preserve"> PAGEREF _Toc15522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AC8516B">
          <w:pPr>
            <w:pStyle w:val="31"/>
            <w:keepNext w:val="0"/>
            <w:keepLines w:val="0"/>
            <w:pageBreakBefore w:val="0"/>
            <w:widowControl w:val="0"/>
            <w:tabs>
              <w:tab w:val="right" w:leader="dot" w:pos="9354"/>
              <w:tab w:val="clear" w:pos="924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fldChar w:fldCharType="begin"/>
          </w:r>
          <w:r>
            <w:instrText xml:space="preserve"> HYPERLINK \l _Toc19889 </w:instrText>
          </w:r>
          <w:r>
            <w:fldChar w:fldCharType="separate"/>
          </w:r>
          <w:r>
            <w:rPr>
              <w:rFonts w:hint="eastAsia" w:ascii="黑体" w:hAnsi="华文中宋" w:eastAsia="黑体"/>
              <w:szCs w:val="24"/>
            </w:rPr>
            <w:t>A.</w:t>
          </w:r>
          <w:r>
            <w:rPr>
              <w:rFonts w:ascii="黑体" w:hAnsi="华文中宋" w:eastAsia="黑体"/>
              <w:szCs w:val="24"/>
            </w:rPr>
            <w:t>1</w:t>
          </w:r>
          <w:r>
            <w:rPr>
              <w:rFonts w:hint="eastAsia" w:ascii="黑体" w:hAnsi="黑体" w:eastAsia="黑体"/>
              <w:szCs w:val="24"/>
            </w:rPr>
            <w:t>常春藤主要病虫害及其防治</w:t>
          </w:r>
          <w:r>
            <w:tab/>
          </w:r>
          <w:r>
            <w:fldChar w:fldCharType="begin"/>
          </w:r>
          <w:r>
            <w:instrText xml:space="preserve"> PAGEREF _Toc19889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B24FE12">
          <w:pPr>
            <w:spacing w:line="360" w:lineRule="auto"/>
            <w:jc w:val="center"/>
            <w:rPr>
              <w:sz w:val="24"/>
            </w:rPr>
          </w:pPr>
          <w:r>
            <w:rPr>
              <w:sz w:val="24"/>
            </w:rPr>
            <w:fldChar w:fldCharType="end"/>
          </w:r>
        </w:p>
      </w:sdtContent>
    </w:sdt>
    <w:p w14:paraId="270AFC5E">
      <w:pPr>
        <w:pStyle w:val="56"/>
        <w:sectPr>
          <w:pgSz w:w="11906" w:h="16838"/>
          <w:pgMar w:top="567" w:right="1134" w:bottom="1134" w:left="1418" w:header="1418" w:footer="1134" w:gutter="0"/>
          <w:pgNumType w:start="1"/>
          <w:cols w:space="425" w:num="1"/>
          <w:formProt w:val="0"/>
          <w:docGrid w:type="lines" w:linePitch="312" w:charSpace="0"/>
        </w:sectPr>
      </w:pPr>
      <w:bookmarkStart w:id="64" w:name="_GoBack"/>
      <w:bookmarkEnd w:id="64"/>
    </w:p>
    <w:p w14:paraId="7F3FEB8A">
      <w:pPr>
        <w:bidi w:val="0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常春藤无土栽培技术规程</w:t>
      </w:r>
    </w:p>
    <w:p w14:paraId="7420C81A">
      <w:pPr>
        <w:pStyle w:val="33"/>
        <w:widowControl/>
        <w:numPr>
          <w:ilvl w:val="0"/>
          <w:numId w:val="10"/>
        </w:numPr>
        <w:spacing w:beforeLines="100" w:afterLines="100"/>
        <w:outlineLvl w:val="1"/>
      </w:pPr>
      <w:bookmarkStart w:id="20" w:name="_Toc535227356"/>
      <w:bookmarkStart w:id="21" w:name="_Toc3558"/>
      <w:r>
        <w:rPr>
          <w:rFonts w:hint="eastAsia" w:ascii="黑体" w:eastAsia="黑体"/>
          <w:kern w:val="0"/>
          <w:sz w:val="21"/>
          <w:szCs w:val="20"/>
        </w:rPr>
        <w:t>范围</w:t>
      </w:r>
      <w:bookmarkEnd w:id="20"/>
      <w:bookmarkEnd w:id="21"/>
    </w:p>
    <w:p w14:paraId="382892C6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 w:eastAsia="宋体"/>
          <w:kern w:val="0"/>
          <w:sz w:val="21"/>
          <w:szCs w:val="20"/>
          <w:lang w:eastAsia="zh-CN"/>
        </w:rPr>
      </w:pPr>
      <w:r>
        <w:rPr>
          <w:rFonts w:ascii="宋体"/>
          <w:kern w:val="0"/>
          <w:sz w:val="21"/>
          <w:szCs w:val="20"/>
        </w:rPr>
        <w:t>本标准规定了</w:t>
      </w:r>
      <w:r>
        <w:rPr>
          <w:rFonts w:hint="eastAsia" w:ascii="宋体"/>
          <w:kern w:val="0"/>
          <w:sz w:val="21"/>
          <w:szCs w:val="20"/>
          <w:lang w:eastAsia="zh-CN"/>
        </w:rPr>
        <w:t>常春藤无土栽培</w:t>
      </w:r>
      <w:r>
        <w:rPr>
          <w:rFonts w:hint="eastAsia" w:ascii="宋体"/>
          <w:kern w:val="0"/>
          <w:sz w:val="21"/>
          <w:szCs w:val="20"/>
        </w:rPr>
        <w:t>的技术要求，包括术语和定义、栽培</w:t>
      </w:r>
      <w:r>
        <w:rPr>
          <w:rFonts w:hint="eastAsia" w:ascii="宋体"/>
          <w:kern w:val="0"/>
          <w:sz w:val="21"/>
          <w:szCs w:val="20"/>
          <w:lang w:val="en-US" w:eastAsia="zh-CN"/>
        </w:rPr>
        <w:t>基质和容器</w:t>
      </w:r>
      <w:r>
        <w:rPr>
          <w:rFonts w:hint="eastAsia" w:ascii="宋体"/>
          <w:kern w:val="0"/>
          <w:sz w:val="21"/>
          <w:szCs w:val="20"/>
        </w:rPr>
        <w:t>、</w:t>
      </w:r>
      <w:r>
        <w:rPr>
          <w:rFonts w:hint="eastAsia" w:ascii="宋体"/>
          <w:kern w:val="0"/>
          <w:sz w:val="21"/>
          <w:szCs w:val="20"/>
          <w:lang w:val="en-US" w:eastAsia="zh-CN"/>
        </w:rPr>
        <w:t>扦插繁殖、</w:t>
      </w:r>
      <w:r>
        <w:rPr>
          <w:rFonts w:hint="eastAsia" w:ascii="宋体"/>
          <w:kern w:val="0"/>
          <w:sz w:val="21"/>
          <w:szCs w:val="20"/>
        </w:rPr>
        <w:t>栽培</w:t>
      </w:r>
      <w:r>
        <w:rPr>
          <w:rFonts w:hint="eastAsia" w:ascii="宋体"/>
          <w:kern w:val="0"/>
          <w:sz w:val="21"/>
          <w:szCs w:val="20"/>
          <w:lang w:val="en-US" w:eastAsia="zh-CN"/>
        </w:rPr>
        <w:t>管理技术</w:t>
      </w:r>
      <w:r>
        <w:rPr>
          <w:rFonts w:hint="eastAsia" w:ascii="宋体"/>
          <w:kern w:val="0"/>
          <w:sz w:val="21"/>
          <w:szCs w:val="20"/>
        </w:rPr>
        <w:t>、</w:t>
      </w:r>
      <w:r>
        <w:rPr>
          <w:rFonts w:hint="eastAsia" w:ascii="宋体"/>
          <w:kern w:val="0"/>
          <w:sz w:val="21"/>
          <w:szCs w:val="20"/>
          <w:lang w:val="en-US" w:eastAsia="zh-CN"/>
        </w:rPr>
        <w:t>有害生物防控</w:t>
      </w:r>
      <w:r>
        <w:rPr>
          <w:rFonts w:hint="eastAsia" w:ascii="宋体"/>
          <w:kern w:val="0"/>
          <w:sz w:val="21"/>
          <w:szCs w:val="20"/>
        </w:rPr>
        <w:t>等要求</w:t>
      </w:r>
      <w:r>
        <w:rPr>
          <w:rFonts w:hint="eastAsia" w:ascii="宋体"/>
          <w:kern w:val="0"/>
          <w:sz w:val="21"/>
          <w:szCs w:val="20"/>
          <w:lang w:eastAsia="zh-CN"/>
        </w:rPr>
        <w:t>。</w:t>
      </w:r>
    </w:p>
    <w:p w14:paraId="0FFD02EE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ascii="宋体"/>
          <w:kern w:val="0"/>
          <w:sz w:val="21"/>
          <w:szCs w:val="20"/>
        </w:rPr>
        <w:t>本标准适用于</w:t>
      </w:r>
      <w:r>
        <w:rPr>
          <w:rFonts w:hint="eastAsia" w:ascii="宋体"/>
          <w:kern w:val="0"/>
          <w:sz w:val="21"/>
          <w:szCs w:val="20"/>
          <w:lang w:val="en-US" w:eastAsia="zh-CN"/>
        </w:rPr>
        <w:t>安徽</w:t>
      </w:r>
      <w:r>
        <w:rPr>
          <w:rFonts w:hint="eastAsia" w:ascii="宋体"/>
          <w:kern w:val="0"/>
          <w:sz w:val="21"/>
          <w:szCs w:val="20"/>
        </w:rPr>
        <w:t>及其环境条件相似地区的</w:t>
      </w:r>
      <w:r>
        <w:rPr>
          <w:rFonts w:hint="eastAsia" w:ascii="宋体"/>
          <w:kern w:val="0"/>
          <w:sz w:val="21"/>
          <w:szCs w:val="20"/>
          <w:lang w:eastAsia="zh-CN"/>
        </w:rPr>
        <w:t>常春藤无土栽培</w:t>
      </w:r>
      <w:r>
        <w:rPr>
          <w:rFonts w:ascii="宋体"/>
          <w:kern w:val="0"/>
          <w:sz w:val="21"/>
          <w:szCs w:val="20"/>
        </w:rPr>
        <w:t>。</w:t>
      </w:r>
    </w:p>
    <w:p w14:paraId="51D73B8E">
      <w:pPr>
        <w:pStyle w:val="33"/>
        <w:widowControl/>
        <w:numPr>
          <w:ilvl w:val="0"/>
          <w:numId w:val="10"/>
        </w:numPr>
        <w:spacing w:beforeLines="100" w:afterLines="100"/>
        <w:outlineLvl w:val="1"/>
      </w:pPr>
      <w:bookmarkStart w:id="22" w:name="_Toc534983246"/>
      <w:bookmarkEnd w:id="22"/>
      <w:bookmarkStart w:id="23" w:name="_Toc534788957"/>
      <w:bookmarkEnd w:id="23"/>
      <w:bookmarkStart w:id="24" w:name="_Toc535227357"/>
      <w:bookmarkStart w:id="25" w:name="_Toc10242"/>
      <w:r>
        <w:rPr>
          <w:rFonts w:hint="eastAsia" w:ascii="黑体" w:eastAsia="黑体"/>
          <w:kern w:val="0"/>
          <w:sz w:val="21"/>
          <w:szCs w:val="20"/>
        </w:rPr>
        <w:t>规范性引用文件</w:t>
      </w:r>
      <w:bookmarkEnd w:id="24"/>
      <w:bookmarkEnd w:id="25"/>
    </w:p>
    <w:p w14:paraId="4D98348B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88D22CC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GB 5084—20</w:t>
      </w:r>
      <w:r>
        <w:rPr>
          <w:rFonts w:hint="eastAsia" w:ascii="宋体"/>
          <w:kern w:val="0"/>
          <w:sz w:val="21"/>
          <w:szCs w:val="20"/>
          <w:lang w:val="en-US" w:eastAsia="zh-CN"/>
        </w:rPr>
        <w:t>21</w:t>
      </w:r>
      <w:r>
        <w:rPr>
          <w:rFonts w:hint="eastAsia" w:ascii="宋体"/>
          <w:kern w:val="0"/>
          <w:sz w:val="21"/>
          <w:szCs w:val="20"/>
        </w:rPr>
        <w:t xml:space="preserve"> 农田灌溉水质标准</w:t>
      </w:r>
    </w:p>
    <w:p w14:paraId="04E516EA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GB/T 8321.10-2018  农药合理使用准则（十）</w:t>
      </w:r>
    </w:p>
    <w:p w14:paraId="68B15575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HG/T 4217-2011  无机包裹型复混肥料（复合肥料）</w:t>
      </w:r>
    </w:p>
    <w:p w14:paraId="7E16E821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NY/T 496—2010 肥料合理使用准则通则</w:t>
      </w:r>
    </w:p>
    <w:p w14:paraId="5CCA0AA3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JB/T 10286—2013 日光温室技术条件</w:t>
      </w:r>
    </w:p>
    <w:p w14:paraId="5279303D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ascii="宋体"/>
          <w:kern w:val="0"/>
          <w:sz w:val="21"/>
          <w:szCs w:val="20"/>
        </w:rPr>
      </w:pPr>
      <w:r>
        <w:rPr>
          <w:rFonts w:hint="eastAsia" w:ascii="宋体"/>
          <w:kern w:val="0"/>
          <w:sz w:val="21"/>
          <w:szCs w:val="20"/>
        </w:rPr>
        <w:t>JB/T 10594—2006 日光温室和塑料大棚结构与性能要求</w:t>
      </w:r>
    </w:p>
    <w:p w14:paraId="4F705BAA">
      <w:pPr>
        <w:pStyle w:val="33"/>
        <w:widowControl/>
        <w:numPr>
          <w:ilvl w:val="0"/>
          <w:numId w:val="10"/>
        </w:numPr>
        <w:spacing w:beforeLines="100" w:afterLines="100"/>
        <w:outlineLvl w:val="1"/>
      </w:pPr>
      <w:bookmarkStart w:id="26" w:name="_Toc534983247"/>
      <w:bookmarkEnd w:id="26"/>
      <w:bookmarkStart w:id="27" w:name="_Toc534788958"/>
      <w:bookmarkEnd w:id="27"/>
      <w:bookmarkStart w:id="28" w:name="_Toc11092"/>
      <w:r>
        <w:rPr>
          <w:rFonts w:hint="eastAsia" w:ascii="黑体" w:eastAsia="黑体"/>
          <w:kern w:val="0"/>
          <w:sz w:val="21"/>
          <w:szCs w:val="20"/>
          <w:lang w:val="en-US" w:eastAsia="zh-CN"/>
        </w:rPr>
        <w:t>术语和</w:t>
      </w:r>
      <w:r>
        <w:rPr>
          <w:rFonts w:hint="eastAsia" w:ascii="黑体" w:eastAsia="黑体"/>
          <w:kern w:val="0"/>
          <w:sz w:val="21"/>
          <w:szCs w:val="20"/>
        </w:rPr>
        <w:t>定义</w:t>
      </w:r>
      <w:bookmarkEnd w:id="28"/>
    </w:p>
    <w:p w14:paraId="255650A6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</w:pPr>
      <w:r>
        <w:rPr>
          <w:rFonts w:hint="eastAsia" w:ascii="宋体"/>
          <w:kern w:val="0"/>
          <w:sz w:val="21"/>
          <w:szCs w:val="20"/>
        </w:rPr>
        <w:t>下列</w:t>
      </w:r>
      <w:r>
        <w:rPr>
          <w:rFonts w:hint="eastAsia" w:ascii="宋体"/>
          <w:kern w:val="0"/>
          <w:sz w:val="21"/>
          <w:szCs w:val="20"/>
          <w:lang w:val="en-US" w:eastAsia="zh-CN"/>
        </w:rPr>
        <w:t>术语和</w:t>
      </w:r>
      <w:r>
        <w:rPr>
          <w:rFonts w:hint="eastAsia" w:ascii="宋体"/>
          <w:kern w:val="0"/>
          <w:sz w:val="21"/>
          <w:szCs w:val="20"/>
        </w:rPr>
        <w:t>定义适用于本文件。</w:t>
      </w:r>
    </w:p>
    <w:p w14:paraId="1AEA4EE2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</w:pPr>
      <w:bookmarkStart w:id="29" w:name="_Toc28891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常春藤</w:t>
      </w:r>
      <w:bookmarkEnd w:id="29"/>
      <w:r>
        <w:rPr>
          <w:rFonts w:hint="eastAsia" w:ascii="黑体" w:eastAsia="黑体"/>
          <w:kern w:val="0"/>
          <w:sz w:val="21"/>
          <w:szCs w:val="21"/>
        </w:rPr>
        <w:t xml:space="preserve"> </w:t>
      </w:r>
    </w:p>
    <w:p w14:paraId="34323FD2">
      <w:pPr>
        <w:pStyle w:val="26"/>
        <w:rPr>
          <w:rFonts w:hint="eastAsia" w:ascii="Times New Roman" w:hAnsi="Times New Roman" w:cs="Times New Roman"/>
        </w:rPr>
      </w:pPr>
      <w:bookmarkStart w:id="30" w:name="_Toc535227359"/>
      <w:r>
        <w:rPr>
          <w:rFonts w:hint="eastAsia" w:ascii="Times New Roman" w:cs="Times New Roman"/>
          <w:lang w:val="en-US" w:eastAsia="zh-CN"/>
        </w:rPr>
        <w:t>常春藤（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Hedera nepalensis</w:t>
      </w:r>
      <w:r>
        <w:rPr>
          <w:rFonts w:hint="eastAsia" w:ascii="Times New Roman" w:hAnsi="Times New Roman" w:cs="Times New Roman"/>
          <w:lang w:val="en-US" w:eastAsia="zh-CN"/>
        </w:rPr>
        <w:t xml:space="preserve"> var.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sinensis </w:t>
      </w:r>
      <w:r>
        <w:rPr>
          <w:rFonts w:hint="eastAsia" w:ascii="Times New Roman" w:hAnsi="Times New Roman" w:cs="Times New Roman"/>
          <w:lang w:val="en-US" w:eastAsia="zh-CN"/>
        </w:rPr>
        <w:t>(Tobler) Rehder</w:t>
      </w:r>
      <w:r>
        <w:rPr>
          <w:rFonts w:hint="eastAsia" w:ascii="Times New Roman" w:cs="Times New Roman"/>
          <w:lang w:val="en-US" w:eastAsia="zh-CN"/>
        </w:rPr>
        <w:t>）：</w:t>
      </w:r>
      <w:r>
        <w:rPr>
          <w:rFonts w:hint="eastAsia" w:ascii="Times New Roman" w:hAnsi="Times New Roman" w:cs="Times New Roman"/>
          <w:lang w:val="en-US" w:eastAsia="zh-CN"/>
        </w:rPr>
        <w:t>五加科常春藤属多年生常绿攀援灌木；茎长3 m～20 m，有气生根；叶片革质，常为三角状卵形或三角状圆形，稀有三角形或箭形；伞形花序单个顶生或2～7个组成顶生短圆锥花序；果实球形，成熟</w:t>
      </w:r>
      <w:r>
        <w:rPr>
          <w:rFonts w:hint="eastAsia" w:ascii="Times New Roman" w:hAnsi="Times New Roman" w:cs="Times New Roman"/>
        </w:rPr>
        <w:t>时红色或黄色；花期9～11月，果期次年3～5月。</w:t>
      </w:r>
    </w:p>
    <w:p w14:paraId="40819571">
      <w:pPr>
        <w:pStyle w:val="2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常春藤枝蔓茂密青翠，姿态优雅，可用于室内室外景观装饰；能吸收有害物质，并将之转化为无害的糖分与氨基酸；全株能入药，有祛风利湿、活血消肿、平肝、解毒之效。</w:t>
      </w:r>
    </w:p>
    <w:p w14:paraId="68E465D0">
      <w:pPr>
        <w:pStyle w:val="2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常春藤喜温暖、湿润环境，稍耐寒、能耐短暂的-5℃～7℃低温，生长适宜温度为18℃～25℃，每天最好能有3h～4h的直射阳光，夏季应适当遮荫。以中性和微酸性为宜，不耐盐碱，土壤要肥沃疏松。</w:t>
      </w:r>
    </w:p>
    <w:p w14:paraId="0F7B92F7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</w:pPr>
      <w:bookmarkStart w:id="31" w:name="_Toc9344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无土栽培</w:t>
      </w:r>
      <w:bookmarkEnd w:id="31"/>
    </w:p>
    <w:p w14:paraId="30E178C3">
      <w:pPr>
        <w:pStyle w:val="2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无土栽培</w:t>
      </w:r>
      <w:r>
        <w:rPr>
          <w:rFonts w:hint="default" w:ascii="Times New Roman" w:hAnsi="Times New Roman" w:cs="Times New Roman"/>
        </w:rPr>
        <w:t>，是指以水、草炭或森林腐叶土、蛭石等介质作植株根系的基质固定植株，植物根系能直接接触营养液的栽培方法。</w:t>
      </w:r>
    </w:p>
    <w:p w14:paraId="513D465B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default" w:ascii="黑体" w:eastAsia="黑体"/>
          <w:kern w:val="0"/>
          <w:sz w:val="21"/>
          <w:szCs w:val="20"/>
          <w:lang w:val="en-US" w:eastAsia="zh-CN"/>
        </w:rPr>
      </w:pPr>
      <w:bookmarkStart w:id="32" w:name="_Toc25814"/>
      <w:r>
        <w:rPr>
          <w:rFonts w:hint="eastAsia" w:ascii="黑体" w:eastAsia="黑体"/>
          <w:kern w:val="0"/>
          <w:sz w:val="21"/>
          <w:szCs w:val="20"/>
          <w:lang w:val="en-US" w:eastAsia="zh-CN"/>
        </w:rPr>
        <w:t>栽培基质及容器</w:t>
      </w:r>
      <w:bookmarkEnd w:id="32"/>
    </w:p>
    <w:p w14:paraId="3A324460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</w:pPr>
      <w:bookmarkStart w:id="33" w:name="_Toc6709"/>
      <w:bookmarkStart w:id="34" w:name="_Toc130279647"/>
      <w:bookmarkStart w:id="35" w:name="_Toc98335293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栽培</w:t>
      </w:r>
      <w:r>
        <w:rPr>
          <w:rFonts w:hint="eastAsia" w:ascii="黑体" w:eastAsia="黑体"/>
          <w:kern w:val="0"/>
          <w:sz w:val="21"/>
          <w:szCs w:val="21"/>
        </w:rPr>
        <w:t>基质</w:t>
      </w:r>
      <w:bookmarkEnd w:id="33"/>
      <w:r>
        <w:rPr>
          <w:rFonts w:hint="eastAsia" w:ascii="黑体" w:eastAsia="黑体"/>
          <w:kern w:val="0"/>
          <w:sz w:val="21"/>
          <w:szCs w:val="21"/>
        </w:rPr>
        <w:t xml:space="preserve"> </w:t>
      </w:r>
      <w:bookmarkEnd w:id="30"/>
      <w:bookmarkEnd w:id="34"/>
      <w:bookmarkEnd w:id="35"/>
    </w:p>
    <w:p w14:paraId="46270502">
      <w:pPr>
        <w:pStyle w:val="2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常春藤</w:t>
      </w:r>
      <w:r>
        <w:rPr>
          <w:rFonts w:hint="eastAsia" w:ascii="Times New Roman" w:cs="Times New Roman"/>
          <w:lang w:val="en-US" w:eastAsia="zh-CN"/>
        </w:rPr>
        <w:t>无土栽培</w:t>
      </w:r>
      <w:r>
        <w:rPr>
          <w:rFonts w:hint="eastAsia" w:ascii="Times New Roman" w:hAnsi="Times New Roman" w:cs="Times New Roman"/>
        </w:rPr>
        <w:t>基质宜选用优质泥炭与珍珠岩混合基质，泥炭粒径为0mm～8mm，珍珠岩粒径3mm～5mm；泥炭：珍珠岩以体积比3:1混合均匀，加70%甲基硫菌灵可湿性粉剂1500倍液或75%多菌灵可湿性粉剂1500倍液搅拌，基质最终含水量为60～70%。拌合土壤，中性偏酸性，土质疏松，透气性好。</w:t>
      </w:r>
    </w:p>
    <w:p w14:paraId="4F2CB59C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ascii="黑体" w:eastAsia="黑体"/>
          <w:kern w:val="0"/>
          <w:sz w:val="21"/>
          <w:szCs w:val="21"/>
        </w:rPr>
      </w:pPr>
      <w:bookmarkStart w:id="36" w:name="_Toc534983249"/>
      <w:bookmarkEnd w:id="36"/>
      <w:bookmarkStart w:id="37" w:name="_Toc15967"/>
      <w:bookmarkStart w:id="38" w:name="_Toc130279648"/>
      <w:bookmarkStart w:id="39" w:name="_Toc98335294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栽培</w:t>
      </w:r>
      <w:r>
        <w:rPr>
          <w:rFonts w:hint="eastAsia" w:ascii="黑体" w:eastAsia="黑体"/>
          <w:kern w:val="0"/>
          <w:sz w:val="21"/>
          <w:szCs w:val="21"/>
        </w:rPr>
        <w:t>容器</w:t>
      </w:r>
      <w:bookmarkEnd w:id="37"/>
      <w:r>
        <w:rPr>
          <w:rFonts w:hint="eastAsia" w:ascii="黑体" w:eastAsia="黑体"/>
          <w:kern w:val="0"/>
          <w:sz w:val="21"/>
          <w:szCs w:val="21"/>
        </w:rPr>
        <w:t xml:space="preserve"> </w:t>
      </w:r>
      <w:bookmarkEnd w:id="38"/>
      <w:bookmarkEnd w:id="39"/>
    </w:p>
    <w:p w14:paraId="5BB19A53">
      <w:pPr>
        <w:pStyle w:val="26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选用120双色栽培育苗杯，使用高品质PP制品，耐腐蚀,牢固耐用，方便于运输，外红里黑，可以防止阳光直射，有助于根系的发达，均衡的排水、通风功能有助于植物的生长。一杯可扦插45-55根。</w:t>
      </w:r>
    </w:p>
    <w:p w14:paraId="548A226C">
      <w:pPr>
        <w:pStyle w:val="26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新采购的扦插容器无需处理，重复利用的容器应用70%甲基硫菌灵可湿性粉剂800倍液或75%多菌灵可湿性粉剂800倍液或0.5%的高锰酸钾溶液处理后备用。</w:t>
      </w:r>
    </w:p>
    <w:p w14:paraId="43236F29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eastAsia" w:ascii="黑体" w:hAnsi="Times New Roman" w:eastAsia="黑体" w:cs="Times New Roman"/>
          <w:kern w:val="0"/>
          <w:sz w:val="21"/>
          <w:szCs w:val="20"/>
        </w:rPr>
      </w:pPr>
      <w:bookmarkStart w:id="40" w:name="_Toc534983250"/>
      <w:bookmarkEnd w:id="40"/>
      <w:bookmarkStart w:id="41" w:name="_Toc20159"/>
      <w:r>
        <w:rPr>
          <w:rFonts w:hint="eastAsia" w:ascii="黑体" w:hAnsi="Times New Roman" w:eastAsia="黑体" w:cs="Times New Roman"/>
          <w:kern w:val="0"/>
          <w:sz w:val="21"/>
          <w:szCs w:val="20"/>
        </w:rPr>
        <w:t>扦插繁殖</w:t>
      </w:r>
      <w:bookmarkEnd w:id="41"/>
    </w:p>
    <w:p w14:paraId="0126FB74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hAnsi="Times New Roman" w:eastAsia="黑体" w:cs="Times New Roman"/>
          <w:kern w:val="0"/>
          <w:sz w:val="21"/>
          <w:szCs w:val="21"/>
        </w:rPr>
      </w:pPr>
      <w:bookmarkStart w:id="42" w:name="_Toc2554"/>
      <w:r>
        <w:rPr>
          <w:rFonts w:hint="eastAsia" w:ascii="黑体" w:hAnsi="黑体" w:eastAsia="黑体"/>
          <w:sz w:val="21"/>
          <w:szCs w:val="24"/>
        </w:rPr>
        <w:t>场地及设施</w:t>
      </w:r>
      <w:bookmarkEnd w:id="42"/>
    </w:p>
    <w:p w14:paraId="1103083C">
      <w:pPr>
        <w:pStyle w:val="26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宜</w:t>
      </w:r>
      <w:r>
        <w:rPr>
          <w:rFonts w:hint="eastAsia" w:ascii="宋体" w:hAnsi="宋体" w:eastAsia="宋体"/>
          <w:sz w:val="21"/>
          <w:szCs w:val="24"/>
        </w:rPr>
        <w:t>采用单体大棚或连栋大棚</w:t>
      </w:r>
      <w:r>
        <w:rPr>
          <w:rFonts w:hint="eastAsia" w:ascii="宋体" w:hAnsi="宋体" w:eastAsia="宋体"/>
          <w:sz w:val="21"/>
          <w:szCs w:val="24"/>
          <w:lang w:eastAsia="zh-C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>大棚内配套滴管或喷灌水肥一体化设施设备、温控系统、水帘风扇降温系统、活动式遮阳系统。小盆栽需配置栽培苗床，垂吊式栽培需配置吊挂床架</w:t>
      </w:r>
      <w:r>
        <w:rPr>
          <w:rFonts w:hint="eastAsia" w:ascii="Times New Roman" w:cs="Times New Roman"/>
          <w:lang w:val="en-US" w:eastAsia="zh-C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>室内保持湿润，棚内湿度70%～80%，温度15℃～35℃，夏季需用50%遮光率的遮阳网控制光照。</w:t>
      </w:r>
    </w:p>
    <w:p w14:paraId="6207305D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ascii="黑体" w:eastAsia="黑体"/>
          <w:kern w:val="0"/>
          <w:sz w:val="21"/>
          <w:szCs w:val="21"/>
        </w:rPr>
      </w:pPr>
      <w:bookmarkStart w:id="43" w:name="_Toc10853"/>
      <w:r>
        <w:rPr>
          <w:rFonts w:hint="eastAsia" w:ascii="黑体" w:eastAsia="黑体"/>
          <w:kern w:val="0"/>
          <w:sz w:val="21"/>
          <w:szCs w:val="21"/>
        </w:rPr>
        <w:t>插穗</w:t>
      </w:r>
      <w:bookmarkEnd w:id="43"/>
      <w:r>
        <w:rPr>
          <w:rFonts w:hint="eastAsia" w:ascii="黑体" w:eastAsia="黑体"/>
          <w:kern w:val="0"/>
          <w:sz w:val="21"/>
          <w:szCs w:val="21"/>
        </w:rPr>
        <w:t xml:space="preserve"> </w:t>
      </w:r>
      <w:r>
        <w:rPr>
          <w:rFonts w:hint="eastAsia" w:ascii="黑体" w:eastAsia="黑体"/>
          <w:kern w:val="0"/>
          <w:sz w:val="21"/>
          <w:szCs w:val="21"/>
          <w:lang w:val="en-US" w:eastAsia="zh-CN"/>
        </w:rPr>
        <w:t xml:space="preserve"> </w:t>
      </w:r>
    </w:p>
    <w:p w14:paraId="5D71A701">
      <w:pPr>
        <w:pStyle w:val="26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插穗应在生长健壮、无病虫害的植株上剪取,选用当年生嫩枝。插条宜保留两个节，两片叶，插条长度在2cm～2.5cm，插条上下剪口均需剪平口；上剪口在上位节以上0.3cm～0.5cm，下剪口在下位节以下1.0cm～1.5cm。插穗宜用70%甲基硫菌灵可湿性粉剂800倍液或75%多菌灵可湿性粉剂800倍液浸泡2 min～3 min，阴干备用。</w:t>
      </w:r>
    </w:p>
    <w:p w14:paraId="20A0AEBB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hAnsi="Times New Roman" w:eastAsia="黑体" w:cs="Times New Roman"/>
          <w:kern w:val="0"/>
          <w:sz w:val="21"/>
          <w:szCs w:val="21"/>
        </w:rPr>
      </w:pPr>
      <w:bookmarkStart w:id="44" w:name="_Toc19775"/>
      <w:r>
        <w:rPr>
          <w:rFonts w:hint="eastAsia" w:ascii="黑体" w:hAnsi="Times New Roman" w:eastAsia="黑体" w:cs="Times New Roman"/>
          <w:kern w:val="0"/>
          <w:sz w:val="21"/>
          <w:szCs w:val="21"/>
        </w:rPr>
        <w:t>扦插时间</w:t>
      </w:r>
      <w:bookmarkEnd w:id="44"/>
    </w:p>
    <w:p w14:paraId="2A7FB3EE">
      <w:pPr>
        <w:pStyle w:val="26"/>
        <w:ind w:firstLine="567" w:firstLineChars="27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设施扦插育苗可全年进行；露地扦插育苗宜在4～9月进行。</w:t>
      </w:r>
    </w:p>
    <w:p w14:paraId="7691A2FF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</w:pPr>
      <w:bookmarkStart w:id="45" w:name="_Toc10509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扦插</w:t>
      </w:r>
      <w:bookmarkEnd w:id="45"/>
    </w:p>
    <w:p w14:paraId="2445D2A6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将处理好的基质填充到扦插容器中，轻墩、勿压，备用。插条现剪现用，将备好的插条均匀插入基质至插条上位叶基部，120mm盆径每盆插2</w:t>
      </w:r>
      <w:r>
        <w:rPr>
          <w:rFonts w:hint="eastAsia" w:hAnsi="宋体"/>
          <w:sz w:val="21"/>
          <w:szCs w:val="24"/>
          <w:lang w:val="en-US" w:eastAsia="zh-CN"/>
        </w:rPr>
        <w:t>0</w:t>
      </w:r>
      <w:r>
        <w:rPr>
          <w:rFonts w:hint="eastAsia" w:ascii="宋体" w:hAnsi="宋体" w:eastAsia="宋体"/>
          <w:sz w:val="21"/>
          <w:szCs w:val="24"/>
          <w:lang w:val="en-US" w:eastAsia="zh-CN"/>
        </w:rPr>
        <w:t>~30 条，必须保持插穗的直立。插好的容器排放在栽培床架上。低温时需盖膜保温保湿；高温时需盖膜遮阳。约20d后逐渐生根，后揭膜；约30d后须补水保湿；40d后成活，可灌溉肥水。</w:t>
      </w:r>
    </w:p>
    <w:p w14:paraId="61806937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eastAsia" w:ascii="黑体" w:hAnsi="Times New Roman" w:eastAsia="黑体" w:cs="Times New Roman"/>
          <w:kern w:val="0"/>
          <w:sz w:val="21"/>
          <w:szCs w:val="20"/>
        </w:rPr>
      </w:pPr>
      <w:bookmarkStart w:id="46" w:name="_Toc5762"/>
      <w:r>
        <w:rPr>
          <w:rFonts w:hint="eastAsia" w:ascii="黑体" w:hAnsi="Times New Roman" w:eastAsia="黑体" w:cs="Times New Roman"/>
          <w:kern w:val="0"/>
          <w:sz w:val="21"/>
          <w:szCs w:val="20"/>
        </w:rPr>
        <w:t>栽培管理技术</w:t>
      </w:r>
      <w:bookmarkEnd w:id="46"/>
    </w:p>
    <w:p w14:paraId="5F8AF1D5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eastAsia="黑体"/>
          <w:kern w:val="0"/>
          <w:sz w:val="21"/>
          <w:szCs w:val="21"/>
          <w:lang w:val="en-US" w:eastAsia="zh-CN"/>
        </w:rPr>
      </w:pPr>
      <w:bookmarkStart w:id="47" w:name="_Toc8628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温度</w:t>
      </w:r>
      <w:bookmarkEnd w:id="47"/>
    </w:p>
    <w:p w14:paraId="593F38E3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温度要适宜</w:t>
      </w:r>
      <w:r>
        <w:rPr>
          <w:rFonts w:hint="eastAsia" w:hAnsi="宋体"/>
          <w:sz w:val="21"/>
          <w:szCs w:val="24"/>
          <w:lang w:val="en-US" w:eastAsia="zh-CN"/>
        </w:rPr>
        <w:t>，</w:t>
      </w:r>
      <w:r>
        <w:rPr>
          <w:rFonts w:hint="eastAsia" w:ascii="宋体" w:hAnsi="宋体" w:eastAsia="宋体"/>
          <w:sz w:val="21"/>
          <w:szCs w:val="24"/>
          <w:lang w:val="en-US" w:eastAsia="zh-CN"/>
        </w:rPr>
        <w:t>常春藤性喜温暖，生长适温为18～25℃， 怕炎热，不耐寒。夏季大棚内养护注意通风降温，冬季加膜护温，保持5℃以上。</w:t>
      </w:r>
    </w:p>
    <w:p w14:paraId="3146EBDE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eastAsia="黑体"/>
          <w:kern w:val="0"/>
          <w:sz w:val="21"/>
          <w:szCs w:val="21"/>
          <w:lang w:val="en-US" w:eastAsia="zh-CN"/>
        </w:rPr>
      </w:pPr>
      <w:bookmarkStart w:id="48" w:name="_Toc17118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光照</w:t>
      </w:r>
      <w:bookmarkEnd w:id="48"/>
    </w:p>
    <w:p w14:paraId="559ADE85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光照要适量，常春藤喜光，也较耐阴。大棚内透光养护，有利于叶形一致，叶色鲜明。要注意防止强光直射。</w:t>
      </w:r>
    </w:p>
    <w:p w14:paraId="4B60DEA9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eastAsia="黑体"/>
          <w:kern w:val="0"/>
          <w:sz w:val="21"/>
          <w:szCs w:val="21"/>
          <w:lang w:val="en-US" w:eastAsia="zh-CN"/>
        </w:rPr>
      </w:pPr>
      <w:bookmarkStart w:id="49" w:name="_Toc7893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浇水</w:t>
      </w:r>
      <w:bookmarkEnd w:id="49"/>
    </w:p>
    <w:p w14:paraId="22269274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浇水要适度，生长季节浇水要见干见湿，不能让盆土过分潮湿，否则易引起烂根落叶。冬季室温低，尤其要控制浇水，保持盆土微湿即可。保持空气湿度，则植株显得有生气，叶色嫩绿而有光泽。</w:t>
      </w:r>
    </w:p>
    <w:p w14:paraId="28A6E59D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eastAsia="黑体"/>
          <w:kern w:val="0"/>
          <w:sz w:val="21"/>
          <w:szCs w:val="21"/>
          <w:lang w:val="en-US" w:eastAsia="zh-CN"/>
        </w:rPr>
      </w:pPr>
      <w:bookmarkStart w:id="50" w:name="_Toc30078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施肥</w:t>
      </w:r>
      <w:bookmarkEnd w:id="50"/>
    </w:p>
    <w:p w14:paraId="6843539D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施肥要合理，一般夏季和冬季不要施肥。施肥时切忌偏施氮肥，否则，花叶品种叶面上的花纹、斑块等就余褪为绿色。氮、磷、钾三者的比例以1：1：l为宜。扦插繁殖期肥料补充以叶面喷施为主，扦插两周左右开始补充，周期为7d，前期喷施磷酸二氢钾1000倍液，后期改用N:P2O5:K2O=20:20:20的全元素复合水溶肥1000倍液。</w:t>
      </w:r>
    </w:p>
    <w:p w14:paraId="4CCBEBEA">
      <w:pPr>
        <w:pStyle w:val="33"/>
        <w:widowControl/>
        <w:numPr>
          <w:ilvl w:val="1"/>
          <w:numId w:val="10"/>
        </w:numPr>
        <w:spacing w:beforeLines="50" w:afterLines="50"/>
        <w:jc w:val="left"/>
        <w:outlineLvl w:val="2"/>
        <w:rPr>
          <w:rFonts w:hint="eastAsia" w:ascii="黑体" w:eastAsia="黑体"/>
          <w:kern w:val="0"/>
          <w:sz w:val="21"/>
          <w:szCs w:val="21"/>
          <w:lang w:val="en-US" w:eastAsia="zh-CN"/>
        </w:rPr>
      </w:pPr>
      <w:bookmarkStart w:id="51" w:name="_Toc30468"/>
      <w:r>
        <w:rPr>
          <w:rFonts w:hint="eastAsia" w:ascii="黑体" w:eastAsia="黑体"/>
          <w:kern w:val="0"/>
          <w:sz w:val="21"/>
          <w:szCs w:val="21"/>
          <w:lang w:val="en-US" w:eastAsia="zh-CN"/>
        </w:rPr>
        <w:t>修剪</w:t>
      </w:r>
      <w:bookmarkEnd w:id="51"/>
    </w:p>
    <w:p w14:paraId="1B38B9B5">
      <w:pPr>
        <w:pStyle w:val="26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 w:eastAsia="宋体"/>
          <w:sz w:val="21"/>
          <w:szCs w:val="24"/>
          <w:lang w:val="en-US" w:eastAsia="zh-CN"/>
        </w:rPr>
        <w:t>修剪要及时，长到一定高度时要及时摘心修剪，促使其多分枝，则株形显得丰满。</w:t>
      </w:r>
    </w:p>
    <w:p w14:paraId="60049045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eastAsia" w:ascii="黑体" w:hAnsi="Times New Roman" w:eastAsia="黑体" w:cs="Times New Roman"/>
          <w:kern w:val="0"/>
          <w:sz w:val="21"/>
          <w:szCs w:val="20"/>
        </w:rPr>
      </w:pPr>
      <w:bookmarkStart w:id="52" w:name="_Toc21088"/>
      <w:r>
        <w:rPr>
          <w:rFonts w:hint="eastAsia" w:ascii="黑体" w:hAnsi="Times New Roman" w:eastAsia="黑体" w:cs="Times New Roman"/>
          <w:kern w:val="0"/>
          <w:sz w:val="21"/>
          <w:szCs w:val="20"/>
        </w:rPr>
        <w:t>有害生物防控</w:t>
      </w:r>
      <w:bookmarkEnd w:id="52"/>
    </w:p>
    <w:p w14:paraId="64E815BA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  <w:lang w:val="en-US" w:eastAsia="zh-CN"/>
        </w:rPr>
      </w:pPr>
      <w:r>
        <w:rPr>
          <w:rFonts w:hint="eastAsia" w:ascii="宋体"/>
          <w:kern w:val="0"/>
          <w:sz w:val="21"/>
          <w:szCs w:val="20"/>
          <w:lang w:val="en-US" w:eastAsia="zh-CN"/>
        </w:rPr>
        <w:t>由于常春藤是一类赏叶的植物,一旦叶片上被害虫咬过或有病斑则观赏性大大降低,以至降低了其商品性。在温室的管理中,要注意合理调节温室内的温度、湿度、光照和通风等条件,及时去除病枝叶,加强肥水调控,使温室内生态环境不利于病虫发生。温室内常春藤的病虫害要真正做到“以防为主,防治结合”。发现病株及时拔除，并适当控制浇水。栽插时要注意从无病虫为害的植株上选插枝，插在消毒过的或未发生过疫病的基质中。栽植不能过密，注意通风透光。雨季及时排水，防止湿气滞留。宜选用0.2%高锰酸钾溶液或百时清（80%的烷基氯化铵阳离子表面活性剂，俗称季铵盐）500倍液喷洒，一周一次。</w:t>
      </w:r>
    </w:p>
    <w:p w14:paraId="3452D292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  <w:lang w:val="en-US" w:eastAsia="zh-CN"/>
        </w:rPr>
      </w:pPr>
      <w:r>
        <w:rPr>
          <w:rFonts w:hint="eastAsia" w:ascii="宋体" w:hAnsi="宋体" w:eastAsia="宋体"/>
          <w:sz w:val="21"/>
          <w:szCs w:val="24"/>
        </w:rPr>
        <w:t>病害有炭疽病、叶斑病、灰霉病、日灼；虫害有红蜘蛛、蓟马等，防治方法见附录A.1</w:t>
      </w:r>
    </w:p>
    <w:p w14:paraId="5FADFC61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eastAsia" w:ascii="黑体" w:hAnsi="Times New Roman" w:eastAsia="黑体" w:cs="Times New Roman"/>
          <w:kern w:val="0"/>
          <w:sz w:val="21"/>
          <w:szCs w:val="20"/>
        </w:rPr>
      </w:pPr>
      <w:bookmarkStart w:id="53" w:name="_Toc3896"/>
      <w:r>
        <w:rPr>
          <w:rFonts w:hint="eastAsia" w:ascii="黑体" w:hAnsi="Times New Roman" w:eastAsia="黑体" w:cs="Times New Roman"/>
          <w:kern w:val="0"/>
          <w:sz w:val="21"/>
          <w:szCs w:val="20"/>
        </w:rPr>
        <w:t>质量指标</w:t>
      </w:r>
      <w:bookmarkEnd w:id="53"/>
    </w:p>
    <w:p w14:paraId="76048561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eastAsia" w:ascii="宋体"/>
          <w:kern w:val="0"/>
          <w:sz w:val="21"/>
          <w:szCs w:val="20"/>
          <w:lang w:val="en-US" w:eastAsia="zh-CN"/>
        </w:rPr>
      </w:pPr>
      <w:r>
        <w:rPr>
          <w:rFonts w:hint="eastAsia" w:ascii="宋体"/>
          <w:kern w:val="0"/>
          <w:sz w:val="21"/>
          <w:szCs w:val="20"/>
          <w:lang w:val="en-US" w:eastAsia="zh-CN"/>
        </w:rPr>
        <w:t>植株健壮，根系发达，茎粗壮，茎长15cm～30cm，叶色浓绿，无病虫害。</w:t>
      </w:r>
    </w:p>
    <w:p w14:paraId="3DDE1D02">
      <w:pPr>
        <w:pStyle w:val="33"/>
        <w:widowControl/>
        <w:numPr>
          <w:ilvl w:val="0"/>
          <w:numId w:val="10"/>
        </w:numPr>
        <w:spacing w:beforeLines="100" w:afterLines="100"/>
        <w:outlineLvl w:val="1"/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/>
        </w:rPr>
      </w:pPr>
      <w:bookmarkStart w:id="54" w:name="_Toc24538"/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/>
        </w:rPr>
        <w:t>档案管理</w:t>
      </w:r>
      <w:bookmarkEnd w:id="54"/>
    </w:p>
    <w:p w14:paraId="5DFA92B8">
      <w:pPr>
        <w:pStyle w:val="33"/>
        <w:widowControl/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rPr>
          <w:rFonts w:hint="default" w:ascii="宋体"/>
          <w:kern w:val="0"/>
          <w:sz w:val="21"/>
          <w:szCs w:val="20"/>
          <w:lang w:val="en-US" w:eastAsia="zh-CN"/>
        </w:rPr>
      </w:pPr>
      <w:r>
        <w:rPr>
          <w:rFonts w:hint="eastAsia" w:ascii="宋体"/>
          <w:kern w:val="0"/>
          <w:sz w:val="21"/>
          <w:szCs w:val="20"/>
          <w:lang w:val="en-US" w:eastAsia="zh-CN"/>
        </w:rPr>
        <w:t>应建立常春藤栽培管理档案，制定专门的档案管理制度，做到专人管理，确保档案资料清晰明确。档案内容应包括栽培基质、栽培容器、栽培时间、栽培管理技术措施、有害生物防控等。</w:t>
      </w:r>
    </w:p>
    <w:p w14:paraId="47687744">
      <w:pPr>
        <w:pStyle w:val="26"/>
        <w:ind w:firstLine="567" w:firstLineChars="270"/>
        <w:rPr>
          <w:rFonts w:ascii="Times New Roman"/>
        </w:rPr>
      </w:pPr>
    </w:p>
    <w:p w14:paraId="151805D5">
      <w:pPr>
        <w:widowControl/>
        <w:jc w:val="left"/>
        <w:rPr>
          <w:rFonts w:ascii="黑体" w:eastAsia="黑体"/>
          <w:kern w:val="0"/>
          <w:szCs w:val="21"/>
        </w:rPr>
      </w:pPr>
      <w:r>
        <w:rPr>
          <w:rFonts w:ascii="黑体" w:eastAsia="黑体"/>
          <w:kern w:val="0"/>
          <w:szCs w:val="21"/>
        </w:rPr>
        <w:br w:type="page"/>
      </w:r>
    </w:p>
    <w:p w14:paraId="1F9FA81F">
      <w:pPr>
        <w:pStyle w:val="33"/>
        <w:widowControl/>
        <w:spacing w:beforeLines="50" w:afterLines="50"/>
        <w:jc w:val="center"/>
        <w:outlineLvl w:val="2"/>
        <w:rPr>
          <w:rFonts w:hint="default" w:eastAsia="黑体"/>
          <w:lang w:val="en-US" w:eastAsia="zh-CN"/>
        </w:rPr>
      </w:pPr>
      <w:bookmarkStart w:id="55" w:name="_Toc15522"/>
      <w:r>
        <w:fldChar w:fldCharType="begin"/>
      </w:r>
      <w:r>
        <w:instrText xml:space="preserve"> HYPERLINK \l "_Toc39236525" </w:instrText>
      </w:r>
      <w:r>
        <w:fldChar w:fldCharType="separate"/>
      </w:r>
      <w:r>
        <w:rPr>
          <w:rFonts w:hint="eastAsia" w:ascii="黑体" w:eastAsia="黑体"/>
          <w:kern w:val="0"/>
          <w:sz w:val="36"/>
          <w:szCs w:val="36"/>
        </w:rPr>
        <w:t>附录</w:t>
      </w:r>
      <w:r>
        <w:rPr>
          <w:rFonts w:ascii="黑体" w:eastAsia="黑体"/>
          <w:kern w:val="0"/>
          <w:sz w:val="36"/>
          <w:szCs w:val="36"/>
        </w:rPr>
        <w:t>A</w:t>
      </w:r>
      <w:r>
        <w:rPr>
          <w:rFonts w:hint="eastAsia" w:ascii="黑体" w:eastAsia="黑体"/>
          <w:kern w:val="0"/>
          <w:sz w:val="36"/>
          <w:szCs w:val="36"/>
          <w:lang w:val="en-US" w:eastAsia="zh-CN"/>
        </w:rPr>
        <w:t>主要</w:t>
      </w:r>
      <w:r>
        <w:rPr>
          <w:rFonts w:hint="eastAsia" w:ascii="黑体" w:eastAsia="黑体"/>
          <w:kern w:val="0"/>
          <w:sz w:val="36"/>
          <w:szCs w:val="36"/>
        </w:rPr>
        <w:fldChar w:fldCharType="end"/>
      </w:r>
      <w:r>
        <w:rPr>
          <w:rFonts w:hint="eastAsia" w:ascii="黑体" w:eastAsia="黑体"/>
          <w:kern w:val="0"/>
          <w:sz w:val="36"/>
          <w:szCs w:val="36"/>
          <w:lang w:val="en-US" w:eastAsia="zh-CN"/>
        </w:rPr>
        <w:t>病虫害防治方法</w:t>
      </w:r>
      <w:bookmarkEnd w:id="55"/>
    </w:p>
    <w:p w14:paraId="71D1D429">
      <w:pPr>
        <w:pStyle w:val="26"/>
        <w:ind w:firstLine="0" w:firstLineChars="0"/>
        <w:jc w:val="center"/>
        <w:outlineLvl w:val="1"/>
        <w:rPr>
          <w:rFonts w:ascii="黑体" w:hAnsi="华文中宋" w:eastAsia="黑体"/>
          <w:color w:val="000000" w:themeColor="text1"/>
          <w:sz w:val="24"/>
          <w:szCs w:val="24"/>
        </w:rPr>
      </w:pPr>
      <w:bookmarkStart w:id="56" w:name="_Toc130286366"/>
      <w:bookmarkStart w:id="57" w:name="_Toc33729868"/>
      <w:bookmarkStart w:id="58" w:name="_Toc39236526"/>
      <w:bookmarkStart w:id="59" w:name="_Toc18273"/>
      <w:bookmarkStart w:id="60" w:name="_Toc19889"/>
      <w:r>
        <w:rPr>
          <w:rFonts w:hint="eastAsia" w:ascii="黑体" w:hAnsi="华文中宋" w:eastAsia="黑体"/>
          <w:color w:val="000000" w:themeColor="text1"/>
          <w:sz w:val="24"/>
          <w:szCs w:val="24"/>
        </w:rPr>
        <w:t>A.</w:t>
      </w:r>
      <w:r>
        <w:rPr>
          <w:rFonts w:ascii="黑体" w:hAnsi="华文中宋" w:eastAsia="黑体"/>
          <w:color w:val="000000" w:themeColor="text1"/>
          <w:sz w:val="24"/>
          <w:szCs w:val="24"/>
        </w:rPr>
        <w:t>1</w:t>
      </w:r>
      <w:bookmarkEnd w:id="56"/>
      <w:bookmarkEnd w:id="57"/>
      <w:bookmarkEnd w:id="58"/>
      <w:r>
        <w:rPr>
          <w:rFonts w:hint="eastAsia" w:ascii="黑体" w:hAnsi="黑体" w:eastAsia="黑体"/>
          <w:sz w:val="21"/>
          <w:szCs w:val="24"/>
        </w:rPr>
        <w:t>常春藤主要病虫害及其防治</w:t>
      </w:r>
      <w:bookmarkEnd w:id="59"/>
      <w:bookmarkEnd w:id="60"/>
    </w:p>
    <w:tbl>
      <w:tblPr>
        <w:tblStyle w:val="36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099"/>
        <w:gridCol w:w="1949"/>
        <w:gridCol w:w="2596"/>
        <w:gridCol w:w="2995"/>
      </w:tblGrid>
      <w:tr w14:paraId="0DEEC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tblHeader/>
        </w:trPr>
        <w:tc>
          <w:tcPr>
            <w:tcW w:w="383" w:type="pct"/>
            <w:shd w:val="clear" w:color="auto" w:fill="F1F1F1" w:themeFill="background1" w:themeFillShade="F2"/>
            <w:tcMar>
              <w:left w:w="0" w:type="dxa"/>
              <w:right w:w="0" w:type="dxa"/>
            </w:tcMar>
            <w:vAlign w:val="center"/>
          </w:tcPr>
          <w:p w14:paraId="79752FF2">
            <w:pPr>
              <w:widowControl/>
              <w:jc w:val="center"/>
              <w:rPr>
                <w:rFonts w:hint="eastAsia" w:eastAsia="宋体" w:cs="宋体" w:asciiTheme="minorEastAsia" w:hAnsi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587" w:type="pct"/>
            <w:shd w:val="clear" w:color="auto" w:fill="F1F1F1" w:themeFill="background1" w:themeFillShade="F2"/>
            <w:tcMar>
              <w:left w:w="0" w:type="dxa"/>
              <w:right w:w="0" w:type="dxa"/>
            </w:tcMar>
            <w:vAlign w:val="center"/>
          </w:tcPr>
          <w:p w14:paraId="7B2F2EC6"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1041" w:type="pct"/>
            <w:shd w:val="clear" w:color="auto" w:fill="F1F1F1" w:themeFill="background1" w:themeFillShade="F2"/>
            <w:tcMar>
              <w:left w:w="0" w:type="dxa"/>
              <w:right w:w="0" w:type="dxa"/>
            </w:tcMar>
            <w:vAlign w:val="center"/>
          </w:tcPr>
          <w:p w14:paraId="3DDAB150">
            <w:pPr>
              <w:widowControl/>
              <w:jc w:val="center"/>
              <w:rPr>
                <w:rFonts w:hint="default" w:eastAsia="宋体" w:cs="宋体" w:asciiTheme="minorEastAsia" w:hAnsiTheme="minorEastAsia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  <w:lang w:val="en-US" w:eastAsia="zh-CN"/>
              </w:rPr>
              <w:t>发生条件</w:t>
            </w:r>
          </w:p>
        </w:tc>
        <w:tc>
          <w:tcPr>
            <w:tcW w:w="1387" w:type="pct"/>
            <w:shd w:val="clear" w:color="auto" w:fill="F1F1F1" w:themeFill="background1" w:themeFillShade="F2"/>
            <w:tcMar>
              <w:left w:w="0" w:type="dxa"/>
              <w:right w:w="0" w:type="dxa"/>
            </w:tcMar>
            <w:vAlign w:val="center"/>
          </w:tcPr>
          <w:p w14:paraId="6C30FBFA">
            <w:pPr>
              <w:widowControl/>
              <w:jc w:val="center"/>
              <w:rPr>
                <w:rFonts w:hint="default" w:eastAsia="宋体" w:cs="宋体" w:asciiTheme="minorEastAsia" w:hAnsiTheme="minorEastAsia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18"/>
                <w:szCs w:val="18"/>
                <w:lang w:val="en-US" w:eastAsia="zh-CN"/>
              </w:rPr>
              <w:t>为害症状</w:t>
            </w:r>
          </w:p>
        </w:tc>
        <w:tc>
          <w:tcPr>
            <w:tcW w:w="1600" w:type="pct"/>
            <w:shd w:val="clear" w:color="auto" w:fill="F1F1F1" w:themeFill="background1" w:themeFillShade="F2"/>
            <w:tcMar>
              <w:left w:w="0" w:type="dxa"/>
              <w:right w:w="0" w:type="dxa"/>
            </w:tcMar>
            <w:vAlign w:val="center"/>
          </w:tcPr>
          <w:p w14:paraId="3764C047"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24"/>
              </w:rPr>
              <w:t>防治方法</w:t>
            </w:r>
          </w:p>
        </w:tc>
      </w:tr>
      <w:tr w14:paraId="605C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4B7F7E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09BB8">
            <w:pPr>
              <w:widowControl/>
              <w:jc w:val="center"/>
              <w:rPr>
                <w:rFonts w:hint="eastAsia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疫病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9A66A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由疫霉真菌侵染引起的重要病害。一般在高温高湿、通风不良，特别是基</w:t>
            </w:r>
          </w:p>
          <w:p w14:paraId="2ADC80E1">
            <w:pPr>
              <w:widowControl/>
              <w:jc w:val="center"/>
              <w:rPr>
                <w:rFonts w:hint="eastAsia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质湿度过大时容易发生。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CD086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表现为植株下部叶片腐烂脱落，茎基部开始呈暗绿色水渍状，后变成黑褐色坏死，根表皮腐烂，枝叶枯萎。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FD32A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1、环境控制：控制栽培场地的温湿度，创造适宜的生长环境；加强场地内通风，尤其高温髙湿的栽培季节，要特别重视环境控制。</w:t>
            </w:r>
          </w:p>
          <w:p w14:paraId="6D47D51F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2、化学防治：可用25%甲霜灵水剂750倍液或72%霜霉威水剂750倍液喷雾或72%霜霉威水剂800～1000倍液灌根。</w:t>
            </w:r>
          </w:p>
        </w:tc>
      </w:tr>
      <w:tr w14:paraId="59F6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22B36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45BF0">
            <w:pPr>
              <w:widowControl/>
              <w:jc w:val="center"/>
              <w:rPr>
                <w:rFonts w:hint="default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炭疽病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0501E">
            <w:pPr>
              <w:widowControl/>
              <w:jc w:val="left"/>
              <w:rPr>
                <w:rFonts w:hint="eastAsia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由炭疽真菌引起的重要病害。一般在髙湿条件下发生。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C30030">
            <w:pPr>
              <w:widowControl/>
              <w:jc w:val="left"/>
              <w:rPr>
                <w:rFonts w:hint="eastAsia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初期在叶片上形成黄褐色近圆形病斑，随着病情发展病斑逐渐扩大呈暗褐色，后期病斑上会生长褐色或黑色病菌孢子囊群。危害严重的感病叶片坏死脱落。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EA119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1、环境控制：控制栽培场地内的空气湿度。</w:t>
            </w:r>
          </w:p>
          <w:p w14:paraId="15C43238">
            <w:pPr>
              <w:widowControl/>
              <w:jc w:val="left"/>
              <w:rPr>
                <w:rFonts w:hint="eastAsia" w:eastAsia="宋体" w:cs="宋体" w:asciiTheme="minorEastAsia" w:hAnsi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2、化学防治：可选用70%甲基硫菌灵超微可湿性粉剂1000～1200 倍液、80%炭疽福美可湿性粉剂800 倍液、50%苯菌灵可湿性粉剂1500 倍液喷雾防治。</w:t>
            </w:r>
          </w:p>
        </w:tc>
      </w:tr>
      <w:tr w14:paraId="1A0D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5D7B6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5A927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灰霉病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91DC4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由灰葡萄孢真菌引起。一般在低温高湿条件下发生。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74329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主要在叶片边缘呈大的水浸状褐色斑，逐渐扩大，组织坏死；高湿产生灰霉。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55217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1、环境控制：严格控制栽培场地内的温度、湿度、通风环境条件。</w:t>
            </w:r>
          </w:p>
          <w:p w14:paraId="029EF5B6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2、化学防治：发病初期喷施50%腐霉利可湿性粉剂1000倍液或50%多霉灵（乙霉威+多菌灵）可湿性粉剂1000倍液；中后期采用65%代森锌可湿性粉剂500倍液喷雾。</w:t>
            </w:r>
          </w:p>
        </w:tc>
      </w:tr>
      <w:tr w14:paraId="1CE4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D4700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B630A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叶斑病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5375D1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由极毛杆状细菌侵染引起。在栽培场地内温暖潮湿时容易发生。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F699D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发病初期叶面出现小圆形褐色斑，有油渍状晕圈，后增大至4mm～5mm黑色病斑，有时多角形，有些斑缘有褐色物。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BEA93D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1、环境控制：严格控制</w:t>
            </w: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栽培场地</w:t>
            </w: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内的湿度。</w:t>
            </w:r>
          </w:p>
          <w:p w14:paraId="07592A0E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  <w:t>2、化学防治：可选用72%农用链霉素粉剂4000倍液喷雾防治。</w:t>
            </w:r>
          </w:p>
        </w:tc>
      </w:tr>
      <w:tr w14:paraId="227DC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8376A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bookmarkStart w:id="61" w:name="_Toc29049314"/>
            <w:bookmarkStart w:id="62" w:name="_Toc39236527"/>
            <w:bookmarkStart w:id="63" w:name="_Toc33729869"/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850E8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日灼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738FD0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由栽培场地光照控制不当引起的，特别是基质湿度不够、空气干燥的情况下，光照过强会引起日灼。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5851F9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表现为植株叶片萎蔫、灰白色至灰色；光照过强则叶片叶肉组织直接坏死，叶片出现大片坏死白斑。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91F39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结合植株健康状况和栽培场地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的环境条件，合理调控光照强度。</w:t>
            </w:r>
          </w:p>
        </w:tc>
      </w:tr>
      <w:tr w14:paraId="078C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9DEFD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4CBA2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红蜘蛛和白蜘蛛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D7B24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在栽培场地空气干燥和温度高的环境条件下发生。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421C5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主要在叶片背面吸食汁液，破坏叶肉组织，叶片表面表现为白色斑点，随着为害的加重叶片黄化枯萎脱落。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F5C0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1、环境控制：加强栽培场地温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度、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湿度等环境的控制。</w:t>
            </w:r>
          </w:p>
          <w:p w14:paraId="5B27CAB2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2、化学防治：宜选用15%哒螨灵乳油1200倍液或24%阿维•螺螨酯乳油3000倍液喷雾防治。</w:t>
            </w:r>
          </w:p>
        </w:tc>
      </w:tr>
      <w:tr w14:paraId="61D7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E8EF09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8B1A3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蓟马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131C07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在高温低湿的环境条件下易发生。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13DAF1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主要在叶片表面吸食汁液，危害与红蜘蛛相似。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BD24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1、环境控制：加强栽培场地温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度、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湿度管理。</w:t>
            </w:r>
          </w:p>
          <w:p w14:paraId="4E29B93D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2、化学防治：使用卉健21%悬浮液3000～4000倍液或阿克泰25%水分散粒剂（有效成分为噻虫嗪）3000～4000倍液喷雾防治。</w:t>
            </w:r>
          </w:p>
        </w:tc>
      </w:tr>
      <w:tr w14:paraId="0AC1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CE0EE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54502D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蚧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72A69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一种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壳虫类害虫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温暖潮湿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的环境条件下易发生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大棚内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6-7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月发生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CDD48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以若虫、雌成虫刺吸叶背、嫩茎汁液,使受害部位褪色、坏死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9F07D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1、环境控制：加强栽培场地温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度、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湿度管理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经常通风换气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。</w:t>
            </w:r>
          </w:p>
          <w:p w14:paraId="7BD21BB6"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2、化学防治：在幼虫分散转移期、分泌蜡粉前施药防治，效果最佳，可选用2.5%的溴氢菊酯乳油、2.5%的氯氟氢菊酯乳油或40%的毒死蜱+20%的阿维菌素，每隔10天喷一次，连续两三次。对于已开始分泌蜡粉的粉蚧，可以在使用上述药剂时加入一定量的有机硅来增强农药的附着性，延长防治期，提高杀虫效果。此外，还可以使用晶体石硫合剂或石硫合剂水剂150倍液喷雾进行防治。</w:t>
            </w:r>
          </w:p>
        </w:tc>
      </w:tr>
      <w:tr w14:paraId="7686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3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79581">
            <w:pPr>
              <w:widowControl/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B7DF90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蚜虫</w:t>
            </w:r>
          </w:p>
        </w:tc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D8E6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在高温低湿的环境条件下易发生。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24636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以刺吸幼嫩枝叶为害,使受害枝叶皱缩,严重时叶处脱落。</w:t>
            </w:r>
          </w:p>
        </w:tc>
        <w:tc>
          <w:tcPr>
            <w:tcW w:w="1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3A735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1、环境控制：加强栽培场地温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度、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湿度管理。</w:t>
            </w:r>
          </w:p>
          <w:p w14:paraId="372D488C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2、化学防治：可喷洒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10%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一遍净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2000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倍液或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3%啶虫脒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防治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bookmarkEnd w:id="61"/>
      <w:bookmarkEnd w:id="62"/>
      <w:bookmarkEnd w:id="63"/>
    </w:tbl>
    <w:p w14:paraId="2E9A2D42">
      <w:pPr>
        <w:widowControl/>
        <w:jc w:val="left"/>
      </w:pPr>
    </w:p>
    <w:sectPr>
      <w:footerReference r:id="rId5" w:type="default"/>
      <w:pgSz w:w="11906" w:h="16838"/>
      <w:pgMar w:top="567" w:right="1134" w:bottom="1134" w:left="1418" w:header="1418" w:footer="1134" w:gutter="0"/>
      <w:pgNumType w:fmt="decimal"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decorative"/>
    <w:pitch w:val="default"/>
    <w:sig w:usb0="00000000" w:usb1="00000000" w:usb2="00000000" w:usb3="00000000" w:csb0="0000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4E125">
    <w:pPr>
      <w:pStyle w:val="4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26D18">
    <w:pPr>
      <w:pStyle w:val="49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32DEECB">
                <w:pPr>
                  <w:pStyle w:val="4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2866D">
    <w:pPr>
      <w:pStyle w:val="50"/>
    </w:pPr>
    <w:r>
      <w:t>DB/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7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51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2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104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5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5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6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3D733618"/>
    <w:lvl w:ilvl="0" w:tentative="0">
      <w:start w:val="1"/>
      <w:numFmt w:val="decimal"/>
      <w:pStyle w:val="2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44C50F90"/>
    <w:lvl w:ilvl="0" w:tentative="0">
      <w:start w:val="1"/>
      <w:numFmt w:val="lowerLetter"/>
      <w:pStyle w:val="65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0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7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6">
    <w:nsid w:val="5E7B04CB"/>
    <w:multiLevelType w:val="multilevel"/>
    <w:tmpl w:val="5E7B04CB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Cs w:val="0"/>
        <w:caps w:val="0"/>
        <w:spacing w:val="0"/>
        <w:sz w:val="21"/>
        <w:szCs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567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 w:cs="黑体"/>
        <w:b w:val="0"/>
        <w:bCs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  <w:rPr>
        <w:rFonts w:hint="eastAsia" w:ascii="宋体" w:hAnsi="宋体" w:eastAsia="宋体" w:cs="宋体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ascii="宋体" w:hAnsi="宋体" w:eastAsia="宋体" w:cs="宋体"/>
      </w:rPr>
    </w:lvl>
  </w:abstractNum>
  <w:abstractNum w:abstractNumId="7">
    <w:nsid w:val="60B55DC2"/>
    <w:multiLevelType w:val="multilevel"/>
    <w:tmpl w:val="60B55DC2"/>
    <w:lvl w:ilvl="0" w:tentative="0">
      <w:start w:val="1"/>
      <w:numFmt w:val="upperLetter"/>
      <w:pStyle w:val="9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 w:tentative="0">
      <w:start w:val="1"/>
      <w:numFmt w:val="upperLetter"/>
      <w:pStyle w:val="9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2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6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 w:tentative="0">
      <w:start w:val="1"/>
      <w:numFmt w:val="lowerLetter"/>
      <w:pStyle w:val="111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1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U0ZGNlNGViMmUzZGU2OTY3MzI0M2M5NmI2Mzc0NWUifQ=="/>
  </w:docVars>
  <w:rsids>
    <w:rsidRoot w:val="00172A27"/>
    <w:rsid w:val="00000244"/>
    <w:rsid w:val="0000185F"/>
    <w:rsid w:val="0000586F"/>
    <w:rsid w:val="00013D86"/>
    <w:rsid w:val="00013E02"/>
    <w:rsid w:val="00015A35"/>
    <w:rsid w:val="0002143C"/>
    <w:rsid w:val="00025A65"/>
    <w:rsid w:val="00026C31"/>
    <w:rsid w:val="00027280"/>
    <w:rsid w:val="000320A7"/>
    <w:rsid w:val="00035925"/>
    <w:rsid w:val="000449A6"/>
    <w:rsid w:val="0004551D"/>
    <w:rsid w:val="00045E73"/>
    <w:rsid w:val="00060FF1"/>
    <w:rsid w:val="00067CDF"/>
    <w:rsid w:val="00074FBE"/>
    <w:rsid w:val="00083A09"/>
    <w:rsid w:val="0009005E"/>
    <w:rsid w:val="00092857"/>
    <w:rsid w:val="000A20A9"/>
    <w:rsid w:val="000A48B1"/>
    <w:rsid w:val="000B3143"/>
    <w:rsid w:val="000C42FC"/>
    <w:rsid w:val="000C6B05"/>
    <w:rsid w:val="000C6DD6"/>
    <w:rsid w:val="000C73D4"/>
    <w:rsid w:val="000D39ED"/>
    <w:rsid w:val="000D3D4C"/>
    <w:rsid w:val="000D4F51"/>
    <w:rsid w:val="000D718B"/>
    <w:rsid w:val="000E0C46"/>
    <w:rsid w:val="000F030C"/>
    <w:rsid w:val="000F129C"/>
    <w:rsid w:val="000F1EA2"/>
    <w:rsid w:val="00102D04"/>
    <w:rsid w:val="0010503A"/>
    <w:rsid w:val="001056DE"/>
    <w:rsid w:val="00106301"/>
    <w:rsid w:val="00106C12"/>
    <w:rsid w:val="0011221B"/>
    <w:rsid w:val="001124C0"/>
    <w:rsid w:val="00114D06"/>
    <w:rsid w:val="001173D9"/>
    <w:rsid w:val="00124C92"/>
    <w:rsid w:val="0013175F"/>
    <w:rsid w:val="001470C3"/>
    <w:rsid w:val="001512B4"/>
    <w:rsid w:val="001520A1"/>
    <w:rsid w:val="001620A5"/>
    <w:rsid w:val="00164E53"/>
    <w:rsid w:val="0016699D"/>
    <w:rsid w:val="00175159"/>
    <w:rsid w:val="00176208"/>
    <w:rsid w:val="0017764D"/>
    <w:rsid w:val="0018211B"/>
    <w:rsid w:val="001840D3"/>
    <w:rsid w:val="001900F8"/>
    <w:rsid w:val="00191258"/>
    <w:rsid w:val="00192680"/>
    <w:rsid w:val="00193037"/>
    <w:rsid w:val="00193A2C"/>
    <w:rsid w:val="001A0EB7"/>
    <w:rsid w:val="001A288E"/>
    <w:rsid w:val="001A7A25"/>
    <w:rsid w:val="001B6DC2"/>
    <w:rsid w:val="001C149C"/>
    <w:rsid w:val="001C21AC"/>
    <w:rsid w:val="001C47BA"/>
    <w:rsid w:val="001C59EA"/>
    <w:rsid w:val="001D0A4F"/>
    <w:rsid w:val="001D406C"/>
    <w:rsid w:val="001D41EE"/>
    <w:rsid w:val="001D530F"/>
    <w:rsid w:val="001E0380"/>
    <w:rsid w:val="001E13B1"/>
    <w:rsid w:val="001E14C8"/>
    <w:rsid w:val="001E7D54"/>
    <w:rsid w:val="001F3A19"/>
    <w:rsid w:val="0022303D"/>
    <w:rsid w:val="002334D3"/>
    <w:rsid w:val="00234467"/>
    <w:rsid w:val="00234A8A"/>
    <w:rsid w:val="00237D8D"/>
    <w:rsid w:val="00241DA2"/>
    <w:rsid w:val="00244FC7"/>
    <w:rsid w:val="00247FEE"/>
    <w:rsid w:val="00250E7D"/>
    <w:rsid w:val="0025442B"/>
    <w:rsid w:val="002565D5"/>
    <w:rsid w:val="002622C0"/>
    <w:rsid w:val="00274A7B"/>
    <w:rsid w:val="00274B83"/>
    <w:rsid w:val="002778AE"/>
    <w:rsid w:val="0028269A"/>
    <w:rsid w:val="00283590"/>
    <w:rsid w:val="00285717"/>
    <w:rsid w:val="00286973"/>
    <w:rsid w:val="002942DB"/>
    <w:rsid w:val="00294E70"/>
    <w:rsid w:val="002A1924"/>
    <w:rsid w:val="002A6E9D"/>
    <w:rsid w:val="002A7420"/>
    <w:rsid w:val="002B0F12"/>
    <w:rsid w:val="002B1308"/>
    <w:rsid w:val="002B4554"/>
    <w:rsid w:val="002B611B"/>
    <w:rsid w:val="002C45DC"/>
    <w:rsid w:val="002C72D8"/>
    <w:rsid w:val="002D11FA"/>
    <w:rsid w:val="002D3B08"/>
    <w:rsid w:val="002E0DDF"/>
    <w:rsid w:val="002E225D"/>
    <w:rsid w:val="002E2906"/>
    <w:rsid w:val="002E5635"/>
    <w:rsid w:val="002E6353"/>
    <w:rsid w:val="002E64C3"/>
    <w:rsid w:val="002E6A2C"/>
    <w:rsid w:val="002F1D8C"/>
    <w:rsid w:val="002F21DA"/>
    <w:rsid w:val="002F25A6"/>
    <w:rsid w:val="00301F39"/>
    <w:rsid w:val="00305125"/>
    <w:rsid w:val="00322567"/>
    <w:rsid w:val="00325734"/>
    <w:rsid w:val="00325926"/>
    <w:rsid w:val="00327A8A"/>
    <w:rsid w:val="00332696"/>
    <w:rsid w:val="00336610"/>
    <w:rsid w:val="00343F73"/>
    <w:rsid w:val="00344607"/>
    <w:rsid w:val="00345060"/>
    <w:rsid w:val="0035323B"/>
    <w:rsid w:val="003609D2"/>
    <w:rsid w:val="00362966"/>
    <w:rsid w:val="00363F22"/>
    <w:rsid w:val="00375564"/>
    <w:rsid w:val="00383191"/>
    <w:rsid w:val="003845FE"/>
    <w:rsid w:val="00385182"/>
    <w:rsid w:val="00386DED"/>
    <w:rsid w:val="003912E7"/>
    <w:rsid w:val="00392445"/>
    <w:rsid w:val="00393947"/>
    <w:rsid w:val="003A2275"/>
    <w:rsid w:val="003A31D7"/>
    <w:rsid w:val="003A6A4F"/>
    <w:rsid w:val="003A7088"/>
    <w:rsid w:val="003B00DF"/>
    <w:rsid w:val="003B1275"/>
    <w:rsid w:val="003B1778"/>
    <w:rsid w:val="003C11CB"/>
    <w:rsid w:val="003C75F3"/>
    <w:rsid w:val="003C78A3"/>
    <w:rsid w:val="003D6A26"/>
    <w:rsid w:val="003E1867"/>
    <w:rsid w:val="003E5729"/>
    <w:rsid w:val="003F4EE0"/>
    <w:rsid w:val="00402153"/>
    <w:rsid w:val="00402FC1"/>
    <w:rsid w:val="004122E7"/>
    <w:rsid w:val="00414D6B"/>
    <w:rsid w:val="00421F5D"/>
    <w:rsid w:val="00423699"/>
    <w:rsid w:val="00425082"/>
    <w:rsid w:val="00425E8D"/>
    <w:rsid w:val="00430CB8"/>
    <w:rsid w:val="00431DEB"/>
    <w:rsid w:val="00446B29"/>
    <w:rsid w:val="004472E4"/>
    <w:rsid w:val="00453F9A"/>
    <w:rsid w:val="00461E48"/>
    <w:rsid w:val="00461F85"/>
    <w:rsid w:val="004665CC"/>
    <w:rsid w:val="00466606"/>
    <w:rsid w:val="00471E91"/>
    <w:rsid w:val="00474675"/>
    <w:rsid w:val="0047470C"/>
    <w:rsid w:val="00483D72"/>
    <w:rsid w:val="004A35F9"/>
    <w:rsid w:val="004B1D41"/>
    <w:rsid w:val="004B24C1"/>
    <w:rsid w:val="004C292F"/>
    <w:rsid w:val="00503315"/>
    <w:rsid w:val="00510280"/>
    <w:rsid w:val="00513D73"/>
    <w:rsid w:val="005140F1"/>
    <w:rsid w:val="00514A43"/>
    <w:rsid w:val="005174E5"/>
    <w:rsid w:val="00517A4F"/>
    <w:rsid w:val="00522393"/>
    <w:rsid w:val="00522620"/>
    <w:rsid w:val="00525656"/>
    <w:rsid w:val="0052690F"/>
    <w:rsid w:val="00527A40"/>
    <w:rsid w:val="00531A64"/>
    <w:rsid w:val="00534C02"/>
    <w:rsid w:val="00535347"/>
    <w:rsid w:val="0054264B"/>
    <w:rsid w:val="00543786"/>
    <w:rsid w:val="00547C9F"/>
    <w:rsid w:val="005533D7"/>
    <w:rsid w:val="00566DF5"/>
    <w:rsid w:val="005703DE"/>
    <w:rsid w:val="005845E7"/>
    <w:rsid w:val="0058464E"/>
    <w:rsid w:val="00596238"/>
    <w:rsid w:val="005A01CB"/>
    <w:rsid w:val="005A5257"/>
    <w:rsid w:val="005A58FF"/>
    <w:rsid w:val="005A5EAF"/>
    <w:rsid w:val="005A64C0"/>
    <w:rsid w:val="005A7205"/>
    <w:rsid w:val="005B3C11"/>
    <w:rsid w:val="005B50FE"/>
    <w:rsid w:val="005C1C28"/>
    <w:rsid w:val="005C6DB5"/>
    <w:rsid w:val="005D4C72"/>
    <w:rsid w:val="005E19E7"/>
    <w:rsid w:val="005E1BB2"/>
    <w:rsid w:val="00610681"/>
    <w:rsid w:val="006116F0"/>
    <w:rsid w:val="0061716C"/>
    <w:rsid w:val="00620682"/>
    <w:rsid w:val="006243A1"/>
    <w:rsid w:val="00630252"/>
    <w:rsid w:val="00632E56"/>
    <w:rsid w:val="00635049"/>
    <w:rsid w:val="00635CBA"/>
    <w:rsid w:val="0064338B"/>
    <w:rsid w:val="00643546"/>
    <w:rsid w:val="00646542"/>
    <w:rsid w:val="006504F4"/>
    <w:rsid w:val="00654BC9"/>
    <w:rsid w:val="006552FD"/>
    <w:rsid w:val="00657006"/>
    <w:rsid w:val="00663AF3"/>
    <w:rsid w:val="00666B6C"/>
    <w:rsid w:val="00675028"/>
    <w:rsid w:val="00682682"/>
    <w:rsid w:val="00682702"/>
    <w:rsid w:val="006858CC"/>
    <w:rsid w:val="00692368"/>
    <w:rsid w:val="006A2EBC"/>
    <w:rsid w:val="006A39A5"/>
    <w:rsid w:val="006A5EA0"/>
    <w:rsid w:val="006A6501"/>
    <w:rsid w:val="006A783B"/>
    <w:rsid w:val="006A7B33"/>
    <w:rsid w:val="006B3DB4"/>
    <w:rsid w:val="006B4E13"/>
    <w:rsid w:val="006B6DF7"/>
    <w:rsid w:val="006B75DD"/>
    <w:rsid w:val="006C09DF"/>
    <w:rsid w:val="006C67E0"/>
    <w:rsid w:val="006C7ABA"/>
    <w:rsid w:val="006D0D60"/>
    <w:rsid w:val="006D1122"/>
    <w:rsid w:val="006D3C00"/>
    <w:rsid w:val="006D6872"/>
    <w:rsid w:val="006E0A9B"/>
    <w:rsid w:val="006E1CD9"/>
    <w:rsid w:val="006E3675"/>
    <w:rsid w:val="006E4A7F"/>
    <w:rsid w:val="006F5C4D"/>
    <w:rsid w:val="00704A7A"/>
    <w:rsid w:val="00704DF6"/>
    <w:rsid w:val="0070651C"/>
    <w:rsid w:val="007132A3"/>
    <w:rsid w:val="00713E46"/>
    <w:rsid w:val="00715565"/>
    <w:rsid w:val="00716421"/>
    <w:rsid w:val="00724EFB"/>
    <w:rsid w:val="007414C3"/>
    <w:rsid w:val="007419C3"/>
    <w:rsid w:val="0074377B"/>
    <w:rsid w:val="007467A7"/>
    <w:rsid w:val="007469DD"/>
    <w:rsid w:val="0074741B"/>
    <w:rsid w:val="0074759E"/>
    <w:rsid w:val="007478EA"/>
    <w:rsid w:val="0075415C"/>
    <w:rsid w:val="00763502"/>
    <w:rsid w:val="00764DAB"/>
    <w:rsid w:val="00775B43"/>
    <w:rsid w:val="00785443"/>
    <w:rsid w:val="007913AB"/>
    <w:rsid w:val="007914F7"/>
    <w:rsid w:val="00795042"/>
    <w:rsid w:val="007B0E2A"/>
    <w:rsid w:val="007B1625"/>
    <w:rsid w:val="007B706E"/>
    <w:rsid w:val="007B71EB"/>
    <w:rsid w:val="007C6205"/>
    <w:rsid w:val="007C686A"/>
    <w:rsid w:val="007C728E"/>
    <w:rsid w:val="007D1BDB"/>
    <w:rsid w:val="007D2C53"/>
    <w:rsid w:val="007D3D60"/>
    <w:rsid w:val="007E1980"/>
    <w:rsid w:val="007E4B76"/>
    <w:rsid w:val="007E5EA8"/>
    <w:rsid w:val="007E656F"/>
    <w:rsid w:val="007F0CF1"/>
    <w:rsid w:val="007F12A5"/>
    <w:rsid w:val="007F4CF1"/>
    <w:rsid w:val="007F758D"/>
    <w:rsid w:val="007F7D52"/>
    <w:rsid w:val="0080654C"/>
    <w:rsid w:val="008071C6"/>
    <w:rsid w:val="00812EEC"/>
    <w:rsid w:val="008154B6"/>
    <w:rsid w:val="008164E2"/>
    <w:rsid w:val="00817A00"/>
    <w:rsid w:val="00835DB3"/>
    <w:rsid w:val="0083617B"/>
    <w:rsid w:val="008371BD"/>
    <w:rsid w:val="00847AD4"/>
    <w:rsid w:val="008504A8"/>
    <w:rsid w:val="0085282E"/>
    <w:rsid w:val="008648CB"/>
    <w:rsid w:val="0087198C"/>
    <w:rsid w:val="00872C1F"/>
    <w:rsid w:val="00873B42"/>
    <w:rsid w:val="008856D8"/>
    <w:rsid w:val="00892E82"/>
    <w:rsid w:val="00896A48"/>
    <w:rsid w:val="008C1B58"/>
    <w:rsid w:val="008C39AE"/>
    <w:rsid w:val="008C590D"/>
    <w:rsid w:val="008E031B"/>
    <w:rsid w:val="008E5A84"/>
    <w:rsid w:val="008E7029"/>
    <w:rsid w:val="008E7EF6"/>
    <w:rsid w:val="008F1408"/>
    <w:rsid w:val="008F1F98"/>
    <w:rsid w:val="008F6758"/>
    <w:rsid w:val="009040DD"/>
    <w:rsid w:val="00905B47"/>
    <w:rsid w:val="00905F23"/>
    <w:rsid w:val="0091331C"/>
    <w:rsid w:val="009157C0"/>
    <w:rsid w:val="009279DE"/>
    <w:rsid w:val="00930116"/>
    <w:rsid w:val="00934E9D"/>
    <w:rsid w:val="0094212C"/>
    <w:rsid w:val="00952806"/>
    <w:rsid w:val="00954689"/>
    <w:rsid w:val="00954F51"/>
    <w:rsid w:val="009617C9"/>
    <w:rsid w:val="00961C93"/>
    <w:rsid w:val="00965324"/>
    <w:rsid w:val="0097091E"/>
    <w:rsid w:val="009720BE"/>
    <w:rsid w:val="009723F9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1DF8"/>
    <w:rsid w:val="009A3A7C"/>
    <w:rsid w:val="009B2ADB"/>
    <w:rsid w:val="009B603A"/>
    <w:rsid w:val="009C2D0E"/>
    <w:rsid w:val="009C3DAC"/>
    <w:rsid w:val="009C42E0"/>
    <w:rsid w:val="009D5362"/>
    <w:rsid w:val="009D62C3"/>
    <w:rsid w:val="009D7D60"/>
    <w:rsid w:val="009E1415"/>
    <w:rsid w:val="009E2F26"/>
    <w:rsid w:val="009E6116"/>
    <w:rsid w:val="009E6AD9"/>
    <w:rsid w:val="009E792A"/>
    <w:rsid w:val="00A02E43"/>
    <w:rsid w:val="00A065F9"/>
    <w:rsid w:val="00A07F34"/>
    <w:rsid w:val="00A11512"/>
    <w:rsid w:val="00A166C7"/>
    <w:rsid w:val="00A22154"/>
    <w:rsid w:val="00A25C38"/>
    <w:rsid w:val="00A36BBE"/>
    <w:rsid w:val="00A37C34"/>
    <w:rsid w:val="00A4307A"/>
    <w:rsid w:val="00A47EBB"/>
    <w:rsid w:val="00A51AD0"/>
    <w:rsid w:val="00A51CDD"/>
    <w:rsid w:val="00A53C14"/>
    <w:rsid w:val="00A63DF1"/>
    <w:rsid w:val="00A6730D"/>
    <w:rsid w:val="00A71625"/>
    <w:rsid w:val="00A71B9B"/>
    <w:rsid w:val="00A751C7"/>
    <w:rsid w:val="00A75B1E"/>
    <w:rsid w:val="00A80F33"/>
    <w:rsid w:val="00A81C0A"/>
    <w:rsid w:val="00A83B57"/>
    <w:rsid w:val="00A87844"/>
    <w:rsid w:val="00AA038C"/>
    <w:rsid w:val="00AA50AF"/>
    <w:rsid w:val="00AA5929"/>
    <w:rsid w:val="00AA69D1"/>
    <w:rsid w:val="00AA6CBF"/>
    <w:rsid w:val="00AA7A09"/>
    <w:rsid w:val="00AB0EEC"/>
    <w:rsid w:val="00AB3B50"/>
    <w:rsid w:val="00AC05B1"/>
    <w:rsid w:val="00AC6626"/>
    <w:rsid w:val="00AD356C"/>
    <w:rsid w:val="00AE1BEF"/>
    <w:rsid w:val="00AE2914"/>
    <w:rsid w:val="00AE5C24"/>
    <w:rsid w:val="00AE6D15"/>
    <w:rsid w:val="00B04182"/>
    <w:rsid w:val="00B07AE3"/>
    <w:rsid w:val="00B11430"/>
    <w:rsid w:val="00B140A2"/>
    <w:rsid w:val="00B353EB"/>
    <w:rsid w:val="00B364EC"/>
    <w:rsid w:val="00B411FA"/>
    <w:rsid w:val="00B439C4"/>
    <w:rsid w:val="00B4535E"/>
    <w:rsid w:val="00B52A8C"/>
    <w:rsid w:val="00B5447C"/>
    <w:rsid w:val="00B62B96"/>
    <w:rsid w:val="00B636A8"/>
    <w:rsid w:val="00B65459"/>
    <w:rsid w:val="00B665C6"/>
    <w:rsid w:val="00B805AF"/>
    <w:rsid w:val="00B869EC"/>
    <w:rsid w:val="00B9397A"/>
    <w:rsid w:val="00B9633D"/>
    <w:rsid w:val="00BA2EBE"/>
    <w:rsid w:val="00BA33D9"/>
    <w:rsid w:val="00BA363A"/>
    <w:rsid w:val="00BB0F28"/>
    <w:rsid w:val="00BB458A"/>
    <w:rsid w:val="00BC6DC7"/>
    <w:rsid w:val="00BD00D3"/>
    <w:rsid w:val="00BD1659"/>
    <w:rsid w:val="00BD3AA9"/>
    <w:rsid w:val="00BD4A18"/>
    <w:rsid w:val="00BD545D"/>
    <w:rsid w:val="00BD6914"/>
    <w:rsid w:val="00BD6DB2"/>
    <w:rsid w:val="00BD7912"/>
    <w:rsid w:val="00BE11CF"/>
    <w:rsid w:val="00BE21AB"/>
    <w:rsid w:val="00BE55CB"/>
    <w:rsid w:val="00BF0CBB"/>
    <w:rsid w:val="00BF617A"/>
    <w:rsid w:val="00BF7214"/>
    <w:rsid w:val="00C02A36"/>
    <w:rsid w:val="00C0379D"/>
    <w:rsid w:val="00C03931"/>
    <w:rsid w:val="00C05FE3"/>
    <w:rsid w:val="00C20568"/>
    <w:rsid w:val="00C2136D"/>
    <w:rsid w:val="00C214EE"/>
    <w:rsid w:val="00C2314B"/>
    <w:rsid w:val="00C24971"/>
    <w:rsid w:val="00C2609B"/>
    <w:rsid w:val="00C26BE5"/>
    <w:rsid w:val="00C26E4D"/>
    <w:rsid w:val="00C27909"/>
    <w:rsid w:val="00C27B03"/>
    <w:rsid w:val="00C314E1"/>
    <w:rsid w:val="00C34397"/>
    <w:rsid w:val="00C370F9"/>
    <w:rsid w:val="00C4044E"/>
    <w:rsid w:val="00C4095D"/>
    <w:rsid w:val="00C53C83"/>
    <w:rsid w:val="00C601D2"/>
    <w:rsid w:val="00C65BCC"/>
    <w:rsid w:val="00C66970"/>
    <w:rsid w:val="00C73E01"/>
    <w:rsid w:val="00C76954"/>
    <w:rsid w:val="00C8691C"/>
    <w:rsid w:val="00C94FA4"/>
    <w:rsid w:val="00CA168A"/>
    <w:rsid w:val="00CA357E"/>
    <w:rsid w:val="00CA44F9"/>
    <w:rsid w:val="00CA4A69"/>
    <w:rsid w:val="00CA522D"/>
    <w:rsid w:val="00CC3E0C"/>
    <w:rsid w:val="00CC4FD5"/>
    <w:rsid w:val="00CC58D3"/>
    <w:rsid w:val="00CC784D"/>
    <w:rsid w:val="00CD3D2D"/>
    <w:rsid w:val="00CE0ACB"/>
    <w:rsid w:val="00CE241C"/>
    <w:rsid w:val="00CF6C48"/>
    <w:rsid w:val="00D0337B"/>
    <w:rsid w:val="00D079B2"/>
    <w:rsid w:val="00D114E9"/>
    <w:rsid w:val="00D20C5A"/>
    <w:rsid w:val="00D4061B"/>
    <w:rsid w:val="00D429C6"/>
    <w:rsid w:val="00D47748"/>
    <w:rsid w:val="00D54CC3"/>
    <w:rsid w:val="00D6041A"/>
    <w:rsid w:val="00D633EB"/>
    <w:rsid w:val="00D65119"/>
    <w:rsid w:val="00D72907"/>
    <w:rsid w:val="00D74312"/>
    <w:rsid w:val="00D82FF7"/>
    <w:rsid w:val="00D847FE"/>
    <w:rsid w:val="00D95458"/>
    <w:rsid w:val="00D9577A"/>
    <w:rsid w:val="00D964EA"/>
    <w:rsid w:val="00D966D0"/>
    <w:rsid w:val="00DA0C59"/>
    <w:rsid w:val="00DA333C"/>
    <w:rsid w:val="00DA3991"/>
    <w:rsid w:val="00DA630F"/>
    <w:rsid w:val="00DB1A2C"/>
    <w:rsid w:val="00DB7E6C"/>
    <w:rsid w:val="00DC0CA5"/>
    <w:rsid w:val="00DD18F1"/>
    <w:rsid w:val="00DD2DF8"/>
    <w:rsid w:val="00DD5A29"/>
    <w:rsid w:val="00DD5D9D"/>
    <w:rsid w:val="00DD6BFC"/>
    <w:rsid w:val="00DE074F"/>
    <w:rsid w:val="00DE27A5"/>
    <w:rsid w:val="00DE35CB"/>
    <w:rsid w:val="00DF21E9"/>
    <w:rsid w:val="00E00F14"/>
    <w:rsid w:val="00E06386"/>
    <w:rsid w:val="00E16DA1"/>
    <w:rsid w:val="00E24EB4"/>
    <w:rsid w:val="00E320ED"/>
    <w:rsid w:val="00E33AFB"/>
    <w:rsid w:val="00E34218"/>
    <w:rsid w:val="00E46282"/>
    <w:rsid w:val="00E5216E"/>
    <w:rsid w:val="00E64CD5"/>
    <w:rsid w:val="00E742B5"/>
    <w:rsid w:val="00E82344"/>
    <w:rsid w:val="00E84B33"/>
    <w:rsid w:val="00E84C82"/>
    <w:rsid w:val="00E84D64"/>
    <w:rsid w:val="00E87408"/>
    <w:rsid w:val="00E914C4"/>
    <w:rsid w:val="00E934F5"/>
    <w:rsid w:val="00E96961"/>
    <w:rsid w:val="00EA3095"/>
    <w:rsid w:val="00EA3E4F"/>
    <w:rsid w:val="00EA72EC"/>
    <w:rsid w:val="00EB11CB"/>
    <w:rsid w:val="00EB275A"/>
    <w:rsid w:val="00EB67D2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15EE1"/>
    <w:rsid w:val="00F34B99"/>
    <w:rsid w:val="00F52DAB"/>
    <w:rsid w:val="00F543F0"/>
    <w:rsid w:val="00F81D29"/>
    <w:rsid w:val="00F842A6"/>
    <w:rsid w:val="00F91C4D"/>
    <w:rsid w:val="00F92FD9"/>
    <w:rsid w:val="00FA0303"/>
    <w:rsid w:val="00FA6684"/>
    <w:rsid w:val="00FA68FC"/>
    <w:rsid w:val="00FA731E"/>
    <w:rsid w:val="00FB2B38"/>
    <w:rsid w:val="00FC6358"/>
    <w:rsid w:val="00FD320D"/>
    <w:rsid w:val="00FE1EEF"/>
    <w:rsid w:val="00FE23DE"/>
    <w:rsid w:val="03E9788D"/>
    <w:rsid w:val="0ED32660"/>
    <w:rsid w:val="10B1796C"/>
    <w:rsid w:val="11311B34"/>
    <w:rsid w:val="11557FCB"/>
    <w:rsid w:val="14D66B0C"/>
    <w:rsid w:val="150059B8"/>
    <w:rsid w:val="15874DE6"/>
    <w:rsid w:val="1A5F2430"/>
    <w:rsid w:val="1CBE0B18"/>
    <w:rsid w:val="1FEC1EAC"/>
    <w:rsid w:val="21756088"/>
    <w:rsid w:val="26EF2DD8"/>
    <w:rsid w:val="26F67218"/>
    <w:rsid w:val="29C84E77"/>
    <w:rsid w:val="2F0E650E"/>
    <w:rsid w:val="2F803388"/>
    <w:rsid w:val="33FA4A2D"/>
    <w:rsid w:val="375B65E1"/>
    <w:rsid w:val="38F83CB0"/>
    <w:rsid w:val="3C3176E4"/>
    <w:rsid w:val="401720C7"/>
    <w:rsid w:val="40A37DE7"/>
    <w:rsid w:val="44B35E8B"/>
    <w:rsid w:val="4A115A6B"/>
    <w:rsid w:val="4C462770"/>
    <w:rsid w:val="4C8C0C95"/>
    <w:rsid w:val="4FC72E82"/>
    <w:rsid w:val="501153BD"/>
    <w:rsid w:val="527A6088"/>
    <w:rsid w:val="57982207"/>
    <w:rsid w:val="61AF16D3"/>
    <w:rsid w:val="62824FD1"/>
    <w:rsid w:val="666D300A"/>
    <w:rsid w:val="6A187693"/>
    <w:rsid w:val="72DE45F9"/>
    <w:rsid w:val="74773AAA"/>
    <w:rsid w:val="76163E6B"/>
    <w:rsid w:val="76B27CD5"/>
    <w:rsid w:val="79F70C24"/>
    <w:rsid w:val="7D757A4C"/>
    <w:rsid w:val="7D8E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link w:val="4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39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5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6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7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Document Map"/>
    <w:basedOn w:val="1"/>
    <w:semiHidden/>
    <w:qFormat/>
    <w:uiPriority w:val="0"/>
    <w:pPr>
      <w:shd w:val="clear" w:color="auto" w:fill="000080"/>
    </w:pPr>
  </w:style>
  <w:style w:type="paragraph" w:styleId="9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0">
    <w:name w:val="Body Text"/>
    <w:basedOn w:val="1"/>
    <w:link w:val="153"/>
    <w:qFormat/>
    <w:uiPriority w:val="0"/>
    <w:pPr>
      <w:spacing w:after="120"/>
    </w:pPr>
    <w:rPr>
      <w:rFonts w:ascii="Calibri" w:hAnsi="Calibri"/>
      <w:szCs w:val="22"/>
    </w:rPr>
  </w:style>
  <w:style w:type="paragraph" w:styleId="11">
    <w:name w:val="Body Text Indent"/>
    <w:basedOn w:val="1"/>
    <w:next w:val="12"/>
    <w:qFormat/>
    <w:uiPriority w:val="0"/>
    <w:pPr>
      <w:spacing w:line="580" w:lineRule="exact"/>
      <w:ind w:firstLine="600" w:firstLineChars="200"/>
    </w:pPr>
    <w:rPr>
      <w:rFonts w:ascii="Times" w:hAnsi="Times" w:eastAsia="方正仿宋_GBK"/>
      <w:sz w:val="30"/>
      <w:szCs w:val="24"/>
    </w:rPr>
  </w:style>
  <w:style w:type="paragraph" w:styleId="12">
    <w:name w:val="envelope return"/>
    <w:basedOn w:val="1"/>
    <w:qFormat/>
    <w:uiPriority w:val="0"/>
  </w:style>
  <w:style w:type="paragraph" w:styleId="13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4">
    <w:name w:val="toc 5"/>
    <w:basedOn w:val="1"/>
    <w:next w:val="1"/>
    <w:qFormat/>
    <w:uiPriority w:val="39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5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6">
    <w:name w:val="toc 8"/>
    <w:basedOn w:val="1"/>
    <w:next w:val="1"/>
    <w:qFormat/>
    <w:uiPriority w:val="39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7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8">
    <w:name w:val="endnote text"/>
    <w:basedOn w:val="1"/>
    <w:semiHidden/>
    <w:qFormat/>
    <w:uiPriority w:val="0"/>
    <w:pPr>
      <w:snapToGrid w:val="0"/>
      <w:jc w:val="left"/>
    </w:pPr>
  </w:style>
  <w:style w:type="paragraph" w:styleId="19">
    <w:name w:val="Balloon Text"/>
    <w:basedOn w:val="1"/>
    <w:link w:val="151"/>
    <w:qFormat/>
    <w:uiPriority w:val="0"/>
    <w:rPr>
      <w:sz w:val="18"/>
      <w:szCs w:val="18"/>
    </w:rPr>
  </w:style>
  <w:style w:type="paragraph" w:styleId="20">
    <w:name w:val="footer"/>
    <w:basedOn w:val="1"/>
    <w:link w:val="148"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21">
    <w:name w:val="header"/>
    <w:basedOn w:val="1"/>
    <w:link w:val="149"/>
    <w:qFormat/>
    <w:uiPriority w:val="99"/>
    <w:pPr>
      <w:snapToGrid w:val="0"/>
      <w:jc w:val="left"/>
    </w:pPr>
    <w:rPr>
      <w:sz w:val="18"/>
      <w:szCs w:val="18"/>
    </w:rPr>
  </w:style>
  <w:style w:type="paragraph" w:styleId="22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3">
    <w:name w:val="toc 4"/>
    <w:basedOn w:val="1"/>
    <w:next w:val="1"/>
    <w:qFormat/>
    <w:uiPriority w:val="39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4">
    <w:name w:val="index heading"/>
    <w:basedOn w:val="1"/>
    <w:next w:val="25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5">
    <w:name w:val="index 1"/>
    <w:basedOn w:val="1"/>
    <w:next w:val="26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6">
    <w:name w:val="段"/>
    <w:link w:val="4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7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8">
    <w:name w:val="toc 6"/>
    <w:basedOn w:val="1"/>
    <w:next w:val="1"/>
    <w:qFormat/>
    <w:uiPriority w:val="39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32">
    <w:name w:val="toc 9"/>
    <w:basedOn w:val="1"/>
    <w:next w:val="1"/>
    <w:qFormat/>
    <w:uiPriority w:val="39"/>
    <w:pPr>
      <w:ind w:left="1470"/>
      <w:jc w:val="left"/>
    </w:pPr>
    <w:rPr>
      <w:sz w:val="20"/>
      <w:szCs w:val="20"/>
    </w:rPr>
  </w:style>
  <w:style w:type="paragraph" w:styleId="33">
    <w:name w:val="Normal (Web)"/>
    <w:basedOn w:val="1"/>
    <w:qFormat/>
    <w:uiPriority w:val="0"/>
    <w:rPr>
      <w:sz w:val="24"/>
    </w:rPr>
  </w:style>
  <w:style w:type="paragraph" w:styleId="3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5">
    <w:name w:val="Body Text First Indent 2"/>
    <w:basedOn w:val="11"/>
    <w:qFormat/>
    <w:uiPriority w:val="0"/>
    <w:pPr>
      <w:ind w:firstLine="420"/>
    </w:pPr>
    <w:rPr>
      <w:rFonts w:ascii="Times New Roman" w:hAnsi="Times New Roman" w:eastAsia="宋体" w:cs="Times New Roman"/>
      <w:kern w:val="2"/>
      <w:sz w:val="21"/>
    </w:rPr>
  </w:style>
  <w:style w:type="table" w:styleId="37">
    <w:name w:val="Table Grid"/>
    <w:basedOn w:val="36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endnote reference"/>
    <w:basedOn w:val="38"/>
    <w:semiHidden/>
    <w:qFormat/>
    <w:uiPriority w:val="0"/>
    <w:rPr>
      <w:vertAlign w:val="superscript"/>
    </w:rPr>
  </w:style>
  <w:style w:type="character" w:styleId="41">
    <w:name w:val="page number"/>
    <w:basedOn w:val="38"/>
    <w:qFormat/>
    <w:uiPriority w:val="0"/>
    <w:rPr>
      <w:rFonts w:ascii="Times New Roman" w:hAnsi="Times New Roman" w:eastAsia="宋体"/>
      <w:sz w:val="18"/>
    </w:rPr>
  </w:style>
  <w:style w:type="character" w:styleId="42">
    <w:name w:val="FollowedHyperlink"/>
    <w:basedOn w:val="38"/>
    <w:qFormat/>
    <w:uiPriority w:val="0"/>
    <w:rPr>
      <w:color w:val="800080"/>
      <w:u w:val="single"/>
    </w:rPr>
  </w:style>
  <w:style w:type="character" w:styleId="43">
    <w:name w:val="Emphasis"/>
    <w:basedOn w:val="38"/>
    <w:qFormat/>
    <w:uiPriority w:val="0"/>
    <w:rPr>
      <w:i/>
    </w:rPr>
  </w:style>
  <w:style w:type="character" w:styleId="44">
    <w:name w:val="Hyperlink"/>
    <w:basedOn w:val="38"/>
    <w:qFormat/>
    <w:uiPriority w:val="99"/>
    <w:rPr>
      <w:color w:val="0000FF"/>
      <w:spacing w:val="0"/>
      <w:w w:val="100"/>
      <w:szCs w:val="21"/>
      <w:u w:val="single"/>
    </w:rPr>
  </w:style>
  <w:style w:type="character" w:styleId="45">
    <w:name w:val="footnote reference"/>
    <w:basedOn w:val="38"/>
    <w:semiHidden/>
    <w:qFormat/>
    <w:uiPriority w:val="0"/>
    <w:rPr>
      <w:vertAlign w:val="superscript"/>
    </w:rPr>
  </w:style>
  <w:style w:type="character" w:customStyle="1" w:styleId="46">
    <w:name w:val="标题 3 Char"/>
    <w:basedOn w:val="38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47">
    <w:name w:val="段 Char"/>
    <w:basedOn w:val="38"/>
    <w:link w:val="26"/>
    <w:qFormat/>
    <w:uiPriority w:val="0"/>
    <w:rPr>
      <w:rFonts w:ascii="宋体"/>
      <w:sz w:val="21"/>
      <w:lang w:val="en-US" w:eastAsia="zh-CN" w:bidi="ar-SA"/>
    </w:rPr>
  </w:style>
  <w:style w:type="paragraph" w:customStyle="1" w:styleId="48">
    <w:name w:val="一级条标题"/>
    <w:next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9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1">
    <w:name w:val="章标题"/>
    <w:next w:val="26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2">
    <w:name w:val="二级条标题"/>
    <w:basedOn w:val="48"/>
    <w:next w:val="26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3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54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6">
    <w:name w:val="目次、标准名称标题"/>
    <w:basedOn w:val="1"/>
    <w:next w:val="26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7">
    <w:name w:val="三级条标题"/>
    <w:basedOn w:val="52"/>
    <w:next w:val="26"/>
    <w:qFormat/>
    <w:uiPriority w:val="0"/>
    <w:pPr>
      <w:numPr>
        <w:ilvl w:val="3"/>
      </w:numPr>
      <w:outlineLvl w:val="4"/>
    </w:pPr>
  </w:style>
  <w:style w:type="paragraph" w:customStyle="1" w:styleId="58">
    <w:name w:val="示例"/>
    <w:next w:val="59"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0">
    <w:name w:val="数字编号列项（二级）"/>
    <w:qFormat/>
    <w:uiPriority w:val="0"/>
    <w:pPr>
      <w:numPr>
        <w:ilvl w:val="1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四级条标题"/>
    <w:basedOn w:val="57"/>
    <w:next w:val="26"/>
    <w:qFormat/>
    <w:uiPriority w:val="0"/>
    <w:pPr>
      <w:numPr>
        <w:ilvl w:val="4"/>
      </w:numPr>
      <w:outlineLvl w:val="5"/>
    </w:pPr>
  </w:style>
  <w:style w:type="paragraph" w:customStyle="1" w:styleId="62">
    <w:name w:val="五级条标题"/>
    <w:basedOn w:val="61"/>
    <w:next w:val="26"/>
    <w:qFormat/>
    <w:uiPriority w:val="0"/>
    <w:pPr>
      <w:numPr>
        <w:ilvl w:val="5"/>
      </w:numPr>
      <w:outlineLvl w:val="6"/>
    </w:pPr>
  </w:style>
  <w:style w:type="paragraph" w:customStyle="1" w:styleId="63">
    <w:name w:val="注："/>
    <w:next w:val="26"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4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5">
    <w:name w:val="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6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67">
    <w:name w:val="编号列项（三级）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示例×："/>
    <w:basedOn w:val="51"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9">
    <w:name w:val="二级无"/>
    <w:basedOn w:val="52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70">
    <w:name w:val="注：（正文）"/>
    <w:basedOn w:val="63"/>
    <w:next w:val="26"/>
    <w:qFormat/>
    <w:uiPriority w:val="0"/>
  </w:style>
  <w:style w:type="paragraph" w:customStyle="1" w:styleId="71">
    <w:name w:val="注×：（正文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2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3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74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5">
    <w:name w:val="标准书眉_偶数页"/>
    <w:basedOn w:val="50"/>
    <w:next w:val="1"/>
    <w:qFormat/>
    <w:uiPriority w:val="0"/>
    <w:pPr>
      <w:jc w:val="left"/>
    </w:pPr>
  </w:style>
  <w:style w:type="paragraph" w:customStyle="1" w:styleId="76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7">
    <w:name w:val="参考文献"/>
    <w:basedOn w:val="1"/>
    <w:next w:val="26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8">
    <w:name w:val="参考文献、索引标题"/>
    <w:basedOn w:val="1"/>
    <w:next w:val="26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9">
    <w:name w:val="发布"/>
    <w:basedOn w:val="3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0">
    <w:name w:val="发布部门"/>
    <w:next w:val="26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81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82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83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4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5">
    <w:name w:val="封面标准英文名称"/>
    <w:basedOn w:val="84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6">
    <w:name w:val="封面一致性程度标识"/>
    <w:basedOn w:val="85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7">
    <w:name w:val="封面标准文稿类别"/>
    <w:basedOn w:val="86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8">
    <w:name w:val="封面标准文稿编辑信息"/>
    <w:basedOn w:val="87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8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0">
    <w:name w:val="附录标识"/>
    <w:basedOn w:val="1"/>
    <w:next w:val="26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91">
    <w:name w:val="附录标题"/>
    <w:basedOn w:val="26"/>
    <w:next w:val="26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92">
    <w:name w:val="附录表标号"/>
    <w:basedOn w:val="1"/>
    <w:next w:val="26"/>
    <w:qFormat/>
    <w:uiPriority w:val="0"/>
    <w:pPr>
      <w:numPr>
        <w:ilvl w:val="0"/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93">
    <w:name w:val="附录表标题"/>
    <w:basedOn w:val="1"/>
    <w:next w:val="26"/>
    <w:qFormat/>
    <w:uiPriority w:val="0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4">
    <w:name w:val="附录二级条标题"/>
    <w:basedOn w:val="1"/>
    <w:next w:val="26"/>
    <w:qFormat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95">
    <w:name w:val="附录二级无"/>
    <w:basedOn w:val="9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6">
    <w:name w:val="附录公式"/>
    <w:basedOn w:val="26"/>
    <w:next w:val="26"/>
    <w:link w:val="97"/>
    <w:qFormat/>
    <w:uiPriority w:val="0"/>
  </w:style>
  <w:style w:type="character" w:customStyle="1" w:styleId="97">
    <w:name w:val="附录公式 Char"/>
    <w:basedOn w:val="47"/>
    <w:link w:val="96"/>
    <w:qFormat/>
    <w:uiPriority w:val="0"/>
  </w:style>
  <w:style w:type="paragraph" w:customStyle="1" w:styleId="98">
    <w:name w:val="附录公式编号制表符"/>
    <w:basedOn w:val="1"/>
    <w:next w:val="26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9">
    <w:name w:val="附录三级条标题"/>
    <w:basedOn w:val="94"/>
    <w:next w:val="26"/>
    <w:qFormat/>
    <w:uiPriority w:val="0"/>
    <w:pPr>
      <w:numPr>
        <w:ilvl w:val="4"/>
      </w:numPr>
      <w:outlineLvl w:val="4"/>
    </w:pPr>
  </w:style>
  <w:style w:type="paragraph" w:customStyle="1" w:styleId="100">
    <w:name w:val="附录三级无"/>
    <w:basedOn w:val="9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1">
    <w:name w:val="附录数字编号列项（二级）"/>
    <w:qFormat/>
    <w:uiPriority w:val="0"/>
    <w:pPr>
      <w:numPr>
        <w:ilvl w:val="1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2">
    <w:name w:val="附录四级条标题"/>
    <w:basedOn w:val="99"/>
    <w:next w:val="26"/>
    <w:qFormat/>
    <w:uiPriority w:val="0"/>
    <w:pPr>
      <w:numPr>
        <w:ilvl w:val="5"/>
      </w:numPr>
      <w:outlineLvl w:val="5"/>
    </w:pPr>
  </w:style>
  <w:style w:type="paragraph" w:customStyle="1" w:styleId="103">
    <w:name w:val="附录四级无"/>
    <w:basedOn w:val="102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4">
    <w:name w:val="附录图标号"/>
    <w:basedOn w:val="1"/>
    <w:qFormat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05">
    <w:name w:val="附录图标题"/>
    <w:basedOn w:val="1"/>
    <w:next w:val="26"/>
    <w:qFormat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06">
    <w:name w:val="附录五级条标题"/>
    <w:basedOn w:val="102"/>
    <w:next w:val="26"/>
    <w:qFormat/>
    <w:uiPriority w:val="0"/>
    <w:pPr>
      <w:numPr>
        <w:ilvl w:val="6"/>
      </w:numPr>
      <w:outlineLvl w:val="6"/>
    </w:pPr>
  </w:style>
  <w:style w:type="paragraph" w:customStyle="1" w:styleId="107">
    <w:name w:val="附录五级无"/>
    <w:basedOn w:val="10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8">
    <w:name w:val="附录章标题"/>
    <w:next w:val="26"/>
    <w:qFormat/>
    <w:uiPriority w:val="0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9">
    <w:name w:val="附录一级条标题"/>
    <w:basedOn w:val="108"/>
    <w:next w:val="26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10">
    <w:name w:val="附录一级无"/>
    <w:basedOn w:val="10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11">
    <w:name w:val="附录字母编号列项（一级）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13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其他标准标志"/>
    <w:basedOn w:val="72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6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7">
    <w:name w:val="其他发布部门"/>
    <w:basedOn w:val="80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18">
    <w:name w:val="前言、引言标题"/>
    <w:next w:val="2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9">
    <w:name w:val="三级无"/>
    <w:basedOn w:val="57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0">
    <w:name w:val="实施日期"/>
    <w:basedOn w:val="81"/>
    <w:qFormat/>
    <w:uiPriority w:val="0"/>
    <w:pPr>
      <w:framePr w:wrap="around" w:vAnchor="page" w:hAnchor="text"/>
      <w:jc w:val="right"/>
    </w:pPr>
  </w:style>
  <w:style w:type="paragraph" w:customStyle="1" w:styleId="121">
    <w:name w:val="示例后文字"/>
    <w:basedOn w:val="26"/>
    <w:next w:val="26"/>
    <w:qFormat/>
    <w:uiPriority w:val="0"/>
    <w:pPr>
      <w:ind w:firstLine="360"/>
    </w:pPr>
    <w:rPr>
      <w:sz w:val="18"/>
    </w:rPr>
  </w:style>
  <w:style w:type="paragraph" w:customStyle="1" w:styleId="122">
    <w:name w:val="首示例"/>
    <w:next w:val="26"/>
    <w:link w:val="123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3">
    <w:name w:val="首示例 Char"/>
    <w:basedOn w:val="38"/>
    <w:link w:val="122"/>
    <w:qFormat/>
    <w:uiPriority w:val="0"/>
    <w:rPr>
      <w:rFonts w:ascii="宋体" w:hAnsi="宋体"/>
      <w:kern w:val="2"/>
      <w:sz w:val="18"/>
      <w:szCs w:val="18"/>
    </w:rPr>
  </w:style>
  <w:style w:type="paragraph" w:customStyle="1" w:styleId="124">
    <w:name w:val="四级无"/>
    <w:basedOn w:val="61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5">
    <w:name w:val="条文脚注"/>
    <w:basedOn w:val="27"/>
    <w:qFormat/>
    <w:uiPriority w:val="0"/>
    <w:pPr>
      <w:numPr>
        <w:numId w:val="0"/>
      </w:numPr>
      <w:jc w:val="both"/>
    </w:pPr>
  </w:style>
  <w:style w:type="paragraph" w:customStyle="1" w:styleId="126">
    <w:name w:val="图标脚注说明"/>
    <w:basedOn w:val="26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7">
    <w:name w:val="图表脚注说明"/>
    <w:basedOn w:val="1"/>
    <w:qFormat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8">
    <w:name w:val="图的脚注"/>
    <w:next w:val="26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0">
    <w:name w:val="五级无"/>
    <w:basedOn w:val="62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31">
    <w:name w:val="一级无"/>
    <w:basedOn w:val="4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32">
    <w:name w:val="正文表标题"/>
    <w:next w:val="26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3">
    <w:name w:val="正文公式编号制表符"/>
    <w:basedOn w:val="26"/>
    <w:next w:val="26"/>
    <w:qFormat/>
    <w:uiPriority w:val="0"/>
    <w:pPr>
      <w:ind w:firstLine="0" w:firstLineChars="0"/>
    </w:pPr>
  </w:style>
  <w:style w:type="paragraph" w:customStyle="1" w:styleId="134">
    <w:name w:val="正文图标题"/>
    <w:next w:val="26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5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36">
    <w:name w:val="其他发布日期"/>
    <w:basedOn w:val="81"/>
    <w:qFormat/>
    <w:uiPriority w:val="0"/>
    <w:pPr>
      <w:framePr w:wrap="around" w:vAnchor="page" w:hAnchor="text" w:x="1419"/>
    </w:pPr>
  </w:style>
  <w:style w:type="paragraph" w:customStyle="1" w:styleId="137">
    <w:name w:val="其他实施日期"/>
    <w:basedOn w:val="120"/>
    <w:qFormat/>
    <w:uiPriority w:val="0"/>
    <w:pPr>
      <w:framePr w:wrap="around"/>
    </w:pPr>
  </w:style>
  <w:style w:type="paragraph" w:customStyle="1" w:styleId="138">
    <w:name w:val="封面标准名称2"/>
    <w:basedOn w:val="84"/>
    <w:qFormat/>
    <w:uiPriority w:val="0"/>
    <w:pPr>
      <w:framePr w:wrap="around" w:y="4469"/>
      <w:spacing w:beforeLines="630"/>
    </w:pPr>
  </w:style>
  <w:style w:type="paragraph" w:customStyle="1" w:styleId="139">
    <w:name w:val="封面标准英文名称2"/>
    <w:basedOn w:val="85"/>
    <w:qFormat/>
    <w:uiPriority w:val="0"/>
    <w:pPr>
      <w:framePr w:wrap="around" w:y="4469"/>
    </w:pPr>
  </w:style>
  <w:style w:type="paragraph" w:customStyle="1" w:styleId="140">
    <w:name w:val="封面一致性程度标识2"/>
    <w:basedOn w:val="86"/>
    <w:qFormat/>
    <w:uiPriority w:val="0"/>
    <w:pPr>
      <w:framePr w:wrap="around" w:y="4469"/>
    </w:pPr>
  </w:style>
  <w:style w:type="paragraph" w:customStyle="1" w:styleId="141">
    <w:name w:val="封面标准文稿类别2"/>
    <w:basedOn w:val="87"/>
    <w:qFormat/>
    <w:uiPriority w:val="0"/>
    <w:pPr>
      <w:framePr w:wrap="around" w:y="4469"/>
    </w:pPr>
  </w:style>
  <w:style w:type="paragraph" w:customStyle="1" w:styleId="142">
    <w:name w:val="封面标准文稿编辑信息2"/>
    <w:basedOn w:val="88"/>
    <w:qFormat/>
    <w:uiPriority w:val="0"/>
    <w:pPr>
      <w:framePr w:wrap="around" w:y="4469"/>
    </w:pPr>
  </w:style>
  <w:style w:type="character" w:customStyle="1" w:styleId="143">
    <w:name w:val="w_正文 Char"/>
    <w:link w:val="144"/>
    <w:qFormat/>
    <w:uiPriority w:val="0"/>
    <w:rPr>
      <w:sz w:val="21"/>
    </w:rPr>
  </w:style>
  <w:style w:type="paragraph" w:customStyle="1" w:styleId="144">
    <w:name w:val="w_正文"/>
    <w:basedOn w:val="26"/>
    <w:link w:val="143"/>
    <w:qFormat/>
    <w:uiPriority w:val="0"/>
    <w:pPr>
      <w:spacing w:line="312" w:lineRule="atLeast"/>
    </w:pPr>
    <w:rPr>
      <w:rFonts w:ascii="Times New Roman"/>
    </w:rPr>
  </w:style>
  <w:style w:type="paragraph" w:styleId="14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character" w:customStyle="1" w:styleId="147">
    <w:name w:val="标题 1 Char"/>
    <w:basedOn w:val="3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48">
    <w:name w:val="页脚 Char"/>
    <w:basedOn w:val="38"/>
    <w:link w:val="20"/>
    <w:qFormat/>
    <w:uiPriority w:val="99"/>
    <w:rPr>
      <w:kern w:val="2"/>
      <w:sz w:val="18"/>
      <w:szCs w:val="18"/>
    </w:rPr>
  </w:style>
  <w:style w:type="character" w:customStyle="1" w:styleId="149">
    <w:name w:val="页眉 Char"/>
    <w:basedOn w:val="38"/>
    <w:link w:val="21"/>
    <w:qFormat/>
    <w:uiPriority w:val="99"/>
    <w:rPr>
      <w:kern w:val="2"/>
      <w:sz w:val="18"/>
      <w:szCs w:val="18"/>
    </w:rPr>
  </w:style>
  <w:style w:type="paragraph" w:customStyle="1" w:styleId="150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151">
    <w:name w:val="批注框文本 Char"/>
    <w:basedOn w:val="38"/>
    <w:link w:val="19"/>
    <w:qFormat/>
    <w:uiPriority w:val="0"/>
    <w:rPr>
      <w:kern w:val="2"/>
      <w:sz w:val="18"/>
      <w:szCs w:val="18"/>
    </w:rPr>
  </w:style>
  <w:style w:type="character" w:customStyle="1" w:styleId="152">
    <w:name w:val="正文文本 Char"/>
    <w:link w:val="1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53">
    <w:name w:val="正文文本 Char1"/>
    <w:basedOn w:val="38"/>
    <w:link w:val="10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  <customShpInfo spid="_x0000_s1039"/>
    <customShpInfo spid="_x0000_s1036"/>
    <customShpInfo spid="_x0000_s1038"/>
    <customShpInfo spid="_x0000_s1037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8</Pages>
  <Words>3825</Words>
  <Characters>4299</Characters>
  <Lines>163</Lines>
  <Paragraphs>45</Paragraphs>
  <TotalTime>1</TotalTime>
  <ScaleCrop>false</ScaleCrop>
  <LinksUpToDate>false</LinksUpToDate>
  <CharactersWithSpaces>4436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2023-03-22T08:17:00Z</dcterms:created>
  <dc:creator>郑玉艳</dc:creator>
  <cp:lastModifiedBy>尤罗利</cp:lastModifiedBy>
  <cp:lastPrinted>2024-11-20T08:53:00Z</cp:lastPrinted>
  <dcterms:modified xsi:type="dcterms:W3CDTF">2024-11-26T01:33:18Z</dcterms:modified>
  <dc:title>标准名称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46F4A4AE0A6C413BA5DA1D7E7D67BE75_12</vt:lpwstr>
  </property>
</Properties>
</file>