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 w:firstLine="2400" w:firstLineChars="250"/>
        <w:jc w:val="right"/>
        <w:rPr>
          <w:b/>
          <w:sz w:val="96"/>
          <w:szCs w:val="96"/>
        </w:rPr>
      </w:pPr>
      <w:bookmarkStart w:id="41" w:name="_GoBack"/>
      <w:bookmarkEnd w:id="41"/>
      <w:r>
        <w:rPr>
          <w:sz w:val="96"/>
          <w:szCs w:val="96"/>
        </w:rPr>
        <w:t>DB</w:t>
      </w:r>
      <w:r>
        <w:rPr>
          <w:rFonts w:hint="eastAsia"/>
          <w:sz w:val="96"/>
          <w:szCs w:val="96"/>
        </w:rPr>
        <w:t>34</w:t>
      </w:r>
    </w:p>
    <w:p>
      <w:pPr>
        <w:ind w:right="26"/>
        <w:jc w:val="left"/>
        <w:rPr>
          <w:rFonts w:eastAsia="黑体"/>
          <w:spacing w:val="110"/>
          <w:sz w:val="52"/>
          <w:szCs w:val="52"/>
        </w:rPr>
      </w:pPr>
      <w:r>
        <w:rPr>
          <w:rFonts w:eastAsia="黑体"/>
          <w:spacing w:val="110"/>
          <w:sz w:val="52"/>
          <w:szCs w:val="52"/>
        </w:rPr>
        <w:t>安 徽 省 地 方 标 准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DB</w:t>
      </w:r>
      <w:r>
        <w:rPr>
          <w:rFonts w:hint="eastAsia"/>
          <w:sz w:val="28"/>
          <w:szCs w:val="28"/>
        </w:rPr>
        <w:t>34</w:t>
      </w:r>
      <w:r>
        <w:rPr>
          <w:sz w:val="28"/>
          <w:szCs w:val="28"/>
        </w:rPr>
        <w:t>/******-20</w:t>
      </w:r>
      <w:r>
        <w:rPr>
          <w:rFonts w:hint="eastAsia"/>
          <w:sz w:val="28"/>
          <w:szCs w:val="28"/>
        </w:rPr>
        <w:t>24</w:t>
      </w:r>
    </w:p>
    <w:p>
      <w:pPr>
        <w:ind w:right="26"/>
        <w:jc w:val="left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    </w:t>
      </w:r>
      <w:r>
        <w:rPr>
          <w:rFonts w:hint="eastAsia"/>
          <w:sz w:val="36"/>
          <w:szCs w:val="36"/>
          <w:u w:val="single"/>
        </w:rPr>
        <w:t xml:space="preserve">                                          </w:t>
      </w:r>
    </w:p>
    <w:p>
      <w:pPr>
        <w:ind w:right="720" w:firstLine="720"/>
        <w:jc w:val="left"/>
        <w:rPr>
          <w:sz w:val="36"/>
          <w:szCs w:val="36"/>
        </w:rPr>
      </w:pPr>
    </w:p>
    <w:p>
      <w:pPr>
        <w:ind w:firstLine="560"/>
        <w:rPr>
          <w:sz w:val="28"/>
          <w:szCs w:val="28"/>
          <w:u w:val="single"/>
        </w:rPr>
      </w:pPr>
    </w:p>
    <w:p>
      <w:pPr>
        <w:jc w:val="center"/>
        <w:rPr>
          <w:rFonts w:eastAsia="黑体"/>
          <w:bCs/>
          <w:spacing w:val="20"/>
          <w:sz w:val="44"/>
          <w:szCs w:val="52"/>
        </w:rPr>
      </w:pPr>
      <w:r>
        <w:rPr>
          <w:rFonts w:hint="eastAsia" w:eastAsia="黑体"/>
          <w:bCs/>
          <w:spacing w:val="20"/>
          <w:sz w:val="44"/>
          <w:szCs w:val="52"/>
        </w:rPr>
        <w:t>中小跨径桥梁工业化建造应用规程</w:t>
      </w:r>
    </w:p>
    <w:p>
      <w:pPr>
        <w:jc w:val="center"/>
        <w:rPr>
          <w:rFonts w:eastAsia="黑体"/>
          <w:bCs/>
          <w:spacing w:val="20"/>
          <w:sz w:val="28"/>
          <w:szCs w:val="52"/>
          <w:highlight w:val="yellow"/>
        </w:rPr>
      </w:pPr>
      <w:r>
        <w:rPr>
          <w:rFonts w:eastAsia="黑体"/>
          <w:bCs/>
          <w:spacing w:val="20"/>
          <w:sz w:val="28"/>
          <w:szCs w:val="52"/>
        </w:rPr>
        <w:t>Code of practice on the technical application for industrial construction of short and medium-span bridges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（征求意见稿）</w:t>
      </w:r>
    </w:p>
    <w:p>
      <w:pPr>
        <w:jc w:val="center"/>
        <w:rPr>
          <w:sz w:val="28"/>
          <w:szCs w:val="28"/>
        </w:rPr>
      </w:pPr>
    </w:p>
    <w:p>
      <w:pPr>
        <w:spacing w:line="360" w:lineRule="auto"/>
        <w:ind w:firstLine="561"/>
        <w:rPr>
          <w:sz w:val="28"/>
          <w:szCs w:val="28"/>
        </w:rPr>
      </w:pPr>
    </w:p>
    <w:p>
      <w:pPr>
        <w:spacing w:line="360" w:lineRule="auto"/>
        <w:ind w:firstLine="561"/>
        <w:rPr>
          <w:sz w:val="28"/>
          <w:szCs w:val="28"/>
        </w:rPr>
      </w:pPr>
    </w:p>
    <w:p>
      <w:pPr>
        <w:spacing w:line="360" w:lineRule="auto"/>
        <w:ind w:firstLine="561"/>
        <w:rPr>
          <w:sz w:val="28"/>
          <w:szCs w:val="28"/>
        </w:rPr>
      </w:pPr>
    </w:p>
    <w:p>
      <w:pPr>
        <w:spacing w:line="360" w:lineRule="auto"/>
        <w:ind w:firstLine="561"/>
        <w:rPr>
          <w:sz w:val="28"/>
          <w:szCs w:val="28"/>
        </w:rPr>
      </w:pPr>
    </w:p>
    <w:p>
      <w:pPr>
        <w:spacing w:line="360" w:lineRule="auto"/>
        <w:ind w:firstLine="561"/>
        <w:rPr>
          <w:sz w:val="28"/>
          <w:szCs w:val="28"/>
        </w:rPr>
      </w:pPr>
    </w:p>
    <w:p>
      <w:pPr>
        <w:spacing w:line="360" w:lineRule="auto"/>
        <w:ind w:firstLine="561"/>
        <w:rPr>
          <w:sz w:val="28"/>
          <w:szCs w:val="28"/>
        </w:rPr>
      </w:pPr>
    </w:p>
    <w:p>
      <w:pPr>
        <w:spacing w:line="360" w:lineRule="auto"/>
        <w:ind w:right="26"/>
        <w:jc w:val="left"/>
        <w:rPr>
          <w:rFonts w:eastAsia="黑体"/>
          <w:sz w:val="28"/>
          <w:szCs w:val="28"/>
        </w:rPr>
      </w:pPr>
      <w:r>
        <w:rPr>
          <w:sz w:val="24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264160</wp:posOffset>
                </wp:positionV>
                <wp:extent cx="5273675" cy="0"/>
                <wp:effectExtent l="0" t="0" r="22225" b="190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3749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.4pt;margin-top:20.8pt;height:0pt;width:415.25pt;z-index:251659264;mso-width-relative:page;mso-height-relative:page;" filled="f" stroked="t" coordsize="21600,21600" o:gfxdata="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O2wLvbVAAAABgEAAA8AAAAAAAAAAQAgAAAAOAAA&#10;AGRycy9kb3ducmV2LnhtbFBLAQIUABQAAAAIAIdO4kBwCfU+9QEAAL4DAAAOAAAAAAAAAAEAIAAA&#10;ADoBAABkcnMvZTJvRG9jLnhtbFBLBQYAAAAABgAGAFkBAACh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eastAsia="黑体"/>
          <w:sz w:val="24"/>
        </w:rPr>
        <w:t>202</w:t>
      </w:r>
      <w:r>
        <w:rPr>
          <w:rFonts w:hint="eastAsia" w:eastAsia="黑体"/>
          <w:sz w:val="24"/>
        </w:rPr>
        <w:t>4</w:t>
      </w:r>
      <w:r>
        <w:rPr>
          <w:rFonts w:eastAsia="黑体"/>
          <w:sz w:val="24"/>
        </w:rPr>
        <w:t>-**-**发布                                          202</w:t>
      </w:r>
      <w:r>
        <w:rPr>
          <w:rFonts w:hint="eastAsia" w:eastAsia="黑体"/>
          <w:sz w:val="24"/>
        </w:rPr>
        <w:t>4</w:t>
      </w:r>
      <w:r>
        <w:rPr>
          <w:rFonts w:eastAsia="黑体"/>
          <w:sz w:val="24"/>
        </w:rPr>
        <w:t>-**-**实施</w:t>
      </w:r>
    </w:p>
    <w:p>
      <w:pPr>
        <w:widowControl/>
        <w:jc w:val="center"/>
        <w:rPr>
          <w:rFonts w:eastAsia="黑体"/>
          <w:sz w:val="36"/>
          <w:szCs w:val="36"/>
        </w:rPr>
      </w:pPr>
    </w:p>
    <w:p>
      <w:pPr>
        <w:widowControl/>
        <w:jc w:val="center"/>
        <w:rPr>
          <w:rFonts w:eastAsia="黑体"/>
          <w:sz w:val="24"/>
          <w:szCs w:val="21"/>
        </w:rPr>
        <w:sectPr>
          <w:footerReference r:id="rId4" w:type="default"/>
          <w:headerReference r:id="rId3" w:type="even"/>
          <w:footerReference r:id="rId5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黑体"/>
          <w:sz w:val="32"/>
          <w:szCs w:val="36"/>
        </w:rPr>
        <w:t>安徽省市场监督管理局</w:t>
      </w:r>
      <w:r>
        <w:rPr>
          <w:rFonts w:eastAsia="黑体"/>
          <w:sz w:val="32"/>
          <w:szCs w:val="36"/>
        </w:rPr>
        <w:t xml:space="preserve">    </w:t>
      </w:r>
      <w:r>
        <w:rPr>
          <w:rFonts w:eastAsia="黑体"/>
          <w:sz w:val="32"/>
          <w:szCs w:val="28"/>
        </w:rPr>
        <w:t>发 布</w:t>
      </w:r>
    </w:p>
    <w:p>
      <w:pPr>
        <w:pStyle w:val="115"/>
        <w:keepNext w:val="0"/>
        <w:pageBreakBefore w:val="0"/>
        <w:numPr>
          <w:ilvl w:val="0"/>
          <w:numId w:val="2"/>
        </w:numPr>
        <w:shd w:val="clear" w:color="auto" w:fill="FFFFFF"/>
        <w:tabs>
          <w:tab w:val="clear" w:pos="1400"/>
        </w:tabs>
        <w:spacing w:before="156" w:after="156"/>
        <w:ind w:left="0"/>
        <w:rPr>
          <w:rFonts w:ascii="Times New Roman"/>
          <w:b/>
          <w:bCs/>
        </w:rPr>
      </w:pPr>
      <w:bookmarkStart w:id="0" w:name="_Toc135944157"/>
      <w:bookmarkStart w:id="1" w:name="_Toc501609675"/>
      <w:bookmarkStart w:id="2" w:name="_Toc351026516"/>
      <w:bookmarkStart w:id="3" w:name="_Toc446080334"/>
      <w:r>
        <w:rPr>
          <w:rFonts w:ascii="Times New Roman"/>
          <w:b/>
          <w:bCs/>
        </w:rPr>
        <w:t>前    言</w:t>
      </w:r>
      <w:bookmarkEnd w:id="0"/>
      <w:bookmarkEnd w:id="1"/>
      <w:bookmarkEnd w:id="2"/>
      <w:bookmarkEnd w:id="3"/>
    </w:p>
    <w:p>
      <w:pPr>
        <w:spacing w:line="276" w:lineRule="auto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>
      <w:pPr>
        <w:spacing w:line="276" w:lineRule="auto"/>
        <w:ind w:firstLine="420"/>
      </w:pPr>
      <w:r>
        <w:rPr>
          <w:rFonts w:hint="eastAsia"/>
        </w:rPr>
        <w:t>请注意本文件的某些内容可能涉及专利，本文件的发布机构不承担识别专利的责任。</w:t>
      </w:r>
    </w:p>
    <w:p>
      <w:pPr>
        <w:spacing w:line="276" w:lineRule="auto"/>
        <w:ind w:firstLine="420"/>
      </w:pPr>
      <w:r>
        <w:rPr>
          <w:rFonts w:hint="eastAsia"/>
        </w:rPr>
        <w:t>本文件由六安市重点工程建设管理处提出。</w:t>
      </w:r>
    </w:p>
    <w:p>
      <w:pPr>
        <w:spacing w:line="276" w:lineRule="auto"/>
        <w:ind w:firstLine="420"/>
      </w:pPr>
      <w:r>
        <w:rPr>
          <w:rFonts w:hint="eastAsia"/>
        </w:rPr>
        <w:t>本文件由</w:t>
      </w:r>
      <w:r>
        <w:t>安徽省交通运输厅</w:t>
      </w:r>
      <w:r>
        <w:rPr>
          <w:rFonts w:hint="eastAsia"/>
        </w:rPr>
        <w:t>归口。</w:t>
      </w:r>
    </w:p>
    <w:p>
      <w:pPr>
        <w:spacing w:line="276" w:lineRule="auto"/>
        <w:ind w:firstLine="420"/>
        <w:rPr>
          <w:rFonts w:hint="eastAsia"/>
        </w:rPr>
      </w:pPr>
      <w:r>
        <w:rPr>
          <w:rFonts w:hint="eastAsia"/>
        </w:rPr>
        <w:t>本文件起草单位：六安市重点工程建设管理处、六安市交通运输局、六安市住房和城乡建设局、安徽省高迪循环经济产业园股份有限公司、安徽省交通规划设计研究总院股份有限公司、安徽省综合交通研究院股份有限公司、合肥工业大学、皖西学院、安徽建工集团股份有限公司、安徽建工公路桥梁建设集团有限公司、安徽建工路港建设集团有限公司、安徽建工建设投资集团有限公司、安徽水利开发有限公司、安徽省交通建设股份有限公司、安徽水安建设集团股份有限公司、安徽数智建造研究院有限公司、中国建筑一局（集团）有限公司</w:t>
      </w:r>
      <w:r>
        <w:rPr>
          <w:rFonts w:hint="eastAsia"/>
          <w:lang w:eastAsia="zh-CN"/>
        </w:rPr>
        <w:t>、安徽高瑞供应链管理有限公司</w:t>
      </w:r>
      <w:r>
        <w:rPr>
          <w:rFonts w:hint="eastAsia"/>
        </w:rPr>
        <w:t>。</w:t>
      </w:r>
    </w:p>
    <w:p>
      <w:pPr>
        <w:spacing w:line="276" w:lineRule="auto"/>
        <w:ind w:firstLine="420"/>
        <w:rPr>
          <w:rFonts w:hint="eastAsia" w:eastAsia="宋体"/>
          <w:color w:val="0000FF"/>
          <w:lang w:eastAsia="zh-CN"/>
        </w:rPr>
        <w:sectPr>
          <w:headerReference r:id="rId6" w:type="default"/>
          <w:footerReference r:id="rId7" w:type="default"/>
          <w:pgSz w:w="11906" w:h="16838"/>
          <w:pgMar w:top="567" w:right="1134" w:bottom="1134" w:left="1418" w:header="1418" w:footer="1134" w:gutter="0"/>
          <w:pgNumType w:start="1"/>
          <w:cols w:space="425" w:num="1"/>
          <w:formProt w:val="0"/>
          <w:docGrid w:type="lines" w:linePitch="312" w:charSpace="0"/>
        </w:sectPr>
      </w:pPr>
      <w:r>
        <w:rPr>
          <w:rFonts w:hint="eastAsia"/>
        </w:rPr>
        <w:t>本文件主要起草人：李教生、程本文、韩燕辉、王胜、唐国喜、杨善红、汪亦显、常光明、陈刚、石怀远、苏颖、陈莘、施德、刘晓晗、储根法、严周为、付香才、徐涛、邵璐、王宗红、张军、</w:t>
      </w:r>
      <w:r>
        <w:rPr>
          <w:rFonts w:hint="eastAsia"/>
          <w:lang w:eastAsia="zh-CN"/>
        </w:rPr>
        <w:t>高向东</w:t>
      </w:r>
      <w:r>
        <w:rPr>
          <w:rFonts w:hint="eastAsia"/>
        </w:rPr>
        <w:t>、朱宇、曹新垒、邱体军、屈计划、王胜斌、夏飞龙、窦巍、李邦映、李中辉、刘玉亭、孙谋华、代义磊、李杨阳、张光红、臧世超、郭盼盼、沈正峰、吴平、李长春、张丹、王凯、任良和、谢庆龙、程杨、孙高峰、宣菲、沈翔、罗升、胡爱明</w:t>
      </w:r>
    </w:p>
    <w:p>
      <w:pPr>
        <w:pStyle w:val="53"/>
        <w:rPr>
          <w:rFonts w:ascii="Times New Roman"/>
        </w:rPr>
      </w:pPr>
      <w:r>
        <w:rPr>
          <w:rFonts w:hint="eastAsia" w:ascii="Times New Roman"/>
        </w:rPr>
        <w:t>中小跨径桥梁工业化建造应用规程</w:t>
      </w:r>
    </w:p>
    <w:p>
      <w:pPr>
        <w:pStyle w:val="48"/>
        <w:spacing w:before="312" w:after="312"/>
        <w:rPr>
          <w:rFonts w:ascii="Times New Roman"/>
        </w:rPr>
      </w:pPr>
      <w:bookmarkStart w:id="4" w:name="_Toc135944159"/>
      <w:r>
        <w:rPr>
          <w:rFonts w:hint="eastAsia" w:ascii="Times New Roman"/>
        </w:rPr>
        <w:t>范围</w:t>
      </w:r>
      <w:bookmarkEnd w:id="4"/>
    </w:p>
    <w:p>
      <w:pPr>
        <w:pStyle w:val="28"/>
        <w:rPr>
          <w:rFonts w:ascii="Times New Roman"/>
        </w:rPr>
      </w:pPr>
      <w:r>
        <w:rPr>
          <w:rFonts w:hint="eastAsia" w:ascii="Times New Roman"/>
        </w:rPr>
        <w:t>本文件规定了中小跨径桥梁工业化建造的术语和定义、工业化建造的基本规定、设计、预制生产、安装施工、质量检验。</w:t>
      </w:r>
    </w:p>
    <w:p>
      <w:pPr>
        <w:pStyle w:val="28"/>
        <w:rPr>
          <w:rFonts w:ascii="Times New Roman"/>
        </w:rPr>
      </w:pPr>
      <w:r>
        <w:rPr>
          <w:rFonts w:hint="eastAsia" w:ascii="Times New Roman"/>
        </w:rPr>
        <w:t>本文件适用于公路及城市中小跨径桥梁工业化建造。</w:t>
      </w:r>
    </w:p>
    <w:p>
      <w:pPr>
        <w:pStyle w:val="48"/>
        <w:spacing w:before="312" w:after="312"/>
        <w:rPr>
          <w:rFonts w:ascii="Times New Roman"/>
        </w:rPr>
      </w:pPr>
      <w:bookmarkStart w:id="5" w:name="_Toc135944160"/>
      <w:r>
        <w:rPr>
          <w:rFonts w:hint="eastAsia" w:ascii="Times New Roman"/>
        </w:rPr>
        <w:t>规范性引用文件</w:t>
      </w:r>
      <w:bookmarkEnd w:id="5"/>
    </w:p>
    <w:p>
      <w:pPr>
        <w:pStyle w:val="28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下列文件对于本文件的应用是必不可少的。凡是注日期的引用文件，仅所注日期的版本适用于本文件。凡是不注日期的引用文件，其最新版本（包括所有修改单）适用于本文件。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GB</w:t>
      </w:r>
      <w:r>
        <w:rPr>
          <w:rFonts w:hint="eastAsia" w:ascii="Times New Roman"/>
        </w:rPr>
        <w:t>/T</w:t>
      </w:r>
      <w:r>
        <w:rPr>
          <w:rFonts w:ascii="Times New Roman"/>
        </w:rPr>
        <w:t xml:space="preserve"> </w:t>
      </w:r>
      <w:r>
        <w:rPr>
          <w:rFonts w:hint="eastAsia" w:ascii="Times New Roman"/>
        </w:rPr>
        <w:t>33000　企业安全生产标准化基本规范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GB 50187</w:t>
      </w:r>
      <w:r>
        <w:rPr>
          <w:rFonts w:hint="eastAsia" w:ascii="Times New Roman"/>
        </w:rPr>
        <w:t>　工业企业总平面设计规范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GB 50</w:t>
      </w:r>
      <w:r>
        <w:rPr>
          <w:rFonts w:hint="eastAsia" w:ascii="Times New Roman"/>
        </w:rPr>
        <w:t>870　建筑施工安全技术统一规范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CJJ 2</w:t>
      </w:r>
      <w:r>
        <w:rPr>
          <w:rFonts w:hint="eastAsia" w:ascii="Times New Roman"/>
        </w:rPr>
        <w:t>　城市桥梁工程施工与质量验收规范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CJJ 11</w:t>
      </w:r>
      <w:r>
        <w:rPr>
          <w:rFonts w:hint="eastAsia" w:ascii="Times New Roman"/>
        </w:rPr>
        <w:t>　城市桥梁设计规范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CJJ 166</w:t>
      </w:r>
      <w:r>
        <w:rPr>
          <w:rFonts w:hint="eastAsia" w:ascii="Times New Roman"/>
        </w:rPr>
        <w:t>　</w:t>
      </w:r>
      <w:r>
        <w:rPr>
          <w:rFonts w:hint="eastAsia"/>
        </w:rPr>
        <w:t>城市桥梁抗震设计规范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JTG/T 2231-01</w:t>
      </w:r>
      <w:r>
        <w:rPr>
          <w:rFonts w:hint="eastAsia" w:ascii="Times New Roman"/>
        </w:rPr>
        <w:t>　公路桥梁抗震设计规范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 3362</w:t>
      </w:r>
      <w:r>
        <w:rPr>
          <w:rFonts w:hint="eastAsia" w:ascii="Times New Roman"/>
        </w:rPr>
        <w:t>　公路钢筋混凝土及预应力混凝土桥涵设计规范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 3363</w:t>
      </w:r>
      <w:r>
        <w:rPr>
          <w:rFonts w:hint="eastAsia" w:ascii="Times New Roman"/>
        </w:rPr>
        <w:t>　公路桥涵地基与基础设计规范</w:t>
      </w:r>
    </w:p>
    <w:p>
      <w:pPr>
        <w:pStyle w:val="28"/>
        <w:rPr>
          <w:rFonts w:ascii="Times New Roman"/>
        </w:rPr>
      </w:pPr>
      <w:r>
        <w:rPr>
          <w:rFonts w:hint="eastAsia" w:ascii="Times New Roman"/>
        </w:rPr>
        <w:t>JTG</w:t>
      </w:r>
      <w:r>
        <w:rPr>
          <w:rFonts w:ascii="Times New Roman"/>
        </w:rPr>
        <w:t>/</w:t>
      </w:r>
      <w:r>
        <w:rPr>
          <w:rFonts w:hint="eastAsia" w:ascii="Times New Roman"/>
        </w:rPr>
        <w:t>T 3365-05</w:t>
      </w:r>
      <w:r>
        <w:rPr>
          <w:rFonts w:ascii="Times New Roman"/>
        </w:rPr>
        <w:t xml:space="preserve"> </w:t>
      </w:r>
      <w:r>
        <w:rPr>
          <w:rFonts w:hint="eastAsia" w:ascii="Times New Roman"/>
        </w:rPr>
        <w:t>公路装配式混凝土桥梁设计规范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JTG/T 3650</w:t>
      </w:r>
      <w:r>
        <w:rPr>
          <w:rFonts w:hint="eastAsia" w:ascii="Times New Roman"/>
        </w:rPr>
        <w:t>　公路桥涵施工技术规范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 D60</w:t>
      </w:r>
      <w:r>
        <w:rPr>
          <w:rFonts w:hint="eastAsia" w:ascii="Times New Roman"/>
        </w:rPr>
        <w:t>　公路桥涵设计通用规范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 D64</w:t>
      </w:r>
      <w:r>
        <w:rPr>
          <w:rFonts w:hint="eastAsia" w:ascii="Times New Roman"/>
        </w:rPr>
        <w:t>　公路钢结构桥梁设计规范</w:t>
      </w:r>
    </w:p>
    <w:p>
      <w:pPr>
        <w:pStyle w:val="28"/>
        <w:rPr>
          <w:rFonts w:ascii="Times New Roman"/>
        </w:rPr>
      </w:pPr>
      <w:r>
        <w:rPr>
          <w:rFonts w:ascii="Times New Roman"/>
        </w:rPr>
        <w:t>JTG F80/1-2017</w:t>
      </w:r>
      <w:r>
        <w:rPr>
          <w:rFonts w:hint="eastAsia" w:ascii="Times New Roman"/>
        </w:rPr>
        <w:t>　公路工程质量检验评定标准</w:t>
      </w:r>
    </w:p>
    <w:p>
      <w:pPr>
        <w:pStyle w:val="48"/>
        <w:spacing w:before="312" w:after="312"/>
        <w:rPr>
          <w:rFonts w:ascii="Times New Roman"/>
        </w:rPr>
      </w:pPr>
      <w:bookmarkStart w:id="6" w:name="_Toc135944161"/>
      <w:r>
        <w:rPr>
          <w:rFonts w:ascii="Times New Roman"/>
        </w:rPr>
        <w:t>术语</w:t>
      </w:r>
      <w:r>
        <w:rPr>
          <w:rFonts w:hint="eastAsia" w:ascii="Times New Roman"/>
        </w:rPr>
        <w:t>和定义</w:t>
      </w:r>
      <w:bookmarkEnd w:id="6"/>
    </w:p>
    <w:p>
      <w:pPr>
        <w:pStyle w:val="28"/>
      </w:pPr>
      <w:r>
        <w:rPr>
          <w:rFonts w:hint="eastAsia"/>
        </w:rPr>
        <w:t>下列术语和定义适用于本文件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bookmarkStart w:id="7" w:name="_Toc135925164"/>
      <w:bookmarkEnd w:id="7"/>
      <w:bookmarkStart w:id="8" w:name="_Toc135936328"/>
      <w:bookmarkEnd w:id="8"/>
      <w:bookmarkStart w:id="9" w:name="_Toc135929324"/>
      <w:bookmarkEnd w:id="9"/>
      <w:bookmarkStart w:id="10" w:name="_Toc135944162"/>
      <w:bookmarkEnd w:id="10"/>
    </w:p>
    <w:p>
      <w:pPr>
        <w:pStyle w:val="28"/>
        <w:rPr>
          <w:rFonts w:ascii="Times New Roman" w:eastAsia="黑体"/>
        </w:rPr>
      </w:pPr>
      <w:r>
        <w:rPr>
          <w:rFonts w:hint="eastAsia" w:ascii="Times New Roman" w:eastAsia="黑体"/>
        </w:rPr>
        <w:t>中小跨径桥梁 short and medium-span bridges</w:t>
      </w:r>
    </w:p>
    <w:p>
      <w:pPr>
        <w:pStyle w:val="173"/>
        <w:ind w:firstLine="420"/>
        <w:rPr>
          <w:rFonts w:ascii="Times New Roman"/>
        </w:rPr>
      </w:pPr>
      <w:r>
        <w:rPr>
          <w:rFonts w:hint="eastAsia"/>
        </w:rPr>
        <w:t>单孔跨径小于等于40m的桥梁。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bookmarkStart w:id="11" w:name="_Toc135944163"/>
      <w:bookmarkEnd w:id="11"/>
      <w:bookmarkStart w:id="12" w:name="_Toc135929325"/>
      <w:bookmarkEnd w:id="12"/>
      <w:bookmarkStart w:id="13" w:name="_Toc135925165"/>
      <w:bookmarkEnd w:id="13"/>
      <w:bookmarkStart w:id="14" w:name="_Toc135936329"/>
      <w:bookmarkEnd w:id="14"/>
    </w:p>
    <w:p>
      <w:pPr>
        <w:pStyle w:val="28"/>
        <w:rPr>
          <w:rFonts w:ascii="Times New Roman" w:eastAsia="黑体"/>
        </w:rPr>
      </w:pPr>
      <w:r>
        <w:rPr>
          <w:rFonts w:hint="eastAsia" w:ascii="黑体" w:hAnsi="黑体" w:eastAsia="黑体"/>
        </w:rPr>
        <w:t>标准化设计</w:t>
      </w:r>
      <w:r>
        <w:rPr>
          <w:rFonts w:ascii="黑体" w:hAnsi="黑体" w:eastAsia="黑体"/>
        </w:rPr>
        <w:t xml:space="preserve"> standardized design</w:t>
      </w:r>
    </w:p>
    <w:p>
      <w:pPr>
        <w:pStyle w:val="28"/>
        <w:rPr>
          <w:rFonts w:ascii="Times New Roman"/>
        </w:rPr>
      </w:pPr>
      <w:r>
        <w:rPr>
          <w:rFonts w:hint="eastAsia"/>
        </w:rPr>
        <w:t>在一定时期内，面向通用产品，采用共性条件，制定桥梁构件相对统一的标准、模式和构造，开展适用于技术上成熟，经济上合理，市场上需求广泛的通用桥梁产品设计。</w:t>
      </w:r>
    </w:p>
    <w:p>
      <w:pPr>
        <w:pStyle w:val="45"/>
        <w:spacing w:before="156" w:after="156"/>
        <w:ind w:left="0"/>
        <w:jc w:val="both"/>
      </w:pPr>
      <w:bookmarkStart w:id="15" w:name="_Toc135929326"/>
      <w:bookmarkEnd w:id="15"/>
      <w:bookmarkStart w:id="16" w:name="_Toc135925166"/>
      <w:bookmarkEnd w:id="16"/>
      <w:bookmarkStart w:id="17" w:name="_Toc135944164"/>
      <w:bookmarkEnd w:id="17"/>
      <w:bookmarkStart w:id="18" w:name="_Toc135936330"/>
      <w:bookmarkEnd w:id="18"/>
    </w:p>
    <w:p>
      <w:pPr>
        <w:pStyle w:val="28"/>
        <w:rPr>
          <w:rFonts w:ascii="Times New Roman" w:eastAsia="黑体"/>
          <w:b/>
          <w:bCs/>
        </w:rPr>
      </w:pPr>
      <w:r>
        <w:rPr>
          <w:rFonts w:hint="eastAsia" w:ascii="黑体" w:hAnsi="黑体" w:eastAsia="黑体"/>
        </w:rPr>
        <w:t>预制工厂</w:t>
      </w:r>
      <w:r>
        <w:rPr>
          <w:rFonts w:ascii="黑体" w:hAnsi="黑体" w:eastAsia="黑体"/>
        </w:rPr>
        <w:t xml:space="preserve"> precasting plant</w:t>
      </w:r>
    </w:p>
    <w:p>
      <w:pPr>
        <w:pStyle w:val="28"/>
        <w:rPr>
          <w:rFonts w:ascii="Times New Roman"/>
        </w:rPr>
      </w:pPr>
      <w:r>
        <w:rPr>
          <w:rFonts w:hint="eastAsia"/>
        </w:rPr>
        <w:t>采用集约化生产进行标准化、机械化、信息化生产混凝土桥梁构件预制的工厂。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bookmarkStart w:id="19" w:name="_Toc135944165"/>
      <w:bookmarkEnd w:id="19"/>
      <w:bookmarkStart w:id="20" w:name="_Toc135936331"/>
      <w:bookmarkEnd w:id="20"/>
      <w:bookmarkStart w:id="21" w:name="_Toc135929327"/>
      <w:bookmarkEnd w:id="21"/>
      <w:bookmarkStart w:id="22" w:name="_Toc135925167"/>
      <w:bookmarkEnd w:id="22"/>
    </w:p>
    <w:p>
      <w:pPr>
        <w:pStyle w:val="28"/>
        <w:rPr>
          <w:rFonts w:ascii="Times New Roman" w:eastAsia="黑体"/>
        </w:rPr>
      </w:pPr>
      <w:r>
        <w:rPr>
          <w:rFonts w:hint="eastAsia" w:ascii="黑体" w:hAnsi="黑体" w:eastAsia="黑体"/>
        </w:rPr>
        <w:t>预制构件</w:t>
      </w:r>
      <w:r>
        <w:rPr>
          <w:rFonts w:ascii="黑体" w:hAnsi="黑体" w:eastAsia="黑体"/>
        </w:rPr>
        <w:t xml:space="preserve"> prefabricated component</w:t>
      </w:r>
    </w:p>
    <w:p>
      <w:pPr>
        <w:pStyle w:val="28"/>
      </w:pPr>
      <w:r>
        <w:rPr>
          <w:rFonts w:hint="eastAsia"/>
        </w:rPr>
        <w:t>在工厂预先生产制作的混凝土或钢混组合构件。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</w:p>
    <w:p>
      <w:pPr>
        <w:pStyle w:val="28"/>
        <w:rPr>
          <w:rFonts w:ascii="Times New Roman" w:eastAsia="黑体"/>
        </w:rPr>
      </w:pPr>
      <w:r>
        <w:rPr>
          <w:rFonts w:hint="eastAsia" w:ascii="黑体" w:hAnsi="黑体" w:eastAsia="黑体"/>
        </w:rPr>
        <w:t>流水作业</w:t>
      </w:r>
      <w:r>
        <w:rPr>
          <w:rFonts w:ascii="黑体" w:hAnsi="黑体" w:eastAsia="黑体"/>
        </w:rPr>
        <w:t xml:space="preserve"> flow process</w:t>
      </w:r>
    </w:p>
    <w:p>
      <w:pPr>
        <w:pStyle w:val="28"/>
      </w:pPr>
      <w:r>
        <w:rPr>
          <w:rFonts w:hint="eastAsia"/>
        </w:rPr>
        <w:t>劳动对象按一定的统一的生产标准和工艺路线，连续不断地通过各个工序，按流程进行加工并生产出产品的一种生产组织形式。</w:t>
      </w:r>
    </w:p>
    <w:p>
      <w:pPr>
        <w:pStyle w:val="45"/>
        <w:spacing w:before="156" w:after="156"/>
        <w:ind w:left="0"/>
        <w:jc w:val="both"/>
        <w:rPr>
          <w:rFonts w:ascii="Times New Roman"/>
          <w:strike/>
        </w:rPr>
      </w:pPr>
    </w:p>
    <w:p>
      <w:pPr>
        <w:pStyle w:val="28"/>
        <w:rPr>
          <w:rFonts w:ascii="Times New Roman" w:eastAsia="黑体"/>
        </w:rPr>
      </w:pPr>
      <w:r>
        <w:rPr>
          <w:rFonts w:hint="eastAsia" w:ascii="黑体" w:hAnsi="黑体" w:eastAsia="黑体"/>
        </w:rPr>
        <w:t>模块化绑扎</w:t>
      </w:r>
      <w:r>
        <w:rPr>
          <w:rFonts w:ascii="黑体" w:hAnsi="黑体" w:eastAsia="黑体"/>
        </w:rPr>
        <w:t xml:space="preserve"> modular reinforcement binding</w:t>
      </w:r>
    </w:p>
    <w:p>
      <w:pPr>
        <w:pStyle w:val="28"/>
      </w:pPr>
      <w:r>
        <w:rPr>
          <w:rFonts w:hint="eastAsia"/>
        </w:rPr>
        <w:t>预制构件的钢筋绑扎按一定的结构组成单元独立绑扎，再统一组合形成整体的绑扎方法。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</w:p>
    <w:p>
      <w:pPr>
        <w:pStyle w:val="28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 xml:space="preserve">智能化工厂 </w:t>
      </w:r>
      <w:r>
        <w:rPr>
          <w:rFonts w:ascii="黑体" w:hAnsi="黑体" w:eastAsia="黑体"/>
        </w:rPr>
        <w:t>Intelligent factory</w:t>
      </w:r>
    </w:p>
    <w:p>
      <w:pPr>
        <w:pStyle w:val="28"/>
        <w:rPr>
          <w:rFonts w:ascii="Times New Roman"/>
        </w:rPr>
      </w:pPr>
      <w:r>
        <w:rPr>
          <w:rFonts w:hint="eastAsia"/>
        </w:rPr>
        <w:t>利用智能监测、信息管控系统，能够持续优化生产组织，智能化运行整个生产流程。</w:t>
      </w:r>
    </w:p>
    <w:p>
      <w:pPr>
        <w:pStyle w:val="48"/>
        <w:spacing w:before="312" w:after="312"/>
        <w:rPr>
          <w:rFonts w:ascii="Times New Roman"/>
        </w:rPr>
      </w:pPr>
      <w:bookmarkStart w:id="23" w:name="_Toc135944166"/>
      <w:bookmarkEnd w:id="23"/>
      <w:bookmarkStart w:id="24" w:name="_Toc135925168"/>
      <w:bookmarkEnd w:id="24"/>
      <w:bookmarkStart w:id="25" w:name="_Toc135929328"/>
      <w:bookmarkEnd w:id="25"/>
      <w:bookmarkStart w:id="26" w:name="_Toc135936332"/>
      <w:bookmarkEnd w:id="26"/>
      <w:bookmarkStart w:id="27" w:name="_Toc534988382"/>
      <w:bookmarkStart w:id="28" w:name="_Hlk36797142"/>
      <w:r>
        <w:rPr>
          <w:rFonts w:hint="eastAsia" w:ascii="Times New Roman"/>
        </w:rPr>
        <w:t>基本规定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工业化建造基本原则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桥梁工业化建造应坚持标准化设计、工厂化生产、装配化安装、信息化管理的方针，生产质量安全耐久、性能优良稳定的桥梁产品。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bookmarkStart w:id="29" w:name="_Hlk175147008"/>
      <w:r>
        <w:rPr>
          <w:rFonts w:hint="eastAsia" w:ascii="Times New Roman"/>
        </w:rPr>
        <w:t>标准化设计应按“模数化、少种类、多组合”的原则及预制、运输、安装便利性需求，进行标准化设计，实现构件的标准化和通用化。</w:t>
      </w:r>
    </w:p>
    <w:bookmarkEnd w:id="29"/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工厂化生产应建立完善的生产质量、安全、环保等管理体系，保障产品质量与生产安全，保护环境并降低能耗。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装配化安装应制定相互协作配套的施工组织方案，采用相应的技术、设备和机具，进行装配化安装，保证安装精度与现场安全，提高劳动效率。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bookmarkStart w:id="30" w:name="_Hlk175147071"/>
      <w:r>
        <w:rPr>
          <w:rFonts w:hint="eastAsia" w:ascii="Times New Roman"/>
        </w:rPr>
        <w:t>信息化管理宜采用数字化手段，建立信息化管控系统，充分利用大数据分析，采用全流程的信息化管理。</w:t>
      </w:r>
      <w:bookmarkEnd w:id="30"/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桥梁工业化建造应积极推广使用可靠的新技术、新工艺、新材料、新设备。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桥梁工业化建造应符合质量、安全、环保、节能等管理体系要求。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预制工厂建设与运营</w:t>
      </w:r>
    </w:p>
    <w:p>
      <w:pPr>
        <w:pStyle w:val="66"/>
        <w:adjustRightInd w:val="0"/>
        <w:spacing w:before="156" w:after="156"/>
        <w:rPr>
          <w:rFonts w:ascii="Times New Roman"/>
        </w:rPr>
      </w:pPr>
      <w:bookmarkStart w:id="31" w:name="_Hlk175147409"/>
      <w:r>
        <w:rPr>
          <w:rFonts w:hint="eastAsia" w:ascii="Times New Roman"/>
        </w:rPr>
        <w:t>预制工厂的规划与建设应符合 GB 50187 等国家及行业现行规范的要求，宜采用智能化工厂组织生产。</w:t>
      </w:r>
      <w:bookmarkEnd w:id="31"/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预制工厂的布局应符合下列规定：</w:t>
      </w:r>
    </w:p>
    <w:p>
      <w:pPr>
        <w:pStyle w:val="28"/>
        <w:adjustRightInd w:val="0"/>
        <w:snapToGrid w:val="0"/>
      </w:pPr>
      <w:r>
        <w:rPr>
          <w:rFonts w:hint="eastAsia"/>
        </w:rPr>
        <w:t>a）可参照附录A对厂区面积、设备设施及生产线用地标准等进行选用；</w:t>
      </w:r>
    </w:p>
    <w:p>
      <w:pPr>
        <w:pStyle w:val="28"/>
        <w:adjustRightInd w:val="0"/>
        <w:snapToGrid w:val="0"/>
      </w:pPr>
      <w:bookmarkStart w:id="32" w:name="_Hlk175147465"/>
      <w:r>
        <w:rPr>
          <w:rFonts w:hint="eastAsia"/>
        </w:rPr>
        <w:t>b）应根据需求，结合厂外运输通道，合理设置厂内运输路线；</w:t>
      </w:r>
      <w:bookmarkEnd w:id="32"/>
    </w:p>
    <w:p>
      <w:pPr>
        <w:pStyle w:val="28"/>
        <w:adjustRightInd w:val="0"/>
        <w:snapToGrid w:val="0"/>
      </w:pPr>
      <w:r>
        <w:rPr>
          <w:rFonts w:hint="eastAsia"/>
        </w:rPr>
        <w:t>c）应分区布置生产区与办公生活区；</w:t>
      </w:r>
    </w:p>
    <w:p>
      <w:pPr>
        <w:pStyle w:val="28"/>
        <w:adjustRightInd w:val="0"/>
        <w:snapToGrid w:val="0"/>
      </w:pPr>
      <w:bookmarkStart w:id="33" w:name="_Hlk175147495"/>
      <w:r>
        <w:rPr>
          <w:rFonts w:hint="eastAsia"/>
        </w:rPr>
        <w:t>d）宜按流水作业模式集约化布置生产线。</w:t>
      </w:r>
      <w:bookmarkEnd w:id="33"/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预制厂应根据生产需求，充分利用智能化决策，动态调整技术、管理与施工作业人员配置。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预制工厂生产线宜采用自动化的钢筋加工、混凝土拌合、混凝土浇筑、混凝土养生以及预应力张拉和压浆等设备，并建立设备的维修保养与报废制度。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预制工厂应设置专用环境保护设施，并同预制工厂建设同时设计、同时施工、同时投入生产和使用。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现场安装组织与管控</w:t>
      </w:r>
    </w:p>
    <w:p>
      <w:pPr>
        <w:pStyle w:val="66"/>
        <w:adjustRightInd w:val="0"/>
        <w:spacing w:before="156" w:after="156"/>
        <w:rPr>
          <w:rFonts w:ascii="Times New Roman"/>
        </w:rPr>
      </w:pPr>
      <w:bookmarkStart w:id="34" w:name="_Hlk175147562"/>
      <w:r>
        <w:rPr>
          <w:rFonts w:hint="eastAsia" w:ascii="Times New Roman"/>
        </w:rPr>
        <w:t>安装单位应具有相应资质，采用专业化的施工队伍，安装施工工艺选择应充分发挥装配化、标准化的优势，提高安装效率，降低施工风险。</w:t>
      </w:r>
    </w:p>
    <w:bookmarkEnd w:id="34"/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安装前应根据设计要求、建设条件、技术特点等编制施工组织方案，内容包括构件安装计划、场地、材料、人员、机械的组织，以及相应的质量、环境、安全管理措施等，按要求批准后方可实施。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信息化管理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预制工厂宜建立信息管理系统平台，由信息专员对平台进行维护，平台可对工程建设全过程实施动态、量化、科学、系统的管理和控制。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信息管理系统宜覆盖构件预制、安装全过程，每个构件设置身份标识，并随项目设计、预制及安装等环节实施，实现信息有效传递、过程共享和协同工作。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bookmarkStart w:id="35" w:name="_Hlk175147628"/>
      <w:r>
        <w:rPr>
          <w:rFonts w:hint="eastAsia" w:ascii="Times New Roman"/>
        </w:rPr>
        <w:t>施工过程中应及时对信息化管理产生的数据进行分析，通过大数据分析及时掌握生产、质量的动态变化情况，为相关管控决策提供支撑。</w:t>
      </w:r>
      <w:bookmarkEnd w:id="35"/>
    </w:p>
    <w:p>
      <w:pPr>
        <w:pStyle w:val="48"/>
        <w:spacing w:before="312" w:after="312"/>
        <w:rPr>
          <w:rFonts w:ascii="Times New Roman"/>
        </w:rPr>
      </w:pPr>
      <w:bookmarkStart w:id="36" w:name="_Toc135944173"/>
      <w:r>
        <w:rPr>
          <w:rFonts w:hint="eastAsia" w:ascii="Times New Roman"/>
        </w:rPr>
        <w:t>设计</w:t>
      </w:r>
      <w:bookmarkEnd w:id="36"/>
    </w:p>
    <w:bookmarkEnd w:id="27"/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一般规定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设计应符合 CJJ 11、CJJ 166、JTG/T 2231-01、JTG 3362、JTG 3363、JTG 3365、JTG D60、JTG D64 等公路及城市桥梁现行相关规范的规定。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可进行桥梁工业化建造的构件宜编制可通用的标准图。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宜采用信息化技术进行辅助设计。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标准图编制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标准图编制应符合本文件 4.1.2 条的规定，并建立中小跨径桥梁工业化建造的构件产品目录。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标准图编制应综合考虑市政桥梁和公路桥梁特性，对构件类型尽量进行统一，或制定不同序列产品。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标准图应根据国家标准及行业规范的更新，结合行业技术的发展及时修编。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标准图应针对连接构造开展专项设计，通过合理构造、尺寸，采用新材料或开发新型连接装置， 保证连接的可靠性与拼装的便利性。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标准图宜以工厂化产品设计理念为指导，充分考虑通用性要求。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开展深化设计，考虑拆模、起吊、运输、安装的相关要求，对局部构造进行优化，应满足下列要求：</w:t>
      </w:r>
    </w:p>
    <w:p>
      <w:pPr>
        <w:pStyle w:val="28"/>
        <w:adjustRightInd w:val="0"/>
        <w:snapToGrid w:val="0"/>
      </w:pPr>
      <w:r>
        <w:rPr>
          <w:rFonts w:hint="eastAsia"/>
        </w:rPr>
        <w:t xml:space="preserve">a)构件边缘宜做倒角处理，且不应出现锐角； </w:t>
      </w:r>
    </w:p>
    <w:p>
      <w:pPr>
        <w:pStyle w:val="28"/>
        <w:adjustRightInd w:val="0"/>
        <w:snapToGrid w:val="0"/>
      </w:pPr>
      <w:r>
        <w:rPr>
          <w:rFonts w:hint="eastAsia"/>
        </w:rPr>
        <w:t>b)构件尺寸设计应考虑脱模的便利性，不宜设置过小；</w:t>
      </w:r>
    </w:p>
    <w:p>
      <w:pPr>
        <w:pStyle w:val="28"/>
        <w:adjustRightInd w:val="0"/>
        <w:snapToGrid w:val="0"/>
      </w:pPr>
      <w:r>
        <w:rPr>
          <w:rFonts w:hint="eastAsia"/>
        </w:rPr>
        <w:t>c)应对临时存放、运输提出相应技术要求，并开展构造设计；</w:t>
      </w:r>
    </w:p>
    <w:p>
      <w:pPr>
        <w:pStyle w:val="28"/>
        <w:adjustRightInd w:val="0"/>
        <w:snapToGrid w:val="0"/>
      </w:pPr>
      <w:r>
        <w:rPr>
          <w:rFonts w:hint="eastAsia"/>
        </w:rPr>
        <w:t xml:space="preserve">d)应明确吊点位置与吊钩构造，保证起吊安全及吊装的便利性； </w:t>
      </w:r>
    </w:p>
    <w:p>
      <w:pPr>
        <w:pStyle w:val="28"/>
        <w:adjustRightInd w:val="0"/>
        <w:snapToGrid w:val="0"/>
      </w:pPr>
      <w:r>
        <w:rPr>
          <w:rFonts w:hint="eastAsia"/>
        </w:rPr>
        <w:t>e)</w:t>
      </w:r>
      <w:r>
        <w:rPr>
          <w:rFonts w:hint="eastAsia"/>
        </w:rPr>
        <w:tab/>
      </w:r>
      <w:r>
        <w:rPr>
          <w:rFonts w:hint="eastAsia"/>
        </w:rPr>
        <w:t>应考虑运输条件限制、安装设备起吊能力、结构临时支立及安装状态的要求。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标准图编制应明确各阶段临时荷载的限值。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施工图设计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根据建设背景、建设条件、相关规范及本文件的要求开展施工图设计，宜优先选用已经颁布的标准图集的标准化结构形式。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施工图设计选用标准图时，应对标准图进行复核验算，可根据不同技术标准优化配筋配束。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对于少部分运输困难或难以标准化的特殊构件，可采用非标准化设计。</w:t>
      </w:r>
    </w:p>
    <w:p>
      <w:pPr>
        <w:pStyle w:val="48"/>
        <w:spacing w:before="312" w:after="312"/>
      </w:pPr>
      <w:bookmarkStart w:id="37" w:name="_Toc135944176"/>
      <w:r>
        <w:rPr>
          <w:rFonts w:hint="eastAsia"/>
        </w:rPr>
        <w:t>预制生产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一般规定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构件预制包含生产准备、预制生产、存储与出厂等环节，应符合设计文件的要求，设计未规定时应符合 CJJ 2 和 JTG/T 3650 的要求。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预制工厂应建立健全构件生产质量保证体系，明确预制生产过程中的质量责任，加强质量管理。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生产准备与改进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 xml:space="preserve">预制生产前应对人员就位情况、设备运转情况、物料储备情况进行检查。 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 xml:space="preserve">预制生产前应对进场材料、构配件等按现行国家及行业规范要求进行检验。 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 xml:space="preserve">预制生产前应进行混凝土配合比设计及验证，并根据原材料变化及时进行调整。 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 xml:space="preserve">预制生产前应根据构件的生产特点确定工艺流程，细化作业指导，宜采用数字化手段开展技术交底与培训。 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 xml:space="preserve">预制生产应执行首件试制制度，对首件进行全面检验与总结，合格后方可进行批量生产。 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预制生产应强化安全管理，加强安全教育，严格执行安全操作规程，保障生产安全。</w:t>
      </w:r>
      <w:bookmarkEnd w:id="37"/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构件预制生产一定批次后，应对构件试生产的工效、质量等数据进行分析，并对工艺技术与管理进行升级改进，通过持续更新实现技术升级完善。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构件生产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构件预制生产工艺可参照图1执行。</w:t>
      </w:r>
    </w:p>
    <w:p>
      <w:pPr>
        <w:pStyle w:val="157"/>
        <w:rPr>
          <w:rFonts w:hint="eastAsia" w:ascii="Times New Roman"/>
        </w:rPr>
      </w:pPr>
      <w:r>
        <w:rPr>
          <w:rFonts w:ascii="Times New Roman"/>
        </w:rPr>
        <w:drawing>
          <wp:inline distT="0" distB="0" distL="0" distR="0">
            <wp:extent cx="3630930" cy="5200650"/>
            <wp:effectExtent l="0" t="0" r="7620" b="0"/>
            <wp:docPr id="1805028677" name="图片 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028677" name="图片 4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6408" cy="522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5"/>
        <w:rPr>
          <w:b/>
          <w:bCs/>
        </w:rPr>
      </w:pPr>
      <w:r>
        <w:rPr>
          <w:rFonts w:hint="eastAsia"/>
          <w:b/>
          <w:bCs/>
        </w:rPr>
        <w:t>图1工艺流程示意图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生产流水线各工位应集约安排配置，按相对固定流水节拍生产预制构件。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钢筋应采用数控设备加工成型，在定型胎架上进行模块化绑扎。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预埋件应进行编号，并按照设计要求及顺序进行预埋；对连接预埋件，应采用钢筋骨架定位， 采取可靠的支撑措施保障预埋精度。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模板应严格按照规范要求精度进行制作及安装，接缝严密，并应定期检修、保养及更换。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混凝土宜采用自动布料机分层浇筑，并根据构件特点，选择先进、合理的振捣方式，保证振捣质量。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构件预制应建立可靠的养生系统，保障其周边环境温度与湿度。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预应力张拉前构件应符合设计关于龄期、强度的有关规定，应采用智能张拉、压浆系统。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预制生产各环节均应按现行国家标准和行业规范开展质量检验，有完整的质量验收记录。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生产构件应标注项目名称、构件编号、规格型号、制作日期、合格状态、生产单位等信息，产品标识应牢固可靠、易于检查。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预制工厂应按国家现行有关标准进行构件质量检验，出厂前应附产品合格证明文件。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预制工厂应按批次或定期开展生产效率、生产质量的统计与分析，对生产效率、生产质量的均匀性进行评估，在出现均匀性波动较大的情况时，应及时查找原因并进行生产工艺优化。 </w:t>
      </w:r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存储与出厂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厂内运输应采用合理的运输组织方案，包括运输时间、次序、运输路线、固定要求、堆放支垫及成品保护措施，应避免二次倒运；对尺寸较大、形状特殊的大型预制构件，应制定运输和存放的具体措施。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T 梁、小箱梁存储堆叠层数不宜超过 2 层，空心板存储堆叠层数不宜超过 3 层，桥面板堆叠层数根据计算确定，装配式下部结构采用立式存放方式。 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按照架设要求合理控制存梁期限。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 xml:space="preserve">构件出厂前应对沿途道路及桥梁通行能力、承载能力进行评估，选择合理的运输载具与运输路线，并应符合地方关于大件运输政策的相关要求。 </w:t>
      </w:r>
    </w:p>
    <w:p>
      <w:pPr>
        <w:pStyle w:val="66"/>
        <w:adjustRightInd w:val="0"/>
        <w:rPr>
          <w:rFonts w:ascii="Times New Roman"/>
        </w:rPr>
      </w:pPr>
      <w:r>
        <w:rPr>
          <w:rFonts w:hint="eastAsia" w:ascii="Times New Roman"/>
        </w:rPr>
        <w:t>构件出厂运输过程中应符合当地关于环境保护的相关要求，控制噪声与扬尘。</w:t>
      </w:r>
      <w:bookmarkEnd w:id="28"/>
    </w:p>
    <w:p>
      <w:pPr>
        <w:pStyle w:val="45"/>
        <w:spacing w:before="156" w:after="156"/>
        <w:ind w:left="0"/>
        <w:rPr>
          <w:rFonts w:ascii="Times New Roman"/>
        </w:rPr>
      </w:pPr>
      <w:r>
        <w:rPr>
          <w:rFonts w:hint="eastAsia" w:ascii="Times New Roman"/>
        </w:rPr>
        <w:t>智能化管控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构件工业化预制生产宜建立智能化管控系统，利用智能化管控系统统筹生产人员、智能化生产设备等硬件设备，基于过程监测、数据分析、智能决策，达到构件生产高效、品质稳定。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智能化管控系统应采用简易的操作方式实现管控软件的功能，宜按照信息采集、信息处理、信息共享、管控决策等功能模块进行开发。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预制生产过程中应对人员、设施设备、材料、工艺流程、流水线作业、产品等开展管理，建立完善的铲平信息科溯源体系。</w:t>
      </w:r>
    </w:p>
    <w:p>
      <w:pPr>
        <w:pStyle w:val="66"/>
        <w:adjustRightInd w:val="0"/>
        <w:spacing w:before="156" w:after="156"/>
        <w:rPr>
          <w:rFonts w:ascii="Times New Roman"/>
        </w:rPr>
      </w:pPr>
      <w:r>
        <w:rPr>
          <w:rFonts w:hint="eastAsia" w:ascii="Times New Roman"/>
        </w:rPr>
        <w:t>智能化管控系统除应该具备信息的采集、存储等功能外，还应具备一套对系统数据库信息进行智能化分析、对异常信息主动响应与反馈的预警机制。</w:t>
      </w:r>
    </w:p>
    <w:p>
      <w:pPr>
        <w:pStyle w:val="48"/>
        <w:spacing w:before="312" w:after="312"/>
      </w:pPr>
      <w:r>
        <w:rPr>
          <w:rFonts w:hint="eastAsia" w:ascii="Times New Roman"/>
        </w:rPr>
        <w:t>安装施工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bookmarkStart w:id="38" w:name="_Toc135944180"/>
      <w:r>
        <w:rPr>
          <w:rFonts w:hint="eastAsia" w:ascii="Times New Roman"/>
        </w:rPr>
        <w:t>一般规定</w:t>
      </w:r>
      <w:bookmarkEnd w:id="38"/>
    </w:p>
    <w:p>
      <w:pPr>
        <w:pStyle w:val="66"/>
      </w:pPr>
      <w:r>
        <w:rPr>
          <w:rFonts w:hint="eastAsia"/>
        </w:rPr>
        <w:t xml:space="preserve">安装应符合设计文件的要求，设计未规定时应符合 CJJ 2和JTG/T 3650 的要求。 </w:t>
      </w:r>
    </w:p>
    <w:p>
      <w:pPr>
        <w:pStyle w:val="66"/>
      </w:pPr>
      <w:r>
        <w:rPr>
          <w:rFonts w:hint="eastAsia"/>
        </w:rPr>
        <w:t xml:space="preserve">安装前应编制安装专项施工方案，明确质量保证措施，并加强安装精度与接缝质量控制。 </w:t>
      </w:r>
    </w:p>
    <w:p>
      <w:pPr>
        <w:pStyle w:val="66"/>
        <w:adjustRightInd w:val="0"/>
        <w:rPr>
          <w:rFonts w:ascii="Times New Roman"/>
        </w:rPr>
      </w:pPr>
      <w:r>
        <w:rPr>
          <w:rFonts w:hint="eastAsia"/>
        </w:rPr>
        <w:t>安装前应严格开展人员安全教育交底与培训，施工过程中应加强安全隐患排查与处理。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bookmarkStart w:id="39" w:name="_Toc135944181"/>
      <w:r>
        <w:rPr>
          <w:rFonts w:hint="eastAsia" w:ascii="Times New Roman"/>
        </w:rPr>
        <w:t>安装准备</w:t>
      </w:r>
      <w:bookmarkEnd w:id="39"/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安装作业前，配备的安装人员、设备及现场环境应满足安全生产条件的有关要求。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构件运输进场时，应核验产品合格证明文件，交接验收记录。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安装前应对设备、施工机具进行调试及安全检查，对辅助材料进行进场检验。</w:t>
      </w:r>
    </w:p>
    <w:p>
      <w:pPr>
        <w:pStyle w:val="66"/>
        <w:rPr>
          <w:rFonts w:ascii="Times New Roman"/>
        </w:rPr>
      </w:pPr>
      <w:r>
        <w:rPr>
          <w:rFonts w:hint="eastAsia" w:ascii="Times New Roman"/>
        </w:rPr>
        <w:t>安装前应根据构件结构型式及精度要求制定施工测量方案，确定测量方法，应对涉及构件平面与高程进行位置检查，合格后方可起吊安装。</w:t>
      </w:r>
    </w:p>
    <w:p>
      <w:pPr>
        <w:pStyle w:val="66"/>
      </w:pPr>
      <w:r>
        <w:rPr>
          <w:rFonts w:hint="eastAsia" w:ascii="Times New Roman"/>
        </w:rPr>
        <w:t>装配式下部结构构件拼装前应进行预拼装。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r>
        <w:rPr>
          <w:rFonts w:hint="eastAsia" w:ascii="Times New Roman"/>
        </w:rPr>
        <w:t>现场安装</w:t>
      </w:r>
    </w:p>
    <w:p>
      <w:pPr>
        <w:pStyle w:val="66"/>
      </w:pPr>
      <w:r>
        <w:rPr>
          <w:rFonts w:hint="eastAsia"/>
        </w:rPr>
        <w:t>构件起吊应进行试吊，对起吊系统的安全性进行全面检查。</w:t>
      </w:r>
    </w:p>
    <w:p>
      <w:pPr>
        <w:pStyle w:val="66"/>
      </w:pPr>
      <w:r>
        <w:rPr>
          <w:rFonts w:hint="eastAsia"/>
        </w:rPr>
        <w:t>现场安装起吊设备站位、吊点位置等操作要点应与安装方案一致，如采用两台起重机抬吊应统一指挥、协调一致，合理控制使用功率。</w:t>
      </w:r>
    </w:p>
    <w:p>
      <w:pPr>
        <w:pStyle w:val="66"/>
      </w:pPr>
      <w:r>
        <w:rPr>
          <w:rFonts w:hint="eastAsia"/>
        </w:rPr>
        <w:t>在构件安装过程中应对构件进行保护，避免构件磕碰破损。</w:t>
      </w:r>
    </w:p>
    <w:p>
      <w:pPr>
        <w:pStyle w:val="66"/>
      </w:pPr>
      <w:r>
        <w:rPr>
          <w:rFonts w:hint="eastAsia"/>
        </w:rPr>
        <w:t>装配式下部结构应先座浆，然后起吊就位；就位后应采用调节装置对空间位置进行调整；精度满足要求后，及时进行湿接缝的浇筑或灌浆料的压浆作业。</w:t>
      </w:r>
    </w:p>
    <w:p>
      <w:pPr>
        <w:pStyle w:val="66"/>
      </w:pPr>
      <w:r>
        <w:rPr>
          <w:rFonts w:hint="eastAsia"/>
        </w:rPr>
        <w:t>梁板就位后，应及时设置锁定装置或支撑，将构件临时固定，对横向自稳性较差的结构，应与先安装的构件进行可靠的连接，防止倾倒。</w:t>
      </w:r>
    </w:p>
    <w:p>
      <w:pPr>
        <w:pStyle w:val="66"/>
      </w:pPr>
      <w:r>
        <w:rPr>
          <w:rFonts w:hint="eastAsia"/>
        </w:rPr>
        <w:t>湿接缝、灌浆料强度满足设计要求后，方可进行下阶段作业。</w:t>
      </w:r>
    </w:p>
    <w:p>
      <w:pPr>
        <w:pStyle w:val="66"/>
      </w:pPr>
      <w:r>
        <w:rPr>
          <w:rFonts w:hint="eastAsia"/>
        </w:rPr>
        <w:t>安装完成后应及时对安装质量及接缝施工质量进行检验，宜将检验数据录入工业化信息管控系统。</w:t>
      </w:r>
    </w:p>
    <w:p>
      <w:pPr>
        <w:pStyle w:val="48"/>
        <w:spacing w:before="312" w:after="312"/>
        <w:rPr>
          <w:rFonts w:ascii="Times New Roman"/>
        </w:rPr>
      </w:pPr>
      <w:r>
        <w:rPr>
          <w:rFonts w:hint="eastAsia" w:ascii="Times New Roman"/>
        </w:rPr>
        <w:t>质量验收</w:t>
      </w:r>
    </w:p>
    <w:p>
      <w:pPr>
        <w:pStyle w:val="45"/>
        <w:spacing w:before="156" w:after="156"/>
        <w:ind w:left="0"/>
        <w:jc w:val="both"/>
        <w:rPr>
          <w:rFonts w:ascii="Times New Roman"/>
        </w:rPr>
      </w:pPr>
      <w:r>
        <w:rPr>
          <w:rFonts w:hint="eastAsia" w:ascii="Times New Roman"/>
        </w:rPr>
        <w:t>一般规定</w:t>
      </w:r>
    </w:p>
    <w:p>
      <w:pPr>
        <w:pStyle w:val="66"/>
      </w:pPr>
      <w:r>
        <w:rPr>
          <w:rFonts w:hint="eastAsia"/>
        </w:rPr>
        <w:t xml:space="preserve">桥梁工业化建造应执行国家法律法规及相关技术标准，按照设计文件进行施工，满足工程结构安全、耐久性能及使用功能要求。 </w:t>
      </w:r>
    </w:p>
    <w:p>
      <w:pPr>
        <w:pStyle w:val="66"/>
      </w:pPr>
      <w:r>
        <w:rPr>
          <w:rFonts w:hint="eastAsia"/>
        </w:rPr>
        <w:t>桥梁工业化建造工程施工质量的验收除应符合本文件外，尚应符合国家现行有关标准的规定。</w:t>
      </w:r>
    </w:p>
    <w:p>
      <w:pPr>
        <w:pStyle w:val="66"/>
      </w:pPr>
      <w:r>
        <w:rPr>
          <w:rFonts w:hint="eastAsia"/>
        </w:rPr>
        <w:t>应根据</w:t>
      </w:r>
      <w:r>
        <w:t>JTG F80/1-2017</w:t>
      </w:r>
      <w:r>
        <w:rPr>
          <w:rFonts w:hint="eastAsia"/>
        </w:rPr>
        <w:t>的有关规定，结合工厂化预制、装配化施工的生产组织特点合理划分分部、分项工程。</w:t>
      </w:r>
    </w:p>
    <w:p>
      <w:pPr>
        <w:pStyle w:val="45"/>
        <w:spacing w:before="156" w:after="156"/>
        <w:ind w:left="0"/>
        <w:jc w:val="both"/>
      </w:pPr>
      <w:r>
        <w:rPr>
          <w:rFonts w:hint="eastAsia"/>
        </w:rPr>
        <w:t>检验组织与管理</w:t>
      </w:r>
    </w:p>
    <w:p>
      <w:pPr>
        <w:pStyle w:val="66"/>
      </w:pPr>
      <w:r>
        <w:rPr>
          <w:rFonts w:hint="eastAsia"/>
        </w:rPr>
        <w:t>正式组织预制生产前，项目监理单位应派驻驻场监理员，对预制生产过程的质量进行监督管理。</w:t>
      </w:r>
    </w:p>
    <w:p>
      <w:pPr>
        <w:pStyle w:val="66"/>
      </w:pPr>
      <w:r>
        <w:rPr>
          <w:rFonts w:hint="eastAsia"/>
        </w:rPr>
        <w:t>预制生产应建立产品质量检验与管理体系，经检验合格的构件颁布产品合格证，产品合格证可作为构件分项检验合格的主要依据</w:t>
      </w:r>
      <w:r>
        <w:t xml:space="preserve">。 </w:t>
      </w:r>
    </w:p>
    <w:p>
      <w:pPr>
        <w:pStyle w:val="66"/>
      </w:pPr>
      <w:r>
        <w:rPr>
          <w:rFonts w:hint="eastAsia"/>
        </w:rPr>
        <w:t>预制施工过程应有真实、准确、齐全、完整的施工原始记录、试验检测数据、质量检验等质量保证资料，在预制构件出厂时，相关资料应同步移交</w:t>
      </w:r>
      <w:r>
        <w:t>。</w:t>
      </w:r>
    </w:p>
    <w:p>
      <w:pPr>
        <w:pStyle w:val="66"/>
      </w:pPr>
      <w:r>
        <w:rPr>
          <w:rFonts w:hint="eastAsia"/>
        </w:rPr>
        <w:t>安装过程结合面、连接部等部位应该按照隐蔽工程进行质量检验</w:t>
      </w:r>
      <w:r>
        <w:t>。</w:t>
      </w:r>
    </w:p>
    <w:p>
      <w:pPr>
        <w:pStyle w:val="66"/>
        <w:rPr>
          <w:rFonts w:eastAsia="黑体"/>
          <w:szCs w:val="20"/>
        </w:rPr>
      </w:pPr>
      <w:r>
        <w:rPr>
          <w:rFonts w:hint="eastAsia"/>
        </w:rPr>
        <w:t>质量检验数据宜录入智能化管控系统，建立完整的质量检验电子数据库。</w:t>
      </w:r>
      <w:r>
        <w:br w:type="page"/>
      </w:r>
    </w:p>
    <w:p>
      <w:pPr>
        <w:pStyle w:val="87"/>
        <w:ind w:left="0"/>
        <w:rPr>
          <w:rFonts w:ascii="Times New Roman"/>
        </w:rPr>
      </w:pPr>
      <w:r>
        <w:rPr>
          <w:rFonts w:ascii="Times New Roman"/>
        </w:rPr>
        <w:t xml:space="preserve">  </w:t>
      </w:r>
      <w:bookmarkStart w:id="40" w:name="_Toc135944186"/>
    </w:p>
    <w:p>
      <w:pPr>
        <w:pStyle w:val="87"/>
        <w:numPr>
          <w:ilvl w:val="0"/>
          <w:numId w:val="0"/>
        </w:numPr>
        <w:snapToGrid w:val="0"/>
        <w:spacing w:before="0" w:after="0"/>
        <w:rPr>
          <w:rFonts w:ascii="Times New Roman"/>
        </w:rPr>
      </w:pPr>
      <w:r>
        <w:rPr>
          <w:rFonts w:hint="eastAsia"/>
        </w:rPr>
        <w:t>（资料性）</w:t>
      </w:r>
    </w:p>
    <w:bookmarkEnd w:id="40"/>
    <w:p>
      <w:pPr>
        <w:pStyle w:val="87"/>
        <w:numPr>
          <w:ilvl w:val="0"/>
          <w:numId w:val="0"/>
        </w:numPr>
        <w:snapToGrid w:val="0"/>
        <w:spacing w:before="0" w:after="0"/>
        <w:rPr>
          <w:rFonts w:ascii="Times New Roman"/>
        </w:rPr>
      </w:pPr>
      <w:r>
        <w:rPr>
          <w:rFonts w:hint="eastAsia" w:ascii="Times New Roman"/>
        </w:rPr>
        <w:t>预制工厂规模及配置要求</w:t>
      </w:r>
    </w:p>
    <w:p>
      <w:pPr>
        <w:pStyle w:val="28"/>
        <w:spacing w:before="156" w:beforeLines="50" w:after="156" w:afterLines="50"/>
        <w:ind w:firstLine="0" w:firstLineChars="0"/>
        <w:rPr>
          <w:rFonts w:ascii="Times New Roman"/>
        </w:rPr>
      </w:pPr>
      <w:r>
        <w:rPr>
          <w:rFonts w:ascii="黑体" w:hAnsi="黑体" w:eastAsia="黑体"/>
        </w:rPr>
        <w:t>A.1</w:t>
      </w:r>
      <w:r>
        <w:rPr>
          <w:rFonts w:ascii="Times New Roman"/>
        </w:rPr>
        <w:t xml:space="preserve">  </w:t>
      </w:r>
      <w:r>
        <w:rPr>
          <w:rFonts w:hint="eastAsia" w:ascii="Times New Roman"/>
        </w:rPr>
        <w:t>A.1 预制工厂的生产规模及相关配置宜满足表 A.1 的要求。</w:t>
      </w:r>
    </w:p>
    <w:p>
      <w:pPr>
        <w:pStyle w:val="9"/>
        <w:spacing w:before="178"/>
        <w:ind w:left="72" w:right="1" w:firstLine="420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表A.1 预制工厂建设的基本要求</w:t>
      </w:r>
    </w:p>
    <w:tbl>
      <w:tblPr>
        <w:tblStyle w:val="36"/>
        <w:tblW w:w="4999" w:type="pct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75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988" w:type="pct"/>
            <w:tcBorders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内容</w:t>
            </w:r>
          </w:p>
        </w:tc>
        <w:tc>
          <w:tcPr>
            <w:tcW w:w="4012" w:type="pct"/>
            <w:tcBorders>
              <w:left w:val="single" w:color="000000" w:sz="4" w:space="0"/>
            </w:tcBorders>
            <w:vAlign w:val="center"/>
          </w:tcPr>
          <w:p>
            <w:pPr>
              <w:pStyle w:val="176"/>
            </w:pPr>
            <w:r>
              <w:t>基本要求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88" w:type="pc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产能（m</w:t>
            </w:r>
            <w:r>
              <w:rPr>
                <w:vertAlign w:val="superscript"/>
              </w:rPr>
              <w:t>3</w:t>
            </w:r>
            <w:r>
              <w:t>/年）</w:t>
            </w:r>
          </w:p>
        </w:tc>
        <w:tc>
          <w:tcPr>
            <w:tcW w:w="4012" w:type="pc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≥50000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场地面积（m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≥30000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钢筋加工车间（m2）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≥1200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存储区能力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存储区面积一般为生产区面积的</w:t>
            </w:r>
            <w:r>
              <w:rPr>
                <w:rFonts w:hint="eastAsia"/>
              </w:rPr>
              <w:t>0.8</w:t>
            </w:r>
            <w:r>
              <w:t>～</w:t>
            </w:r>
            <w:r>
              <w:rPr>
                <w:rFonts w:hint="eastAsia"/>
              </w:rPr>
              <w:t>1.5</w:t>
            </w:r>
            <w:r>
              <w:t xml:space="preserve">倍； </w:t>
            </w:r>
          </w:p>
          <w:p>
            <w:pPr>
              <w:pStyle w:val="176"/>
            </w:pPr>
            <w:r>
              <w:t>存储能力一般不少于夏季连续生产28天构件存储需要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台座数量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应与预制工期、数量相匹配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钢筋加工设备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配置满足调直、弯折、切断生产要求的钢筋自动加工成套设备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吊装设备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每条生产线至少配备满足起吊吨位要求的起重及辅助吊装设备各 1 台，宜采用龙门吊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自动喷淋养护设施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梁板类：每片梁板设喷管不应少于3条（一般顶部一条，两侧面各一条）；每条喷管长度应大于梁体长度，喷头间距小于0.5 m；小箱梁体内再增设一条； 其它类：满足养生需求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8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其他施工设备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智能化混凝土搅拌、钢筋加工设备、预应力张拉设备及压浆设备等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988" w:type="pc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施工质检员、安全员</w:t>
            </w:r>
          </w:p>
        </w:tc>
        <w:tc>
          <w:tcPr>
            <w:tcW w:w="4012" w:type="pc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76"/>
            </w:pPr>
            <w:r>
              <w:t>不少于3人</w:t>
            </w:r>
          </w:p>
        </w:tc>
      </w:tr>
    </w:tbl>
    <w:p>
      <w:pPr>
        <w:pStyle w:val="28"/>
        <w:spacing w:before="156" w:beforeLines="50" w:after="156" w:afterLines="50"/>
        <w:ind w:firstLine="0" w:firstLineChars="0"/>
        <w:rPr>
          <w:rFonts w:ascii="Times New Roman"/>
        </w:rPr>
      </w:pPr>
      <w:r>
        <w:rPr>
          <w:rFonts w:ascii="黑体" w:hAnsi="黑体" w:eastAsia="黑体"/>
        </w:rPr>
        <w:t xml:space="preserve">A.2 </w:t>
      </w:r>
      <w:r>
        <w:rPr>
          <w:rFonts w:hint="eastAsia" w:ascii="Times New Roman"/>
        </w:rPr>
        <w:t>A.2 预制工厂单条生产线构件生产区场地建设最小标准宜按照表 A.2 执行。</w:t>
      </w:r>
    </w:p>
    <w:p>
      <w:pPr>
        <w:pStyle w:val="9"/>
        <w:spacing w:before="177"/>
        <w:ind w:left="71" w:right="1" w:firstLine="420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表A.2 单线构件生产区场地建设最小标准</w:t>
      </w:r>
    </w:p>
    <w:tbl>
      <w:tblPr>
        <w:tblStyle w:val="36"/>
        <w:tblW w:w="4999" w:type="pct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1503"/>
        <w:gridCol w:w="1256"/>
        <w:gridCol w:w="2562"/>
        <w:gridCol w:w="1157"/>
        <w:gridCol w:w="140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96" w:type="pct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生产线种类</w:t>
            </w:r>
          </w:p>
        </w:tc>
        <w:tc>
          <w:tcPr>
            <w:tcW w:w="1472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宽度（m）</w:t>
            </w:r>
          </w:p>
        </w:tc>
        <w:tc>
          <w:tcPr>
            <w:tcW w:w="1984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长度（m）</w:t>
            </w:r>
          </w:p>
        </w:tc>
        <w:tc>
          <w:tcPr>
            <w:tcW w:w="748" w:type="pct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pStyle w:val="176"/>
            </w:pPr>
            <w:r>
              <w:t>面积（m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96" w:type="pct"/>
            <w:vMerge w:val="continue"/>
            <w:tcBorders>
              <w:top w:val="nil"/>
              <w:right w:val="single" w:color="000000" w:sz="4" w:space="0"/>
            </w:tcBorders>
            <w:vAlign w:val="center"/>
          </w:tcPr>
          <w:p>
            <w:pPr>
              <w:pStyle w:val="176"/>
            </w:pPr>
          </w:p>
        </w:tc>
        <w:tc>
          <w:tcPr>
            <w:tcW w:w="802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需求宽度</w:t>
            </w:r>
          </w:p>
        </w:tc>
        <w:tc>
          <w:tcPr>
            <w:tcW w:w="670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每跨宽度</w:t>
            </w:r>
          </w:p>
        </w:tc>
        <w:tc>
          <w:tcPr>
            <w:tcW w:w="136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工位间距</w:t>
            </w:r>
          </w:p>
        </w:tc>
        <w:tc>
          <w:tcPr>
            <w:tcW w:w="61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制梁区总长</w:t>
            </w:r>
          </w:p>
        </w:tc>
        <w:tc>
          <w:tcPr>
            <w:tcW w:w="748" w:type="pct"/>
            <w:vMerge w:val="continue"/>
            <w:tcBorders>
              <w:top w:val="nil"/>
              <w:left w:val="single" w:color="000000" w:sz="4" w:space="0"/>
            </w:tcBorders>
            <w:vAlign w:val="center"/>
          </w:tcPr>
          <w:p>
            <w:pPr>
              <w:pStyle w:val="176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96" w:type="pc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空心板</w:t>
            </w:r>
          </w:p>
        </w:tc>
        <w:tc>
          <w:tcPr>
            <w:tcW w:w="80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梁长+5×2</w:t>
            </w:r>
          </w:p>
        </w:tc>
        <w:tc>
          <w:tcPr>
            <w:tcW w:w="670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≥25</w:t>
            </w:r>
          </w:p>
        </w:tc>
        <w:tc>
          <w:tcPr>
            <w:tcW w:w="13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4.5-5.0</w:t>
            </w:r>
          </w:p>
        </w:tc>
        <w:tc>
          <w:tcPr>
            <w:tcW w:w="61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≥50</w:t>
            </w:r>
          </w:p>
        </w:tc>
        <w:tc>
          <w:tcPr>
            <w:tcW w:w="748" w:type="pc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1250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9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T 梁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梁长+2.5×2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≥25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3.5-4.0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≥40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1000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9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小箱梁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梁长+5×2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≥35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5.0-6.0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≥60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2100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9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组合梁桥面板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梁长+2.5×2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≥25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外轮廓线（含出筋）+1×2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≥50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76"/>
            </w:pPr>
            <w:r>
              <w:t>1250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96" w:type="pc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装配式下部结构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/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≥25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/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76"/>
            </w:pPr>
            <w:r>
              <w:t>≥50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76"/>
            </w:pPr>
            <w:r>
              <w:t>1250</w:t>
            </w:r>
          </w:p>
        </w:tc>
      </w:tr>
    </w:tbl>
    <w:p>
      <w:pPr>
        <w:pStyle w:val="87"/>
        <w:numPr>
          <w:ilvl w:val="0"/>
          <w:numId w:val="0"/>
        </w:numPr>
        <w:ind w:left="3969"/>
        <w:rPr>
          <w:highlight w:val="lightGray"/>
        </w:rPr>
      </w:pPr>
    </w:p>
    <w:p>
      <w:pPr>
        <w:widowControl/>
        <w:jc w:val="left"/>
        <w:rPr>
          <w:rFonts w:ascii="黑体" w:eastAsia="黑体"/>
          <w:kern w:val="0"/>
          <w:szCs w:val="20"/>
          <w:highlight w:val="lightGray"/>
        </w:rPr>
      </w:pPr>
      <w:r>
        <w:rPr>
          <w:highlight w:val="lightGray"/>
        </w:rPr>
        <w:br w:type="page"/>
      </w:r>
    </w:p>
    <w:p>
      <w:pPr>
        <w:pStyle w:val="87"/>
        <w:ind w:left="0"/>
        <w:rPr>
          <w:rFonts w:ascii="Times New Roman"/>
        </w:rPr>
      </w:pPr>
      <w:r>
        <w:rPr>
          <w:rFonts w:ascii="Times New Roman"/>
        </w:rPr>
        <w:t xml:space="preserve">  </w:t>
      </w:r>
    </w:p>
    <w:p>
      <w:pPr>
        <w:pStyle w:val="87"/>
        <w:numPr>
          <w:ilvl w:val="0"/>
          <w:numId w:val="0"/>
        </w:numPr>
        <w:snapToGrid w:val="0"/>
        <w:spacing w:before="0" w:after="0"/>
        <w:rPr>
          <w:rFonts w:ascii="Times New Roman"/>
        </w:rPr>
      </w:pPr>
      <w:r>
        <w:rPr>
          <w:rFonts w:hint="eastAsia"/>
        </w:rPr>
        <w:t>（资料性）</w:t>
      </w:r>
    </w:p>
    <w:p>
      <w:pPr>
        <w:pStyle w:val="87"/>
        <w:numPr>
          <w:ilvl w:val="0"/>
          <w:numId w:val="0"/>
        </w:numPr>
        <w:snapToGrid w:val="0"/>
        <w:spacing w:before="0" w:after="0"/>
        <w:rPr>
          <w:rFonts w:ascii="Times New Roman"/>
        </w:rPr>
      </w:pPr>
      <w:r>
        <w:rPr>
          <w:rFonts w:hint="eastAsia" w:ascii="Times New Roman"/>
        </w:rPr>
        <w:t>可编制中小跨径桥梁工业化建造标准图集目录</w:t>
      </w:r>
    </w:p>
    <w:p>
      <w:pPr>
        <w:pStyle w:val="28"/>
        <w:spacing w:before="156" w:beforeLines="50" w:after="156" w:afterLines="50"/>
        <w:ind w:firstLine="0" w:firstLineChars="0"/>
        <w:rPr>
          <w:rFonts w:ascii="Times New Roman"/>
        </w:rPr>
      </w:pPr>
      <w:r>
        <w:rPr>
          <w:rFonts w:hint="eastAsia" w:ascii="黑体" w:hAnsi="黑体" w:eastAsia="黑体"/>
        </w:rPr>
        <w:t>B</w:t>
      </w:r>
      <w:r>
        <w:rPr>
          <w:rFonts w:ascii="黑体" w:hAnsi="黑体" w:eastAsia="黑体"/>
        </w:rPr>
        <w:t>.1</w:t>
      </w:r>
      <w:r>
        <w:rPr>
          <w:rFonts w:ascii="Times New Roman"/>
        </w:rPr>
        <w:t xml:space="preserve">  </w:t>
      </w:r>
      <w:r>
        <w:rPr>
          <w:rFonts w:hint="eastAsia" w:ascii="Times New Roman"/>
        </w:rPr>
        <w:t>结合当前技术成熟度，可编制中小跨径桥梁工业化建造标准图集的预制构件形式目录见表B.1。</w:t>
      </w:r>
    </w:p>
    <w:p>
      <w:pPr>
        <w:pStyle w:val="9"/>
        <w:spacing w:before="177"/>
        <w:ind w:left="71" w:right="1" w:firstLine="420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表B.1 中小跨径桥梁工业化建造标准图集目录</w:t>
      </w:r>
    </w:p>
    <w:tbl>
      <w:tblPr>
        <w:tblStyle w:val="36"/>
        <w:tblW w:w="4999" w:type="pct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52"/>
        <w:gridCol w:w="72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48" w:type="pct"/>
            <w:tcBorders>
              <w:right w:val="single" w:color="000000" w:sz="4" w:space="0"/>
            </w:tcBorders>
          </w:tcPr>
          <w:p>
            <w:pPr>
              <w:pStyle w:val="176"/>
            </w:pPr>
            <w:r>
              <w:t>序号</w:t>
            </w:r>
          </w:p>
        </w:tc>
        <w:tc>
          <w:tcPr>
            <w:tcW w:w="3851" w:type="pct"/>
            <w:tcBorders>
              <w:left w:val="single" w:color="000000" w:sz="4" w:space="0"/>
            </w:tcBorders>
          </w:tcPr>
          <w:p>
            <w:pPr>
              <w:pStyle w:val="176"/>
            </w:pPr>
            <w:r>
              <w:t>标准图名称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48" w:type="pct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176"/>
            </w:pPr>
            <w:r>
              <w:t xml:space="preserve">1 </w:t>
            </w:r>
          </w:p>
        </w:tc>
        <w:tc>
          <w:tcPr>
            <w:tcW w:w="3851" w:type="pct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176"/>
            </w:pPr>
            <w:r>
              <w:t xml:space="preserve">装配式预应力混凝土连续箱梁--25 m小箱梁标准图集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4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6"/>
            </w:pPr>
            <w:r>
              <w:t xml:space="preserve">2 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76"/>
            </w:pPr>
            <w:r>
              <w:t xml:space="preserve">装配式预应力混凝土连续箱梁--30 m小箱梁标准图集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4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6"/>
            </w:pPr>
            <w:r>
              <w:t xml:space="preserve">3 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76"/>
            </w:pPr>
            <w:r>
              <w:t xml:space="preserve">装配式预应力混凝土连续箱梁--35 m小箱梁标准图集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4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6"/>
            </w:pPr>
            <w:r>
              <w:t xml:space="preserve">4 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76"/>
            </w:pPr>
            <w:r>
              <w:t>装配式预应力混凝土T梁--25 m</w:t>
            </w:r>
            <w:r>
              <w:rPr>
                <w:rFonts w:hint="eastAsia"/>
              </w:rPr>
              <w:t xml:space="preserve"> </w:t>
            </w:r>
            <w:r>
              <w:t>T梁标准图集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4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6"/>
            </w:pPr>
            <w:r>
              <w:t xml:space="preserve">5 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76"/>
            </w:pPr>
            <w:r>
              <w:t>装配式预应力混凝土T梁--30 m</w:t>
            </w:r>
            <w:r>
              <w:rPr>
                <w:rFonts w:hint="eastAsia"/>
              </w:rPr>
              <w:t xml:space="preserve"> </w:t>
            </w:r>
            <w:r>
              <w:t>T梁标准图集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48" w:type="pct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176"/>
            </w:pPr>
            <w:r>
              <w:t xml:space="preserve">6 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176"/>
            </w:pPr>
            <w:r>
              <w:t>装配式预应力混凝土T梁--40 m</w:t>
            </w:r>
            <w:r>
              <w:rPr>
                <w:rFonts w:hint="eastAsia"/>
              </w:rPr>
              <w:t xml:space="preserve"> </w:t>
            </w:r>
            <w:r>
              <w:t>T梁标准图集</w:t>
            </w:r>
          </w:p>
        </w:tc>
      </w:tr>
    </w:tbl>
    <w:p>
      <w:pPr>
        <w:pStyle w:val="28"/>
        <w:spacing w:before="156" w:beforeLines="50" w:after="156" w:afterLines="50"/>
        <w:ind w:firstLine="0" w:firstLineChars="0"/>
        <w:jc w:val="center"/>
        <w:rPr>
          <w:rFonts w:hint="eastAsia" w:ascii="黑体" w:hAnsi="黑体" w:eastAsia="黑体"/>
        </w:rPr>
      </w:pPr>
    </w:p>
    <w:p>
      <w:pPr>
        <w:pStyle w:val="28"/>
        <w:spacing w:before="156" w:beforeLines="50" w:after="156" w:afterLines="50"/>
        <w:ind w:firstLine="0" w:firstLineChars="0"/>
      </w:pP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120650</wp:posOffset>
                </wp:positionV>
                <wp:extent cx="2885440" cy="0"/>
                <wp:effectExtent l="0" t="0" r="0" b="0"/>
                <wp:wrapNone/>
                <wp:docPr id="130798686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70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.1pt;margin-top:9.5pt;height:0pt;width:227.2pt;z-index:251660288;mso-width-relative:page;mso-height-relative:page;" filled="f" stroked="t" coordsize="21600,21600" o:gfxdata="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MRoirdQAAAAHAQAADwAAAAAAAAABACAAAAA4AAAAZHJzL2Rvd25yZXYueG1sUEsBAhQA&#10;FAAAAAgAh07iQE3VwHTgAQAAowMAAA4AAAAAAAAAAQAgAAAAOQEAAGRycy9lMm9Eb2MueG1sUEsF&#10;BgAAAAAGAAYAWQEAAIs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</w:p>
    <w:sectPr>
      <w:headerReference r:id="rId8" w:type="default"/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Ethiopic">
    <w:panose1 w:val="020B0502040504020204"/>
    <w:charset w:val="00"/>
    <w:family w:val="auto"/>
    <w:pitch w:val="default"/>
    <w:sig w:usb0="00000000" w:usb1="00000000" w:usb2="00000800" w:usb3="00000000" w:csb0="0000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</w:pPr>
  </w:p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jc w:val="left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jc w:val="left"/>
    </w:pPr>
    <w:r>
      <w:t>DB</w:t>
    </w:r>
    <w:r>
      <w:rPr>
        <w:rFonts w:hint="eastAsia"/>
      </w:rPr>
      <w:t>34</w:t>
    </w:r>
    <w:r>
      <w:t>/ XXXXX—XXXX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  <w:r>
      <w:t>DB</w:t>
    </w:r>
    <w:r>
      <w:rPr>
        <w:rFonts w:hint="eastAsia"/>
      </w:rPr>
      <w:t>34</w:t>
    </w:r>
    <w:r>
      <w:t>/ XXXXX—XXXX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  <w:r>
      <w:t>DB</w:t>
    </w:r>
    <w:r>
      <w:rPr>
        <w:rFonts w:hint="eastAsia"/>
      </w:rPr>
      <w:t>34</w:t>
    </w:r>
    <w:r>
      <w:t>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178"/>
      <w:suff w:val="nothing"/>
      <w:lvlText w:val="注%1："/>
      <w:lvlJc w:val="left"/>
      <w:pPr>
        <w:ind w:left="6057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5426"/>
        </w:tabs>
        <w:ind w:left="6418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4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5"/>
      <w:suff w:val="nothing"/>
      <w:lvlText w:val="%1.%2　"/>
      <w:lvlJc w:val="left"/>
      <w:pPr>
        <w:ind w:left="709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9"/>
      <w:suff w:val="nothing"/>
      <w:lvlText w:val="%1.%2.%3　"/>
      <w:lvlJc w:val="left"/>
      <w:pPr>
        <w:ind w:left="568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8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101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2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51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2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3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41F3EE8"/>
    <w:multiLevelType w:val="multilevel"/>
    <w:tmpl w:val="341F3EE8"/>
    <w:lvl w:ilvl="0" w:tentative="0">
      <w:start w:val="1"/>
      <w:numFmt w:val="decimal"/>
      <w:pStyle w:val="2"/>
      <w:suff w:val="nothing"/>
      <w:lvlText w:val="%1  "/>
      <w:lvlJc w:val="left"/>
      <w:pPr>
        <w:ind w:left="6662" w:firstLine="0"/>
      </w:pPr>
      <w:rPr>
        <w:rFonts w:hint="eastAsia" w:ascii="黑体" w:eastAsia="黑体"/>
        <w:b/>
        <w:i w:val="0"/>
        <w:sz w:val="21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850" w:firstLine="0"/>
      </w:pPr>
      <w:rPr>
        <w:rFonts w:hint="eastAsia" w:ascii="黑体" w:eastAsia="黑体"/>
        <w:b/>
        <w:i w:val="0"/>
        <w:sz w:val="21"/>
      </w:rPr>
    </w:lvl>
    <w:lvl w:ilvl="2" w:tentative="0">
      <w:start w:val="1"/>
      <w:numFmt w:val="decimal"/>
      <w:pStyle w:val="142"/>
      <w:suff w:val="nothing"/>
      <w:lvlText w:val="%1.%2.%3  "/>
      <w:lvlJc w:val="left"/>
      <w:pPr>
        <w:ind w:left="1774" w:firstLine="210"/>
      </w:pPr>
      <w:rPr>
        <w:rFonts w:hint="eastAsia" w:ascii="黑体" w:eastAsia="黑体"/>
        <w:b/>
        <w:i w:val="0"/>
        <w:color w:val="000000" w:themeColor="text1"/>
        <w:sz w:val="21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lvlRestart w:val="2"/>
      <w:suff w:val="nothing"/>
      <w:lvlText w:val="%4%1.%2.%3  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3D733618"/>
    <w:multiLevelType w:val="multilevel"/>
    <w:tmpl w:val="3D733618"/>
    <w:lvl w:ilvl="0" w:tentative="0">
      <w:start w:val="1"/>
      <w:numFmt w:val="decimal"/>
      <w:pStyle w:val="29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 w:tentative="0">
      <w:start w:val="1"/>
      <w:numFmt w:val="lowerLetter"/>
      <w:pStyle w:val="62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7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4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 w:tentative="0">
      <w:start w:val="1"/>
      <w:numFmt w:val="upperLetter"/>
      <w:pStyle w:val="89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 w:tentative="0">
      <w:start w:val="1"/>
      <w:numFmt w:val="upperLetter"/>
      <w:pStyle w:val="87"/>
      <w:suff w:val="nothing"/>
      <w:lvlText w:val="附　录　%1"/>
      <w:lvlJc w:val="left"/>
      <w:pPr>
        <w:ind w:left="3969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5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1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6424989"/>
    <w:multiLevelType w:val="multilevel"/>
    <w:tmpl w:val="66424989"/>
    <w:lvl w:ilvl="0" w:tentative="0">
      <w:start w:val="5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pStyle w:val="170"/>
      <w:lvlText w:val="%1.%2.%3"/>
      <w:lvlJc w:val="left"/>
      <w:pPr>
        <w:tabs>
          <w:tab w:val="left" w:pos="930"/>
        </w:tabs>
        <w:ind w:left="777" w:hanging="567"/>
      </w:pPr>
      <w:rPr>
        <w:rFonts w:hint="eastAsia" w:ascii="黑体" w:eastAsia="黑体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35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10">
    <w:nsid w:val="6D6C07CD"/>
    <w:multiLevelType w:val="multilevel"/>
    <w:tmpl w:val="6D6C07CD"/>
    <w:lvl w:ilvl="0" w:tentative="0">
      <w:start w:val="1"/>
      <w:numFmt w:val="lowerLetter"/>
      <w:pStyle w:val="108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8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1">
    <w:nsid w:val="7C6C0C2A"/>
    <w:multiLevelType w:val="multilevel"/>
    <w:tmpl w:val="7C6C0C2A"/>
    <w:lvl w:ilvl="0" w:tentative="0">
      <w:start w:val="1"/>
      <w:numFmt w:val="none"/>
      <w:lvlText w:val=""/>
      <w:lvlJc w:val="left"/>
      <w:pPr>
        <w:tabs>
          <w:tab w:val="left" w:pos="1400"/>
        </w:tabs>
        <w:ind w:left="1040"/>
      </w:pPr>
      <w:rPr>
        <w:rFonts w:hint="eastAsia"/>
      </w:rPr>
    </w:lvl>
    <w:lvl w:ilvl="1" w:tentative="0">
      <w:start w:val="1"/>
      <w:numFmt w:val="chineseCountingThousand"/>
      <w:suff w:val="space"/>
      <w:lvlText w:val="%2、"/>
      <w:lvlJc w:val="left"/>
      <w:pPr>
        <w:ind w:left="1040"/>
      </w:pPr>
      <w:rPr>
        <w:rFonts w:hint="eastAsia" w:ascii="宋体" w:eastAsia="宋体"/>
        <w:sz w:val="28"/>
        <w:szCs w:val="28"/>
      </w:rPr>
    </w:lvl>
    <w:lvl w:ilvl="2" w:tentative="0">
      <w:start w:val="1"/>
      <w:numFmt w:val="chineseCountingThousand"/>
      <w:pStyle w:val="4"/>
      <w:lvlText w:val="（%3）"/>
      <w:lvlJc w:val="left"/>
      <w:pPr>
        <w:tabs>
          <w:tab w:val="left" w:pos="1760"/>
        </w:tabs>
        <w:ind w:left="1040"/>
      </w:pPr>
      <w:rPr>
        <w:rFonts w:hint="eastAsia" w:ascii="宋体" w:eastAsia="宋体"/>
        <w:spacing w:val="0"/>
        <w:w w:val="100"/>
        <w:position w:val="0"/>
        <w:sz w:val="28"/>
        <w:szCs w:val="28"/>
      </w:rPr>
    </w:lvl>
    <w:lvl w:ilvl="3" w:tentative="0">
      <w:start w:val="1"/>
      <w:numFmt w:val="decimal"/>
      <w:pStyle w:val="5"/>
      <w:lvlText w:val="%4、"/>
      <w:lvlJc w:val="left"/>
      <w:pPr>
        <w:tabs>
          <w:tab w:val="left" w:pos="1760"/>
        </w:tabs>
        <w:ind w:left="1040"/>
      </w:pPr>
      <w:rPr>
        <w:rFonts w:hint="eastAsia" w:ascii="宋体" w:eastAsia="宋体"/>
        <w:spacing w:val="0"/>
        <w:w w:val="100"/>
        <w:position w:val="0"/>
        <w:sz w:val="28"/>
        <w:szCs w:val="28"/>
      </w:rPr>
    </w:lvl>
    <w:lvl w:ilvl="4" w:tentative="0">
      <w:start w:val="1"/>
      <w:numFmt w:val="decimal"/>
      <w:pStyle w:val="6"/>
      <w:lvlText w:val="(%5)"/>
      <w:lvlJc w:val="left"/>
      <w:pPr>
        <w:tabs>
          <w:tab w:val="left" w:pos="1400"/>
        </w:tabs>
        <w:ind w:left="1040"/>
      </w:pPr>
      <w:rPr>
        <w:rFonts w:hint="eastAsia"/>
      </w:rPr>
    </w:lvl>
    <w:lvl w:ilvl="5" w:tentative="0">
      <w:start w:val="1"/>
      <w:numFmt w:val="none"/>
      <w:pStyle w:val="7"/>
      <w:lvlText w:val="1)"/>
      <w:lvlJc w:val="right"/>
      <w:pPr>
        <w:tabs>
          <w:tab w:val="left" w:pos="1247"/>
        </w:tabs>
        <w:ind w:left="1247" w:hanging="113"/>
      </w:pPr>
      <w:rPr>
        <w:rFonts w:hint="eastAsia" w:ascii="宋体" w:eastAsia="宋体"/>
        <w:b w:val="0"/>
        <w:bCs w:val="0"/>
        <w:i w:val="0"/>
        <w:iCs w:val="0"/>
        <w:sz w:val="28"/>
        <w:szCs w:val="28"/>
      </w:rPr>
    </w:lvl>
    <w:lvl w:ilvl="6" w:tentative="0">
      <w:start w:val="1"/>
      <w:numFmt w:val="decimal"/>
      <w:lvlText w:val="%7."/>
      <w:lvlJc w:val="left"/>
      <w:pPr>
        <w:tabs>
          <w:tab w:val="left" w:pos="4340"/>
        </w:tabs>
        <w:ind w:left="43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760"/>
        </w:tabs>
        <w:ind w:left="47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180"/>
        </w:tabs>
        <w:ind w:left="5180" w:hanging="420"/>
      </w:pPr>
      <w:rPr>
        <w:rFonts w:hint="eastAsia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1M2Y5ZWUzY2E3MzUzYWQzMWUxZDZmZmQ4NjY2YjAifQ=="/>
  </w:docVars>
  <w:rsids>
    <w:rsidRoot w:val="006858CC"/>
    <w:rsid w:val="00000244"/>
    <w:rsid w:val="0000185F"/>
    <w:rsid w:val="000037D5"/>
    <w:rsid w:val="00003A70"/>
    <w:rsid w:val="0000474C"/>
    <w:rsid w:val="000054C9"/>
    <w:rsid w:val="0000586F"/>
    <w:rsid w:val="00013D86"/>
    <w:rsid w:val="00013E02"/>
    <w:rsid w:val="00015638"/>
    <w:rsid w:val="0002143C"/>
    <w:rsid w:val="000250AB"/>
    <w:rsid w:val="000253A3"/>
    <w:rsid w:val="00025A65"/>
    <w:rsid w:val="00026C31"/>
    <w:rsid w:val="00027280"/>
    <w:rsid w:val="00030357"/>
    <w:rsid w:val="00031316"/>
    <w:rsid w:val="000320A7"/>
    <w:rsid w:val="000320DE"/>
    <w:rsid w:val="0003278A"/>
    <w:rsid w:val="00035925"/>
    <w:rsid w:val="00036990"/>
    <w:rsid w:val="0004143E"/>
    <w:rsid w:val="00041F03"/>
    <w:rsid w:val="00043F49"/>
    <w:rsid w:val="000441AC"/>
    <w:rsid w:val="000448A3"/>
    <w:rsid w:val="00044A78"/>
    <w:rsid w:val="00045CC0"/>
    <w:rsid w:val="00052F50"/>
    <w:rsid w:val="00055851"/>
    <w:rsid w:val="00056A89"/>
    <w:rsid w:val="0005778B"/>
    <w:rsid w:val="00063C25"/>
    <w:rsid w:val="0006517B"/>
    <w:rsid w:val="00065355"/>
    <w:rsid w:val="00065598"/>
    <w:rsid w:val="00067AE3"/>
    <w:rsid w:val="00067CDF"/>
    <w:rsid w:val="00070D4C"/>
    <w:rsid w:val="00071CE2"/>
    <w:rsid w:val="000727CA"/>
    <w:rsid w:val="000744C0"/>
    <w:rsid w:val="00074FBE"/>
    <w:rsid w:val="00075436"/>
    <w:rsid w:val="0008010C"/>
    <w:rsid w:val="00082279"/>
    <w:rsid w:val="00082A58"/>
    <w:rsid w:val="00083963"/>
    <w:rsid w:val="00083A09"/>
    <w:rsid w:val="00086959"/>
    <w:rsid w:val="0009005E"/>
    <w:rsid w:val="00090B60"/>
    <w:rsid w:val="00091252"/>
    <w:rsid w:val="00092857"/>
    <w:rsid w:val="000934C8"/>
    <w:rsid w:val="000939F2"/>
    <w:rsid w:val="00095061"/>
    <w:rsid w:val="00096DF2"/>
    <w:rsid w:val="00097253"/>
    <w:rsid w:val="000A1691"/>
    <w:rsid w:val="000A20A9"/>
    <w:rsid w:val="000A2543"/>
    <w:rsid w:val="000A2674"/>
    <w:rsid w:val="000A48B1"/>
    <w:rsid w:val="000B3143"/>
    <w:rsid w:val="000B592A"/>
    <w:rsid w:val="000B6963"/>
    <w:rsid w:val="000B7CC4"/>
    <w:rsid w:val="000C15D5"/>
    <w:rsid w:val="000C586D"/>
    <w:rsid w:val="000C5CAA"/>
    <w:rsid w:val="000C6B05"/>
    <w:rsid w:val="000C6DD6"/>
    <w:rsid w:val="000C73D4"/>
    <w:rsid w:val="000D0809"/>
    <w:rsid w:val="000D13E6"/>
    <w:rsid w:val="000D1693"/>
    <w:rsid w:val="000D2003"/>
    <w:rsid w:val="000D3D4C"/>
    <w:rsid w:val="000D4F51"/>
    <w:rsid w:val="000D68F0"/>
    <w:rsid w:val="000D718B"/>
    <w:rsid w:val="000E0C46"/>
    <w:rsid w:val="000E2817"/>
    <w:rsid w:val="000E3EB7"/>
    <w:rsid w:val="000E4336"/>
    <w:rsid w:val="000E4F31"/>
    <w:rsid w:val="000E562D"/>
    <w:rsid w:val="000F030C"/>
    <w:rsid w:val="000F129C"/>
    <w:rsid w:val="000F1F25"/>
    <w:rsid w:val="000F2B36"/>
    <w:rsid w:val="000F3531"/>
    <w:rsid w:val="000F3B1A"/>
    <w:rsid w:val="000F5C9A"/>
    <w:rsid w:val="000F6ADF"/>
    <w:rsid w:val="0010203C"/>
    <w:rsid w:val="00103097"/>
    <w:rsid w:val="00103ECF"/>
    <w:rsid w:val="00105628"/>
    <w:rsid w:val="001056DE"/>
    <w:rsid w:val="001059FB"/>
    <w:rsid w:val="00105F09"/>
    <w:rsid w:val="00106AD7"/>
    <w:rsid w:val="00107A03"/>
    <w:rsid w:val="001124C0"/>
    <w:rsid w:val="00112E9F"/>
    <w:rsid w:val="00114202"/>
    <w:rsid w:val="00120AC5"/>
    <w:rsid w:val="001213FA"/>
    <w:rsid w:val="0012529E"/>
    <w:rsid w:val="00125465"/>
    <w:rsid w:val="00126398"/>
    <w:rsid w:val="00126A5A"/>
    <w:rsid w:val="00127C5D"/>
    <w:rsid w:val="001301A1"/>
    <w:rsid w:val="0013175F"/>
    <w:rsid w:val="001320CD"/>
    <w:rsid w:val="0013382B"/>
    <w:rsid w:val="00133EB5"/>
    <w:rsid w:val="00134D0D"/>
    <w:rsid w:val="00137B19"/>
    <w:rsid w:val="00137D82"/>
    <w:rsid w:val="00143B75"/>
    <w:rsid w:val="00143DA3"/>
    <w:rsid w:val="00144190"/>
    <w:rsid w:val="00147CC7"/>
    <w:rsid w:val="00147F23"/>
    <w:rsid w:val="001512B4"/>
    <w:rsid w:val="00152983"/>
    <w:rsid w:val="00155FDF"/>
    <w:rsid w:val="001566AB"/>
    <w:rsid w:val="001620A5"/>
    <w:rsid w:val="001635D4"/>
    <w:rsid w:val="00163E07"/>
    <w:rsid w:val="00164E53"/>
    <w:rsid w:val="00165340"/>
    <w:rsid w:val="001655C7"/>
    <w:rsid w:val="0016699D"/>
    <w:rsid w:val="00172469"/>
    <w:rsid w:val="00175159"/>
    <w:rsid w:val="00175B9F"/>
    <w:rsid w:val="00176208"/>
    <w:rsid w:val="0018016F"/>
    <w:rsid w:val="0018122B"/>
    <w:rsid w:val="0018211B"/>
    <w:rsid w:val="001840D3"/>
    <w:rsid w:val="00184A9D"/>
    <w:rsid w:val="001858C2"/>
    <w:rsid w:val="001868E5"/>
    <w:rsid w:val="00186EA0"/>
    <w:rsid w:val="001900F8"/>
    <w:rsid w:val="001902C5"/>
    <w:rsid w:val="00191258"/>
    <w:rsid w:val="001923F6"/>
    <w:rsid w:val="00192680"/>
    <w:rsid w:val="001929F2"/>
    <w:rsid w:val="00192E89"/>
    <w:rsid w:val="00192F03"/>
    <w:rsid w:val="00193037"/>
    <w:rsid w:val="00193926"/>
    <w:rsid w:val="00193A2C"/>
    <w:rsid w:val="00197535"/>
    <w:rsid w:val="001A288E"/>
    <w:rsid w:val="001A4592"/>
    <w:rsid w:val="001A66BB"/>
    <w:rsid w:val="001B07C0"/>
    <w:rsid w:val="001B569E"/>
    <w:rsid w:val="001B6DC2"/>
    <w:rsid w:val="001C088A"/>
    <w:rsid w:val="001C149C"/>
    <w:rsid w:val="001C1CEF"/>
    <w:rsid w:val="001C21AC"/>
    <w:rsid w:val="001C47BA"/>
    <w:rsid w:val="001C59EA"/>
    <w:rsid w:val="001C7303"/>
    <w:rsid w:val="001D2098"/>
    <w:rsid w:val="001D21F8"/>
    <w:rsid w:val="001D406C"/>
    <w:rsid w:val="001D41EE"/>
    <w:rsid w:val="001D63B1"/>
    <w:rsid w:val="001E0380"/>
    <w:rsid w:val="001E13B1"/>
    <w:rsid w:val="001E2451"/>
    <w:rsid w:val="001E311E"/>
    <w:rsid w:val="001E435E"/>
    <w:rsid w:val="001E79E5"/>
    <w:rsid w:val="001F0012"/>
    <w:rsid w:val="001F145C"/>
    <w:rsid w:val="001F2A9F"/>
    <w:rsid w:val="001F3A19"/>
    <w:rsid w:val="001F507B"/>
    <w:rsid w:val="0020107A"/>
    <w:rsid w:val="00203C48"/>
    <w:rsid w:val="002052BD"/>
    <w:rsid w:val="00207B49"/>
    <w:rsid w:val="00214F6C"/>
    <w:rsid w:val="00215B5E"/>
    <w:rsid w:val="0022115C"/>
    <w:rsid w:val="00224B63"/>
    <w:rsid w:val="00225E3D"/>
    <w:rsid w:val="002261FC"/>
    <w:rsid w:val="00226278"/>
    <w:rsid w:val="00233718"/>
    <w:rsid w:val="00234467"/>
    <w:rsid w:val="002365FF"/>
    <w:rsid w:val="00237D8D"/>
    <w:rsid w:val="00237F32"/>
    <w:rsid w:val="00241DA2"/>
    <w:rsid w:val="00241F01"/>
    <w:rsid w:val="00242BBC"/>
    <w:rsid w:val="0024304F"/>
    <w:rsid w:val="00243676"/>
    <w:rsid w:val="0024647B"/>
    <w:rsid w:val="00247DCA"/>
    <w:rsid w:val="00247FEE"/>
    <w:rsid w:val="00250E7D"/>
    <w:rsid w:val="00252683"/>
    <w:rsid w:val="002550E7"/>
    <w:rsid w:val="002565D5"/>
    <w:rsid w:val="0025700C"/>
    <w:rsid w:val="0026166B"/>
    <w:rsid w:val="002622C0"/>
    <w:rsid w:val="00264089"/>
    <w:rsid w:val="0026487F"/>
    <w:rsid w:val="002652BD"/>
    <w:rsid w:val="00267FE1"/>
    <w:rsid w:val="00274A7B"/>
    <w:rsid w:val="002769AE"/>
    <w:rsid w:val="00277380"/>
    <w:rsid w:val="002776B8"/>
    <w:rsid w:val="002778AE"/>
    <w:rsid w:val="0028269A"/>
    <w:rsid w:val="00283590"/>
    <w:rsid w:val="00285C21"/>
    <w:rsid w:val="00286973"/>
    <w:rsid w:val="002901AD"/>
    <w:rsid w:val="00292EF3"/>
    <w:rsid w:val="00294E31"/>
    <w:rsid w:val="00294E70"/>
    <w:rsid w:val="002958C2"/>
    <w:rsid w:val="00297D34"/>
    <w:rsid w:val="002A0F3A"/>
    <w:rsid w:val="002A1924"/>
    <w:rsid w:val="002A2328"/>
    <w:rsid w:val="002A3822"/>
    <w:rsid w:val="002A4201"/>
    <w:rsid w:val="002A4EB0"/>
    <w:rsid w:val="002A6B47"/>
    <w:rsid w:val="002A7420"/>
    <w:rsid w:val="002B0F12"/>
    <w:rsid w:val="002B1308"/>
    <w:rsid w:val="002B4554"/>
    <w:rsid w:val="002B56D7"/>
    <w:rsid w:val="002B6AC1"/>
    <w:rsid w:val="002B76A9"/>
    <w:rsid w:val="002C1249"/>
    <w:rsid w:val="002C2A40"/>
    <w:rsid w:val="002C540A"/>
    <w:rsid w:val="002C5510"/>
    <w:rsid w:val="002C5EDE"/>
    <w:rsid w:val="002C72D8"/>
    <w:rsid w:val="002D0347"/>
    <w:rsid w:val="002D0F97"/>
    <w:rsid w:val="002D11FA"/>
    <w:rsid w:val="002D1778"/>
    <w:rsid w:val="002D224C"/>
    <w:rsid w:val="002D240C"/>
    <w:rsid w:val="002D6010"/>
    <w:rsid w:val="002D6344"/>
    <w:rsid w:val="002D752E"/>
    <w:rsid w:val="002E0DDF"/>
    <w:rsid w:val="002E2318"/>
    <w:rsid w:val="002E2906"/>
    <w:rsid w:val="002E2E99"/>
    <w:rsid w:val="002E5635"/>
    <w:rsid w:val="002E64C3"/>
    <w:rsid w:val="002E6A2C"/>
    <w:rsid w:val="002E6C7E"/>
    <w:rsid w:val="002F1D8C"/>
    <w:rsid w:val="002F21DA"/>
    <w:rsid w:val="002F3A0A"/>
    <w:rsid w:val="002F4AEB"/>
    <w:rsid w:val="002F5F0C"/>
    <w:rsid w:val="0030049B"/>
    <w:rsid w:val="00301F39"/>
    <w:rsid w:val="0030227B"/>
    <w:rsid w:val="00304375"/>
    <w:rsid w:val="00310D7E"/>
    <w:rsid w:val="00310F67"/>
    <w:rsid w:val="00311FAD"/>
    <w:rsid w:val="0031327E"/>
    <w:rsid w:val="00316ACA"/>
    <w:rsid w:val="00322E4B"/>
    <w:rsid w:val="00325926"/>
    <w:rsid w:val="00326312"/>
    <w:rsid w:val="00327A8A"/>
    <w:rsid w:val="00327C56"/>
    <w:rsid w:val="0033168C"/>
    <w:rsid w:val="0033172D"/>
    <w:rsid w:val="00334479"/>
    <w:rsid w:val="00334C58"/>
    <w:rsid w:val="00335C4B"/>
    <w:rsid w:val="00336610"/>
    <w:rsid w:val="00341931"/>
    <w:rsid w:val="00342A2B"/>
    <w:rsid w:val="00343521"/>
    <w:rsid w:val="00343C6E"/>
    <w:rsid w:val="00343F73"/>
    <w:rsid w:val="00345060"/>
    <w:rsid w:val="00345920"/>
    <w:rsid w:val="00347EB7"/>
    <w:rsid w:val="00350717"/>
    <w:rsid w:val="00352A34"/>
    <w:rsid w:val="0035323B"/>
    <w:rsid w:val="00353606"/>
    <w:rsid w:val="00357C3E"/>
    <w:rsid w:val="003609D2"/>
    <w:rsid w:val="003628F1"/>
    <w:rsid w:val="003632B7"/>
    <w:rsid w:val="00363321"/>
    <w:rsid w:val="00363F22"/>
    <w:rsid w:val="00367C5D"/>
    <w:rsid w:val="003744D0"/>
    <w:rsid w:val="00375156"/>
    <w:rsid w:val="00375564"/>
    <w:rsid w:val="003812E4"/>
    <w:rsid w:val="00382615"/>
    <w:rsid w:val="00383191"/>
    <w:rsid w:val="00385182"/>
    <w:rsid w:val="00386DED"/>
    <w:rsid w:val="00387464"/>
    <w:rsid w:val="0039031C"/>
    <w:rsid w:val="003912E7"/>
    <w:rsid w:val="003913FF"/>
    <w:rsid w:val="00393947"/>
    <w:rsid w:val="00394329"/>
    <w:rsid w:val="00394B9E"/>
    <w:rsid w:val="003964BA"/>
    <w:rsid w:val="00396F81"/>
    <w:rsid w:val="003A2275"/>
    <w:rsid w:val="003A6A4F"/>
    <w:rsid w:val="003A6E76"/>
    <w:rsid w:val="003A7088"/>
    <w:rsid w:val="003B00DF"/>
    <w:rsid w:val="003B0472"/>
    <w:rsid w:val="003B1275"/>
    <w:rsid w:val="003B1778"/>
    <w:rsid w:val="003B412A"/>
    <w:rsid w:val="003B459F"/>
    <w:rsid w:val="003B5138"/>
    <w:rsid w:val="003B5762"/>
    <w:rsid w:val="003B6065"/>
    <w:rsid w:val="003B799C"/>
    <w:rsid w:val="003C06B6"/>
    <w:rsid w:val="003C11CB"/>
    <w:rsid w:val="003C16DB"/>
    <w:rsid w:val="003C24FC"/>
    <w:rsid w:val="003C75F3"/>
    <w:rsid w:val="003C78A3"/>
    <w:rsid w:val="003D1ECA"/>
    <w:rsid w:val="003D3337"/>
    <w:rsid w:val="003D42A4"/>
    <w:rsid w:val="003D5821"/>
    <w:rsid w:val="003D60F8"/>
    <w:rsid w:val="003D6A26"/>
    <w:rsid w:val="003D7448"/>
    <w:rsid w:val="003E0A55"/>
    <w:rsid w:val="003E0E74"/>
    <w:rsid w:val="003E1867"/>
    <w:rsid w:val="003E466E"/>
    <w:rsid w:val="003E4A9C"/>
    <w:rsid w:val="003E4FE1"/>
    <w:rsid w:val="003E5729"/>
    <w:rsid w:val="003F3B4B"/>
    <w:rsid w:val="003F4940"/>
    <w:rsid w:val="003F4EE0"/>
    <w:rsid w:val="003F67D5"/>
    <w:rsid w:val="003F7633"/>
    <w:rsid w:val="003F76EF"/>
    <w:rsid w:val="00402153"/>
    <w:rsid w:val="00402FC1"/>
    <w:rsid w:val="00406944"/>
    <w:rsid w:val="00410E94"/>
    <w:rsid w:val="00413368"/>
    <w:rsid w:val="00413960"/>
    <w:rsid w:val="00413FE0"/>
    <w:rsid w:val="0041458E"/>
    <w:rsid w:val="00415C55"/>
    <w:rsid w:val="004175B4"/>
    <w:rsid w:val="00417CD0"/>
    <w:rsid w:val="00421142"/>
    <w:rsid w:val="00425082"/>
    <w:rsid w:val="00427148"/>
    <w:rsid w:val="00431DEB"/>
    <w:rsid w:val="004363AC"/>
    <w:rsid w:val="0043746C"/>
    <w:rsid w:val="00442276"/>
    <w:rsid w:val="004467B1"/>
    <w:rsid w:val="00446B29"/>
    <w:rsid w:val="00447184"/>
    <w:rsid w:val="004500C7"/>
    <w:rsid w:val="004501A7"/>
    <w:rsid w:val="0045230F"/>
    <w:rsid w:val="00453596"/>
    <w:rsid w:val="00453F9A"/>
    <w:rsid w:val="00460BEC"/>
    <w:rsid w:val="00461D23"/>
    <w:rsid w:val="00463235"/>
    <w:rsid w:val="00463FA4"/>
    <w:rsid w:val="00470F3E"/>
    <w:rsid w:val="00471E91"/>
    <w:rsid w:val="00473314"/>
    <w:rsid w:val="00474574"/>
    <w:rsid w:val="00474675"/>
    <w:rsid w:val="0047470C"/>
    <w:rsid w:val="00474D4A"/>
    <w:rsid w:val="00477A75"/>
    <w:rsid w:val="004829E0"/>
    <w:rsid w:val="00485807"/>
    <w:rsid w:val="0048593E"/>
    <w:rsid w:val="00490EE2"/>
    <w:rsid w:val="00490F35"/>
    <w:rsid w:val="0049134A"/>
    <w:rsid w:val="004970E3"/>
    <w:rsid w:val="004A0BE2"/>
    <w:rsid w:val="004A1338"/>
    <w:rsid w:val="004A24D4"/>
    <w:rsid w:val="004A35F9"/>
    <w:rsid w:val="004A5C74"/>
    <w:rsid w:val="004A67A5"/>
    <w:rsid w:val="004B24C1"/>
    <w:rsid w:val="004B3F10"/>
    <w:rsid w:val="004B416D"/>
    <w:rsid w:val="004B6BCB"/>
    <w:rsid w:val="004C0A26"/>
    <w:rsid w:val="004C292F"/>
    <w:rsid w:val="004C30CE"/>
    <w:rsid w:val="004D06A6"/>
    <w:rsid w:val="004D51B2"/>
    <w:rsid w:val="004D63AE"/>
    <w:rsid w:val="004D7286"/>
    <w:rsid w:val="004D759A"/>
    <w:rsid w:val="004E1076"/>
    <w:rsid w:val="004E1D07"/>
    <w:rsid w:val="004E2782"/>
    <w:rsid w:val="004E652E"/>
    <w:rsid w:val="004F046E"/>
    <w:rsid w:val="004F0689"/>
    <w:rsid w:val="004F33E7"/>
    <w:rsid w:val="004F454F"/>
    <w:rsid w:val="0050274C"/>
    <w:rsid w:val="00503B40"/>
    <w:rsid w:val="00504D3B"/>
    <w:rsid w:val="0050617A"/>
    <w:rsid w:val="00506886"/>
    <w:rsid w:val="005069D3"/>
    <w:rsid w:val="005076D9"/>
    <w:rsid w:val="0050785F"/>
    <w:rsid w:val="00510280"/>
    <w:rsid w:val="00510408"/>
    <w:rsid w:val="005113F2"/>
    <w:rsid w:val="00513D73"/>
    <w:rsid w:val="00514673"/>
    <w:rsid w:val="00514A43"/>
    <w:rsid w:val="00514F24"/>
    <w:rsid w:val="0051605B"/>
    <w:rsid w:val="005174E5"/>
    <w:rsid w:val="00517850"/>
    <w:rsid w:val="00520DC4"/>
    <w:rsid w:val="0052133E"/>
    <w:rsid w:val="00522393"/>
    <w:rsid w:val="005224B2"/>
    <w:rsid w:val="00522620"/>
    <w:rsid w:val="00523A47"/>
    <w:rsid w:val="00525656"/>
    <w:rsid w:val="0052616C"/>
    <w:rsid w:val="00531362"/>
    <w:rsid w:val="0053183A"/>
    <w:rsid w:val="00531C88"/>
    <w:rsid w:val="00534C02"/>
    <w:rsid w:val="00540DF2"/>
    <w:rsid w:val="00541F12"/>
    <w:rsid w:val="0054264B"/>
    <w:rsid w:val="005434E3"/>
    <w:rsid w:val="00543786"/>
    <w:rsid w:val="0054496B"/>
    <w:rsid w:val="005459D4"/>
    <w:rsid w:val="00545E99"/>
    <w:rsid w:val="00546C02"/>
    <w:rsid w:val="005473D4"/>
    <w:rsid w:val="005505C0"/>
    <w:rsid w:val="005512B4"/>
    <w:rsid w:val="005533D7"/>
    <w:rsid w:val="00553BDE"/>
    <w:rsid w:val="005544D9"/>
    <w:rsid w:val="00554F62"/>
    <w:rsid w:val="00555D1C"/>
    <w:rsid w:val="00555FC0"/>
    <w:rsid w:val="005566FF"/>
    <w:rsid w:val="00556A48"/>
    <w:rsid w:val="00557783"/>
    <w:rsid w:val="005659D2"/>
    <w:rsid w:val="00565E32"/>
    <w:rsid w:val="005703DE"/>
    <w:rsid w:val="00571F5B"/>
    <w:rsid w:val="00574DAC"/>
    <w:rsid w:val="005825A8"/>
    <w:rsid w:val="0058357F"/>
    <w:rsid w:val="0058464E"/>
    <w:rsid w:val="0058600C"/>
    <w:rsid w:val="00591029"/>
    <w:rsid w:val="0059271B"/>
    <w:rsid w:val="0059277A"/>
    <w:rsid w:val="00592DEF"/>
    <w:rsid w:val="00593568"/>
    <w:rsid w:val="005945D0"/>
    <w:rsid w:val="005A01CB"/>
    <w:rsid w:val="005A07D3"/>
    <w:rsid w:val="005A212F"/>
    <w:rsid w:val="005A4055"/>
    <w:rsid w:val="005A58FF"/>
    <w:rsid w:val="005A5B4D"/>
    <w:rsid w:val="005A5E8B"/>
    <w:rsid w:val="005A5EAF"/>
    <w:rsid w:val="005A64C0"/>
    <w:rsid w:val="005B2A0E"/>
    <w:rsid w:val="005B2E47"/>
    <w:rsid w:val="005B3ADE"/>
    <w:rsid w:val="005B3C11"/>
    <w:rsid w:val="005B43D6"/>
    <w:rsid w:val="005B61F0"/>
    <w:rsid w:val="005B620F"/>
    <w:rsid w:val="005C0212"/>
    <w:rsid w:val="005C1C28"/>
    <w:rsid w:val="005C1F6B"/>
    <w:rsid w:val="005C657F"/>
    <w:rsid w:val="005C65DA"/>
    <w:rsid w:val="005C6DB5"/>
    <w:rsid w:val="005D29C9"/>
    <w:rsid w:val="005D3418"/>
    <w:rsid w:val="005D4DF1"/>
    <w:rsid w:val="005D5EAA"/>
    <w:rsid w:val="005E19E7"/>
    <w:rsid w:val="005E1BB2"/>
    <w:rsid w:val="005E32A6"/>
    <w:rsid w:val="005E7EB0"/>
    <w:rsid w:val="005F0FD3"/>
    <w:rsid w:val="005F11E1"/>
    <w:rsid w:val="005F195F"/>
    <w:rsid w:val="005F34E6"/>
    <w:rsid w:val="005F45A0"/>
    <w:rsid w:val="005F672F"/>
    <w:rsid w:val="005F7C0F"/>
    <w:rsid w:val="00602CDB"/>
    <w:rsid w:val="006045B7"/>
    <w:rsid w:val="006057C3"/>
    <w:rsid w:val="00607CBA"/>
    <w:rsid w:val="00610681"/>
    <w:rsid w:val="0061150F"/>
    <w:rsid w:val="00612B60"/>
    <w:rsid w:val="006158AB"/>
    <w:rsid w:val="006162DB"/>
    <w:rsid w:val="0061716C"/>
    <w:rsid w:val="00622232"/>
    <w:rsid w:val="006243A1"/>
    <w:rsid w:val="006261DE"/>
    <w:rsid w:val="00626D61"/>
    <w:rsid w:val="006278DF"/>
    <w:rsid w:val="00630F57"/>
    <w:rsid w:val="0063115A"/>
    <w:rsid w:val="00632E56"/>
    <w:rsid w:val="00635CBA"/>
    <w:rsid w:val="00641BF5"/>
    <w:rsid w:val="006425FE"/>
    <w:rsid w:val="00642FE6"/>
    <w:rsid w:val="0064338B"/>
    <w:rsid w:val="00646542"/>
    <w:rsid w:val="006504EF"/>
    <w:rsid w:val="006504F4"/>
    <w:rsid w:val="00651985"/>
    <w:rsid w:val="00654BC9"/>
    <w:rsid w:val="00654DD5"/>
    <w:rsid w:val="006552FD"/>
    <w:rsid w:val="00663AF3"/>
    <w:rsid w:val="00665A0C"/>
    <w:rsid w:val="00666B6C"/>
    <w:rsid w:val="00666D46"/>
    <w:rsid w:val="006675A5"/>
    <w:rsid w:val="00667D4F"/>
    <w:rsid w:val="006704D1"/>
    <w:rsid w:val="00670B8F"/>
    <w:rsid w:val="0067368D"/>
    <w:rsid w:val="0067460C"/>
    <w:rsid w:val="006807F7"/>
    <w:rsid w:val="00682682"/>
    <w:rsid w:val="00682702"/>
    <w:rsid w:val="006858CC"/>
    <w:rsid w:val="006906A3"/>
    <w:rsid w:val="00690A6F"/>
    <w:rsid w:val="0069145E"/>
    <w:rsid w:val="00692368"/>
    <w:rsid w:val="0069656A"/>
    <w:rsid w:val="0069677F"/>
    <w:rsid w:val="00697A98"/>
    <w:rsid w:val="006A094A"/>
    <w:rsid w:val="006A224B"/>
    <w:rsid w:val="006A2EBC"/>
    <w:rsid w:val="006A5EA0"/>
    <w:rsid w:val="006A783B"/>
    <w:rsid w:val="006A7B33"/>
    <w:rsid w:val="006B06DA"/>
    <w:rsid w:val="006B072F"/>
    <w:rsid w:val="006B2AC3"/>
    <w:rsid w:val="006B37A1"/>
    <w:rsid w:val="006B45F5"/>
    <w:rsid w:val="006B4E13"/>
    <w:rsid w:val="006B53C0"/>
    <w:rsid w:val="006B5F94"/>
    <w:rsid w:val="006B674C"/>
    <w:rsid w:val="006B75DD"/>
    <w:rsid w:val="006C27B9"/>
    <w:rsid w:val="006C40B6"/>
    <w:rsid w:val="006C4EE0"/>
    <w:rsid w:val="006C56DA"/>
    <w:rsid w:val="006C67E0"/>
    <w:rsid w:val="006C7ABA"/>
    <w:rsid w:val="006D097E"/>
    <w:rsid w:val="006D0D60"/>
    <w:rsid w:val="006D1122"/>
    <w:rsid w:val="006D143E"/>
    <w:rsid w:val="006D2390"/>
    <w:rsid w:val="006D2EF9"/>
    <w:rsid w:val="006D341B"/>
    <w:rsid w:val="006D3C00"/>
    <w:rsid w:val="006D3EC3"/>
    <w:rsid w:val="006E3675"/>
    <w:rsid w:val="006E4A7F"/>
    <w:rsid w:val="006E5562"/>
    <w:rsid w:val="006E7542"/>
    <w:rsid w:val="006F415E"/>
    <w:rsid w:val="006F48F3"/>
    <w:rsid w:val="006F5ACA"/>
    <w:rsid w:val="006F5C4D"/>
    <w:rsid w:val="006F5DC8"/>
    <w:rsid w:val="00703FDD"/>
    <w:rsid w:val="00704B0A"/>
    <w:rsid w:val="00704DF6"/>
    <w:rsid w:val="00705800"/>
    <w:rsid w:val="00705FD8"/>
    <w:rsid w:val="0070651C"/>
    <w:rsid w:val="00710B1B"/>
    <w:rsid w:val="00711A1F"/>
    <w:rsid w:val="007132A3"/>
    <w:rsid w:val="00715471"/>
    <w:rsid w:val="00716421"/>
    <w:rsid w:val="007173E4"/>
    <w:rsid w:val="00717747"/>
    <w:rsid w:val="00717860"/>
    <w:rsid w:val="00717E5D"/>
    <w:rsid w:val="00722C8E"/>
    <w:rsid w:val="00724EFB"/>
    <w:rsid w:val="00726650"/>
    <w:rsid w:val="00727353"/>
    <w:rsid w:val="007419C3"/>
    <w:rsid w:val="007440DE"/>
    <w:rsid w:val="007458D9"/>
    <w:rsid w:val="007467A7"/>
    <w:rsid w:val="007469DD"/>
    <w:rsid w:val="0074741B"/>
    <w:rsid w:val="0074759E"/>
    <w:rsid w:val="007478EA"/>
    <w:rsid w:val="007515A8"/>
    <w:rsid w:val="0075415C"/>
    <w:rsid w:val="00757871"/>
    <w:rsid w:val="00761D5F"/>
    <w:rsid w:val="00762BDC"/>
    <w:rsid w:val="007630C1"/>
    <w:rsid w:val="00763502"/>
    <w:rsid w:val="007650AC"/>
    <w:rsid w:val="007651BC"/>
    <w:rsid w:val="00765977"/>
    <w:rsid w:val="00765B39"/>
    <w:rsid w:val="00766D71"/>
    <w:rsid w:val="0077402C"/>
    <w:rsid w:val="00774173"/>
    <w:rsid w:val="007771A5"/>
    <w:rsid w:val="00783A97"/>
    <w:rsid w:val="00785D7A"/>
    <w:rsid w:val="00785FA8"/>
    <w:rsid w:val="00786C24"/>
    <w:rsid w:val="007913AB"/>
    <w:rsid w:val="007914F7"/>
    <w:rsid w:val="007956DF"/>
    <w:rsid w:val="00795CD9"/>
    <w:rsid w:val="00796503"/>
    <w:rsid w:val="007A0A8A"/>
    <w:rsid w:val="007A4693"/>
    <w:rsid w:val="007A73F0"/>
    <w:rsid w:val="007A7FB4"/>
    <w:rsid w:val="007B00E6"/>
    <w:rsid w:val="007B1625"/>
    <w:rsid w:val="007B2C65"/>
    <w:rsid w:val="007B3A7A"/>
    <w:rsid w:val="007B3D40"/>
    <w:rsid w:val="007B5648"/>
    <w:rsid w:val="007B706E"/>
    <w:rsid w:val="007B71EB"/>
    <w:rsid w:val="007C28CB"/>
    <w:rsid w:val="007C514C"/>
    <w:rsid w:val="007C6205"/>
    <w:rsid w:val="007C686A"/>
    <w:rsid w:val="007C728E"/>
    <w:rsid w:val="007D02E6"/>
    <w:rsid w:val="007D2C53"/>
    <w:rsid w:val="007D3D60"/>
    <w:rsid w:val="007D4744"/>
    <w:rsid w:val="007D7C13"/>
    <w:rsid w:val="007E14F8"/>
    <w:rsid w:val="007E1980"/>
    <w:rsid w:val="007E35FE"/>
    <w:rsid w:val="007E4154"/>
    <w:rsid w:val="007E4B76"/>
    <w:rsid w:val="007E538C"/>
    <w:rsid w:val="007E5EA8"/>
    <w:rsid w:val="007E60E9"/>
    <w:rsid w:val="007E7F40"/>
    <w:rsid w:val="007F0CF1"/>
    <w:rsid w:val="007F10E9"/>
    <w:rsid w:val="007F12A5"/>
    <w:rsid w:val="007F175A"/>
    <w:rsid w:val="007F4CF1"/>
    <w:rsid w:val="007F5DBE"/>
    <w:rsid w:val="007F758D"/>
    <w:rsid w:val="007F75C8"/>
    <w:rsid w:val="007F7D52"/>
    <w:rsid w:val="00801DBE"/>
    <w:rsid w:val="008046F8"/>
    <w:rsid w:val="008057DC"/>
    <w:rsid w:val="0080654C"/>
    <w:rsid w:val="008071C6"/>
    <w:rsid w:val="0081230E"/>
    <w:rsid w:val="00812DD6"/>
    <w:rsid w:val="00813603"/>
    <w:rsid w:val="0081568D"/>
    <w:rsid w:val="008176D5"/>
    <w:rsid w:val="00817A00"/>
    <w:rsid w:val="00817DA6"/>
    <w:rsid w:val="00817F6D"/>
    <w:rsid w:val="00820337"/>
    <w:rsid w:val="00821946"/>
    <w:rsid w:val="008233C3"/>
    <w:rsid w:val="008272FB"/>
    <w:rsid w:val="00830ED4"/>
    <w:rsid w:val="00831F92"/>
    <w:rsid w:val="008343F6"/>
    <w:rsid w:val="00834644"/>
    <w:rsid w:val="00835DB3"/>
    <w:rsid w:val="0083617B"/>
    <w:rsid w:val="008371BD"/>
    <w:rsid w:val="00841D09"/>
    <w:rsid w:val="008420E5"/>
    <w:rsid w:val="00842635"/>
    <w:rsid w:val="008504A8"/>
    <w:rsid w:val="00851B5B"/>
    <w:rsid w:val="0085282E"/>
    <w:rsid w:val="00853B67"/>
    <w:rsid w:val="00855466"/>
    <w:rsid w:val="0085645C"/>
    <w:rsid w:val="008600DD"/>
    <w:rsid w:val="00860858"/>
    <w:rsid w:val="00862560"/>
    <w:rsid w:val="00865E1E"/>
    <w:rsid w:val="008660BC"/>
    <w:rsid w:val="0086797D"/>
    <w:rsid w:val="0087198C"/>
    <w:rsid w:val="00872C1F"/>
    <w:rsid w:val="00873B42"/>
    <w:rsid w:val="00876D04"/>
    <w:rsid w:val="00877B6D"/>
    <w:rsid w:val="00877EFD"/>
    <w:rsid w:val="00880569"/>
    <w:rsid w:val="008844F8"/>
    <w:rsid w:val="008856D8"/>
    <w:rsid w:val="0088638C"/>
    <w:rsid w:val="00886E4F"/>
    <w:rsid w:val="008915E4"/>
    <w:rsid w:val="008918DB"/>
    <w:rsid w:val="00892E82"/>
    <w:rsid w:val="00892EE2"/>
    <w:rsid w:val="00893993"/>
    <w:rsid w:val="00896D7E"/>
    <w:rsid w:val="008A066B"/>
    <w:rsid w:val="008A1E97"/>
    <w:rsid w:val="008A628A"/>
    <w:rsid w:val="008B0CDD"/>
    <w:rsid w:val="008B1360"/>
    <w:rsid w:val="008B1C57"/>
    <w:rsid w:val="008C089A"/>
    <w:rsid w:val="008C1B58"/>
    <w:rsid w:val="008C39AE"/>
    <w:rsid w:val="008C484F"/>
    <w:rsid w:val="008C590D"/>
    <w:rsid w:val="008D3320"/>
    <w:rsid w:val="008D4993"/>
    <w:rsid w:val="008D62A1"/>
    <w:rsid w:val="008D64C2"/>
    <w:rsid w:val="008D6781"/>
    <w:rsid w:val="008E031B"/>
    <w:rsid w:val="008E05E6"/>
    <w:rsid w:val="008E09E3"/>
    <w:rsid w:val="008E19C7"/>
    <w:rsid w:val="008E2D10"/>
    <w:rsid w:val="008E304A"/>
    <w:rsid w:val="008E377F"/>
    <w:rsid w:val="008E4381"/>
    <w:rsid w:val="008E5A7D"/>
    <w:rsid w:val="008E632B"/>
    <w:rsid w:val="008E63C2"/>
    <w:rsid w:val="008E6C64"/>
    <w:rsid w:val="008E7029"/>
    <w:rsid w:val="008E7371"/>
    <w:rsid w:val="008E7A28"/>
    <w:rsid w:val="008E7B68"/>
    <w:rsid w:val="008E7EF6"/>
    <w:rsid w:val="008F0F9F"/>
    <w:rsid w:val="008F1F98"/>
    <w:rsid w:val="008F2130"/>
    <w:rsid w:val="008F21A8"/>
    <w:rsid w:val="008F2F3A"/>
    <w:rsid w:val="008F3D9D"/>
    <w:rsid w:val="008F6758"/>
    <w:rsid w:val="008F6BE8"/>
    <w:rsid w:val="008F6EA3"/>
    <w:rsid w:val="008F7ED9"/>
    <w:rsid w:val="00900E95"/>
    <w:rsid w:val="0090120A"/>
    <w:rsid w:val="009040DD"/>
    <w:rsid w:val="00904C72"/>
    <w:rsid w:val="00904D04"/>
    <w:rsid w:val="00905596"/>
    <w:rsid w:val="00905B47"/>
    <w:rsid w:val="00905E09"/>
    <w:rsid w:val="009073B3"/>
    <w:rsid w:val="0091331C"/>
    <w:rsid w:val="009210D2"/>
    <w:rsid w:val="009235B8"/>
    <w:rsid w:val="00923E57"/>
    <w:rsid w:val="0092608C"/>
    <w:rsid w:val="009261B4"/>
    <w:rsid w:val="00926818"/>
    <w:rsid w:val="009279DE"/>
    <w:rsid w:val="00930116"/>
    <w:rsid w:val="0093042D"/>
    <w:rsid w:val="00930680"/>
    <w:rsid w:val="009343B8"/>
    <w:rsid w:val="00936E1A"/>
    <w:rsid w:val="00940A9C"/>
    <w:rsid w:val="0094212C"/>
    <w:rsid w:val="009437A3"/>
    <w:rsid w:val="00945C6B"/>
    <w:rsid w:val="00951180"/>
    <w:rsid w:val="00954689"/>
    <w:rsid w:val="00956A63"/>
    <w:rsid w:val="009617C9"/>
    <w:rsid w:val="00961C93"/>
    <w:rsid w:val="00961D2F"/>
    <w:rsid w:val="00961EBD"/>
    <w:rsid w:val="00962018"/>
    <w:rsid w:val="00962AD0"/>
    <w:rsid w:val="00962BFC"/>
    <w:rsid w:val="00963A64"/>
    <w:rsid w:val="009649D0"/>
    <w:rsid w:val="00965324"/>
    <w:rsid w:val="0096594B"/>
    <w:rsid w:val="00967372"/>
    <w:rsid w:val="0097091E"/>
    <w:rsid w:val="00970A5D"/>
    <w:rsid w:val="00975C36"/>
    <w:rsid w:val="009760D3"/>
    <w:rsid w:val="00976A5B"/>
    <w:rsid w:val="00977132"/>
    <w:rsid w:val="0098084A"/>
    <w:rsid w:val="00981A4B"/>
    <w:rsid w:val="00982501"/>
    <w:rsid w:val="00982777"/>
    <w:rsid w:val="009850A3"/>
    <w:rsid w:val="009877D3"/>
    <w:rsid w:val="00992F0E"/>
    <w:rsid w:val="009944E4"/>
    <w:rsid w:val="00994620"/>
    <w:rsid w:val="00994E8F"/>
    <w:rsid w:val="009951DC"/>
    <w:rsid w:val="009959BB"/>
    <w:rsid w:val="00997158"/>
    <w:rsid w:val="009A06C6"/>
    <w:rsid w:val="009A1C20"/>
    <w:rsid w:val="009A39F0"/>
    <w:rsid w:val="009A3A7C"/>
    <w:rsid w:val="009A3E44"/>
    <w:rsid w:val="009A4C26"/>
    <w:rsid w:val="009A5BBF"/>
    <w:rsid w:val="009A6575"/>
    <w:rsid w:val="009A7AE3"/>
    <w:rsid w:val="009B0DF1"/>
    <w:rsid w:val="009B2529"/>
    <w:rsid w:val="009B2ADB"/>
    <w:rsid w:val="009B2BC1"/>
    <w:rsid w:val="009B3411"/>
    <w:rsid w:val="009B3E89"/>
    <w:rsid w:val="009B603A"/>
    <w:rsid w:val="009B7F0B"/>
    <w:rsid w:val="009C287D"/>
    <w:rsid w:val="009C2D0E"/>
    <w:rsid w:val="009C3DAC"/>
    <w:rsid w:val="009C3F5E"/>
    <w:rsid w:val="009C42E0"/>
    <w:rsid w:val="009C5936"/>
    <w:rsid w:val="009C5968"/>
    <w:rsid w:val="009C698D"/>
    <w:rsid w:val="009C7A88"/>
    <w:rsid w:val="009D3159"/>
    <w:rsid w:val="009D4C81"/>
    <w:rsid w:val="009D5362"/>
    <w:rsid w:val="009D60B3"/>
    <w:rsid w:val="009E0625"/>
    <w:rsid w:val="009E0E55"/>
    <w:rsid w:val="009E1415"/>
    <w:rsid w:val="009E604B"/>
    <w:rsid w:val="009E6116"/>
    <w:rsid w:val="009F0C6E"/>
    <w:rsid w:val="009F5356"/>
    <w:rsid w:val="009F5CF7"/>
    <w:rsid w:val="009F64B2"/>
    <w:rsid w:val="009F6C77"/>
    <w:rsid w:val="009F7D1A"/>
    <w:rsid w:val="00A02354"/>
    <w:rsid w:val="00A02E43"/>
    <w:rsid w:val="00A035FE"/>
    <w:rsid w:val="00A065F9"/>
    <w:rsid w:val="00A07F34"/>
    <w:rsid w:val="00A1082E"/>
    <w:rsid w:val="00A1111F"/>
    <w:rsid w:val="00A12E53"/>
    <w:rsid w:val="00A14C76"/>
    <w:rsid w:val="00A15824"/>
    <w:rsid w:val="00A22154"/>
    <w:rsid w:val="00A22678"/>
    <w:rsid w:val="00A23187"/>
    <w:rsid w:val="00A23BFA"/>
    <w:rsid w:val="00A246CC"/>
    <w:rsid w:val="00A248DB"/>
    <w:rsid w:val="00A25C38"/>
    <w:rsid w:val="00A27CF6"/>
    <w:rsid w:val="00A36428"/>
    <w:rsid w:val="00A36802"/>
    <w:rsid w:val="00A36BBE"/>
    <w:rsid w:val="00A4307A"/>
    <w:rsid w:val="00A4347E"/>
    <w:rsid w:val="00A4477A"/>
    <w:rsid w:val="00A44E3D"/>
    <w:rsid w:val="00A47EBB"/>
    <w:rsid w:val="00A50759"/>
    <w:rsid w:val="00A507B6"/>
    <w:rsid w:val="00A51CDD"/>
    <w:rsid w:val="00A5322D"/>
    <w:rsid w:val="00A539F5"/>
    <w:rsid w:val="00A53AC4"/>
    <w:rsid w:val="00A54D41"/>
    <w:rsid w:val="00A55499"/>
    <w:rsid w:val="00A56500"/>
    <w:rsid w:val="00A60C21"/>
    <w:rsid w:val="00A615C8"/>
    <w:rsid w:val="00A61A2E"/>
    <w:rsid w:val="00A61F74"/>
    <w:rsid w:val="00A6363F"/>
    <w:rsid w:val="00A65F7B"/>
    <w:rsid w:val="00A67140"/>
    <w:rsid w:val="00A6730D"/>
    <w:rsid w:val="00A707DB"/>
    <w:rsid w:val="00A71625"/>
    <w:rsid w:val="00A71B9B"/>
    <w:rsid w:val="00A751C7"/>
    <w:rsid w:val="00A766E3"/>
    <w:rsid w:val="00A83B57"/>
    <w:rsid w:val="00A84C15"/>
    <w:rsid w:val="00A870E5"/>
    <w:rsid w:val="00A874C2"/>
    <w:rsid w:val="00A87844"/>
    <w:rsid w:val="00A87CDF"/>
    <w:rsid w:val="00A924F7"/>
    <w:rsid w:val="00A92F8E"/>
    <w:rsid w:val="00A954B5"/>
    <w:rsid w:val="00AA038C"/>
    <w:rsid w:val="00AA7A09"/>
    <w:rsid w:val="00AA7B39"/>
    <w:rsid w:val="00AA7B41"/>
    <w:rsid w:val="00AB03AA"/>
    <w:rsid w:val="00AB3947"/>
    <w:rsid w:val="00AB3B50"/>
    <w:rsid w:val="00AB5314"/>
    <w:rsid w:val="00AB5DB8"/>
    <w:rsid w:val="00AC0385"/>
    <w:rsid w:val="00AC05B1"/>
    <w:rsid w:val="00AC08B1"/>
    <w:rsid w:val="00AC0FBB"/>
    <w:rsid w:val="00AC27F4"/>
    <w:rsid w:val="00AC430D"/>
    <w:rsid w:val="00AC62C2"/>
    <w:rsid w:val="00AD356C"/>
    <w:rsid w:val="00AD5DDF"/>
    <w:rsid w:val="00AD5F19"/>
    <w:rsid w:val="00AE1837"/>
    <w:rsid w:val="00AE1BF8"/>
    <w:rsid w:val="00AE2620"/>
    <w:rsid w:val="00AE2914"/>
    <w:rsid w:val="00AE31F8"/>
    <w:rsid w:val="00AE388E"/>
    <w:rsid w:val="00AE4BB3"/>
    <w:rsid w:val="00AE6D15"/>
    <w:rsid w:val="00AF2B8C"/>
    <w:rsid w:val="00AF4B7F"/>
    <w:rsid w:val="00AF554D"/>
    <w:rsid w:val="00B004F9"/>
    <w:rsid w:val="00B01FA9"/>
    <w:rsid w:val="00B0371E"/>
    <w:rsid w:val="00B03D38"/>
    <w:rsid w:val="00B04182"/>
    <w:rsid w:val="00B07AE3"/>
    <w:rsid w:val="00B11430"/>
    <w:rsid w:val="00B11A13"/>
    <w:rsid w:val="00B11F16"/>
    <w:rsid w:val="00B121ED"/>
    <w:rsid w:val="00B2057C"/>
    <w:rsid w:val="00B2327C"/>
    <w:rsid w:val="00B23B95"/>
    <w:rsid w:val="00B23ED9"/>
    <w:rsid w:val="00B265D3"/>
    <w:rsid w:val="00B266EB"/>
    <w:rsid w:val="00B26DB0"/>
    <w:rsid w:val="00B270C7"/>
    <w:rsid w:val="00B328E6"/>
    <w:rsid w:val="00B33E73"/>
    <w:rsid w:val="00B353EB"/>
    <w:rsid w:val="00B37794"/>
    <w:rsid w:val="00B3784D"/>
    <w:rsid w:val="00B432D6"/>
    <w:rsid w:val="00B439C4"/>
    <w:rsid w:val="00B4535E"/>
    <w:rsid w:val="00B46177"/>
    <w:rsid w:val="00B46451"/>
    <w:rsid w:val="00B46C47"/>
    <w:rsid w:val="00B4754B"/>
    <w:rsid w:val="00B51B45"/>
    <w:rsid w:val="00B52A8C"/>
    <w:rsid w:val="00B61750"/>
    <w:rsid w:val="00B636A8"/>
    <w:rsid w:val="00B651B1"/>
    <w:rsid w:val="00B65784"/>
    <w:rsid w:val="00B659D6"/>
    <w:rsid w:val="00B665C6"/>
    <w:rsid w:val="00B67E1E"/>
    <w:rsid w:val="00B73A7A"/>
    <w:rsid w:val="00B74D7F"/>
    <w:rsid w:val="00B75FE2"/>
    <w:rsid w:val="00B76947"/>
    <w:rsid w:val="00B76B07"/>
    <w:rsid w:val="00B80477"/>
    <w:rsid w:val="00B805AF"/>
    <w:rsid w:val="00B8093A"/>
    <w:rsid w:val="00B8269C"/>
    <w:rsid w:val="00B869EC"/>
    <w:rsid w:val="00B911ED"/>
    <w:rsid w:val="00B913C2"/>
    <w:rsid w:val="00B9168E"/>
    <w:rsid w:val="00B92EB7"/>
    <w:rsid w:val="00B9397A"/>
    <w:rsid w:val="00B940CD"/>
    <w:rsid w:val="00B94165"/>
    <w:rsid w:val="00B948DE"/>
    <w:rsid w:val="00B95576"/>
    <w:rsid w:val="00B9633D"/>
    <w:rsid w:val="00B96F1B"/>
    <w:rsid w:val="00BA0157"/>
    <w:rsid w:val="00BA0862"/>
    <w:rsid w:val="00BA2EBE"/>
    <w:rsid w:val="00BA4129"/>
    <w:rsid w:val="00BA5A44"/>
    <w:rsid w:val="00BA5BAD"/>
    <w:rsid w:val="00BB0F28"/>
    <w:rsid w:val="00BB37A8"/>
    <w:rsid w:val="00BB458A"/>
    <w:rsid w:val="00BB593F"/>
    <w:rsid w:val="00BB66C9"/>
    <w:rsid w:val="00BB6BD1"/>
    <w:rsid w:val="00BC59B8"/>
    <w:rsid w:val="00BC65D1"/>
    <w:rsid w:val="00BC672E"/>
    <w:rsid w:val="00BC7E76"/>
    <w:rsid w:val="00BD00D3"/>
    <w:rsid w:val="00BD1659"/>
    <w:rsid w:val="00BD1F84"/>
    <w:rsid w:val="00BD3469"/>
    <w:rsid w:val="00BD3AA9"/>
    <w:rsid w:val="00BD4A18"/>
    <w:rsid w:val="00BD6DB2"/>
    <w:rsid w:val="00BE11CF"/>
    <w:rsid w:val="00BE21AB"/>
    <w:rsid w:val="00BE3EA5"/>
    <w:rsid w:val="00BE4ED5"/>
    <w:rsid w:val="00BE55C8"/>
    <w:rsid w:val="00BE55CB"/>
    <w:rsid w:val="00BE6566"/>
    <w:rsid w:val="00BE6ECA"/>
    <w:rsid w:val="00BF4751"/>
    <w:rsid w:val="00BF617A"/>
    <w:rsid w:val="00C017A4"/>
    <w:rsid w:val="00C023E3"/>
    <w:rsid w:val="00C0379D"/>
    <w:rsid w:val="00C03931"/>
    <w:rsid w:val="00C04D54"/>
    <w:rsid w:val="00C0504F"/>
    <w:rsid w:val="00C05FE3"/>
    <w:rsid w:val="00C072F9"/>
    <w:rsid w:val="00C07ABA"/>
    <w:rsid w:val="00C07C7A"/>
    <w:rsid w:val="00C10014"/>
    <w:rsid w:val="00C106FE"/>
    <w:rsid w:val="00C13755"/>
    <w:rsid w:val="00C15EFF"/>
    <w:rsid w:val="00C161F2"/>
    <w:rsid w:val="00C173E7"/>
    <w:rsid w:val="00C204F3"/>
    <w:rsid w:val="00C20A06"/>
    <w:rsid w:val="00C2136D"/>
    <w:rsid w:val="00C214EE"/>
    <w:rsid w:val="00C2314B"/>
    <w:rsid w:val="00C24971"/>
    <w:rsid w:val="00C25670"/>
    <w:rsid w:val="00C26464"/>
    <w:rsid w:val="00C26BE5"/>
    <w:rsid w:val="00C26C42"/>
    <w:rsid w:val="00C26E4D"/>
    <w:rsid w:val="00C27909"/>
    <w:rsid w:val="00C27B03"/>
    <w:rsid w:val="00C314E1"/>
    <w:rsid w:val="00C32D86"/>
    <w:rsid w:val="00C3363B"/>
    <w:rsid w:val="00C34397"/>
    <w:rsid w:val="00C34D80"/>
    <w:rsid w:val="00C35EA7"/>
    <w:rsid w:val="00C36315"/>
    <w:rsid w:val="00C37B8B"/>
    <w:rsid w:val="00C4095D"/>
    <w:rsid w:val="00C41B35"/>
    <w:rsid w:val="00C43381"/>
    <w:rsid w:val="00C43517"/>
    <w:rsid w:val="00C45D8C"/>
    <w:rsid w:val="00C50B74"/>
    <w:rsid w:val="00C50FE0"/>
    <w:rsid w:val="00C52874"/>
    <w:rsid w:val="00C53927"/>
    <w:rsid w:val="00C60132"/>
    <w:rsid w:val="00C601D2"/>
    <w:rsid w:val="00C62CF6"/>
    <w:rsid w:val="00C646C5"/>
    <w:rsid w:val="00C64B33"/>
    <w:rsid w:val="00C6521E"/>
    <w:rsid w:val="00C65BCC"/>
    <w:rsid w:val="00C65D72"/>
    <w:rsid w:val="00C66970"/>
    <w:rsid w:val="00C70B52"/>
    <w:rsid w:val="00C810E2"/>
    <w:rsid w:val="00C83AD5"/>
    <w:rsid w:val="00C84700"/>
    <w:rsid w:val="00C848F6"/>
    <w:rsid w:val="00C8691C"/>
    <w:rsid w:val="00C87635"/>
    <w:rsid w:val="00C90EB8"/>
    <w:rsid w:val="00C91249"/>
    <w:rsid w:val="00C91FCB"/>
    <w:rsid w:val="00C92B61"/>
    <w:rsid w:val="00C93589"/>
    <w:rsid w:val="00C93BFA"/>
    <w:rsid w:val="00C95960"/>
    <w:rsid w:val="00C95984"/>
    <w:rsid w:val="00CA0CDB"/>
    <w:rsid w:val="00CA168A"/>
    <w:rsid w:val="00CA22D3"/>
    <w:rsid w:val="00CA24C8"/>
    <w:rsid w:val="00CA357E"/>
    <w:rsid w:val="00CA3D29"/>
    <w:rsid w:val="00CA3DEE"/>
    <w:rsid w:val="00CA44F9"/>
    <w:rsid w:val="00CA4A69"/>
    <w:rsid w:val="00CB2F25"/>
    <w:rsid w:val="00CB6EA0"/>
    <w:rsid w:val="00CC1E4D"/>
    <w:rsid w:val="00CC3E0C"/>
    <w:rsid w:val="00CC58D3"/>
    <w:rsid w:val="00CC5994"/>
    <w:rsid w:val="00CC5A02"/>
    <w:rsid w:val="00CC64F7"/>
    <w:rsid w:val="00CC784D"/>
    <w:rsid w:val="00CC7967"/>
    <w:rsid w:val="00CC7C04"/>
    <w:rsid w:val="00CD5A20"/>
    <w:rsid w:val="00CD65F4"/>
    <w:rsid w:val="00CE1407"/>
    <w:rsid w:val="00CE17AF"/>
    <w:rsid w:val="00CE2701"/>
    <w:rsid w:val="00CE351D"/>
    <w:rsid w:val="00CE6D61"/>
    <w:rsid w:val="00CE7002"/>
    <w:rsid w:val="00CF1D0A"/>
    <w:rsid w:val="00CF29E0"/>
    <w:rsid w:val="00CF2B3E"/>
    <w:rsid w:val="00CF3111"/>
    <w:rsid w:val="00CF6778"/>
    <w:rsid w:val="00CF7541"/>
    <w:rsid w:val="00D00E78"/>
    <w:rsid w:val="00D0337B"/>
    <w:rsid w:val="00D043A1"/>
    <w:rsid w:val="00D04B07"/>
    <w:rsid w:val="00D079B2"/>
    <w:rsid w:val="00D114E9"/>
    <w:rsid w:val="00D14BC0"/>
    <w:rsid w:val="00D176BC"/>
    <w:rsid w:val="00D206B8"/>
    <w:rsid w:val="00D20BB2"/>
    <w:rsid w:val="00D23CF6"/>
    <w:rsid w:val="00D261D9"/>
    <w:rsid w:val="00D269A5"/>
    <w:rsid w:val="00D315ED"/>
    <w:rsid w:val="00D31B6F"/>
    <w:rsid w:val="00D321C8"/>
    <w:rsid w:val="00D35013"/>
    <w:rsid w:val="00D352BA"/>
    <w:rsid w:val="00D414B1"/>
    <w:rsid w:val="00D41E9C"/>
    <w:rsid w:val="00D429C6"/>
    <w:rsid w:val="00D438E1"/>
    <w:rsid w:val="00D47651"/>
    <w:rsid w:val="00D47748"/>
    <w:rsid w:val="00D47B0C"/>
    <w:rsid w:val="00D47B3C"/>
    <w:rsid w:val="00D501F5"/>
    <w:rsid w:val="00D51ED6"/>
    <w:rsid w:val="00D52001"/>
    <w:rsid w:val="00D54948"/>
    <w:rsid w:val="00D54A33"/>
    <w:rsid w:val="00D54CC3"/>
    <w:rsid w:val="00D55B6F"/>
    <w:rsid w:val="00D6041A"/>
    <w:rsid w:val="00D611B9"/>
    <w:rsid w:val="00D614A7"/>
    <w:rsid w:val="00D633EB"/>
    <w:rsid w:val="00D65F60"/>
    <w:rsid w:val="00D726AF"/>
    <w:rsid w:val="00D72EA6"/>
    <w:rsid w:val="00D77C62"/>
    <w:rsid w:val="00D81397"/>
    <w:rsid w:val="00D82A88"/>
    <w:rsid w:val="00D82FF7"/>
    <w:rsid w:val="00D847FE"/>
    <w:rsid w:val="00D852C1"/>
    <w:rsid w:val="00D859D7"/>
    <w:rsid w:val="00D85F3E"/>
    <w:rsid w:val="00D870AE"/>
    <w:rsid w:val="00D87945"/>
    <w:rsid w:val="00D901D1"/>
    <w:rsid w:val="00D90BD8"/>
    <w:rsid w:val="00D925E3"/>
    <w:rsid w:val="00D93224"/>
    <w:rsid w:val="00D964EA"/>
    <w:rsid w:val="00D966D0"/>
    <w:rsid w:val="00DA0C59"/>
    <w:rsid w:val="00DA2C9D"/>
    <w:rsid w:val="00DA3991"/>
    <w:rsid w:val="00DA47B4"/>
    <w:rsid w:val="00DA61F0"/>
    <w:rsid w:val="00DB0459"/>
    <w:rsid w:val="00DB1312"/>
    <w:rsid w:val="00DB1936"/>
    <w:rsid w:val="00DB3728"/>
    <w:rsid w:val="00DB429F"/>
    <w:rsid w:val="00DB5EA6"/>
    <w:rsid w:val="00DB605E"/>
    <w:rsid w:val="00DB7E6C"/>
    <w:rsid w:val="00DC0682"/>
    <w:rsid w:val="00DC123A"/>
    <w:rsid w:val="00DC4B4C"/>
    <w:rsid w:val="00DC5F28"/>
    <w:rsid w:val="00DC633B"/>
    <w:rsid w:val="00DC7907"/>
    <w:rsid w:val="00DD3E83"/>
    <w:rsid w:val="00DD4DAF"/>
    <w:rsid w:val="00DD5A29"/>
    <w:rsid w:val="00DD5D9D"/>
    <w:rsid w:val="00DD61A9"/>
    <w:rsid w:val="00DD6338"/>
    <w:rsid w:val="00DD7079"/>
    <w:rsid w:val="00DE1E5C"/>
    <w:rsid w:val="00DE35CB"/>
    <w:rsid w:val="00DE515D"/>
    <w:rsid w:val="00DE5E0D"/>
    <w:rsid w:val="00DE799C"/>
    <w:rsid w:val="00DF05BD"/>
    <w:rsid w:val="00DF09F1"/>
    <w:rsid w:val="00DF21E9"/>
    <w:rsid w:val="00DF3AAC"/>
    <w:rsid w:val="00DF3BCC"/>
    <w:rsid w:val="00DF5C45"/>
    <w:rsid w:val="00DF71F0"/>
    <w:rsid w:val="00E00C4D"/>
    <w:rsid w:val="00E00EA7"/>
    <w:rsid w:val="00E00F14"/>
    <w:rsid w:val="00E024B2"/>
    <w:rsid w:val="00E0392E"/>
    <w:rsid w:val="00E06386"/>
    <w:rsid w:val="00E063E9"/>
    <w:rsid w:val="00E06BE9"/>
    <w:rsid w:val="00E10C66"/>
    <w:rsid w:val="00E12F24"/>
    <w:rsid w:val="00E145C7"/>
    <w:rsid w:val="00E147E2"/>
    <w:rsid w:val="00E154FE"/>
    <w:rsid w:val="00E16CD8"/>
    <w:rsid w:val="00E1736B"/>
    <w:rsid w:val="00E1782F"/>
    <w:rsid w:val="00E17D43"/>
    <w:rsid w:val="00E233E4"/>
    <w:rsid w:val="00E23DB3"/>
    <w:rsid w:val="00E244DC"/>
    <w:rsid w:val="00E24EB4"/>
    <w:rsid w:val="00E25E0A"/>
    <w:rsid w:val="00E31B03"/>
    <w:rsid w:val="00E31B58"/>
    <w:rsid w:val="00E320ED"/>
    <w:rsid w:val="00E32D77"/>
    <w:rsid w:val="00E33AFB"/>
    <w:rsid w:val="00E34218"/>
    <w:rsid w:val="00E3515B"/>
    <w:rsid w:val="00E37A43"/>
    <w:rsid w:val="00E43E05"/>
    <w:rsid w:val="00E45D20"/>
    <w:rsid w:val="00E46282"/>
    <w:rsid w:val="00E46F66"/>
    <w:rsid w:val="00E475B3"/>
    <w:rsid w:val="00E520AA"/>
    <w:rsid w:val="00E520E9"/>
    <w:rsid w:val="00E5216E"/>
    <w:rsid w:val="00E526D5"/>
    <w:rsid w:val="00E540D4"/>
    <w:rsid w:val="00E60557"/>
    <w:rsid w:val="00E61629"/>
    <w:rsid w:val="00E6368B"/>
    <w:rsid w:val="00E65573"/>
    <w:rsid w:val="00E75010"/>
    <w:rsid w:val="00E756D4"/>
    <w:rsid w:val="00E757CE"/>
    <w:rsid w:val="00E76728"/>
    <w:rsid w:val="00E77734"/>
    <w:rsid w:val="00E82344"/>
    <w:rsid w:val="00E84C82"/>
    <w:rsid w:val="00E84D64"/>
    <w:rsid w:val="00E87408"/>
    <w:rsid w:val="00E914C4"/>
    <w:rsid w:val="00E91D1F"/>
    <w:rsid w:val="00E934F5"/>
    <w:rsid w:val="00E939ED"/>
    <w:rsid w:val="00E96166"/>
    <w:rsid w:val="00E96817"/>
    <w:rsid w:val="00E96961"/>
    <w:rsid w:val="00E97E3E"/>
    <w:rsid w:val="00EA1C9C"/>
    <w:rsid w:val="00EA29BE"/>
    <w:rsid w:val="00EA44A2"/>
    <w:rsid w:val="00EA5338"/>
    <w:rsid w:val="00EA6005"/>
    <w:rsid w:val="00EA72EC"/>
    <w:rsid w:val="00EA738C"/>
    <w:rsid w:val="00EB11CB"/>
    <w:rsid w:val="00EB275A"/>
    <w:rsid w:val="00EB3797"/>
    <w:rsid w:val="00EB6222"/>
    <w:rsid w:val="00EB768D"/>
    <w:rsid w:val="00EB786A"/>
    <w:rsid w:val="00EC1578"/>
    <w:rsid w:val="00EC1C72"/>
    <w:rsid w:val="00EC3CC9"/>
    <w:rsid w:val="00EC4F7C"/>
    <w:rsid w:val="00EC680A"/>
    <w:rsid w:val="00EC723E"/>
    <w:rsid w:val="00ED089B"/>
    <w:rsid w:val="00ED2D0F"/>
    <w:rsid w:val="00EE06E0"/>
    <w:rsid w:val="00EE10E9"/>
    <w:rsid w:val="00EE2819"/>
    <w:rsid w:val="00EE2BED"/>
    <w:rsid w:val="00EE374B"/>
    <w:rsid w:val="00EF35F0"/>
    <w:rsid w:val="00F04418"/>
    <w:rsid w:val="00F04A7D"/>
    <w:rsid w:val="00F0517C"/>
    <w:rsid w:val="00F11BB5"/>
    <w:rsid w:val="00F13E15"/>
    <w:rsid w:val="00F1417B"/>
    <w:rsid w:val="00F14860"/>
    <w:rsid w:val="00F16CDA"/>
    <w:rsid w:val="00F17186"/>
    <w:rsid w:val="00F21F3F"/>
    <w:rsid w:val="00F30FD1"/>
    <w:rsid w:val="00F319F7"/>
    <w:rsid w:val="00F3329B"/>
    <w:rsid w:val="00F34B99"/>
    <w:rsid w:val="00F3595B"/>
    <w:rsid w:val="00F35CCE"/>
    <w:rsid w:val="00F36901"/>
    <w:rsid w:val="00F36C80"/>
    <w:rsid w:val="00F4465A"/>
    <w:rsid w:val="00F45C72"/>
    <w:rsid w:val="00F4653B"/>
    <w:rsid w:val="00F515C0"/>
    <w:rsid w:val="00F517AC"/>
    <w:rsid w:val="00F51E2F"/>
    <w:rsid w:val="00F52A7E"/>
    <w:rsid w:val="00F52B0E"/>
    <w:rsid w:val="00F52DAB"/>
    <w:rsid w:val="00F541F6"/>
    <w:rsid w:val="00F543F0"/>
    <w:rsid w:val="00F56110"/>
    <w:rsid w:val="00F57AEC"/>
    <w:rsid w:val="00F61B88"/>
    <w:rsid w:val="00F6476B"/>
    <w:rsid w:val="00F6718A"/>
    <w:rsid w:val="00F70653"/>
    <w:rsid w:val="00F71774"/>
    <w:rsid w:val="00F731DF"/>
    <w:rsid w:val="00F73F38"/>
    <w:rsid w:val="00F755B1"/>
    <w:rsid w:val="00F763E0"/>
    <w:rsid w:val="00F76CE5"/>
    <w:rsid w:val="00F81D29"/>
    <w:rsid w:val="00F83475"/>
    <w:rsid w:val="00F86235"/>
    <w:rsid w:val="00F870AE"/>
    <w:rsid w:val="00F90E2C"/>
    <w:rsid w:val="00F91571"/>
    <w:rsid w:val="00F91C4D"/>
    <w:rsid w:val="00F91CE3"/>
    <w:rsid w:val="00F92ABF"/>
    <w:rsid w:val="00F92FD9"/>
    <w:rsid w:val="00F949F5"/>
    <w:rsid w:val="00F959AB"/>
    <w:rsid w:val="00F9675C"/>
    <w:rsid w:val="00F976A4"/>
    <w:rsid w:val="00FA1CF5"/>
    <w:rsid w:val="00FA30D9"/>
    <w:rsid w:val="00FA4055"/>
    <w:rsid w:val="00FA59C5"/>
    <w:rsid w:val="00FA6684"/>
    <w:rsid w:val="00FA731E"/>
    <w:rsid w:val="00FB061D"/>
    <w:rsid w:val="00FB1607"/>
    <w:rsid w:val="00FB2B38"/>
    <w:rsid w:val="00FB6F61"/>
    <w:rsid w:val="00FB6F8D"/>
    <w:rsid w:val="00FC1904"/>
    <w:rsid w:val="00FC28A7"/>
    <w:rsid w:val="00FC5642"/>
    <w:rsid w:val="00FC614C"/>
    <w:rsid w:val="00FC6358"/>
    <w:rsid w:val="00FD2CA9"/>
    <w:rsid w:val="00FD320D"/>
    <w:rsid w:val="00FD6285"/>
    <w:rsid w:val="00FD6727"/>
    <w:rsid w:val="00FD732B"/>
    <w:rsid w:val="00FE06A9"/>
    <w:rsid w:val="00FE21AF"/>
    <w:rsid w:val="00FE23DE"/>
    <w:rsid w:val="00FE5AF5"/>
    <w:rsid w:val="00FF2285"/>
    <w:rsid w:val="00FF340C"/>
    <w:rsid w:val="00FF5F7E"/>
    <w:rsid w:val="00FF61C6"/>
    <w:rsid w:val="0A5C22C5"/>
    <w:rsid w:val="110A4712"/>
    <w:rsid w:val="77CFCC34"/>
    <w:rsid w:val="F6A5DFE7"/>
    <w:rsid w:val="FF7D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39" w:semiHidden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qFormat="1"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numPr>
        <w:ilvl w:val="0"/>
        <w:numId w:val="1"/>
      </w:numPr>
      <w:spacing w:beforeLines="100" w:afterLines="100"/>
      <w:outlineLvl w:val="0"/>
    </w:pPr>
    <w:rPr>
      <w:rFonts w:ascii="Times New Roman" w:hAnsi="Times New Roman" w:eastAsia="黑体" w:cs="Times New Roman"/>
      <w:bCs/>
      <w:kern w:val="44"/>
      <w:sz w:val="21"/>
      <w:szCs w:val="44"/>
      <w:lang w:val="en-US" w:eastAsia="zh-CN" w:bidi="ar-SA"/>
    </w:rPr>
  </w:style>
  <w:style w:type="paragraph" w:styleId="3">
    <w:name w:val="heading 2"/>
    <w:next w:val="1"/>
    <w:link w:val="141"/>
    <w:unhideWhenUsed/>
    <w:qFormat/>
    <w:uiPriority w:val="0"/>
    <w:pPr>
      <w:keepNext/>
      <w:keepLines/>
      <w:numPr>
        <w:ilvl w:val="1"/>
        <w:numId w:val="1"/>
      </w:numPr>
      <w:spacing w:before="312" w:after="312" w:line="400" w:lineRule="exact"/>
      <w:outlineLvl w:val="1"/>
    </w:pPr>
    <w:rPr>
      <w:rFonts w:ascii="黑体" w:hAnsi="黑体" w:eastAsia="黑体" w:cs="Times New Roman"/>
      <w:bCs/>
      <w:kern w:val="2"/>
      <w:sz w:val="21"/>
      <w:szCs w:val="32"/>
      <w:lang w:val="en-US" w:eastAsia="zh-CN" w:bidi="ar-SA"/>
    </w:rPr>
  </w:style>
  <w:style w:type="paragraph" w:styleId="4">
    <w:name w:val="heading 3"/>
    <w:basedOn w:val="1"/>
    <w:next w:val="5"/>
    <w:link w:val="146"/>
    <w:qFormat/>
    <w:uiPriority w:val="0"/>
    <w:pPr>
      <w:keepLines/>
      <w:widowControl/>
      <w:numPr>
        <w:ilvl w:val="2"/>
        <w:numId w:val="2"/>
      </w:numPr>
      <w:tabs>
        <w:tab w:val="left" w:pos="1440"/>
        <w:tab w:val="clear" w:pos="1760"/>
      </w:tabs>
      <w:spacing w:before="100" w:line="360" w:lineRule="auto"/>
      <w:ind w:left="924"/>
      <w:jc w:val="left"/>
      <w:outlineLvl w:val="2"/>
    </w:pPr>
    <w:rPr>
      <w:rFonts w:ascii="楷体_GB2312" w:eastAsia="楷体_GB2312"/>
      <w:kern w:val="0"/>
      <w:sz w:val="44"/>
      <w:szCs w:val="44"/>
    </w:rPr>
  </w:style>
  <w:style w:type="paragraph" w:styleId="5">
    <w:name w:val="heading 4"/>
    <w:basedOn w:val="1"/>
    <w:next w:val="6"/>
    <w:link w:val="147"/>
    <w:qFormat/>
    <w:uiPriority w:val="0"/>
    <w:pPr>
      <w:widowControl/>
      <w:numPr>
        <w:ilvl w:val="3"/>
        <w:numId w:val="2"/>
      </w:numPr>
      <w:tabs>
        <w:tab w:val="clear" w:pos="1760"/>
      </w:tabs>
      <w:spacing w:before="100" w:line="360" w:lineRule="auto"/>
      <w:ind w:left="898"/>
      <w:jc w:val="left"/>
      <w:outlineLvl w:val="3"/>
    </w:pPr>
    <w:rPr>
      <w:rFonts w:ascii="Arial" w:hAnsi="Arial" w:eastAsia="楷体_GB2312"/>
      <w:kern w:val="0"/>
      <w:sz w:val="44"/>
      <w:szCs w:val="44"/>
    </w:rPr>
  </w:style>
  <w:style w:type="paragraph" w:styleId="6">
    <w:name w:val="heading 5"/>
    <w:basedOn w:val="1"/>
    <w:next w:val="7"/>
    <w:link w:val="148"/>
    <w:qFormat/>
    <w:uiPriority w:val="99"/>
    <w:pPr>
      <w:numPr>
        <w:ilvl w:val="4"/>
        <w:numId w:val="2"/>
      </w:numPr>
      <w:tabs>
        <w:tab w:val="left" w:pos="1060"/>
        <w:tab w:val="clear" w:pos="1400"/>
      </w:tabs>
      <w:spacing w:line="360" w:lineRule="auto"/>
      <w:ind w:left="-20" w:firstLine="601" w:firstLineChars="212"/>
      <w:jc w:val="left"/>
      <w:outlineLvl w:val="4"/>
    </w:pPr>
    <w:rPr>
      <w:rFonts w:ascii="楷体_GB2312" w:eastAsia="楷体_GB2312"/>
      <w:kern w:val="0"/>
      <w:sz w:val="44"/>
      <w:szCs w:val="44"/>
    </w:rPr>
  </w:style>
  <w:style w:type="paragraph" w:styleId="7">
    <w:name w:val="heading 6"/>
    <w:basedOn w:val="1"/>
    <w:next w:val="8"/>
    <w:link w:val="149"/>
    <w:qFormat/>
    <w:uiPriority w:val="99"/>
    <w:pPr>
      <w:numPr>
        <w:ilvl w:val="5"/>
        <w:numId w:val="2"/>
      </w:numPr>
      <w:spacing w:line="360" w:lineRule="auto"/>
      <w:outlineLvl w:val="5"/>
    </w:pPr>
    <w:rPr>
      <w:rFonts w:ascii="Arial" w:hAnsi="Arial" w:eastAsia="楷体_GB2312"/>
      <w:kern w:val="0"/>
      <w:sz w:val="44"/>
      <w:szCs w:val="44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First Indent"/>
    <w:basedOn w:val="9"/>
    <w:link w:val="152"/>
    <w:semiHidden/>
    <w:unhideWhenUsed/>
    <w:qFormat/>
    <w:uiPriority w:val="0"/>
    <w:pPr>
      <w:ind w:firstLine="420" w:firstLineChars="100"/>
    </w:pPr>
  </w:style>
  <w:style w:type="paragraph" w:styleId="9">
    <w:name w:val="Body Text"/>
    <w:basedOn w:val="1"/>
    <w:link w:val="151"/>
    <w:semiHidden/>
    <w:unhideWhenUsed/>
    <w:qFormat/>
    <w:uiPriority w:val="0"/>
    <w:pPr>
      <w:spacing w:after="120"/>
    </w:pPr>
  </w:style>
  <w:style w:type="paragraph" w:styleId="10">
    <w:name w:val="toc 7"/>
    <w:basedOn w:val="1"/>
    <w:next w:val="1"/>
    <w:qFormat/>
    <w:uiPriority w:val="39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1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1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3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14">
    <w:name w:val="Document Map"/>
    <w:basedOn w:val="1"/>
    <w:semiHidden/>
    <w:qFormat/>
    <w:uiPriority w:val="0"/>
    <w:pPr>
      <w:shd w:val="clear" w:color="auto" w:fill="000080"/>
    </w:pPr>
  </w:style>
  <w:style w:type="paragraph" w:styleId="1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6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7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8">
    <w:name w:val="toc 3"/>
    <w:basedOn w:val="1"/>
    <w:next w:val="1"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9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20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21">
    <w:name w:val="endnote text"/>
    <w:basedOn w:val="1"/>
    <w:semiHidden/>
    <w:qFormat/>
    <w:uiPriority w:val="0"/>
    <w:pPr>
      <w:snapToGrid w:val="0"/>
      <w:jc w:val="left"/>
    </w:pPr>
  </w:style>
  <w:style w:type="paragraph" w:styleId="22">
    <w:name w:val="footer"/>
    <w:basedOn w:val="1"/>
    <w:link w:val="150"/>
    <w:qFormat/>
    <w:uiPriority w:val="99"/>
    <w:pPr>
      <w:snapToGrid w:val="0"/>
      <w:ind w:right="210" w:rightChars="100"/>
      <w:jc w:val="right"/>
    </w:pPr>
    <w:rPr>
      <w:sz w:val="18"/>
      <w:szCs w:val="18"/>
    </w:rPr>
  </w:style>
  <w:style w:type="paragraph" w:styleId="23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4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5">
    <w:name w:val="toc 4"/>
    <w:basedOn w:val="1"/>
    <w:next w:val="1"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6">
    <w:name w:val="index heading"/>
    <w:basedOn w:val="1"/>
    <w:next w:val="27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7">
    <w:name w:val="index 1"/>
    <w:basedOn w:val="1"/>
    <w:next w:val="28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8">
    <w:name w:val="段"/>
    <w:link w:val="4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9">
    <w:name w:val="footnote text"/>
    <w:basedOn w:val="1"/>
    <w:qFormat/>
    <w:uiPriority w:val="0"/>
    <w:pPr>
      <w:numPr>
        <w:ilvl w:val="0"/>
        <w:numId w:val="3"/>
      </w:numPr>
      <w:snapToGrid w:val="0"/>
      <w:jc w:val="left"/>
    </w:pPr>
    <w:rPr>
      <w:rFonts w:ascii="宋体"/>
      <w:sz w:val="18"/>
      <w:szCs w:val="18"/>
    </w:rPr>
  </w:style>
  <w:style w:type="paragraph" w:styleId="30">
    <w:name w:val="toc 6"/>
    <w:basedOn w:val="1"/>
    <w:next w:val="1"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31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2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3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34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7">
    <w:name w:val="Table Grid"/>
    <w:basedOn w:val="36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9">
    <w:name w:val="endnote reference"/>
    <w:basedOn w:val="38"/>
    <w:semiHidden/>
    <w:qFormat/>
    <w:uiPriority w:val="0"/>
    <w:rPr>
      <w:vertAlign w:val="superscript"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</w:rPr>
  </w:style>
  <w:style w:type="character" w:styleId="41">
    <w:name w:val="FollowedHyperlink"/>
    <w:basedOn w:val="38"/>
    <w:qFormat/>
    <w:uiPriority w:val="0"/>
    <w:rPr>
      <w:color w:val="800080"/>
      <w:u w:val="single"/>
    </w:rPr>
  </w:style>
  <w:style w:type="character" w:styleId="42">
    <w:name w:val="Hyperlink"/>
    <w:basedOn w:val="38"/>
    <w:qFormat/>
    <w:uiPriority w:val="99"/>
    <w:rPr>
      <w:color w:val="0000FF"/>
      <w:spacing w:val="0"/>
      <w:w w:val="100"/>
      <w:szCs w:val="21"/>
      <w:u w:val="single"/>
    </w:rPr>
  </w:style>
  <w:style w:type="character" w:styleId="43">
    <w:name w:val="footnote reference"/>
    <w:basedOn w:val="38"/>
    <w:semiHidden/>
    <w:qFormat/>
    <w:uiPriority w:val="0"/>
    <w:rPr>
      <w:vertAlign w:val="superscript"/>
    </w:rPr>
  </w:style>
  <w:style w:type="character" w:customStyle="1" w:styleId="44">
    <w:name w:val="段 Char"/>
    <w:basedOn w:val="38"/>
    <w:link w:val="28"/>
    <w:qFormat/>
    <w:uiPriority w:val="0"/>
    <w:rPr>
      <w:rFonts w:ascii="宋体"/>
      <w:sz w:val="21"/>
      <w:lang w:val="en-US" w:eastAsia="zh-CN" w:bidi="ar-SA"/>
    </w:rPr>
  </w:style>
  <w:style w:type="paragraph" w:customStyle="1" w:styleId="45">
    <w:name w:val="一级条标题"/>
    <w:next w:val="28"/>
    <w:qFormat/>
    <w:uiPriority w:val="0"/>
    <w:pPr>
      <w:numPr>
        <w:ilvl w:val="1"/>
        <w:numId w:val="4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6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8">
    <w:name w:val="章标题"/>
    <w:next w:val="28"/>
    <w:qFormat/>
    <w:uiPriority w:val="0"/>
    <w:pPr>
      <w:numPr>
        <w:ilvl w:val="0"/>
        <w:numId w:val="4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9">
    <w:name w:val="二级条标题"/>
    <w:basedOn w:val="45"/>
    <w:next w:val="28"/>
    <w:qFormat/>
    <w:uiPriority w:val="0"/>
    <w:pPr>
      <w:numPr>
        <w:ilvl w:val="2"/>
      </w:numPr>
      <w:spacing w:before="50" w:after="50"/>
      <w:ind w:left="426"/>
      <w:outlineLvl w:val="3"/>
    </w:pPr>
  </w:style>
  <w:style w:type="paragraph" w:customStyle="1" w:styleId="50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51">
    <w:name w:val="列项——（一级）"/>
    <w:qFormat/>
    <w:uiPriority w:val="0"/>
    <w:pPr>
      <w:widowControl w:val="0"/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列项●（二级）"/>
    <w:qFormat/>
    <w:uiPriority w:val="0"/>
    <w:pPr>
      <w:numPr>
        <w:ilvl w:val="1"/>
        <w:numId w:val="5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目次、标准名称标题"/>
    <w:basedOn w:val="1"/>
    <w:next w:val="28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54">
    <w:name w:val="三级条标题"/>
    <w:basedOn w:val="49"/>
    <w:next w:val="28"/>
    <w:qFormat/>
    <w:uiPriority w:val="0"/>
    <w:pPr>
      <w:numPr>
        <w:ilvl w:val="3"/>
      </w:numPr>
      <w:outlineLvl w:val="4"/>
    </w:pPr>
  </w:style>
  <w:style w:type="paragraph" w:customStyle="1" w:styleId="55">
    <w:name w:val="示例"/>
    <w:next w:val="56"/>
    <w:qFormat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数字编号列项（二级）"/>
    <w:qFormat/>
    <w:uiPriority w:val="0"/>
    <w:pPr>
      <w:numPr>
        <w:ilvl w:val="1"/>
        <w:numId w:val="6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四级条标题"/>
    <w:basedOn w:val="54"/>
    <w:next w:val="28"/>
    <w:qFormat/>
    <w:uiPriority w:val="0"/>
    <w:pPr>
      <w:numPr>
        <w:ilvl w:val="4"/>
      </w:numPr>
      <w:outlineLvl w:val="5"/>
    </w:pPr>
  </w:style>
  <w:style w:type="paragraph" w:customStyle="1" w:styleId="59">
    <w:name w:val="五级条标题"/>
    <w:basedOn w:val="58"/>
    <w:next w:val="28"/>
    <w:qFormat/>
    <w:uiPriority w:val="0"/>
    <w:pPr>
      <w:numPr>
        <w:ilvl w:val="5"/>
      </w:numPr>
      <w:outlineLvl w:val="6"/>
    </w:pPr>
  </w:style>
  <w:style w:type="paragraph" w:customStyle="1" w:styleId="60">
    <w:name w:val="注："/>
    <w:next w:val="28"/>
    <w:qFormat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1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2">
    <w:name w:val="字母编号列项（一级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3">
    <w:name w:val="列项◆（三级）"/>
    <w:basedOn w:val="1"/>
    <w:qFormat/>
    <w:uiPriority w:val="0"/>
    <w:pPr>
      <w:numPr>
        <w:ilvl w:val="2"/>
        <w:numId w:val="5"/>
      </w:numPr>
    </w:pPr>
    <w:rPr>
      <w:rFonts w:ascii="宋体"/>
      <w:szCs w:val="21"/>
    </w:rPr>
  </w:style>
  <w:style w:type="paragraph" w:customStyle="1" w:styleId="64">
    <w:name w:val="编号列项（三级）"/>
    <w:qFormat/>
    <w:uiPriority w:val="0"/>
    <w:pPr>
      <w:numPr>
        <w:ilvl w:val="2"/>
        <w:numId w:val="6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示例×："/>
    <w:basedOn w:val="48"/>
    <w:qFormat/>
    <w:uiPriority w:val="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66">
    <w:name w:val="二级无"/>
    <w:basedOn w:val="49"/>
    <w:qFormat/>
    <w:uiPriority w:val="0"/>
    <w:pPr>
      <w:spacing w:beforeLines="0" w:afterLines="0"/>
      <w:ind w:left="0"/>
    </w:pPr>
    <w:rPr>
      <w:rFonts w:ascii="宋体" w:eastAsia="宋体"/>
    </w:rPr>
  </w:style>
  <w:style w:type="paragraph" w:customStyle="1" w:styleId="67">
    <w:name w:val="注：（正文）"/>
    <w:basedOn w:val="60"/>
    <w:next w:val="28"/>
    <w:qFormat/>
    <w:uiPriority w:val="0"/>
  </w:style>
  <w:style w:type="paragraph" w:customStyle="1" w:styleId="68">
    <w:name w:val="注×：（正文）"/>
    <w:qFormat/>
    <w:uiPriority w:val="0"/>
    <w:pPr>
      <w:ind w:left="6057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9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70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71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2">
    <w:name w:val="标准书眉_偶数页"/>
    <w:basedOn w:val="47"/>
    <w:next w:val="1"/>
    <w:qFormat/>
    <w:uiPriority w:val="0"/>
    <w:pPr>
      <w:jc w:val="left"/>
    </w:pPr>
  </w:style>
  <w:style w:type="paragraph" w:customStyle="1" w:styleId="7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4">
    <w:name w:val="参考文献"/>
    <w:basedOn w:val="1"/>
    <w:next w:val="28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5">
    <w:name w:val="参考文献、索引标题"/>
    <w:basedOn w:val="1"/>
    <w:next w:val="28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6">
    <w:name w:val="发布"/>
    <w:basedOn w:val="3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7">
    <w:name w:val="发布部门"/>
    <w:next w:val="28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8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9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8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1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2">
    <w:name w:val="封面标准英文名称"/>
    <w:basedOn w:val="81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3">
    <w:name w:val="封面一致性程度标识"/>
    <w:basedOn w:val="82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4">
    <w:name w:val="封面标准文稿类别"/>
    <w:basedOn w:val="83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5">
    <w:name w:val="封面标准文稿编辑信息"/>
    <w:basedOn w:val="84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86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7">
    <w:name w:val="附录标识"/>
    <w:basedOn w:val="1"/>
    <w:next w:val="28"/>
    <w:qFormat/>
    <w:uiPriority w:val="0"/>
    <w:pPr>
      <w:keepNext/>
      <w:widowControl/>
      <w:numPr>
        <w:ilvl w:val="0"/>
        <w:numId w:val="7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8">
    <w:name w:val="附录标题"/>
    <w:basedOn w:val="28"/>
    <w:next w:val="28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9">
    <w:name w:val="附录表标号"/>
    <w:basedOn w:val="1"/>
    <w:next w:val="28"/>
    <w:qFormat/>
    <w:uiPriority w:val="0"/>
    <w:pPr>
      <w:numPr>
        <w:ilvl w:val="0"/>
        <w:numId w:val="8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90">
    <w:name w:val="附录表标题"/>
    <w:basedOn w:val="1"/>
    <w:next w:val="28"/>
    <w:qFormat/>
    <w:uiPriority w:val="0"/>
    <w:pPr>
      <w:numPr>
        <w:ilvl w:val="1"/>
        <w:numId w:val="8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1">
    <w:name w:val="附录二级条标题"/>
    <w:basedOn w:val="1"/>
    <w:next w:val="28"/>
    <w:qFormat/>
    <w:uiPriority w:val="0"/>
    <w:pPr>
      <w:widowControl/>
      <w:numPr>
        <w:ilvl w:val="3"/>
        <w:numId w:val="7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92">
    <w:name w:val="附录二级无"/>
    <w:basedOn w:val="91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3">
    <w:name w:val="附录公式"/>
    <w:basedOn w:val="28"/>
    <w:next w:val="28"/>
    <w:link w:val="94"/>
    <w:qFormat/>
    <w:uiPriority w:val="0"/>
  </w:style>
  <w:style w:type="character" w:customStyle="1" w:styleId="94">
    <w:name w:val="附录公式 Char"/>
    <w:basedOn w:val="44"/>
    <w:link w:val="93"/>
    <w:qFormat/>
    <w:uiPriority w:val="0"/>
    <w:rPr>
      <w:rFonts w:ascii="宋体"/>
      <w:sz w:val="21"/>
      <w:lang w:val="en-US" w:eastAsia="zh-CN" w:bidi="ar-SA"/>
    </w:rPr>
  </w:style>
  <w:style w:type="paragraph" w:customStyle="1" w:styleId="95">
    <w:name w:val="附录公式编号制表符"/>
    <w:basedOn w:val="1"/>
    <w:next w:val="28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6">
    <w:name w:val="附录三级条标题"/>
    <w:basedOn w:val="91"/>
    <w:next w:val="28"/>
    <w:qFormat/>
    <w:uiPriority w:val="0"/>
    <w:pPr>
      <w:numPr>
        <w:ilvl w:val="4"/>
      </w:numPr>
      <w:outlineLvl w:val="4"/>
    </w:pPr>
  </w:style>
  <w:style w:type="paragraph" w:customStyle="1" w:styleId="97">
    <w:name w:val="附录三级无"/>
    <w:basedOn w:val="9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8">
    <w:name w:val="附录数字编号列项（二级）"/>
    <w:qFormat/>
    <w:uiPriority w:val="0"/>
    <w:pPr>
      <w:numPr>
        <w:ilvl w:val="1"/>
        <w:numId w:val="9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9">
    <w:name w:val="附录四级条标题"/>
    <w:basedOn w:val="96"/>
    <w:next w:val="28"/>
    <w:qFormat/>
    <w:uiPriority w:val="0"/>
    <w:pPr>
      <w:numPr>
        <w:ilvl w:val="5"/>
      </w:numPr>
      <w:outlineLvl w:val="5"/>
    </w:pPr>
  </w:style>
  <w:style w:type="paragraph" w:customStyle="1" w:styleId="100">
    <w:name w:val="附录四级无"/>
    <w:basedOn w:val="9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1">
    <w:name w:val="附录图标号"/>
    <w:basedOn w:val="1"/>
    <w:qFormat/>
    <w:uiPriority w:val="0"/>
    <w:pPr>
      <w:keepNext/>
      <w:pageBreakBefore/>
      <w:widowControl/>
      <w:numPr>
        <w:ilvl w:val="0"/>
        <w:numId w:val="10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02">
    <w:name w:val="附录图标题"/>
    <w:basedOn w:val="1"/>
    <w:next w:val="28"/>
    <w:qFormat/>
    <w:uiPriority w:val="0"/>
    <w:pPr>
      <w:numPr>
        <w:ilvl w:val="1"/>
        <w:numId w:val="10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03">
    <w:name w:val="附录五级条标题"/>
    <w:basedOn w:val="99"/>
    <w:next w:val="28"/>
    <w:qFormat/>
    <w:uiPriority w:val="0"/>
    <w:pPr>
      <w:numPr>
        <w:ilvl w:val="6"/>
      </w:numPr>
      <w:outlineLvl w:val="6"/>
    </w:pPr>
  </w:style>
  <w:style w:type="paragraph" w:customStyle="1" w:styleId="104">
    <w:name w:val="附录五级无"/>
    <w:basedOn w:val="103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5">
    <w:name w:val="附录章标题"/>
    <w:next w:val="28"/>
    <w:qFormat/>
    <w:uiPriority w:val="0"/>
    <w:pPr>
      <w:numPr>
        <w:ilvl w:val="1"/>
        <w:numId w:val="7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6">
    <w:name w:val="附录一级条标题"/>
    <w:basedOn w:val="105"/>
    <w:next w:val="28"/>
    <w:qFormat/>
    <w:uiPriority w:val="0"/>
    <w:pPr>
      <w:numPr>
        <w:ilvl w:val="2"/>
      </w:numPr>
      <w:tabs>
        <w:tab w:val="left" w:pos="360"/>
      </w:tabs>
      <w:autoSpaceDN w:val="0"/>
      <w:spacing w:beforeLines="50" w:afterLines="50"/>
      <w:outlineLvl w:val="2"/>
    </w:pPr>
  </w:style>
  <w:style w:type="paragraph" w:customStyle="1" w:styleId="107">
    <w:name w:val="附录一级无"/>
    <w:basedOn w:val="10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8">
    <w:name w:val="附录字母编号列项（一级）"/>
    <w:qFormat/>
    <w:uiPriority w:val="0"/>
    <w:pPr>
      <w:numPr>
        <w:ilvl w:val="0"/>
        <w:numId w:val="9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10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其他标准标志"/>
    <w:basedOn w:val="69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3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4">
    <w:name w:val="其他发布部门"/>
    <w:basedOn w:val="77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15">
    <w:name w:val="前言、引言标题"/>
    <w:next w:val="28"/>
    <w:qFormat/>
    <w:uiPriority w:val="9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6">
    <w:name w:val="三级无"/>
    <w:basedOn w:val="54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7">
    <w:name w:val="实施日期"/>
    <w:basedOn w:val="78"/>
    <w:qFormat/>
    <w:uiPriority w:val="0"/>
    <w:pPr>
      <w:framePr w:wrap="around" w:vAnchor="page" w:hAnchor="text"/>
      <w:jc w:val="right"/>
    </w:pPr>
  </w:style>
  <w:style w:type="paragraph" w:customStyle="1" w:styleId="118">
    <w:name w:val="示例后文字"/>
    <w:basedOn w:val="28"/>
    <w:next w:val="28"/>
    <w:qFormat/>
    <w:uiPriority w:val="0"/>
    <w:pPr>
      <w:ind w:firstLine="360"/>
    </w:pPr>
    <w:rPr>
      <w:sz w:val="18"/>
    </w:rPr>
  </w:style>
  <w:style w:type="paragraph" w:customStyle="1" w:styleId="119">
    <w:name w:val="首示例"/>
    <w:next w:val="28"/>
    <w:link w:val="120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0">
    <w:name w:val="首示例 Char"/>
    <w:basedOn w:val="3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21">
    <w:name w:val="四级无"/>
    <w:basedOn w:val="58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2">
    <w:name w:val="条文脚注"/>
    <w:basedOn w:val="29"/>
    <w:qFormat/>
    <w:uiPriority w:val="0"/>
    <w:pPr>
      <w:numPr>
        <w:numId w:val="0"/>
      </w:numPr>
      <w:jc w:val="both"/>
    </w:pPr>
  </w:style>
  <w:style w:type="paragraph" w:customStyle="1" w:styleId="123">
    <w:name w:val="图标脚注说明"/>
    <w:basedOn w:val="28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24">
    <w:name w:val="图表脚注说明"/>
    <w:basedOn w:val="1"/>
    <w:qFormat/>
    <w:uiPriority w:val="0"/>
    <w:pPr>
      <w:ind w:left="544" w:hanging="181"/>
    </w:pPr>
    <w:rPr>
      <w:rFonts w:ascii="宋体"/>
      <w:sz w:val="18"/>
      <w:szCs w:val="18"/>
    </w:rPr>
  </w:style>
  <w:style w:type="paragraph" w:customStyle="1" w:styleId="125">
    <w:name w:val="图的脚注"/>
    <w:next w:val="28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6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7">
    <w:name w:val="五级无"/>
    <w:basedOn w:val="59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8">
    <w:name w:val="一级无"/>
    <w:basedOn w:val="45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9">
    <w:name w:val="正文表标题"/>
    <w:next w:val="28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0">
    <w:name w:val="正文公式编号制表符"/>
    <w:basedOn w:val="28"/>
    <w:next w:val="28"/>
    <w:qFormat/>
    <w:uiPriority w:val="0"/>
    <w:pPr>
      <w:ind w:firstLine="0" w:firstLineChars="0"/>
    </w:pPr>
  </w:style>
  <w:style w:type="paragraph" w:customStyle="1" w:styleId="131">
    <w:name w:val="正文图标题"/>
    <w:next w:val="28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2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33">
    <w:name w:val="其他发布日期"/>
    <w:basedOn w:val="78"/>
    <w:qFormat/>
    <w:uiPriority w:val="0"/>
    <w:pPr>
      <w:framePr w:wrap="around" w:vAnchor="page" w:hAnchor="text" w:x="1419"/>
    </w:pPr>
  </w:style>
  <w:style w:type="paragraph" w:customStyle="1" w:styleId="134">
    <w:name w:val="其他实施日期"/>
    <w:basedOn w:val="117"/>
    <w:qFormat/>
    <w:uiPriority w:val="0"/>
    <w:pPr>
      <w:framePr w:wrap="around"/>
    </w:pPr>
  </w:style>
  <w:style w:type="paragraph" w:customStyle="1" w:styleId="135">
    <w:name w:val="封面标准名称2"/>
    <w:basedOn w:val="81"/>
    <w:qFormat/>
    <w:uiPriority w:val="0"/>
    <w:pPr>
      <w:framePr w:wrap="around" w:y="4469"/>
      <w:spacing w:beforeLines="630"/>
    </w:pPr>
  </w:style>
  <w:style w:type="paragraph" w:customStyle="1" w:styleId="136">
    <w:name w:val="封面标准英文名称2"/>
    <w:basedOn w:val="82"/>
    <w:qFormat/>
    <w:uiPriority w:val="0"/>
    <w:pPr>
      <w:framePr w:wrap="around" w:y="4469"/>
    </w:pPr>
  </w:style>
  <w:style w:type="paragraph" w:customStyle="1" w:styleId="137">
    <w:name w:val="封面一致性程度标识2"/>
    <w:basedOn w:val="83"/>
    <w:qFormat/>
    <w:uiPriority w:val="0"/>
    <w:pPr>
      <w:framePr w:wrap="around" w:y="4469"/>
    </w:pPr>
  </w:style>
  <w:style w:type="paragraph" w:customStyle="1" w:styleId="138">
    <w:name w:val="封面标准文稿类别2"/>
    <w:basedOn w:val="84"/>
    <w:qFormat/>
    <w:uiPriority w:val="0"/>
    <w:pPr>
      <w:framePr w:wrap="around" w:y="4469"/>
    </w:pPr>
  </w:style>
  <w:style w:type="paragraph" w:customStyle="1" w:styleId="139">
    <w:name w:val="封面标准文稿编辑信息2"/>
    <w:basedOn w:val="85"/>
    <w:qFormat/>
    <w:uiPriority w:val="0"/>
    <w:pPr>
      <w:framePr w:wrap="around" w:y="4469"/>
    </w:pPr>
  </w:style>
  <w:style w:type="character" w:customStyle="1" w:styleId="140">
    <w:name w:val="标题 1 字符"/>
    <w:basedOn w:val="38"/>
    <w:link w:val="2"/>
    <w:qFormat/>
    <w:uiPriority w:val="0"/>
    <w:rPr>
      <w:rFonts w:eastAsia="黑体"/>
      <w:bCs/>
      <w:kern w:val="44"/>
      <w:sz w:val="21"/>
      <w:szCs w:val="44"/>
    </w:rPr>
  </w:style>
  <w:style w:type="character" w:customStyle="1" w:styleId="141">
    <w:name w:val="标题 2 字符"/>
    <w:basedOn w:val="38"/>
    <w:link w:val="3"/>
    <w:qFormat/>
    <w:uiPriority w:val="0"/>
    <w:rPr>
      <w:rFonts w:ascii="黑体" w:hAnsi="黑体" w:eastAsia="黑体"/>
      <w:bCs/>
      <w:kern w:val="2"/>
      <w:sz w:val="21"/>
      <w:szCs w:val="32"/>
    </w:rPr>
  </w:style>
  <w:style w:type="paragraph" w:customStyle="1" w:styleId="142">
    <w:name w:val="A 条"/>
    <w:link w:val="143"/>
    <w:qFormat/>
    <w:uiPriority w:val="0"/>
    <w:pPr>
      <w:numPr>
        <w:ilvl w:val="2"/>
        <w:numId w:val="1"/>
      </w:numPr>
      <w:spacing w:before="156" w:after="156" w:line="400" w:lineRule="exact"/>
      <w:outlineLvl w:val="2"/>
    </w:pPr>
    <w:rPr>
      <w:rFonts w:ascii="黑体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3">
    <w:name w:val="A 条 字符"/>
    <w:basedOn w:val="38"/>
    <w:link w:val="142"/>
    <w:qFormat/>
    <w:uiPriority w:val="0"/>
    <w:rPr>
      <w:rFonts w:ascii="黑体"/>
      <w:kern w:val="2"/>
      <w:sz w:val="21"/>
      <w:szCs w:val="24"/>
    </w:rPr>
  </w:style>
  <w:style w:type="paragraph" w:customStyle="1" w:styleId="144">
    <w:name w:val="A 款"/>
    <w:link w:val="145"/>
    <w:qFormat/>
    <w:uiPriority w:val="0"/>
    <w:pPr>
      <w:adjustRightInd w:val="0"/>
      <w:snapToGrid w:val="0"/>
      <w:spacing w:beforeLines="50" w:afterLines="50" w:line="300" w:lineRule="auto"/>
      <w:ind w:firstLine="420" w:firstLineChars="200"/>
    </w:pPr>
    <w:rPr>
      <w:rFonts w:ascii="Times New Roman" w:hAnsi="Times New Roman" w:eastAsia="宋体" w:cs="Times New Roman"/>
      <w:color w:val="0070C0"/>
      <w:kern w:val="2"/>
      <w:sz w:val="21"/>
      <w:szCs w:val="24"/>
      <w:lang w:val="en-US" w:eastAsia="zh-CN" w:bidi="ar-SA"/>
    </w:rPr>
  </w:style>
  <w:style w:type="character" w:customStyle="1" w:styleId="145">
    <w:name w:val="A 款 字符"/>
    <w:basedOn w:val="38"/>
    <w:link w:val="144"/>
    <w:qFormat/>
    <w:uiPriority w:val="0"/>
    <w:rPr>
      <w:color w:val="0070C0"/>
      <w:kern w:val="2"/>
      <w:sz w:val="21"/>
      <w:szCs w:val="24"/>
    </w:rPr>
  </w:style>
  <w:style w:type="character" w:customStyle="1" w:styleId="146">
    <w:name w:val="标题 3 字符"/>
    <w:basedOn w:val="38"/>
    <w:link w:val="4"/>
    <w:qFormat/>
    <w:uiPriority w:val="0"/>
    <w:rPr>
      <w:rFonts w:ascii="楷体_GB2312" w:eastAsia="楷体_GB2312"/>
      <w:sz w:val="44"/>
      <w:szCs w:val="44"/>
    </w:rPr>
  </w:style>
  <w:style w:type="character" w:customStyle="1" w:styleId="147">
    <w:name w:val="标题 4 字符"/>
    <w:basedOn w:val="38"/>
    <w:link w:val="5"/>
    <w:qFormat/>
    <w:uiPriority w:val="0"/>
    <w:rPr>
      <w:rFonts w:ascii="Arial" w:hAnsi="Arial" w:eastAsia="楷体_GB2312"/>
      <w:sz w:val="44"/>
      <w:szCs w:val="44"/>
    </w:rPr>
  </w:style>
  <w:style w:type="character" w:customStyle="1" w:styleId="148">
    <w:name w:val="标题 5 字符"/>
    <w:basedOn w:val="38"/>
    <w:link w:val="6"/>
    <w:qFormat/>
    <w:uiPriority w:val="99"/>
    <w:rPr>
      <w:rFonts w:ascii="楷体_GB2312" w:eastAsia="楷体_GB2312"/>
      <w:sz w:val="44"/>
      <w:szCs w:val="44"/>
    </w:rPr>
  </w:style>
  <w:style w:type="character" w:customStyle="1" w:styleId="149">
    <w:name w:val="标题 6 字符"/>
    <w:basedOn w:val="38"/>
    <w:link w:val="7"/>
    <w:qFormat/>
    <w:uiPriority w:val="99"/>
    <w:rPr>
      <w:rFonts w:ascii="Arial" w:hAnsi="Arial" w:eastAsia="楷体_GB2312"/>
      <w:sz w:val="44"/>
      <w:szCs w:val="44"/>
    </w:rPr>
  </w:style>
  <w:style w:type="character" w:customStyle="1" w:styleId="150">
    <w:name w:val="页脚 字符"/>
    <w:basedOn w:val="38"/>
    <w:link w:val="22"/>
    <w:qFormat/>
    <w:uiPriority w:val="99"/>
    <w:rPr>
      <w:kern w:val="2"/>
      <w:sz w:val="18"/>
      <w:szCs w:val="18"/>
    </w:rPr>
  </w:style>
  <w:style w:type="character" w:customStyle="1" w:styleId="151">
    <w:name w:val="正文文本 字符"/>
    <w:basedOn w:val="38"/>
    <w:link w:val="9"/>
    <w:semiHidden/>
    <w:qFormat/>
    <w:uiPriority w:val="0"/>
    <w:rPr>
      <w:kern w:val="2"/>
      <w:sz w:val="21"/>
      <w:szCs w:val="24"/>
    </w:rPr>
  </w:style>
  <w:style w:type="character" w:customStyle="1" w:styleId="152">
    <w:name w:val="正文文本首行缩进 字符"/>
    <w:basedOn w:val="151"/>
    <w:link w:val="8"/>
    <w:semiHidden/>
    <w:qFormat/>
    <w:uiPriority w:val="0"/>
    <w:rPr>
      <w:kern w:val="2"/>
      <w:sz w:val="21"/>
      <w:szCs w:val="24"/>
    </w:rPr>
  </w:style>
  <w:style w:type="paragraph" w:styleId="153">
    <w:name w:val="List Paragraph"/>
    <w:basedOn w:val="1"/>
    <w:qFormat/>
    <w:uiPriority w:val="34"/>
    <w:pPr>
      <w:ind w:firstLine="420" w:firstLineChars="200"/>
    </w:pPr>
  </w:style>
  <w:style w:type="paragraph" w:customStyle="1" w:styleId="154">
    <w:name w:val="y四级标题"/>
    <w:basedOn w:val="5"/>
    <w:qFormat/>
    <w:uiPriority w:val="0"/>
    <w:pPr>
      <w:keepNext/>
      <w:keepLines/>
      <w:widowControl w:val="0"/>
      <w:numPr>
        <w:ilvl w:val="0"/>
        <w:numId w:val="0"/>
      </w:numPr>
      <w:spacing w:before="120" w:after="120" w:afterLines="50"/>
      <w:jc w:val="both"/>
    </w:pPr>
    <w:rPr>
      <w:rFonts w:ascii="Times New Roman" w:hAnsi="Times New Roman" w:eastAsia="黑体"/>
      <w:b/>
      <w:bCs/>
      <w:kern w:val="2"/>
      <w:sz w:val="24"/>
      <w:szCs w:val="28"/>
    </w:rPr>
  </w:style>
  <w:style w:type="paragraph" w:customStyle="1" w:styleId="155">
    <w:name w:val="A6-图名"/>
    <w:basedOn w:val="1"/>
    <w:next w:val="1"/>
    <w:qFormat/>
    <w:uiPriority w:val="0"/>
    <w:pPr>
      <w:keepLines/>
      <w:spacing w:before="120" w:after="240"/>
      <w:jc w:val="center"/>
    </w:pPr>
  </w:style>
  <w:style w:type="paragraph" w:customStyle="1" w:styleId="156">
    <w:name w:val="A8-表名"/>
    <w:basedOn w:val="155"/>
    <w:qFormat/>
    <w:uiPriority w:val="0"/>
    <w:pPr>
      <w:keepNext/>
      <w:spacing w:after="120"/>
      <w:ind w:left="3824" w:firstLine="288"/>
    </w:pPr>
    <w:rPr>
      <w:szCs w:val="20"/>
    </w:rPr>
  </w:style>
  <w:style w:type="paragraph" w:customStyle="1" w:styleId="157">
    <w:name w:val="A5-图片行"/>
    <w:basedOn w:val="1"/>
    <w:next w:val="155"/>
    <w:qFormat/>
    <w:uiPriority w:val="0"/>
    <w:pPr>
      <w:jc w:val="center"/>
    </w:pPr>
    <w:rPr>
      <w:rFonts w:ascii="宋体" w:hAnsi="宋体"/>
      <w:sz w:val="18"/>
      <w:szCs w:val="18"/>
    </w:rPr>
  </w:style>
  <w:style w:type="paragraph" w:customStyle="1" w:styleId="158">
    <w:name w:val="A6-2 图名（不编号）"/>
    <w:qFormat/>
    <w:uiPriority w:val="0"/>
    <w:pPr>
      <w:spacing w:line="400" w:lineRule="exact"/>
      <w:jc w:val="center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paragraph" w:customStyle="1" w:styleId="159">
    <w:name w:val="A4-正文"/>
    <w:basedOn w:val="1"/>
    <w:link w:val="160"/>
    <w:qFormat/>
    <w:uiPriority w:val="0"/>
    <w:pPr>
      <w:adjustRightInd w:val="0"/>
      <w:snapToGrid w:val="0"/>
      <w:spacing w:line="400" w:lineRule="exact"/>
      <w:ind w:firstLine="200" w:firstLineChars="200"/>
    </w:pPr>
    <w:rPr>
      <w:sz w:val="24"/>
    </w:rPr>
  </w:style>
  <w:style w:type="character" w:customStyle="1" w:styleId="160">
    <w:name w:val="A4-正文 字符"/>
    <w:link w:val="159"/>
    <w:qFormat/>
    <w:uiPriority w:val="0"/>
    <w:rPr>
      <w:kern w:val="2"/>
      <w:sz w:val="24"/>
      <w:szCs w:val="24"/>
    </w:rPr>
  </w:style>
  <w:style w:type="paragraph" w:customStyle="1" w:styleId="161">
    <w:name w:val="A9-公式"/>
    <w:basedOn w:val="157"/>
    <w:next w:val="1"/>
    <w:link w:val="162"/>
    <w:qFormat/>
    <w:uiPriority w:val="0"/>
    <w:rPr>
      <w:sz w:val="21"/>
    </w:rPr>
  </w:style>
  <w:style w:type="character" w:customStyle="1" w:styleId="162">
    <w:name w:val="A9-公式 字符"/>
    <w:link w:val="161"/>
    <w:qFormat/>
    <w:uiPriority w:val="0"/>
    <w:rPr>
      <w:rFonts w:ascii="宋体" w:hAnsi="宋体"/>
      <w:kern w:val="2"/>
      <w:sz w:val="21"/>
      <w:szCs w:val="18"/>
    </w:rPr>
  </w:style>
  <w:style w:type="paragraph" w:customStyle="1" w:styleId="163">
    <w:name w:val="000-公式编号"/>
    <w:basedOn w:val="159"/>
    <w:link w:val="164"/>
    <w:qFormat/>
    <w:uiPriority w:val="0"/>
    <w:pPr>
      <w:spacing w:line="240" w:lineRule="auto"/>
      <w:ind w:firstLine="0" w:firstLineChars="0"/>
      <w:jc w:val="right"/>
    </w:pPr>
  </w:style>
  <w:style w:type="character" w:customStyle="1" w:styleId="164">
    <w:name w:val="000-公式编号 字符"/>
    <w:basedOn w:val="160"/>
    <w:link w:val="163"/>
    <w:qFormat/>
    <w:uiPriority w:val="0"/>
    <w:rPr>
      <w:kern w:val="2"/>
      <w:sz w:val="24"/>
      <w:szCs w:val="24"/>
    </w:rPr>
  </w:style>
  <w:style w:type="paragraph" w:customStyle="1" w:styleId="165">
    <w:name w:val="B 正文"/>
    <w:link w:val="166"/>
    <w:qFormat/>
    <w:uiPriority w:val="0"/>
    <w:pPr>
      <w:spacing w:after="163" w:afterLines="50" w:line="400" w:lineRule="exact"/>
      <w:ind w:firstLine="482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166">
    <w:name w:val="B 正文 字符"/>
    <w:link w:val="165"/>
    <w:qFormat/>
    <w:uiPriority w:val="0"/>
    <w:rPr>
      <w:kern w:val="2"/>
      <w:sz w:val="24"/>
      <w:szCs w:val="24"/>
    </w:rPr>
  </w:style>
  <w:style w:type="character" w:customStyle="1" w:styleId="167">
    <w:name w:val="B7 表名 字符"/>
    <w:link w:val="168"/>
    <w:qFormat/>
    <w:uiPriority w:val="0"/>
    <w:rPr>
      <w:kern w:val="2"/>
      <w:sz w:val="21"/>
      <w:szCs w:val="24"/>
    </w:rPr>
  </w:style>
  <w:style w:type="paragraph" w:customStyle="1" w:styleId="168">
    <w:name w:val="B7 表名"/>
    <w:basedOn w:val="1"/>
    <w:link w:val="167"/>
    <w:qFormat/>
    <w:uiPriority w:val="0"/>
    <w:pPr>
      <w:spacing w:before="200" w:line="360" w:lineRule="auto"/>
      <w:jc w:val="center"/>
    </w:pPr>
  </w:style>
  <w:style w:type="paragraph" w:customStyle="1" w:styleId="169">
    <w:name w:val="B6 图名"/>
    <w:basedOn w:val="1"/>
    <w:next w:val="165"/>
    <w:qFormat/>
    <w:uiPriority w:val="0"/>
    <w:pPr>
      <w:spacing w:before="50" w:beforeLines="50" w:after="50" w:afterLines="50"/>
      <w:jc w:val="center"/>
    </w:pPr>
    <w:rPr>
      <w:bCs/>
      <w:color w:val="000000"/>
      <w:szCs w:val="28"/>
    </w:rPr>
  </w:style>
  <w:style w:type="paragraph" w:customStyle="1" w:styleId="170">
    <w:name w:val="条标题"/>
    <w:basedOn w:val="1"/>
    <w:qFormat/>
    <w:uiPriority w:val="99"/>
    <w:pPr>
      <w:numPr>
        <w:ilvl w:val="2"/>
        <w:numId w:val="11"/>
      </w:numPr>
      <w:spacing w:line="360" w:lineRule="exact"/>
    </w:pPr>
    <w:rPr>
      <w:szCs w:val="21"/>
    </w:rPr>
  </w:style>
  <w:style w:type="paragraph" w:customStyle="1" w:styleId="171">
    <w:name w:val="B8 公式编号"/>
    <w:basedOn w:val="165"/>
    <w:qFormat/>
    <w:uiPriority w:val="0"/>
    <w:pPr>
      <w:spacing w:afterLines="0" w:line="240" w:lineRule="auto"/>
      <w:ind w:right="-50" w:rightChars="-50" w:firstLine="0"/>
      <w:jc w:val="right"/>
    </w:pPr>
    <w:rPr>
      <w:sz w:val="21"/>
    </w:rPr>
  </w:style>
  <w:style w:type="paragraph" w:customStyle="1" w:styleId="172">
    <w:name w:val="TOC Heading"/>
    <w:basedOn w:val="2"/>
    <w:next w:val="1"/>
    <w:unhideWhenUsed/>
    <w:qFormat/>
    <w:uiPriority w:val="39"/>
    <w:pPr>
      <w:numPr>
        <w:numId w:val="0"/>
      </w:numPr>
      <w:spacing w:before="240" w:beforeLines="0" w:afterLines="0" w:line="259" w:lineRule="auto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 w:val="32"/>
      <w:szCs w:val="32"/>
    </w:rPr>
  </w:style>
  <w:style w:type="paragraph" w:customStyle="1" w:styleId="173">
    <w:name w:val="标准文件_段"/>
    <w:link w:val="17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74">
    <w:name w:val="标准文件_段 Char"/>
    <w:link w:val="173"/>
    <w:qFormat/>
    <w:uiPriority w:val="0"/>
    <w:rPr>
      <w:rFonts w:ascii="宋体"/>
      <w:sz w:val="21"/>
    </w:rPr>
  </w:style>
  <w:style w:type="character" w:customStyle="1" w:styleId="175">
    <w:name w:val="表格文字 字符"/>
    <w:link w:val="176"/>
    <w:qFormat/>
    <w:uiPriority w:val="0"/>
    <w:rPr>
      <w:sz w:val="18"/>
      <w:szCs w:val="18"/>
    </w:rPr>
  </w:style>
  <w:style w:type="paragraph" w:customStyle="1" w:styleId="176">
    <w:name w:val="表格文字"/>
    <w:link w:val="175"/>
    <w:qFormat/>
    <w:uiPriority w:val="0"/>
    <w:pPr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customStyle="1" w:styleId="177">
    <w:name w:val="表名 字符"/>
    <w:link w:val="178"/>
    <w:qFormat/>
    <w:uiPriority w:val="0"/>
    <w:rPr>
      <w:rFonts w:eastAsia="黑体"/>
      <w:sz w:val="21"/>
    </w:rPr>
  </w:style>
  <w:style w:type="paragraph" w:customStyle="1" w:styleId="178">
    <w:name w:val="表名"/>
    <w:next w:val="179"/>
    <w:link w:val="177"/>
    <w:qFormat/>
    <w:uiPriority w:val="0"/>
    <w:pPr>
      <w:keepNext/>
      <w:numPr>
        <w:ilvl w:val="0"/>
        <w:numId w:val="12"/>
      </w:numPr>
      <w:spacing w:before="50" w:beforeLines="50" w:after="50" w:afterLines="50"/>
      <w:jc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79">
    <w:name w:val="图片"/>
    <w:next w:val="1"/>
    <w:link w:val="180"/>
    <w:qFormat/>
    <w:uiPriority w:val="0"/>
    <w:pPr>
      <w:jc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180">
    <w:name w:val="图片 字符"/>
    <w:link w:val="179"/>
    <w:qFormat/>
    <w:uiPriority w:val="0"/>
    <w:rPr>
      <w:rFonts w:ascii="黑体" w:eastAsia="黑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administrator/C:\home\administrator\C:\Users\zyy\Desktop\&#26631;&#20934;&#32534;&#20889;&#33609;&#26696;%20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标准编写草案 模板.dot</Template>
  <Company>zle</Company>
  <Pages>13</Pages>
  <Words>6159</Words>
  <Characters>6705</Characters>
  <Lines>51</Lines>
  <Paragraphs>14</Paragraphs>
  <TotalTime>5</TotalTime>
  <ScaleCrop>false</ScaleCrop>
  <LinksUpToDate>false</LinksUpToDate>
  <CharactersWithSpaces>6970</CharactersWithSpaces>
  <Application>WPS Office_11.8.2.1123_F1E327BC-269C-435d-A152-05C5408002CA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2024-08-22T08:00:00Z</dcterms:created>
  <dc:creator>郑玉艳</dc:creator>
  <cp:lastModifiedBy>administrator</cp:lastModifiedBy>
  <cp:lastPrinted>2024-11-28T09:43:50Z</cp:lastPrinted>
  <dcterms:modified xsi:type="dcterms:W3CDTF">2024-11-28T09:44:59Z</dcterms:modified>
  <dc:title>标准名称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2052-11.8.2.1123</vt:lpwstr>
  </property>
  <property fmtid="{D5CDD505-2E9C-101B-9397-08002B2CF9AE}" pid="3" name="ICV">
    <vt:lpwstr>55A1F5974E4168423E63306787B3F2B7</vt:lpwstr>
  </property>
</Properties>
</file>