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18B1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70773320">
            <w:pPr>
              <w:pStyle w:val="20"/>
              <w:framePr w:wrap="notBeside" w:vAnchor="page" w:hAnchor="page" w:x="1372" w:y="568"/>
              <w:tabs>
                <w:tab w:val="clear" w:pos="4153"/>
                <w:tab w:val="clear" w:pos="8306"/>
              </w:tabs>
              <w:spacing w:line="240" w:lineRule="auto"/>
              <w:jc w:val="left"/>
              <w:rPr>
                <w:rFonts w:hint="eastAsia" w:ascii="Times New Roman" w:hAnsi="Times New Roman" w:eastAsia="宋体"/>
                <w:color w:val="auto"/>
                <w:sz w:val="21"/>
                <w:szCs w:val="21"/>
              </w:rPr>
            </w:pPr>
            <w:r>
              <w:rPr>
                <w:rFonts w:ascii="Times New Roman" w:hAnsi="Times New Roman" w:eastAsia="宋体"/>
                <w:color w:val="auto"/>
                <w:sz w:val="21"/>
                <w:szCs w:val="21"/>
              </w:rPr>
              <w:t>ICS</w:t>
            </w:r>
          </w:p>
        </w:tc>
        <w:tc>
          <w:tcPr>
            <w:tcW w:w="8855" w:type="dxa"/>
          </w:tcPr>
          <w:p w14:paraId="3E772B52">
            <w:pPr>
              <w:pStyle w:val="20"/>
              <w:framePr w:wrap="notBeside" w:vAnchor="page" w:hAnchor="page" w:x="1372" w:y="568"/>
              <w:tabs>
                <w:tab w:val="clear" w:pos="4153"/>
                <w:tab w:val="clear" w:pos="8306"/>
              </w:tabs>
              <w:spacing w:line="240" w:lineRule="auto"/>
              <w:jc w:val="both"/>
              <w:rPr>
                <w:rFonts w:hint="eastAsia" w:ascii="Times New Roman" w:hAnsi="Times New Roman" w:eastAsia="宋体"/>
                <w:color w:val="auto"/>
                <w:sz w:val="21"/>
                <w:szCs w:val="21"/>
              </w:rPr>
            </w:pPr>
          </w:p>
        </w:tc>
      </w:tr>
      <w:tr w14:paraId="72D10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18FBBC3">
            <w:pPr>
              <w:pStyle w:val="20"/>
              <w:framePr w:wrap="notBeside" w:vAnchor="page" w:hAnchor="page" w:x="1372" w:y="568"/>
              <w:tabs>
                <w:tab w:val="clear" w:pos="4153"/>
                <w:tab w:val="clear" w:pos="8306"/>
              </w:tabs>
              <w:spacing w:before="40" w:line="240" w:lineRule="auto"/>
              <w:jc w:val="left"/>
              <w:rPr>
                <w:rFonts w:hint="eastAsia" w:ascii="Times New Roman" w:hAnsi="Times New Roman" w:eastAsia="宋体"/>
                <w:color w:val="auto"/>
                <w:sz w:val="21"/>
                <w:szCs w:val="21"/>
              </w:rPr>
            </w:pPr>
            <w:r>
              <w:rPr>
                <w:rFonts w:ascii="Times New Roman" w:hAnsi="Times New Roman" w:eastAsia="宋体"/>
                <w:color w:val="auto"/>
                <w:sz w:val="21"/>
                <w:szCs w:val="21"/>
              </w:rPr>
              <w:t xml:space="preserve">CCS </w:t>
            </w:r>
          </w:p>
        </w:tc>
        <w:tc>
          <w:tcPr>
            <w:tcW w:w="8855" w:type="dxa"/>
          </w:tcPr>
          <w:p w14:paraId="5D42A69D">
            <w:pPr>
              <w:pStyle w:val="20"/>
              <w:framePr w:wrap="notBeside" w:vAnchor="page" w:hAnchor="page" w:x="1372" w:y="568"/>
              <w:tabs>
                <w:tab w:val="clear" w:pos="4153"/>
                <w:tab w:val="clear" w:pos="8306"/>
              </w:tabs>
              <w:spacing w:before="40" w:line="240" w:lineRule="auto"/>
              <w:jc w:val="left"/>
              <w:rPr>
                <w:rFonts w:hint="eastAsia" w:ascii="Times New Roman" w:hAnsi="Times New Roman" w:eastAsia="宋体"/>
                <w:color w:val="auto"/>
                <w:sz w:val="21"/>
                <w:szCs w:val="21"/>
              </w:rPr>
            </w:pPr>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38C1286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5FAF4897">
            <w:pPr>
              <w:pStyle w:val="53"/>
              <w:framePr w:w="0" w:hRule="auto" w:wrap="auto" w:vAnchor="margin" w:hAnchor="text" w:xAlign="left" w:yAlign="inline"/>
              <w:rPr>
                <w:rFonts w:hint="eastAsia" w:ascii="Times New Roman" w:hAnsi="Times New Roman"/>
                <w:color w:val="auto"/>
                <w:sz w:val="28"/>
                <w:szCs w:val="28"/>
              </w:rPr>
            </w:pPr>
            <w:bookmarkStart w:id="0" w:name="_Hlk26473981"/>
            <w:r>
              <w:rPr>
                <w:color w:val="auto"/>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auto"/>
              </w:rPr>
              <w:fldChar w:fldCharType="begin">
                <w:ffData>
                  <w:name w:val="c1"/>
                  <w:enabled/>
                  <w:calcOnExit w:val="0"/>
                  <w:textInput>
                    <w:maxLength w:val="8"/>
                  </w:textInput>
                </w:ffData>
              </w:fldChar>
            </w:r>
            <w:bookmarkStart w:id="1" w:name="c1"/>
            <w:r>
              <w:rPr>
                <w:color w:val="auto"/>
              </w:rPr>
              <w:instrText xml:space="preserve"> FORMTEXT </w:instrText>
            </w:r>
            <w:r>
              <w:rPr>
                <w:color w:val="auto"/>
              </w:rPr>
              <w:fldChar w:fldCharType="separate"/>
            </w:r>
            <w:r>
              <w:rPr>
                <w:color w:val="auto"/>
              </w:rPr>
              <w:t>34</w:t>
            </w:r>
            <w:r>
              <w:rPr>
                <w:color w:val="auto"/>
              </w:rPr>
              <w:fldChar w:fldCharType="end"/>
            </w:r>
            <w:bookmarkEnd w:id="1"/>
          </w:p>
        </w:tc>
      </w:tr>
    </w:tbl>
    <w:p w14:paraId="05DD9E2E">
      <w:pPr>
        <w:pStyle w:val="54"/>
        <w:framePr w:w="9639" w:h="624" w:hRule="exact" w:hSpace="181" w:vSpace="181" w:wrap="around" w:hAnchor="page" w:x="1305" w:y="2269"/>
        <w:rPr>
          <w:rFonts w:hint="eastAsia" w:ascii="Times New Roman" w:hAnsi="Times New Roman" w:eastAsia="宋体"/>
          <w:b w:val="0"/>
          <w:bCs w:val="0"/>
          <w:color w:val="auto"/>
          <w:w w:val="100"/>
          <w:sz w:val="48"/>
          <w:szCs w:val="48"/>
        </w:rPr>
      </w:pPr>
      <w:r>
        <w:rPr>
          <w:rFonts w:ascii="Times New Roman" w:eastAsia="宋体"/>
          <w:b w:val="0"/>
          <w:color w:val="auto"/>
          <w:w w:val="100"/>
          <w:sz w:val="48"/>
        </w:rPr>
        <w:fldChar w:fldCharType="begin">
          <w:ffData>
            <w:name w:val="c2"/>
            <w:enabled/>
            <w:calcOnExit w:val="0"/>
            <w:textInput/>
          </w:ffData>
        </w:fldChar>
      </w:r>
      <w:bookmarkStart w:id="2" w:name="c2"/>
      <w:r>
        <w:rPr>
          <w:rFonts w:ascii="Times New Roman" w:eastAsia="宋体"/>
          <w:b w:val="0"/>
          <w:color w:val="auto"/>
          <w:w w:val="100"/>
          <w:sz w:val="48"/>
        </w:rPr>
        <w:instrText xml:space="preserve"> FORMTEXT </w:instrText>
      </w:r>
      <w:r>
        <w:rPr>
          <w:rFonts w:ascii="Times New Roman" w:eastAsia="宋体"/>
          <w:b w:val="0"/>
          <w:color w:val="auto"/>
          <w:w w:val="100"/>
          <w:sz w:val="48"/>
        </w:rPr>
        <w:fldChar w:fldCharType="separate"/>
      </w:r>
      <w:r>
        <w:rPr>
          <w:rFonts w:hint="eastAsia" w:ascii="Times New Roman" w:eastAsia="宋体"/>
          <w:b w:val="0"/>
          <w:color w:val="auto"/>
          <w:w w:val="100"/>
          <w:sz w:val="48"/>
        </w:rPr>
        <w:t>安徽省</w:t>
      </w:r>
      <w:r>
        <w:rPr>
          <w:rFonts w:ascii="Times New Roman" w:eastAsia="宋体"/>
          <w:b w:val="0"/>
          <w:color w:val="auto"/>
          <w:w w:val="100"/>
          <w:sz w:val="48"/>
        </w:rPr>
        <w:fldChar w:fldCharType="end"/>
      </w:r>
      <w:bookmarkEnd w:id="2"/>
      <w:r>
        <w:rPr>
          <w:rFonts w:hint="eastAsia" w:ascii="Times New Roman" w:hAnsi="Times New Roman" w:eastAsia="宋体"/>
          <w:b w:val="0"/>
          <w:bCs w:val="0"/>
          <w:color w:val="auto"/>
          <w:w w:val="100"/>
          <w:sz w:val="48"/>
          <w:szCs w:val="48"/>
        </w:rPr>
        <w:t>地方标准</w:t>
      </w:r>
    </w:p>
    <w:bookmarkEnd w:id="0"/>
    <w:p w14:paraId="75FAC610">
      <w:pPr>
        <w:pStyle w:val="199"/>
        <w:rPr>
          <w:rFonts w:ascii="Times New Roman" w:eastAsia="宋体"/>
          <w:color w:val="auto"/>
        </w:rPr>
      </w:pPr>
      <w:r>
        <w:rPr>
          <w:rFonts w:ascii="Times New Roman" w:eastAsia="宋体"/>
          <w:color w:val="auto"/>
        </w:rPr>
        <w:t>DB</w:t>
      </w:r>
      <w:r>
        <w:rPr>
          <w:rFonts w:ascii="Times New Roman" w:eastAsia="宋体"/>
          <w:color w:val="auto"/>
        </w:rPr>
        <w:fldChar w:fldCharType="begin">
          <w:ffData>
            <w:name w:val="文字1"/>
            <w:enabled/>
            <w:calcOnExit w:val="0"/>
            <w:textInput>
              <w:default w:val="XX"/>
            </w:textInput>
          </w:ffData>
        </w:fldChar>
      </w:r>
      <w:bookmarkStart w:id="3" w:name="文字1"/>
      <w:r>
        <w:rPr>
          <w:rFonts w:ascii="Times New Roman" w:eastAsia="宋体"/>
          <w:color w:val="auto"/>
        </w:rPr>
        <w:instrText xml:space="preserve"> FORMTEXT </w:instrText>
      </w:r>
      <w:r>
        <w:rPr>
          <w:rFonts w:ascii="Times New Roman" w:eastAsia="宋体"/>
          <w:color w:val="auto"/>
        </w:rPr>
        <w:fldChar w:fldCharType="separate"/>
      </w:r>
      <w:r>
        <w:rPr>
          <w:rFonts w:ascii="Times New Roman" w:eastAsia="宋体"/>
          <w:color w:val="auto"/>
        </w:rPr>
        <w:t>34/T</w:t>
      </w:r>
      <w:r>
        <w:rPr>
          <w:rFonts w:ascii="Times New Roman" w:eastAsia="宋体"/>
          <w:color w:val="auto"/>
        </w:rPr>
        <w:fldChar w:fldCharType="end"/>
      </w:r>
      <w:bookmarkEnd w:id="3"/>
      <w:r>
        <w:rPr>
          <w:rFonts w:ascii="Times New Roman" w:eastAsia="宋体"/>
          <w:color w:val="auto"/>
        </w:rPr>
        <w:fldChar w:fldCharType="begin">
          <w:ffData>
            <w:name w:val="NSTD_CODE_F"/>
            <w:enabled/>
            <w:calcOnExit w:val="0"/>
            <w:textInput>
              <w:default w:val="XXXXX"/>
            </w:textInput>
          </w:ffData>
        </w:fldChar>
      </w:r>
      <w:bookmarkStart w:id="4" w:name="NSTD_CODE_F"/>
      <w:r>
        <w:rPr>
          <w:rFonts w:ascii="Times New Roman" w:eastAsia="宋体"/>
          <w:color w:val="auto"/>
        </w:rPr>
        <w:instrText xml:space="preserve"> FORMTEXT </w:instrText>
      </w:r>
      <w:r>
        <w:rPr>
          <w:rFonts w:ascii="Times New Roman" w:eastAsia="宋体"/>
          <w:color w:val="auto"/>
        </w:rPr>
        <w:fldChar w:fldCharType="separate"/>
      </w:r>
      <w:r>
        <w:rPr>
          <w:rFonts w:ascii="Times New Roman" w:eastAsia="宋体"/>
          <w:color w:val="auto"/>
        </w:rPr>
        <w:t>XXXXX</w:t>
      </w:r>
      <w:r>
        <w:rPr>
          <w:rFonts w:ascii="Times New Roman" w:eastAsia="宋体"/>
          <w:color w:val="auto"/>
        </w:rPr>
        <w:fldChar w:fldCharType="end"/>
      </w:r>
      <w:bookmarkEnd w:id="4"/>
      <w:r>
        <w:rPr>
          <w:rFonts w:hint="eastAsia" w:ascii="Times New Roman" w:hAnsi="Times New Roman" w:eastAsia="宋体"/>
          <w:color w:val="auto"/>
        </w:rPr>
        <w:t>—</w:t>
      </w:r>
      <w:r>
        <w:rPr>
          <w:rFonts w:ascii="Times New Roman" w:eastAsia="宋体"/>
          <w:color w:val="auto"/>
        </w:rPr>
        <w:fldChar w:fldCharType="begin">
          <w:ffData>
            <w:name w:val="NSTD_CODE_B"/>
            <w:enabled/>
            <w:calcOnExit w:val="0"/>
            <w:textInput>
              <w:default w:val="XXXX"/>
            </w:textInput>
          </w:ffData>
        </w:fldChar>
      </w:r>
      <w:bookmarkStart w:id="5" w:name="NSTD_CODE_B"/>
      <w:r>
        <w:rPr>
          <w:rFonts w:ascii="Times New Roman" w:eastAsia="宋体"/>
          <w:color w:val="auto"/>
        </w:rPr>
        <w:instrText xml:space="preserve"> FORMTEXT </w:instrText>
      </w:r>
      <w:r>
        <w:rPr>
          <w:rFonts w:ascii="Times New Roman" w:eastAsia="宋体"/>
          <w:color w:val="auto"/>
        </w:rPr>
        <w:fldChar w:fldCharType="separate"/>
      </w:r>
      <w:r>
        <w:rPr>
          <w:rFonts w:ascii="Times New Roman" w:eastAsia="宋体"/>
          <w:color w:val="auto"/>
        </w:rPr>
        <w:t>XXXX</w:t>
      </w:r>
      <w:r>
        <w:rPr>
          <w:rFonts w:ascii="Times New Roman" w:eastAsia="宋体"/>
          <w:color w:val="auto"/>
        </w:rPr>
        <w:fldChar w:fldCharType="end"/>
      </w:r>
      <w:bookmarkEnd w:id="5"/>
    </w:p>
    <w:p w14:paraId="12D17F51">
      <w:pPr>
        <w:pStyle w:val="200"/>
        <w:rPr>
          <w:rFonts w:hint="eastAsia" w:ascii="Times New Roman" w:hAnsi="Times New Roman" w:eastAsia="宋体"/>
          <w:color w:val="auto"/>
        </w:rPr>
      </w:pPr>
      <w:r>
        <w:rPr>
          <w:rFonts w:ascii="Times New Roman" w:hAnsi="Times New Roman" w:eastAsia="宋体"/>
          <w:color w:val="auto"/>
        </w:rPr>
        <w:fldChar w:fldCharType="begin">
          <w:ffData>
            <w:name w:val="OSTD_CODE"/>
            <w:enabled/>
            <w:calcOnExit w:val="0"/>
            <w:textInput/>
          </w:ffData>
        </w:fldChar>
      </w:r>
      <w:bookmarkStart w:id="6" w:name="OSTD_CODE"/>
      <w:r>
        <w:rPr>
          <w:rFonts w:hint="eastAsia" w:ascii="Times New Roman" w:hAnsi="Times New Roman" w:eastAsia="宋体"/>
          <w:color w:val="auto"/>
        </w:rPr>
        <w:instrText xml:space="preserve"> FORMTEXT </w:instrText>
      </w:r>
      <w:r>
        <w:rPr>
          <w:rFonts w:ascii="Times New Roman" w:hAnsi="Times New Roman" w:eastAsia="宋体"/>
          <w:color w:val="auto"/>
        </w:rPr>
        <w:fldChar w:fldCharType="separate"/>
      </w:r>
      <w:r>
        <w:rPr>
          <w:rFonts w:ascii="Times New Roman" w:hAnsi="Times New Roman" w:eastAsia="宋体"/>
          <w:color w:val="auto"/>
        </w:rPr>
        <w:t>     </w:t>
      </w:r>
      <w:r>
        <w:rPr>
          <w:rFonts w:ascii="Times New Roman" w:hAnsi="Times New Roman" w:eastAsia="宋体"/>
          <w:color w:val="auto"/>
        </w:rPr>
        <w:fldChar w:fldCharType="end"/>
      </w:r>
      <w:bookmarkEnd w:id="6"/>
    </w:p>
    <w:p w14:paraId="53C706AC">
      <w:pPr>
        <w:spacing w:line="240" w:lineRule="auto"/>
        <w:rPr>
          <w:rFonts w:hint="eastAsia" w:ascii="Times New Roman" w:hAnsi="Times New Roman" w:eastAsia="宋体"/>
          <w:color w:val="auto"/>
          <w:kern w:val="0"/>
          <w:sz w:val="10"/>
          <w:szCs w:val="10"/>
        </w:rPr>
      </w:pPr>
      <w:r>
        <w:rPr>
          <w:rFonts w:hint="eastAsia" w:ascii="Times New Roman" w:hAnsi="Times New Roman" w:eastAsia="宋体"/>
          <w:color w:val="auto"/>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606CEE46">
      <w:pPr>
        <w:pStyle w:val="54"/>
        <w:framePr w:w="9639" w:h="6976" w:hRule="exact" w:hSpace="0" w:vSpace="0" w:wrap="around" w:hAnchor="page" w:y="6408"/>
        <w:jc w:val="center"/>
        <w:rPr>
          <w:rFonts w:hint="eastAsia" w:ascii="Times New Roman" w:hAnsi="Times New Roman" w:eastAsia="宋体"/>
          <w:b w:val="0"/>
          <w:bCs w:val="0"/>
          <w:color w:val="auto"/>
          <w:w w:val="100"/>
        </w:rPr>
      </w:pPr>
    </w:p>
    <w:p w14:paraId="3A17F398">
      <w:pPr>
        <w:pStyle w:val="201"/>
        <w:framePr w:h="6974" w:hRule="exact" w:wrap="around" w:x="1419" w:anchorLock="1"/>
        <w:rPr>
          <w:rFonts w:hint="eastAsia" w:ascii="Times New Roman" w:hAnsi="Times New Roman" w:eastAsia="宋体"/>
          <w:color w:val="auto"/>
          <w:szCs w:val="52"/>
        </w:rPr>
      </w:pPr>
      <w:r>
        <w:rPr>
          <w:rFonts w:hint="eastAsia" w:ascii="Times New Roman" w:hAnsi="Times New Roman" w:eastAsia="宋体" w:cs="Times New Roman"/>
          <w:color w:val="auto"/>
          <w:szCs w:val="52"/>
        </w:rPr>
        <w:t>聚乙烯燃气管道检测、检验及评价方法</w:t>
      </w:r>
    </w:p>
    <w:p w14:paraId="7FE9592E">
      <w:pPr>
        <w:framePr w:w="9639" w:h="6974" w:hRule="exact" w:wrap="around" w:vAnchor="page" w:hAnchor="page" w:x="1419" w:y="6408" w:anchorLock="1"/>
        <w:ind w:left="-1418"/>
        <w:rPr>
          <w:rFonts w:ascii="Times New Roman" w:hAnsi="Times New Roman"/>
          <w:color w:val="auto"/>
        </w:rPr>
      </w:pPr>
    </w:p>
    <w:p w14:paraId="70C3BD13">
      <w:pPr>
        <w:pStyle w:val="129"/>
        <w:framePr w:w="9639" w:h="6974" w:hRule="exact" w:wrap="around" w:vAnchor="page" w:hAnchor="page" w:x="1419" w:y="6408" w:anchorLock="1"/>
        <w:textAlignment w:val="bottom"/>
        <w:rPr>
          <w:rFonts w:eastAsia="宋体"/>
          <w:color w:val="auto"/>
          <w:szCs w:val="28"/>
        </w:rPr>
      </w:pPr>
      <w:r>
        <w:rPr>
          <w:rFonts w:eastAsia="宋体"/>
          <w:color w:val="auto"/>
          <w:szCs w:val="28"/>
        </w:rPr>
        <w:t>Methods of testing</w:t>
      </w:r>
      <w:r>
        <w:rPr>
          <w:rFonts w:hint="eastAsia" w:eastAsia="宋体"/>
          <w:color w:val="auto"/>
          <w:szCs w:val="28"/>
        </w:rPr>
        <w:t>、</w:t>
      </w:r>
      <w:r>
        <w:rPr>
          <w:rFonts w:eastAsia="宋体"/>
          <w:color w:val="auto"/>
          <w:szCs w:val="28"/>
        </w:rPr>
        <w:t>inspection and evaluation of polyethylene gas pipelines</w:t>
      </w:r>
    </w:p>
    <w:p w14:paraId="3D9A2D92">
      <w:pPr>
        <w:pStyle w:val="129"/>
        <w:framePr w:w="9639" w:h="6974" w:hRule="exact" w:wrap="around" w:vAnchor="page" w:hAnchor="page" w:x="1419" w:y="6408" w:anchorLock="1"/>
        <w:textAlignment w:val="bottom"/>
        <w:rPr>
          <w:rFonts w:eastAsia="宋体"/>
          <w:color w:val="auto"/>
          <w:szCs w:val="28"/>
        </w:rPr>
      </w:pPr>
    </w:p>
    <w:p w14:paraId="439F32EF">
      <w:pPr>
        <w:pStyle w:val="129"/>
        <w:framePr w:w="9639" w:h="6974" w:hRule="exact" w:wrap="around" w:vAnchor="page" w:hAnchor="page" w:x="1419" w:y="6408" w:anchorLock="1"/>
        <w:textAlignment w:val="bottom"/>
        <w:rPr>
          <w:rFonts w:eastAsia="宋体"/>
          <w:color w:val="auto"/>
          <w:szCs w:val="28"/>
        </w:rPr>
      </w:pPr>
      <w:r>
        <w:rPr>
          <w:rFonts w:eastAsia="宋体"/>
          <w:color w:val="auto"/>
          <w:szCs w:val="28"/>
        </w:rPr>
        <w:fldChar w:fldCharType="begin">
          <w:ffData>
            <w:name w:val="IN_STD_CODE"/>
            <w:enabled/>
            <w:calcOnExit w:val="0"/>
            <w:textInput>
              <w:default w:val="(点击此处添加与国际标准一致性程度的标识)"/>
            </w:textInput>
          </w:ffData>
        </w:fldChar>
      </w:r>
      <w:bookmarkStart w:id="7" w:name="IN_STD_CODE"/>
      <w:r>
        <w:rPr>
          <w:rFonts w:eastAsia="宋体"/>
          <w:color w:val="auto"/>
          <w:szCs w:val="28"/>
        </w:rPr>
        <w:instrText xml:space="preserve"> FORMTEXT </w:instrText>
      </w:r>
      <w:r>
        <w:rPr>
          <w:rFonts w:eastAsia="宋体"/>
          <w:color w:val="auto"/>
          <w:szCs w:val="28"/>
        </w:rPr>
        <w:fldChar w:fldCharType="separate"/>
      </w:r>
      <w:r>
        <w:rPr>
          <w:rFonts w:eastAsia="宋体"/>
          <w:color w:val="auto"/>
          <w:szCs w:val="28"/>
        </w:rPr>
        <w:t>(</w:t>
      </w:r>
      <w:r>
        <w:rPr>
          <w:rFonts w:hint="eastAsia" w:eastAsia="宋体"/>
          <w:color w:val="auto"/>
          <w:szCs w:val="28"/>
        </w:rPr>
        <w:t>点击此处添加与国际标准一致性程度的标识</w:t>
      </w:r>
      <w:r>
        <w:rPr>
          <w:rFonts w:eastAsia="宋体"/>
          <w:color w:val="auto"/>
          <w:szCs w:val="28"/>
        </w:rPr>
        <w:t>)</w:t>
      </w:r>
      <w:r>
        <w:rPr>
          <w:rFonts w:eastAsia="宋体"/>
          <w:color w:val="auto"/>
          <w:szCs w:val="28"/>
        </w:rPr>
        <w:fldChar w:fldCharType="end"/>
      </w:r>
      <w:bookmarkEnd w:id="7"/>
    </w:p>
    <w:p w14:paraId="0FB43FCC">
      <w:pPr>
        <w:pStyle w:val="129"/>
        <w:framePr w:w="9639" w:h="6974" w:hRule="exact" w:wrap="around" w:vAnchor="page" w:hAnchor="page" w:x="1419" w:y="6408" w:anchorLock="1"/>
        <w:spacing w:before="440" w:after="160"/>
        <w:textAlignment w:val="bottom"/>
        <w:rPr>
          <w:color w:val="auto"/>
          <w:sz w:val="24"/>
          <w:szCs w:val="28"/>
        </w:rPr>
      </w:pPr>
      <w:r>
        <w:rPr>
          <w:color w:val="auto"/>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8" w:name="下拉1"/>
      <w:r>
        <w:rPr>
          <w:color w:val="auto"/>
          <w:sz w:val="24"/>
          <w:szCs w:val="28"/>
        </w:rPr>
        <w:instrText xml:space="preserve"> FORMDROPDOWN </w:instrText>
      </w:r>
      <w:r>
        <w:rPr>
          <w:color w:val="auto"/>
          <w:sz w:val="24"/>
          <w:szCs w:val="28"/>
        </w:rPr>
        <w:fldChar w:fldCharType="separate"/>
      </w:r>
      <w:r>
        <w:rPr>
          <w:color w:val="auto"/>
          <w:sz w:val="24"/>
          <w:szCs w:val="28"/>
        </w:rPr>
        <w:fldChar w:fldCharType="end"/>
      </w:r>
      <w:bookmarkEnd w:id="8"/>
    </w:p>
    <w:p w14:paraId="2BD3955B">
      <w:pPr>
        <w:pStyle w:val="129"/>
        <w:framePr w:w="9639" w:h="6974" w:hRule="exact" w:wrap="around" w:vAnchor="page" w:hAnchor="page" w:x="1419" w:y="6408" w:anchorLock="1"/>
        <w:spacing w:before="180" w:line="240" w:lineRule="atLeast"/>
        <w:textAlignment w:val="bottom"/>
        <w:rPr>
          <w:color w:val="auto"/>
          <w:sz w:val="21"/>
          <w:szCs w:val="28"/>
        </w:rPr>
      </w:pPr>
      <w:r>
        <w:rPr>
          <w:color w:val="auto"/>
          <w:sz w:val="21"/>
          <w:szCs w:val="28"/>
        </w:rPr>
        <w:fldChar w:fldCharType="begin">
          <w:ffData>
            <w:name w:val="CMPLSH_DATE"/>
            <w:enabled/>
            <w:calcOnExit w:val="0"/>
            <w:textInput/>
          </w:ffData>
        </w:fldChar>
      </w:r>
      <w:bookmarkStart w:id="9" w:name="CMPLSH_DATE"/>
      <w:r>
        <w:rPr>
          <w:color w:val="auto"/>
          <w:sz w:val="21"/>
          <w:szCs w:val="28"/>
        </w:rPr>
        <w:instrText xml:space="preserve"> FORMTEXT </w:instrText>
      </w:r>
      <w:r>
        <w:rPr>
          <w:color w:val="auto"/>
          <w:sz w:val="21"/>
          <w:szCs w:val="28"/>
        </w:rPr>
        <w:fldChar w:fldCharType="separate"/>
      </w:r>
      <w:r>
        <w:rPr>
          <w:color w:val="auto"/>
          <w:sz w:val="21"/>
          <w:szCs w:val="28"/>
        </w:rPr>
        <w:t>     </w:t>
      </w:r>
      <w:r>
        <w:rPr>
          <w:color w:val="auto"/>
          <w:sz w:val="21"/>
          <w:szCs w:val="28"/>
        </w:rPr>
        <w:fldChar w:fldCharType="end"/>
      </w:r>
      <w:bookmarkEnd w:id="9"/>
    </w:p>
    <w:p w14:paraId="4AB0B9A5">
      <w:pPr>
        <w:pStyle w:val="129"/>
        <w:framePr w:w="9639" w:h="6974" w:hRule="exact" w:wrap="around" w:vAnchor="page" w:hAnchor="page" w:x="1419" w:y="6408" w:anchorLock="1"/>
        <w:spacing w:before="720" w:beforeLines="300" w:after="72" w:afterLines="30" w:line="240" w:lineRule="auto"/>
        <w:textAlignment w:val="bottom"/>
        <w:rPr>
          <w:b/>
          <w:color w:val="auto"/>
          <w:sz w:val="21"/>
          <w:szCs w:val="28"/>
        </w:rPr>
      </w:pPr>
      <w:r>
        <w:rPr>
          <w:b/>
          <w:color w:val="auto"/>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color w:val="auto"/>
          <w:sz w:val="21"/>
          <w:szCs w:val="28"/>
        </w:rPr>
        <w:instrText xml:space="preserve"> FORMDROPDOWN </w:instrText>
      </w:r>
      <w:r>
        <w:rPr>
          <w:b/>
          <w:color w:val="auto"/>
          <w:sz w:val="21"/>
          <w:szCs w:val="28"/>
        </w:rPr>
        <w:fldChar w:fldCharType="separate"/>
      </w:r>
      <w:r>
        <w:rPr>
          <w:b/>
          <w:color w:val="auto"/>
          <w:sz w:val="21"/>
          <w:szCs w:val="28"/>
        </w:rPr>
        <w:fldChar w:fldCharType="end"/>
      </w:r>
      <w:bookmarkEnd w:id="10"/>
    </w:p>
    <w:p w14:paraId="22E8C895">
      <w:pPr>
        <w:pStyle w:val="197"/>
        <w:framePr w:wrap="around" w:y="14176"/>
        <w:rPr>
          <w:rFonts w:eastAsia="宋体"/>
          <w:color w:val="auto"/>
        </w:rPr>
      </w:pPr>
      <w:r>
        <w:rPr>
          <w:rFonts w:ascii="Times New Roman" w:eastAsia="宋体"/>
          <w:color w:val="auto"/>
        </w:rPr>
        <w:fldChar w:fldCharType="begin">
          <w:ffData>
            <w:name w:val="PLSH_DATE_Y"/>
            <w:enabled/>
            <w:calcOnExit w:val="0"/>
            <w:textInput>
              <w:default w:val="XXXX"/>
              <w:maxLength w:val="4"/>
            </w:textInput>
          </w:ffData>
        </w:fldChar>
      </w:r>
      <w:bookmarkStart w:id="11" w:name="PLSH_DATE_Y"/>
      <w:r>
        <w:rPr>
          <w:rFonts w:ascii="Times New Roman" w:eastAsia="宋体"/>
          <w:color w:val="auto"/>
        </w:rPr>
        <w:instrText xml:space="preserve"> FORMTEXT </w:instrText>
      </w:r>
      <w:r>
        <w:rPr>
          <w:rFonts w:ascii="Times New Roman" w:eastAsia="宋体"/>
          <w:color w:val="auto"/>
        </w:rPr>
        <w:fldChar w:fldCharType="separate"/>
      </w:r>
      <w:r>
        <w:rPr>
          <w:rFonts w:ascii="Times New Roman" w:eastAsia="宋体"/>
          <w:color w:val="auto"/>
        </w:rPr>
        <w:t>XXXX</w:t>
      </w:r>
      <w:r>
        <w:rPr>
          <w:rFonts w:ascii="Times New Roman" w:eastAsia="宋体"/>
          <w:color w:val="auto"/>
        </w:rPr>
        <w:fldChar w:fldCharType="end"/>
      </w:r>
      <w:bookmarkEnd w:id="11"/>
      <w:r>
        <w:rPr>
          <w:rFonts w:ascii="Times New Roman" w:eastAsia="宋体"/>
          <w:color w:val="auto"/>
        </w:rPr>
        <w:t>-</w:t>
      </w:r>
      <w:r>
        <w:rPr>
          <w:rFonts w:ascii="Times New Roman" w:eastAsia="宋体"/>
          <w:color w:val="auto"/>
        </w:rPr>
        <w:fldChar w:fldCharType="begin">
          <w:ffData>
            <w:name w:val="PLSH_DATE_M"/>
            <w:enabled/>
            <w:calcOnExit w:val="0"/>
            <w:textInput>
              <w:default w:val="XX"/>
              <w:maxLength w:val="2"/>
            </w:textInput>
          </w:ffData>
        </w:fldChar>
      </w:r>
      <w:bookmarkStart w:id="12" w:name="PLSH_DATE_M"/>
      <w:r>
        <w:rPr>
          <w:rFonts w:ascii="Times New Roman" w:eastAsia="宋体"/>
          <w:color w:val="auto"/>
        </w:rPr>
        <w:instrText xml:space="preserve"> FORMTEXT </w:instrText>
      </w:r>
      <w:r>
        <w:rPr>
          <w:rFonts w:ascii="Times New Roman" w:eastAsia="宋体"/>
          <w:color w:val="auto"/>
        </w:rPr>
        <w:fldChar w:fldCharType="separate"/>
      </w:r>
      <w:r>
        <w:rPr>
          <w:rFonts w:ascii="Times New Roman" w:eastAsia="宋体"/>
          <w:color w:val="auto"/>
        </w:rPr>
        <w:t>XX</w:t>
      </w:r>
      <w:r>
        <w:rPr>
          <w:rFonts w:ascii="Times New Roman" w:eastAsia="宋体"/>
          <w:color w:val="auto"/>
        </w:rPr>
        <w:fldChar w:fldCharType="end"/>
      </w:r>
      <w:bookmarkEnd w:id="12"/>
      <w:r>
        <w:rPr>
          <w:rFonts w:ascii="Times New Roman" w:eastAsia="宋体"/>
          <w:color w:val="auto"/>
        </w:rPr>
        <w:t>-</w:t>
      </w:r>
      <w:r>
        <w:rPr>
          <w:rFonts w:ascii="Times New Roman" w:eastAsia="宋体"/>
          <w:color w:val="auto"/>
        </w:rPr>
        <w:fldChar w:fldCharType="begin">
          <w:ffData>
            <w:name w:val="PLSH_DATE_D"/>
            <w:enabled/>
            <w:calcOnExit w:val="0"/>
            <w:textInput>
              <w:default w:val="XX"/>
              <w:maxLength w:val="2"/>
            </w:textInput>
          </w:ffData>
        </w:fldChar>
      </w:r>
      <w:bookmarkStart w:id="13" w:name="PLSH_DATE_D"/>
      <w:r>
        <w:rPr>
          <w:rFonts w:ascii="Times New Roman" w:eastAsia="宋体"/>
          <w:color w:val="auto"/>
        </w:rPr>
        <w:instrText xml:space="preserve"> FORMTEXT </w:instrText>
      </w:r>
      <w:r>
        <w:rPr>
          <w:rFonts w:ascii="Times New Roman" w:eastAsia="宋体"/>
          <w:color w:val="auto"/>
        </w:rPr>
        <w:fldChar w:fldCharType="separate"/>
      </w:r>
      <w:r>
        <w:rPr>
          <w:rFonts w:ascii="Times New Roman" w:eastAsia="宋体"/>
          <w:color w:val="auto"/>
        </w:rPr>
        <w:t>XX</w:t>
      </w:r>
      <w:r>
        <w:rPr>
          <w:rFonts w:ascii="Times New Roman" w:eastAsia="宋体"/>
          <w:color w:val="auto"/>
        </w:rPr>
        <w:fldChar w:fldCharType="end"/>
      </w:r>
      <w:bookmarkEnd w:id="13"/>
      <w:r>
        <w:rPr>
          <w:rFonts w:hint="eastAsia" w:eastAsia="宋体"/>
          <w:color w:val="auto"/>
        </w:rPr>
        <w:t>发布</w:t>
      </w:r>
    </w:p>
    <w:p w14:paraId="7A3C71D2">
      <w:pPr>
        <w:pStyle w:val="198"/>
        <w:framePr w:wrap="around" w:y="14176"/>
        <w:rPr>
          <w:rFonts w:eastAsia="宋体"/>
          <w:color w:val="auto"/>
        </w:rPr>
      </w:pPr>
      <w:r>
        <w:rPr>
          <w:rFonts w:ascii="Times New Roman" w:eastAsia="宋体"/>
          <w:color w:val="auto"/>
        </w:rPr>
        <w:fldChar w:fldCharType="begin">
          <w:ffData>
            <w:name w:val="CROT_DATE_Y"/>
            <w:enabled/>
            <w:calcOnExit w:val="0"/>
            <w:textInput>
              <w:default w:val="XXXX"/>
              <w:maxLength w:val="4"/>
            </w:textInput>
          </w:ffData>
        </w:fldChar>
      </w:r>
      <w:bookmarkStart w:id="14" w:name="CROT_DATE_Y"/>
      <w:r>
        <w:rPr>
          <w:rFonts w:ascii="Times New Roman" w:eastAsia="宋体"/>
          <w:color w:val="auto"/>
        </w:rPr>
        <w:instrText xml:space="preserve"> FORMTEXT </w:instrText>
      </w:r>
      <w:r>
        <w:rPr>
          <w:rFonts w:ascii="Times New Roman" w:eastAsia="宋体"/>
          <w:color w:val="auto"/>
        </w:rPr>
        <w:fldChar w:fldCharType="separate"/>
      </w:r>
      <w:r>
        <w:rPr>
          <w:rFonts w:ascii="Times New Roman" w:eastAsia="宋体"/>
          <w:color w:val="auto"/>
        </w:rPr>
        <w:t>XXXX</w:t>
      </w:r>
      <w:r>
        <w:rPr>
          <w:rFonts w:ascii="Times New Roman" w:eastAsia="宋体"/>
          <w:color w:val="auto"/>
        </w:rPr>
        <w:fldChar w:fldCharType="end"/>
      </w:r>
      <w:bookmarkEnd w:id="14"/>
      <w:r>
        <w:rPr>
          <w:rFonts w:ascii="Times New Roman" w:eastAsia="宋体"/>
          <w:color w:val="auto"/>
        </w:rPr>
        <w:t>-</w:t>
      </w:r>
      <w:r>
        <w:rPr>
          <w:rFonts w:ascii="Times New Roman" w:eastAsia="宋体"/>
          <w:color w:val="auto"/>
        </w:rPr>
        <w:fldChar w:fldCharType="begin">
          <w:ffData>
            <w:name w:val="CROT_DATE_M"/>
            <w:enabled/>
            <w:calcOnExit w:val="0"/>
            <w:textInput>
              <w:default w:val="XX"/>
              <w:maxLength w:val="2"/>
            </w:textInput>
          </w:ffData>
        </w:fldChar>
      </w:r>
      <w:bookmarkStart w:id="15" w:name="CROT_DATE_M"/>
      <w:r>
        <w:rPr>
          <w:rFonts w:ascii="Times New Roman" w:eastAsia="宋体"/>
          <w:color w:val="auto"/>
        </w:rPr>
        <w:instrText xml:space="preserve"> FORMTEXT </w:instrText>
      </w:r>
      <w:r>
        <w:rPr>
          <w:rFonts w:ascii="Times New Roman" w:eastAsia="宋体"/>
          <w:color w:val="auto"/>
        </w:rPr>
        <w:fldChar w:fldCharType="separate"/>
      </w:r>
      <w:r>
        <w:rPr>
          <w:rFonts w:ascii="Times New Roman" w:eastAsia="宋体"/>
          <w:color w:val="auto"/>
        </w:rPr>
        <w:t>XX</w:t>
      </w:r>
      <w:r>
        <w:rPr>
          <w:rFonts w:ascii="Times New Roman" w:eastAsia="宋体"/>
          <w:color w:val="auto"/>
        </w:rPr>
        <w:fldChar w:fldCharType="end"/>
      </w:r>
      <w:bookmarkEnd w:id="15"/>
      <w:r>
        <w:rPr>
          <w:rFonts w:ascii="Times New Roman" w:eastAsia="宋体"/>
          <w:color w:val="auto"/>
        </w:rPr>
        <w:t>-</w:t>
      </w:r>
      <w:r>
        <w:rPr>
          <w:rFonts w:ascii="Times New Roman" w:eastAsia="宋体"/>
          <w:color w:val="auto"/>
        </w:rPr>
        <w:fldChar w:fldCharType="begin">
          <w:ffData>
            <w:name w:val="CROT_DATE_D"/>
            <w:enabled/>
            <w:calcOnExit w:val="0"/>
            <w:textInput>
              <w:default w:val="XX"/>
              <w:maxLength w:val="2"/>
            </w:textInput>
          </w:ffData>
        </w:fldChar>
      </w:r>
      <w:bookmarkStart w:id="16" w:name="CROT_DATE_D"/>
      <w:r>
        <w:rPr>
          <w:rFonts w:ascii="Times New Roman" w:eastAsia="宋体"/>
          <w:color w:val="auto"/>
        </w:rPr>
        <w:instrText xml:space="preserve"> FORMTEXT </w:instrText>
      </w:r>
      <w:r>
        <w:rPr>
          <w:rFonts w:ascii="Times New Roman" w:eastAsia="宋体"/>
          <w:color w:val="auto"/>
        </w:rPr>
        <w:fldChar w:fldCharType="separate"/>
      </w:r>
      <w:r>
        <w:rPr>
          <w:rFonts w:ascii="Times New Roman" w:eastAsia="宋体"/>
          <w:color w:val="auto"/>
        </w:rPr>
        <w:t>XX</w:t>
      </w:r>
      <w:r>
        <w:rPr>
          <w:rFonts w:ascii="Times New Roman" w:eastAsia="宋体"/>
          <w:color w:val="auto"/>
        </w:rPr>
        <w:fldChar w:fldCharType="end"/>
      </w:r>
      <w:bookmarkEnd w:id="16"/>
      <w:r>
        <w:rPr>
          <w:rFonts w:hint="eastAsia" w:eastAsia="宋体"/>
          <w:color w:val="auto"/>
        </w:rPr>
        <w:t>实施</w:t>
      </w:r>
    </w:p>
    <w:p w14:paraId="3C151B51">
      <w:pPr>
        <w:pStyle w:val="155"/>
        <w:framePr w:h="584" w:hRule="exact" w:hSpace="181" w:vSpace="181" w:wrap="around" w:y="15027"/>
        <w:rPr>
          <w:rFonts w:hint="eastAsia" w:ascii="Times New Roman" w:hAnsi="Times New Roman" w:eastAsia="宋体"/>
          <w:color w:val="auto"/>
        </w:rPr>
      </w:pPr>
      <w:r>
        <w:rPr>
          <w:rFonts w:ascii="Times New Roman" w:hAnsi="Times New Roman" w:eastAsia="宋体"/>
          <w:color w:val="auto"/>
          <w:w w:val="100"/>
          <w:sz w:val="28"/>
        </w:rPr>
        <w:fldChar w:fldCharType="begin">
          <w:ffData>
            <w:name w:val="fm"/>
            <w:enabled/>
            <w:calcOnExit w:val="0"/>
            <w:textInput/>
          </w:ffData>
        </w:fldChar>
      </w:r>
      <w:bookmarkStart w:id="17" w:name="fm"/>
      <w:r>
        <w:rPr>
          <w:rFonts w:hint="eastAsia" w:ascii="Times New Roman" w:hAnsi="Times New Roman" w:eastAsia="宋体"/>
          <w:color w:val="auto"/>
          <w:w w:val="100"/>
          <w:sz w:val="28"/>
        </w:rPr>
        <w:instrText xml:space="preserve"> FORMTEXT </w:instrText>
      </w:r>
      <w:r>
        <w:rPr>
          <w:rFonts w:ascii="Times New Roman" w:hAnsi="Times New Roman" w:eastAsia="宋体"/>
          <w:color w:val="auto"/>
          <w:w w:val="100"/>
          <w:sz w:val="28"/>
        </w:rPr>
        <w:fldChar w:fldCharType="separate"/>
      </w:r>
      <w:r>
        <w:rPr>
          <w:rFonts w:hint="eastAsia" w:ascii="Times New Roman" w:hAnsi="Times New Roman" w:eastAsia="宋体"/>
          <w:color w:val="auto"/>
          <w:w w:val="100"/>
          <w:sz w:val="28"/>
        </w:rPr>
        <w:t>安徽省市场监督管理局</w:t>
      </w:r>
      <w:r>
        <w:rPr>
          <w:rFonts w:ascii="Times New Roman" w:hAnsi="Times New Roman" w:eastAsia="宋体"/>
          <w:color w:val="auto"/>
          <w:w w:val="100"/>
          <w:sz w:val="28"/>
        </w:rPr>
        <w:fldChar w:fldCharType="end"/>
      </w:r>
      <w:bookmarkEnd w:id="17"/>
      <w:r>
        <w:rPr>
          <w:rFonts w:ascii="Times New Roman" w:eastAsia="宋体"/>
          <w:color w:val="auto"/>
          <w:w w:val="100"/>
          <w:sz w:val="28"/>
        </w:rPr>
        <w:t>  </w:t>
      </w:r>
      <w:r>
        <w:rPr>
          <w:rStyle w:val="233"/>
          <w:rFonts w:hint="eastAsia" w:ascii="Times New Roman" w:hAnsi="Times New Roman" w:eastAsia="宋体"/>
          <w:color w:val="auto"/>
          <w:position w:val="0"/>
        </w:rPr>
        <w:t>发</w:t>
      </w:r>
      <w:r>
        <w:rPr>
          <w:rStyle w:val="233"/>
          <w:rFonts w:hint="eastAsia" w:ascii="Times New Roman" w:hAnsi="Times New Roman" w:eastAsia="宋体"/>
          <w:color w:val="auto"/>
          <w:spacing w:val="0"/>
          <w:position w:val="0"/>
        </w:rPr>
        <w:t>布</w:t>
      </w:r>
    </w:p>
    <w:p w14:paraId="07649A75">
      <w:pPr>
        <w:rPr>
          <w:rFonts w:hint="eastAsia" w:ascii="Times New Roman" w:hAnsi="Times New Roman"/>
          <w:color w:val="auto"/>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Times New Roman" w:hAnsi="Times New Roman"/>
          <w:color w:val="auto"/>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1A1D6364">
      <w:pPr>
        <w:pStyle w:val="93"/>
        <w:spacing w:after="468"/>
        <w:rPr>
          <w:rFonts w:ascii="Times New Roman" w:eastAsia="宋体"/>
          <w:color w:val="auto"/>
        </w:rPr>
      </w:pPr>
      <w:bookmarkStart w:id="18" w:name="BookMark2"/>
      <w:r>
        <w:rPr>
          <w:rFonts w:hint="eastAsia" w:ascii="Times New Roman" w:eastAsia="宋体"/>
          <w:color w:val="auto"/>
          <w:spacing w:val="320"/>
        </w:rPr>
        <w:t>前</w:t>
      </w:r>
      <w:r>
        <w:rPr>
          <w:rFonts w:hint="eastAsia" w:ascii="Times New Roman" w:eastAsia="宋体"/>
          <w:color w:val="auto"/>
        </w:rPr>
        <w:t>言</w:t>
      </w:r>
    </w:p>
    <w:p w14:paraId="5FC8A113">
      <w:pPr>
        <w:pStyle w:val="60"/>
        <w:ind w:firstLine="420"/>
        <w:rPr>
          <w:rFonts w:ascii="Times New Roman"/>
          <w:color w:val="auto"/>
        </w:rPr>
      </w:pPr>
      <w:r>
        <w:rPr>
          <w:rFonts w:hint="eastAsia" w:ascii="Times New Roman"/>
          <w:color w:val="auto"/>
        </w:rPr>
        <w:t>本文件按照</w:t>
      </w:r>
      <w:r>
        <w:rPr>
          <w:rFonts w:ascii="Times New Roman"/>
          <w:color w:val="auto"/>
        </w:rPr>
        <w:t>GB/T 1.1—2020</w:t>
      </w:r>
      <w:r>
        <w:rPr>
          <w:rFonts w:hint="eastAsia" w:ascii="Times New Roman"/>
          <w:color w:val="auto"/>
        </w:rPr>
        <w:t>《标准化工作导则</w:t>
      </w:r>
      <w:r>
        <w:rPr>
          <w:rFonts w:ascii="Times New Roman"/>
          <w:color w:val="auto"/>
        </w:rPr>
        <w:t xml:space="preserve">  </w:t>
      </w:r>
      <w:r>
        <w:rPr>
          <w:rFonts w:hint="eastAsia" w:ascii="Times New Roman"/>
          <w:color w:val="auto"/>
        </w:rPr>
        <w:t>第</w:t>
      </w:r>
      <w:r>
        <w:rPr>
          <w:rFonts w:ascii="Times New Roman"/>
          <w:color w:val="auto"/>
        </w:rPr>
        <w:t>1</w:t>
      </w:r>
      <w:r>
        <w:rPr>
          <w:rFonts w:hint="eastAsia" w:ascii="Times New Roman"/>
          <w:color w:val="auto"/>
        </w:rPr>
        <w:t>部分：标准化文件的结构和起草规则》的规定起草。</w:t>
      </w:r>
    </w:p>
    <w:p w14:paraId="61C6F77B">
      <w:pPr>
        <w:pStyle w:val="60"/>
        <w:ind w:firstLine="420"/>
        <w:rPr>
          <w:rFonts w:ascii="Times New Roman"/>
          <w:color w:val="auto"/>
        </w:rPr>
      </w:pPr>
      <w:r>
        <w:rPr>
          <w:rFonts w:hint="eastAsia" w:ascii="Times New Roman"/>
          <w:color w:val="auto"/>
        </w:rPr>
        <w:t>请注意本文件的某些内容可能涉及专利。本文件的发布机构不承担识别专利的责任。</w:t>
      </w:r>
    </w:p>
    <w:p w14:paraId="00ABEC2D">
      <w:pPr>
        <w:pStyle w:val="60"/>
        <w:ind w:firstLine="420"/>
        <w:rPr>
          <w:rFonts w:ascii="Times New Roman"/>
          <w:color w:val="auto"/>
        </w:rPr>
      </w:pPr>
      <w:r>
        <w:rPr>
          <w:rFonts w:hint="eastAsia" w:ascii="Times New Roman"/>
          <w:color w:val="auto"/>
        </w:rPr>
        <w:t>本文件由安徽省特种设备检测院提出。</w:t>
      </w:r>
    </w:p>
    <w:p w14:paraId="09D0B8DD">
      <w:pPr>
        <w:pStyle w:val="60"/>
        <w:ind w:firstLine="420"/>
        <w:rPr>
          <w:rFonts w:ascii="Times New Roman"/>
          <w:color w:val="auto"/>
        </w:rPr>
      </w:pPr>
      <w:r>
        <w:rPr>
          <w:rFonts w:hint="eastAsia" w:ascii="Times New Roman"/>
          <w:color w:val="auto"/>
        </w:rPr>
        <w:t>本文件由安徽省市场监督管理局归口。</w:t>
      </w:r>
    </w:p>
    <w:p w14:paraId="1B805358">
      <w:pPr>
        <w:pStyle w:val="60"/>
        <w:ind w:firstLine="420"/>
        <w:rPr>
          <w:rFonts w:ascii="Times New Roman"/>
          <w:color w:val="auto"/>
        </w:rPr>
      </w:pPr>
      <w:r>
        <w:rPr>
          <w:rFonts w:hint="eastAsia" w:ascii="Times New Roman"/>
          <w:color w:val="auto"/>
        </w:rPr>
        <w:t>本文件起草单位：</w:t>
      </w:r>
    </w:p>
    <w:p w14:paraId="46EB4530">
      <w:pPr>
        <w:pStyle w:val="60"/>
        <w:ind w:firstLine="420"/>
        <w:rPr>
          <w:rFonts w:ascii="Times New Roman"/>
          <w:color w:val="auto"/>
        </w:rPr>
      </w:pPr>
      <w:r>
        <w:rPr>
          <w:rFonts w:hint="eastAsia" w:ascii="Times New Roman"/>
          <w:color w:val="auto"/>
        </w:rPr>
        <w:t>本文件主要起草人：</w:t>
      </w:r>
    </w:p>
    <w:p w14:paraId="5225ED7F">
      <w:pPr>
        <w:pStyle w:val="60"/>
        <w:ind w:firstLine="420"/>
        <w:rPr>
          <w:rFonts w:ascii="Times New Roman"/>
          <w:color w:val="auto"/>
        </w:rPr>
      </w:pPr>
    </w:p>
    <w:p w14:paraId="560688C6">
      <w:pPr>
        <w:pStyle w:val="60"/>
        <w:ind w:firstLine="420"/>
        <w:rPr>
          <w:rFonts w:ascii="Times New Roman"/>
          <w:color w:val="auto"/>
        </w:rPr>
        <w:sectPr>
          <w:headerReference r:id="rId11" w:type="default"/>
          <w:footerReference r:id="rId13" w:type="default"/>
          <w:headerReference r:id="rId12" w:type="even"/>
          <w:footerReference r:id="rId14" w:type="even"/>
          <w:pgSz w:w="11906" w:h="16838"/>
          <w:pgMar w:top="1871" w:right="1134" w:bottom="1134" w:left="1134" w:header="1418" w:footer="1134" w:gutter="284"/>
          <w:pgNumType w:fmt="upperRoman" w:start="1"/>
          <w:cols w:space="425" w:num="1"/>
          <w:formProt w:val="0"/>
          <w:docGrid w:type="lines" w:linePitch="312" w:charSpace="0"/>
        </w:sectPr>
      </w:pPr>
    </w:p>
    <w:bookmarkEnd w:id="18"/>
    <w:p w14:paraId="3EEE52CD">
      <w:pPr>
        <w:spacing w:line="20" w:lineRule="exact"/>
        <w:jc w:val="center"/>
        <w:rPr>
          <w:rFonts w:hint="eastAsia" w:ascii="Times New Roman" w:hAnsi="Times New Roman" w:eastAsia="宋体"/>
          <w:color w:val="auto"/>
          <w:sz w:val="32"/>
          <w:szCs w:val="32"/>
        </w:rPr>
      </w:pPr>
      <w:bookmarkStart w:id="19" w:name="BookMark4"/>
    </w:p>
    <w:p w14:paraId="01CCD5B4">
      <w:pPr>
        <w:spacing w:line="20" w:lineRule="exact"/>
        <w:jc w:val="center"/>
        <w:rPr>
          <w:rFonts w:hint="eastAsia" w:ascii="Times New Roman" w:hAnsi="Times New Roman" w:eastAsia="宋体"/>
          <w:color w:val="auto"/>
          <w:sz w:val="32"/>
          <w:szCs w:val="32"/>
        </w:rPr>
      </w:pPr>
    </w:p>
    <w:sdt>
      <w:sdtPr>
        <w:rPr>
          <w:rFonts w:ascii="Times New Roman" w:hAnsi="Times New Roman"/>
          <w:color w:val="auto"/>
        </w:rPr>
        <w:tag w:val="NEW_STAND_NAME"/>
        <w:id w:val="595910757"/>
        <w:lock w:val="sdtLocked"/>
        <w:placeholder>
          <w:docPart w:val="F16D8ABF242B43A1938DF8BDCADAC268"/>
        </w:placeholder>
      </w:sdtPr>
      <w:sdtEndPr>
        <w:rPr>
          <w:rFonts w:ascii="Times New Roman" w:hAnsi="Times New Roman"/>
          <w:color w:val="auto"/>
          <w:sz w:val="36"/>
          <w:szCs w:val="36"/>
        </w:rPr>
      </w:sdtEndPr>
      <w:sdtContent>
        <w:p w14:paraId="746BE453">
          <w:pPr>
            <w:jc w:val="center"/>
            <w:rPr>
              <w:rFonts w:hint="eastAsia" w:ascii="Times New Roman" w:hAnsi="Times New Roman" w:eastAsia="宋体" w:cs="Times New Roman"/>
              <w:color w:val="auto"/>
              <w:sz w:val="36"/>
              <w:szCs w:val="36"/>
            </w:rPr>
          </w:pPr>
          <w:r>
            <w:rPr>
              <w:rFonts w:hint="eastAsia" w:ascii="Times New Roman" w:hAnsi="Times New Roman" w:eastAsia="宋体" w:cs="Times New Roman"/>
              <w:color w:val="auto"/>
              <w:sz w:val="32"/>
              <w:szCs w:val="32"/>
            </w:rPr>
            <w:t>聚</w:t>
          </w:r>
          <w:r>
            <w:rPr>
              <w:rFonts w:hint="eastAsia" w:ascii="Times New Roman" w:hAnsi="Times New Roman" w:eastAsia="宋体"/>
              <w:color w:val="auto"/>
              <w:sz w:val="32"/>
              <w:szCs w:val="32"/>
            </w:rPr>
            <w:t>乙烯燃气管道检测、检验及评价方法</w:t>
          </w:r>
        </w:p>
      </w:sdtContent>
    </w:sdt>
    <w:p w14:paraId="0E91A6F8">
      <w:pPr>
        <w:pStyle w:val="108"/>
        <w:spacing w:before="312" w:after="312"/>
        <w:rPr>
          <w:rFonts w:ascii="Times New Roman" w:eastAsia="宋体"/>
          <w:color w:val="auto"/>
        </w:rPr>
      </w:pPr>
      <w:bookmarkStart w:id="20" w:name="_Toc24884211"/>
      <w:bookmarkStart w:id="21" w:name="_Toc24884218"/>
      <w:bookmarkStart w:id="22" w:name="_Toc17233325"/>
      <w:bookmarkStart w:id="23" w:name="_Toc26648465"/>
      <w:bookmarkStart w:id="24" w:name="_Toc17233333"/>
      <w:bookmarkStart w:id="25" w:name="_Toc26718930"/>
      <w:bookmarkStart w:id="26" w:name="_Toc26986530"/>
      <w:bookmarkStart w:id="27" w:name="_Toc26986771"/>
      <w:r>
        <w:rPr>
          <w:rFonts w:hint="eastAsia" w:ascii="Times New Roman" w:eastAsia="宋体"/>
          <w:color w:val="auto"/>
        </w:rPr>
        <w:t>范围</w:t>
      </w:r>
      <w:bookmarkEnd w:id="20"/>
      <w:bookmarkEnd w:id="21"/>
      <w:bookmarkEnd w:id="22"/>
      <w:bookmarkEnd w:id="23"/>
      <w:bookmarkEnd w:id="24"/>
      <w:bookmarkEnd w:id="25"/>
      <w:bookmarkEnd w:id="26"/>
      <w:bookmarkEnd w:id="27"/>
    </w:p>
    <w:p w14:paraId="37409294">
      <w:pPr>
        <w:pStyle w:val="236"/>
        <w:rPr>
          <w:rFonts w:hint="eastAsia" w:ascii="Times New Roman" w:hAnsi="Times New Roman" w:cs="Times New Roman"/>
          <w:color w:val="auto"/>
        </w:rPr>
      </w:pPr>
      <w:bookmarkStart w:id="28" w:name="_Toc26648466"/>
      <w:bookmarkStart w:id="29" w:name="_Toc17233326"/>
      <w:bookmarkStart w:id="30" w:name="_Toc24884219"/>
      <w:bookmarkStart w:id="31" w:name="_Toc26986772"/>
      <w:bookmarkStart w:id="32" w:name="_Toc17233334"/>
      <w:bookmarkStart w:id="33" w:name="_Toc24884212"/>
      <w:bookmarkStart w:id="34" w:name="_Toc26986531"/>
      <w:bookmarkStart w:id="35" w:name="_Toc26718931"/>
      <w:r>
        <w:rPr>
          <w:rFonts w:hint="eastAsia" w:ascii="Times New Roman" w:hAnsi="Times New Roman" w:cs="Times New Roman"/>
          <w:color w:val="auto"/>
        </w:rPr>
        <w:t xml:space="preserve">本文件规定了聚乙烯燃气管道检验、检测的基本要求及评价方法，明确了聚乙烯燃气管道热熔接头衍射时差超声波检测（以下简称“TOFD”）、电熔焊接接头超声相控阵检测方法。       </w:t>
      </w:r>
    </w:p>
    <w:p w14:paraId="67DD8FFB">
      <w:pPr>
        <w:pStyle w:val="236"/>
        <w:rPr>
          <w:rFonts w:hint="eastAsia" w:ascii="Times New Roman" w:hAnsi="Times New Roman" w:cs="Times New Roman"/>
          <w:color w:val="auto"/>
        </w:rPr>
      </w:pPr>
      <w:r>
        <w:rPr>
          <w:rFonts w:hint="eastAsia" w:ascii="Times New Roman" w:hAnsi="Times New Roman" w:cs="Times New Roman"/>
          <w:color w:val="auto"/>
        </w:rPr>
        <w:t>本文件适用范围限定如下：</w:t>
      </w:r>
    </w:p>
    <w:p w14:paraId="4139542D">
      <w:pPr>
        <w:pStyle w:val="236"/>
        <w:rPr>
          <w:rFonts w:hint="eastAsia" w:ascii="Times New Roman" w:hAnsi="Times New Roman" w:cs="Times New Roman"/>
          <w:color w:val="auto"/>
        </w:rPr>
      </w:pPr>
      <w:r>
        <w:rPr>
          <w:rFonts w:hint="eastAsia" w:ascii="Times New Roman" w:hAnsi="Times New Roman" w:cs="Times New Roman"/>
          <w:color w:val="auto"/>
        </w:rPr>
        <w:t>a）最高工作压力≥0.1MPa（表压），公称外径为50mm～500mm规格的管道。</w:t>
      </w:r>
    </w:p>
    <w:p w14:paraId="7D8AA655">
      <w:pPr>
        <w:pStyle w:val="236"/>
        <w:rPr>
          <w:rFonts w:hint="eastAsia" w:ascii="Times New Roman" w:hAnsi="Times New Roman" w:cs="Times New Roman"/>
          <w:color w:val="auto"/>
        </w:rPr>
      </w:pPr>
      <w:r>
        <w:rPr>
          <w:rFonts w:hint="eastAsia" w:ascii="Times New Roman" w:hAnsi="Times New Roman" w:cs="Times New Roman"/>
          <w:color w:val="auto"/>
        </w:rPr>
        <w:t>b）热熔接头TOFD检测公称壁厚不小于10mm。</w:t>
      </w:r>
    </w:p>
    <w:p w14:paraId="169A5193">
      <w:pPr>
        <w:pStyle w:val="236"/>
        <w:rPr>
          <w:rFonts w:hint="eastAsia" w:ascii="Times New Roman" w:hAnsi="Times New Roman" w:cs="Times New Roman"/>
          <w:color w:val="auto"/>
        </w:rPr>
      </w:pPr>
      <w:r>
        <w:rPr>
          <w:rFonts w:hint="eastAsia" w:ascii="Times New Roman" w:hAnsi="Times New Roman" w:cs="Times New Roman"/>
          <w:color w:val="auto"/>
        </w:rPr>
        <w:t>其他聚乙烯焊接接头的TOFD检测、超声相控阵检测也可以参照本标准使用。</w:t>
      </w:r>
    </w:p>
    <w:p w14:paraId="12822CF8">
      <w:pPr>
        <w:pStyle w:val="108"/>
        <w:spacing w:before="312" w:after="312"/>
        <w:rPr>
          <w:rFonts w:ascii="Times New Roman" w:eastAsia="宋体"/>
          <w:color w:val="auto"/>
        </w:rPr>
      </w:pPr>
      <w:r>
        <w:rPr>
          <w:rFonts w:hint="eastAsia" w:ascii="Times New Roman" w:eastAsia="宋体"/>
          <w:color w:val="auto"/>
        </w:rPr>
        <w:t>规范性引用文件</w:t>
      </w:r>
      <w:bookmarkEnd w:id="28"/>
      <w:bookmarkEnd w:id="29"/>
      <w:bookmarkEnd w:id="30"/>
      <w:bookmarkEnd w:id="31"/>
      <w:bookmarkEnd w:id="32"/>
      <w:bookmarkEnd w:id="33"/>
      <w:bookmarkEnd w:id="34"/>
      <w:bookmarkEnd w:id="35"/>
    </w:p>
    <w:sdt>
      <w:sdtPr>
        <w:rPr>
          <w:rFonts w:ascii="Times New Roman"/>
          <w:color w:val="auto"/>
        </w:rPr>
        <w:id w:val="715848253"/>
        <w:placeholder>
          <w:docPart w:val="F8B0B9639C4F47F48A3DB05B35F0D81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color w:val="auto"/>
        </w:rPr>
      </w:sdtEndPr>
      <w:sdtContent>
        <w:p w14:paraId="19BE05EF">
          <w:pPr>
            <w:pStyle w:val="60"/>
            <w:ind w:firstLine="420"/>
            <w:rPr>
              <w:rFonts w:ascii="Times New Roman"/>
              <w:color w:val="auto"/>
            </w:rPr>
          </w:pPr>
          <w:r>
            <w:rPr>
              <w:rFonts w:hint="eastAsia" w:ascii="Times New Roman"/>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C3C802D">
      <w:pPr>
        <w:pStyle w:val="60"/>
        <w:ind w:firstLine="420"/>
        <w:rPr>
          <w:rFonts w:ascii="Times New Roman"/>
          <w:color w:val="auto"/>
          <w:szCs w:val="22"/>
        </w:rPr>
      </w:pPr>
      <w:r>
        <w:rPr>
          <w:rFonts w:hint="eastAsia" w:ascii="Times New Roman" w:hAnsi="Times New Roman"/>
          <w:color w:val="auto"/>
        </w:rPr>
        <w:t>G</w:t>
      </w:r>
      <w:r>
        <w:rPr>
          <w:rFonts w:ascii="Times New Roman"/>
          <w:color w:val="auto"/>
          <w:szCs w:val="22"/>
        </w:rPr>
        <w:t xml:space="preserve">B/T 27664.1 </w:t>
      </w:r>
      <w:r>
        <w:rPr>
          <w:rFonts w:hint="eastAsia" w:ascii="Times New Roman"/>
          <w:color w:val="auto"/>
          <w:szCs w:val="22"/>
        </w:rPr>
        <w:t>无损检测超声检测设备的性能与检验</w:t>
      </w:r>
      <w:r>
        <w:rPr>
          <w:rFonts w:ascii="Times New Roman"/>
          <w:color w:val="auto"/>
          <w:szCs w:val="22"/>
        </w:rPr>
        <w:t xml:space="preserve"> </w:t>
      </w:r>
      <w:r>
        <w:rPr>
          <w:rFonts w:hint="eastAsia" w:ascii="Times New Roman"/>
          <w:color w:val="auto"/>
          <w:szCs w:val="22"/>
        </w:rPr>
        <w:t>第</w:t>
      </w:r>
      <w:r>
        <w:rPr>
          <w:rFonts w:ascii="Times New Roman"/>
          <w:color w:val="auto"/>
          <w:szCs w:val="22"/>
        </w:rPr>
        <w:t>1</w:t>
      </w:r>
      <w:r>
        <w:rPr>
          <w:rFonts w:hint="eastAsia" w:ascii="Times New Roman"/>
          <w:color w:val="auto"/>
          <w:szCs w:val="22"/>
        </w:rPr>
        <w:t>部分：仪器</w:t>
      </w:r>
    </w:p>
    <w:p w14:paraId="6A75DE36">
      <w:pPr>
        <w:pStyle w:val="60"/>
        <w:ind w:firstLine="420"/>
        <w:rPr>
          <w:rFonts w:ascii="Times New Roman"/>
          <w:color w:val="auto"/>
          <w:szCs w:val="22"/>
        </w:rPr>
      </w:pPr>
      <w:r>
        <w:rPr>
          <w:rFonts w:ascii="Times New Roman"/>
          <w:color w:val="auto"/>
          <w:szCs w:val="22"/>
        </w:rPr>
        <w:t xml:space="preserve">GB/T 27664.2 </w:t>
      </w:r>
      <w:r>
        <w:rPr>
          <w:rFonts w:hint="eastAsia" w:ascii="Times New Roman"/>
          <w:color w:val="auto"/>
          <w:szCs w:val="22"/>
        </w:rPr>
        <w:t>无损检测超声检测设备的性能与检验</w:t>
      </w:r>
      <w:r>
        <w:rPr>
          <w:rFonts w:ascii="Times New Roman"/>
          <w:color w:val="auto"/>
          <w:szCs w:val="22"/>
        </w:rPr>
        <w:t xml:space="preserve"> </w:t>
      </w:r>
      <w:r>
        <w:rPr>
          <w:rFonts w:hint="eastAsia" w:ascii="Times New Roman"/>
          <w:color w:val="auto"/>
          <w:szCs w:val="22"/>
        </w:rPr>
        <w:t>第</w:t>
      </w:r>
      <w:r>
        <w:rPr>
          <w:rFonts w:ascii="Times New Roman"/>
          <w:color w:val="auto"/>
          <w:szCs w:val="22"/>
        </w:rPr>
        <w:t>2</w:t>
      </w:r>
      <w:r>
        <w:rPr>
          <w:rFonts w:hint="eastAsia" w:ascii="Times New Roman"/>
          <w:color w:val="auto"/>
          <w:szCs w:val="22"/>
        </w:rPr>
        <w:t>部分：探头</w:t>
      </w:r>
    </w:p>
    <w:p w14:paraId="44A4FEBA">
      <w:pPr>
        <w:pStyle w:val="60"/>
        <w:ind w:firstLine="420"/>
        <w:rPr>
          <w:rFonts w:ascii="Times New Roman"/>
          <w:color w:val="auto"/>
          <w:szCs w:val="22"/>
        </w:rPr>
      </w:pPr>
      <w:r>
        <w:rPr>
          <w:rFonts w:ascii="Times New Roman"/>
          <w:color w:val="auto"/>
          <w:szCs w:val="22"/>
        </w:rPr>
        <w:t xml:space="preserve">GB/T 33488.3 </w:t>
      </w:r>
      <w:r>
        <w:rPr>
          <w:rFonts w:hint="eastAsia" w:ascii="Times New Roman"/>
          <w:color w:val="auto"/>
          <w:szCs w:val="22"/>
        </w:rPr>
        <w:t>化工用塑料焊接制承压设备检验方法</w:t>
      </w:r>
      <w:r>
        <w:rPr>
          <w:rFonts w:ascii="Times New Roman"/>
          <w:color w:val="auto"/>
          <w:szCs w:val="22"/>
        </w:rPr>
        <w:t xml:space="preserve"> </w:t>
      </w:r>
      <w:r>
        <w:rPr>
          <w:rFonts w:hint="eastAsia" w:ascii="Times New Roman"/>
          <w:color w:val="auto"/>
          <w:szCs w:val="22"/>
        </w:rPr>
        <w:t>第</w:t>
      </w:r>
      <w:r>
        <w:rPr>
          <w:rFonts w:ascii="Times New Roman"/>
          <w:color w:val="auto"/>
          <w:szCs w:val="22"/>
        </w:rPr>
        <w:t>3</w:t>
      </w:r>
      <w:r>
        <w:rPr>
          <w:rFonts w:hint="eastAsia" w:ascii="Times New Roman"/>
          <w:color w:val="auto"/>
          <w:szCs w:val="22"/>
        </w:rPr>
        <w:t>部分：超声检测</w:t>
      </w:r>
    </w:p>
    <w:p w14:paraId="785B2FC7">
      <w:pPr>
        <w:pStyle w:val="60"/>
        <w:ind w:firstLine="420"/>
        <w:rPr>
          <w:rFonts w:ascii="Times New Roman"/>
          <w:color w:val="auto"/>
          <w:szCs w:val="22"/>
        </w:rPr>
      </w:pPr>
      <w:r>
        <w:rPr>
          <w:rFonts w:ascii="Times New Roman"/>
          <w:color w:val="auto"/>
          <w:szCs w:val="22"/>
        </w:rPr>
        <w:t xml:space="preserve">GB 15558.1 </w:t>
      </w:r>
      <w:r>
        <w:rPr>
          <w:rFonts w:hint="eastAsia" w:ascii="Times New Roman"/>
          <w:color w:val="auto"/>
          <w:szCs w:val="22"/>
        </w:rPr>
        <w:t>燃气用埋地聚乙烯管道系统</w:t>
      </w:r>
      <w:r>
        <w:rPr>
          <w:rFonts w:ascii="Times New Roman"/>
          <w:color w:val="auto"/>
          <w:szCs w:val="22"/>
        </w:rPr>
        <w:t xml:space="preserve"> </w:t>
      </w:r>
      <w:r>
        <w:rPr>
          <w:rFonts w:hint="eastAsia" w:ascii="Times New Roman"/>
          <w:color w:val="auto"/>
          <w:szCs w:val="22"/>
        </w:rPr>
        <w:t>第</w:t>
      </w:r>
      <w:r>
        <w:rPr>
          <w:rFonts w:ascii="Times New Roman"/>
          <w:color w:val="auto"/>
          <w:szCs w:val="22"/>
        </w:rPr>
        <w:t>1</w:t>
      </w:r>
      <w:r>
        <w:rPr>
          <w:rFonts w:hint="eastAsia" w:ascii="Times New Roman"/>
          <w:color w:val="auto"/>
          <w:szCs w:val="22"/>
        </w:rPr>
        <w:t>部分：管材</w:t>
      </w:r>
    </w:p>
    <w:p w14:paraId="5FF5D2E1">
      <w:pPr>
        <w:pStyle w:val="60"/>
        <w:ind w:firstLine="420"/>
        <w:rPr>
          <w:rFonts w:ascii="Times New Roman"/>
          <w:color w:val="auto"/>
          <w:szCs w:val="22"/>
        </w:rPr>
      </w:pPr>
      <w:r>
        <w:rPr>
          <w:rFonts w:ascii="Times New Roman"/>
          <w:color w:val="auto"/>
          <w:szCs w:val="22"/>
        </w:rPr>
        <w:t xml:space="preserve">GB 15558.2 </w:t>
      </w:r>
      <w:r>
        <w:rPr>
          <w:rFonts w:hint="eastAsia" w:ascii="Times New Roman"/>
          <w:color w:val="auto"/>
          <w:szCs w:val="22"/>
        </w:rPr>
        <w:t>燃气用埋地聚乙烯管道系统</w:t>
      </w:r>
      <w:r>
        <w:rPr>
          <w:rFonts w:ascii="Times New Roman"/>
          <w:color w:val="auto"/>
          <w:szCs w:val="22"/>
        </w:rPr>
        <w:t xml:space="preserve"> </w:t>
      </w:r>
      <w:r>
        <w:rPr>
          <w:rFonts w:hint="eastAsia" w:ascii="Times New Roman"/>
          <w:color w:val="auto"/>
          <w:szCs w:val="22"/>
        </w:rPr>
        <w:t>第</w:t>
      </w:r>
      <w:r>
        <w:rPr>
          <w:rFonts w:ascii="Times New Roman"/>
          <w:color w:val="auto"/>
          <w:szCs w:val="22"/>
        </w:rPr>
        <w:t>2</w:t>
      </w:r>
      <w:r>
        <w:rPr>
          <w:rFonts w:hint="eastAsia" w:ascii="Times New Roman"/>
          <w:color w:val="auto"/>
          <w:szCs w:val="22"/>
        </w:rPr>
        <w:t>部分：管件</w:t>
      </w:r>
    </w:p>
    <w:p w14:paraId="1C042977">
      <w:pPr>
        <w:pStyle w:val="60"/>
        <w:ind w:firstLine="420"/>
        <w:rPr>
          <w:rFonts w:ascii="Times New Roman"/>
          <w:color w:val="auto"/>
          <w:szCs w:val="22"/>
        </w:rPr>
      </w:pPr>
      <w:r>
        <w:rPr>
          <w:rFonts w:ascii="Times New Roman"/>
          <w:color w:val="auto"/>
          <w:szCs w:val="22"/>
        </w:rPr>
        <w:t xml:space="preserve">GB/T 9445 </w:t>
      </w:r>
      <w:r>
        <w:rPr>
          <w:rFonts w:hint="eastAsia" w:ascii="Times New Roman"/>
          <w:color w:val="auto"/>
          <w:szCs w:val="22"/>
        </w:rPr>
        <w:t>无损检测</w:t>
      </w:r>
      <w:r>
        <w:rPr>
          <w:rFonts w:ascii="Times New Roman"/>
          <w:color w:val="auto"/>
          <w:szCs w:val="22"/>
        </w:rPr>
        <w:t xml:space="preserve"> </w:t>
      </w:r>
      <w:r>
        <w:rPr>
          <w:rFonts w:hint="eastAsia" w:ascii="Times New Roman"/>
          <w:color w:val="auto"/>
          <w:szCs w:val="22"/>
        </w:rPr>
        <w:t>人员资格鉴定与认证</w:t>
      </w:r>
    </w:p>
    <w:p w14:paraId="231DC7EF">
      <w:pPr>
        <w:pStyle w:val="60"/>
        <w:ind w:firstLine="420"/>
        <w:rPr>
          <w:rFonts w:ascii="Times New Roman"/>
          <w:color w:val="auto"/>
          <w:szCs w:val="22"/>
          <w:lang w:val="zh-TW" w:eastAsia="zh-TW"/>
        </w:rPr>
      </w:pPr>
      <w:r>
        <w:rPr>
          <w:rFonts w:ascii="Times New Roman"/>
          <w:color w:val="auto"/>
          <w:szCs w:val="22"/>
        </w:rPr>
        <w:t xml:space="preserve">GB/T 12604.1 </w:t>
      </w:r>
      <w:r>
        <w:rPr>
          <w:rFonts w:hint="eastAsia" w:ascii="Times New Roman"/>
          <w:color w:val="auto"/>
          <w:szCs w:val="22"/>
        </w:rPr>
        <w:t>无损检测</w:t>
      </w:r>
      <w:r>
        <w:rPr>
          <w:rFonts w:ascii="Times New Roman"/>
          <w:color w:val="auto"/>
          <w:szCs w:val="22"/>
        </w:rPr>
        <w:t xml:space="preserve"> </w:t>
      </w:r>
      <w:r>
        <w:rPr>
          <w:rFonts w:hint="eastAsia" w:ascii="Times New Roman"/>
          <w:color w:val="auto"/>
          <w:szCs w:val="22"/>
        </w:rPr>
        <w:t>术语</w:t>
      </w:r>
      <w:r>
        <w:rPr>
          <w:rFonts w:ascii="Times New Roman"/>
          <w:color w:val="auto"/>
          <w:szCs w:val="22"/>
        </w:rPr>
        <w:t xml:space="preserve"> </w:t>
      </w:r>
      <w:r>
        <w:rPr>
          <w:rFonts w:hint="eastAsia" w:ascii="Times New Roman"/>
          <w:color w:val="auto"/>
          <w:szCs w:val="22"/>
        </w:rPr>
        <w:t>超声检测</w:t>
      </w:r>
    </w:p>
    <w:p w14:paraId="62BFC9AB">
      <w:pPr>
        <w:pStyle w:val="60"/>
        <w:ind w:firstLine="420"/>
        <w:rPr>
          <w:rFonts w:ascii="Times New Roman"/>
          <w:color w:val="auto"/>
          <w:szCs w:val="22"/>
        </w:rPr>
      </w:pPr>
      <w:r>
        <w:rPr>
          <w:rFonts w:ascii="Times New Roman"/>
          <w:color w:val="auto"/>
          <w:szCs w:val="22"/>
        </w:rPr>
        <w:t xml:space="preserve">GB/T 32563-2016 </w:t>
      </w:r>
      <w:r>
        <w:rPr>
          <w:rFonts w:hint="eastAsia" w:ascii="Times New Roman"/>
          <w:color w:val="auto"/>
          <w:szCs w:val="22"/>
        </w:rPr>
        <w:t>无损检测</w:t>
      </w:r>
      <w:r>
        <w:rPr>
          <w:rFonts w:ascii="Times New Roman"/>
          <w:color w:val="auto"/>
          <w:szCs w:val="22"/>
        </w:rPr>
        <w:t xml:space="preserve"> </w:t>
      </w:r>
      <w:r>
        <w:rPr>
          <w:rFonts w:hint="eastAsia" w:ascii="Times New Roman"/>
          <w:color w:val="auto"/>
          <w:szCs w:val="22"/>
        </w:rPr>
        <w:t>超声检测</w:t>
      </w:r>
      <w:r>
        <w:rPr>
          <w:rFonts w:ascii="Times New Roman"/>
          <w:color w:val="auto"/>
          <w:szCs w:val="22"/>
        </w:rPr>
        <w:t xml:space="preserve"> </w:t>
      </w:r>
      <w:r>
        <w:rPr>
          <w:rFonts w:hint="eastAsia" w:ascii="Times New Roman"/>
          <w:color w:val="auto"/>
          <w:szCs w:val="22"/>
        </w:rPr>
        <w:t>相控阵超声检测方法</w:t>
      </w:r>
    </w:p>
    <w:p w14:paraId="32843C79">
      <w:pPr>
        <w:pStyle w:val="60"/>
        <w:ind w:firstLine="420"/>
        <w:rPr>
          <w:rFonts w:ascii="Times New Roman"/>
          <w:color w:val="auto"/>
          <w:szCs w:val="22"/>
        </w:rPr>
      </w:pPr>
      <w:r>
        <w:rPr>
          <w:rFonts w:ascii="Times New Roman"/>
          <w:color w:val="auto"/>
          <w:szCs w:val="22"/>
        </w:rPr>
        <w:t xml:space="preserve">JB/T 11731 </w:t>
      </w:r>
      <w:r>
        <w:rPr>
          <w:rFonts w:hint="eastAsia" w:ascii="Times New Roman"/>
          <w:color w:val="auto"/>
          <w:szCs w:val="22"/>
        </w:rPr>
        <w:t>无损检测</w:t>
      </w:r>
      <w:r>
        <w:rPr>
          <w:rFonts w:ascii="Times New Roman"/>
          <w:color w:val="auto"/>
          <w:szCs w:val="22"/>
        </w:rPr>
        <w:tab/>
      </w:r>
      <w:r>
        <w:rPr>
          <w:rFonts w:hint="eastAsia" w:ascii="Times New Roman"/>
          <w:color w:val="auto"/>
          <w:szCs w:val="22"/>
        </w:rPr>
        <w:t>超声相控阵探头通用技术条件</w:t>
      </w:r>
    </w:p>
    <w:p w14:paraId="1534FAD9">
      <w:pPr>
        <w:pStyle w:val="60"/>
        <w:ind w:firstLine="420"/>
        <w:rPr>
          <w:rFonts w:ascii="Times New Roman"/>
          <w:color w:val="auto"/>
          <w:szCs w:val="22"/>
        </w:rPr>
      </w:pPr>
      <w:r>
        <w:rPr>
          <w:rFonts w:ascii="Times New Roman"/>
          <w:color w:val="auto"/>
          <w:szCs w:val="22"/>
        </w:rPr>
        <w:t xml:space="preserve">JB/T 11779 </w:t>
      </w:r>
      <w:r>
        <w:rPr>
          <w:rFonts w:hint="eastAsia" w:ascii="Times New Roman"/>
          <w:color w:val="auto"/>
          <w:szCs w:val="22"/>
        </w:rPr>
        <w:t>无损检测仪器</w:t>
      </w:r>
      <w:r>
        <w:rPr>
          <w:rFonts w:ascii="Times New Roman"/>
          <w:color w:val="auto"/>
          <w:szCs w:val="22"/>
        </w:rPr>
        <w:tab/>
      </w:r>
      <w:r>
        <w:rPr>
          <w:rFonts w:hint="eastAsia" w:ascii="Times New Roman"/>
          <w:color w:val="auto"/>
          <w:szCs w:val="22"/>
        </w:rPr>
        <w:t>相控阵超声检测仪技术条件</w:t>
      </w:r>
    </w:p>
    <w:p w14:paraId="0586615D">
      <w:pPr>
        <w:pStyle w:val="60"/>
        <w:ind w:firstLine="420"/>
        <w:rPr>
          <w:rFonts w:ascii="Times New Roman"/>
          <w:color w:val="auto"/>
          <w:szCs w:val="22"/>
        </w:rPr>
      </w:pPr>
      <w:r>
        <w:rPr>
          <w:rFonts w:ascii="Times New Roman"/>
          <w:color w:val="auto"/>
          <w:szCs w:val="22"/>
        </w:rPr>
        <w:t xml:space="preserve">GB 55009 </w:t>
      </w:r>
      <w:r>
        <w:rPr>
          <w:rFonts w:hint="eastAsia" w:ascii="Times New Roman"/>
          <w:color w:val="auto"/>
          <w:szCs w:val="22"/>
        </w:rPr>
        <w:t>燃气工程项目规范</w:t>
      </w:r>
    </w:p>
    <w:p w14:paraId="011CBF93">
      <w:pPr>
        <w:pStyle w:val="60"/>
        <w:ind w:firstLine="420"/>
        <w:rPr>
          <w:rFonts w:ascii="Times New Roman"/>
          <w:color w:val="auto"/>
        </w:rPr>
      </w:pPr>
      <w:r>
        <w:rPr>
          <w:rFonts w:ascii="Times New Roman"/>
          <w:color w:val="auto"/>
          <w:szCs w:val="22"/>
        </w:rPr>
        <w:t xml:space="preserve">CJJ 33 </w:t>
      </w:r>
      <w:r>
        <w:rPr>
          <w:rFonts w:hint="eastAsia" w:ascii="Times New Roman"/>
          <w:color w:val="auto"/>
          <w:szCs w:val="22"/>
        </w:rPr>
        <w:t>城镇燃气输配工程施工及验收规范</w:t>
      </w:r>
    </w:p>
    <w:p w14:paraId="3D5707A5">
      <w:pPr>
        <w:pStyle w:val="60"/>
        <w:ind w:firstLine="420"/>
        <w:rPr>
          <w:rFonts w:hint="eastAsia" w:ascii="Times New Roman" w:hAnsi="Times New Roman" w:cs="Times New Roman"/>
          <w:color w:val="auto"/>
        </w:rPr>
      </w:pPr>
      <w:r>
        <w:rPr>
          <w:rFonts w:hint="eastAsia" w:ascii="Times New Roman" w:hAnsi="Times New Roman" w:cs="Times New Roman"/>
          <w:color w:val="auto"/>
          <w:szCs w:val="22"/>
        </w:rPr>
        <w:t>CJJ 63 聚乙烯工业管道工程技术规程</w:t>
      </w:r>
    </w:p>
    <w:p w14:paraId="09C763AF">
      <w:pPr>
        <w:pStyle w:val="60"/>
        <w:ind w:firstLine="420"/>
        <w:rPr>
          <w:rFonts w:hint="eastAsia" w:ascii="Times New Roman" w:hAnsi="Times New Roman" w:cs="Times New Roman"/>
          <w:color w:val="auto"/>
        </w:rPr>
      </w:pPr>
      <w:r>
        <w:rPr>
          <w:rFonts w:hint="eastAsia" w:ascii="Times New Roman" w:hAnsi="Times New Roman" w:cs="Times New Roman"/>
          <w:color w:val="auto"/>
          <w:szCs w:val="22"/>
        </w:rPr>
        <w:t>GB 50028 城镇燃气设计规范</w:t>
      </w:r>
    </w:p>
    <w:p w14:paraId="4882DFBD">
      <w:pPr>
        <w:pStyle w:val="60"/>
        <w:ind w:firstLine="420"/>
        <w:rPr>
          <w:rFonts w:hint="eastAsia" w:ascii="Times New Roman" w:hAnsi="Times New Roman" w:cs="Times New Roman"/>
          <w:color w:val="auto"/>
        </w:rPr>
      </w:pPr>
      <w:r>
        <w:rPr>
          <w:rFonts w:hint="eastAsia" w:ascii="Times New Roman" w:hAnsi="Times New Roman" w:cs="Times New Roman"/>
          <w:color w:val="auto"/>
          <w:szCs w:val="22"/>
        </w:rPr>
        <w:t xml:space="preserve">GB/T 19285 </w:t>
      </w:r>
      <w:r>
        <w:rPr>
          <w:rFonts w:hint="eastAsia" w:ascii="Times New Roman" w:hAnsi="Times New Roman" w:cs="Times New Roman"/>
          <w:color w:val="auto"/>
        </w:rPr>
        <w:t>埋地钢质管道腐蚀防护工程检验</w:t>
      </w:r>
    </w:p>
    <w:p w14:paraId="429F3E26">
      <w:pPr>
        <w:pStyle w:val="60"/>
        <w:ind w:firstLine="420"/>
        <w:rPr>
          <w:rFonts w:hint="eastAsia" w:ascii="Times New Roman" w:hAnsi="Times New Roman" w:cs="Times New Roman"/>
          <w:color w:val="auto"/>
        </w:rPr>
      </w:pPr>
      <w:r>
        <w:rPr>
          <w:rFonts w:hint="eastAsia" w:ascii="Times New Roman" w:hAnsi="Times New Roman" w:cs="Times New Roman"/>
          <w:color w:val="auto"/>
          <w:szCs w:val="22"/>
        </w:rPr>
        <w:t xml:space="preserve">NB/T 47013 </w:t>
      </w:r>
      <w:r>
        <w:rPr>
          <w:rFonts w:hint="eastAsia" w:ascii="Times New Roman" w:hAnsi="Times New Roman" w:cs="Times New Roman"/>
          <w:color w:val="auto"/>
        </w:rPr>
        <w:t>承压设备无损检测</w:t>
      </w:r>
    </w:p>
    <w:p w14:paraId="6271643C">
      <w:pPr>
        <w:pStyle w:val="60"/>
        <w:ind w:firstLine="420"/>
        <w:rPr>
          <w:rFonts w:hint="eastAsia" w:ascii="Times New Roman" w:hAnsi="Times New Roman" w:cs="Times New Roman"/>
          <w:color w:val="auto"/>
        </w:rPr>
      </w:pPr>
      <w:r>
        <w:rPr>
          <w:rFonts w:hint="eastAsia" w:ascii="Times New Roman" w:hAnsi="Times New Roman" w:cs="Times New Roman"/>
          <w:color w:val="auto"/>
        </w:rPr>
        <w:t xml:space="preserve">TSG D7004-2010 </w:t>
      </w:r>
      <w:r>
        <w:rPr>
          <w:rFonts w:hint="eastAsia" w:ascii="Times New Roman" w:hAnsi="Times New Roman" w:cs="Times New Roman"/>
          <w:color w:val="auto"/>
          <w:szCs w:val="22"/>
        </w:rPr>
        <w:t>压力管道定期检验规则——公用管道</w:t>
      </w:r>
    </w:p>
    <w:p w14:paraId="653E81DE">
      <w:pPr>
        <w:pStyle w:val="60"/>
        <w:ind w:firstLine="420"/>
        <w:rPr>
          <w:rFonts w:ascii="Times New Roman"/>
          <w:color w:val="auto"/>
        </w:rPr>
      </w:pPr>
      <w:r>
        <w:rPr>
          <w:rFonts w:hint="eastAsia" w:ascii="Times New Roman" w:hAnsi="Times New Roman" w:cs="Times New Roman"/>
          <w:color w:val="auto"/>
        </w:rPr>
        <w:t xml:space="preserve">TSG D7005-2018 </w:t>
      </w:r>
      <w:r>
        <w:rPr>
          <w:rFonts w:hint="eastAsia" w:ascii="Times New Roman" w:hAnsi="Times New Roman" w:cs="Times New Roman"/>
          <w:color w:val="auto"/>
          <w:szCs w:val="22"/>
        </w:rPr>
        <w:t>压力</w:t>
      </w:r>
      <w:r>
        <w:rPr>
          <w:rFonts w:hint="eastAsia" w:ascii="Times New Roman"/>
          <w:color w:val="auto"/>
          <w:szCs w:val="22"/>
        </w:rPr>
        <w:t>管道定期检验规则——工业管道</w:t>
      </w:r>
    </w:p>
    <w:p w14:paraId="1751B35C">
      <w:pPr>
        <w:pStyle w:val="60"/>
        <w:ind w:firstLine="420"/>
        <w:rPr>
          <w:rFonts w:ascii="Times New Roman"/>
          <w:color w:val="auto"/>
        </w:rPr>
      </w:pPr>
    </w:p>
    <w:p w14:paraId="6A760A73">
      <w:pPr>
        <w:pStyle w:val="108"/>
        <w:spacing w:before="312" w:after="312"/>
        <w:rPr>
          <w:rFonts w:ascii="Times New Roman" w:eastAsia="宋体"/>
          <w:color w:val="auto"/>
        </w:rPr>
      </w:pPr>
      <w:r>
        <w:rPr>
          <w:rFonts w:hint="eastAsia" w:ascii="Times New Roman" w:eastAsia="宋体"/>
          <w:color w:val="auto"/>
          <w:szCs w:val="21"/>
        </w:rPr>
        <w:t>术语和定义</w:t>
      </w:r>
    </w:p>
    <w:sdt>
      <w:sdtPr>
        <w:rPr>
          <w:rFonts w:ascii="Times New Roman"/>
          <w:color w:val="auto"/>
        </w:rPr>
        <w:id w:val="-1909835108"/>
        <w:placeholder>
          <w:docPart w:val="01410D4CD1E04F8F931B67624780885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color w:val="auto"/>
        </w:rPr>
      </w:sdtEndPr>
      <w:sdtContent>
        <w:p w14:paraId="1F9A654A">
          <w:pPr>
            <w:pStyle w:val="60"/>
            <w:ind w:firstLine="420"/>
            <w:rPr>
              <w:rFonts w:ascii="Times New Roman"/>
              <w:color w:val="auto"/>
            </w:rPr>
          </w:pPr>
          <w:bookmarkStart w:id="36" w:name="_Toc26986532"/>
          <w:bookmarkEnd w:id="36"/>
          <w:r>
            <w:rPr>
              <w:rFonts w:hint="eastAsia" w:ascii="Times New Roman" w:hAnsi="Times New Roman"/>
              <w:color w:val="auto"/>
            </w:rPr>
            <w:t>下列术语和定义适用于本文件。</w:t>
          </w:r>
        </w:p>
      </w:sdtContent>
    </w:sdt>
    <w:p w14:paraId="5A422FB0">
      <w:pPr>
        <w:pStyle w:val="227"/>
        <w:ind w:left="420" w:hanging="420" w:hangingChars="200"/>
        <w:rPr>
          <w:rFonts w:hint="eastAsia" w:ascii="Times New Roman" w:hAnsi="Times New Roman" w:eastAsia="宋体"/>
          <w:color w:val="auto"/>
        </w:rPr>
      </w:pPr>
    </w:p>
    <w:p w14:paraId="6C76330C">
      <w:pPr>
        <w:pStyle w:val="240"/>
        <w:rPr>
          <w:rFonts w:ascii="Times New Roman" w:hAnsi="Times New Roman" w:eastAsia="宋体"/>
          <w:b w:val="0"/>
          <w:color w:val="auto"/>
        </w:rPr>
      </w:pPr>
      <w:r>
        <w:rPr>
          <w:rFonts w:hint="eastAsia" w:ascii="Times New Roman" w:hAnsi="Times New Roman" w:eastAsia="宋体" w:cs="Times New Roman"/>
          <w:b w:val="0"/>
          <w:color w:val="auto"/>
          <w:lang w:val="zh-TW" w:eastAsia="zh-TW" w:bidi="zh-TW"/>
        </w:rPr>
        <w:t>衍射时差法超声检测（</w:t>
      </w:r>
      <w:r>
        <w:rPr>
          <w:rFonts w:ascii="Times New Roman" w:hAnsi="Times New Roman" w:eastAsia="宋体"/>
          <w:b w:val="0"/>
          <w:color w:val="auto"/>
        </w:rPr>
        <w:t>TOFD</w:t>
      </w:r>
      <w:r>
        <w:rPr>
          <w:rFonts w:hint="eastAsia" w:ascii="Times New Roman" w:hAnsi="Times New Roman" w:eastAsia="宋体"/>
          <w:b w:val="0"/>
          <w:color w:val="auto"/>
        </w:rPr>
        <w:t>）</w:t>
      </w:r>
      <w:r>
        <w:rPr>
          <w:rFonts w:ascii="Times New Roman" w:hAnsi="Times New Roman" w:eastAsia="宋体"/>
          <w:b w:val="0"/>
          <w:color w:val="auto"/>
        </w:rPr>
        <w:t xml:space="preserve"> Time of Flight Diffraction</w:t>
      </w:r>
    </w:p>
    <w:p w14:paraId="3CF13525">
      <w:pPr>
        <w:pStyle w:val="227"/>
        <w:numPr>
          <w:ilvl w:val="0"/>
          <w:numId w:val="0"/>
        </w:numPr>
        <w:ind w:left="420"/>
        <w:rPr>
          <w:rFonts w:ascii="Times New Roman"/>
          <w:color w:val="auto"/>
          <w:lang w:bidi="zh-CN"/>
        </w:rPr>
      </w:pPr>
      <w:r>
        <w:rPr>
          <w:rFonts w:hint="eastAsia" w:ascii="Times New Roman"/>
          <w:color w:val="auto"/>
          <w:lang w:bidi="zh-CN"/>
        </w:rPr>
        <w:t>衍射时差法超声检测，是采用一发一收探头对工作模式、主要利用缺陷端点的衍射波信号探测和测</w:t>
      </w:r>
    </w:p>
    <w:p w14:paraId="16A526F6">
      <w:pPr>
        <w:pStyle w:val="227"/>
        <w:numPr>
          <w:ilvl w:val="0"/>
          <w:numId w:val="0"/>
        </w:numPr>
        <w:rPr>
          <w:rFonts w:ascii="Times New Roman"/>
          <w:color w:val="auto"/>
        </w:rPr>
      </w:pPr>
      <w:r>
        <w:rPr>
          <w:rFonts w:hint="eastAsia" w:ascii="Times New Roman"/>
          <w:color w:val="auto"/>
          <w:lang w:bidi="zh-CN"/>
        </w:rPr>
        <w:t>定缺陷位置及尺寸的一种超声检测方法。</w:t>
      </w:r>
    </w:p>
    <w:p w14:paraId="2F5D0116">
      <w:pPr>
        <w:pStyle w:val="227"/>
        <w:rPr>
          <w:rFonts w:hint="eastAsia" w:ascii="Times New Roman" w:hAnsi="Times New Roman" w:eastAsia="宋体"/>
          <w:color w:val="auto"/>
        </w:rPr>
      </w:pPr>
    </w:p>
    <w:p w14:paraId="1E5452E0">
      <w:pPr>
        <w:pStyle w:val="166"/>
        <w:numPr>
          <w:ilvl w:val="0"/>
          <w:numId w:val="0"/>
        </w:numPr>
        <w:spacing w:before="156" w:beforeLines="50" w:after="156" w:afterLines="50"/>
        <w:ind w:firstLine="420" w:firstLineChars="200"/>
        <w:rPr>
          <w:rFonts w:hint="eastAsia" w:ascii="Times New Roman" w:hAnsi="Times New Roman" w:eastAsia="宋体"/>
          <w:color w:val="auto"/>
        </w:rPr>
      </w:pPr>
      <w:r>
        <w:rPr>
          <w:rFonts w:hint="eastAsia" w:ascii="Times New Roman" w:hAnsi="Times New Roman" w:eastAsia="宋体"/>
          <w:color w:val="auto"/>
        </w:rPr>
        <w:t>相控阵超声检测 phased array ultrasonic testing</w:t>
      </w:r>
    </w:p>
    <w:p w14:paraId="08E881BD">
      <w:pPr>
        <w:pStyle w:val="60"/>
        <w:ind w:firstLine="420"/>
        <w:rPr>
          <w:rFonts w:ascii="Times New Roman"/>
          <w:color w:val="auto"/>
          <w:lang w:bidi="zh-CN"/>
        </w:rPr>
      </w:pPr>
      <w:r>
        <w:rPr>
          <w:rFonts w:hint="eastAsia" w:ascii="Times New Roman"/>
          <w:color w:val="auto"/>
          <w:lang w:bidi="zh-CN"/>
        </w:rPr>
        <w:t>根据设定的延迟法则激发相控阵阵列探头各独立压电晶片（阵元），合成声束并实现声束的移动、偏转和聚焦等功能，再按一定的延迟法则接收超声信号并以图像的方式显示被检对象内部状态的超声检测技术。</w:t>
      </w:r>
    </w:p>
    <w:p w14:paraId="22EEF3E2">
      <w:pPr>
        <w:pStyle w:val="227"/>
        <w:rPr>
          <w:rFonts w:hint="eastAsia" w:ascii="Times New Roman" w:hAnsi="Times New Roman" w:eastAsia="宋体"/>
          <w:color w:val="auto"/>
          <w:lang w:bidi="zh-CN"/>
        </w:rPr>
      </w:pPr>
    </w:p>
    <w:p w14:paraId="7DDCD70E">
      <w:pPr>
        <w:pStyle w:val="166"/>
        <w:numPr>
          <w:ilvl w:val="0"/>
          <w:numId w:val="0"/>
        </w:numPr>
        <w:spacing w:before="156" w:beforeLines="50" w:after="156" w:afterLines="50"/>
        <w:ind w:firstLine="420" w:firstLineChars="200"/>
        <w:rPr>
          <w:rFonts w:hint="eastAsia" w:ascii="Times New Roman" w:hAnsi="Times New Roman" w:eastAsia="宋体"/>
          <w:color w:val="auto"/>
          <w:lang w:bidi="zh-CN"/>
        </w:rPr>
      </w:pPr>
      <w:r>
        <w:rPr>
          <w:rFonts w:hint="eastAsia" w:ascii="Times New Roman" w:hAnsi="Times New Roman" w:eastAsia="宋体"/>
          <w:color w:val="auto"/>
          <w:lang w:bidi="zh-CN"/>
        </w:rPr>
        <w:t>聚乙烯燃气管道polyethylene （PE）fuel gas pipeline</w:t>
      </w:r>
    </w:p>
    <w:p w14:paraId="42A36040">
      <w:pPr>
        <w:pStyle w:val="60"/>
        <w:ind w:firstLine="420"/>
        <w:rPr>
          <w:rFonts w:ascii="Times New Roman"/>
          <w:color w:val="auto"/>
          <w:lang w:bidi="zh-CN"/>
        </w:rPr>
      </w:pPr>
      <w:r>
        <w:rPr>
          <w:rFonts w:hint="eastAsia" w:ascii="Times New Roman"/>
          <w:color w:val="auto"/>
          <w:lang w:bidi="zh-CN"/>
        </w:rPr>
        <w:t>由燃气用聚乙烯管材、管件、阀门及附件组成的管道系统。聚乙烯管材是用聚乙烯混配料通过挤出成型工艺生产的管材；聚乙烯管件是用聚乙烯混配料通过注塑成型等工艺生产的管件。</w:t>
      </w:r>
    </w:p>
    <w:p w14:paraId="03910753">
      <w:pPr>
        <w:pStyle w:val="227"/>
        <w:rPr>
          <w:rFonts w:hint="eastAsia" w:ascii="Times New Roman" w:hAnsi="Times New Roman" w:eastAsia="宋体"/>
          <w:color w:val="auto"/>
          <w:lang w:bidi="zh-CN"/>
        </w:rPr>
      </w:pPr>
    </w:p>
    <w:p w14:paraId="4BC40369">
      <w:pPr>
        <w:pStyle w:val="166"/>
        <w:numPr>
          <w:ilvl w:val="0"/>
          <w:numId w:val="0"/>
        </w:numPr>
        <w:spacing w:before="156" w:beforeLines="50" w:after="156" w:afterLines="50"/>
        <w:ind w:firstLine="420" w:firstLineChars="200"/>
        <w:rPr>
          <w:rFonts w:hint="eastAsia" w:ascii="Times New Roman" w:hAnsi="Times New Roman" w:eastAsia="宋体"/>
          <w:color w:val="auto"/>
          <w:lang w:bidi="zh-CN"/>
        </w:rPr>
      </w:pPr>
      <w:r>
        <w:rPr>
          <w:rFonts w:hint="eastAsia" w:ascii="Times New Roman" w:hAnsi="Times New Roman" w:eastAsia="宋体"/>
          <w:color w:val="auto"/>
          <w:lang w:bidi="zh-CN"/>
        </w:rPr>
        <w:t>热熔连接fusion-jointing</w:t>
      </w:r>
    </w:p>
    <w:p w14:paraId="6EB8F97A">
      <w:pPr>
        <w:pStyle w:val="60"/>
        <w:ind w:firstLine="420" w:firstLineChars="0"/>
        <w:rPr>
          <w:rFonts w:hint="eastAsia" w:ascii="Times New Roman" w:hAnsi="Times New Roman" w:eastAsia="宋体"/>
          <w:color w:val="auto"/>
          <w:lang w:bidi="zh-CN"/>
        </w:rPr>
      </w:pPr>
      <w:r>
        <w:rPr>
          <w:rFonts w:hint="eastAsia" w:ascii="Times New Roman"/>
          <w:color w:val="auto"/>
          <w:lang w:bidi="zh-CN"/>
        </w:rPr>
        <w:t>用专用加热工具加热连接部位，使其熔融后</w:t>
      </w:r>
      <w:r>
        <w:rPr>
          <w:rFonts w:ascii="Times New Roman"/>
          <w:color w:val="auto"/>
          <w:lang w:bidi="zh-CN"/>
        </w:rPr>
        <w:t>,</w:t>
      </w:r>
      <w:r>
        <w:rPr>
          <w:rFonts w:hint="eastAsia" w:ascii="Times New Roman"/>
          <w:color w:val="auto"/>
          <w:lang w:bidi="zh-CN"/>
        </w:rPr>
        <w:t>施压连接成一体的连接方式。热熔连接方式有热熔承插连接、热熔对接连接、热熔鞍形连接等。</w:t>
      </w:r>
    </w:p>
    <w:p w14:paraId="47727624">
      <w:pPr>
        <w:pStyle w:val="227"/>
        <w:rPr>
          <w:rFonts w:hint="eastAsia" w:ascii="Times New Roman" w:hAnsi="Times New Roman" w:eastAsia="宋体"/>
          <w:color w:val="auto"/>
          <w:lang w:bidi="zh-CN"/>
        </w:rPr>
      </w:pPr>
    </w:p>
    <w:p w14:paraId="7B4894A9">
      <w:pPr>
        <w:pStyle w:val="166"/>
        <w:numPr>
          <w:ilvl w:val="0"/>
          <w:numId w:val="0"/>
        </w:numPr>
        <w:spacing w:before="156" w:beforeLines="50" w:after="156" w:afterLines="50"/>
        <w:ind w:firstLine="420" w:firstLineChars="200"/>
        <w:rPr>
          <w:rFonts w:hint="eastAsia" w:ascii="Times New Roman" w:hAnsi="Times New Roman" w:eastAsia="宋体"/>
          <w:color w:val="auto"/>
          <w:lang w:bidi="zh-CN"/>
        </w:rPr>
      </w:pPr>
      <w:r>
        <w:rPr>
          <w:rFonts w:hint="eastAsia" w:ascii="Times New Roman" w:hAnsi="Times New Roman" w:eastAsia="宋体"/>
          <w:color w:val="auto"/>
          <w:lang w:bidi="zh-CN"/>
        </w:rPr>
        <w:t>电熔连接electrofusion-jointing</w:t>
      </w:r>
    </w:p>
    <w:p w14:paraId="3DD82F84">
      <w:pPr>
        <w:pStyle w:val="60"/>
        <w:ind w:firstLine="420"/>
        <w:rPr>
          <w:rFonts w:ascii="Times New Roman"/>
          <w:color w:val="auto"/>
          <w:lang w:bidi="zh-CN"/>
        </w:rPr>
      </w:pPr>
      <w:r>
        <w:rPr>
          <w:rFonts w:hint="eastAsia" w:ascii="Times New Roman"/>
          <w:color w:val="auto"/>
          <w:lang w:bidi="zh-CN"/>
        </w:rPr>
        <w:t>采用内埋电阻丝的专用电熔管件，通过专用设备，控制内埋于管件中电阻丝的电压、电流及通电时间</w:t>
      </w:r>
      <w:r>
        <w:rPr>
          <w:rFonts w:ascii="Times New Roman"/>
          <w:color w:val="auto"/>
          <w:lang w:bidi="zh-CN"/>
        </w:rPr>
        <w:t>,</w:t>
      </w:r>
      <w:r>
        <w:rPr>
          <w:rFonts w:hint="eastAsia" w:ascii="Times New Roman"/>
          <w:color w:val="auto"/>
          <w:lang w:bidi="zh-CN"/>
        </w:rPr>
        <w:t>使其达到熔接目的的连接方法。电熔连接方式有电熔承插连接、电熔鞍形连接。</w:t>
      </w:r>
    </w:p>
    <w:p w14:paraId="09B83730">
      <w:pPr>
        <w:pStyle w:val="60"/>
        <w:numPr>
          <w:ilvl w:val="2"/>
          <w:numId w:val="2"/>
        </w:numPr>
        <w:ind w:firstLineChars="0"/>
        <w:rPr>
          <w:rFonts w:hint="eastAsia" w:ascii="Times New Roman" w:hAnsi="Times New Roman" w:eastAsia="宋体"/>
          <w:color w:val="auto"/>
          <w:lang w:bidi="zh-CN"/>
        </w:rPr>
      </w:pPr>
    </w:p>
    <w:p w14:paraId="5243B521">
      <w:pPr>
        <w:pStyle w:val="166"/>
        <w:numPr>
          <w:ilvl w:val="0"/>
          <w:numId w:val="0"/>
        </w:numPr>
        <w:spacing w:before="156" w:beforeLines="50" w:after="156" w:afterLines="50"/>
        <w:ind w:firstLine="420" w:firstLineChars="200"/>
        <w:rPr>
          <w:rFonts w:hint="eastAsia" w:ascii="Times New Roman" w:hAnsi="Times New Roman" w:eastAsia="宋体"/>
          <w:color w:val="auto"/>
          <w:lang w:bidi="zh-CN"/>
        </w:rPr>
      </w:pPr>
      <w:r>
        <w:rPr>
          <w:rFonts w:hint="eastAsia" w:ascii="Times New Roman" w:hAnsi="Times New Roman" w:eastAsia="宋体"/>
          <w:color w:val="auto"/>
          <w:lang w:bidi="zh-CN"/>
        </w:rPr>
        <w:t>相关显示relevant indication</w:t>
      </w:r>
    </w:p>
    <w:p w14:paraId="6284FC7A">
      <w:pPr>
        <w:pStyle w:val="60"/>
        <w:ind w:firstLine="420"/>
        <w:rPr>
          <w:rFonts w:ascii="Times New Roman"/>
          <w:color w:val="auto"/>
          <w:lang w:bidi="zh-CN"/>
        </w:rPr>
      </w:pPr>
      <w:r>
        <w:rPr>
          <w:rFonts w:hint="eastAsia" w:ascii="Times New Roman"/>
          <w:color w:val="auto"/>
          <w:lang w:bidi="zh-CN"/>
        </w:rPr>
        <w:t>由缺陷引起的显示。</w:t>
      </w:r>
    </w:p>
    <w:p w14:paraId="6CF02C9C">
      <w:pPr>
        <w:pStyle w:val="60"/>
        <w:numPr>
          <w:ilvl w:val="2"/>
          <w:numId w:val="2"/>
        </w:numPr>
        <w:ind w:firstLineChars="0"/>
        <w:rPr>
          <w:rFonts w:hint="eastAsia" w:ascii="Times New Roman" w:hAnsi="Times New Roman" w:eastAsia="宋体"/>
          <w:color w:val="auto"/>
          <w:lang w:bidi="zh-CN"/>
        </w:rPr>
      </w:pPr>
    </w:p>
    <w:p w14:paraId="65FA2D95">
      <w:pPr>
        <w:pStyle w:val="166"/>
        <w:numPr>
          <w:ilvl w:val="0"/>
          <w:numId w:val="0"/>
        </w:numPr>
        <w:spacing w:before="156" w:beforeLines="50" w:after="156" w:afterLines="50"/>
        <w:ind w:firstLine="420" w:firstLineChars="200"/>
        <w:rPr>
          <w:rFonts w:hint="eastAsia" w:ascii="Times New Roman" w:hAnsi="Times New Roman" w:eastAsia="宋体"/>
          <w:color w:val="auto"/>
          <w:lang w:bidi="zh-CN"/>
        </w:rPr>
      </w:pPr>
      <w:r>
        <w:rPr>
          <w:rFonts w:hint="eastAsia" w:ascii="Times New Roman" w:hAnsi="Times New Roman" w:eastAsia="宋体"/>
          <w:color w:val="auto"/>
          <w:lang w:bidi="zh-CN"/>
        </w:rPr>
        <w:t>非相关显示non-relevant indication</w:t>
      </w:r>
    </w:p>
    <w:p w14:paraId="2F996B1C">
      <w:pPr>
        <w:pStyle w:val="60"/>
        <w:ind w:firstLine="420"/>
        <w:rPr>
          <w:rFonts w:ascii="Times New Roman"/>
          <w:color w:val="auto"/>
          <w:lang w:bidi="zh-CN"/>
        </w:rPr>
      </w:pPr>
      <w:r>
        <w:rPr>
          <w:rFonts w:hint="eastAsia" w:ascii="Times New Roman"/>
          <w:color w:val="auto"/>
          <w:lang w:bidi="zh-CN"/>
        </w:rPr>
        <w:t>由于工件结构（例如焊缝余高或根部、工件的几何结构变化处）或者材料冶金结构的偏差（例如金属母材和覆盖层界面）引起的显示。包括由错边、根焊和盖面焊以及坡口形状的变化等引起的显示。</w:t>
      </w:r>
    </w:p>
    <w:p w14:paraId="288DBD87">
      <w:pPr>
        <w:pStyle w:val="60"/>
        <w:ind w:firstLine="420"/>
        <w:rPr>
          <w:rFonts w:ascii="Times New Roman"/>
          <w:color w:val="auto"/>
          <w:lang w:bidi="zh-CN"/>
        </w:rPr>
      </w:pPr>
    </w:p>
    <w:p w14:paraId="4B0E44AC">
      <w:pPr>
        <w:pStyle w:val="60"/>
        <w:numPr>
          <w:ilvl w:val="2"/>
          <w:numId w:val="2"/>
        </w:numPr>
        <w:ind w:firstLineChars="0"/>
        <w:rPr>
          <w:rFonts w:hint="eastAsia" w:ascii="Times New Roman" w:hAnsi="Times New Roman" w:eastAsia="宋体"/>
          <w:color w:val="auto"/>
          <w:lang w:bidi="zh-CN"/>
        </w:rPr>
      </w:pPr>
    </w:p>
    <w:p w14:paraId="01605AA8">
      <w:pPr>
        <w:pStyle w:val="166"/>
        <w:numPr>
          <w:ilvl w:val="0"/>
          <w:numId w:val="0"/>
        </w:numPr>
        <w:spacing w:before="156" w:beforeLines="50" w:after="156" w:afterLines="50"/>
        <w:ind w:firstLine="420" w:firstLineChars="200"/>
        <w:rPr>
          <w:rFonts w:hint="eastAsia" w:ascii="Times New Roman" w:hAnsi="Times New Roman" w:eastAsia="宋体"/>
          <w:color w:val="auto"/>
          <w:lang w:bidi="zh-CN"/>
        </w:rPr>
      </w:pPr>
      <w:r>
        <w:rPr>
          <w:rFonts w:hint="eastAsia" w:ascii="Times New Roman" w:hAnsi="Times New Roman" w:eastAsia="宋体"/>
          <w:color w:val="auto"/>
          <w:lang w:bidi="zh-CN"/>
        </w:rPr>
        <w:t>冷焊cold welding</w:t>
      </w:r>
    </w:p>
    <w:p w14:paraId="75B57906">
      <w:pPr>
        <w:pStyle w:val="60"/>
        <w:ind w:firstLine="420"/>
        <w:rPr>
          <w:rFonts w:ascii="Times New Roman"/>
          <w:color w:val="auto"/>
          <w:lang w:bidi="zh-CN"/>
        </w:rPr>
      </w:pPr>
      <w:r>
        <w:rPr>
          <w:rFonts w:hint="eastAsia" w:ascii="Times New Roman"/>
          <w:color w:val="auto"/>
          <w:lang w:bidi="zh-CN"/>
        </w:rPr>
        <w:t>由于焊接输人热量不足</w:t>
      </w:r>
      <w:r>
        <w:rPr>
          <w:rFonts w:ascii="Times New Roman"/>
          <w:color w:val="auto"/>
          <w:lang w:bidi="zh-CN"/>
        </w:rPr>
        <w:t>,</w:t>
      </w:r>
      <w:r>
        <w:rPr>
          <w:rFonts w:hint="eastAsia" w:ascii="Times New Roman"/>
          <w:color w:val="auto"/>
          <w:lang w:bidi="zh-CN"/>
        </w:rPr>
        <w:t>熔接界面上的分子未能扩散缠结或充分地扩散缠结而导致强度不足的缺陷。</w:t>
      </w:r>
    </w:p>
    <w:p w14:paraId="197E4C4A">
      <w:pPr>
        <w:pStyle w:val="60"/>
        <w:numPr>
          <w:ilvl w:val="2"/>
          <w:numId w:val="2"/>
        </w:numPr>
        <w:ind w:firstLineChars="0"/>
        <w:rPr>
          <w:rFonts w:hint="eastAsia" w:ascii="Times New Roman" w:hAnsi="Times New Roman" w:eastAsia="宋体"/>
          <w:color w:val="auto"/>
          <w:lang w:bidi="zh-CN"/>
        </w:rPr>
      </w:pPr>
    </w:p>
    <w:p w14:paraId="1B13A7A2">
      <w:pPr>
        <w:pStyle w:val="166"/>
        <w:numPr>
          <w:ilvl w:val="0"/>
          <w:numId w:val="0"/>
        </w:numPr>
        <w:spacing w:before="156" w:beforeLines="50" w:after="156" w:afterLines="50"/>
        <w:ind w:firstLine="420" w:firstLineChars="200"/>
        <w:rPr>
          <w:rFonts w:hint="eastAsia" w:ascii="Times New Roman" w:hAnsi="Times New Roman" w:eastAsia="宋体"/>
          <w:color w:val="auto"/>
          <w:lang w:bidi="zh-CN"/>
        </w:rPr>
      </w:pPr>
      <w:r>
        <w:rPr>
          <w:rFonts w:hint="eastAsia" w:ascii="Times New Roman" w:hAnsi="Times New Roman" w:eastAsia="宋体"/>
          <w:color w:val="auto"/>
          <w:lang w:bidi="zh-CN"/>
        </w:rPr>
        <w:t>过焊over-heat welding</w:t>
      </w:r>
    </w:p>
    <w:p w14:paraId="4C0DE058">
      <w:pPr>
        <w:pStyle w:val="60"/>
        <w:ind w:firstLine="420"/>
        <w:rPr>
          <w:rFonts w:ascii="Times New Roman"/>
          <w:color w:val="auto"/>
          <w:lang w:bidi="zh-CN"/>
        </w:rPr>
      </w:pPr>
      <w:r>
        <w:rPr>
          <w:rFonts w:hint="eastAsia" w:ascii="Times New Roman"/>
          <w:color w:val="auto"/>
          <w:lang w:bidi="zh-CN"/>
        </w:rPr>
        <w:t>由于焊接输入热量过多导致接头材料降解</w:t>
      </w:r>
      <w:r>
        <w:rPr>
          <w:rFonts w:ascii="Times New Roman"/>
          <w:color w:val="auto"/>
          <w:lang w:bidi="zh-CN"/>
        </w:rPr>
        <w:t>,</w:t>
      </w:r>
      <w:r>
        <w:rPr>
          <w:rFonts w:hint="eastAsia" w:ascii="Times New Roman"/>
          <w:color w:val="auto"/>
          <w:lang w:bidi="zh-CN"/>
        </w:rPr>
        <w:t>使得熔接的黏结性能下降的缺陷过焊时</w:t>
      </w:r>
      <w:r>
        <w:rPr>
          <w:rFonts w:ascii="Times New Roman"/>
          <w:color w:val="auto"/>
          <w:lang w:bidi="zh-CN"/>
        </w:rPr>
        <w:t>,</w:t>
      </w:r>
      <w:r>
        <w:rPr>
          <w:rFonts w:hint="eastAsia" w:ascii="Times New Roman"/>
          <w:color w:val="auto"/>
          <w:lang w:bidi="zh-CN"/>
        </w:rPr>
        <w:t>伴随着孔洞</w:t>
      </w:r>
    </w:p>
    <w:p w14:paraId="161CEEC9">
      <w:pPr>
        <w:pStyle w:val="60"/>
        <w:ind w:firstLine="0" w:firstLineChars="0"/>
        <w:rPr>
          <w:rFonts w:ascii="Times New Roman"/>
          <w:color w:val="auto"/>
          <w:lang w:bidi="zh-CN"/>
        </w:rPr>
      </w:pPr>
      <w:r>
        <w:rPr>
          <w:rFonts w:hint="eastAsia" w:ascii="Times New Roman"/>
          <w:color w:val="auto"/>
          <w:lang w:bidi="zh-CN"/>
        </w:rPr>
        <w:t>和电阻丝错位等缺陷的产生。</w:t>
      </w:r>
    </w:p>
    <w:p w14:paraId="1AC40B73">
      <w:pPr>
        <w:pStyle w:val="60"/>
        <w:ind w:firstLine="420"/>
        <w:rPr>
          <w:rFonts w:ascii="Times New Roman"/>
          <w:color w:val="auto"/>
          <w:lang w:bidi="zh-CN"/>
        </w:rPr>
      </w:pPr>
    </w:p>
    <w:p w14:paraId="4E536146">
      <w:pPr>
        <w:pStyle w:val="60"/>
        <w:ind w:firstLine="0" w:firstLineChars="0"/>
        <w:rPr>
          <w:rFonts w:ascii="Times New Roman"/>
          <w:color w:val="auto"/>
          <w:lang w:bidi="zh-CN"/>
        </w:rPr>
      </w:pPr>
    </w:p>
    <w:p w14:paraId="52808582">
      <w:pPr>
        <w:pStyle w:val="108"/>
        <w:spacing w:before="312" w:after="312"/>
        <w:rPr>
          <w:rFonts w:ascii="Times New Roman" w:eastAsia="宋体"/>
          <w:color w:val="auto"/>
        </w:rPr>
      </w:pPr>
      <w:r>
        <w:rPr>
          <w:rFonts w:hint="eastAsia" w:ascii="Times New Roman" w:eastAsia="宋体"/>
          <w:color w:val="auto"/>
        </w:rPr>
        <w:t>一般要求</w:t>
      </w:r>
    </w:p>
    <w:p w14:paraId="06977713">
      <w:pPr>
        <w:pStyle w:val="166"/>
        <w:keepNext/>
        <w:keepLines/>
        <w:widowControl w:val="0"/>
        <w:spacing w:before="156" w:beforeLines="50" w:after="156" w:afterLines="50"/>
        <w:rPr>
          <w:rFonts w:hint="eastAsia" w:ascii="Times New Roman" w:hAnsi="Times New Roman" w:eastAsia="宋体"/>
          <w:color w:val="auto"/>
        </w:rPr>
      </w:pPr>
      <w:r>
        <w:rPr>
          <w:rFonts w:hint="eastAsia" w:ascii="Times New Roman" w:hAnsi="Times New Roman" w:eastAsia="宋体"/>
          <w:color w:val="auto"/>
        </w:rPr>
        <w:t>检测人员</w:t>
      </w:r>
    </w:p>
    <w:p w14:paraId="4E48C1A7">
      <w:pPr>
        <w:pStyle w:val="10"/>
        <w:spacing w:line="240" w:lineRule="auto"/>
        <w:ind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从事TOFD和相控阵超声检测的人员应按TSG Z8001的要求取得相应的资格等级证书，聚乙烯燃气管道检验人员应按TSG Z8002的要求取得特种设备检验人员证书。</w:t>
      </w:r>
    </w:p>
    <w:p w14:paraId="1EBE4E83">
      <w:pPr>
        <w:pStyle w:val="166"/>
        <w:spacing w:before="156" w:beforeLines="50" w:after="156" w:afterLines="50"/>
        <w:rPr>
          <w:rFonts w:hint="eastAsia" w:ascii="Times New Roman" w:hAnsi="Times New Roman" w:eastAsia="宋体"/>
          <w:color w:val="auto"/>
        </w:rPr>
      </w:pPr>
      <w:r>
        <w:rPr>
          <w:rFonts w:hint="eastAsia" w:ascii="Times New Roman" w:hAnsi="Times New Roman" w:eastAsia="宋体"/>
          <w:color w:val="auto"/>
        </w:rPr>
        <w:t>检测设备和器材</w:t>
      </w:r>
    </w:p>
    <w:p w14:paraId="7623ACBD">
      <w:pPr>
        <w:pStyle w:val="10"/>
        <w:ind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检测设备包括检测仪器以及与仪器相连接的探头、扫查装置和线缆等所有物件构成的整体；器材是指实现检测功能所需且不与仪器相连接的其他器件和材料，包括试块和耦合剂等。上述各项应成套或单独具有产品合格证或制造厂出具的合格文件。</w:t>
      </w:r>
    </w:p>
    <w:p w14:paraId="2EDF91AA">
      <w:pPr>
        <w:pStyle w:val="69"/>
        <w:spacing w:before="156" w:after="156"/>
        <w:rPr>
          <w:rFonts w:ascii="Times New Roman" w:eastAsia="宋体"/>
          <w:color w:val="auto"/>
        </w:rPr>
      </w:pPr>
      <w:r>
        <w:rPr>
          <w:rFonts w:hint="eastAsia" w:ascii="Times New Roman" w:hAnsi="Times New Roman" w:eastAsia="宋体" w:cs="Times New Roman"/>
          <w:color w:val="auto"/>
        </w:rPr>
        <w:t>检测设备</w:t>
      </w:r>
    </w:p>
    <w:p w14:paraId="1935DE77">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TOFD检测设备应符合NB/T 47013.10-2015 承压设备无损检测 第10部分 衍射时差法超声检测要求</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设备性能指标应符合附录A的要求</w:t>
      </w:r>
      <w:r>
        <w:rPr>
          <w:rFonts w:hint="eastAsia" w:ascii="Times New Roman" w:hAnsi="Times New Roman" w:eastAsia="宋体" w:cs="Times New Roman"/>
          <w:color w:val="auto"/>
        </w:rPr>
        <w:t>。</w:t>
      </w:r>
    </w:p>
    <w:p w14:paraId="02C826F2">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相控阵检测设备应符合NB/T 47013.15-2015 承压设备无损检测 第10部分 相控阵超声检测要求</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设备性能指标应符合附录C的要求</w:t>
      </w:r>
      <w:r>
        <w:rPr>
          <w:rFonts w:hint="eastAsia" w:ascii="Times New Roman" w:hAnsi="Times New Roman" w:eastAsia="宋体" w:cs="Times New Roman"/>
          <w:color w:val="auto"/>
        </w:rPr>
        <w:t>。</w:t>
      </w:r>
    </w:p>
    <w:p w14:paraId="585829FC">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试块</w:t>
      </w:r>
    </w:p>
    <w:p w14:paraId="4B5BEB9F">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对比试块</w:t>
      </w:r>
    </w:p>
    <w:p w14:paraId="030E5AB7">
      <w:pPr>
        <w:pStyle w:val="102"/>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对比试块是指用于检测校准的试块。</w:t>
      </w:r>
    </w:p>
    <w:p w14:paraId="6A877BD2">
      <w:pPr>
        <w:pStyle w:val="102"/>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热熔对比试块的声学性能应与被检工件相同或相似，外形尺寸应能代表被检工件的特征，并且满足扫查装置的扫查要求。该材料内不得有大于或等于φ2 mm平底孔当量的缺陷。热熔对比试块分为平面对比试块和曲面对比试块，其规格尺寸和要求分别见GB/T 33588.5-2024的要求。</w:t>
      </w:r>
    </w:p>
    <w:p w14:paraId="54C403EE">
      <w:pPr>
        <w:pStyle w:val="102"/>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电熔对比试块应采用与被检电熔套筒材料声学性能相同或相似的材料制成，试块的表面粗糙度应与检测试样相接近，该材料内不得有大于或等于φ1 mm平底孔当量的缺陷。对比试块有PE-I,其规格尺寸和要求分别见NB/T 47013.15-2015附录A的要求。</w:t>
      </w:r>
    </w:p>
    <w:p w14:paraId="00345EFB">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模拟试块</w:t>
      </w:r>
    </w:p>
    <w:p w14:paraId="5BA02D5B">
      <w:pPr>
        <w:pStyle w:val="102"/>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模拟试块的外形尺寸应能代表被检工件的特征,试块厚度应与被检工件厚度相对应,也可采用完好的焊接接头制作模拟试块,试块中的反射体可以是人工缺陷，缺陷位置应具有代表性。</w:t>
      </w:r>
    </w:p>
    <w:p w14:paraId="524A9257">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扫查面盲区高度测试试块</w:t>
      </w:r>
    </w:p>
    <w:p w14:paraId="7C7F9183">
      <w:pPr>
        <w:pStyle w:val="102"/>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采用TOFD检测，应制备扫查面盲区高度测试试块，用于测定初始扫查面盲区高度，其声学性能应与被检工件相同或相似，规格尺寸和要求分别见GB/T 33588.5-2024的要求。</w:t>
      </w:r>
    </w:p>
    <w:p w14:paraId="37FBF19D">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声速扩散角测定试块</w:t>
      </w:r>
    </w:p>
    <w:p w14:paraId="5A06D96D">
      <w:pPr>
        <w:pStyle w:val="102"/>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采用TOFD检测，应制备声速扩散角测定试块用于测定检测仪器和探头组合的实际-12 dB声速扩散角,其声学性能应与被检工件相同或相似，规格尺寸和要求分别见GB/T 33588.5-2024的要求</w:t>
      </w:r>
      <w:r>
        <w:rPr>
          <w:rFonts w:hint="eastAsia" w:ascii="Times New Roman" w:eastAsia="宋体" w:cs="Times New Roman"/>
          <w:color w:val="auto"/>
          <w:lang w:eastAsia="zh-CN"/>
        </w:rPr>
        <w:t>，</w:t>
      </w:r>
      <w:r>
        <w:rPr>
          <w:rFonts w:hint="eastAsia" w:ascii="Times New Roman" w:eastAsia="宋体" w:cs="Times New Roman"/>
          <w:color w:val="auto"/>
          <w:lang w:val="en-US" w:eastAsia="zh-CN"/>
        </w:rPr>
        <w:t>测试方法应符合附录B的要求</w:t>
      </w:r>
      <w:bookmarkStart w:id="42" w:name="_GoBack"/>
      <w:bookmarkEnd w:id="42"/>
      <w:r>
        <w:rPr>
          <w:rFonts w:hint="eastAsia" w:ascii="Times New Roman" w:hAnsi="Times New Roman" w:eastAsia="宋体" w:cs="Times New Roman"/>
          <w:color w:val="auto"/>
        </w:rPr>
        <w:t>。</w:t>
      </w:r>
    </w:p>
    <w:p w14:paraId="59C69F6B">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耦合剂</w:t>
      </w:r>
    </w:p>
    <w:p w14:paraId="6F7F0AD7">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对表面平整的焊接接头,应采用透声性好,且不损伤检测表面的费合剂,如浆糊、甘油和水等。</w:t>
      </w:r>
    </w:p>
    <w:p w14:paraId="2D79189F">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对表面不平整的焊接接头,应采用其声速与聚乙烯材料相同或接近,声阻抗与聚乙烯材料相差不大的耦合剂。</w:t>
      </w:r>
    </w:p>
    <w:p w14:paraId="44A1651B">
      <w:pPr>
        <w:pStyle w:val="166"/>
        <w:keepNext/>
        <w:keepLines/>
        <w:widowControl w:val="0"/>
        <w:spacing w:before="156" w:beforeLines="50" w:after="156" w:afterLines="50"/>
        <w:rPr>
          <w:rFonts w:hint="eastAsia" w:ascii="Times New Roman" w:hAnsi="Times New Roman" w:eastAsia="宋体"/>
          <w:color w:val="auto"/>
        </w:rPr>
      </w:pPr>
      <w:r>
        <w:rPr>
          <w:rFonts w:hint="eastAsia" w:ascii="Times New Roman" w:hAnsi="Times New Roman" w:eastAsia="宋体"/>
          <w:color w:val="auto"/>
        </w:rPr>
        <w:t>检测环境</w:t>
      </w:r>
    </w:p>
    <w:p w14:paraId="289EC661">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检测场地</w:t>
      </w:r>
    </w:p>
    <w:p w14:paraId="434CEACF">
      <w:pPr>
        <w:pStyle w:val="60"/>
        <w:ind w:firstLine="420"/>
        <w:rPr>
          <w:rFonts w:hint="eastAsia" w:ascii="Times New Roman" w:hAnsi="Times New Roman" w:cs="Times New Roman"/>
          <w:color w:val="auto"/>
        </w:rPr>
      </w:pPr>
      <w:r>
        <w:rPr>
          <w:rFonts w:hint="eastAsia" w:ascii="Times New Roman" w:hAnsi="Times New Roman" w:cs="Times New Roman"/>
          <w:color w:val="auto"/>
        </w:rPr>
        <w:t>检测不宜在强磁、震动,电磁波,灰尘大,有腐蚀性气体及噪声大等对检测结果有干扰的场地进行。</w:t>
      </w:r>
    </w:p>
    <w:p w14:paraId="3E0EFAB5">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检测环境的温度及湿度</w:t>
      </w:r>
    </w:p>
    <w:p w14:paraId="416183FC">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应确保在规定的温度范围内进行检测；采用常规探头和耦合剂时，被检工件的表面温度范围应控制在0℃~50℃；超出该温度范围,可采用特殊探头或耦合剂。</w:t>
      </w:r>
    </w:p>
    <w:p w14:paraId="6C79E604">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若温度过低或过高，一般应采取有效措施避免。若无法避免，应评价其对检测结果的影响。</w:t>
      </w:r>
    </w:p>
    <w:p w14:paraId="3C556B57">
      <w:pPr>
        <w:pStyle w:val="98"/>
        <w:spacing w:before="156" w:after="156"/>
        <w:rPr>
          <w:rFonts w:hint="eastAsia" w:ascii="Times New Roman" w:hAnsi="Times New Roman" w:eastAsia="宋体"/>
          <w:color w:val="auto"/>
        </w:rPr>
      </w:pPr>
      <w:r>
        <w:rPr>
          <w:rFonts w:hint="eastAsia" w:ascii="Times New Roman" w:hAnsi="Times New Roman" w:eastAsia="宋体" w:cs="Times New Roman"/>
          <w:color w:val="auto"/>
        </w:rPr>
        <w:t>检测系统设置和校准时的温度与实际检测温度之差应控制在20℃之内。</w:t>
      </w:r>
    </w:p>
    <w:p w14:paraId="5DF764AC">
      <w:pPr>
        <w:pStyle w:val="108"/>
        <w:spacing w:before="312" w:after="312"/>
        <w:rPr>
          <w:rFonts w:ascii="Times New Roman" w:eastAsia="宋体"/>
          <w:color w:val="auto"/>
        </w:rPr>
      </w:pPr>
      <w:r>
        <w:rPr>
          <w:rFonts w:hint="eastAsia" w:ascii="Times New Roman" w:eastAsia="宋体"/>
          <w:color w:val="auto"/>
        </w:rPr>
        <w:t>热熔接头</w:t>
      </w:r>
      <w:r>
        <w:rPr>
          <w:rFonts w:ascii="Times New Roman" w:eastAsia="宋体"/>
          <w:color w:val="auto"/>
        </w:rPr>
        <w:t>TOFD</w:t>
      </w:r>
      <w:r>
        <w:rPr>
          <w:rFonts w:hint="eastAsia" w:ascii="Times New Roman" w:hAnsi="Times New Roman" w:eastAsia="宋体" w:cs="Times New Roman"/>
          <w:color w:val="auto"/>
        </w:rPr>
        <w:t>检测</w:t>
      </w:r>
    </w:p>
    <w:p w14:paraId="6E49F78B">
      <w:pPr>
        <w:pStyle w:val="166"/>
        <w:keepNext/>
        <w:keepLines/>
        <w:widowControl w:val="0"/>
        <w:spacing w:before="156" w:beforeLines="50" w:after="156" w:afterLines="50"/>
        <w:rPr>
          <w:rFonts w:hint="eastAsia" w:ascii="Times New Roman" w:hAnsi="Times New Roman" w:eastAsia="宋体"/>
          <w:color w:val="auto"/>
        </w:rPr>
      </w:pPr>
      <w:r>
        <w:rPr>
          <w:rFonts w:hint="eastAsia" w:ascii="Times New Roman" w:hAnsi="Times New Roman" w:eastAsia="宋体"/>
          <w:color w:val="auto"/>
        </w:rPr>
        <w:t>TOFD检测程序应包括如下内容：</w:t>
      </w:r>
    </w:p>
    <w:p w14:paraId="4B26C349">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a)  根据工艺规程和检测对象的检测要求编制操作指导书；</w:t>
      </w:r>
    </w:p>
    <w:p w14:paraId="41A4A875">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b)  选择和确定检测工艺参数；</w:t>
      </w:r>
    </w:p>
    <w:p w14:paraId="165E35A7">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c)  被检测工件准备；</w:t>
      </w:r>
    </w:p>
    <w:p w14:paraId="62E370E6">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d)  检测系统性能检查；</w:t>
      </w:r>
    </w:p>
    <w:p w14:paraId="5D52A9CD">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e)  检测；</w:t>
      </w:r>
    </w:p>
    <w:p w14:paraId="2F139013">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f)  检测系统复核；</w:t>
      </w:r>
    </w:p>
    <w:p w14:paraId="787AA777">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g)  数据评定；</w:t>
      </w:r>
    </w:p>
    <w:p w14:paraId="72EB4C49">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h)  检测记录；</w:t>
      </w:r>
    </w:p>
    <w:p w14:paraId="7D6FFA3F">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i） 出具检测报告。</w:t>
      </w:r>
    </w:p>
    <w:p w14:paraId="2FC4A0A8">
      <w:pPr>
        <w:pStyle w:val="166"/>
        <w:keepNext/>
        <w:keepLines/>
        <w:widowControl w:val="0"/>
        <w:spacing w:before="156" w:beforeLines="50" w:after="156" w:afterLines="50"/>
        <w:rPr>
          <w:rFonts w:hint="eastAsia" w:ascii="Times New Roman" w:hAnsi="Times New Roman" w:eastAsia="宋体"/>
          <w:color w:val="auto"/>
        </w:rPr>
      </w:pPr>
      <w:bookmarkStart w:id="37" w:name="_Toc123910200"/>
      <w:bookmarkStart w:id="38" w:name="_Toc6859"/>
      <w:bookmarkStart w:id="39" w:name="_Toc2829"/>
      <w:r>
        <w:rPr>
          <w:rFonts w:hint="eastAsia" w:ascii="Times New Roman" w:hAnsi="Times New Roman" w:eastAsia="宋体"/>
          <w:color w:val="auto"/>
        </w:rPr>
        <w:t xml:space="preserve"> TOFD检测缺陷评定和质量分级</w:t>
      </w:r>
      <w:bookmarkEnd w:id="37"/>
      <w:bookmarkEnd w:id="38"/>
      <w:bookmarkEnd w:id="39"/>
    </w:p>
    <w:p w14:paraId="1042C339">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不允许危害性表面开口缺陷的存在。</w:t>
      </w:r>
    </w:p>
    <w:p w14:paraId="54CD6661">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如缺陷类型为裂缝、未熔合、未焊透等危害性缺陷时，评为III级。</w:t>
      </w:r>
    </w:p>
    <w:p w14:paraId="26FC1581">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相邻两个或多个缺陷显示（非点状)其在X轴方向间距小于其中较小的缺陷长度且在Z轴方向间距小于其中较小的缺陷自身高度时，应作为一条缺陷处理，该缺陷深度、缺陷长度及缺陷自身高度按如下原则确定：</w:t>
      </w:r>
    </w:p>
    <w:p w14:paraId="4A456B01">
      <w:pPr>
        <w:pStyle w:val="241"/>
        <w:numPr>
          <w:ilvl w:val="0"/>
          <w:numId w:val="33"/>
        </w:numPr>
        <w:spacing w:line="240" w:lineRule="auto"/>
        <w:ind w:firstLineChars="0"/>
        <w:rPr>
          <w:rFonts w:ascii="Times New Roman" w:hAnsi="Times New Roman"/>
          <w:color w:val="auto"/>
          <w:lang w:val="zh-TW" w:eastAsia="zh-TW"/>
        </w:rPr>
      </w:pPr>
      <w:r>
        <w:rPr>
          <w:rFonts w:hint="eastAsia" w:ascii="Times New Roman" w:hAnsi="Times New Roman"/>
          <w:color w:val="auto"/>
          <w:lang w:val="zh-TW" w:eastAsia="zh-TW"/>
        </w:rPr>
        <w:t>缺陷深度：以两</w:t>
      </w:r>
      <w:r>
        <w:rPr>
          <w:rFonts w:hint="eastAsia" w:ascii="Times New Roman" w:hAnsi="Times New Roman"/>
          <w:color w:val="auto"/>
        </w:rPr>
        <w:t>缺</w:t>
      </w:r>
      <w:r>
        <w:rPr>
          <w:rFonts w:hint="eastAsia" w:ascii="Times New Roman" w:hAnsi="Times New Roman"/>
          <w:color w:val="auto"/>
          <w:lang w:val="zh-TW" w:eastAsia="zh-TW"/>
        </w:rPr>
        <w:t>陷</w:t>
      </w:r>
      <w:r>
        <w:rPr>
          <w:rFonts w:hint="eastAsia" w:ascii="Times New Roman" w:hAnsi="Times New Roman"/>
          <w:color w:val="auto"/>
        </w:rPr>
        <w:t>深度</w:t>
      </w:r>
      <w:r>
        <w:rPr>
          <w:rFonts w:hint="eastAsia" w:ascii="Times New Roman" w:hAnsi="Times New Roman"/>
          <w:color w:val="auto"/>
          <w:lang w:val="zh-TW" w:eastAsia="zh-TW"/>
        </w:rPr>
        <w:t>较小值作为单个缺陷深度</w:t>
      </w:r>
      <w:r>
        <w:rPr>
          <w:rFonts w:hint="eastAsia" w:ascii="Times New Roman" w:hAnsi="Times New Roman"/>
          <w:color w:val="auto"/>
          <w:lang w:val="zh-TW"/>
        </w:rPr>
        <w:t>；</w:t>
      </w:r>
    </w:p>
    <w:p w14:paraId="27D8DCF0">
      <w:pPr>
        <w:pStyle w:val="241"/>
        <w:numPr>
          <w:ilvl w:val="0"/>
          <w:numId w:val="33"/>
        </w:numPr>
        <w:spacing w:line="240" w:lineRule="auto"/>
        <w:ind w:firstLineChars="0"/>
        <w:rPr>
          <w:rFonts w:ascii="Times New Roman" w:hAnsi="Times New Roman"/>
          <w:color w:val="auto"/>
          <w:lang w:val="zh-TW" w:eastAsia="zh-TW"/>
        </w:rPr>
      </w:pPr>
      <w:r>
        <w:rPr>
          <w:rFonts w:hint="eastAsia" w:ascii="Times New Roman" w:hAnsi="Times New Roman"/>
          <w:color w:val="auto"/>
          <w:lang w:val="zh-TW" w:eastAsia="zh-TW"/>
        </w:rPr>
        <w:t>缺陷长度：两缺陷在</w:t>
      </w:r>
      <w:r>
        <w:rPr>
          <w:rFonts w:ascii="Times New Roman" w:hAnsi="Times New Roman"/>
          <w:color w:val="auto"/>
          <w:lang w:val="zh-TW" w:eastAsia="zh-TW"/>
        </w:rPr>
        <w:t>X</w:t>
      </w:r>
      <w:r>
        <w:rPr>
          <w:rFonts w:hint="eastAsia" w:ascii="Times New Roman" w:hAnsi="Times New Roman"/>
          <w:color w:val="auto"/>
          <w:lang w:val="zh-TW" w:eastAsia="zh-TW"/>
        </w:rPr>
        <w:t>轴</w:t>
      </w:r>
      <w:r>
        <w:rPr>
          <w:rFonts w:hint="eastAsia" w:ascii="Times New Roman" w:hAnsi="Times New Roman"/>
          <w:color w:val="auto"/>
        </w:rPr>
        <w:t>投影</w:t>
      </w:r>
      <w:r>
        <w:rPr>
          <w:rFonts w:hint="eastAsia" w:ascii="Times New Roman" w:hAnsi="Times New Roman"/>
          <w:color w:val="auto"/>
          <w:lang w:val="zh-TW" w:eastAsia="zh-TW"/>
        </w:rPr>
        <w:t>上的前、后端点间距离</w:t>
      </w:r>
      <w:r>
        <w:rPr>
          <w:rFonts w:hint="eastAsia" w:ascii="Times New Roman" w:hAnsi="Times New Roman"/>
          <w:color w:val="auto"/>
          <w:lang w:val="zh-TW"/>
        </w:rPr>
        <w:t>；</w:t>
      </w:r>
    </w:p>
    <w:p w14:paraId="270E6385">
      <w:pPr>
        <w:pStyle w:val="241"/>
        <w:numPr>
          <w:ilvl w:val="0"/>
          <w:numId w:val="33"/>
        </w:numPr>
        <w:spacing w:line="240" w:lineRule="auto"/>
        <w:ind w:firstLineChars="0"/>
        <w:rPr>
          <w:rFonts w:ascii="Times New Roman" w:hAnsi="Times New Roman"/>
          <w:color w:val="auto"/>
          <w:lang w:val="zh-TW" w:eastAsia="zh-TW"/>
        </w:rPr>
      </w:pPr>
      <w:r>
        <w:rPr>
          <w:rFonts w:hint="eastAsia" w:ascii="Times New Roman" w:hAnsi="Times New Roman"/>
          <w:color w:val="auto"/>
          <w:lang w:val="zh-TW" w:eastAsia="zh-TW"/>
        </w:rPr>
        <w:t>缺陷自身高度：若两缺陷在</w:t>
      </w:r>
      <w:r>
        <w:rPr>
          <w:rFonts w:ascii="Times New Roman" w:hAnsi="Times New Roman"/>
          <w:color w:val="auto"/>
          <w:lang w:val="zh-TW" w:eastAsia="zh-TW"/>
        </w:rPr>
        <w:t>X</w:t>
      </w:r>
      <w:r>
        <w:rPr>
          <w:rFonts w:hint="eastAsia" w:ascii="Times New Roman" w:hAnsi="Times New Roman"/>
          <w:color w:val="auto"/>
          <w:lang w:val="zh-TW" w:eastAsia="zh-TW"/>
        </w:rPr>
        <w:t>轴投影无重叠，以其中较大的缺陷自身高度作为单个缺陷自身高度</w:t>
      </w:r>
      <w:r>
        <w:rPr>
          <w:rFonts w:hint="eastAsia" w:ascii="Times New Roman" w:hAnsi="Times New Roman"/>
          <w:color w:val="auto"/>
          <w:lang w:val="zh-TW"/>
        </w:rPr>
        <w:t>；</w:t>
      </w:r>
      <w:r>
        <w:rPr>
          <w:rFonts w:hint="eastAsia" w:ascii="Times New Roman" w:hAnsi="Times New Roman"/>
          <w:color w:val="auto"/>
          <w:lang w:val="zh-TW" w:eastAsia="zh-TW"/>
        </w:rPr>
        <w:t>若两缺陷在</w:t>
      </w:r>
      <w:r>
        <w:rPr>
          <w:rFonts w:ascii="Times New Roman" w:hAnsi="Times New Roman"/>
          <w:color w:val="auto"/>
          <w:lang w:val="zh-TW" w:eastAsia="zh-TW"/>
        </w:rPr>
        <w:t>X</w:t>
      </w:r>
      <w:r>
        <w:rPr>
          <w:rFonts w:hint="eastAsia" w:ascii="Times New Roman" w:hAnsi="Times New Roman"/>
          <w:color w:val="auto"/>
          <w:lang w:val="zh-TW" w:eastAsia="zh-TW"/>
        </w:rPr>
        <w:t>轴投影有重叠，则以两缺陷自身高度之和作为单个缺陷自身高度（间距计入</w:t>
      </w:r>
      <w:r>
        <w:rPr>
          <w:rFonts w:ascii="Times New Roman" w:hAnsi="Times New Roman"/>
          <w:color w:val="auto"/>
          <w:lang w:val="zh-TW" w:eastAsia="zh-TW"/>
        </w:rPr>
        <w:t>)</w:t>
      </w:r>
      <w:r>
        <w:rPr>
          <w:rFonts w:hint="eastAsia" w:ascii="Times New Roman" w:hAnsi="Times New Roman"/>
          <w:color w:val="auto"/>
          <w:lang w:val="zh-TW" w:eastAsia="zh-TW"/>
        </w:rPr>
        <w:t>。</w:t>
      </w:r>
    </w:p>
    <w:p w14:paraId="793DA467">
      <w:pPr>
        <w:pStyle w:val="69"/>
        <w:spacing w:before="156" w:after="156"/>
        <w:rPr>
          <w:rFonts w:hint="eastAsia" w:ascii="Times New Roman" w:hAnsi="Times New Roman" w:eastAsia="宋体" w:cs="Times New Roman"/>
          <w:color w:val="auto"/>
          <w:lang w:val="zh-TW" w:eastAsia="zh-TW"/>
        </w:rPr>
      </w:pPr>
      <w:r>
        <w:rPr>
          <w:rFonts w:hint="eastAsia" w:ascii="Times New Roman" w:hAnsi="Times New Roman" w:eastAsia="宋体" w:cs="Times New Roman"/>
          <w:color w:val="auto"/>
          <w:lang w:val="zh-TW" w:eastAsia="zh-TW"/>
        </w:rPr>
        <w:t>点状显示的质量分级要求</w:t>
      </w:r>
    </w:p>
    <w:p w14:paraId="2EA965C5">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点状显示用评定区进行质量分级评定，评定区为一个与焊缝平行的矩形截面，其沿X轴方向的长度为100mm，沿Z轴方向的高度为工件厚度。</w:t>
      </w:r>
    </w:p>
    <w:p w14:paraId="38B9324C">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在评定区内或与评定区边界线相切的缺陷均应划入评定区内，按表1的规定评定焊接接头的质量级别。</w:t>
      </w:r>
    </w:p>
    <w:p w14:paraId="21E77866">
      <w:pPr>
        <w:pStyle w:val="15"/>
        <w:spacing w:after="80" w:line="240" w:lineRule="auto"/>
        <w:ind w:left="198" w:firstLine="400"/>
        <w:jc w:val="center"/>
        <w:rPr>
          <w:rFonts w:hint="eastAsia" w:ascii="Times New Roman" w:hAnsi="Times New Roman" w:eastAsia="宋体"/>
          <w:color w:val="auto"/>
        </w:rPr>
      </w:pPr>
      <w:r>
        <w:rPr>
          <w:rFonts w:hint="eastAsia" w:ascii="Times New Roman" w:hAnsi="Times New Roman" w:eastAsia="宋体"/>
          <w:color w:val="auto"/>
          <w:lang w:val="zh-TW" w:eastAsia="zh-TW"/>
        </w:rPr>
        <w:t>表</w:t>
      </w:r>
      <w:r>
        <w:rPr>
          <w:rStyle w:val="243"/>
          <w:rFonts w:hint="default" w:ascii="Times New Roman" w:hAnsi="Times New Roman" w:eastAsia="宋体" w:cs="Times New Roman"/>
          <w:color w:val="auto"/>
          <w:lang w:eastAsia="zh-CN"/>
        </w:rPr>
        <w:t>1</w:t>
      </w:r>
      <w:r>
        <w:rPr>
          <w:rFonts w:hint="eastAsia" w:ascii="Times New Roman" w:hAnsi="Times New Roman" w:eastAsia="宋体"/>
          <w:color w:val="auto"/>
          <w:lang w:val="zh-TW" w:eastAsia="zh-TW"/>
        </w:rPr>
        <w:t>各级别允许的点状显示的个数</w:t>
      </w:r>
    </w:p>
    <w:tbl>
      <w:tblPr>
        <w:tblStyle w:val="29"/>
        <w:tblW w:w="8250" w:type="dxa"/>
        <w:jc w:val="center"/>
        <w:tblLayout w:type="fixed"/>
        <w:tblCellMar>
          <w:top w:w="0" w:type="dxa"/>
          <w:left w:w="0" w:type="dxa"/>
          <w:bottom w:w="0" w:type="dxa"/>
          <w:right w:w="0" w:type="dxa"/>
        </w:tblCellMar>
      </w:tblPr>
      <w:tblGrid>
        <w:gridCol w:w="2190"/>
        <w:gridCol w:w="2990"/>
        <w:gridCol w:w="3070"/>
      </w:tblGrid>
      <w:tr w14:paraId="0ED2ABD6">
        <w:trPr>
          <w:trHeight w:val="425" w:hRule="atLeast"/>
          <w:jc w:val="center"/>
        </w:trPr>
        <w:tc>
          <w:tcPr>
            <w:tcW w:w="2190" w:type="dxa"/>
            <w:tcBorders>
              <w:top w:val="single" w:color="auto" w:sz="4" w:space="0"/>
              <w:left w:val="single" w:color="auto" w:sz="4" w:space="0"/>
              <w:bottom w:val="nil"/>
              <w:right w:val="nil"/>
              <w:tl2br w:val="nil"/>
              <w:tr2bl w:val="nil"/>
            </w:tcBorders>
            <w:shd w:val="clear" w:color="auto" w:fill="FFFFFF"/>
            <w:vAlign w:val="center"/>
          </w:tcPr>
          <w:p w14:paraId="4E78597E">
            <w:pPr>
              <w:pStyle w:val="15"/>
              <w:framePr w:w="8323" w:wrap="notBeside" w:vAnchor="text" w:hAnchor="text" w:xAlign="center" w:y="1"/>
              <w:spacing w:after="0" w:line="240" w:lineRule="auto"/>
              <w:jc w:val="center"/>
              <w:rPr>
                <w:rFonts w:hint="eastAsia" w:ascii="Times New Roman" w:hAnsi="Times New Roman" w:cs="Times New Roman"/>
                <w:bCs/>
                <w:color w:val="auto"/>
                <w:sz w:val="18"/>
                <w:szCs w:val="18"/>
                <w:lang w:val="zh-TW" w:eastAsia="zh-TW"/>
              </w:rPr>
            </w:pPr>
            <w:r>
              <w:rPr>
                <w:rFonts w:hint="eastAsia" w:ascii="Times New Roman" w:hAnsi="Times New Roman" w:cs="Times New Roman"/>
                <w:bCs/>
                <w:color w:val="auto"/>
                <w:sz w:val="18"/>
                <w:szCs w:val="18"/>
                <w:lang w:val="zh-TW" w:eastAsia="zh-TW"/>
              </w:rPr>
              <w:t>等 级</w:t>
            </w:r>
          </w:p>
        </w:tc>
        <w:tc>
          <w:tcPr>
            <w:tcW w:w="2990" w:type="dxa"/>
            <w:tcBorders>
              <w:top w:val="single" w:color="auto" w:sz="4" w:space="0"/>
              <w:left w:val="single" w:color="auto" w:sz="4" w:space="0"/>
              <w:bottom w:val="nil"/>
              <w:right w:val="nil"/>
              <w:tl2br w:val="nil"/>
              <w:tr2bl w:val="nil"/>
            </w:tcBorders>
            <w:shd w:val="clear" w:color="auto" w:fill="FFFFFF"/>
            <w:vAlign w:val="center"/>
          </w:tcPr>
          <w:p w14:paraId="15CEC912">
            <w:pPr>
              <w:pStyle w:val="15"/>
              <w:framePr w:w="8323" w:wrap="notBeside" w:vAnchor="text" w:hAnchor="text" w:xAlign="center" w:y="1"/>
              <w:spacing w:after="0" w:line="240" w:lineRule="auto"/>
              <w:jc w:val="center"/>
              <w:rPr>
                <w:rFonts w:hint="eastAsia" w:ascii="Times New Roman" w:hAnsi="Times New Roman" w:cs="Times New Roman"/>
                <w:bCs/>
                <w:color w:val="auto"/>
                <w:sz w:val="18"/>
                <w:szCs w:val="18"/>
                <w:lang w:val="zh-TW" w:eastAsia="zh-TW"/>
              </w:rPr>
            </w:pPr>
            <w:r>
              <w:rPr>
                <w:rFonts w:hint="eastAsia" w:ascii="Times New Roman" w:hAnsi="Times New Roman" w:cs="Times New Roman"/>
                <w:bCs/>
                <w:color w:val="auto"/>
                <w:sz w:val="18"/>
                <w:szCs w:val="18"/>
                <w:lang w:val="zh-TW" w:eastAsia="zh-TW"/>
              </w:rPr>
              <w:t>工件厚度t</w:t>
            </w:r>
            <w:r>
              <w:rPr>
                <w:rFonts w:hint="eastAsia" w:ascii="Times New Roman" w:hAnsi="Times New Roman" w:cs="Times New Roman"/>
                <w:bCs/>
                <w:color w:val="auto"/>
                <w:sz w:val="18"/>
                <w:szCs w:val="18"/>
              </w:rPr>
              <w:t>/</w:t>
            </w:r>
            <w:r>
              <w:rPr>
                <w:rFonts w:hint="eastAsia" w:ascii="Times New Roman" w:hAnsi="Times New Roman" w:cs="Times New Roman"/>
                <w:bCs/>
                <w:color w:val="auto"/>
                <w:sz w:val="18"/>
                <w:szCs w:val="18"/>
                <w:lang w:val="zh-TW" w:eastAsia="zh-TW"/>
              </w:rPr>
              <w:t>mm</w:t>
            </w:r>
          </w:p>
        </w:tc>
        <w:tc>
          <w:tcPr>
            <w:tcW w:w="3070" w:type="dxa"/>
            <w:tcBorders>
              <w:top w:val="single" w:color="auto" w:sz="4" w:space="0"/>
              <w:left w:val="single" w:color="auto" w:sz="4" w:space="0"/>
              <w:bottom w:val="nil"/>
              <w:right w:val="single" w:color="auto" w:sz="4" w:space="0"/>
              <w:tl2br w:val="nil"/>
              <w:tr2bl w:val="nil"/>
            </w:tcBorders>
            <w:shd w:val="clear" w:color="auto" w:fill="FFFFFF"/>
            <w:vAlign w:val="center"/>
          </w:tcPr>
          <w:p w14:paraId="3C233862">
            <w:pPr>
              <w:pStyle w:val="15"/>
              <w:framePr w:w="8323" w:wrap="notBeside" w:vAnchor="text" w:hAnchor="text" w:xAlign="center" w:y="1"/>
              <w:spacing w:after="0" w:line="240" w:lineRule="auto"/>
              <w:jc w:val="center"/>
              <w:rPr>
                <w:rFonts w:hint="eastAsia" w:ascii="Times New Roman" w:hAnsi="Times New Roman" w:cs="Times New Roman"/>
                <w:bCs/>
                <w:color w:val="auto"/>
                <w:sz w:val="18"/>
                <w:szCs w:val="18"/>
                <w:lang w:val="zh-TW" w:eastAsia="zh-TW"/>
              </w:rPr>
            </w:pPr>
            <w:r>
              <w:rPr>
                <w:rFonts w:hint="eastAsia" w:ascii="Times New Roman" w:hAnsi="Times New Roman" w:cs="Times New Roman"/>
                <w:bCs/>
                <w:color w:val="auto"/>
                <w:sz w:val="18"/>
                <w:szCs w:val="18"/>
                <w:lang w:val="zh-TW" w:eastAsia="zh-TW"/>
              </w:rPr>
              <w:t>个 数</w:t>
            </w:r>
          </w:p>
        </w:tc>
      </w:tr>
      <w:tr w14:paraId="7D6C223B">
        <w:tblPrEx>
          <w:tblCellMar>
            <w:top w:w="0" w:type="dxa"/>
            <w:left w:w="0" w:type="dxa"/>
            <w:bottom w:w="0" w:type="dxa"/>
            <w:right w:w="0" w:type="dxa"/>
          </w:tblCellMar>
        </w:tblPrEx>
        <w:trPr>
          <w:trHeight w:val="425" w:hRule="atLeast"/>
          <w:jc w:val="center"/>
        </w:trPr>
        <w:tc>
          <w:tcPr>
            <w:tcW w:w="2190" w:type="dxa"/>
            <w:tcBorders>
              <w:top w:val="single" w:color="auto" w:sz="4" w:space="0"/>
              <w:left w:val="single" w:color="auto" w:sz="4" w:space="0"/>
              <w:bottom w:val="nil"/>
              <w:right w:val="nil"/>
              <w:tl2br w:val="nil"/>
              <w:tr2bl w:val="nil"/>
            </w:tcBorders>
            <w:shd w:val="clear" w:color="auto" w:fill="FFFFFF"/>
            <w:vAlign w:val="center"/>
          </w:tcPr>
          <w:p w14:paraId="1B358FB7">
            <w:pPr>
              <w:pStyle w:val="15"/>
              <w:framePr w:w="8323" w:wrap="notBeside" w:vAnchor="text" w:hAnchor="text" w:xAlign="center" w:y="1"/>
              <w:spacing w:after="0" w:line="240" w:lineRule="auto"/>
              <w:jc w:val="center"/>
              <w:rPr>
                <w:rFonts w:hint="eastAsia" w:ascii="Times New Roman" w:hAnsi="Times New Roman" w:cs="Times New Roman"/>
                <w:bCs/>
                <w:color w:val="auto"/>
                <w:sz w:val="18"/>
                <w:szCs w:val="18"/>
                <w:lang w:val="zh-TW" w:eastAsia="zh-TW"/>
              </w:rPr>
            </w:pPr>
            <w:r>
              <w:rPr>
                <w:rFonts w:hint="eastAsia" w:ascii="Times New Roman" w:hAnsi="Times New Roman" w:cs="Times New Roman"/>
                <w:bCs/>
                <w:color w:val="auto"/>
                <w:sz w:val="18"/>
                <w:szCs w:val="18"/>
                <w:lang w:val="zh-TW" w:eastAsia="zh-TW"/>
              </w:rPr>
              <w:t>I</w:t>
            </w:r>
          </w:p>
        </w:tc>
        <w:tc>
          <w:tcPr>
            <w:tcW w:w="2990" w:type="dxa"/>
            <w:tcBorders>
              <w:top w:val="single" w:color="auto" w:sz="4" w:space="0"/>
              <w:left w:val="single" w:color="auto" w:sz="4" w:space="0"/>
              <w:bottom w:val="nil"/>
              <w:right w:val="nil"/>
              <w:tl2br w:val="nil"/>
              <w:tr2bl w:val="nil"/>
            </w:tcBorders>
            <w:shd w:val="clear" w:color="auto" w:fill="FFFFFF"/>
            <w:vAlign w:val="center"/>
          </w:tcPr>
          <w:p w14:paraId="2295E8BC">
            <w:pPr>
              <w:pStyle w:val="15"/>
              <w:framePr w:w="8323" w:wrap="notBeside" w:vAnchor="text" w:hAnchor="text" w:xAlign="center" w:y="1"/>
              <w:spacing w:after="0" w:line="240" w:lineRule="auto"/>
              <w:jc w:val="center"/>
              <w:rPr>
                <w:rFonts w:hint="eastAsia" w:ascii="Times New Roman" w:hAnsi="Times New Roman" w:cs="Times New Roman"/>
                <w:bCs/>
                <w:color w:val="auto"/>
                <w:sz w:val="18"/>
                <w:szCs w:val="18"/>
                <w:lang w:val="zh-TW" w:eastAsia="zh-TW"/>
              </w:rPr>
            </w:pPr>
            <w:r>
              <w:rPr>
                <w:rFonts w:hint="eastAsia" w:ascii="Times New Roman" w:hAnsi="Times New Roman" w:cs="Times New Roman"/>
                <w:bCs/>
                <w:color w:val="auto"/>
                <w:sz w:val="18"/>
                <w:szCs w:val="18"/>
                <w:lang w:val="zh-TW" w:eastAsia="zh-TW"/>
              </w:rPr>
              <w:t>1</w:t>
            </w:r>
            <w:r>
              <w:rPr>
                <w:rFonts w:hint="eastAsia" w:ascii="Times New Roman" w:hAnsi="Times New Roman" w:cs="Times New Roman"/>
                <w:bCs/>
                <w:color w:val="auto"/>
                <w:sz w:val="18"/>
                <w:szCs w:val="18"/>
              </w:rPr>
              <w:t>0</w:t>
            </w:r>
            <w:r>
              <w:rPr>
                <w:rFonts w:hint="eastAsia" w:ascii="Times New Roman" w:hAnsi="Times New Roman" w:cs="Times New Roman"/>
                <w:bCs/>
                <w:color w:val="auto"/>
                <w:sz w:val="18"/>
                <w:szCs w:val="18"/>
                <w:lang w:val="zh-TW" w:eastAsia="zh-TW"/>
              </w:rPr>
              <w:t xml:space="preserve"> ~ </w:t>
            </w:r>
            <w:r>
              <w:rPr>
                <w:rFonts w:hint="eastAsia" w:ascii="Times New Roman" w:hAnsi="Times New Roman" w:cs="Times New Roman"/>
                <w:bCs/>
                <w:color w:val="auto"/>
                <w:sz w:val="18"/>
                <w:szCs w:val="18"/>
              </w:rPr>
              <w:t>7</w:t>
            </w:r>
            <w:r>
              <w:rPr>
                <w:rFonts w:hint="eastAsia" w:ascii="Times New Roman" w:hAnsi="Times New Roman" w:cs="Times New Roman"/>
                <w:bCs/>
                <w:color w:val="auto"/>
                <w:sz w:val="18"/>
                <w:szCs w:val="18"/>
                <w:lang w:val="zh-TW" w:eastAsia="zh-TW"/>
              </w:rPr>
              <w:t>0</w:t>
            </w:r>
          </w:p>
        </w:tc>
        <w:tc>
          <w:tcPr>
            <w:tcW w:w="3070" w:type="dxa"/>
            <w:tcBorders>
              <w:top w:val="single" w:color="auto" w:sz="4" w:space="0"/>
              <w:left w:val="single" w:color="auto" w:sz="4" w:space="0"/>
              <w:bottom w:val="nil"/>
              <w:right w:val="single" w:color="auto" w:sz="4" w:space="0"/>
              <w:tl2br w:val="nil"/>
              <w:tr2bl w:val="nil"/>
            </w:tcBorders>
            <w:shd w:val="clear" w:color="auto" w:fill="FFFFFF"/>
            <w:vAlign w:val="center"/>
          </w:tcPr>
          <w:p w14:paraId="23C9E99B">
            <w:pPr>
              <w:pStyle w:val="15"/>
              <w:framePr w:w="8323" w:wrap="notBeside" w:vAnchor="text" w:hAnchor="text" w:xAlign="center" w:y="1"/>
              <w:spacing w:after="0" w:line="240" w:lineRule="auto"/>
              <w:jc w:val="center"/>
              <w:rPr>
                <w:rFonts w:hint="eastAsia" w:ascii="Times New Roman" w:hAnsi="Times New Roman" w:cs="Times New Roman"/>
                <w:bCs/>
                <w:color w:val="auto"/>
                <w:sz w:val="18"/>
                <w:szCs w:val="18"/>
                <w:lang w:val="zh-TW" w:eastAsia="zh-TW"/>
              </w:rPr>
            </w:pPr>
            <w:r>
              <w:rPr>
                <w:rFonts w:hint="eastAsia" w:ascii="Times New Roman" w:hAnsi="Times New Roman" w:cs="Times New Roman"/>
                <w:bCs/>
                <w:color w:val="auto"/>
                <w:sz w:val="18"/>
                <w:szCs w:val="18"/>
                <w:lang w:val="zh-TW" w:eastAsia="zh-TW"/>
              </w:rPr>
              <w:t>t</w:t>
            </w:r>
            <w:r>
              <w:rPr>
                <w:rFonts w:hint="eastAsia" w:ascii="Times New Roman" w:hAnsi="Times New Roman" w:cs="Times New Roman"/>
                <w:bCs/>
                <w:color w:val="auto"/>
                <w:sz w:val="18"/>
                <w:szCs w:val="18"/>
              </w:rPr>
              <w:t>×</w:t>
            </w:r>
            <w:r>
              <w:rPr>
                <w:rFonts w:hint="eastAsia" w:ascii="Times New Roman" w:hAnsi="Times New Roman" w:cs="Times New Roman"/>
                <w:bCs/>
                <w:color w:val="auto"/>
                <w:sz w:val="18"/>
                <w:szCs w:val="18"/>
                <w:lang w:val="zh-TW" w:eastAsia="en-US"/>
              </w:rPr>
              <w:t>0</w:t>
            </w:r>
            <w:r>
              <w:rPr>
                <w:rFonts w:hint="eastAsia" w:ascii="Times New Roman" w:hAnsi="Times New Roman" w:cs="Times New Roman"/>
                <w:bCs/>
                <w:color w:val="auto"/>
                <w:sz w:val="18"/>
                <w:szCs w:val="18"/>
              </w:rPr>
              <w:t>.2</w:t>
            </w:r>
            <w:r>
              <w:rPr>
                <w:rFonts w:hint="eastAsia" w:ascii="Times New Roman" w:hAnsi="Times New Roman" w:cs="Times New Roman"/>
                <w:bCs/>
                <w:color w:val="auto"/>
                <w:sz w:val="18"/>
                <w:szCs w:val="18"/>
                <w:lang w:val="zh-TW"/>
              </w:rPr>
              <w:t>，</w:t>
            </w:r>
            <w:r>
              <w:rPr>
                <w:rFonts w:hint="eastAsia" w:ascii="Times New Roman" w:hAnsi="Times New Roman" w:cs="Times New Roman"/>
                <w:bCs/>
                <w:color w:val="auto"/>
                <w:sz w:val="18"/>
                <w:szCs w:val="18"/>
                <w:lang w:val="zh-TW" w:eastAsia="zh-TW"/>
              </w:rPr>
              <w:t>最大为</w:t>
            </w:r>
            <w:r>
              <w:rPr>
                <w:rFonts w:hint="eastAsia" w:ascii="Times New Roman" w:hAnsi="Times New Roman" w:cs="Times New Roman"/>
                <w:bCs/>
                <w:color w:val="auto"/>
                <w:sz w:val="18"/>
                <w:szCs w:val="18"/>
              </w:rPr>
              <w:t>3</w:t>
            </w:r>
          </w:p>
        </w:tc>
      </w:tr>
      <w:tr w14:paraId="549EE105">
        <w:tblPrEx>
          <w:tblCellMar>
            <w:top w:w="0" w:type="dxa"/>
            <w:left w:w="0" w:type="dxa"/>
            <w:bottom w:w="0" w:type="dxa"/>
            <w:right w:w="0" w:type="dxa"/>
          </w:tblCellMar>
        </w:tblPrEx>
        <w:trPr>
          <w:trHeight w:val="425" w:hRule="atLeast"/>
          <w:jc w:val="center"/>
        </w:trPr>
        <w:tc>
          <w:tcPr>
            <w:tcW w:w="2190" w:type="dxa"/>
            <w:tcBorders>
              <w:top w:val="single" w:color="auto" w:sz="4" w:space="0"/>
              <w:left w:val="single" w:color="auto" w:sz="4" w:space="0"/>
              <w:bottom w:val="nil"/>
              <w:right w:val="nil"/>
              <w:tl2br w:val="nil"/>
              <w:tr2bl w:val="nil"/>
            </w:tcBorders>
            <w:shd w:val="clear" w:color="auto" w:fill="FFFFFF"/>
            <w:vAlign w:val="center"/>
          </w:tcPr>
          <w:p w14:paraId="22BA84D2">
            <w:pPr>
              <w:pStyle w:val="15"/>
              <w:framePr w:w="8323" w:wrap="notBeside" w:vAnchor="text" w:hAnchor="text" w:xAlign="center" w:y="1"/>
              <w:spacing w:after="0" w:line="240" w:lineRule="auto"/>
              <w:jc w:val="center"/>
              <w:rPr>
                <w:rFonts w:hint="eastAsia" w:ascii="Times New Roman" w:hAnsi="Times New Roman" w:cs="Times New Roman"/>
                <w:bCs/>
                <w:color w:val="auto"/>
                <w:sz w:val="18"/>
                <w:szCs w:val="18"/>
                <w:lang w:val="zh-TW" w:eastAsia="zh-TW"/>
              </w:rPr>
            </w:pPr>
            <w:r>
              <w:rPr>
                <w:rFonts w:hint="eastAsia" w:ascii="Times New Roman" w:hAnsi="Times New Roman" w:cs="Times New Roman"/>
                <w:bCs/>
                <w:color w:val="auto"/>
                <w:sz w:val="18"/>
                <w:szCs w:val="18"/>
                <w:lang w:val="zh-TW" w:eastAsia="zh-TW"/>
              </w:rPr>
              <w:t>II</w:t>
            </w:r>
          </w:p>
        </w:tc>
        <w:tc>
          <w:tcPr>
            <w:tcW w:w="2990" w:type="dxa"/>
            <w:tcBorders>
              <w:top w:val="single" w:color="auto" w:sz="4" w:space="0"/>
              <w:left w:val="single" w:color="auto" w:sz="4" w:space="0"/>
              <w:bottom w:val="nil"/>
              <w:right w:val="nil"/>
              <w:tl2br w:val="nil"/>
              <w:tr2bl w:val="nil"/>
            </w:tcBorders>
            <w:shd w:val="clear" w:color="auto" w:fill="FFFFFF"/>
            <w:vAlign w:val="center"/>
          </w:tcPr>
          <w:p w14:paraId="79BA1A90">
            <w:pPr>
              <w:pStyle w:val="15"/>
              <w:framePr w:w="8323" w:wrap="notBeside" w:vAnchor="text" w:hAnchor="text" w:xAlign="center" w:y="1"/>
              <w:spacing w:after="0" w:line="240" w:lineRule="auto"/>
              <w:jc w:val="center"/>
              <w:rPr>
                <w:rFonts w:hint="eastAsia" w:ascii="Times New Roman" w:hAnsi="Times New Roman" w:cs="Times New Roman"/>
                <w:bCs/>
                <w:color w:val="auto"/>
                <w:sz w:val="18"/>
                <w:szCs w:val="18"/>
                <w:lang w:val="zh-TW" w:eastAsia="zh-TW"/>
              </w:rPr>
            </w:pPr>
            <w:r>
              <w:rPr>
                <w:rFonts w:hint="eastAsia" w:ascii="Times New Roman" w:hAnsi="Times New Roman" w:cs="Times New Roman"/>
                <w:bCs/>
                <w:color w:val="auto"/>
                <w:sz w:val="18"/>
                <w:szCs w:val="18"/>
                <w:lang w:val="zh-TW" w:eastAsia="zh-TW"/>
              </w:rPr>
              <w:t>1</w:t>
            </w:r>
            <w:r>
              <w:rPr>
                <w:rFonts w:hint="eastAsia" w:ascii="Times New Roman" w:hAnsi="Times New Roman" w:cs="Times New Roman"/>
                <w:bCs/>
                <w:color w:val="auto"/>
                <w:sz w:val="18"/>
                <w:szCs w:val="18"/>
              </w:rPr>
              <w:t>0</w:t>
            </w:r>
            <w:r>
              <w:rPr>
                <w:rFonts w:hint="eastAsia" w:ascii="Times New Roman" w:hAnsi="Times New Roman" w:cs="Times New Roman"/>
                <w:bCs/>
                <w:color w:val="auto"/>
                <w:sz w:val="18"/>
                <w:szCs w:val="18"/>
                <w:lang w:val="zh-TW" w:eastAsia="zh-TW"/>
              </w:rPr>
              <w:t xml:space="preserve"> ~ </w:t>
            </w:r>
            <w:r>
              <w:rPr>
                <w:rFonts w:hint="eastAsia" w:ascii="Times New Roman" w:hAnsi="Times New Roman" w:cs="Times New Roman"/>
                <w:bCs/>
                <w:color w:val="auto"/>
                <w:sz w:val="18"/>
                <w:szCs w:val="18"/>
              </w:rPr>
              <w:t>7</w:t>
            </w:r>
            <w:r>
              <w:rPr>
                <w:rFonts w:hint="eastAsia" w:ascii="Times New Roman" w:hAnsi="Times New Roman" w:cs="Times New Roman"/>
                <w:bCs/>
                <w:color w:val="auto"/>
                <w:sz w:val="18"/>
                <w:szCs w:val="18"/>
                <w:lang w:val="zh-TW" w:eastAsia="zh-TW"/>
              </w:rPr>
              <w:t>0</w:t>
            </w:r>
          </w:p>
        </w:tc>
        <w:tc>
          <w:tcPr>
            <w:tcW w:w="3070" w:type="dxa"/>
            <w:tcBorders>
              <w:top w:val="single" w:color="auto" w:sz="4" w:space="0"/>
              <w:left w:val="single" w:color="auto" w:sz="4" w:space="0"/>
              <w:bottom w:val="nil"/>
              <w:right w:val="single" w:color="auto" w:sz="4" w:space="0"/>
              <w:tl2br w:val="nil"/>
              <w:tr2bl w:val="nil"/>
            </w:tcBorders>
            <w:shd w:val="clear" w:color="auto" w:fill="FFFFFF"/>
            <w:vAlign w:val="center"/>
          </w:tcPr>
          <w:p w14:paraId="59643492">
            <w:pPr>
              <w:pStyle w:val="15"/>
              <w:framePr w:w="8323" w:wrap="notBeside" w:vAnchor="text" w:hAnchor="text" w:xAlign="center" w:y="1"/>
              <w:spacing w:after="0" w:line="240" w:lineRule="auto"/>
              <w:jc w:val="center"/>
              <w:rPr>
                <w:rFonts w:hint="eastAsia" w:ascii="Times New Roman" w:hAnsi="Times New Roman" w:cs="Times New Roman"/>
                <w:bCs/>
                <w:color w:val="auto"/>
                <w:sz w:val="18"/>
                <w:szCs w:val="18"/>
              </w:rPr>
            </w:pPr>
            <w:r>
              <w:rPr>
                <w:rFonts w:hint="eastAsia" w:ascii="Times New Roman" w:hAnsi="Times New Roman" w:cs="Times New Roman"/>
                <w:bCs/>
                <w:color w:val="auto"/>
                <w:sz w:val="18"/>
                <w:szCs w:val="18"/>
                <w:lang w:val="zh-TW" w:eastAsia="zh-TW"/>
              </w:rPr>
              <w:t>t</w:t>
            </w:r>
            <w:r>
              <w:rPr>
                <w:rFonts w:hint="eastAsia" w:ascii="Times New Roman" w:hAnsi="Times New Roman" w:cs="Times New Roman"/>
                <w:bCs/>
                <w:color w:val="auto"/>
                <w:sz w:val="18"/>
                <w:szCs w:val="18"/>
              </w:rPr>
              <w:t>×</w:t>
            </w:r>
            <w:r>
              <w:rPr>
                <w:rFonts w:hint="eastAsia" w:ascii="Times New Roman" w:hAnsi="Times New Roman" w:cs="Times New Roman"/>
                <w:bCs/>
                <w:color w:val="auto"/>
                <w:sz w:val="18"/>
                <w:szCs w:val="18"/>
                <w:lang w:val="zh-TW" w:eastAsia="en-US"/>
              </w:rPr>
              <w:t>0</w:t>
            </w:r>
            <w:r>
              <w:rPr>
                <w:rFonts w:hint="eastAsia" w:ascii="Times New Roman" w:hAnsi="Times New Roman" w:cs="Times New Roman"/>
                <w:bCs/>
                <w:color w:val="auto"/>
                <w:sz w:val="18"/>
                <w:szCs w:val="18"/>
              </w:rPr>
              <w:t>.4</w:t>
            </w:r>
            <w:r>
              <w:rPr>
                <w:rFonts w:hint="eastAsia" w:ascii="Times New Roman" w:hAnsi="Times New Roman" w:cs="Times New Roman"/>
                <w:bCs/>
                <w:color w:val="auto"/>
                <w:sz w:val="18"/>
                <w:szCs w:val="18"/>
                <w:lang w:val="zh-TW"/>
              </w:rPr>
              <w:t>，</w:t>
            </w:r>
            <w:r>
              <w:rPr>
                <w:rFonts w:hint="eastAsia" w:ascii="Times New Roman" w:hAnsi="Times New Roman" w:cs="Times New Roman"/>
                <w:bCs/>
                <w:color w:val="auto"/>
                <w:sz w:val="18"/>
                <w:szCs w:val="18"/>
                <w:lang w:val="zh-TW" w:eastAsia="zh-TW"/>
              </w:rPr>
              <w:t>最大为</w:t>
            </w:r>
            <w:r>
              <w:rPr>
                <w:rFonts w:hint="eastAsia" w:ascii="Times New Roman" w:hAnsi="Times New Roman" w:cs="Times New Roman"/>
                <w:bCs/>
                <w:color w:val="auto"/>
                <w:sz w:val="18"/>
                <w:szCs w:val="18"/>
              </w:rPr>
              <w:t>6</w:t>
            </w:r>
          </w:p>
        </w:tc>
      </w:tr>
      <w:tr w14:paraId="513A164D">
        <w:tblPrEx>
          <w:tblCellMar>
            <w:top w:w="0" w:type="dxa"/>
            <w:left w:w="0" w:type="dxa"/>
            <w:bottom w:w="0" w:type="dxa"/>
            <w:right w:w="0" w:type="dxa"/>
          </w:tblCellMar>
        </w:tblPrEx>
        <w:trPr>
          <w:trHeight w:val="425" w:hRule="atLeast"/>
          <w:jc w:val="center"/>
        </w:trPr>
        <w:tc>
          <w:tcPr>
            <w:tcW w:w="2190" w:type="dxa"/>
            <w:tcBorders>
              <w:top w:val="single" w:color="auto" w:sz="4" w:space="0"/>
              <w:left w:val="single" w:color="auto" w:sz="4" w:space="0"/>
              <w:bottom w:val="single" w:color="auto" w:sz="4" w:space="0"/>
              <w:right w:val="nil"/>
              <w:tl2br w:val="nil"/>
              <w:tr2bl w:val="nil"/>
            </w:tcBorders>
            <w:shd w:val="clear" w:color="auto" w:fill="FFFFFF"/>
            <w:vAlign w:val="center"/>
          </w:tcPr>
          <w:p w14:paraId="3A299D04">
            <w:pPr>
              <w:pStyle w:val="15"/>
              <w:framePr w:w="8323" w:wrap="notBeside" w:vAnchor="text" w:hAnchor="text" w:xAlign="center" w:y="1"/>
              <w:spacing w:after="0" w:line="240" w:lineRule="auto"/>
              <w:jc w:val="center"/>
              <w:rPr>
                <w:rFonts w:hint="eastAsia" w:ascii="Times New Roman" w:hAnsi="Times New Roman" w:cs="Times New Roman"/>
                <w:bCs/>
                <w:color w:val="auto"/>
                <w:sz w:val="18"/>
                <w:szCs w:val="18"/>
                <w:lang w:val="zh-TW" w:eastAsia="zh-TW"/>
              </w:rPr>
            </w:pPr>
            <w:r>
              <w:rPr>
                <w:rFonts w:hint="eastAsia" w:ascii="Times New Roman" w:hAnsi="Times New Roman" w:cs="Times New Roman"/>
                <w:bCs/>
                <w:color w:val="auto"/>
                <w:sz w:val="18"/>
                <w:szCs w:val="18"/>
                <w:lang w:val="zh-TW" w:eastAsia="zh-TW"/>
              </w:rPr>
              <w:t>III</w:t>
            </w:r>
          </w:p>
        </w:tc>
        <w:tc>
          <w:tcPr>
            <w:tcW w:w="2990" w:type="dxa"/>
            <w:tcBorders>
              <w:top w:val="single" w:color="auto" w:sz="4" w:space="0"/>
              <w:left w:val="single" w:color="auto" w:sz="4" w:space="0"/>
              <w:bottom w:val="single" w:color="auto" w:sz="4" w:space="0"/>
              <w:right w:val="nil"/>
              <w:tl2br w:val="nil"/>
              <w:tr2bl w:val="nil"/>
            </w:tcBorders>
            <w:shd w:val="clear" w:color="auto" w:fill="FFFFFF"/>
            <w:vAlign w:val="center"/>
          </w:tcPr>
          <w:p w14:paraId="1C9329E5">
            <w:pPr>
              <w:pStyle w:val="15"/>
              <w:framePr w:w="8323" w:wrap="notBeside" w:vAnchor="text" w:hAnchor="text" w:xAlign="center" w:y="1"/>
              <w:spacing w:after="0" w:line="240" w:lineRule="auto"/>
              <w:jc w:val="center"/>
              <w:rPr>
                <w:rFonts w:hint="eastAsia" w:ascii="Times New Roman" w:hAnsi="Times New Roman" w:cs="Times New Roman"/>
                <w:bCs/>
                <w:color w:val="auto"/>
                <w:sz w:val="18"/>
                <w:szCs w:val="18"/>
                <w:lang w:val="zh-TW" w:eastAsia="zh-TW"/>
              </w:rPr>
            </w:pPr>
            <w:r>
              <w:rPr>
                <w:rFonts w:hint="eastAsia" w:ascii="Times New Roman" w:hAnsi="Times New Roman" w:cs="Times New Roman"/>
                <w:bCs/>
                <w:color w:val="auto"/>
                <w:sz w:val="18"/>
                <w:szCs w:val="18"/>
                <w:lang w:val="zh-TW" w:eastAsia="zh-TW"/>
              </w:rPr>
              <w:t>1</w:t>
            </w:r>
            <w:r>
              <w:rPr>
                <w:rFonts w:hint="eastAsia" w:ascii="Times New Roman" w:hAnsi="Times New Roman" w:cs="Times New Roman"/>
                <w:bCs/>
                <w:color w:val="auto"/>
                <w:sz w:val="18"/>
                <w:szCs w:val="18"/>
              </w:rPr>
              <w:t>0</w:t>
            </w:r>
            <w:r>
              <w:rPr>
                <w:rFonts w:hint="eastAsia" w:ascii="Times New Roman" w:hAnsi="Times New Roman" w:cs="Times New Roman"/>
                <w:bCs/>
                <w:color w:val="auto"/>
                <w:sz w:val="18"/>
                <w:szCs w:val="18"/>
                <w:lang w:val="zh-TW" w:eastAsia="zh-TW"/>
              </w:rPr>
              <w:t xml:space="preserve"> ~ </w:t>
            </w:r>
            <w:r>
              <w:rPr>
                <w:rFonts w:hint="eastAsia" w:ascii="Times New Roman" w:hAnsi="Times New Roman" w:cs="Times New Roman"/>
                <w:bCs/>
                <w:color w:val="auto"/>
                <w:sz w:val="18"/>
                <w:szCs w:val="18"/>
              </w:rPr>
              <w:t>7</w:t>
            </w:r>
            <w:r>
              <w:rPr>
                <w:rFonts w:hint="eastAsia" w:ascii="Times New Roman" w:hAnsi="Times New Roman" w:cs="Times New Roman"/>
                <w:bCs/>
                <w:color w:val="auto"/>
                <w:sz w:val="18"/>
                <w:szCs w:val="18"/>
                <w:lang w:val="zh-TW" w:eastAsia="zh-TW"/>
              </w:rPr>
              <w:t>0</w:t>
            </w:r>
          </w:p>
        </w:tc>
        <w:tc>
          <w:tcPr>
            <w:tcW w:w="3070"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14:paraId="57BC10C1">
            <w:pPr>
              <w:pStyle w:val="15"/>
              <w:framePr w:w="8323" w:wrap="notBeside" w:vAnchor="text" w:hAnchor="text" w:xAlign="center" w:y="1"/>
              <w:spacing w:after="0" w:line="240" w:lineRule="auto"/>
              <w:jc w:val="center"/>
              <w:rPr>
                <w:rFonts w:hint="eastAsia" w:ascii="Times New Roman" w:hAnsi="Times New Roman" w:cs="Times New Roman"/>
                <w:bCs/>
                <w:color w:val="auto"/>
                <w:sz w:val="18"/>
                <w:szCs w:val="18"/>
                <w:lang w:val="zh-TW" w:eastAsia="zh-TW"/>
              </w:rPr>
            </w:pPr>
            <w:r>
              <w:rPr>
                <w:rFonts w:hint="eastAsia" w:ascii="Times New Roman" w:hAnsi="Times New Roman" w:cs="Times New Roman"/>
                <w:bCs/>
                <w:color w:val="auto"/>
                <w:sz w:val="18"/>
                <w:szCs w:val="18"/>
                <w:lang w:val="zh-TW" w:eastAsia="zh-TW"/>
              </w:rPr>
              <w:t>超过II级者</w:t>
            </w:r>
          </w:p>
        </w:tc>
      </w:tr>
    </w:tbl>
    <w:p w14:paraId="41723133">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 xml:space="preserve"> 对于密集型点状显示，评为Ⅲ级。</w:t>
      </w:r>
    </w:p>
    <w:p w14:paraId="175288AA">
      <w:pPr>
        <w:pStyle w:val="98"/>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 xml:space="preserve"> 非点状缺陷显示的质量分级按表2的规定进行。</w:t>
      </w:r>
    </w:p>
    <w:p w14:paraId="53068269">
      <w:pPr>
        <w:spacing w:before="156" w:beforeLines="50" w:after="156" w:afterLines="50" w:line="240" w:lineRule="auto"/>
        <w:ind w:firstLine="403"/>
        <w:jc w:val="center"/>
        <w:rPr>
          <w:rFonts w:hint="eastAsia" w:ascii="Times New Roman" w:hAnsi="Times New Roman" w:eastAsia="宋体"/>
          <w:color w:val="auto"/>
          <w:lang w:val="zh-TW" w:eastAsia="zh-TW"/>
        </w:rPr>
      </w:pPr>
      <w:r>
        <w:rPr>
          <w:rFonts w:ascii="Times New Roman" w:hAnsi="Times New Roman"/>
          <w:color w:val="auto"/>
          <w:sz w:val="20"/>
          <w:szCs w:val="20"/>
        </w:rPr>
        <w:t xml:space="preserve">             </w:t>
      </w:r>
      <w:r>
        <w:rPr>
          <w:rFonts w:hint="eastAsia" w:ascii="Times New Roman" w:hAnsi="Times New Roman" w:eastAsia="宋体"/>
          <w:color w:val="auto"/>
          <w:lang w:val="zh-TW" w:eastAsia="zh-TW"/>
        </w:rPr>
        <w:t xml:space="preserve"> </w:t>
      </w:r>
    </w:p>
    <w:p w14:paraId="6695BF0B">
      <w:pPr>
        <w:spacing w:before="156" w:beforeLines="50" w:after="156" w:afterLines="50" w:line="240" w:lineRule="auto"/>
        <w:ind w:firstLine="403"/>
        <w:jc w:val="center"/>
        <w:rPr>
          <w:rFonts w:ascii="Times New Roman" w:hAnsi="Times New Roman" w:eastAsia="宋体" w:cs="Times New Roman"/>
          <w:color w:val="auto"/>
          <w:sz w:val="20"/>
          <w:szCs w:val="20"/>
        </w:rPr>
      </w:pPr>
      <w:r>
        <w:rPr>
          <w:rFonts w:hint="eastAsia" w:ascii="Times New Roman" w:hAnsi="Times New Roman" w:eastAsia="宋体"/>
          <w:color w:val="auto"/>
          <w:lang w:val="zh-TW" w:eastAsia="zh-TW"/>
        </w:rPr>
        <w:t xml:space="preserve"> 表</w:t>
      </w:r>
      <w:r>
        <w:rPr>
          <w:rFonts w:hint="eastAsia" w:ascii="Times New Roman" w:hAnsi="Times New Roman" w:eastAsia="宋体"/>
          <w:color w:val="auto"/>
        </w:rPr>
        <w:t>2</w:t>
      </w:r>
      <w:r>
        <w:rPr>
          <w:rFonts w:hint="eastAsia" w:ascii="Times New Roman" w:hAnsi="Times New Roman" w:eastAsia="宋体"/>
          <w:color w:val="auto"/>
          <w:lang w:val="zh-TW" w:eastAsia="zh-TW"/>
        </w:rPr>
        <w:t xml:space="preserve"> 非点状缺陷显示的质量分级（</w:t>
      </w:r>
      <w:r>
        <w:rPr>
          <w:rFonts w:hint="eastAsia" w:ascii="Times New Roman" w:hAnsi="Times New Roman" w:eastAsia="宋体" w:cs="Times New Roman"/>
          <w:color w:val="auto"/>
          <w:sz w:val="20"/>
          <w:szCs w:val="20"/>
        </w:rPr>
        <w:t>单位：mm）</w:t>
      </w:r>
    </w:p>
    <w:tbl>
      <w:tblPr>
        <w:tblStyle w:val="30"/>
        <w:tblW w:w="9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1260"/>
        <w:gridCol w:w="1010"/>
        <w:gridCol w:w="900"/>
        <w:gridCol w:w="708"/>
        <w:gridCol w:w="709"/>
        <w:gridCol w:w="1134"/>
        <w:gridCol w:w="2876"/>
      </w:tblGrid>
      <w:tr w14:paraId="4CE7D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53" w:type="dxa"/>
            <w:vMerge w:val="restart"/>
            <w:vAlign w:val="center"/>
          </w:tcPr>
          <w:p w14:paraId="30378E07">
            <w:pPr>
              <w:pStyle w:val="244"/>
              <w:snapToGrid w:val="0"/>
              <w:jc w:val="center"/>
              <w:rPr>
                <w:rFonts w:cs="Times New Roman"/>
                <w:color w:val="auto"/>
              </w:rPr>
            </w:pPr>
            <w:r>
              <w:rPr>
                <w:rFonts w:hint="eastAsia" w:cs="Times New Roman"/>
                <w:color w:val="auto"/>
              </w:rPr>
              <w:t>等级</w:t>
            </w:r>
          </w:p>
        </w:tc>
        <w:tc>
          <w:tcPr>
            <w:tcW w:w="1260" w:type="dxa"/>
            <w:vMerge w:val="restart"/>
            <w:vAlign w:val="center"/>
          </w:tcPr>
          <w:p w14:paraId="68EE3780">
            <w:pPr>
              <w:pStyle w:val="244"/>
              <w:snapToGrid w:val="0"/>
              <w:jc w:val="center"/>
              <w:rPr>
                <w:rFonts w:cs="Times New Roman"/>
                <w:color w:val="auto"/>
              </w:rPr>
            </w:pPr>
            <w:r>
              <w:rPr>
                <w:rFonts w:hint="eastAsia" w:cs="Times New Roman"/>
                <w:color w:val="auto"/>
              </w:rPr>
              <w:t>工件厚度</w:t>
            </w:r>
            <w:r>
              <w:rPr>
                <w:rFonts w:cs="Times New Roman"/>
                <w:i/>
                <w:color w:val="auto"/>
              </w:rPr>
              <w:t>t</w:t>
            </w:r>
          </w:p>
        </w:tc>
        <w:tc>
          <w:tcPr>
            <w:tcW w:w="4461" w:type="dxa"/>
            <w:gridSpan w:val="5"/>
            <w:vAlign w:val="center"/>
          </w:tcPr>
          <w:p w14:paraId="55DBDC6F">
            <w:pPr>
              <w:pStyle w:val="244"/>
              <w:snapToGrid w:val="0"/>
              <w:jc w:val="center"/>
              <w:rPr>
                <w:rFonts w:cs="Times New Roman"/>
                <w:color w:val="auto"/>
              </w:rPr>
            </w:pPr>
            <w:r>
              <w:rPr>
                <w:rFonts w:hint="eastAsia" w:cs="Times New Roman"/>
                <w:color w:val="auto"/>
              </w:rPr>
              <w:t>单个缺陷</w:t>
            </w:r>
          </w:p>
        </w:tc>
        <w:tc>
          <w:tcPr>
            <w:tcW w:w="2876" w:type="dxa"/>
            <w:vMerge w:val="restart"/>
            <w:vAlign w:val="center"/>
          </w:tcPr>
          <w:p w14:paraId="2AF6B043">
            <w:pPr>
              <w:pStyle w:val="244"/>
              <w:snapToGrid w:val="0"/>
              <w:jc w:val="center"/>
              <w:rPr>
                <w:rFonts w:cs="Times New Roman"/>
                <w:color w:val="auto"/>
              </w:rPr>
            </w:pPr>
            <w:r>
              <w:rPr>
                <w:rFonts w:hint="eastAsia" w:cs="Times New Roman"/>
                <w:color w:val="auto"/>
              </w:rPr>
              <w:t>单个或多个缺陷累积长度</w:t>
            </w:r>
          </w:p>
        </w:tc>
      </w:tr>
      <w:tr w14:paraId="1873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53" w:type="dxa"/>
            <w:vMerge w:val="continue"/>
            <w:vAlign w:val="center"/>
          </w:tcPr>
          <w:p w14:paraId="3679289D">
            <w:pPr>
              <w:pStyle w:val="244"/>
              <w:snapToGrid w:val="0"/>
              <w:jc w:val="center"/>
              <w:rPr>
                <w:rFonts w:cs="Times New Roman"/>
                <w:color w:val="auto"/>
              </w:rPr>
            </w:pPr>
          </w:p>
        </w:tc>
        <w:tc>
          <w:tcPr>
            <w:tcW w:w="1260" w:type="dxa"/>
            <w:vMerge w:val="continue"/>
            <w:vAlign w:val="center"/>
          </w:tcPr>
          <w:p w14:paraId="7B21E9F2">
            <w:pPr>
              <w:pStyle w:val="244"/>
              <w:snapToGrid w:val="0"/>
              <w:jc w:val="center"/>
              <w:rPr>
                <w:rFonts w:cs="Times New Roman"/>
                <w:color w:val="auto"/>
              </w:rPr>
            </w:pPr>
          </w:p>
        </w:tc>
        <w:tc>
          <w:tcPr>
            <w:tcW w:w="1910" w:type="dxa"/>
            <w:gridSpan w:val="2"/>
            <w:vAlign w:val="center"/>
          </w:tcPr>
          <w:p w14:paraId="09D85718">
            <w:pPr>
              <w:pStyle w:val="244"/>
              <w:snapToGrid w:val="0"/>
              <w:jc w:val="center"/>
              <w:rPr>
                <w:rFonts w:cs="Times New Roman"/>
                <w:color w:val="auto"/>
              </w:rPr>
            </w:pPr>
            <w:r>
              <w:rPr>
                <w:rFonts w:hint="eastAsia" w:cs="Times New Roman"/>
                <w:color w:val="auto"/>
              </w:rPr>
              <w:t>表面开口型缺陷</w:t>
            </w:r>
          </w:p>
        </w:tc>
        <w:tc>
          <w:tcPr>
            <w:tcW w:w="2551" w:type="dxa"/>
            <w:gridSpan w:val="3"/>
            <w:vAlign w:val="center"/>
          </w:tcPr>
          <w:p w14:paraId="4D418400">
            <w:pPr>
              <w:pStyle w:val="244"/>
              <w:snapToGrid w:val="0"/>
              <w:jc w:val="center"/>
              <w:rPr>
                <w:rFonts w:cs="Times New Roman"/>
                <w:color w:val="auto"/>
              </w:rPr>
            </w:pPr>
            <w:r>
              <w:rPr>
                <w:rFonts w:hint="eastAsia" w:cs="Times New Roman"/>
                <w:color w:val="auto"/>
              </w:rPr>
              <w:t>埋藏型缺陷</w:t>
            </w:r>
          </w:p>
        </w:tc>
        <w:tc>
          <w:tcPr>
            <w:tcW w:w="2876" w:type="dxa"/>
            <w:vMerge w:val="continue"/>
            <w:vAlign w:val="center"/>
          </w:tcPr>
          <w:p w14:paraId="136209D6">
            <w:pPr>
              <w:pStyle w:val="244"/>
              <w:snapToGrid w:val="0"/>
              <w:jc w:val="center"/>
              <w:rPr>
                <w:rFonts w:cs="Times New Roman"/>
                <w:color w:val="auto"/>
              </w:rPr>
            </w:pPr>
          </w:p>
        </w:tc>
      </w:tr>
      <w:tr w14:paraId="72378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53" w:type="dxa"/>
            <w:vMerge w:val="continue"/>
            <w:vAlign w:val="center"/>
          </w:tcPr>
          <w:p w14:paraId="10C3D21D">
            <w:pPr>
              <w:pStyle w:val="244"/>
              <w:snapToGrid w:val="0"/>
              <w:jc w:val="center"/>
              <w:rPr>
                <w:rFonts w:cs="Times New Roman"/>
                <w:color w:val="auto"/>
              </w:rPr>
            </w:pPr>
          </w:p>
        </w:tc>
        <w:tc>
          <w:tcPr>
            <w:tcW w:w="1260" w:type="dxa"/>
            <w:vMerge w:val="continue"/>
            <w:vAlign w:val="center"/>
          </w:tcPr>
          <w:p w14:paraId="007B4411">
            <w:pPr>
              <w:pStyle w:val="244"/>
              <w:snapToGrid w:val="0"/>
              <w:jc w:val="center"/>
              <w:rPr>
                <w:rFonts w:cs="Times New Roman"/>
                <w:color w:val="auto"/>
              </w:rPr>
            </w:pPr>
          </w:p>
        </w:tc>
        <w:tc>
          <w:tcPr>
            <w:tcW w:w="1010" w:type="dxa"/>
            <w:vAlign w:val="center"/>
          </w:tcPr>
          <w:p w14:paraId="33BE27F7">
            <w:pPr>
              <w:pStyle w:val="244"/>
              <w:snapToGrid w:val="0"/>
              <w:jc w:val="center"/>
              <w:rPr>
                <w:rFonts w:cs="Times New Roman"/>
                <w:color w:val="auto"/>
              </w:rPr>
            </w:pPr>
            <w:r>
              <w:rPr>
                <w:rFonts w:hint="eastAsia" w:cs="Times New Roman"/>
                <w:color w:val="auto"/>
              </w:rPr>
              <w:t>长度</w:t>
            </w:r>
            <w:r>
              <w:rPr>
                <w:rFonts w:cs="Times New Roman"/>
                <w:color w:val="auto"/>
              </w:rPr>
              <w:t>l</w:t>
            </w:r>
            <w:r>
              <w:rPr>
                <w:rFonts w:cs="Times New Roman"/>
                <w:color w:val="auto"/>
                <w:vertAlign w:val="subscript"/>
              </w:rPr>
              <w:t>max</w:t>
            </w:r>
          </w:p>
        </w:tc>
        <w:tc>
          <w:tcPr>
            <w:tcW w:w="900" w:type="dxa"/>
            <w:vAlign w:val="center"/>
          </w:tcPr>
          <w:p w14:paraId="6760C531">
            <w:pPr>
              <w:pStyle w:val="244"/>
              <w:snapToGrid w:val="0"/>
              <w:jc w:val="center"/>
              <w:rPr>
                <w:rFonts w:cs="Times New Roman"/>
                <w:color w:val="auto"/>
              </w:rPr>
            </w:pPr>
            <w:r>
              <w:rPr>
                <w:rFonts w:hint="eastAsia" w:cs="Times New Roman"/>
                <w:color w:val="auto"/>
              </w:rPr>
              <w:t>高度</w:t>
            </w:r>
            <w:r>
              <w:rPr>
                <w:rFonts w:cs="Times New Roman"/>
                <w:i/>
                <w:color w:val="auto"/>
              </w:rPr>
              <w:t>h</w:t>
            </w:r>
            <w:r>
              <w:rPr>
                <w:rFonts w:cs="Times New Roman"/>
                <w:color w:val="auto"/>
                <w:vertAlign w:val="subscript"/>
              </w:rPr>
              <w:t>3</w:t>
            </w:r>
          </w:p>
        </w:tc>
        <w:tc>
          <w:tcPr>
            <w:tcW w:w="708" w:type="dxa"/>
            <w:vAlign w:val="center"/>
          </w:tcPr>
          <w:p w14:paraId="01C09953">
            <w:pPr>
              <w:pStyle w:val="244"/>
              <w:snapToGrid w:val="0"/>
              <w:jc w:val="center"/>
              <w:rPr>
                <w:rFonts w:cs="Times New Roman"/>
                <w:color w:val="auto"/>
              </w:rPr>
            </w:pPr>
            <w:r>
              <w:rPr>
                <w:rFonts w:hint="eastAsia" w:cs="Times New Roman"/>
                <w:color w:val="auto"/>
              </w:rPr>
              <w:t>长度</w:t>
            </w:r>
            <w:r>
              <w:rPr>
                <w:rFonts w:cs="Times New Roman"/>
                <w:i/>
                <w:color w:val="auto"/>
              </w:rPr>
              <w:t>l</w:t>
            </w:r>
            <w:r>
              <w:rPr>
                <w:rFonts w:cs="Times New Roman"/>
                <w:color w:val="auto"/>
                <w:vertAlign w:val="subscript"/>
              </w:rPr>
              <w:t>max</w:t>
            </w:r>
          </w:p>
        </w:tc>
        <w:tc>
          <w:tcPr>
            <w:tcW w:w="709" w:type="dxa"/>
            <w:vAlign w:val="center"/>
          </w:tcPr>
          <w:p w14:paraId="2A3B0479">
            <w:pPr>
              <w:pStyle w:val="244"/>
              <w:snapToGrid w:val="0"/>
              <w:jc w:val="center"/>
              <w:rPr>
                <w:rFonts w:cs="Times New Roman"/>
                <w:color w:val="auto"/>
              </w:rPr>
            </w:pPr>
            <w:r>
              <w:rPr>
                <w:rFonts w:hint="eastAsia" w:cs="Times New Roman"/>
                <w:color w:val="auto"/>
              </w:rPr>
              <w:t>高度</w:t>
            </w:r>
            <w:r>
              <w:rPr>
                <w:rFonts w:cs="Times New Roman"/>
                <w:i/>
                <w:color w:val="auto"/>
              </w:rPr>
              <w:t>h</w:t>
            </w:r>
            <w:r>
              <w:rPr>
                <w:rFonts w:cs="Times New Roman"/>
                <w:color w:val="auto"/>
                <w:vertAlign w:val="subscript"/>
              </w:rPr>
              <w:t>2</w:t>
            </w:r>
          </w:p>
        </w:tc>
        <w:tc>
          <w:tcPr>
            <w:tcW w:w="1134" w:type="dxa"/>
            <w:vAlign w:val="center"/>
          </w:tcPr>
          <w:p w14:paraId="2345BDEB">
            <w:pPr>
              <w:pStyle w:val="244"/>
              <w:snapToGrid w:val="0"/>
              <w:jc w:val="center"/>
              <w:rPr>
                <w:rFonts w:cs="Times New Roman"/>
                <w:color w:val="auto"/>
              </w:rPr>
            </w:pPr>
            <w:r>
              <w:rPr>
                <w:rFonts w:hint="eastAsia" w:cs="Times New Roman"/>
                <w:color w:val="auto"/>
              </w:rPr>
              <w:t>若</w:t>
            </w:r>
            <w:r>
              <w:rPr>
                <w:rFonts w:cs="Times New Roman"/>
                <w:i/>
                <w:color w:val="auto"/>
              </w:rPr>
              <w:t>l</w:t>
            </w:r>
            <w:r>
              <w:rPr>
                <w:rFonts w:cs="Times New Roman"/>
                <w:color w:val="auto"/>
              </w:rPr>
              <w:t>&gt;</w:t>
            </w:r>
            <w:r>
              <w:rPr>
                <w:rFonts w:cs="Times New Roman"/>
                <w:i/>
                <w:color w:val="auto"/>
              </w:rPr>
              <w:t>l</w:t>
            </w:r>
            <w:r>
              <w:rPr>
                <w:rFonts w:cs="Times New Roman"/>
                <w:color w:val="auto"/>
                <w:vertAlign w:val="subscript"/>
              </w:rPr>
              <w:t>max</w:t>
            </w:r>
            <w:r>
              <w:rPr>
                <w:rFonts w:hint="eastAsia" w:cs="Times New Roman"/>
                <w:color w:val="auto"/>
              </w:rPr>
              <w:t>，缺陷高度</w:t>
            </w:r>
            <w:r>
              <w:rPr>
                <w:rFonts w:cs="Times New Roman"/>
                <w:i/>
                <w:color w:val="auto"/>
              </w:rPr>
              <w:t>h</w:t>
            </w:r>
            <w:r>
              <w:rPr>
                <w:rFonts w:cs="Times New Roman"/>
                <w:color w:val="auto"/>
                <w:vertAlign w:val="subscript"/>
              </w:rPr>
              <w:t>1</w:t>
            </w:r>
          </w:p>
        </w:tc>
        <w:tc>
          <w:tcPr>
            <w:tcW w:w="2876" w:type="dxa"/>
            <w:vMerge w:val="continue"/>
            <w:vAlign w:val="center"/>
          </w:tcPr>
          <w:p w14:paraId="6194FBA5">
            <w:pPr>
              <w:pStyle w:val="244"/>
              <w:snapToGrid w:val="0"/>
              <w:jc w:val="center"/>
              <w:rPr>
                <w:rFonts w:cs="Times New Roman"/>
                <w:color w:val="auto"/>
              </w:rPr>
            </w:pPr>
          </w:p>
        </w:tc>
      </w:tr>
      <w:tr w14:paraId="6555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3" w:type="dxa"/>
            <w:vMerge w:val="restart"/>
            <w:vAlign w:val="center"/>
          </w:tcPr>
          <w:p w14:paraId="56978D28">
            <w:pPr>
              <w:pStyle w:val="244"/>
              <w:jc w:val="center"/>
              <w:rPr>
                <w:rFonts w:cs="Times New Roman"/>
                <w:color w:val="auto"/>
              </w:rPr>
            </w:pPr>
            <w:r>
              <w:rPr>
                <w:rFonts w:cs="Times New Roman"/>
                <w:color w:val="auto"/>
              </w:rPr>
              <w:t>I</w:t>
            </w:r>
          </w:p>
        </w:tc>
        <w:tc>
          <w:tcPr>
            <w:tcW w:w="1260" w:type="dxa"/>
            <w:vAlign w:val="center"/>
          </w:tcPr>
          <w:p w14:paraId="2A3CC7F3">
            <w:pPr>
              <w:pStyle w:val="244"/>
              <w:jc w:val="center"/>
              <w:rPr>
                <w:rFonts w:cs="Times New Roman"/>
                <w:color w:val="auto"/>
              </w:rPr>
            </w:pPr>
            <w:r>
              <w:rPr>
                <w:rFonts w:cs="Times New Roman"/>
                <w:color w:val="auto"/>
              </w:rPr>
              <w:t>10</w:t>
            </w:r>
            <w:r>
              <w:rPr>
                <w:rFonts w:hint="eastAsia" w:cs="Times New Roman"/>
                <w:color w:val="auto"/>
              </w:rPr>
              <w:t>≤</w:t>
            </w:r>
            <w:r>
              <w:rPr>
                <w:rFonts w:cs="Times New Roman"/>
                <w:i/>
                <w:color w:val="auto"/>
              </w:rPr>
              <w:t>t</w:t>
            </w:r>
            <w:r>
              <w:rPr>
                <w:rFonts w:hint="eastAsia" w:ascii="Times New Roman" w:hAnsi="Times New Roman" w:cs="Times New Roman"/>
                <w:color w:val="auto"/>
              </w:rPr>
              <w:t>≤</w:t>
            </w:r>
            <w:r>
              <w:rPr>
                <w:rFonts w:cs="Times New Roman"/>
                <w:color w:val="auto"/>
              </w:rPr>
              <w:t>15</w:t>
            </w:r>
          </w:p>
        </w:tc>
        <w:tc>
          <w:tcPr>
            <w:tcW w:w="1010" w:type="dxa"/>
            <w:vAlign w:val="center"/>
          </w:tcPr>
          <w:p w14:paraId="13602405">
            <w:pPr>
              <w:pStyle w:val="244"/>
              <w:jc w:val="center"/>
              <w:rPr>
                <w:rFonts w:cs="Times New Roman"/>
                <w:color w:val="auto"/>
              </w:rPr>
            </w:pPr>
            <w:r>
              <w:rPr>
                <w:rFonts w:hint="eastAsia" w:cs="Times New Roman"/>
                <w:color w:val="auto"/>
              </w:rPr>
              <w:t>≤</w:t>
            </w:r>
            <w:r>
              <w:rPr>
                <w:rFonts w:cs="Times New Roman"/>
                <w:i/>
                <w:color w:val="auto"/>
              </w:rPr>
              <w:t>t</w:t>
            </w:r>
            <w:r>
              <w:rPr>
                <w:rFonts w:cs="Times New Roman"/>
                <w:color w:val="auto"/>
              </w:rPr>
              <w:t>/2</w:t>
            </w:r>
          </w:p>
        </w:tc>
        <w:tc>
          <w:tcPr>
            <w:tcW w:w="900" w:type="dxa"/>
            <w:vAlign w:val="center"/>
          </w:tcPr>
          <w:p w14:paraId="1A5C9500">
            <w:pPr>
              <w:pStyle w:val="244"/>
              <w:jc w:val="center"/>
              <w:rPr>
                <w:rFonts w:cs="Times New Roman"/>
                <w:color w:val="auto"/>
              </w:rPr>
            </w:pPr>
            <w:r>
              <w:rPr>
                <w:rFonts w:hint="eastAsia" w:cs="Times New Roman"/>
                <w:color w:val="auto"/>
              </w:rPr>
              <w:t>≤</w:t>
            </w:r>
            <w:r>
              <w:rPr>
                <w:rFonts w:cs="Times New Roman"/>
                <w:color w:val="auto"/>
              </w:rPr>
              <w:t>1</w:t>
            </w:r>
          </w:p>
        </w:tc>
        <w:tc>
          <w:tcPr>
            <w:tcW w:w="708" w:type="dxa"/>
            <w:vAlign w:val="center"/>
          </w:tcPr>
          <w:p w14:paraId="043992A0">
            <w:pPr>
              <w:pStyle w:val="244"/>
              <w:jc w:val="center"/>
              <w:rPr>
                <w:rFonts w:cs="Times New Roman"/>
                <w:color w:val="auto"/>
              </w:rPr>
            </w:pPr>
            <w:r>
              <w:rPr>
                <w:rFonts w:hint="eastAsia" w:cs="Times New Roman"/>
                <w:color w:val="auto"/>
              </w:rPr>
              <w:t>≤</w:t>
            </w:r>
            <w:r>
              <w:rPr>
                <w:rFonts w:cs="Times New Roman"/>
                <w:i/>
                <w:color w:val="auto"/>
              </w:rPr>
              <w:t>t</w:t>
            </w:r>
            <w:r>
              <w:rPr>
                <w:rFonts w:cs="Times New Roman"/>
                <w:color w:val="auto"/>
              </w:rPr>
              <w:t>/2</w:t>
            </w:r>
          </w:p>
        </w:tc>
        <w:tc>
          <w:tcPr>
            <w:tcW w:w="709" w:type="dxa"/>
            <w:vAlign w:val="center"/>
          </w:tcPr>
          <w:p w14:paraId="48D682E2">
            <w:pPr>
              <w:pStyle w:val="244"/>
              <w:jc w:val="center"/>
              <w:rPr>
                <w:rFonts w:cs="Times New Roman"/>
                <w:color w:val="auto"/>
              </w:rPr>
            </w:pPr>
            <w:r>
              <w:rPr>
                <w:rFonts w:hint="eastAsia" w:cs="Times New Roman"/>
                <w:color w:val="auto"/>
              </w:rPr>
              <w:t>≤</w:t>
            </w:r>
            <w:r>
              <w:rPr>
                <w:rFonts w:cs="Times New Roman"/>
                <w:color w:val="auto"/>
              </w:rPr>
              <w:t>2</w:t>
            </w:r>
          </w:p>
        </w:tc>
        <w:tc>
          <w:tcPr>
            <w:tcW w:w="1134" w:type="dxa"/>
            <w:vAlign w:val="center"/>
          </w:tcPr>
          <w:p w14:paraId="0B8DE02D">
            <w:pPr>
              <w:pStyle w:val="244"/>
              <w:jc w:val="center"/>
              <w:rPr>
                <w:rFonts w:cs="Times New Roman"/>
                <w:color w:val="auto"/>
              </w:rPr>
            </w:pPr>
            <w:r>
              <w:rPr>
                <w:rFonts w:hint="eastAsia" w:cs="Times New Roman"/>
                <w:color w:val="auto"/>
              </w:rPr>
              <w:t>≤</w:t>
            </w:r>
            <w:r>
              <w:rPr>
                <w:rFonts w:cs="Times New Roman"/>
                <w:color w:val="auto"/>
              </w:rPr>
              <w:t>1</w:t>
            </w:r>
          </w:p>
        </w:tc>
        <w:tc>
          <w:tcPr>
            <w:tcW w:w="2876" w:type="dxa"/>
            <w:vMerge w:val="restart"/>
            <w:vAlign w:val="center"/>
          </w:tcPr>
          <w:p w14:paraId="442BBA15">
            <w:pPr>
              <w:pStyle w:val="244"/>
              <w:spacing w:line="0" w:lineRule="atLeast"/>
              <w:rPr>
                <w:rFonts w:cs="Times New Roman"/>
                <w:color w:val="auto"/>
                <w:sz w:val="15"/>
                <w:szCs w:val="15"/>
              </w:rPr>
            </w:pPr>
            <w:r>
              <w:rPr>
                <w:rFonts w:cs="Times New Roman"/>
                <w:color w:val="auto"/>
                <w:sz w:val="15"/>
                <w:szCs w:val="15"/>
              </w:rPr>
              <w:t>1</w:t>
            </w:r>
            <w:r>
              <w:rPr>
                <w:rFonts w:hint="eastAsia" w:cs="Times New Roman"/>
                <w:color w:val="auto"/>
                <w:sz w:val="15"/>
                <w:szCs w:val="15"/>
              </w:rPr>
              <w:t>、对于单个或多个</w:t>
            </w:r>
            <w:r>
              <w:rPr>
                <w:rFonts w:cs="Times New Roman"/>
                <w:i/>
                <w:color w:val="auto"/>
                <w:sz w:val="15"/>
                <w:szCs w:val="15"/>
              </w:rPr>
              <w:t>h</w:t>
            </w:r>
            <w:r>
              <w:rPr>
                <w:rFonts w:hint="eastAsia" w:cs="Times New Roman"/>
                <w:color w:val="auto"/>
                <w:sz w:val="15"/>
                <w:szCs w:val="15"/>
              </w:rPr>
              <w:t>≤</w:t>
            </w:r>
            <w:r>
              <w:rPr>
                <w:rFonts w:cs="Times New Roman"/>
                <w:i/>
                <w:color w:val="auto"/>
                <w:sz w:val="15"/>
                <w:szCs w:val="15"/>
              </w:rPr>
              <w:t>h</w:t>
            </w:r>
            <w:r>
              <w:rPr>
                <w:rFonts w:cs="Times New Roman"/>
                <w:color w:val="auto"/>
                <w:sz w:val="15"/>
                <w:szCs w:val="15"/>
                <w:vertAlign w:val="subscript"/>
              </w:rPr>
              <w:t>1</w:t>
            </w:r>
            <w:r>
              <w:rPr>
                <w:rFonts w:hint="eastAsia" w:cs="Times New Roman"/>
                <w:color w:val="auto"/>
                <w:sz w:val="15"/>
                <w:szCs w:val="15"/>
              </w:rPr>
              <w:t>的线状缺陷，在任意</w:t>
            </w:r>
            <w:r>
              <w:rPr>
                <w:rFonts w:cs="Times New Roman"/>
                <w:color w:val="auto"/>
                <w:sz w:val="15"/>
                <w:szCs w:val="15"/>
              </w:rPr>
              <w:t>12</w:t>
            </w:r>
            <w:r>
              <w:rPr>
                <w:rFonts w:cs="Times New Roman"/>
                <w:i/>
                <w:color w:val="auto"/>
                <w:sz w:val="15"/>
                <w:szCs w:val="15"/>
              </w:rPr>
              <w:t>t</w:t>
            </w:r>
            <w:r>
              <w:rPr>
                <w:rFonts w:hint="eastAsia" w:cs="Times New Roman"/>
                <w:color w:val="auto"/>
                <w:sz w:val="15"/>
                <w:szCs w:val="15"/>
              </w:rPr>
              <w:t>范围内累计长度不得超过</w:t>
            </w:r>
            <w:r>
              <w:rPr>
                <w:rFonts w:cs="Times New Roman"/>
                <w:color w:val="auto"/>
                <w:sz w:val="15"/>
                <w:szCs w:val="15"/>
              </w:rPr>
              <w:t>2</w:t>
            </w:r>
            <w:r>
              <w:rPr>
                <w:rFonts w:cs="Times New Roman"/>
                <w:i/>
                <w:color w:val="auto"/>
                <w:sz w:val="15"/>
                <w:szCs w:val="15"/>
              </w:rPr>
              <w:t>t</w:t>
            </w:r>
            <w:r>
              <w:rPr>
                <w:rFonts w:hint="eastAsia" w:cs="Times New Roman"/>
                <w:color w:val="auto"/>
                <w:sz w:val="15"/>
                <w:szCs w:val="15"/>
              </w:rPr>
              <w:t>且最大值为</w:t>
            </w:r>
            <w:r>
              <w:rPr>
                <w:rFonts w:cs="Times New Roman"/>
                <w:color w:val="auto"/>
                <w:sz w:val="15"/>
                <w:szCs w:val="15"/>
              </w:rPr>
              <w:t>100mm</w:t>
            </w:r>
            <w:r>
              <w:rPr>
                <w:rFonts w:hint="eastAsia" w:cs="Times New Roman"/>
                <w:color w:val="auto"/>
                <w:sz w:val="15"/>
                <w:szCs w:val="15"/>
              </w:rPr>
              <w:t>；</w:t>
            </w:r>
          </w:p>
          <w:p w14:paraId="482367CE">
            <w:pPr>
              <w:pStyle w:val="244"/>
              <w:spacing w:line="0" w:lineRule="atLeast"/>
              <w:rPr>
                <w:rFonts w:cs="Times New Roman"/>
                <w:color w:val="auto"/>
                <w:sz w:val="15"/>
                <w:szCs w:val="15"/>
              </w:rPr>
            </w:pPr>
            <w:r>
              <w:rPr>
                <w:rFonts w:cs="Times New Roman"/>
                <w:color w:val="auto"/>
                <w:sz w:val="15"/>
                <w:szCs w:val="15"/>
              </w:rPr>
              <w:t>2</w:t>
            </w:r>
            <w:r>
              <w:rPr>
                <w:rFonts w:hint="eastAsia" w:cs="Times New Roman"/>
                <w:color w:val="auto"/>
                <w:sz w:val="15"/>
                <w:szCs w:val="15"/>
              </w:rPr>
              <w:t>、若多个缺陷其各自长度</w:t>
            </w:r>
            <w:r>
              <w:rPr>
                <w:rFonts w:cs="Times New Roman"/>
                <w:i/>
                <w:color w:val="auto"/>
                <w:sz w:val="15"/>
                <w:szCs w:val="15"/>
              </w:rPr>
              <w:t>l</w:t>
            </w:r>
            <w:r>
              <w:rPr>
                <w:rFonts w:hint="eastAsia" w:cs="Times New Roman"/>
                <w:color w:val="auto"/>
                <w:sz w:val="15"/>
                <w:szCs w:val="15"/>
              </w:rPr>
              <w:t>≤</w:t>
            </w:r>
            <w:r>
              <w:rPr>
                <w:rFonts w:cs="Times New Roman"/>
                <w:i/>
                <w:color w:val="auto"/>
                <w:sz w:val="15"/>
                <w:szCs w:val="15"/>
              </w:rPr>
              <w:t>l</w:t>
            </w:r>
            <w:r>
              <w:rPr>
                <w:rFonts w:cs="Times New Roman"/>
                <w:color w:val="auto"/>
                <w:sz w:val="15"/>
                <w:szCs w:val="15"/>
                <w:vertAlign w:val="subscript"/>
              </w:rPr>
              <w:t>max</w:t>
            </w:r>
            <w:r>
              <w:rPr>
                <w:rFonts w:hint="eastAsia" w:cs="Times New Roman"/>
                <w:color w:val="auto"/>
                <w:sz w:val="15"/>
                <w:szCs w:val="15"/>
              </w:rPr>
              <w:t>、高度</w:t>
            </w:r>
            <w:r>
              <w:rPr>
                <w:rFonts w:cs="Times New Roman"/>
                <w:i/>
                <w:color w:val="auto"/>
                <w:sz w:val="15"/>
                <w:szCs w:val="15"/>
              </w:rPr>
              <w:t>h</w:t>
            </w:r>
            <w:r>
              <w:rPr>
                <w:rFonts w:hint="eastAsia" w:cs="Times New Roman"/>
                <w:color w:val="auto"/>
                <w:sz w:val="15"/>
                <w:szCs w:val="15"/>
              </w:rPr>
              <w:t>均为：</w:t>
            </w:r>
            <w:r>
              <w:rPr>
                <w:rFonts w:cs="Times New Roman"/>
                <w:i/>
                <w:color w:val="auto"/>
                <w:sz w:val="15"/>
                <w:szCs w:val="15"/>
              </w:rPr>
              <w:t>h</w:t>
            </w:r>
            <w:r>
              <w:rPr>
                <w:rFonts w:hint="eastAsia" w:cs="Times New Roman"/>
                <w:color w:val="auto"/>
                <w:sz w:val="15"/>
                <w:szCs w:val="15"/>
              </w:rPr>
              <w:t>≤</w:t>
            </w:r>
            <w:r>
              <w:rPr>
                <w:rFonts w:cs="Times New Roman"/>
                <w:i/>
                <w:color w:val="auto"/>
                <w:sz w:val="15"/>
                <w:szCs w:val="15"/>
              </w:rPr>
              <w:t>h</w:t>
            </w:r>
            <w:r>
              <w:rPr>
                <w:rFonts w:cs="Times New Roman"/>
                <w:color w:val="auto"/>
                <w:sz w:val="15"/>
                <w:szCs w:val="15"/>
                <w:vertAlign w:val="subscript"/>
              </w:rPr>
              <w:t>2</w:t>
            </w:r>
            <w:r>
              <w:rPr>
                <w:rFonts w:hint="eastAsia" w:cs="Times New Roman"/>
                <w:color w:val="auto"/>
                <w:sz w:val="15"/>
                <w:szCs w:val="15"/>
              </w:rPr>
              <w:t>或</w:t>
            </w:r>
            <w:r>
              <w:rPr>
                <w:rFonts w:cs="Times New Roman"/>
                <w:i/>
                <w:color w:val="auto"/>
                <w:sz w:val="15"/>
                <w:szCs w:val="15"/>
              </w:rPr>
              <w:t>h</w:t>
            </w:r>
            <w:r>
              <w:rPr>
                <w:rFonts w:cs="Times New Roman"/>
                <w:color w:val="auto"/>
                <w:sz w:val="15"/>
                <w:szCs w:val="15"/>
                <w:vertAlign w:val="subscript"/>
              </w:rPr>
              <w:t>3</w:t>
            </w:r>
            <w:r>
              <w:rPr>
                <w:rFonts w:hint="eastAsia" w:cs="Times New Roman"/>
                <w:color w:val="auto"/>
                <w:sz w:val="15"/>
                <w:szCs w:val="15"/>
              </w:rPr>
              <w:t>，则在任意</w:t>
            </w:r>
            <w:r>
              <w:rPr>
                <w:rFonts w:cs="Times New Roman"/>
                <w:color w:val="auto"/>
                <w:sz w:val="15"/>
                <w:szCs w:val="15"/>
              </w:rPr>
              <w:t>12</w:t>
            </w:r>
            <w:r>
              <w:rPr>
                <w:rFonts w:cs="Times New Roman"/>
                <w:i/>
                <w:color w:val="auto"/>
                <w:sz w:val="15"/>
                <w:szCs w:val="15"/>
              </w:rPr>
              <w:t>t</w:t>
            </w:r>
            <w:r>
              <w:rPr>
                <w:rFonts w:hint="eastAsia" w:cs="Times New Roman"/>
                <w:color w:val="auto"/>
                <w:sz w:val="15"/>
                <w:szCs w:val="15"/>
              </w:rPr>
              <w:t>范围内累计长度不得超过</w:t>
            </w:r>
            <w:r>
              <w:rPr>
                <w:rFonts w:cs="Times New Roman"/>
                <w:color w:val="auto"/>
                <w:sz w:val="15"/>
                <w:szCs w:val="15"/>
              </w:rPr>
              <w:t>2</w:t>
            </w:r>
            <w:r>
              <w:rPr>
                <w:rFonts w:cs="Times New Roman"/>
                <w:i/>
                <w:color w:val="auto"/>
                <w:sz w:val="15"/>
                <w:szCs w:val="15"/>
              </w:rPr>
              <w:t>t</w:t>
            </w:r>
            <w:r>
              <w:rPr>
                <w:rFonts w:hint="eastAsia" w:cs="Times New Roman"/>
                <w:color w:val="auto"/>
                <w:sz w:val="15"/>
                <w:szCs w:val="15"/>
              </w:rPr>
              <w:t>且最大值为</w:t>
            </w:r>
            <w:r>
              <w:rPr>
                <w:rFonts w:cs="Times New Roman"/>
                <w:color w:val="auto"/>
                <w:sz w:val="15"/>
                <w:szCs w:val="15"/>
              </w:rPr>
              <w:t>100mm</w:t>
            </w:r>
            <w:r>
              <w:rPr>
                <w:rFonts w:hint="eastAsia" w:cs="Times New Roman"/>
                <w:color w:val="auto"/>
                <w:sz w:val="15"/>
                <w:szCs w:val="15"/>
              </w:rPr>
              <w:t>；</w:t>
            </w:r>
          </w:p>
          <w:p w14:paraId="3B076A67">
            <w:pPr>
              <w:spacing w:line="0" w:lineRule="atLeast"/>
              <w:rPr>
                <w:rFonts w:ascii="Times New Roman" w:hAnsi="Times New Roman"/>
                <w:color w:val="auto"/>
              </w:rPr>
            </w:pPr>
            <w:r>
              <w:rPr>
                <w:rFonts w:ascii="Times New Roman" w:hAnsi="Times New Roman"/>
                <w:color w:val="auto"/>
                <w:sz w:val="15"/>
                <w:szCs w:val="15"/>
              </w:rPr>
              <w:t>3</w:t>
            </w:r>
            <w:r>
              <w:rPr>
                <w:rFonts w:hint="eastAsia" w:ascii="Times New Roman" w:hAnsi="Times New Roman"/>
                <w:color w:val="auto"/>
                <w:sz w:val="15"/>
                <w:szCs w:val="15"/>
              </w:rPr>
              <w:t>、所有表面开口缺陷累计长度不得大于整条焊缝长度的</w:t>
            </w:r>
            <w:r>
              <w:rPr>
                <w:rFonts w:ascii="Times New Roman" w:hAnsi="Times New Roman"/>
                <w:color w:val="auto"/>
                <w:sz w:val="15"/>
                <w:szCs w:val="15"/>
              </w:rPr>
              <w:t>5%</w:t>
            </w:r>
            <w:r>
              <w:rPr>
                <w:rFonts w:hint="eastAsia" w:ascii="Times New Roman" w:hAnsi="Times New Roman"/>
                <w:color w:val="auto"/>
                <w:sz w:val="15"/>
                <w:szCs w:val="15"/>
              </w:rPr>
              <w:t>且最大不得超过</w:t>
            </w:r>
            <w:r>
              <w:rPr>
                <w:rFonts w:ascii="Times New Roman" w:hAnsi="Times New Roman"/>
                <w:color w:val="auto"/>
                <w:sz w:val="15"/>
                <w:szCs w:val="15"/>
              </w:rPr>
              <w:t>50mm</w:t>
            </w:r>
          </w:p>
        </w:tc>
      </w:tr>
      <w:tr w14:paraId="3B900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3" w:type="dxa"/>
            <w:vMerge w:val="continue"/>
            <w:vAlign w:val="center"/>
          </w:tcPr>
          <w:p w14:paraId="7D6FE36B">
            <w:pPr>
              <w:pStyle w:val="244"/>
              <w:jc w:val="center"/>
              <w:rPr>
                <w:rFonts w:cs="Times New Roman"/>
                <w:color w:val="auto"/>
              </w:rPr>
            </w:pPr>
          </w:p>
        </w:tc>
        <w:tc>
          <w:tcPr>
            <w:tcW w:w="1260" w:type="dxa"/>
            <w:vAlign w:val="center"/>
          </w:tcPr>
          <w:p w14:paraId="642973FF">
            <w:pPr>
              <w:pStyle w:val="244"/>
              <w:jc w:val="center"/>
              <w:rPr>
                <w:rFonts w:cs="Times New Roman"/>
                <w:color w:val="auto"/>
              </w:rPr>
            </w:pPr>
            <w:r>
              <w:rPr>
                <w:rFonts w:cs="Times New Roman"/>
                <w:color w:val="auto"/>
              </w:rPr>
              <w:t>15&lt;</w:t>
            </w:r>
            <w:r>
              <w:rPr>
                <w:rFonts w:cs="Times New Roman"/>
                <w:i/>
                <w:color w:val="auto"/>
              </w:rPr>
              <w:t>t</w:t>
            </w:r>
            <w:r>
              <w:rPr>
                <w:rFonts w:hint="eastAsia" w:cs="Times New Roman"/>
                <w:color w:val="auto"/>
              </w:rPr>
              <w:t>≤</w:t>
            </w:r>
            <w:r>
              <w:rPr>
                <w:rFonts w:cs="Times New Roman"/>
                <w:color w:val="auto"/>
              </w:rPr>
              <w:t>25</w:t>
            </w:r>
          </w:p>
        </w:tc>
        <w:tc>
          <w:tcPr>
            <w:tcW w:w="1010" w:type="dxa"/>
            <w:vAlign w:val="center"/>
          </w:tcPr>
          <w:p w14:paraId="7C8E4AAA">
            <w:pPr>
              <w:pStyle w:val="244"/>
              <w:jc w:val="center"/>
              <w:rPr>
                <w:rFonts w:cs="Times New Roman"/>
                <w:color w:val="auto"/>
              </w:rPr>
            </w:pPr>
            <w:r>
              <w:rPr>
                <w:rFonts w:hint="eastAsia" w:cs="Times New Roman"/>
                <w:color w:val="auto"/>
              </w:rPr>
              <w:t>≤</w:t>
            </w:r>
            <w:r>
              <w:rPr>
                <w:rFonts w:cs="Times New Roman"/>
                <w:i/>
                <w:color w:val="auto"/>
              </w:rPr>
              <w:t>t</w:t>
            </w:r>
            <w:r>
              <w:rPr>
                <w:rFonts w:cs="Times New Roman"/>
                <w:color w:val="auto"/>
              </w:rPr>
              <w:t>/2</w:t>
            </w:r>
          </w:p>
        </w:tc>
        <w:tc>
          <w:tcPr>
            <w:tcW w:w="900" w:type="dxa"/>
            <w:vAlign w:val="center"/>
          </w:tcPr>
          <w:p w14:paraId="3B4A4646">
            <w:pPr>
              <w:pStyle w:val="244"/>
              <w:jc w:val="center"/>
              <w:rPr>
                <w:rFonts w:cs="Times New Roman"/>
                <w:color w:val="auto"/>
              </w:rPr>
            </w:pPr>
            <w:r>
              <w:rPr>
                <w:rFonts w:hint="eastAsia" w:cs="Times New Roman"/>
                <w:color w:val="auto"/>
              </w:rPr>
              <w:t>≤</w:t>
            </w:r>
            <w:r>
              <w:rPr>
                <w:rFonts w:cs="Times New Roman"/>
                <w:color w:val="auto"/>
              </w:rPr>
              <w:t>1</w:t>
            </w:r>
          </w:p>
        </w:tc>
        <w:tc>
          <w:tcPr>
            <w:tcW w:w="708" w:type="dxa"/>
            <w:vAlign w:val="center"/>
          </w:tcPr>
          <w:p w14:paraId="011BE4AE">
            <w:pPr>
              <w:pStyle w:val="244"/>
              <w:jc w:val="center"/>
              <w:rPr>
                <w:rFonts w:cs="Times New Roman"/>
                <w:color w:val="auto"/>
              </w:rPr>
            </w:pPr>
            <w:r>
              <w:rPr>
                <w:rFonts w:hint="eastAsia" w:cs="Times New Roman"/>
                <w:color w:val="auto"/>
              </w:rPr>
              <w:t>≤</w:t>
            </w:r>
            <w:r>
              <w:rPr>
                <w:rFonts w:cs="Times New Roman"/>
                <w:i/>
                <w:color w:val="auto"/>
              </w:rPr>
              <w:t>t</w:t>
            </w:r>
            <w:r>
              <w:rPr>
                <w:rFonts w:cs="Times New Roman"/>
                <w:color w:val="auto"/>
              </w:rPr>
              <w:t>/2</w:t>
            </w:r>
          </w:p>
        </w:tc>
        <w:tc>
          <w:tcPr>
            <w:tcW w:w="709" w:type="dxa"/>
            <w:vAlign w:val="center"/>
          </w:tcPr>
          <w:p w14:paraId="51AD3F78">
            <w:pPr>
              <w:pStyle w:val="244"/>
              <w:jc w:val="center"/>
              <w:rPr>
                <w:rFonts w:cs="Times New Roman"/>
                <w:color w:val="auto"/>
              </w:rPr>
            </w:pPr>
            <w:r>
              <w:rPr>
                <w:rFonts w:hint="eastAsia" w:cs="Times New Roman"/>
                <w:color w:val="auto"/>
              </w:rPr>
              <w:t>≤</w:t>
            </w:r>
            <w:r>
              <w:rPr>
                <w:rFonts w:cs="Times New Roman"/>
                <w:color w:val="auto"/>
              </w:rPr>
              <w:t>2</w:t>
            </w:r>
          </w:p>
        </w:tc>
        <w:tc>
          <w:tcPr>
            <w:tcW w:w="1134" w:type="dxa"/>
            <w:vAlign w:val="center"/>
          </w:tcPr>
          <w:p w14:paraId="5CF1CF98">
            <w:pPr>
              <w:pStyle w:val="244"/>
              <w:jc w:val="center"/>
              <w:rPr>
                <w:rFonts w:cs="Times New Roman"/>
                <w:color w:val="auto"/>
              </w:rPr>
            </w:pPr>
            <w:r>
              <w:rPr>
                <w:rFonts w:hint="eastAsia" w:cs="Times New Roman"/>
                <w:color w:val="auto"/>
              </w:rPr>
              <w:t>≤</w:t>
            </w:r>
            <w:r>
              <w:rPr>
                <w:rFonts w:cs="Times New Roman"/>
                <w:color w:val="auto"/>
              </w:rPr>
              <w:t>1</w:t>
            </w:r>
          </w:p>
        </w:tc>
        <w:tc>
          <w:tcPr>
            <w:tcW w:w="2876" w:type="dxa"/>
            <w:vMerge w:val="continue"/>
            <w:vAlign w:val="center"/>
          </w:tcPr>
          <w:p w14:paraId="1079E05B">
            <w:pPr>
              <w:pStyle w:val="244"/>
              <w:jc w:val="center"/>
              <w:rPr>
                <w:rFonts w:cs="Times New Roman"/>
                <w:color w:val="auto"/>
              </w:rPr>
            </w:pPr>
          </w:p>
        </w:tc>
      </w:tr>
      <w:tr w14:paraId="39E18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3" w:type="dxa"/>
            <w:vMerge w:val="continue"/>
            <w:vAlign w:val="center"/>
          </w:tcPr>
          <w:p w14:paraId="3D90BF02">
            <w:pPr>
              <w:pStyle w:val="244"/>
              <w:jc w:val="center"/>
              <w:rPr>
                <w:rFonts w:cs="Times New Roman"/>
                <w:color w:val="auto"/>
              </w:rPr>
            </w:pPr>
          </w:p>
        </w:tc>
        <w:tc>
          <w:tcPr>
            <w:tcW w:w="1260" w:type="dxa"/>
            <w:vAlign w:val="center"/>
          </w:tcPr>
          <w:p w14:paraId="27BE8522">
            <w:pPr>
              <w:pStyle w:val="244"/>
              <w:jc w:val="center"/>
              <w:rPr>
                <w:rFonts w:cs="Times New Roman"/>
                <w:color w:val="auto"/>
              </w:rPr>
            </w:pPr>
            <w:r>
              <w:rPr>
                <w:rFonts w:cs="Times New Roman"/>
                <w:color w:val="auto"/>
              </w:rPr>
              <w:t>25&lt;</w:t>
            </w:r>
            <w:r>
              <w:rPr>
                <w:rFonts w:cs="Times New Roman"/>
                <w:i/>
                <w:color w:val="auto"/>
              </w:rPr>
              <w:t>t</w:t>
            </w:r>
            <w:r>
              <w:rPr>
                <w:rFonts w:hint="eastAsia" w:cs="Times New Roman"/>
                <w:color w:val="auto"/>
              </w:rPr>
              <w:t>≤</w:t>
            </w:r>
            <w:r>
              <w:rPr>
                <w:rFonts w:cs="Times New Roman"/>
                <w:color w:val="auto"/>
              </w:rPr>
              <w:t>35</w:t>
            </w:r>
          </w:p>
        </w:tc>
        <w:tc>
          <w:tcPr>
            <w:tcW w:w="1010" w:type="dxa"/>
            <w:vAlign w:val="center"/>
          </w:tcPr>
          <w:p w14:paraId="1BD67B1B">
            <w:pPr>
              <w:pStyle w:val="244"/>
              <w:jc w:val="center"/>
              <w:rPr>
                <w:rFonts w:cs="Times New Roman"/>
                <w:color w:val="auto"/>
              </w:rPr>
            </w:pPr>
            <w:r>
              <w:rPr>
                <w:rFonts w:hint="eastAsia" w:cs="Times New Roman"/>
                <w:color w:val="auto"/>
              </w:rPr>
              <w:t>≤</w:t>
            </w:r>
            <w:r>
              <w:rPr>
                <w:rFonts w:cs="Times New Roman"/>
                <w:color w:val="auto"/>
              </w:rPr>
              <w:t>15</w:t>
            </w:r>
          </w:p>
        </w:tc>
        <w:tc>
          <w:tcPr>
            <w:tcW w:w="900" w:type="dxa"/>
            <w:vAlign w:val="center"/>
          </w:tcPr>
          <w:p w14:paraId="32E701C0">
            <w:pPr>
              <w:pStyle w:val="244"/>
              <w:jc w:val="center"/>
              <w:rPr>
                <w:rFonts w:cs="Times New Roman"/>
                <w:color w:val="auto"/>
              </w:rPr>
            </w:pPr>
            <w:r>
              <w:rPr>
                <w:rFonts w:hint="eastAsia" w:cs="Times New Roman"/>
                <w:color w:val="auto"/>
              </w:rPr>
              <w:t>≤</w:t>
            </w:r>
            <w:r>
              <w:rPr>
                <w:rFonts w:cs="Times New Roman"/>
                <w:color w:val="auto"/>
              </w:rPr>
              <w:t>2</w:t>
            </w:r>
          </w:p>
        </w:tc>
        <w:tc>
          <w:tcPr>
            <w:tcW w:w="708" w:type="dxa"/>
            <w:vAlign w:val="center"/>
          </w:tcPr>
          <w:p w14:paraId="6428FAB9">
            <w:pPr>
              <w:pStyle w:val="244"/>
              <w:jc w:val="center"/>
              <w:rPr>
                <w:rFonts w:cs="Times New Roman"/>
                <w:color w:val="auto"/>
              </w:rPr>
            </w:pPr>
            <w:r>
              <w:rPr>
                <w:rFonts w:hint="eastAsia" w:cs="Times New Roman"/>
                <w:color w:val="auto"/>
              </w:rPr>
              <w:t>≤</w:t>
            </w:r>
            <w:r>
              <w:rPr>
                <w:rFonts w:cs="Times New Roman"/>
                <w:color w:val="auto"/>
              </w:rPr>
              <w:t>20</w:t>
            </w:r>
          </w:p>
        </w:tc>
        <w:tc>
          <w:tcPr>
            <w:tcW w:w="709" w:type="dxa"/>
            <w:vAlign w:val="center"/>
          </w:tcPr>
          <w:p w14:paraId="75D9F550">
            <w:pPr>
              <w:pStyle w:val="244"/>
              <w:jc w:val="center"/>
              <w:rPr>
                <w:rFonts w:cs="Times New Roman"/>
                <w:color w:val="auto"/>
              </w:rPr>
            </w:pPr>
            <w:r>
              <w:rPr>
                <w:rFonts w:hint="eastAsia" w:cs="Times New Roman"/>
                <w:color w:val="auto"/>
              </w:rPr>
              <w:t>≤</w:t>
            </w:r>
            <w:r>
              <w:rPr>
                <w:rFonts w:cs="Times New Roman"/>
                <w:color w:val="auto"/>
              </w:rPr>
              <w:t>3</w:t>
            </w:r>
          </w:p>
        </w:tc>
        <w:tc>
          <w:tcPr>
            <w:tcW w:w="1134" w:type="dxa"/>
            <w:vAlign w:val="center"/>
          </w:tcPr>
          <w:p w14:paraId="64027049">
            <w:pPr>
              <w:pStyle w:val="244"/>
              <w:jc w:val="center"/>
              <w:rPr>
                <w:rFonts w:cs="Times New Roman"/>
                <w:color w:val="auto"/>
              </w:rPr>
            </w:pPr>
            <w:r>
              <w:rPr>
                <w:rFonts w:hint="eastAsia" w:cs="Times New Roman"/>
                <w:color w:val="auto"/>
              </w:rPr>
              <w:t>≤</w:t>
            </w:r>
            <w:r>
              <w:rPr>
                <w:rFonts w:cs="Times New Roman"/>
                <w:color w:val="auto"/>
              </w:rPr>
              <w:t>2</w:t>
            </w:r>
          </w:p>
        </w:tc>
        <w:tc>
          <w:tcPr>
            <w:tcW w:w="2876" w:type="dxa"/>
            <w:vMerge w:val="continue"/>
            <w:vAlign w:val="center"/>
          </w:tcPr>
          <w:p w14:paraId="26B51CAC">
            <w:pPr>
              <w:pStyle w:val="244"/>
              <w:jc w:val="center"/>
              <w:rPr>
                <w:rFonts w:cs="Times New Roman"/>
                <w:color w:val="auto"/>
              </w:rPr>
            </w:pPr>
          </w:p>
        </w:tc>
      </w:tr>
      <w:tr w14:paraId="5B50A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3" w:type="dxa"/>
            <w:vMerge w:val="continue"/>
            <w:vAlign w:val="center"/>
          </w:tcPr>
          <w:p w14:paraId="4F7A55B5">
            <w:pPr>
              <w:pStyle w:val="244"/>
              <w:jc w:val="center"/>
              <w:rPr>
                <w:rFonts w:cs="Times New Roman"/>
                <w:color w:val="auto"/>
              </w:rPr>
            </w:pPr>
          </w:p>
        </w:tc>
        <w:tc>
          <w:tcPr>
            <w:tcW w:w="1260" w:type="dxa"/>
            <w:vAlign w:val="center"/>
          </w:tcPr>
          <w:p w14:paraId="27DBAD14">
            <w:pPr>
              <w:pStyle w:val="244"/>
              <w:jc w:val="center"/>
              <w:rPr>
                <w:rFonts w:cs="Times New Roman"/>
                <w:color w:val="auto"/>
              </w:rPr>
            </w:pPr>
            <w:r>
              <w:rPr>
                <w:rFonts w:cs="Times New Roman"/>
                <w:color w:val="auto"/>
              </w:rPr>
              <w:t>35&lt;</w:t>
            </w:r>
            <w:r>
              <w:rPr>
                <w:rFonts w:cs="Times New Roman"/>
                <w:i/>
                <w:color w:val="auto"/>
              </w:rPr>
              <w:t>t</w:t>
            </w:r>
            <w:r>
              <w:rPr>
                <w:rFonts w:hint="eastAsia" w:cs="Times New Roman"/>
                <w:color w:val="auto"/>
              </w:rPr>
              <w:t>≤</w:t>
            </w:r>
            <w:r>
              <w:rPr>
                <w:rFonts w:cs="Times New Roman"/>
                <w:color w:val="auto"/>
              </w:rPr>
              <w:t>70</w:t>
            </w:r>
          </w:p>
        </w:tc>
        <w:tc>
          <w:tcPr>
            <w:tcW w:w="1010" w:type="dxa"/>
            <w:vAlign w:val="center"/>
          </w:tcPr>
          <w:p w14:paraId="35531203">
            <w:pPr>
              <w:pStyle w:val="244"/>
              <w:jc w:val="center"/>
              <w:rPr>
                <w:rFonts w:cs="Times New Roman"/>
                <w:color w:val="auto"/>
              </w:rPr>
            </w:pPr>
            <w:r>
              <w:rPr>
                <w:rFonts w:hint="eastAsia" w:cs="Times New Roman"/>
                <w:color w:val="auto"/>
              </w:rPr>
              <w:t>≤</w:t>
            </w:r>
            <w:r>
              <w:rPr>
                <w:rFonts w:cs="Times New Roman"/>
                <w:color w:val="auto"/>
              </w:rPr>
              <w:t>20</w:t>
            </w:r>
          </w:p>
        </w:tc>
        <w:tc>
          <w:tcPr>
            <w:tcW w:w="900" w:type="dxa"/>
            <w:vAlign w:val="center"/>
          </w:tcPr>
          <w:p w14:paraId="0F92D995">
            <w:pPr>
              <w:pStyle w:val="244"/>
              <w:jc w:val="center"/>
              <w:rPr>
                <w:rFonts w:cs="Times New Roman"/>
                <w:color w:val="auto"/>
              </w:rPr>
            </w:pPr>
            <w:r>
              <w:rPr>
                <w:rFonts w:hint="eastAsia" w:cs="Times New Roman"/>
                <w:color w:val="auto"/>
              </w:rPr>
              <w:t>≤</w:t>
            </w:r>
            <w:r>
              <w:rPr>
                <w:rFonts w:cs="Times New Roman"/>
                <w:color w:val="auto"/>
              </w:rPr>
              <w:t>2</w:t>
            </w:r>
          </w:p>
        </w:tc>
        <w:tc>
          <w:tcPr>
            <w:tcW w:w="708" w:type="dxa"/>
            <w:vAlign w:val="center"/>
          </w:tcPr>
          <w:p w14:paraId="39EEC9AC">
            <w:pPr>
              <w:pStyle w:val="244"/>
              <w:jc w:val="center"/>
              <w:rPr>
                <w:rFonts w:cs="Times New Roman"/>
                <w:color w:val="auto"/>
              </w:rPr>
            </w:pPr>
            <w:r>
              <w:rPr>
                <w:rFonts w:hint="eastAsia" w:cs="Times New Roman"/>
                <w:color w:val="auto"/>
              </w:rPr>
              <w:t>≤</w:t>
            </w:r>
            <w:r>
              <w:rPr>
                <w:rFonts w:cs="Times New Roman"/>
                <w:color w:val="auto"/>
              </w:rPr>
              <w:t>25</w:t>
            </w:r>
          </w:p>
        </w:tc>
        <w:tc>
          <w:tcPr>
            <w:tcW w:w="709" w:type="dxa"/>
            <w:vAlign w:val="center"/>
          </w:tcPr>
          <w:p w14:paraId="601A0698">
            <w:pPr>
              <w:pStyle w:val="244"/>
              <w:jc w:val="center"/>
              <w:rPr>
                <w:rFonts w:cs="Times New Roman"/>
                <w:color w:val="auto"/>
              </w:rPr>
            </w:pPr>
            <w:r>
              <w:rPr>
                <w:rFonts w:hint="eastAsia" w:cs="Times New Roman"/>
                <w:color w:val="auto"/>
              </w:rPr>
              <w:t>≤</w:t>
            </w:r>
            <w:r>
              <w:rPr>
                <w:rFonts w:cs="Times New Roman"/>
                <w:color w:val="auto"/>
              </w:rPr>
              <w:t>3</w:t>
            </w:r>
          </w:p>
        </w:tc>
        <w:tc>
          <w:tcPr>
            <w:tcW w:w="1134" w:type="dxa"/>
            <w:vAlign w:val="center"/>
          </w:tcPr>
          <w:p w14:paraId="1CC65EE4">
            <w:pPr>
              <w:pStyle w:val="244"/>
              <w:jc w:val="center"/>
              <w:rPr>
                <w:rFonts w:cs="Times New Roman"/>
                <w:color w:val="auto"/>
              </w:rPr>
            </w:pPr>
            <w:r>
              <w:rPr>
                <w:rFonts w:hint="eastAsia" w:cs="Times New Roman"/>
                <w:color w:val="auto"/>
              </w:rPr>
              <w:t>≤</w:t>
            </w:r>
            <w:r>
              <w:rPr>
                <w:rFonts w:cs="Times New Roman"/>
                <w:color w:val="auto"/>
              </w:rPr>
              <w:t>2</w:t>
            </w:r>
          </w:p>
        </w:tc>
        <w:tc>
          <w:tcPr>
            <w:tcW w:w="2876" w:type="dxa"/>
            <w:vMerge w:val="continue"/>
            <w:vAlign w:val="center"/>
          </w:tcPr>
          <w:p w14:paraId="0B64781E">
            <w:pPr>
              <w:pStyle w:val="244"/>
              <w:jc w:val="center"/>
              <w:rPr>
                <w:rFonts w:cs="Times New Roman"/>
                <w:color w:val="auto"/>
              </w:rPr>
            </w:pPr>
          </w:p>
        </w:tc>
      </w:tr>
      <w:tr w14:paraId="4B375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3" w:type="dxa"/>
            <w:vMerge w:val="restart"/>
            <w:vAlign w:val="center"/>
          </w:tcPr>
          <w:p w14:paraId="040A15CE">
            <w:pPr>
              <w:pStyle w:val="244"/>
              <w:jc w:val="center"/>
              <w:rPr>
                <w:rFonts w:cs="Times New Roman"/>
                <w:color w:val="auto"/>
              </w:rPr>
            </w:pPr>
            <w:r>
              <w:rPr>
                <w:rFonts w:cs="Times New Roman"/>
                <w:color w:val="auto"/>
              </w:rPr>
              <w:t>II</w:t>
            </w:r>
          </w:p>
        </w:tc>
        <w:tc>
          <w:tcPr>
            <w:tcW w:w="1260" w:type="dxa"/>
            <w:vAlign w:val="center"/>
          </w:tcPr>
          <w:p w14:paraId="11CD09C8">
            <w:pPr>
              <w:pStyle w:val="244"/>
              <w:jc w:val="center"/>
              <w:rPr>
                <w:rFonts w:cs="Times New Roman"/>
                <w:color w:val="auto"/>
              </w:rPr>
            </w:pPr>
            <w:r>
              <w:rPr>
                <w:rFonts w:cs="Times New Roman"/>
                <w:color w:val="auto"/>
              </w:rPr>
              <w:t>10</w:t>
            </w:r>
            <w:r>
              <w:rPr>
                <w:rFonts w:hint="eastAsia" w:cs="Times New Roman"/>
                <w:color w:val="auto"/>
              </w:rPr>
              <w:t>≤</w:t>
            </w:r>
            <w:r>
              <w:rPr>
                <w:rFonts w:cs="Times New Roman"/>
                <w:i/>
                <w:color w:val="auto"/>
              </w:rPr>
              <w:t>t</w:t>
            </w:r>
            <w:r>
              <w:rPr>
                <w:rFonts w:hint="eastAsia" w:cs="Times New Roman"/>
                <w:color w:val="auto"/>
              </w:rPr>
              <w:t>≤</w:t>
            </w:r>
            <w:r>
              <w:rPr>
                <w:rFonts w:cs="Times New Roman"/>
                <w:color w:val="auto"/>
              </w:rPr>
              <w:t>15</w:t>
            </w:r>
          </w:p>
        </w:tc>
        <w:tc>
          <w:tcPr>
            <w:tcW w:w="1010" w:type="dxa"/>
            <w:vAlign w:val="center"/>
          </w:tcPr>
          <w:p w14:paraId="0469C626">
            <w:pPr>
              <w:pStyle w:val="244"/>
              <w:jc w:val="center"/>
              <w:rPr>
                <w:rFonts w:cs="Times New Roman"/>
                <w:color w:val="auto"/>
              </w:rPr>
            </w:pPr>
            <w:r>
              <w:rPr>
                <w:rFonts w:hint="eastAsia" w:cs="Times New Roman"/>
                <w:color w:val="auto"/>
              </w:rPr>
              <w:t>≤</w:t>
            </w:r>
            <w:r>
              <w:rPr>
                <w:rFonts w:cs="Times New Roman"/>
                <w:i/>
                <w:color w:val="auto"/>
              </w:rPr>
              <w:t>t</w:t>
            </w:r>
          </w:p>
        </w:tc>
        <w:tc>
          <w:tcPr>
            <w:tcW w:w="900" w:type="dxa"/>
            <w:vAlign w:val="center"/>
          </w:tcPr>
          <w:p w14:paraId="29E5F30F">
            <w:pPr>
              <w:pStyle w:val="244"/>
              <w:jc w:val="center"/>
              <w:rPr>
                <w:rFonts w:cs="Times New Roman"/>
                <w:color w:val="auto"/>
              </w:rPr>
            </w:pPr>
            <w:r>
              <w:rPr>
                <w:rFonts w:hint="eastAsia" w:cs="Times New Roman"/>
                <w:color w:val="auto"/>
              </w:rPr>
              <w:t>≤</w:t>
            </w:r>
            <w:r>
              <w:rPr>
                <w:rFonts w:cs="Times New Roman"/>
                <w:color w:val="auto"/>
              </w:rPr>
              <w:t>1</w:t>
            </w:r>
          </w:p>
        </w:tc>
        <w:tc>
          <w:tcPr>
            <w:tcW w:w="708" w:type="dxa"/>
            <w:vAlign w:val="center"/>
          </w:tcPr>
          <w:p w14:paraId="4ABFED09">
            <w:pPr>
              <w:pStyle w:val="244"/>
              <w:jc w:val="center"/>
              <w:rPr>
                <w:rFonts w:cs="Times New Roman"/>
                <w:color w:val="auto"/>
              </w:rPr>
            </w:pPr>
            <w:r>
              <w:rPr>
                <w:rFonts w:hint="eastAsia" w:cs="Times New Roman"/>
                <w:color w:val="auto"/>
              </w:rPr>
              <w:t>≤</w:t>
            </w:r>
            <w:r>
              <w:rPr>
                <w:rFonts w:cs="Times New Roman"/>
                <w:i/>
                <w:color w:val="auto"/>
              </w:rPr>
              <w:t>t</w:t>
            </w:r>
          </w:p>
        </w:tc>
        <w:tc>
          <w:tcPr>
            <w:tcW w:w="709" w:type="dxa"/>
            <w:vAlign w:val="center"/>
          </w:tcPr>
          <w:p w14:paraId="7D1A539B">
            <w:pPr>
              <w:pStyle w:val="244"/>
              <w:jc w:val="center"/>
              <w:rPr>
                <w:rFonts w:cs="Times New Roman"/>
                <w:color w:val="auto"/>
              </w:rPr>
            </w:pPr>
            <w:r>
              <w:rPr>
                <w:rFonts w:hint="eastAsia" w:cs="Times New Roman"/>
                <w:color w:val="auto"/>
              </w:rPr>
              <w:t>≤</w:t>
            </w:r>
            <w:r>
              <w:rPr>
                <w:rFonts w:cs="Times New Roman"/>
                <w:color w:val="auto"/>
              </w:rPr>
              <w:t>2</w:t>
            </w:r>
          </w:p>
        </w:tc>
        <w:tc>
          <w:tcPr>
            <w:tcW w:w="1134" w:type="dxa"/>
            <w:vAlign w:val="center"/>
          </w:tcPr>
          <w:p w14:paraId="5A4DC341">
            <w:pPr>
              <w:pStyle w:val="244"/>
              <w:jc w:val="center"/>
              <w:rPr>
                <w:rFonts w:cs="Times New Roman"/>
                <w:color w:val="auto"/>
              </w:rPr>
            </w:pPr>
            <w:r>
              <w:rPr>
                <w:rFonts w:hint="eastAsia" w:cs="Times New Roman"/>
                <w:color w:val="auto"/>
              </w:rPr>
              <w:t>≤</w:t>
            </w:r>
            <w:r>
              <w:rPr>
                <w:rFonts w:cs="Times New Roman"/>
                <w:color w:val="auto"/>
              </w:rPr>
              <w:t>1</w:t>
            </w:r>
          </w:p>
        </w:tc>
        <w:tc>
          <w:tcPr>
            <w:tcW w:w="2876" w:type="dxa"/>
            <w:vMerge w:val="restart"/>
            <w:vAlign w:val="center"/>
          </w:tcPr>
          <w:p w14:paraId="188300DA">
            <w:pPr>
              <w:pStyle w:val="244"/>
              <w:spacing w:line="0" w:lineRule="atLeast"/>
              <w:rPr>
                <w:rFonts w:cs="Times New Roman"/>
                <w:color w:val="auto"/>
                <w:sz w:val="15"/>
                <w:szCs w:val="15"/>
              </w:rPr>
            </w:pPr>
            <w:r>
              <w:rPr>
                <w:rFonts w:cs="Times New Roman"/>
                <w:color w:val="auto"/>
                <w:sz w:val="15"/>
                <w:szCs w:val="15"/>
              </w:rPr>
              <w:t>1</w:t>
            </w:r>
            <w:r>
              <w:rPr>
                <w:rFonts w:hint="eastAsia" w:cs="Times New Roman"/>
                <w:color w:val="auto"/>
                <w:sz w:val="15"/>
                <w:szCs w:val="15"/>
              </w:rPr>
              <w:t>、对于单个或多个</w:t>
            </w:r>
            <w:r>
              <w:rPr>
                <w:rFonts w:cs="Times New Roman"/>
                <w:i/>
                <w:color w:val="auto"/>
                <w:sz w:val="15"/>
                <w:szCs w:val="15"/>
              </w:rPr>
              <w:t>h</w:t>
            </w:r>
            <w:r>
              <w:rPr>
                <w:rFonts w:hint="eastAsia" w:cs="Times New Roman"/>
                <w:color w:val="auto"/>
                <w:sz w:val="15"/>
                <w:szCs w:val="15"/>
              </w:rPr>
              <w:t>≤</w:t>
            </w:r>
            <w:r>
              <w:rPr>
                <w:rFonts w:cs="Times New Roman"/>
                <w:i/>
                <w:color w:val="auto"/>
                <w:sz w:val="15"/>
                <w:szCs w:val="15"/>
              </w:rPr>
              <w:t>h</w:t>
            </w:r>
            <w:r>
              <w:rPr>
                <w:rFonts w:cs="Times New Roman"/>
                <w:color w:val="auto"/>
                <w:sz w:val="15"/>
                <w:szCs w:val="15"/>
                <w:vertAlign w:val="subscript"/>
              </w:rPr>
              <w:t>1</w:t>
            </w:r>
            <w:r>
              <w:rPr>
                <w:rFonts w:hint="eastAsia" w:cs="Times New Roman"/>
                <w:color w:val="auto"/>
                <w:sz w:val="15"/>
                <w:szCs w:val="15"/>
              </w:rPr>
              <w:t>的线状缺陷，在任意</w:t>
            </w:r>
            <w:r>
              <w:rPr>
                <w:rFonts w:cs="Times New Roman"/>
                <w:color w:val="auto"/>
                <w:sz w:val="15"/>
                <w:szCs w:val="15"/>
              </w:rPr>
              <w:t>12</w:t>
            </w:r>
            <w:r>
              <w:rPr>
                <w:rFonts w:cs="Times New Roman"/>
                <w:i/>
                <w:color w:val="auto"/>
                <w:sz w:val="15"/>
                <w:szCs w:val="15"/>
              </w:rPr>
              <w:t>t</w:t>
            </w:r>
            <w:r>
              <w:rPr>
                <w:rFonts w:hint="eastAsia" w:cs="Times New Roman"/>
                <w:color w:val="auto"/>
                <w:sz w:val="15"/>
                <w:szCs w:val="15"/>
              </w:rPr>
              <w:t>范围内累计长度不得超过</w:t>
            </w:r>
            <w:r>
              <w:rPr>
                <w:rFonts w:cs="Times New Roman"/>
                <w:color w:val="auto"/>
                <w:sz w:val="15"/>
                <w:szCs w:val="15"/>
              </w:rPr>
              <w:t>3</w:t>
            </w:r>
            <w:r>
              <w:rPr>
                <w:rFonts w:cs="Times New Roman"/>
                <w:i/>
                <w:color w:val="auto"/>
                <w:sz w:val="15"/>
                <w:szCs w:val="15"/>
              </w:rPr>
              <w:t>t</w:t>
            </w:r>
            <w:r>
              <w:rPr>
                <w:rFonts w:hint="eastAsia" w:cs="Times New Roman"/>
                <w:color w:val="auto"/>
                <w:sz w:val="15"/>
                <w:szCs w:val="15"/>
              </w:rPr>
              <w:t>且最大值为</w:t>
            </w:r>
            <w:r>
              <w:rPr>
                <w:rFonts w:cs="Times New Roman"/>
                <w:color w:val="auto"/>
                <w:sz w:val="15"/>
                <w:szCs w:val="15"/>
              </w:rPr>
              <w:t>150mm</w:t>
            </w:r>
            <w:r>
              <w:rPr>
                <w:rFonts w:hint="eastAsia" w:cs="Times New Roman"/>
                <w:color w:val="auto"/>
                <w:sz w:val="15"/>
                <w:szCs w:val="15"/>
              </w:rPr>
              <w:t>；</w:t>
            </w:r>
          </w:p>
          <w:p w14:paraId="4E613C74">
            <w:pPr>
              <w:pStyle w:val="244"/>
              <w:spacing w:line="0" w:lineRule="atLeast"/>
              <w:rPr>
                <w:rFonts w:cs="Times New Roman"/>
                <w:color w:val="auto"/>
                <w:sz w:val="15"/>
                <w:szCs w:val="15"/>
              </w:rPr>
            </w:pPr>
            <w:r>
              <w:rPr>
                <w:rFonts w:cs="Times New Roman"/>
                <w:color w:val="auto"/>
                <w:sz w:val="15"/>
                <w:szCs w:val="15"/>
              </w:rPr>
              <w:t>2</w:t>
            </w:r>
            <w:r>
              <w:rPr>
                <w:rFonts w:hint="eastAsia" w:cs="Times New Roman"/>
                <w:color w:val="auto"/>
                <w:sz w:val="15"/>
                <w:szCs w:val="15"/>
              </w:rPr>
              <w:t>、若多个缺陷其各自长度</w:t>
            </w:r>
            <w:r>
              <w:rPr>
                <w:rFonts w:cs="Times New Roman"/>
                <w:i/>
                <w:color w:val="auto"/>
                <w:sz w:val="15"/>
                <w:szCs w:val="15"/>
              </w:rPr>
              <w:t>l</w:t>
            </w:r>
            <w:r>
              <w:rPr>
                <w:rFonts w:hint="eastAsia" w:cs="Times New Roman"/>
                <w:color w:val="auto"/>
                <w:sz w:val="15"/>
                <w:szCs w:val="15"/>
              </w:rPr>
              <w:t>≤</w:t>
            </w:r>
            <w:r>
              <w:rPr>
                <w:rFonts w:cs="Times New Roman"/>
                <w:i/>
                <w:color w:val="auto"/>
                <w:sz w:val="15"/>
                <w:szCs w:val="15"/>
              </w:rPr>
              <w:t>l</w:t>
            </w:r>
            <w:r>
              <w:rPr>
                <w:rFonts w:cs="Times New Roman"/>
                <w:color w:val="auto"/>
                <w:sz w:val="15"/>
                <w:szCs w:val="15"/>
                <w:vertAlign w:val="subscript"/>
              </w:rPr>
              <w:t>max</w:t>
            </w:r>
            <w:r>
              <w:rPr>
                <w:rFonts w:hint="eastAsia" w:cs="Times New Roman"/>
                <w:color w:val="auto"/>
                <w:sz w:val="15"/>
                <w:szCs w:val="15"/>
              </w:rPr>
              <w:t>、高度</w:t>
            </w:r>
            <w:r>
              <w:rPr>
                <w:rFonts w:cs="Times New Roman"/>
                <w:i/>
                <w:color w:val="auto"/>
                <w:sz w:val="15"/>
                <w:szCs w:val="15"/>
              </w:rPr>
              <w:t>h</w:t>
            </w:r>
            <w:r>
              <w:rPr>
                <w:rFonts w:hint="eastAsia" w:cs="Times New Roman"/>
                <w:color w:val="auto"/>
                <w:sz w:val="15"/>
                <w:szCs w:val="15"/>
              </w:rPr>
              <w:t>均为：</w:t>
            </w:r>
            <w:r>
              <w:rPr>
                <w:rFonts w:cs="Times New Roman"/>
                <w:i/>
                <w:color w:val="auto"/>
                <w:sz w:val="15"/>
                <w:szCs w:val="15"/>
              </w:rPr>
              <w:t>h</w:t>
            </w:r>
            <w:r>
              <w:rPr>
                <w:rFonts w:hint="eastAsia" w:cs="Times New Roman"/>
                <w:color w:val="auto"/>
                <w:sz w:val="15"/>
                <w:szCs w:val="15"/>
              </w:rPr>
              <w:t>≤</w:t>
            </w:r>
            <w:r>
              <w:rPr>
                <w:rFonts w:cs="Times New Roman"/>
                <w:i/>
                <w:color w:val="auto"/>
                <w:sz w:val="15"/>
                <w:szCs w:val="15"/>
              </w:rPr>
              <w:t>h</w:t>
            </w:r>
            <w:r>
              <w:rPr>
                <w:rFonts w:cs="Times New Roman"/>
                <w:color w:val="auto"/>
                <w:sz w:val="15"/>
                <w:szCs w:val="15"/>
                <w:vertAlign w:val="subscript"/>
              </w:rPr>
              <w:t>2</w:t>
            </w:r>
            <w:r>
              <w:rPr>
                <w:rFonts w:hint="eastAsia" w:cs="Times New Roman"/>
                <w:color w:val="auto"/>
                <w:sz w:val="15"/>
                <w:szCs w:val="15"/>
              </w:rPr>
              <w:t>或</w:t>
            </w:r>
            <w:r>
              <w:rPr>
                <w:rFonts w:cs="Times New Roman"/>
                <w:i/>
                <w:color w:val="auto"/>
                <w:sz w:val="15"/>
                <w:szCs w:val="15"/>
              </w:rPr>
              <w:t>h</w:t>
            </w:r>
            <w:r>
              <w:rPr>
                <w:rFonts w:cs="Times New Roman"/>
                <w:color w:val="auto"/>
                <w:sz w:val="15"/>
                <w:szCs w:val="15"/>
                <w:vertAlign w:val="subscript"/>
              </w:rPr>
              <w:t>3</w:t>
            </w:r>
            <w:r>
              <w:rPr>
                <w:rFonts w:hint="eastAsia" w:cs="Times New Roman"/>
                <w:color w:val="auto"/>
                <w:sz w:val="15"/>
                <w:szCs w:val="15"/>
              </w:rPr>
              <w:t>，则在任意</w:t>
            </w:r>
            <w:r>
              <w:rPr>
                <w:rFonts w:cs="Times New Roman"/>
                <w:color w:val="auto"/>
                <w:sz w:val="15"/>
                <w:szCs w:val="15"/>
              </w:rPr>
              <w:t>12</w:t>
            </w:r>
            <w:r>
              <w:rPr>
                <w:rFonts w:cs="Times New Roman"/>
                <w:i/>
                <w:color w:val="auto"/>
                <w:sz w:val="15"/>
                <w:szCs w:val="15"/>
              </w:rPr>
              <w:t>t</w:t>
            </w:r>
            <w:r>
              <w:rPr>
                <w:rFonts w:hint="eastAsia" w:cs="Times New Roman"/>
                <w:color w:val="auto"/>
                <w:sz w:val="15"/>
                <w:szCs w:val="15"/>
              </w:rPr>
              <w:t>范围内累计长度不得超过</w:t>
            </w:r>
            <w:r>
              <w:rPr>
                <w:rFonts w:cs="Times New Roman"/>
                <w:color w:val="auto"/>
                <w:sz w:val="15"/>
                <w:szCs w:val="15"/>
              </w:rPr>
              <w:t>3</w:t>
            </w:r>
            <w:r>
              <w:rPr>
                <w:rFonts w:cs="Times New Roman"/>
                <w:i/>
                <w:color w:val="auto"/>
                <w:sz w:val="15"/>
                <w:szCs w:val="15"/>
              </w:rPr>
              <w:t>t</w:t>
            </w:r>
            <w:r>
              <w:rPr>
                <w:rFonts w:hint="eastAsia" w:cs="Times New Roman"/>
                <w:color w:val="auto"/>
                <w:sz w:val="15"/>
                <w:szCs w:val="15"/>
              </w:rPr>
              <w:t>且最大值为</w:t>
            </w:r>
            <w:r>
              <w:rPr>
                <w:rFonts w:cs="Times New Roman"/>
                <w:color w:val="auto"/>
                <w:sz w:val="15"/>
                <w:szCs w:val="15"/>
              </w:rPr>
              <w:t>150mm</w:t>
            </w:r>
            <w:r>
              <w:rPr>
                <w:rFonts w:hint="eastAsia" w:cs="Times New Roman"/>
                <w:color w:val="auto"/>
                <w:sz w:val="15"/>
                <w:szCs w:val="15"/>
              </w:rPr>
              <w:t>；</w:t>
            </w:r>
          </w:p>
          <w:p w14:paraId="3F67EE05">
            <w:pPr>
              <w:spacing w:line="0" w:lineRule="atLeast"/>
              <w:rPr>
                <w:rFonts w:ascii="Times New Roman" w:hAnsi="Times New Roman"/>
                <w:color w:val="auto"/>
              </w:rPr>
            </w:pPr>
            <w:r>
              <w:rPr>
                <w:rFonts w:ascii="Times New Roman" w:hAnsi="Times New Roman"/>
                <w:color w:val="auto"/>
                <w:sz w:val="15"/>
                <w:szCs w:val="15"/>
              </w:rPr>
              <w:t>3</w:t>
            </w:r>
            <w:r>
              <w:rPr>
                <w:rFonts w:hint="eastAsia" w:ascii="Times New Roman" w:hAnsi="Times New Roman"/>
                <w:color w:val="auto"/>
                <w:sz w:val="15"/>
                <w:szCs w:val="15"/>
              </w:rPr>
              <w:t>、所有表面开口缺陷累计长度不得大于整条焊缝长度的</w:t>
            </w:r>
            <w:r>
              <w:rPr>
                <w:rFonts w:ascii="Times New Roman" w:hAnsi="Times New Roman"/>
                <w:color w:val="auto"/>
                <w:sz w:val="15"/>
                <w:szCs w:val="15"/>
              </w:rPr>
              <w:t>10%</w:t>
            </w:r>
            <w:r>
              <w:rPr>
                <w:rFonts w:hint="eastAsia" w:ascii="Times New Roman" w:hAnsi="Times New Roman"/>
                <w:color w:val="auto"/>
                <w:sz w:val="15"/>
                <w:szCs w:val="15"/>
              </w:rPr>
              <w:t>且最大不得超过</w:t>
            </w:r>
            <w:r>
              <w:rPr>
                <w:rFonts w:ascii="Times New Roman" w:hAnsi="Times New Roman"/>
                <w:color w:val="auto"/>
                <w:sz w:val="15"/>
                <w:szCs w:val="15"/>
              </w:rPr>
              <w:t>200mm</w:t>
            </w:r>
          </w:p>
        </w:tc>
      </w:tr>
      <w:tr w14:paraId="408E5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3" w:type="dxa"/>
            <w:vMerge w:val="continue"/>
            <w:vAlign w:val="center"/>
          </w:tcPr>
          <w:p w14:paraId="48C84F43">
            <w:pPr>
              <w:pStyle w:val="244"/>
              <w:jc w:val="center"/>
              <w:rPr>
                <w:rFonts w:cs="Times New Roman"/>
                <w:color w:val="auto"/>
              </w:rPr>
            </w:pPr>
          </w:p>
        </w:tc>
        <w:tc>
          <w:tcPr>
            <w:tcW w:w="1260" w:type="dxa"/>
            <w:vAlign w:val="center"/>
          </w:tcPr>
          <w:p w14:paraId="60CE4B2B">
            <w:pPr>
              <w:pStyle w:val="244"/>
              <w:jc w:val="center"/>
              <w:rPr>
                <w:rFonts w:cs="Times New Roman"/>
                <w:color w:val="auto"/>
              </w:rPr>
            </w:pPr>
            <w:r>
              <w:rPr>
                <w:rFonts w:cs="Times New Roman"/>
                <w:color w:val="auto"/>
              </w:rPr>
              <w:t>15&lt;</w:t>
            </w:r>
            <w:r>
              <w:rPr>
                <w:rFonts w:cs="Times New Roman"/>
                <w:i/>
                <w:color w:val="auto"/>
              </w:rPr>
              <w:t>t</w:t>
            </w:r>
            <w:r>
              <w:rPr>
                <w:rFonts w:hint="eastAsia" w:cs="Times New Roman"/>
                <w:color w:val="auto"/>
              </w:rPr>
              <w:t>≤</w:t>
            </w:r>
            <w:r>
              <w:rPr>
                <w:rFonts w:cs="Times New Roman"/>
                <w:color w:val="auto"/>
              </w:rPr>
              <w:t>25</w:t>
            </w:r>
          </w:p>
        </w:tc>
        <w:tc>
          <w:tcPr>
            <w:tcW w:w="1010" w:type="dxa"/>
            <w:vAlign w:val="center"/>
          </w:tcPr>
          <w:p w14:paraId="332B3757">
            <w:pPr>
              <w:pStyle w:val="244"/>
              <w:jc w:val="center"/>
              <w:rPr>
                <w:rFonts w:cs="Times New Roman"/>
                <w:color w:val="auto"/>
              </w:rPr>
            </w:pPr>
            <w:r>
              <w:rPr>
                <w:rFonts w:hint="eastAsia" w:cs="Times New Roman"/>
                <w:color w:val="auto"/>
              </w:rPr>
              <w:t>≤</w:t>
            </w:r>
            <w:r>
              <w:rPr>
                <w:rFonts w:cs="Times New Roman"/>
                <w:i/>
                <w:color w:val="auto"/>
              </w:rPr>
              <w:t>t</w:t>
            </w:r>
          </w:p>
        </w:tc>
        <w:tc>
          <w:tcPr>
            <w:tcW w:w="900" w:type="dxa"/>
            <w:vAlign w:val="center"/>
          </w:tcPr>
          <w:p w14:paraId="0202E854">
            <w:pPr>
              <w:pStyle w:val="244"/>
              <w:jc w:val="center"/>
              <w:rPr>
                <w:rFonts w:cs="Times New Roman"/>
                <w:color w:val="auto"/>
              </w:rPr>
            </w:pPr>
            <w:r>
              <w:rPr>
                <w:rFonts w:hint="eastAsia" w:cs="Times New Roman"/>
                <w:color w:val="auto"/>
              </w:rPr>
              <w:t>≤</w:t>
            </w:r>
            <w:r>
              <w:rPr>
                <w:rFonts w:cs="Times New Roman"/>
                <w:color w:val="auto"/>
              </w:rPr>
              <w:t>1</w:t>
            </w:r>
          </w:p>
        </w:tc>
        <w:tc>
          <w:tcPr>
            <w:tcW w:w="708" w:type="dxa"/>
            <w:vAlign w:val="center"/>
          </w:tcPr>
          <w:p w14:paraId="6F9EFA7B">
            <w:pPr>
              <w:pStyle w:val="244"/>
              <w:jc w:val="center"/>
              <w:rPr>
                <w:rFonts w:cs="Times New Roman"/>
                <w:color w:val="auto"/>
              </w:rPr>
            </w:pPr>
            <w:r>
              <w:rPr>
                <w:rFonts w:hint="eastAsia" w:cs="Times New Roman"/>
                <w:color w:val="auto"/>
              </w:rPr>
              <w:t>≤</w:t>
            </w:r>
            <w:r>
              <w:rPr>
                <w:rFonts w:cs="Times New Roman"/>
                <w:i/>
                <w:color w:val="auto"/>
              </w:rPr>
              <w:t>t</w:t>
            </w:r>
          </w:p>
        </w:tc>
        <w:tc>
          <w:tcPr>
            <w:tcW w:w="709" w:type="dxa"/>
            <w:vAlign w:val="center"/>
          </w:tcPr>
          <w:p w14:paraId="2C5F590B">
            <w:pPr>
              <w:pStyle w:val="244"/>
              <w:jc w:val="center"/>
              <w:rPr>
                <w:rFonts w:cs="Times New Roman"/>
                <w:color w:val="auto"/>
              </w:rPr>
            </w:pPr>
            <w:r>
              <w:rPr>
                <w:rFonts w:hint="eastAsia" w:cs="Times New Roman"/>
                <w:color w:val="auto"/>
              </w:rPr>
              <w:t>≤</w:t>
            </w:r>
            <w:r>
              <w:rPr>
                <w:rFonts w:cs="Times New Roman"/>
                <w:color w:val="auto"/>
              </w:rPr>
              <w:t>2</w:t>
            </w:r>
          </w:p>
        </w:tc>
        <w:tc>
          <w:tcPr>
            <w:tcW w:w="1134" w:type="dxa"/>
            <w:vAlign w:val="center"/>
          </w:tcPr>
          <w:p w14:paraId="28B2721A">
            <w:pPr>
              <w:pStyle w:val="244"/>
              <w:jc w:val="center"/>
              <w:rPr>
                <w:rFonts w:cs="Times New Roman"/>
                <w:color w:val="auto"/>
              </w:rPr>
            </w:pPr>
            <w:r>
              <w:rPr>
                <w:rFonts w:hint="eastAsia" w:cs="Times New Roman"/>
                <w:color w:val="auto"/>
              </w:rPr>
              <w:t>≤</w:t>
            </w:r>
            <w:r>
              <w:rPr>
                <w:rFonts w:cs="Times New Roman"/>
                <w:color w:val="auto"/>
              </w:rPr>
              <w:t>1</w:t>
            </w:r>
          </w:p>
        </w:tc>
        <w:tc>
          <w:tcPr>
            <w:tcW w:w="2876" w:type="dxa"/>
            <w:vMerge w:val="continue"/>
            <w:vAlign w:val="center"/>
          </w:tcPr>
          <w:p w14:paraId="78F34034">
            <w:pPr>
              <w:pStyle w:val="244"/>
              <w:jc w:val="center"/>
              <w:rPr>
                <w:rFonts w:cs="Times New Roman"/>
                <w:color w:val="auto"/>
              </w:rPr>
            </w:pPr>
          </w:p>
        </w:tc>
      </w:tr>
      <w:tr w14:paraId="348FF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3" w:type="dxa"/>
            <w:vMerge w:val="continue"/>
            <w:vAlign w:val="center"/>
          </w:tcPr>
          <w:p w14:paraId="0C0C7089">
            <w:pPr>
              <w:pStyle w:val="244"/>
              <w:jc w:val="center"/>
              <w:rPr>
                <w:rFonts w:cs="Times New Roman"/>
                <w:color w:val="auto"/>
              </w:rPr>
            </w:pPr>
          </w:p>
        </w:tc>
        <w:tc>
          <w:tcPr>
            <w:tcW w:w="1260" w:type="dxa"/>
            <w:vAlign w:val="center"/>
          </w:tcPr>
          <w:p w14:paraId="519831A2">
            <w:pPr>
              <w:pStyle w:val="244"/>
              <w:jc w:val="center"/>
              <w:rPr>
                <w:rFonts w:cs="Times New Roman"/>
                <w:color w:val="auto"/>
              </w:rPr>
            </w:pPr>
            <w:r>
              <w:rPr>
                <w:rFonts w:cs="Times New Roman"/>
                <w:color w:val="auto"/>
              </w:rPr>
              <w:t>25&lt;</w:t>
            </w:r>
            <w:r>
              <w:rPr>
                <w:rFonts w:cs="Times New Roman"/>
                <w:i/>
                <w:color w:val="auto"/>
              </w:rPr>
              <w:t>t</w:t>
            </w:r>
            <w:r>
              <w:rPr>
                <w:rFonts w:hint="eastAsia" w:cs="Times New Roman"/>
                <w:color w:val="auto"/>
              </w:rPr>
              <w:t>≤</w:t>
            </w:r>
            <w:r>
              <w:rPr>
                <w:rFonts w:cs="Times New Roman"/>
                <w:color w:val="auto"/>
              </w:rPr>
              <w:t>35</w:t>
            </w:r>
          </w:p>
        </w:tc>
        <w:tc>
          <w:tcPr>
            <w:tcW w:w="1010" w:type="dxa"/>
            <w:vAlign w:val="center"/>
          </w:tcPr>
          <w:p w14:paraId="5C7E516C">
            <w:pPr>
              <w:pStyle w:val="244"/>
              <w:jc w:val="center"/>
              <w:rPr>
                <w:rFonts w:cs="Times New Roman"/>
                <w:color w:val="auto"/>
              </w:rPr>
            </w:pPr>
            <w:r>
              <w:rPr>
                <w:rFonts w:hint="eastAsia" w:cs="Times New Roman"/>
                <w:color w:val="auto"/>
              </w:rPr>
              <w:t>≤</w:t>
            </w:r>
            <w:r>
              <w:rPr>
                <w:rFonts w:cs="Times New Roman"/>
                <w:color w:val="auto"/>
              </w:rPr>
              <w:t>25</w:t>
            </w:r>
          </w:p>
        </w:tc>
        <w:tc>
          <w:tcPr>
            <w:tcW w:w="900" w:type="dxa"/>
            <w:vAlign w:val="center"/>
          </w:tcPr>
          <w:p w14:paraId="7284A0EB">
            <w:pPr>
              <w:pStyle w:val="244"/>
              <w:jc w:val="center"/>
              <w:rPr>
                <w:rFonts w:cs="Times New Roman"/>
                <w:color w:val="auto"/>
              </w:rPr>
            </w:pPr>
            <w:r>
              <w:rPr>
                <w:rFonts w:hint="eastAsia" w:cs="Times New Roman"/>
                <w:color w:val="auto"/>
              </w:rPr>
              <w:t>≤</w:t>
            </w:r>
            <w:r>
              <w:rPr>
                <w:rFonts w:cs="Times New Roman"/>
                <w:color w:val="auto"/>
              </w:rPr>
              <w:t>2</w:t>
            </w:r>
          </w:p>
        </w:tc>
        <w:tc>
          <w:tcPr>
            <w:tcW w:w="708" w:type="dxa"/>
            <w:vAlign w:val="center"/>
          </w:tcPr>
          <w:p w14:paraId="18355B18">
            <w:pPr>
              <w:pStyle w:val="244"/>
              <w:jc w:val="center"/>
              <w:rPr>
                <w:rFonts w:cs="Times New Roman"/>
                <w:color w:val="auto"/>
              </w:rPr>
            </w:pPr>
            <w:r>
              <w:rPr>
                <w:rFonts w:hint="eastAsia" w:cs="Times New Roman"/>
                <w:color w:val="auto"/>
              </w:rPr>
              <w:t>≤</w:t>
            </w:r>
            <w:r>
              <w:rPr>
                <w:rFonts w:cs="Times New Roman"/>
                <w:color w:val="auto"/>
              </w:rPr>
              <w:t>35</w:t>
            </w:r>
          </w:p>
        </w:tc>
        <w:tc>
          <w:tcPr>
            <w:tcW w:w="709" w:type="dxa"/>
            <w:vAlign w:val="center"/>
          </w:tcPr>
          <w:p w14:paraId="4910F6F9">
            <w:pPr>
              <w:pStyle w:val="244"/>
              <w:jc w:val="center"/>
              <w:rPr>
                <w:rFonts w:cs="Times New Roman"/>
                <w:color w:val="auto"/>
              </w:rPr>
            </w:pPr>
            <w:r>
              <w:rPr>
                <w:rFonts w:hint="eastAsia" w:cs="Times New Roman"/>
                <w:color w:val="auto"/>
              </w:rPr>
              <w:t>≤</w:t>
            </w:r>
            <w:r>
              <w:rPr>
                <w:rFonts w:cs="Times New Roman"/>
                <w:color w:val="auto"/>
              </w:rPr>
              <w:t>3</w:t>
            </w:r>
          </w:p>
        </w:tc>
        <w:tc>
          <w:tcPr>
            <w:tcW w:w="1134" w:type="dxa"/>
            <w:vAlign w:val="center"/>
          </w:tcPr>
          <w:p w14:paraId="41821FA8">
            <w:pPr>
              <w:pStyle w:val="244"/>
              <w:jc w:val="center"/>
              <w:rPr>
                <w:rFonts w:cs="Times New Roman"/>
                <w:color w:val="auto"/>
              </w:rPr>
            </w:pPr>
            <w:r>
              <w:rPr>
                <w:rFonts w:hint="eastAsia" w:cs="Times New Roman"/>
                <w:color w:val="auto"/>
              </w:rPr>
              <w:t>≤</w:t>
            </w:r>
            <w:r>
              <w:rPr>
                <w:rFonts w:cs="Times New Roman"/>
                <w:color w:val="auto"/>
              </w:rPr>
              <w:t>2</w:t>
            </w:r>
          </w:p>
        </w:tc>
        <w:tc>
          <w:tcPr>
            <w:tcW w:w="2876" w:type="dxa"/>
            <w:vMerge w:val="continue"/>
            <w:vAlign w:val="center"/>
          </w:tcPr>
          <w:p w14:paraId="1D82EC50">
            <w:pPr>
              <w:pStyle w:val="244"/>
              <w:jc w:val="center"/>
              <w:rPr>
                <w:rFonts w:cs="Times New Roman"/>
                <w:color w:val="auto"/>
              </w:rPr>
            </w:pPr>
          </w:p>
        </w:tc>
      </w:tr>
      <w:tr w14:paraId="3222B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3" w:type="dxa"/>
            <w:vMerge w:val="continue"/>
            <w:vAlign w:val="center"/>
          </w:tcPr>
          <w:p w14:paraId="5807B97E">
            <w:pPr>
              <w:pStyle w:val="244"/>
              <w:jc w:val="center"/>
              <w:rPr>
                <w:rFonts w:cs="Times New Roman"/>
                <w:color w:val="auto"/>
              </w:rPr>
            </w:pPr>
          </w:p>
        </w:tc>
        <w:tc>
          <w:tcPr>
            <w:tcW w:w="1260" w:type="dxa"/>
            <w:vAlign w:val="center"/>
          </w:tcPr>
          <w:p w14:paraId="29F0486B">
            <w:pPr>
              <w:pStyle w:val="244"/>
              <w:jc w:val="center"/>
              <w:rPr>
                <w:rFonts w:cs="Times New Roman"/>
                <w:color w:val="auto"/>
              </w:rPr>
            </w:pPr>
            <w:r>
              <w:rPr>
                <w:rFonts w:cs="Times New Roman"/>
                <w:color w:val="auto"/>
              </w:rPr>
              <w:t>35&lt;</w:t>
            </w:r>
            <w:r>
              <w:rPr>
                <w:rFonts w:cs="Times New Roman"/>
                <w:i/>
                <w:color w:val="auto"/>
              </w:rPr>
              <w:t>t</w:t>
            </w:r>
            <w:r>
              <w:rPr>
                <w:rFonts w:hint="eastAsia" w:cs="Times New Roman"/>
                <w:color w:val="auto"/>
              </w:rPr>
              <w:t>≤</w:t>
            </w:r>
            <w:r>
              <w:rPr>
                <w:rFonts w:cs="Times New Roman"/>
                <w:color w:val="auto"/>
              </w:rPr>
              <w:t>50</w:t>
            </w:r>
          </w:p>
        </w:tc>
        <w:tc>
          <w:tcPr>
            <w:tcW w:w="1010" w:type="dxa"/>
            <w:vAlign w:val="center"/>
          </w:tcPr>
          <w:p w14:paraId="1622DB0C">
            <w:pPr>
              <w:pStyle w:val="244"/>
              <w:jc w:val="center"/>
              <w:rPr>
                <w:rFonts w:cs="Times New Roman"/>
                <w:color w:val="auto"/>
              </w:rPr>
            </w:pPr>
            <w:r>
              <w:rPr>
                <w:rFonts w:hint="eastAsia" w:cs="Times New Roman"/>
                <w:color w:val="auto"/>
              </w:rPr>
              <w:t>≤</w:t>
            </w:r>
            <w:r>
              <w:rPr>
                <w:rFonts w:cs="Times New Roman"/>
                <w:color w:val="auto"/>
              </w:rPr>
              <w:t>30</w:t>
            </w:r>
          </w:p>
        </w:tc>
        <w:tc>
          <w:tcPr>
            <w:tcW w:w="900" w:type="dxa"/>
            <w:vAlign w:val="center"/>
          </w:tcPr>
          <w:p w14:paraId="1A272F50">
            <w:pPr>
              <w:pStyle w:val="244"/>
              <w:jc w:val="center"/>
              <w:rPr>
                <w:rFonts w:cs="Times New Roman"/>
                <w:color w:val="auto"/>
              </w:rPr>
            </w:pPr>
            <w:r>
              <w:rPr>
                <w:rFonts w:hint="eastAsia" w:cs="Times New Roman"/>
                <w:color w:val="auto"/>
              </w:rPr>
              <w:t>≤</w:t>
            </w:r>
            <w:r>
              <w:rPr>
                <w:rFonts w:cs="Times New Roman"/>
                <w:color w:val="auto"/>
              </w:rPr>
              <w:t>2</w:t>
            </w:r>
          </w:p>
        </w:tc>
        <w:tc>
          <w:tcPr>
            <w:tcW w:w="708" w:type="dxa"/>
            <w:vAlign w:val="center"/>
          </w:tcPr>
          <w:p w14:paraId="5257C4C0">
            <w:pPr>
              <w:pStyle w:val="244"/>
              <w:jc w:val="center"/>
              <w:rPr>
                <w:rFonts w:cs="Times New Roman"/>
                <w:color w:val="auto"/>
              </w:rPr>
            </w:pPr>
            <w:r>
              <w:rPr>
                <w:rFonts w:hint="eastAsia" w:cs="Times New Roman"/>
                <w:color w:val="auto"/>
              </w:rPr>
              <w:t>≤</w:t>
            </w:r>
            <w:r>
              <w:rPr>
                <w:rFonts w:cs="Times New Roman"/>
                <w:color w:val="auto"/>
              </w:rPr>
              <w:t>40</w:t>
            </w:r>
          </w:p>
        </w:tc>
        <w:tc>
          <w:tcPr>
            <w:tcW w:w="709" w:type="dxa"/>
            <w:vAlign w:val="center"/>
          </w:tcPr>
          <w:p w14:paraId="5CBB8483">
            <w:pPr>
              <w:pStyle w:val="244"/>
              <w:jc w:val="center"/>
              <w:rPr>
                <w:rFonts w:cs="Times New Roman"/>
                <w:color w:val="auto"/>
              </w:rPr>
            </w:pPr>
            <w:r>
              <w:rPr>
                <w:rFonts w:hint="eastAsia" w:cs="Times New Roman"/>
                <w:color w:val="auto"/>
              </w:rPr>
              <w:t>≤</w:t>
            </w:r>
            <w:r>
              <w:rPr>
                <w:rFonts w:cs="Times New Roman"/>
                <w:color w:val="auto"/>
              </w:rPr>
              <w:t>4</w:t>
            </w:r>
          </w:p>
        </w:tc>
        <w:tc>
          <w:tcPr>
            <w:tcW w:w="1134" w:type="dxa"/>
            <w:vAlign w:val="center"/>
          </w:tcPr>
          <w:p w14:paraId="4C73307B">
            <w:pPr>
              <w:pStyle w:val="244"/>
              <w:jc w:val="center"/>
              <w:rPr>
                <w:rFonts w:cs="Times New Roman"/>
                <w:color w:val="auto"/>
              </w:rPr>
            </w:pPr>
            <w:r>
              <w:rPr>
                <w:rFonts w:hint="eastAsia" w:cs="Times New Roman"/>
                <w:color w:val="auto"/>
              </w:rPr>
              <w:t>≤</w:t>
            </w:r>
            <w:r>
              <w:rPr>
                <w:rFonts w:cs="Times New Roman"/>
                <w:color w:val="auto"/>
              </w:rPr>
              <w:t>2</w:t>
            </w:r>
          </w:p>
        </w:tc>
        <w:tc>
          <w:tcPr>
            <w:tcW w:w="2876" w:type="dxa"/>
            <w:vMerge w:val="continue"/>
            <w:vAlign w:val="center"/>
          </w:tcPr>
          <w:p w14:paraId="47C5EF96">
            <w:pPr>
              <w:pStyle w:val="244"/>
              <w:jc w:val="center"/>
              <w:rPr>
                <w:rFonts w:cs="Times New Roman"/>
                <w:color w:val="auto"/>
              </w:rPr>
            </w:pPr>
          </w:p>
        </w:tc>
      </w:tr>
      <w:tr w14:paraId="0660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3" w:type="dxa"/>
            <w:vAlign w:val="center"/>
          </w:tcPr>
          <w:p w14:paraId="32B8AD02">
            <w:pPr>
              <w:pStyle w:val="244"/>
              <w:jc w:val="center"/>
              <w:rPr>
                <w:rFonts w:cs="Times New Roman"/>
                <w:color w:val="auto"/>
              </w:rPr>
            </w:pPr>
            <w:r>
              <w:rPr>
                <w:rFonts w:cs="Times New Roman"/>
                <w:color w:val="auto"/>
              </w:rPr>
              <w:t>III</w:t>
            </w:r>
          </w:p>
        </w:tc>
        <w:tc>
          <w:tcPr>
            <w:tcW w:w="1260" w:type="dxa"/>
            <w:vAlign w:val="center"/>
          </w:tcPr>
          <w:p w14:paraId="544CECA3">
            <w:pPr>
              <w:pStyle w:val="244"/>
              <w:jc w:val="center"/>
              <w:rPr>
                <w:rFonts w:cs="Times New Roman"/>
                <w:color w:val="auto"/>
              </w:rPr>
            </w:pPr>
            <w:r>
              <w:rPr>
                <w:rFonts w:cs="Times New Roman"/>
                <w:color w:val="auto"/>
              </w:rPr>
              <w:t>10~50</w:t>
            </w:r>
          </w:p>
        </w:tc>
        <w:tc>
          <w:tcPr>
            <w:tcW w:w="7337" w:type="dxa"/>
            <w:gridSpan w:val="6"/>
            <w:vAlign w:val="center"/>
          </w:tcPr>
          <w:p w14:paraId="271445D9">
            <w:pPr>
              <w:pStyle w:val="244"/>
              <w:jc w:val="center"/>
              <w:rPr>
                <w:rFonts w:cs="Times New Roman"/>
                <w:color w:val="auto"/>
              </w:rPr>
            </w:pPr>
            <w:r>
              <w:rPr>
                <w:rFonts w:hint="eastAsia" w:cs="Times New Roman"/>
                <w:color w:val="auto"/>
              </w:rPr>
              <w:t>超过</w:t>
            </w:r>
            <w:r>
              <w:rPr>
                <w:rFonts w:cs="Times New Roman"/>
                <w:color w:val="auto"/>
              </w:rPr>
              <w:t>II</w:t>
            </w:r>
            <w:r>
              <w:rPr>
                <w:rFonts w:hint="eastAsia" w:cs="Times New Roman"/>
                <w:color w:val="auto"/>
              </w:rPr>
              <w:t>级者</w:t>
            </w:r>
          </w:p>
        </w:tc>
      </w:tr>
    </w:tbl>
    <w:p w14:paraId="0C1CC302">
      <w:pPr>
        <w:pStyle w:val="166"/>
        <w:numPr>
          <w:ilvl w:val="255"/>
          <w:numId w:val="0"/>
        </w:numPr>
        <w:autoSpaceDE w:val="0"/>
        <w:autoSpaceDN w:val="0"/>
        <w:rPr>
          <w:rFonts w:hint="eastAsia" w:ascii="Times New Roman" w:hAnsi="Times New Roman" w:cs="Times New Roman"/>
          <w:color w:val="auto"/>
          <w:lang w:val="zh-TW" w:eastAsia="zh-TW"/>
        </w:rPr>
      </w:pPr>
    </w:p>
    <w:p w14:paraId="542F9BF7">
      <w:pPr>
        <w:pStyle w:val="69"/>
        <w:spacing w:before="156" w:after="156"/>
        <w:rPr>
          <w:rFonts w:hint="eastAsia" w:ascii="Times New Roman" w:hAnsi="Times New Roman" w:eastAsia="宋体"/>
          <w:color w:val="auto"/>
          <w:lang w:val="zh-TW" w:eastAsia="zh-TW"/>
        </w:rPr>
      </w:pPr>
      <w:r>
        <w:rPr>
          <w:rFonts w:hint="eastAsia" w:ascii="Times New Roman" w:hAnsi="Times New Roman" w:eastAsia="宋体" w:cs="Times New Roman"/>
          <w:color w:val="auto"/>
          <w:lang w:val="zh-TW" w:eastAsia="zh-TW"/>
        </w:rPr>
        <w:t>当各类缺陷评定的质量级别不同时，以质量级别最低的作为焊接接头的质量级别。</w:t>
      </w:r>
    </w:p>
    <w:p w14:paraId="64B1D414">
      <w:pPr>
        <w:pStyle w:val="108"/>
        <w:spacing w:before="312" w:after="312"/>
        <w:rPr>
          <w:rFonts w:ascii="Times New Roman" w:eastAsia="宋体"/>
          <w:color w:val="auto"/>
        </w:rPr>
      </w:pPr>
      <w:r>
        <w:rPr>
          <w:rFonts w:hint="eastAsia" w:ascii="Times New Roman" w:eastAsia="宋体"/>
          <w:color w:val="auto"/>
          <w:szCs w:val="21"/>
          <w:lang w:bidi="zh-CN"/>
        </w:rPr>
        <w:t>电熔接头</w:t>
      </w:r>
      <w:r>
        <w:rPr>
          <w:rFonts w:hint="eastAsia" w:ascii="Times New Roman" w:eastAsia="宋体"/>
          <w:color w:val="auto"/>
          <w:lang w:bidi="zh-CN"/>
        </w:rPr>
        <w:t>相控阵超声检测</w:t>
      </w:r>
    </w:p>
    <w:p w14:paraId="7E445D43">
      <w:pPr>
        <w:pStyle w:val="166"/>
        <w:rPr>
          <w:rFonts w:ascii="Times New Roman"/>
          <w:color w:val="auto"/>
        </w:rPr>
      </w:pPr>
      <w:r>
        <w:rPr>
          <w:rFonts w:hint="eastAsia" w:ascii="Times New Roman"/>
          <w:color w:val="auto"/>
        </w:rPr>
        <w:t>相控阵检测程序应包括如下内容：</w:t>
      </w:r>
    </w:p>
    <w:p w14:paraId="451CB203">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a)  根据工艺规程和检测对象的检测要求编制操作指导书；</w:t>
      </w:r>
    </w:p>
    <w:p w14:paraId="434E6E3F">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b)  选择和确定检测工艺参数；</w:t>
      </w:r>
    </w:p>
    <w:p w14:paraId="134D5680">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c)  被检测工件准备；</w:t>
      </w:r>
    </w:p>
    <w:p w14:paraId="0EE37495">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d)  检测系统性能检查；</w:t>
      </w:r>
    </w:p>
    <w:p w14:paraId="579F4535">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e)  检测；</w:t>
      </w:r>
    </w:p>
    <w:p w14:paraId="025C0357">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f)  检测系统复核；</w:t>
      </w:r>
    </w:p>
    <w:p w14:paraId="78F62039">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g)  数据评定；</w:t>
      </w:r>
    </w:p>
    <w:p w14:paraId="5A1B72C5">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h)  检测记录；</w:t>
      </w:r>
    </w:p>
    <w:p w14:paraId="55842BA1">
      <w:pPr>
        <w:spacing w:line="240" w:lineRule="auto"/>
        <w:ind w:firstLine="840" w:firstLineChars="400"/>
        <w:rPr>
          <w:rFonts w:hint="eastAsia" w:ascii="Times New Roman" w:hAnsi="Times New Roman" w:cs="Times New Roman"/>
          <w:color w:val="auto"/>
          <w:kern w:val="0"/>
          <w:szCs w:val="20"/>
        </w:rPr>
      </w:pPr>
      <w:r>
        <w:rPr>
          <w:rFonts w:hint="eastAsia" w:ascii="Times New Roman" w:hAnsi="Times New Roman" w:cs="Times New Roman"/>
          <w:color w:val="auto"/>
          <w:kern w:val="0"/>
          <w:szCs w:val="20"/>
        </w:rPr>
        <w:t>i） 出具检测报告。</w:t>
      </w:r>
    </w:p>
    <w:p w14:paraId="736A6ED6">
      <w:pPr>
        <w:pStyle w:val="166"/>
        <w:rPr>
          <w:rFonts w:ascii="Times New Roman"/>
          <w:color w:val="auto"/>
        </w:rPr>
      </w:pPr>
      <w:bookmarkStart w:id="40" w:name="_Toc123909717"/>
      <w:r>
        <w:rPr>
          <w:rFonts w:hint="eastAsia" w:ascii="Times New Roman"/>
          <w:color w:val="auto"/>
        </w:rPr>
        <w:t>电熔接头相控阵超声检测方法和质量评定</w:t>
      </w:r>
      <w:bookmarkEnd w:id="40"/>
    </w:p>
    <w:p w14:paraId="6FDE556F">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质量分级</w:t>
      </w:r>
    </w:p>
    <w:p w14:paraId="4E885DA4">
      <w:pPr>
        <w:pStyle w:val="166"/>
        <w:numPr>
          <w:ilvl w:val="0"/>
          <w:numId w:val="0"/>
        </w:numPr>
        <w:ind w:firstLine="420" w:firstLineChars="200"/>
        <w:rPr>
          <w:rFonts w:hint="eastAsia" w:ascii="Times New Roman" w:hAnsi="Times New Roman"/>
          <w:color w:val="auto"/>
          <w:lang w:eastAsia="zh-TW"/>
        </w:rPr>
      </w:pPr>
      <w:r>
        <w:rPr>
          <w:rFonts w:hint="eastAsia" w:ascii="Times New Roman" w:hAnsi="Times New Roman"/>
          <w:color w:val="auto"/>
          <w:lang w:eastAsia="zh-TW"/>
        </w:rPr>
        <w:t>根据接头中存在的缺陷性质、数量和密切程度，其质量等级可划分为Ⅰ、Ⅱ、Ⅲ级。</w:t>
      </w:r>
    </w:p>
    <w:p w14:paraId="2EA7F492">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熔合面夹杂</w:t>
      </w:r>
    </w:p>
    <w:p w14:paraId="02514F59">
      <w:pPr>
        <w:pStyle w:val="166"/>
        <w:numPr>
          <w:ilvl w:val="0"/>
          <w:numId w:val="0"/>
        </w:numPr>
        <w:ind w:firstLine="420" w:firstLineChars="200"/>
        <w:rPr>
          <w:rFonts w:hint="eastAsia" w:ascii="Times New Roman" w:hAnsi="Times New Roman"/>
          <w:color w:val="auto"/>
          <w:lang w:eastAsia="zh-TW"/>
        </w:rPr>
      </w:pPr>
      <w:r>
        <w:rPr>
          <w:rFonts w:hint="eastAsia" w:ascii="Times New Roman" w:hAnsi="Times New Roman"/>
          <w:color w:val="auto"/>
          <w:lang w:eastAsia="zh-TW"/>
        </w:rPr>
        <w:t>熔合面夹杂的质量分级按表3的规定执行。</w:t>
      </w:r>
    </w:p>
    <w:p w14:paraId="73453703">
      <w:pPr>
        <w:pStyle w:val="166"/>
        <w:numPr>
          <w:ilvl w:val="0"/>
          <w:numId w:val="0"/>
        </w:numPr>
        <w:spacing w:before="156" w:beforeLines="50" w:after="156" w:afterLines="50"/>
        <w:jc w:val="center"/>
        <w:rPr>
          <w:rFonts w:hint="eastAsia" w:ascii="Times New Roman" w:hAnsi="Times New Roman" w:eastAsia="宋体"/>
          <w:color w:val="auto"/>
          <w:lang w:eastAsia="zh-TW"/>
        </w:rPr>
      </w:pPr>
      <w:r>
        <w:rPr>
          <w:rFonts w:hint="eastAsia" w:ascii="Times New Roman" w:hAnsi="Times New Roman" w:eastAsia="宋体"/>
          <w:color w:val="auto"/>
          <w:lang w:eastAsia="zh-TW"/>
        </w:rPr>
        <w:t>表3 熔合面夹杂的质量分级</w:t>
      </w:r>
    </w:p>
    <w:tbl>
      <w:tblPr>
        <w:tblStyle w:val="3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3780"/>
        <w:gridCol w:w="3916"/>
      </w:tblGrid>
      <w:tr w14:paraId="7648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6" w:type="dxa"/>
            <w:vAlign w:val="center"/>
          </w:tcPr>
          <w:p w14:paraId="3991E0BB">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级别</w:t>
            </w:r>
          </w:p>
        </w:tc>
        <w:tc>
          <w:tcPr>
            <w:tcW w:w="3780" w:type="dxa"/>
            <w:vAlign w:val="center"/>
          </w:tcPr>
          <w:p w14:paraId="3EE683F9">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与内冷焊区贯通的熔接面夹杂的缺陷长度</w:t>
            </w:r>
          </w:p>
        </w:tc>
        <w:tc>
          <w:tcPr>
            <w:tcW w:w="3916" w:type="dxa"/>
            <w:vAlign w:val="center"/>
          </w:tcPr>
          <w:p w14:paraId="0E2FA207">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与内冷焊区不贯通的熔接面夹杂的缺陷长度</w:t>
            </w:r>
          </w:p>
        </w:tc>
      </w:tr>
      <w:tr w14:paraId="476E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6" w:type="dxa"/>
            <w:vAlign w:val="center"/>
          </w:tcPr>
          <w:p w14:paraId="54410150">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Ⅰ</w:t>
            </w:r>
          </w:p>
        </w:tc>
        <w:tc>
          <w:tcPr>
            <w:tcW w:w="3780" w:type="dxa"/>
            <w:vAlign w:val="center"/>
          </w:tcPr>
          <w:p w14:paraId="7EBC9E52">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w:t>
            </w:r>
          </w:p>
        </w:tc>
        <w:tc>
          <w:tcPr>
            <w:tcW w:w="3916" w:type="dxa"/>
            <w:vAlign w:val="center"/>
          </w:tcPr>
          <w:p w14:paraId="59383CF0">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不大于标称熔合区长度 L/10</w:t>
            </w:r>
          </w:p>
        </w:tc>
      </w:tr>
      <w:tr w14:paraId="6EC9D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6" w:type="dxa"/>
            <w:vAlign w:val="center"/>
          </w:tcPr>
          <w:p w14:paraId="3C53EBFE">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Ⅱ</w:t>
            </w:r>
          </w:p>
        </w:tc>
        <w:tc>
          <w:tcPr>
            <w:tcW w:w="3780" w:type="dxa"/>
            <w:vAlign w:val="center"/>
          </w:tcPr>
          <w:p w14:paraId="3FDDFE8C">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不大于标称熔合区长度 L/10</w:t>
            </w:r>
          </w:p>
        </w:tc>
        <w:tc>
          <w:tcPr>
            <w:tcW w:w="3916" w:type="dxa"/>
            <w:vAlign w:val="center"/>
          </w:tcPr>
          <w:p w14:paraId="205C4198">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不大于标称熔合区长度 L/5</w:t>
            </w:r>
          </w:p>
        </w:tc>
      </w:tr>
      <w:tr w14:paraId="557D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6" w:type="dxa"/>
            <w:vAlign w:val="center"/>
          </w:tcPr>
          <w:p w14:paraId="6C27BA0C">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Ⅲ</w:t>
            </w:r>
          </w:p>
        </w:tc>
        <w:tc>
          <w:tcPr>
            <w:tcW w:w="7696" w:type="dxa"/>
            <w:gridSpan w:val="2"/>
            <w:vAlign w:val="center"/>
          </w:tcPr>
          <w:p w14:paraId="7C9A8029">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大于Ⅱ级者</w:t>
            </w:r>
          </w:p>
        </w:tc>
      </w:tr>
      <w:tr w14:paraId="066E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522" w:type="dxa"/>
            <w:gridSpan w:val="3"/>
            <w:vAlign w:val="center"/>
          </w:tcPr>
          <w:p w14:paraId="3B3C9FEF">
            <w:pPr>
              <w:widowControl/>
              <w:spacing w:line="240" w:lineRule="auto"/>
              <w:jc w:val="left"/>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 xml:space="preserve">注：L 为标称熔合区长度。 </w:t>
            </w:r>
          </w:p>
        </w:tc>
      </w:tr>
    </w:tbl>
    <w:p w14:paraId="1B1FBC1A">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孔洞</w:t>
      </w:r>
    </w:p>
    <w:p w14:paraId="6A39B838">
      <w:pPr>
        <w:pStyle w:val="166"/>
        <w:numPr>
          <w:ilvl w:val="0"/>
          <w:numId w:val="0"/>
        </w:numPr>
        <w:ind w:firstLine="420" w:firstLineChars="200"/>
        <w:rPr>
          <w:rFonts w:hint="eastAsia" w:ascii="Times New Roman" w:hAnsi="Times New Roman"/>
          <w:color w:val="auto"/>
          <w:lang w:eastAsia="zh-TW"/>
        </w:rPr>
      </w:pPr>
      <w:r>
        <w:rPr>
          <w:rFonts w:hint="eastAsia" w:ascii="Times New Roman" w:hAnsi="Times New Roman"/>
          <w:color w:val="auto"/>
          <w:lang w:eastAsia="zh-TW"/>
        </w:rPr>
        <w:t>Ⅰ、Ⅱ级电熔接头中不允许存在相邻电阻丝间有连贯性孔洞和与内冷焊区贯通的孔洞。孔洞缺陷按表4的规定进行分级评定。</w:t>
      </w:r>
    </w:p>
    <w:p w14:paraId="49DE0830">
      <w:pPr>
        <w:pStyle w:val="166"/>
        <w:numPr>
          <w:ilvl w:val="0"/>
          <w:numId w:val="0"/>
        </w:numPr>
        <w:spacing w:before="156" w:beforeLines="50" w:after="156" w:afterLines="50"/>
        <w:jc w:val="center"/>
        <w:rPr>
          <w:rFonts w:hint="eastAsia" w:ascii="Times New Roman" w:hAnsi="Times New Roman" w:eastAsia="宋体"/>
          <w:color w:val="auto"/>
          <w:lang w:eastAsia="zh-TW"/>
        </w:rPr>
      </w:pPr>
      <w:r>
        <w:rPr>
          <w:rFonts w:hint="eastAsia" w:ascii="Times New Roman" w:hAnsi="Times New Roman" w:eastAsia="宋体"/>
          <w:color w:val="auto"/>
          <w:lang w:eastAsia="zh-TW"/>
        </w:rPr>
        <w:t>表4 孔洞缺陷质量分级</w:t>
      </w:r>
    </w:p>
    <w:tbl>
      <w:tblPr>
        <w:tblStyle w:val="3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3780"/>
        <w:gridCol w:w="3916"/>
      </w:tblGrid>
      <w:tr w14:paraId="78A82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6" w:type="dxa"/>
            <w:vAlign w:val="center"/>
          </w:tcPr>
          <w:p w14:paraId="0EAD1B08">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级别</w:t>
            </w:r>
          </w:p>
        </w:tc>
        <w:tc>
          <w:tcPr>
            <w:tcW w:w="3780" w:type="dxa"/>
            <w:vAlign w:val="center"/>
          </w:tcPr>
          <w:p w14:paraId="2327C2E5">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单个孔洞</w:t>
            </w:r>
          </w:p>
        </w:tc>
        <w:tc>
          <w:tcPr>
            <w:tcW w:w="3916" w:type="dxa"/>
            <w:vAlign w:val="center"/>
          </w:tcPr>
          <w:p w14:paraId="1D1CB060">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组合孔洞</w:t>
            </w:r>
          </w:p>
        </w:tc>
      </w:tr>
      <w:tr w14:paraId="412A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6" w:type="dxa"/>
            <w:vAlign w:val="center"/>
          </w:tcPr>
          <w:p w14:paraId="295698AB">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Ⅰ</w:t>
            </w:r>
          </w:p>
        </w:tc>
        <w:tc>
          <w:tcPr>
            <w:tcW w:w="3780" w:type="dxa"/>
            <w:vAlign w:val="center"/>
          </w:tcPr>
          <w:p w14:paraId="4BEA541D">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X/L＜5%且h＜5%T</w:t>
            </w:r>
          </w:p>
        </w:tc>
        <w:tc>
          <w:tcPr>
            <w:tcW w:w="3916" w:type="dxa"/>
            <w:vAlign w:val="center"/>
          </w:tcPr>
          <w:p w14:paraId="715D7C83">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累计尺寸 X/L＜10%且 h＜5%T</w:t>
            </w:r>
          </w:p>
        </w:tc>
      </w:tr>
      <w:tr w14:paraId="5FE5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6" w:type="dxa"/>
            <w:vAlign w:val="center"/>
          </w:tcPr>
          <w:p w14:paraId="631C8D69">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Ⅱ</w:t>
            </w:r>
          </w:p>
        </w:tc>
        <w:tc>
          <w:tcPr>
            <w:tcW w:w="3780" w:type="dxa"/>
            <w:vAlign w:val="center"/>
          </w:tcPr>
          <w:p w14:paraId="15EB3105">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X/L＜10%且 h＜10%T</w:t>
            </w:r>
          </w:p>
        </w:tc>
        <w:tc>
          <w:tcPr>
            <w:tcW w:w="3916" w:type="dxa"/>
            <w:vAlign w:val="center"/>
          </w:tcPr>
          <w:p w14:paraId="6DAEB0EF">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累计尺寸 X/L＜15%且 h＜10%T</w:t>
            </w:r>
          </w:p>
        </w:tc>
      </w:tr>
      <w:tr w14:paraId="01EAB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6" w:type="dxa"/>
            <w:vAlign w:val="center"/>
          </w:tcPr>
          <w:p w14:paraId="11DA075E">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Ⅲ</w:t>
            </w:r>
          </w:p>
        </w:tc>
        <w:tc>
          <w:tcPr>
            <w:tcW w:w="7696" w:type="dxa"/>
            <w:gridSpan w:val="2"/>
            <w:vAlign w:val="center"/>
          </w:tcPr>
          <w:p w14:paraId="2ED1C31B">
            <w:pPr>
              <w:widowControl/>
              <w:spacing w:line="240" w:lineRule="auto"/>
              <w:ind w:firstLine="360"/>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大于Ⅱ级者</w:t>
            </w:r>
          </w:p>
        </w:tc>
      </w:tr>
      <w:tr w14:paraId="4E7B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522" w:type="dxa"/>
            <w:gridSpan w:val="3"/>
          </w:tcPr>
          <w:p w14:paraId="310F4A7D">
            <w:pPr>
              <w:widowControl/>
              <w:spacing w:line="240" w:lineRule="auto"/>
              <w:ind w:firstLine="360"/>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注：X 为该缺陷在熔合面轴向方向上的尺寸，L 为标称熔合区长度，T 为电熔接头管材壁厚，h 为孔洞自身高度。</w:t>
            </w:r>
          </w:p>
        </w:tc>
      </w:tr>
    </w:tbl>
    <w:p w14:paraId="47817028">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电阻丝错位</w:t>
      </w:r>
    </w:p>
    <w:p w14:paraId="0CA73AA8">
      <w:pPr>
        <w:pStyle w:val="166"/>
        <w:numPr>
          <w:ilvl w:val="0"/>
          <w:numId w:val="0"/>
        </w:numPr>
        <w:ind w:firstLine="420" w:firstLineChars="200"/>
        <w:rPr>
          <w:rFonts w:hint="eastAsia" w:ascii="Times New Roman" w:hAnsi="Times New Roman" w:eastAsia="宋体"/>
          <w:color w:val="auto"/>
          <w:lang w:eastAsia="zh-TW"/>
        </w:rPr>
      </w:pPr>
      <w:r>
        <w:rPr>
          <w:rFonts w:hint="eastAsia" w:ascii="Times New Roman" w:hAnsi="Times New Roman"/>
          <w:color w:val="auto"/>
          <w:lang w:eastAsia="zh-TW"/>
        </w:rPr>
        <w:t>Ⅰ、Ⅱ级电熔接头中不允许存在相邻电阻丝相互接触的缺陷。电阻丝错位缺陷按表5的规定进行分级评定。</w:t>
      </w:r>
    </w:p>
    <w:p w14:paraId="740DC537">
      <w:pPr>
        <w:pStyle w:val="166"/>
        <w:numPr>
          <w:ilvl w:val="0"/>
          <w:numId w:val="0"/>
        </w:numPr>
        <w:ind w:firstLine="420" w:firstLineChars="200"/>
        <w:rPr>
          <w:rFonts w:hint="eastAsia" w:ascii="Times New Roman" w:hAnsi="Times New Roman" w:eastAsia="宋体"/>
          <w:color w:val="auto"/>
          <w:lang w:eastAsia="zh-TW"/>
        </w:rPr>
      </w:pPr>
    </w:p>
    <w:p w14:paraId="05E9957E">
      <w:pPr>
        <w:pStyle w:val="166"/>
        <w:numPr>
          <w:ilvl w:val="0"/>
          <w:numId w:val="0"/>
        </w:numPr>
        <w:spacing w:before="156" w:beforeLines="50" w:after="156" w:afterLines="50"/>
        <w:jc w:val="center"/>
        <w:rPr>
          <w:rFonts w:hint="eastAsia" w:ascii="Times New Roman" w:hAnsi="Times New Roman" w:eastAsia="宋体"/>
          <w:color w:val="auto"/>
          <w:lang w:eastAsia="zh-TW"/>
        </w:rPr>
      </w:pPr>
      <w:r>
        <w:rPr>
          <w:rFonts w:hint="eastAsia" w:ascii="Times New Roman" w:hAnsi="Times New Roman" w:eastAsia="宋体"/>
          <w:color w:val="auto"/>
          <w:lang w:eastAsia="zh-TW"/>
        </w:rPr>
        <w:t>表5 电阻丝错位缺陷的质量分级</w:t>
      </w:r>
    </w:p>
    <w:tbl>
      <w:tblPr>
        <w:tblStyle w:val="30"/>
        <w:tblW w:w="6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4"/>
        <w:gridCol w:w="4915"/>
      </w:tblGrid>
      <w:tr w14:paraId="09C3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064" w:type="dxa"/>
            <w:vAlign w:val="center"/>
          </w:tcPr>
          <w:p w14:paraId="6FB48ABE">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级别</w:t>
            </w:r>
          </w:p>
        </w:tc>
        <w:tc>
          <w:tcPr>
            <w:tcW w:w="4915" w:type="dxa"/>
            <w:vAlign w:val="center"/>
          </w:tcPr>
          <w:p w14:paraId="3CC07B79">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电阻丝错位量</w:t>
            </w:r>
          </w:p>
        </w:tc>
      </w:tr>
      <w:tr w14:paraId="4AB69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064" w:type="dxa"/>
            <w:vAlign w:val="center"/>
          </w:tcPr>
          <w:p w14:paraId="39B45F54">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Ⅰ</w:t>
            </w:r>
          </w:p>
        </w:tc>
        <w:tc>
          <w:tcPr>
            <w:tcW w:w="4915" w:type="dxa"/>
            <w:vAlign w:val="center"/>
          </w:tcPr>
          <w:p w14:paraId="5E6C7C6A">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无明显错位</w:t>
            </w:r>
          </w:p>
        </w:tc>
      </w:tr>
      <w:tr w14:paraId="073C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064" w:type="dxa"/>
            <w:vAlign w:val="center"/>
          </w:tcPr>
          <w:p w14:paraId="73D65587">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Ⅱ</w:t>
            </w:r>
          </w:p>
        </w:tc>
        <w:tc>
          <w:tcPr>
            <w:tcW w:w="4915" w:type="dxa"/>
            <w:vAlign w:val="center"/>
          </w:tcPr>
          <w:p w14:paraId="170EB799">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错位量小于电阻丝间距</w:t>
            </w:r>
          </w:p>
        </w:tc>
      </w:tr>
      <w:tr w14:paraId="41E2B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064" w:type="dxa"/>
            <w:vAlign w:val="center"/>
          </w:tcPr>
          <w:p w14:paraId="772A2D4C">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Ⅲ</w:t>
            </w:r>
          </w:p>
        </w:tc>
        <w:tc>
          <w:tcPr>
            <w:tcW w:w="4915" w:type="dxa"/>
            <w:vAlign w:val="center"/>
          </w:tcPr>
          <w:p w14:paraId="67376723">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大于Ⅱ级者或相邻电阻丝相互接触</w:t>
            </w:r>
          </w:p>
        </w:tc>
      </w:tr>
    </w:tbl>
    <w:p w14:paraId="3B7FB2F8">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 xml:space="preserve">冷焊 </w:t>
      </w:r>
    </w:p>
    <w:p w14:paraId="320757A1">
      <w:pPr>
        <w:pStyle w:val="166"/>
        <w:numPr>
          <w:ilvl w:val="0"/>
          <w:numId w:val="0"/>
        </w:numPr>
        <w:ind w:firstLine="420" w:firstLineChars="200"/>
        <w:rPr>
          <w:rFonts w:hint="eastAsia" w:ascii="Times New Roman" w:hAnsi="Times New Roman"/>
          <w:color w:val="auto"/>
          <w:lang w:eastAsia="zh-TW"/>
        </w:rPr>
      </w:pPr>
      <w:r>
        <w:rPr>
          <w:rFonts w:hint="eastAsia" w:ascii="Times New Roman" w:hAnsi="Times New Roman"/>
          <w:color w:val="auto"/>
          <w:lang w:eastAsia="zh-TW"/>
        </w:rPr>
        <w:t>冷焊按表6的规定进行分级评定。</w:t>
      </w:r>
    </w:p>
    <w:p w14:paraId="183CE49E">
      <w:pPr>
        <w:pStyle w:val="166"/>
        <w:numPr>
          <w:ilvl w:val="0"/>
          <w:numId w:val="0"/>
        </w:numPr>
        <w:spacing w:before="156" w:beforeLines="50" w:after="156" w:afterLines="50"/>
        <w:jc w:val="center"/>
        <w:rPr>
          <w:rFonts w:hint="eastAsia" w:ascii="Times New Roman" w:hAnsi="Times New Roman" w:eastAsia="宋体"/>
          <w:color w:val="auto"/>
          <w:lang w:eastAsia="zh-TW"/>
        </w:rPr>
      </w:pPr>
      <w:r>
        <w:rPr>
          <w:rFonts w:hint="eastAsia" w:ascii="Times New Roman" w:hAnsi="Times New Roman" w:eastAsia="宋体"/>
          <w:color w:val="auto"/>
          <w:lang w:eastAsia="zh-TW"/>
        </w:rPr>
        <w:t>表6 冷焊缺陷的质量分级</w:t>
      </w:r>
    </w:p>
    <w:tbl>
      <w:tblPr>
        <w:tblStyle w:val="30"/>
        <w:tblW w:w="6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4632"/>
      </w:tblGrid>
      <w:tr w14:paraId="13C6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47" w:type="dxa"/>
            <w:vAlign w:val="center"/>
          </w:tcPr>
          <w:p w14:paraId="61E33466">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级别</w:t>
            </w:r>
          </w:p>
        </w:tc>
        <w:tc>
          <w:tcPr>
            <w:tcW w:w="4632" w:type="dxa"/>
            <w:vAlign w:val="center"/>
          </w:tcPr>
          <w:p w14:paraId="76B59E1C">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冷焊程度 H</w:t>
            </w:r>
          </w:p>
        </w:tc>
      </w:tr>
      <w:tr w14:paraId="7E14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47" w:type="dxa"/>
            <w:vAlign w:val="center"/>
          </w:tcPr>
          <w:p w14:paraId="31D0C154">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Ⅰ</w:t>
            </w:r>
          </w:p>
        </w:tc>
        <w:tc>
          <w:tcPr>
            <w:tcW w:w="4632" w:type="dxa"/>
            <w:vAlign w:val="center"/>
          </w:tcPr>
          <w:p w14:paraId="3909D3B2">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小于 10%</w:t>
            </w:r>
          </w:p>
        </w:tc>
      </w:tr>
      <w:tr w14:paraId="77C66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47" w:type="dxa"/>
            <w:vAlign w:val="center"/>
          </w:tcPr>
          <w:p w14:paraId="641C7657">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Ⅱ</w:t>
            </w:r>
          </w:p>
        </w:tc>
        <w:tc>
          <w:tcPr>
            <w:tcW w:w="4632" w:type="dxa"/>
            <w:vAlign w:val="center"/>
          </w:tcPr>
          <w:p w14:paraId="682E8098">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小于 30%</w:t>
            </w:r>
          </w:p>
        </w:tc>
      </w:tr>
      <w:tr w14:paraId="7919C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47" w:type="dxa"/>
            <w:vAlign w:val="center"/>
          </w:tcPr>
          <w:p w14:paraId="5EC65C29">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Ⅲ</w:t>
            </w:r>
          </w:p>
        </w:tc>
        <w:tc>
          <w:tcPr>
            <w:tcW w:w="4632" w:type="dxa"/>
            <w:vAlign w:val="center"/>
          </w:tcPr>
          <w:p w14:paraId="120C1D32">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大于Ⅱ级者</w:t>
            </w:r>
          </w:p>
        </w:tc>
      </w:tr>
    </w:tbl>
    <w:p w14:paraId="01221139">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过焊</w:t>
      </w:r>
    </w:p>
    <w:p w14:paraId="7EC02C39">
      <w:pPr>
        <w:pStyle w:val="166"/>
        <w:numPr>
          <w:ilvl w:val="0"/>
          <w:numId w:val="0"/>
        </w:numPr>
        <w:ind w:firstLine="420" w:firstLineChars="200"/>
        <w:rPr>
          <w:rFonts w:hint="eastAsia" w:ascii="Times New Roman" w:hAnsi="Times New Roman" w:eastAsia="宋体"/>
          <w:color w:val="auto"/>
          <w:lang w:eastAsia="zh-TW"/>
        </w:rPr>
      </w:pPr>
      <w:r>
        <w:rPr>
          <w:rFonts w:hint="eastAsia" w:ascii="Times New Roman" w:hAnsi="Times New Roman"/>
          <w:color w:val="auto"/>
          <w:lang w:eastAsia="zh-TW"/>
        </w:rPr>
        <w:t>过焊引起孔洞缺陷时，按6.5.3评定，过焊引起电阻丝错位时，按6.5.4评定。过焊按过焊程度进行分级评定时，按表7的规定进行分级评定。</w:t>
      </w:r>
      <w:r>
        <w:rPr>
          <w:rFonts w:hint="eastAsia" w:ascii="Times New Roman" w:hAnsi="Times New Roman" w:eastAsia="宋体"/>
          <w:color w:val="auto"/>
          <w:lang w:eastAsia="zh-TW"/>
        </w:rPr>
        <w:t xml:space="preserve"> </w:t>
      </w:r>
    </w:p>
    <w:p w14:paraId="5D533A5D">
      <w:pPr>
        <w:pStyle w:val="166"/>
        <w:numPr>
          <w:ilvl w:val="0"/>
          <w:numId w:val="0"/>
        </w:numPr>
        <w:spacing w:before="156" w:beforeLines="50" w:after="156" w:afterLines="50"/>
        <w:jc w:val="center"/>
        <w:rPr>
          <w:rFonts w:hint="eastAsia" w:ascii="Times New Roman" w:hAnsi="Times New Roman" w:eastAsia="宋体"/>
          <w:color w:val="auto"/>
          <w:lang w:eastAsia="zh-TW"/>
        </w:rPr>
      </w:pPr>
      <w:r>
        <w:rPr>
          <w:rFonts w:hint="eastAsia" w:ascii="Times New Roman" w:hAnsi="Times New Roman" w:eastAsia="宋体"/>
          <w:color w:val="auto"/>
          <w:lang w:eastAsia="zh-TW"/>
        </w:rPr>
        <w:t>表7 过焊缺陷的质量分级</w:t>
      </w:r>
    </w:p>
    <w:tbl>
      <w:tblPr>
        <w:tblStyle w:val="30"/>
        <w:tblW w:w="6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1"/>
        <w:gridCol w:w="4618"/>
      </w:tblGrid>
      <w:tr w14:paraId="07FEF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41" w:type="dxa"/>
            <w:vAlign w:val="center"/>
          </w:tcPr>
          <w:p w14:paraId="2EBC2312">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级别</w:t>
            </w:r>
          </w:p>
        </w:tc>
        <w:tc>
          <w:tcPr>
            <w:tcW w:w="4618" w:type="dxa"/>
            <w:vAlign w:val="center"/>
          </w:tcPr>
          <w:p w14:paraId="7AD4E4F1">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冷焊程度 H′</w:t>
            </w:r>
          </w:p>
        </w:tc>
      </w:tr>
      <w:tr w14:paraId="4F10A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41" w:type="dxa"/>
            <w:vAlign w:val="center"/>
          </w:tcPr>
          <w:p w14:paraId="168DD2AE">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Ⅰ</w:t>
            </w:r>
          </w:p>
        </w:tc>
        <w:tc>
          <w:tcPr>
            <w:tcW w:w="4618" w:type="dxa"/>
            <w:vAlign w:val="center"/>
          </w:tcPr>
          <w:p w14:paraId="1C8C5B3F">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小于 20%</w:t>
            </w:r>
          </w:p>
        </w:tc>
      </w:tr>
      <w:tr w14:paraId="4B2F5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41" w:type="dxa"/>
            <w:vAlign w:val="center"/>
          </w:tcPr>
          <w:p w14:paraId="3EB840D3">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Ⅱ</w:t>
            </w:r>
          </w:p>
        </w:tc>
        <w:tc>
          <w:tcPr>
            <w:tcW w:w="4618" w:type="dxa"/>
            <w:vAlign w:val="center"/>
          </w:tcPr>
          <w:p w14:paraId="6D7BEF04">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小于 40%</w:t>
            </w:r>
          </w:p>
        </w:tc>
      </w:tr>
      <w:tr w14:paraId="0C37E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41" w:type="dxa"/>
            <w:vAlign w:val="center"/>
          </w:tcPr>
          <w:p w14:paraId="33AC258C">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Ⅲ</w:t>
            </w:r>
          </w:p>
        </w:tc>
        <w:tc>
          <w:tcPr>
            <w:tcW w:w="4618" w:type="dxa"/>
            <w:vAlign w:val="center"/>
          </w:tcPr>
          <w:p w14:paraId="6790681E">
            <w:pPr>
              <w:spacing w:line="240"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大于Ⅱ级者</w:t>
            </w:r>
          </w:p>
        </w:tc>
      </w:tr>
    </w:tbl>
    <w:p w14:paraId="4EF0363F">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承插不到位</w:t>
      </w:r>
    </w:p>
    <w:p w14:paraId="41C3926F">
      <w:pPr>
        <w:pStyle w:val="166"/>
        <w:numPr>
          <w:ilvl w:val="0"/>
          <w:numId w:val="0"/>
        </w:numPr>
        <w:ind w:firstLine="420" w:firstLineChars="200"/>
        <w:rPr>
          <w:rFonts w:hint="eastAsia" w:ascii="Times New Roman" w:hAnsi="Times New Roman"/>
          <w:color w:val="auto"/>
          <w:lang w:eastAsia="zh-TW"/>
        </w:rPr>
      </w:pPr>
      <w:r>
        <w:rPr>
          <w:rFonts w:hint="eastAsia" w:ascii="Times New Roman" w:hAnsi="Times New Roman"/>
          <w:color w:val="auto"/>
          <w:lang w:eastAsia="zh-TW"/>
        </w:rPr>
        <w:t xml:space="preserve">Ⅰ、Ⅱ级电熔接头中不允许存在承插不到位缺陷。 </w:t>
      </w:r>
    </w:p>
    <w:p w14:paraId="5BF99BA4">
      <w:pPr>
        <w:pStyle w:val="69"/>
        <w:spacing w:before="156" w:after="156"/>
        <w:rPr>
          <w:rFonts w:hint="eastAsia" w:ascii="Times New Roman" w:hAnsi="Times New Roman" w:eastAsia="宋体" w:cs="Times New Roman"/>
          <w:color w:val="auto"/>
        </w:rPr>
      </w:pPr>
      <w:r>
        <w:rPr>
          <w:rFonts w:hint="eastAsia" w:ascii="Times New Roman" w:hAnsi="Times New Roman" w:eastAsia="宋体" w:cs="Times New Roman"/>
          <w:color w:val="auto"/>
        </w:rPr>
        <w:t>综合评定</w:t>
      </w:r>
    </w:p>
    <w:p w14:paraId="427A37AE">
      <w:pPr>
        <w:pStyle w:val="60"/>
        <w:ind w:firstLine="420"/>
        <w:rPr>
          <w:rFonts w:ascii="Times New Roman"/>
          <w:color w:val="auto"/>
        </w:rPr>
      </w:pPr>
      <w:r>
        <w:rPr>
          <w:rFonts w:hint="eastAsia" w:ascii="Times New Roman" w:hAnsi="Times New Roman"/>
          <w:color w:val="auto"/>
          <w:lang w:eastAsia="zh-TW"/>
        </w:rPr>
        <w:t>当接头中同时出现多种类型的缺陷时，以质量最差的级别作为接头的质量级别。</w:t>
      </w:r>
    </w:p>
    <w:p w14:paraId="6422579F">
      <w:pPr>
        <w:pStyle w:val="10"/>
        <w:numPr>
          <w:ilvl w:val="1"/>
          <w:numId w:val="2"/>
        </w:numPr>
        <w:rPr>
          <w:rFonts w:ascii="Times New Roman" w:hAnsi="Times New Roman" w:eastAsia="宋体"/>
          <w:color w:val="auto"/>
        </w:rPr>
      </w:pPr>
      <w:r>
        <w:rPr>
          <w:rFonts w:hint="eastAsia" w:ascii="Times New Roman" w:hAnsi="Times New Roman" w:eastAsia="宋体"/>
          <w:color w:val="auto"/>
        </w:rPr>
        <w:t>聚乙烯燃气管道定期检验</w:t>
      </w:r>
    </w:p>
    <w:p w14:paraId="10B48BBD">
      <w:pPr>
        <w:pStyle w:val="10"/>
        <w:rPr>
          <w:rFonts w:ascii="Times New Roman" w:hAnsi="Times New Roman" w:eastAsia="宋体"/>
          <w:color w:val="auto"/>
        </w:rPr>
      </w:pPr>
      <w:bookmarkStart w:id="41" w:name="_Toc383976056"/>
      <w:r>
        <w:rPr>
          <w:rFonts w:ascii="Times New Roman" w:hAnsi="Times New Roman" w:eastAsia="宋体"/>
          <w:color w:val="auto"/>
        </w:rPr>
        <w:t xml:space="preserve">7.1 </w:t>
      </w:r>
      <w:r>
        <w:rPr>
          <w:rFonts w:hint="eastAsia" w:ascii="Times New Roman" w:hAnsi="Times New Roman" w:eastAsia="宋体"/>
          <w:color w:val="auto"/>
        </w:rPr>
        <w:t>职责和义务</w:t>
      </w:r>
    </w:p>
    <w:p w14:paraId="73983F07">
      <w:pPr>
        <w:pStyle w:val="60"/>
        <w:ind w:firstLine="0" w:firstLineChars="0"/>
        <w:rPr>
          <w:rFonts w:hint="eastAsia" w:ascii="Times New Roman" w:hAnsi="Times New Roman" w:eastAsia="宋体" w:cs="Times New Roman"/>
          <w:color w:val="auto"/>
          <w:kern w:val="2"/>
          <w:szCs w:val="21"/>
        </w:rPr>
      </w:pPr>
      <w:r>
        <w:rPr>
          <w:rFonts w:hint="eastAsia" w:ascii="Times New Roman" w:hAnsi="Times New Roman" w:eastAsia="宋体" w:cs="Times New Roman"/>
          <w:color w:val="auto"/>
          <w:kern w:val="2"/>
          <w:szCs w:val="21"/>
        </w:rPr>
        <w:t xml:space="preserve">7.1.1 </w:t>
      </w:r>
      <w:r>
        <w:rPr>
          <w:rFonts w:hint="eastAsia" w:ascii="Times New Roman"/>
          <w:color w:val="auto"/>
        </w:rPr>
        <w:t>使用单位应当根据本标准的要求做好管道检验前的各项准备工作，使管道处于适合的待检状态，提供安全的检验环境，负责检验所需要的辅助工作，协助检验机构进行检验。检验人员应当认真执行管道使用单位的安全管理规定。</w:t>
      </w:r>
    </w:p>
    <w:p w14:paraId="18084AF8">
      <w:pPr>
        <w:pStyle w:val="60"/>
        <w:ind w:firstLine="0" w:firstLineChars="0"/>
        <w:rPr>
          <w:rFonts w:ascii="Times New Roman"/>
          <w:color w:val="auto"/>
        </w:rPr>
      </w:pPr>
      <w:r>
        <w:rPr>
          <w:rFonts w:hint="eastAsia" w:ascii="Times New Roman" w:hAnsi="Times New Roman" w:eastAsia="宋体" w:cs="Times New Roman"/>
          <w:color w:val="auto"/>
          <w:kern w:val="2"/>
          <w:szCs w:val="21"/>
        </w:rPr>
        <w:t xml:space="preserve">7.1.2 </w:t>
      </w:r>
      <w:r>
        <w:rPr>
          <w:rFonts w:hint="eastAsia" w:ascii="Times New Roman"/>
          <w:color w:val="auto"/>
        </w:rPr>
        <w:t>受检单位在检验前应向检验机构提交被检管道的安全技术档案资料（资料主要包括设计资料、安装资料、维修改造资料、使用登记资料、管道运行记录、年度检查报告、历次定期检验报告等）</w:t>
      </w:r>
      <w:bookmarkEnd w:id="41"/>
      <w:r>
        <w:rPr>
          <w:rFonts w:hint="eastAsia" w:ascii="Times New Roman"/>
          <w:color w:val="auto"/>
        </w:rPr>
        <w:t>。</w:t>
      </w:r>
    </w:p>
    <w:p w14:paraId="2C2830AF">
      <w:pPr>
        <w:pStyle w:val="60"/>
        <w:ind w:firstLine="0" w:firstLineChars="0"/>
        <w:rPr>
          <w:rFonts w:ascii="Times New Roman"/>
          <w:color w:val="auto"/>
        </w:rPr>
      </w:pPr>
      <w:r>
        <w:rPr>
          <w:rFonts w:hint="eastAsia" w:ascii="Times New Roman" w:hAnsi="Times New Roman" w:eastAsia="宋体" w:cs="Times New Roman"/>
          <w:color w:val="auto"/>
          <w:kern w:val="2"/>
          <w:szCs w:val="21"/>
        </w:rPr>
        <w:t>7.1.3</w:t>
      </w:r>
      <w:r>
        <w:rPr>
          <w:rFonts w:ascii="Times New Roman" w:hAnsi="Times New Roman" w:eastAsia="宋体"/>
          <w:color w:val="auto"/>
          <w:kern w:val="2"/>
          <w:szCs w:val="21"/>
        </w:rPr>
        <w:t xml:space="preserve"> </w:t>
      </w:r>
      <w:r>
        <w:rPr>
          <w:rFonts w:hint="eastAsia" w:ascii="Times New Roman" w:hAnsi="Times New Roman" w:cs="Times New Roman"/>
          <w:color w:val="auto"/>
          <w:kern w:val="2"/>
          <w:szCs w:val="21"/>
        </w:rPr>
        <w:t>定期</w:t>
      </w:r>
      <w:r>
        <w:rPr>
          <w:rFonts w:hint="eastAsia" w:ascii="Times New Roman"/>
          <w:color w:val="auto"/>
        </w:rPr>
        <w:t>检验前，检验机构应当根据被检的管道的损伤模式、失效模式以及本规程的要求制定检验方案，检验人员应当严格按照批准后的检验方案实施检验。</w:t>
      </w:r>
    </w:p>
    <w:p w14:paraId="6ED41FD6">
      <w:pPr>
        <w:pStyle w:val="60"/>
        <w:ind w:firstLine="0" w:firstLineChars="0"/>
        <w:rPr>
          <w:rFonts w:ascii="Times New Roman"/>
          <w:color w:val="auto"/>
        </w:rPr>
      </w:pPr>
      <w:r>
        <w:rPr>
          <w:rFonts w:hint="eastAsia" w:ascii="Times New Roman" w:hAnsi="Times New Roman" w:eastAsia="宋体" w:cs="Times New Roman"/>
          <w:color w:val="auto"/>
          <w:kern w:val="2"/>
          <w:szCs w:val="21"/>
        </w:rPr>
        <w:t>7.1.4</w:t>
      </w:r>
      <w:r>
        <w:rPr>
          <w:rFonts w:ascii="Times New Roman"/>
          <w:color w:val="auto"/>
        </w:rPr>
        <w:t xml:space="preserve"> </w:t>
      </w:r>
      <w:r>
        <w:rPr>
          <w:rFonts w:hint="eastAsia" w:ascii="Times New Roman"/>
          <w:color w:val="auto"/>
        </w:rPr>
        <w:t>使用单位或相关辅助单位应当做好检验前的准备工作，检验现场不具备检验条件时，检验人员有权拒绝检验。</w:t>
      </w:r>
    </w:p>
    <w:p w14:paraId="57693AC5">
      <w:pPr>
        <w:pStyle w:val="60"/>
        <w:ind w:firstLine="0" w:firstLineChars="0"/>
        <w:rPr>
          <w:rFonts w:ascii="Times New Roman"/>
          <w:color w:val="auto"/>
        </w:rPr>
      </w:pPr>
      <w:r>
        <w:rPr>
          <w:rFonts w:ascii="Times New Roman"/>
          <w:color w:val="auto"/>
          <w:kern w:val="2"/>
          <w:szCs w:val="21"/>
        </w:rPr>
        <w:t xml:space="preserve">7.1.5 </w:t>
      </w:r>
      <w:r>
        <w:rPr>
          <w:rFonts w:hint="eastAsia" w:ascii="Times New Roman"/>
          <w:color w:val="auto"/>
        </w:rPr>
        <w:t>检验结束后，检验机构应在规定的时间内（或与受检单位约定的时间内）及时出具审批手续齐全的检验报告。</w:t>
      </w:r>
    </w:p>
    <w:p w14:paraId="38E5B097">
      <w:pPr>
        <w:pStyle w:val="60"/>
        <w:ind w:firstLine="0" w:firstLineChars="0"/>
        <w:rPr>
          <w:rFonts w:ascii="Times New Roman"/>
          <w:color w:val="auto"/>
        </w:rPr>
      </w:pPr>
      <w:r>
        <w:rPr>
          <w:rFonts w:ascii="Times New Roman"/>
          <w:b w:val="0"/>
          <w:bCs w:val="0"/>
          <w:color w:val="auto"/>
          <w:kern w:val="2"/>
          <w:szCs w:val="21"/>
        </w:rPr>
        <w:t xml:space="preserve">7.1.6 </w:t>
      </w:r>
      <w:r>
        <w:rPr>
          <w:rFonts w:hint="eastAsia" w:ascii="Times New Roman"/>
          <w:color w:val="auto"/>
        </w:rPr>
        <w:t>检验机构应当配备满足检验检测需要的仪器设备和计量器具。</w:t>
      </w:r>
    </w:p>
    <w:p w14:paraId="06DDC3E5">
      <w:pPr>
        <w:pStyle w:val="60"/>
        <w:ind w:firstLine="420"/>
        <w:rPr>
          <w:rFonts w:hint="eastAsia" w:ascii="Times New Roman" w:hAnsi="Times New Roman" w:cs="Times New Roman"/>
          <w:color w:val="auto"/>
        </w:rPr>
      </w:pPr>
    </w:p>
    <w:p w14:paraId="7F1E7539">
      <w:pPr>
        <w:pStyle w:val="10"/>
        <w:rPr>
          <w:rFonts w:ascii="Times New Roman" w:hAnsi="Times New Roman" w:eastAsia="宋体"/>
          <w:color w:val="auto"/>
        </w:rPr>
      </w:pPr>
      <w:r>
        <w:rPr>
          <w:rFonts w:ascii="Times New Roman" w:hAnsi="Times New Roman" w:eastAsia="宋体"/>
          <w:color w:val="auto"/>
        </w:rPr>
        <w:t xml:space="preserve">7.2 </w:t>
      </w:r>
      <w:r>
        <w:rPr>
          <w:rFonts w:hint="eastAsia" w:ascii="Times New Roman" w:hAnsi="Times New Roman" w:eastAsia="宋体"/>
          <w:color w:val="auto"/>
        </w:rPr>
        <w:t>工作程序</w:t>
      </w:r>
    </w:p>
    <w:p w14:paraId="13FB5A87">
      <w:pPr>
        <w:pStyle w:val="60"/>
        <w:ind w:firstLine="420"/>
        <w:rPr>
          <w:rFonts w:hint="eastAsia" w:ascii="Times New Roman" w:hAnsi="Times New Roman" w:cs="Times New Roman"/>
          <w:color w:val="auto"/>
          <w:szCs w:val="21"/>
        </w:rPr>
      </w:pPr>
      <w:r>
        <w:rPr>
          <w:rFonts w:hint="eastAsia" w:ascii="Times New Roman" w:hAnsi="Times New Roman" w:cs="Times New Roman"/>
          <w:color w:val="auto"/>
          <w:szCs w:val="21"/>
        </w:rPr>
        <w:t>定期检验工作的一般程序，包括检验方案制定、检验前的准备、检验实施、缺陷以及问题的处理、检验结果汇总、出具检验报告等。</w:t>
      </w:r>
    </w:p>
    <w:p w14:paraId="01D87C01">
      <w:pPr>
        <w:pStyle w:val="10"/>
        <w:rPr>
          <w:rFonts w:ascii="Times New Roman" w:hAnsi="Times New Roman" w:eastAsia="宋体"/>
          <w:color w:val="auto"/>
        </w:rPr>
      </w:pPr>
      <w:r>
        <w:rPr>
          <w:rFonts w:ascii="Times New Roman" w:hAnsi="Times New Roman" w:eastAsia="宋体"/>
          <w:color w:val="auto"/>
        </w:rPr>
        <w:t xml:space="preserve">7.3 </w:t>
      </w:r>
      <w:r>
        <w:rPr>
          <w:rFonts w:hint="eastAsia" w:ascii="Times New Roman" w:hAnsi="Times New Roman" w:eastAsia="宋体"/>
          <w:color w:val="auto"/>
        </w:rPr>
        <w:t>定期检验周期</w:t>
      </w:r>
    </w:p>
    <w:p w14:paraId="083119DB">
      <w:pPr>
        <w:pStyle w:val="60"/>
        <w:ind w:firstLine="420"/>
        <w:rPr>
          <w:rFonts w:hint="eastAsia" w:ascii="Times New Roman" w:hAnsi="Times New Roman" w:cs="Times New Roman"/>
          <w:color w:val="auto"/>
          <w:szCs w:val="21"/>
        </w:rPr>
      </w:pPr>
      <w:r>
        <w:rPr>
          <w:rFonts w:hint="eastAsia" w:ascii="Times New Roman" w:hAnsi="Times New Roman" w:cs="Times New Roman"/>
          <w:color w:val="auto"/>
          <w:szCs w:val="21"/>
        </w:rPr>
        <w:t>管道一般在投入使用后 3年内进行首次定期检验。以后的检验周期由检验机构根据管道安全状况等级，按照以下要求确定：</w:t>
      </w:r>
    </w:p>
    <w:p w14:paraId="5C57984C">
      <w:pPr>
        <w:pStyle w:val="237"/>
        <w:numPr>
          <w:ilvl w:val="2"/>
          <w:numId w:val="0"/>
        </w:numPr>
        <w:jc w:val="center"/>
        <w:rPr>
          <w:rFonts w:ascii="Times New Roman"/>
          <w:color w:val="auto"/>
        </w:rPr>
      </w:pPr>
      <w:r>
        <w:rPr>
          <w:rFonts w:hint="eastAsia" w:ascii="Times New Roman"/>
          <w:color w:val="auto"/>
        </w:rPr>
        <w:t>表</w:t>
      </w:r>
      <w:r>
        <w:rPr>
          <w:rFonts w:ascii="Times New Roman"/>
          <w:color w:val="auto"/>
        </w:rPr>
        <w:t xml:space="preserve">1 </w:t>
      </w:r>
      <w:r>
        <w:rPr>
          <w:rFonts w:hint="eastAsia" w:ascii="Times New Roman"/>
          <w:color w:val="auto"/>
        </w:rPr>
        <w:t>下次定期检验周期</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0"/>
        <w:gridCol w:w="1400"/>
        <w:gridCol w:w="1350"/>
        <w:gridCol w:w="1687"/>
        <w:gridCol w:w="1555"/>
      </w:tblGrid>
      <w:tr w14:paraId="34893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0" w:type="dxa"/>
          </w:tcPr>
          <w:p w14:paraId="33F7AD2A">
            <w:pPr>
              <w:pStyle w:val="237"/>
              <w:numPr>
                <w:ilvl w:val="2"/>
                <w:numId w:val="0"/>
              </w:numPr>
              <w:jc w:val="center"/>
              <w:rPr>
                <w:rFonts w:ascii="Times New Roman"/>
                <w:color w:val="auto"/>
              </w:rPr>
            </w:pPr>
            <w:r>
              <w:rPr>
                <w:rFonts w:hint="eastAsia" w:ascii="Times New Roman"/>
                <w:color w:val="auto"/>
              </w:rPr>
              <w:t>管道综合安全状况等级</w:t>
            </w:r>
          </w:p>
        </w:tc>
        <w:tc>
          <w:tcPr>
            <w:tcW w:w="1400" w:type="dxa"/>
          </w:tcPr>
          <w:p w14:paraId="706AA655">
            <w:pPr>
              <w:pStyle w:val="237"/>
              <w:numPr>
                <w:ilvl w:val="2"/>
                <w:numId w:val="0"/>
              </w:numPr>
              <w:jc w:val="center"/>
              <w:rPr>
                <w:rFonts w:ascii="Times New Roman"/>
                <w:color w:val="auto"/>
              </w:rPr>
            </w:pPr>
            <w:r>
              <w:rPr>
                <w:rFonts w:ascii="Times New Roman"/>
                <w:color w:val="auto"/>
              </w:rPr>
              <w:t>1</w:t>
            </w:r>
          </w:p>
        </w:tc>
        <w:tc>
          <w:tcPr>
            <w:tcW w:w="1350" w:type="dxa"/>
          </w:tcPr>
          <w:p w14:paraId="68BCF605">
            <w:pPr>
              <w:pStyle w:val="237"/>
              <w:numPr>
                <w:ilvl w:val="2"/>
                <w:numId w:val="0"/>
              </w:numPr>
              <w:jc w:val="center"/>
              <w:rPr>
                <w:rFonts w:ascii="Times New Roman"/>
                <w:color w:val="auto"/>
              </w:rPr>
            </w:pPr>
            <w:r>
              <w:rPr>
                <w:rFonts w:ascii="Times New Roman"/>
                <w:color w:val="auto"/>
              </w:rPr>
              <w:t>2</w:t>
            </w:r>
          </w:p>
        </w:tc>
        <w:tc>
          <w:tcPr>
            <w:tcW w:w="1687" w:type="dxa"/>
          </w:tcPr>
          <w:p w14:paraId="3FBD2E72">
            <w:pPr>
              <w:pStyle w:val="237"/>
              <w:numPr>
                <w:ilvl w:val="2"/>
                <w:numId w:val="0"/>
              </w:numPr>
              <w:jc w:val="center"/>
              <w:rPr>
                <w:rFonts w:ascii="Times New Roman"/>
                <w:color w:val="auto"/>
              </w:rPr>
            </w:pPr>
            <w:r>
              <w:rPr>
                <w:rFonts w:ascii="Times New Roman"/>
                <w:color w:val="auto"/>
              </w:rPr>
              <w:t>3</w:t>
            </w:r>
          </w:p>
        </w:tc>
        <w:tc>
          <w:tcPr>
            <w:tcW w:w="1555" w:type="dxa"/>
          </w:tcPr>
          <w:p w14:paraId="25A17A49">
            <w:pPr>
              <w:pStyle w:val="237"/>
              <w:numPr>
                <w:ilvl w:val="2"/>
                <w:numId w:val="0"/>
              </w:numPr>
              <w:jc w:val="center"/>
              <w:rPr>
                <w:rFonts w:ascii="Times New Roman"/>
                <w:color w:val="auto"/>
              </w:rPr>
            </w:pPr>
            <w:r>
              <w:rPr>
                <w:rFonts w:ascii="Times New Roman"/>
                <w:color w:val="auto"/>
              </w:rPr>
              <w:t>4</w:t>
            </w:r>
          </w:p>
        </w:tc>
      </w:tr>
      <w:tr w14:paraId="549D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0" w:type="dxa"/>
          </w:tcPr>
          <w:p w14:paraId="44AC6E02">
            <w:pPr>
              <w:pStyle w:val="237"/>
              <w:numPr>
                <w:ilvl w:val="2"/>
                <w:numId w:val="0"/>
              </w:numPr>
              <w:jc w:val="center"/>
              <w:rPr>
                <w:rFonts w:ascii="Times New Roman"/>
                <w:color w:val="auto"/>
              </w:rPr>
            </w:pPr>
            <w:r>
              <w:rPr>
                <w:rFonts w:hint="eastAsia" w:ascii="Times New Roman"/>
                <w:color w:val="auto"/>
              </w:rPr>
              <w:t>下次定期检验周期</w:t>
            </w:r>
          </w:p>
        </w:tc>
        <w:tc>
          <w:tcPr>
            <w:tcW w:w="1400" w:type="dxa"/>
          </w:tcPr>
          <w:p w14:paraId="41F31425">
            <w:pPr>
              <w:pStyle w:val="237"/>
              <w:numPr>
                <w:ilvl w:val="2"/>
                <w:numId w:val="0"/>
              </w:numPr>
              <w:jc w:val="center"/>
              <w:rPr>
                <w:rFonts w:ascii="Times New Roman"/>
                <w:color w:val="auto"/>
              </w:rPr>
            </w:pPr>
            <w:r>
              <w:rPr>
                <w:rFonts w:ascii="Times New Roman"/>
                <w:color w:val="auto"/>
              </w:rPr>
              <w:t>3-6</w:t>
            </w:r>
            <w:r>
              <w:rPr>
                <w:rFonts w:hint="eastAsia" w:ascii="Times New Roman"/>
                <w:color w:val="auto"/>
              </w:rPr>
              <w:t>年</w:t>
            </w:r>
          </w:p>
        </w:tc>
        <w:tc>
          <w:tcPr>
            <w:tcW w:w="1350" w:type="dxa"/>
          </w:tcPr>
          <w:p w14:paraId="1F55E4DE">
            <w:pPr>
              <w:pStyle w:val="237"/>
              <w:numPr>
                <w:ilvl w:val="2"/>
                <w:numId w:val="0"/>
              </w:numPr>
              <w:jc w:val="center"/>
              <w:rPr>
                <w:rFonts w:ascii="Times New Roman"/>
                <w:color w:val="auto"/>
              </w:rPr>
            </w:pPr>
            <w:r>
              <w:rPr>
                <w:rFonts w:ascii="Times New Roman"/>
                <w:color w:val="auto"/>
              </w:rPr>
              <w:t>3-6</w:t>
            </w:r>
            <w:r>
              <w:rPr>
                <w:rFonts w:hint="eastAsia" w:ascii="Times New Roman"/>
                <w:color w:val="auto"/>
              </w:rPr>
              <w:t>年</w:t>
            </w:r>
          </w:p>
        </w:tc>
        <w:tc>
          <w:tcPr>
            <w:tcW w:w="1687" w:type="dxa"/>
          </w:tcPr>
          <w:p w14:paraId="7C986296">
            <w:pPr>
              <w:pStyle w:val="237"/>
              <w:numPr>
                <w:ilvl w:val="2"/>
                <w:numId w:val="0"/>
              </w:numPr>
              <w:jc w:val="center"/>
              <w:rPr>
                <w:rFonts w:ascii="Times New Roman"/>
                <w:color w:val="auto"/>
              </w:rPr>
            </w:pPr>
            <w:r>
              <w:rPr>
                <w:rFonts w:ascii="Times New Roman"/>
                <w:color w:val="auto"/>
              </w:rPr>
              <w:t>1-2</w:t>
            </w:r>
            <w:r>
              <w:rPr>
                <w:rFonts w:hint="eastAsia" w:ascii="Times New Roman"/>
                <w:color w:val="auto"/>
              </w:rPr>
              <w:t>年</w:t>
            </w:r>
          </w:p>
        </w:tc>
        <w:tc>
          <w:tcPr>
            <w:tcW w:w="1555" w:type="dxa"/>
          </w:tcPr>
          <w:p w14:paraId="67CB6C6D">
            <w:pPr>
              <w:pStyle w:val="237"/>
              <w:numPr>
                <w:ilvl w:val="2"/>
                <w:numId w:val="0"/>
              </w:numPr>
              <w:jc w:val="center"/>
              <w:rPr>
                <w:rFonts w:ascii="Times New Roman"/>
                <w:color w:val="auto"/>
              </w:rPr>
            </w:pPr>
            <w:r>
              <w:rPr>
                <w:rFonts w:hint="eastAsia" w:ascii="Times New Roman"/>
                <w:color w:val="auto"/>
              </w:rPr>
              <w:t>不允许使用</w:t>
            </w:r>
          </w:p>
        </w:tc>
      </w:tr>
    </w:tbl>
    <w:p w14:paraId="08EECEF6">
      <w:pPr>
        <w:pStyle w:val="60"/>
        <w:ind w:firstLine="420"/>
        <w:rPr>
          <w:rFonts w:hint="eastAsia" w:ascii="Times New Roman" w:hAnsi="Times New Roman" w:cs="Times New Roman"/>
          <w:color w:val="auto"/>
        </w:rPr>
      </w:pPr>
      <w:r>
        <w:rPr>
          <w:rFonts w:hint="eastAsia" w:ascii="Times New Roman" w:hAnsi="Times New Roman" w:cs="Times New Roman"/>
          <w:color w:val="auto"/>
        </w:rPr>
        <w:t>. . .</w:t>
      </w:r>
    </w:p>
    <w:p w14:paraId="2553CCB0">
      <w:pPr>
        <w:pStyle w:val="10"/>
        <w:rPr>
          <w:rFonts w:ascii="Times New Roman" w:hAnsi="Times New Roman" w:eastAsia="宋体"/>
          <w:color w:val="auto"/>
        </w:rPr>
      </w:pPr>
      <w:r>
        <w:rPr>
          <w:rFonts w:ascii="Times New Roman" w:hAnsi="Times New Roman" w:eastAsia="宋体"/>
          <w:color w:val="auto"/>
        </w:rPr>
        <w:t xml:space="preserve">7.4 </w:t>
      </w:r>
      <w:r>
        <w:rPr>
          <w:rFonts w:hint="eastAsia" w:ascii="Times New Roman" w:hAnsi="Times New Roman" w:eastAsia="宋体"/>
          <w:color w:val="auto"/>
        </w:rPr>
        <w:t>特殊规定</w:t>
      </w:r>
    </w:p>
    <w:p w14:paraId="0E54A52A">
      <w:pPr>
        <w:pStyle w:val="60"/>
        <w:ind w:firstLine="420"/>
        <w:rPr>
          <w:rFonts w:hint="eastAsia" w:ascii="Times New Roman" w:hAnsi="Times New Roman" w:cs="Times New Roman"/>
          <w:color w:val="auto"/>
        </w:rPr>
      </w:pPr>
      <w:r>
        <w:rPr>
          <w:rFonts w:hint="eastAsia" w:ascii="Times New Roman" w:hAnsi="Times New Roman" w:cs="Times New Roman"/>
          <w:color w:val="auto"/>
        </w:rPr>
        <w:t>检验周期的缩短、未按期进行定期检验的情况。</w:t>
      </w:r>
    </w:p>
    <w:p w14:paraId="458178A5">
      <w:pPr>
        <w:pStyle w:val="60"/>
        <w:ind w:firstLine="420"/>
        <w:rPr>
          <w:rFonts w:ascii="Times New Roman"/>
          <w:color w:val="auto"/>
        </w:rPr>
      </w:pPr>
      <w:r>
        <w:rPr>
          <w:rFonts w:hint="eastAsia" w:ascii="Times New Roman"/>
          <w:color w:val="auto"/>
        </w:rPr>
        <w:t>有下列情况之一的管道，应当适当缩短定期检验周期：</w:t>
      </w:r>
    </w:p>
    <w:p w14:paraId="1AA39C9A">
      <w:pPr>
        <w:pStyle w:val="60"/>
        <w:ind w:firstLine="420"/>
        <w:rPr>
          <w:rFonts w:ascii="Times New Roman"/>
          <w:color w:val="auto"/>
        </w:rPr>
      </w:pPr>
      <w:r>
        <w:rPr>
          <w:rFonts w:ascii="Times New Roman"/>
          <w:color w:val="auto"/>
        </w:rPr>
        <w:t>a</w:t>
      </w:r>
      <w:r>
        <w:rPr>
          <w:rFonts w:hint="eastAsia" w:ascii="Times New Roman"/>
          <w:color w:val="auto"/>
        </w:rPr>
        <w:t>）使用期间内发生影响管道安全运行的泄漏事故的；</w:t>
      </w:r>
    </w:p>
    <w:p w14:paraId="1E611C42">
      <w:pPr>
        <w:pStyle w:val="60"/>
        <w:ind w:firstLine="420"/>
        <w:rPr>
          <w:rFonts w:ascii="Times New Roman"/>
          <w:color w:val="auto"/>
        </w:rPr>
      </w:pPr>
      <w:r>
        <w:rPr>
          <w:rFonts w:ascii="Times New Roman"/>
          <w:color w:val="auto"/>
        </w:rPr>
        <w:t>b</w:t>
      </w:r>
      <w:r>
        <w:rPr>
          <w:rFonts w:hint="eastAsia" w:ascii="Times New Roman"/>
          <w:color w:val="auto"/>
        </w:rPr>
        <w:t>）承受交变载荷，可能导致疲劳失效的；</w:t>
      </w:r>
    </w:p>
    <w:p w14:paraId="425CFCBE">
      <w:pPr>
        <w:pStyle w:val="60"/>
        <w:ind w:firstLine="420"/>
        <w:rPr>
          <w:rFonts w:ascii="Times New Roman"/>
          <w:color w:val="auto"/>
        </w:rPr>
      </w:pPr>
      <w:r>
        <w:rPr>
          <w:rFonts w:ascii="Times New Roman"/>
          <w:color w:val="auto"/>
        </w:rPr>
        <w:t>c</w:t>
      </w:r>
      <w:r>
        <w:rPr>
          <w:rFonts w:hint="eastAsia" w:ascii="Times New Roman"/>
          <w:color w:val="auto"/>
        </w:rPr>
        <w:t>）管道埋深不满足相关规范标准、设计文件要求的；</w:t>
      </w:r>
    </w:p>
    <w:p w14:paraId="70A198B2">
      <w:pPr>
        <w:pStyle w:val="60"/>
        <w:ind w:firstLine="420"/>
        <w:rPr>
          <w:rFonts w:ascii="Times New Roman"/>
          <w:color w:val="auto"/>
        </w:rPr>
      </w:pPr>
      <w:r>
        <w:rPr>
          <w:rFonts w:ascii="Times New Roman"/>
          <w:color w:val="auto"/>
        </w:rPr>
        <w:t>d</w:t>
      </w:r>
      <w:r>
        <w:rPr>
          <w:rFonts w:hint="eastAsia" w:ascii="Times New Roman"/>
          <w:color w:val="auto"/>
        </w:rPr>
        <w:t>）使用单位没有按规定进行年度检查的；</w:t>
      </w:r>
    </w:p>
    <w:p w14:paraId="024777E3">
      <w:pPr>
        <w:pStyle w:val="60"/>
        <w:ind w:firstLine="420"/>
        <w:rPr>
          <w:rFonts w:hint="eastAsia" w:ascii="Times New Roman" w:hAnsi="Times New Roman" w:cs="Times New Roman"/>
          <w:color w:val="auto"/>
          <w:szCs w:val="21"/>
        </w:rPr>
      </w:pPr>
      <w:r>
        <w:rPr>
          <w:rFonts w:ascii="Times New Roman"/>
          <w:color w:val="auto"/>
        </w:rPr>
        <w:t>e</w:t>
      </w:r>
      <w:r>
        <w:rPr>
          <w:rFonts w:hint="eastAsia" w:ascii="Times New Roman"/>
          <w:color w:val="auto"/>
        </w:rPr>
        <w:t>）年度检查中发现除本条前几项以外的严重问题的；</w:t>
      </w:r>
    </w:p>
    <w:p w14:paraId="3BBFDE00">
      <w:pPr>
        <w:pStyle w:val="60"/>
        <w:ind w:firstLine="420"/>
        <w:rPr>
          <w:rFonts w:hint="eastAsia" w:ascii="Times New Roman" w:hAnsi="Times New Roman" w:cs="Times New Roman"/>
          <w:color w:val="auto"/>
        </w:rPr>
      </w:pPr>
      <w:r>
        <w:rPr>
          <w:rFonts w:ascii="Times New Roman"/>
          <w:color w:val="auto"/>
        </w:rPr>
        <w:t>f</w:t>
      </w:r>
      <w:r>
        <w:rPr>
          <w:rFonts w:hint="eastAsia" w:ascii="Times New Roman"/>
          <w:color w:val="auto"/>
        </w:rPr>
        <w:t>）检验人员和使用单位认为应该缩短定期检验周期的。</w:t>
      </w:r>
    </w:p>
    <w:p w14:paraId="2EE4C2D4">
      <w:pPr>
        <w:pStyle w:val="60"/>
        <w:ind w:firstLine="420"/>
        <w:rPr>
          <w:rFonts w:hint="eastAsia" w:ascii="Times New Roman" w:hAnsi="Times New Roman" w:cs="Times New Roman"/>
          <w:color w:val="auto"/>
        </w:rPr>
      </w:pPr>
      <w:r>
        <w:rPr>
          <w:rFonts w:hint="eastAsia" w:ascii="Times New Roman" w:hAnsi="Times New Roman" w:cs="Times New Roman"/>
          <w:color w:val="auto"/>
        </w:rPr>
        <w:t>. . .</w:t>
      </w:r>
    </w:p>
    <w:p w14:paraId="5CF5BEE6">
      <w:pPr>
        <w:pStyle w:val="10"/>
        <w:rPr>
          <w:rFonts w:ascii="Times New Roman" w:hAnsi="Times New Roman" w:eastAsia="宋体"/>
          <w:color w:val="auto"/>
        </w:rPr>
      </w:pPr>
      <w:r>
        <w:rPr>
          <w:rFonts w:ascii="Times New Roman" w:hAnsi="Times New Roman" w:eastAsia="宋体"/>
          <w:color w:val="auto"/>
        </w:rPr>
        <w:t xml:space="preserve">7.5 </w:t>
      </w:r>
      <w:r>
        <w:rPr>
          <w:rFonts w:hint="eastAsia" w:ascii="Times New Roman" w:hAnsi="Times New Roman" w:eastAsia="宋体"/>
          <w:color w:val="auto"/>
        </w:rPr>
        <w:t>检验项目与方法</w:t>
      </w:r>
    </w:p>
    <w:p w14:paraId="360DB3F1">
      <w:pPr>
        <w:pStyle w:val="237"/>
        <w:numPr>
          <w:ilvl w:val="2"/>
          <w:numId w:val="0"/>
        </w:numPr>
        <w:ind w:firstLine="420" w:firstLineChars="200"/>
        <w:rPr>
          <w:rFonts w:ascii="Times New Roman"/>
          <w:color w:val="auto"/>
        </w:rPr>
      </w:pPr>
      <w:r>
        <w:rPr>
          <w:rFonts w:hint="eastAsia" w:ascii="Times New Roman"/>
          <w:color w:val="auto"/>
        </w:rPr>
        <w:t>定期检验项目应当以资料审查、宏观检查、开挖检查、泄露检查、管道状况检查、敷设环境调查、无损检测、耐压试验、安全附件与仪表检查为主，当以上项目不可实施时，可以采用耐压（压力）试验的方法进行检验。</w:t>
      </w:r>
    </w:p>
    <w:p w14:paraId="5F1F266F">
      <w:pPr>
        <w:pStyle w:val="60"/>
        <w:ind w:firstLine="0" w:firstLineChars="0"/>
        <w:rPr>
          <w:rFonts w:hint="eastAsia" w:ascii="Times New Roman" w:hAnsi="Times New Roman" w:eastAsia="宋体" w:cs="Times New Roman"/>
          <w:color w:val="auto"/>
        </w:rPr>
      </w:pPr>
      <w:r>
        <w:rPr>
          <w:rFonts w:hint="eastAsia" w:ascii="Times New Roman" w:hAnsi="Times New Roman" w:eastAsia="宋体" w:cs="Times New Roman"/>
          <w:color w:val="auto"/>
        </w:rPr>
        <w:t>7.5.1 资料审查</w:t>
      </w:r>
    </w:p>
    <w:p w14:paraId="1EC514F4">
      <w:pPr>
        <w:pStyle w:val="60"/>
        <w:ind w:firstLine="420"/>
        <w:rPr>
          <w:rFonts w:ascii="Times New Roman"/>
          <w:color w:val="auto"/>
        </w:rPr>
      </w:pPr>
      <w:r>
        <w:rPr>
          <w:rFonts w:hint="eastAsia" w:ascii="Times New Roman"/>
          <w:color w:val="auto"/>
        </w:rPr>
        <w:t>对使用单位提供的管道存档资料进行审查，审查资料是否齐全，是否符合相关标准的要求。</w:t>
      </w:r>
    </w:p>
    <w:p w14:paraId="58025441">
      <w:pPr>
        <w:pStyle w:val="237"/>
        <w:numPr>
          <w:ilvl w:val="2"/>
          <w:numId w:val="0"/>
        </w:numPr>
        <w:ind w:firstLine="420" w:firstLineChars="200"/>
        <w:rPr>
          <w:rFonts w:ascii="Times New Roman"/>
          <w:color w:val="auto"/>
        </w:rPr>
      </w:pPr>
      <w:r>
        <w:rPr>
          <w:rFonts w:hint="eastAsia" w:ascii="Times New Roman"/>
          <w:color w:val="auto"/>
        </w:rPr>
        <w:t>检验人员主要对以下资料进行审查：</w:t>
      </w:r>
    </w:p>
    <w:p w14:paraId="58D05E3D">
      <w:pPr>
        <w:pStyle w:val="237"/>
        <w:numPr>
          <w:ilvl w:val="2"/>
          <w:numId w:val="0"/>
        </w:numPr>
        <w:rPr>
          <w:rFonts w:ascii="Times New Roman"/>
          <w:color w:val="auto"/>
        </w:rPr>
      </w:pPr>
      <w:r>
        <w:rPr>
          <w:rFonts w:ascii="Times New Roman"/>
          <w:color w:val="auto"/>
        </w:rPr>
        <w:t>a</w:t>
      </w:r>
      <w:r>
        <w:rPr>
          <w:rFonts w:hint="eastAsia" w:ascii="Times New Roman"/>
          <w:color w:val="auto"/>
        </w:rPr>
        <w:t>）安全管理资料，包括使用登记证</w:t>
      </w:r>
      <w:r>
        <w:rPr>
          <w:rFonts w:ascii="Times New Roman"/>
          <w:color w:val="auto"/>
        </w:rPr>
        <w:t>(</w:t>
      </w:r>
      <w:r>
        <w:rPr>
          <w:rFonts w:hint="eastAsia" w:ascii="Times New Roman"/>
          <w:color w:val="auto"/>
        </w:rPr>
        <w:t>有使用登记要求的</w:t>
      </w:r>
      <w:r>
        <w:rPr>
          <w:rFonts w:ascii="Times New Roman"/>
          <w:color w:val="auto"/>
        </w:rPr>
        <w:t>)</w:t>
      </w:r>
      <w:r>
        <w:rPr>
          <w:rFonts w:hint="eastAsia" w:ascii="Times New Roman"/>
          <w:color w:val="auto"/>
        </w:rPr>
        <w:t>、安全管理规章制度与安全操作规则，作业人员上岗持证情况；</w:t>
      </w:r>
    </w:p>
    <w:p w14:paraId="601612DA">
      <w:pPr>
        <w:pStyle w:val="237"/>
        <w:numPr>
          <w:ilvl w:val="2"/>
          <w:numId w:val="0"/>
        </w:numPr>
        <w:rPr>
          <w:rFonts w:ascii="Times New Roman"/>
          <w:color w:val="auto"/>
        </w:rPr>
      </w:pPr>
      <w:r>
        <w:rPr>
          <w:rFonts w:ascii="Times New Roman"/>
          <w:color w:val="auto"/>
        </w:rPr>
        <w:t>b)</w:t>
      </w:r>
      <w:r>
        <w:rPr>
          <w:rFonts w:hint="eastAsia" w:ascii="Times New Roman"/>
          <w:color w:val="auto"/>
        </w:rPr>
        <w:t>技术档案资料，包括定期检验报告，必要时还包括设计和安装（包括安装监督检验）、改造、维修等施工、竣工验收资料，首次定期检验时，应对设计、安装（包括安装监督检验）资料进行审查；</w:t>
      </w:r>
    </w:p>
    <w:p w14:paraId="4666429D">
      <w:pPr>
        <w:pStyle w:val="237"/>
        <w:numPr>
          <w:ilvl w:val="2"/>
          <w:numId w:val="0"/>
        </w:numPr>
        <w:rPr>
          <w:rFonts w:ascii="Times New Roman"/>
          <w:color w:val="auto"/>
        </w:rPr>
      </w:pPr>
      <w:r>
        <w:rPr>
          <w:rFonts w:ascii="Times New Roman"/>
          <w:color w:val="auto"/>
        </w:rPr>
        <w:t>c)</w:t>
      </w:r>
      <w:r>
        <w:rPr>
          <w:rFonts w:hint="eastAsia" w:ascii="Times New Roman"/>
          <w:color w:val="auto"/>
        </w:rPr>
        <w:t>运行状况资料，包括日常运行维护记录、隐患排查治理记录、改造与维修资料、故障与事故记录；</w:t>
      </w:r>
    </w:p>
    <w:p w14:paraId="626F9136">
      <w:pPr>
        <w:pStyle w:val="237"/>
        <w:numPr>
          <w:ilvl w:val="2"/>
          <w:numId w:val="0"/>
        </w:numPr>
        <w:rPr>
          <w:rFonts w:ascii="Times New Roman"/>
          <w:color w:val="auto"/>
        </w:rPr>
      </w:pPr>
      <w:r>
        <w:rPr>
          <w:rFonts w:ascii="Times New Roman"/>
          <w:color w:val="auto"/>
        </w:rPr>
        <w:t>d</w:t>
      </w:r>
      <w:r>
        <w:rPr>
          <w:rFonts w:hint="eastAsia" w:ascii="Times New Roman"/>
          <w:color w:val="auto"/>
        </w:rPr>
        <w:t>）上一检验周期的检验报告；</w:t>
      </w:r>
    </w:p>
    <w:p w14:paraId="35FB4197">
      <w:pPr>
        <w:pStyle w:val="60"/>
        <w:ind w:firstLine="0" w:firstLineChars="0"/>
        <w:rPr>
          <w:rFonts w:ascii="Times New Roman"/>
          <w:color w:val="auto"/>
        </w:rPr>
      </w:pPr>
      <w:r>
        <w:rPr>
          <w:rFonts w:ascii="Times New Roman"/>
          <w:color w:val="auto"/>
        </w:rPr>
        <w:t>e</w:t>
      </w:r>
      <w:r>
        <w:rPr>
          <w:rFonts w:hint="eastAsia" w:ascii="Times New Roman"/>
          <w:color w:val="auto"/>
        </w:rPr>
        <w:t>）检验人员认为所需要的其他资料。</w:t>
      </w:r>
    </w:p>
    <w:p w14:paraId="08FA0BFE">
      <w:pPr>
        <w:pStyle w:val="60"/>
        <w:ind w:firstLine="0" w:firstLineChars="0"/>
        <w:rPr>
          <w:rFonts w:hint="eastAsia" w:ascii="Times New Roman" w:hAnsi="Times New Roman" w:eastAsia="宋体" w:cs="Times New Roman"/>
          <w:color w:val="auto"/>
        </w:rPr>
      </w:pPr>
      <w:r>
        <w:rPr>
          <w:rFonts w:hint="eastAsia" w:ascii="Times New Roman" w:hAnsi="Times New Roman" w:eastAsia="宋体" w:cs="Times New Roman"/>
          <w:color w:val="auto"/>
        </w:rPr>
        <w:t>7.5.2 宏观检查</w:t>
      </w:r>
    </w:p>
    <w:p w14:paraId="4003C982">
      <w:pPr>
        <w:pStyle w:val="60"/>
        <w:ind w:firstLine="420"/>
        <w:rPr>
          <w:rFonts w:ascii="Times New Roman"/>
          <w:color w:val="auto"/>
        </w:rPr>
      </w:pPr>
      <w:r>
        <w:rPr>
          <w:rFonts w:hint="eastAsia" w:ascii="Times New Roman"/>
          <w:color w:val="auto"/>
        </w:rPr>
        <w:t>检验人员按照下列要求对管道进行宏观检查，主要包括泄露检查、管道位置埋深与走向检查、地面标志检查、管道沿线地表环境检查、穿、跨越段检查、阀门、法兰、膨胀节等管道元件检查、钢制法兰间的静电跨接以及接地引线检查等。若中间包含钢管部分，则钢管部分的宏观检查参照</w:t>
      </w:r>
      <w:r>
        <w:rPr>
          <w:rFonts w:hint="eastAsia" w:ascii="Times New Roman"/>
          <w:color w:val="auto"/>
          <w:szCs w:val="22"/>
        </w:rPr>
        <w:t>《压力管道定期检验规则——工业管道》（</w:t>
      </w:r>
      <w:r>
        <w:rPr>
          <w:rFonts w:ascii="Times New Roman"/>
          <w:color w:val="auto"/>
          <w:szCs w:val="22"/>
        </w:rPr>
        <w:t>TSG D7005</w:t>
      </w:r>
      <w:r>
        <w:rPr>
          <w:rFonts w:hint="eastAsia" w:ascii="Times New Roman"/>
          <w:color w:val="auto"/>
          <w:szCs w:val="22"/>
        </w:rPr>
        <w:t>）的要求进行。</w:t>
      </w:r>
    </w:p>
    <w:p w14:paraId="5096B074">
      <w:pPr>
        <w:pStyle w:val="237"/>
        <w:numPr>
          <w:ilvl w:val="2"/>
          <w:numId w:val="0"/>
        </w:numPr>
        <w:rPr>
          <w:rFonts w:ascii="Times New Roman"/>
          <w:color w:val="auto"/>
        </w:rPr>
      </w:pPr>
      <w:r>
        <w:rPr>
          <w:rFonts w:ascii="Times New Roman"/>
          <w:color w:val="auto"/>
        </w:rPr>
        <w:t>a</w:t>
      </w:r>
      <w:r>
        <w:rPr>
          <w:rFonts w:hint="eastAsia" w:ascii="Times New Roman"/>
          <w:color w:val="auto"/>
        </w:rPr>
        <w:t>）泄漏检查，对管道采用相应的泄漏检测设备进行泄漏点检查，重点检查管道穿跨越段、阀门、阀井、检漏井、聚乙烯管道熔接接口</w:t>
      </w:r>
      <w:r>
        <w:rPr>
          <w:rFonts w:ascii="Times New Roman"/>
          <w:color w:val="auto"/>
        </w:rPr>
        <w:t>(</w:t>
      </w:r>
      <w:r>
        <w:rPr>
          <w:rFonts w:hint="eastAsia" w:ascii="Times New Roman"/>
          <w:color w:val="auto"/>
        </w:rPr>
        <w:t>含钢塑转换接口</w:t>
      </w:r>
      <w:r>
        <w:rPr>
          <w:rFonts w:ascii="Times New Roman"/>
          <w:color w:val="auto"/>
        </w:rPr>
        <w:t>)</w:t>
      </w:r>
      <w:r>
        <w:rPr>
          <w:rFonts w:hint="eastAsia" w:ascii="Times New Roman"/>
          <w:color w:val="auto"/>
        </w:rPr>
        <w:t>等位置的泄漏情况，对燃气可能泄漏扩散到的地沟、窨井、地下建</w:t>
      </w:r>
      <w:r>
        <w:rPr>
          <w:rFonts w:ascii="Times New Roman"/>
          <w:color w:val="auto"/>
        </w:rPr>
        <w:t>(</w:t>
      </w:r>
      <w:r>
        <w:rPr>
          <w:rFonts w:hint="eastAsia" w:ascii="Times New Roman"/>
          <w:color w:val="auto"/>
        </w:rPr>
        <w:t>构</w:t>
      </w:r>
      <w:r>
        <w:rPr>
          <w:rFonts w:ascii="Times New Roman"/>
          <w:color w:val="auto"/>
        </w:rPr>
        <w:t>)</w:t>
      </w:r>
      <w:r>
        <w:rPr>
          <w:rFonts w:hint="eastAsia" w:ascii="Times New Roman"/>
          <w:color w:val="auto"/>
        </w:rPr>
        <w:t>筑物内进行检查，必要时采用地面钻孔检测或开挖验证；</w:t>
      </w:r>
    </w:p>
    <w:p w14:paraId="72F3218F">
      <w:pPr>
        <w:pStyle w:val="237"/>
        <w:numPr>
          <w:ilvl w:val="2"/>
          <w:numId w:val="0"/>
        </w:numPr>
        <w:rPr>
          <w:rFonts w:ascii="Times New Roman"/>
          <w:color w:val="auto"/>
        </w:rPr>
      </w:pPr>
      <w:r>
        <w:rPr>
          <w:rFonts w:ascii="Times New Roman"/>
          <w:color w:val="auto"/>
        </w:rPr>
        <w:t>b</w:t>
      </w:r>
      <w:r>
        <w:rPr>
          <w:rFonts w:hint="eastAsia" w:ascii="Times New Roman"/>
          <w:color w:val="auto"/>
        </w:rPr>
        <w:t>）管道位置、埋深与走向检查</w:t>
      </w:r>
      <w:r>
        <w:rPr>
          <w:rFonts w:ascii="Times New Roman"/>
          <w:color w:val="auto"/>
        </w:rPr>
        <w:t>(</w:t>
      </w:r>
      <w:r>
        <w:rPr>
          <w:rFonts w:hint="eastAsia" w:ascii="Times New Roman"/>
          <w:color w:val="auto"/>
        </w:rPr>
        <w:t>如果管道周围地表环境无较大变动、管道无沉降等情况，可以与开挖检查结合进行</w:t>
      </w:r>
      <w:r>
        <w:rPr>
          <w:rFonts w:ascii="Times New Roman"/>
          <w:color w:val="auto"/>
        </w:rPr>
        <w:t>)</w:t>
      </w:r>
      <w:r>
        <w:rPr>
          <w:rFonts w:hint="eastAsia" w:ascii="Times New Roman"/>
          <w:color w:val="auto"/>
        </w:rPr>
        <w:t>；</w:t>
      </w:r>
    </w:p>
    <w:p w14:paraId="3FE30143">
      <w:pPr>
        <w:pStyle w:val="237"/>
        <w:numPr>
          <w:ilvl w:val="2"/>
          <w:numId w:val="0"/>
        </w:numPr>
        <w:rPr>
          <w:rFonts w:ascii="Times New Roman"/>
          <w:color w:val="auto"/>
        </w:rPr>
      </w:pPr>
      <w:r>
        <w:rPr>
          <w:rFonts w:ascii="Times New Roman"/>
          <w:color w:val="auto"/>
        </w:rPr>
        <w:t>c</w:t>
      </w:r>
      <w:r>
        <w:rPr>
          <w:rFonts w:hint="eastAsia" w:ascii="Times New Roman"/>
          <w:color w:val="auto"/>
        </w:rPr>
        <w:t>）地面标志检查，检查地面标识位置是否准确，标志桩、警示牌、标志贴等外观是否完好、是否缺失；</w:t>
      </w:r>
    </w:p>
    <w:p w14:paraId="4DB00FB6">
      <w:pPr>
        <w:pStyle w:val="237"/>
        <w:numPr>
          <w:ilvl w:val="2"/>
          <w:numId w:val="0"/>
        </w:numPr>
        <w:rPr>
          <w:rFonts w:ascii="Times New Roman"/>
          <w:color w:val="auto"/>
        </w:rPr>
      </w:pPr>
      <w:r>
        <w:rPr>
          <w:rFonts w:ascii="Times New Roman"/>
          <w:color w:val="auto"/>
        </w:rPr>
        <w:t>d</w:t>
      </w:r>
      <w:r>
        <w:rPr>
          <w:rFonts w:hint="eastAsia" w:ascii="Times New Roman"/>
          <w:color w:val="auto"/>
        </w:rPr>
        <w:t>）管道沿线地表环境调查，主要检查管道与其他建</w:t>
      </w:r>
      <w:r>
        <w:rPr>
          <w:rFonts w:ascii="Times New Roman"/>
          <w:color w:val="auto"/>
        </w:rPr>
        <w:t>(</w:t>
      </w:r>
      <w:r>
        <w:rPr>
          <w:rFonts w:hint="eastAsia" w:ascii="Times New Roman"/>
          <w:color w:val="auto"/>
        </w:rPr>
        <w:t>构</w:t>
      </w:r>
      <w:r>
        <w:rPr>
          <w:rFonts w:ascii="Times New Roman"/>
          <w:color w:val="auto"/>
        </w:rPr>
        <w:t>)</w:t>
      </w:r>
      <w:r>
        <w:rPr>
          <w:rFonts w:hint="eastAsia" w:ascii="Times New Roman"/>
          <w:color w:val="auto"/>
        </w:rPr>
        <w:t>筑物净距、占压状况、管道裸露、土壤扰动等情况；</w:t>
      </w:r>
    </w:p>
    <w:p w14:paraId="09B1A9BB">
      <w:pPr>
        <w:pStyle w:val="237"/>
        <w:numPr>
          <w:ilvl w:val="2"/>
          <w:numId w:val="0"/>
        </w:numPr>
        <w:rPr>
          <w:rFonts w:ascii="Times New Roman"/>
          <w:color w:val="auto"/>
        </w:rPr>
      </w:pPr>
      <w:r>
        <w:rPr>
          <w:rFonts w:ascii="Times New Roman"/>
          <w:color w:val="auto"/>
        </w:rPr>
        <w:t>e</w:t>
      </w:r>
      <w:r>
        <w:rPr>
          <w:rFonts w:hint="eastAsia" w:ascii="Times New Roman"/>
          <w:color w:val="auto"/>
        </w:rPr>
        <w:t>）检查阀门、钢塑转换接头等管道元件的完好情况；</w:t>
      </w:r>
    </w:p>
    <w:p w14:paraId="0DD81AAC">
      <w:pPr>
        <w:pStyle w:val="237"/>
        <w:numPr>
          <w:ilvl w:val="2"/>
          <w:numId w:val="0"/>
        </w:numPr>
        <w:rPr>
          <w:rFonts w:ascii="Times New Roman"/>
          <w:color w:val="auto"/>
        </w:rPr>
      </w:pPr>
      <w:r>
        <w:rPr>
          <w:rFonts w:ascii="Times New Roman"/>
          <w:color w:val="auto"/>
        </w:rPr>
        <w:t>f</w:t>
      </w:r>
      <w:r>
        <w:rPr>
          <w:rFonts w:hint="eastAsia" w:ascii="Times New Roman"/>
          <w:color w:val="auto"/>
        </w:rPr>
        <w:t>）阀门井检查，主要检查定期排放积水情况，护盖、排水装置的完好情况；</w:t>
      </w:r>
    </w:p>
    <w:p w14:paraId="1516BF5F">
      <w:pPr>
        <w:pStyle w:val="60"/>
        <w:ind w:firstLine="0" w:firstLineChars="0"/>
        <w:rPr>
          <w:rFonts w:ascii="Times New Roman"/>
          <w:color w:val="auto"/>
        </w:rPr>
      </w:pPr>
      <w:r>
        <w:rPr>
          <w:rFonts w:ascii="Times New Roman"/>
          <w:color w:val="auto"/>
        </w:rPr>
        <w:t>g</w:t>
      </w:r>
      <w:r>
        <w:rPr>
          <w:rFonts w:hint="eastAsia" w:ascii="Times New Roman"/>
          <w:color w:val="auto"/>
        </w:rPr>
        <w:t>）检查人员认为有必要的其他检查。</w:t>
      </w:r>
    </w:p>
    <w:p w14:paraId="06592F1D">
      <w:pPr>
        <w:pStyle w:val="60"/>
        <w:ind w:firstLine="0" w:firstLineChars="0"/>
        <w:rPr>
          <w:rFonts w:hint="eastAsia" w:ascii="Times New Roman" w:hAnsi="Times New Roman" w:eastAsia="宋体" w:cs="Times New Roman"/>
          <w:color w:val="auto"/>
        </w:rPr>
      </w:pPr>
      <w:r>
        <w:rPr>
          <w:rFonts w:hint="eastAsia" w:ascii="Times New Roman" w:hAnsi="Times New Roman" w:eastAsia="宋体" w:cs="Times New Roman"/>
          <w:color w:val="auto"/>
        </w:rPr>
        <w:t>7.5.3 开挖检查</w:t>
      </w:r>
    </w:p>
    <w:p w14:paraId="3F39E861">
      <w:pPr>
        <w:pStyle w:val="60"/>
        <w:ind w:firstLine="420"/>
        <w:rPr>
          <w:rFonts w:ascii="Times New Roman"/>
          <w:color w:val="auto"/>
        </w:rPr>
      </w:pPr>
      <w:r>
        <w:rPr>
          <w:rFonts w:hint="eastAsia" w:ascii="Times New Roman"/>
          <w:color w:val="auto"/>
        </w:rPr>
        <w:t>开挖比例不低于</w:t>
      </w:r>
      <w:r>
        <w:rPr>
          <w:rFonts w:ascii="Times New Roman"/>
          <w:color w:val="auto"/>
        </w:rPr>
        <w:t>0.3</w:t>
      </w:r>
      <w:r>
        <w:rPr>
          <w:rFonts w:hint="eastAsia" w:ascii="Times New Roman"/>
          <w:color w:val="auto"/>
        </w:rPr>
        <w:t>处</w:t>
      </w:r>
      <w:r>
        <w:rPr>
          <w:rFonts w:ascii="Times New Roman"/>
          <w:color w:val="auto"/>
        </w:rPr>
        <w:t>/</w:t>
      </w:r>
      <w:r>
        <w:rPr>
          <w:rFonts w:hint="eastAsia" w:ascii="Times New Roman"/>
          <w:color w:val="auto"/>
        </w:rPr>
        <w:t>公里且至少</w:t>
      </w:r>
      <w:r>
        <w:rPr>
          <w:rFonts w:ascii="Times New Roman"/>
          <w:color w:val="auto"/>
        </w:rPr>
        <w:t>1</w:t>
      </w:r>
      <w:r>
        <w:rPr>
          <w:rFonts w:hint="eastAsia" w:ascii="Times New Roman"/>
          <w:color w:val="auto"/>
        </w:rPr>
        <w:t>处。对开挖检查的管段进行超声波测厚。对开挖的管道本体进行检查。宜选取以下位置作为开挖点：</w:t>
      </w:r>
    </w:p>
    <w:p w14:paraId="0E3FDEA7">
      <w:pPr>
        <w:pStyle w:val="237"/>
        <w:numPr>
          <w:ilvl w:val="2"/>
          <w:numId w:val="0"/>
        </w:numPr>
        <w:rPr>
          <w:rFonts w:ascii="Times New Roman"/>
          <w:color w:val="auto"/>
        </w:rPr>
      </w:pPr>
      <w:r>
        <w:rPr>
          <w:rFonts w:ascii="Times New Roman"/>
          <w:color w:val="auto"/>
        </w:rPr>
        <w:t>a</w:t>
      </w:r>
      <w:r>
        <w:rPr>
          <w:rFonts w:hint="eastAsia" w:ascii="Times New Roman"/>
          <w:color w:val="auto"/>
        </w:rPr>
        <w:t>）管道敷设环境温度超过</w:t>
      </w:r>
      <w:r>
        <w:rPr>
          <w:rFonts w:ascii="Times New Roman"/>
          <w:color w:val="auto"/>
        </w:rPr>
        <w:t>30C</w:t>
      </w:r>
      <w:r>
        <w:rPr>
          <w:rFonts w:hint="eastAsia" w:ascii="Times New Roman"/>
          <w:color w:val="auto"/>
        </w:rPr>
        <w:t>的；</w:t>
      </w:r>
    </w:p>
    <w:p w14:paraId="0E5A6CEA">
      <w:pPr>
        <w:pStyle w:val="237"/>
        <w:numPr>
          <w:ilvl w:val="2"/>
          <w:numId w:val="0"/>
        </w:numPr>
        <w:rPr>
          <w:rFonts w:ascii="Times New Roman"/>
          <w:color w:val="auto"/>
        </w:rPr>
      </w:pPr>
      <w:r>
        <w:rPr>
          <w:rFonts w:ascii="Times New Roman"/>
          <w:color w:val="auto"/>
        </w:rPr>
        <w:t>b</w:t>
      </w:r>
      <w:r>
        <w:rPr>
          <w:rFonts w:hint="eastAsia" w:ascii="Times New Roman"/>
          <w:color w:val="auto"/>
        </w:rPr>
        <w:t>）管道运行时间达</w:t>
      </w:r>
      <w:r>
        <w:rPr>
          <w:rFonts w:ascii="Times New Roman"/>
          <w:color w:val="auto"/>
        </w:rPr>
        <w:t>30</w:t>
      </w:r>
      <w:r>
        <w:rPr>
          <w:rFonts w:hint="eastAsia" w:ascii="Times New Roman"/>
          <w:color w:val="auto"/>
        </w:rPr>
        <w:t>年以上的；</w:t>
      </w:r>
    </w:p>
    <w:p w14:paraId="09F3EDB3">
      <w:pPr>
        <w:pStyle w:val="237"/>
        <w:numPr>
          <w:ilvl w:val="2"/>
          <w:numId w:val="0"/>
        </w:numPr>
        <w:rPr>
          <w:rFonts w:ascii="Times New Roman"/>
          <w:color w:val="auto"/>
        </w:rPr>
      </w:pPr>
      <w:r>
        <w:rPr>
          <w:rFonts w:ascii="Times New Roman"/>
          <w:color w:val="auto"/>
        </w:rPr>
        <w:t>c</w:t>
      </w:r>
      <w:r>
        <w:rPr>
          <w:rFonts w:hint="eastAsia" w:ascii="Times New Roman"/>
          <w:color w:val="auto"/>
        </w:rPr>
        <w:t>）发生过泄漏、第三方破坏等风险较大的位置；</w:t>
      </w:r>
    </w:p>
    <w:p w14:paraId="3A413C4F">
      <w:pPr>
        <w:pStyle w:val="237"/>
        <w:numPr>
          <w:ilvl w:val="2"/>
          <w:numId w:val="0"/>
        </w:numPr>
        <w:rPr>
          <w:rFonts w:ascii="Times New Roman"/>
          <w:color w:val="auto"/>
        </w:rPr>
      </w:pPr>
      <w:r>
        <w:rPr>
          <w:rFonts w:ascii="Times New Roman"/>
          <w:color w:val="auto"/>
        </w:rPr>
        <w:t>d</w:t>
      </w:r>
      <w:r>
        <w:rPr>
          <w:rFonts w:hint="eastAsia" w:ascii="Times New Roman"/>
          <w:color w:val="auto"/>
        </w:rPr>
        <w:t>）沿线地面存在沉降、滑坡等不良地质条件的；</w:t>
      </w:r>
    </w:p>
    <w:p w14:paraId="21AB6FAD">
      <w:pPr>
        <w:pStyle w:val="237"/>
        <w:numPr>
          <w:ilvl w:val="2"/>
          <w:numId w:val="0"/>
        </w:numPr>
        <w:rPr>
          <w:rFonts w:ascii="Times New Roman"/>
          <w:color w:val="auto"/>
        </w:rPr>
      </w:pPr>
      <w:r>
        <w:rPr>
          <w:rFonts w:ascii="Times New Roman"/>
          <w:color w:val="auto"/>
        </w:rPr>
        <w:t>e</w:t>
      </w:r>
      <w:r>
        <w:rPr>
          <w:rFonts w:hint="eastAsia" w:ascii="Times New Roman"/>
          <w:color w:val="auto"/>
        </w:rPr>
        <w:t>）穿越入土点与出土点、钢塑转换接头位置；</w:t>
      </w:r>
    </w:p>
    <w:p w14:paraId="3E61B150">
      <w:pPr>
        <w:pStyle w:val="237"/>
        <w:numPr>
          <w:ilvl w:val="2"/>
          <w:numId w:val="0"/>
        </w:numPr>
        <w:rPr>
          <w:rFonts w:ascii="Times New Roman"/>
          <w:color w:val="auto"/>
        </w:rPr>
      </w:pPr>
      <w:r>
        <w:rPr>
          <w:rFonts w:ascii="Times New Roman"/>
          <w:color w:val="auto"/>
        </w:rPr>
        <w:t>f</w:t>
      </w:r>
      <w:r>
        <w:rPr>
          <w:rFonts w:hint="eastAsia" w:ascii="Times New Roman"/>
          <w:color w:val="auto"/>
        </w:rPr>
        <w:t>）存在深根植物破坏的位置。</w:t>
      </w:r>
    </w:p>
    <w:p w14:paraId="236A2CE6">
      <w:pPr>
        <w:pStyle w:val="60"/>
        <w:ind w:firstLine="0" w:firstLineChars="0"/>
        <w:rPr>
          <w:rFonts w:hint="eastAsia" w:ascii="Times New Roman" w:hAnsi="Times New Roman" w:eastAsia="宋体" w:cs="Times New Roman"/>
          <w:color w:val="auto"/>
        </w:rPr>
      </w:pPr>
      <w:r>
        <w:rPr>
          <w:rFonts w:hint="eastAsia" w:ascii="Times New Roman" w:hAnsi="Times New Roman" w:eastAsia="宋体" w:cs="Times New Roman"/>
          <w:color w:val="auto"/>
        </w:rPr>
        <w:t>7.5.4 泄漏检查</w:t>
      </w:r>
    </w:p>
    <w:p w14:paraId="589FA5E9">
      <w:pPr>
        <w:pStyle w:val="60"/>
        <w:ind w:firstLine="420"/>
        <w:rPr>
          <w:rFonts w:ascii="Times New Roman"/>
          <w:color w:val="auto"/>
        </w:rPr>
      </w:pPr>
      <w:r>
        <w:rPr>
          <w:rFonts w:hint="eastAsia" w:ascii="Times New Roman"/>
          <w:color w:val="auto"/>
        </w:rPr>
        <w:t>选取典型部位进行泄漏检测，如法兰连接部位、钢塑转换接头部位、电熔连接接头部位、管道地上设施等。</w:t>
      </w:r>
    </w:p>
    <w:p w14:paraId="3082E7D2">
      <w:pPr>
        <w:pStyle w:val="60"/>
        <w:ind w:firstLine="0" w:firstLineChars="0"/>
        <w:rPr>
          <w:rFonts w:ascii="Times New Roman"/>
          <w:color w:val="auto"/>
        </w:rPr>
      </w:pPr>
      <w:r>
        <w:rPr>
          <w:rFonts w:ascii="Times New Roman"/>
          <w:color w:val="auto"/>
        </w:rPr>
        <w:t xml:space="preserve">7.5.5 </w:t>
      </w:r>
      <w:r>
        <w:rPr>
          <w:rFonts w:hint="eastAsia" w:ascii="Times New Roman"/>
          <w:color w:val="auto"/>
        </w:rPr>
        <w:t>管体状况检查</w:t>
      </w:r>
    </w:p>
    <w:p w14:paraId="46B9E6B6">
      <w:pPr>
        <w:pStyle w:val="60"/>
        <w:ind w:firstLine="420"/>
        <w:rPr>
          <w:rFonts w:ascii="Times New Roman"/>
          <w:color w:val="auto"/>
        </w:rPr>
      </w:pPr>
      <w:r>
        <w:rPr>
          <w:rFonts w:hint="eastAsia"/>
          <w:color w:val="auto"/>
        </w:rPr>
        <w:t>对管体及接头状况的检验，包括以下内容:</w:t>
      </w:r>
    </w:p>
    <w:p w14:paraId="1F531192">
      <w:pPr>
        <w:pStyle w:val="237"/>
        <w:numPr>
          <w:ilvl w:val="2"/>
          <w:numId w:val="0"/>
        </w:numPr>
        <w:rPr>
          <w:color w:val="auto"/>
        </w:rPr>
      </w:pPr>
      <w:r>
        <w:rPr>
          <w:rFonts w:hint="eastAsia"/>
          <w:color w:val="auto"/>
        </w:rPr>
        <w:t>a)管道表面检查，检查有无划伤、槽痕、凿痕或者凹痕等缺陷，管道有无老化降解(如表面粉化)等迹象，</w:t>
      </w:r>
      <w:r>
        <w:rPr>
          <w:rFonts w:hint="eastAsia"/>
          <w:color w:val="auto"/>
        </w:rPr>
        <w:t>对于明显的管体表面槽痕、划痕或者凹痕等缺陷，应采用焊缝检验尺或者塞尺进行深度测量。</w:t>
      </w:r>
      <w:r>
        <w:rPr>
          <w:rFonts w:hint="eastAsia"/>
          <w:color w:val="auto"/>
        </w:rPr>
        <w:t>；</w:t>
      </w:r>
    </w:p>
    <w:p w14:paraId="2C51B37E">
      <w:pPr>
        <w:pStyle w:val="60"/>
        <w:ind w:firstLine="0" w:firstLineChars="0"/>
        <w:rPr>
          <w:rFonts w:ascii="Times New Roman"/>
          <w:color w:val="auto"/>
        </w:rPr>
      </w:pPr>
      <w:r>
        <w:rPr>
          <w:rFonts w:hint="eastAsia"/>
          <w:color w:val="auto"/>
        </w:rPr>
        <w:t>b)壁厚测定，采用超声波测厚方法等对管体进行壁厚抽样测定，同一截面上的测厚位置不得少于4处，测量值应参考</w:t>
      </w:r>
      <w:r>
        <w:rPr>
          <w:rFonts w:hint="default" w:ascii="Times New Roman"/>
          <w:color w:val="auto"/>
        </w:rPr>
        <w:t>GB/T15558</w:t>
      </w:r>
      <w:r>
        <w:rPr>
          <w:rFonts w:hint="eastAsia"/>
          <w:color w:val="auto"/>
        </w:rPr>
        <w:t>(所有部分)对壁厚的要求。测厚时，应注意声速的校准</w:t>
      </w:r>
      <w:r>
        <w:rPr>
          <w:rFonts w:hint="eastAsia"/>
          <w:b w:val="0"/>
          <w:bCs w:val="0"/>
          <w:color w:val="auto"/>
        </w:rPr>
        <w:t>当测量壁厚结果有异常时，须增加测量数量。</w:t>
      </w:r>
    </w:p>
    <w:p w14:paraId="484219E3">
      <w:pPr>
        <w:pStyle w:val="60"/>
        <w:ind w:firstLine="0" w:firstLineChars="0"/>
        <w:rPr>
          <w:rFonts w:hint="eastAsia" w:ascii="Times New Roman" w:hAnsi="Times New Roman" w:eastAsia="宋体" w:cs="Times New Roman"/>
          <w:color w:val="auto"/>
        </w:rPr>
      </w:pPr>
      <w:r>
        <w:rPr>
          <w:rFonts w:hint="eastAsia" w:ascii="Times New Roman" w:hAnsi="Times New Roman" w:eastAsia="宋体" w:cs="Times New Roman"/>
          <w:color w:val="auto"/>
        </w:rPr>
        <w:t>7.5.</w:t>
      </w:r>
      <w:r>
        <w:rPr>
          <w:rFonts w:hint="eastAsia" w:ascii="Times New Roman"/>
          <w:color w:val="auto"/>
        </w:rPr>
        <w:t>6</w:t>
      </w:r>
      <w:r>
        <w:rPr>
          <w:rFonts w:hint="eastAsia" w:ascii="Times New Roman" w:hAnsi="Times New Roman" w:eastAsia="宋体" w:cs="Times New Roman"/>
          <w:color w:val="auto"/>
        </w:rPr>
        <w:t xml:space="preserve"> 敷设环境调查</w:t>
      </w:r>
    </w:p>
    <w:p w14:paraId="53C7B1E7">
      <w:pPr>
        <w:pStyle w:val="60"/>
        <w:ind w:firstLine="420"/>
        <w:rPr>
          <w:rFonts w:ascii="Times New Roman"/>
          <w:color w:val="auto"/>
        </w:rPr>
      </w:pPr>
      <w:r>
        <w:rPr>
          <w:rFonts w:hint="eastAsia" w:ascii="Times New Roman"/>
          <w:color w:val="auto"/>
        </w:rPr>
        <w:t>调查地貌环境是否有沉降、当地是否存在对聚乙烯管道造成破坏（某些特定蚁类的啃噬等）的生物。当存在部分埋地段钢管时，还应进行土壤腐蚀性测试。</w:t>
      </w:r>
    </w:p>
    <w:p w14:paraId="778BCDEE">
      <w:pPr>
        <w:pStyle w:val="60"/>
        <w:ind w:firstLine="0" w:firstLineChars="0"/>
        <w:rPr>
          <w:rFonts w:hint="eastAsia" w:ascii="Times New Roman" w:hAnsi="Times New Roman" w:eastAsia="宋体" w:cs="Times New Roman"/>
          <w:color w:val="auto"/>
        </w:rPr>
      </w:pPr>
      <w:r>
        <w:rPr>
          <w:rFonts w:hint="eastAsia" w:ascii="Times New Roman" w:hAnsi="Times New Roman" w:eastAsia="宋体" w:cs="Times New Roman"/>
          <w:color w:val="auto"/>
        </w:rPr>
        <w:t>7.5.</w:t>
      </w:r>
      <w:r>
        <w:rPr>
          <w:rFonts w:hint="eastAsia" w:ascii="Times New Roman"/>
          <w:color w:val="auto"/>
        </w:rPr>
        <w:t>7</w:t>
      </w:r>
      <w:r>
        <w:rPr>
          <w:rFonts w:hint="eastAsia" w:ascii="Times New Roman" w:hAnsi="Times New Roman" w:eastAsia="宋体" w:cs="Times New Roman"/>
          <w:color w:val="auto"/>
        </w:rPr>
        <w:t xml:space="preserve"> 无损检测</w:t>
      </w:r>
    </w:p>
    <w:p w14:paraId="43E64F17">
      <w:pPr>
        <w:pStyle w:val="60"/>
        <w:ind w:firstLine="420"/>
        <w:rPr>
          <w:rFonts w:ascii="Times New Roman"/>
          <w:color w:val="auto"/>
        </w:rPr>
      </w:pPr>
      <w:r>
        <w:rPr>
          <w:rFonts w:hint="eastAsia" w:ascii="Times New Roman"/>
          <w:color w:val="auto"/>
        </w:rPr>
        <w:t>采用衍射时差法（</w:t>
      </w:r>
      <w:r>
        <w:rPr>
          <w:rFonts w:ascii="Times New Roman"/>
          <w:color w:val="auto"/>
        </w:rPr>
        <w:t>TOFD</w:t>
      </w:r>
      <w:r>
        <w:rPr>
          <w:rFonts w:hint="eastAsia" w:ascii="Times New Roman"/>
          <w:color w:val="auto"/>
        </w:rPr>
        <w:t>）超声检测对聚乙烯管道热熔接头进行抽查检测，相控阵超声（</w:t>
      </w:r>
      <w:r>
        <w:rPr>
          <w:rFonts w:ascii="Times New Roman"/>
          <w:color w:val="auto"/>
        </w:rPr>
        <w:t>PA</w:t>
      </w:r>
      <w:r>
        <w:rPr>
          <w:rFonts w:hint="eastAsia" w:ascii="Times New Roman"/>
          <w:color w:val="auto"/>
        </w:rPr>
        <w:t>）检测对电熔接头进行抽查检测。</w:t>
      </w:r>
    </w:p>
    <w:p w14:paraId="796B64D7">
      <w:pPr>
        <w:pStyle w:val="60"/>
        <w:ind w:firstLine="420"/>
        <w:rPr>
          <w:rFonts w:ascii="Times New Roman"/>
          <w:color w:val="auto"/>
        </w:rPr>
      </w:pPr>
      <w:r>
        <w:rPr>
          <w:rFonts w:hint="eastAsia" w:ascii="Times New Roman"/>
          <w:color w:val="auto"/>
        </w:rPr>
        <w:t>当钢制管件或穿、跨越钢管存在对接焊接接头时，应对焊接接头进行无损检测抽查，无损检测采用超声或射线的方法进行。</w:t>
      </w:r>
    </w:p>
    <w:p w14:paraId="28211A28">
      <w:pPr>
        <w:pStyle w:val="60"/>
        <w:ind w:firstLine="0" w:firstLineChars="0"/>
        <w:rPr>
          <w:rFonts w:hint="eastAsia" w:ascii="Times New Roman" w:hAnsi="Times New Roman" w:eastAsia="宋体" w:cs="Times New Roman"/>
          <w:color w:val="auto"/>
        </w:rPr>
      </w:pPr>
      <w:r>
        <w:rPr>
          <w:rFonts w:hint="eastAsia" w:ascii="Times New Roman" w:hAnsi="Times New Roman" w:eastAsia="宋体" w:cs="Times New Roman"/>
          <w:color w:val="auto"/>
        </w:rPr>
        <w:t>7.5.</w:t>
      </w:r>
      <w:r>
        <w:rPr>
          <w:rFonts w:hint="eastAsia" w:ascii="Times New Roman"/>
          <w:color w:val="auto"/>
        </w:rPr>
        <w:t>8</w:t>
      </w:r>
      <w:r>
        <w:rPr>
          <w:rFonts w:hint="eastAsia" w:ascii="Times New Roman" w:hAnsi="Times New Roman" w:eastAsia="宋体" w:cs="Times New Roman"/>
          <w:color w:val="auto"/>
        </w:rPr>
        <w:t xml:space="preserve"> 耐压试验</w:t>
      </w:r>
    </w:p>
    <w:p w14:paraId="3B6C8A6A">
      <w:pPr>
        <w:pStyle w:val="60"/>
        <w:ind w:firstLine="420"/>
        <w:rPr>
          <w:rFonts w:ascii="Times New Roman"/>
          <w:color w:val="auto"/>
        </w:rPr>
      </w:pPr>
      <w:r>
        <w:rPr>
          <w:rFonts w:hint="eastAsia" w:ascii="Times New Roman"/>
          <w:color w:val="auto"/>
        </w:rPr>
        <w:t>检验人员对管道安全状况有怀疑时，应当进行耐压试验，耐压试验由使用单位负责实施，检验机构负责对耐压</w:t>
      </w:r>
      <w:r>
        <w:rPr>
          <w:rFonts w:ascii="Times New Roman"/>
          <w:color w:val="auto"/>
        </w:rPr>
        <w:t>(</w:t>
      </w:r>
      <w:r>
        <w:rPr>
          <w:rFonts w:hint="eastAsia" w:ascii="Times New Roman"/>
          <w:color w:val="auto"/>
        </w:rPr>
        <w:t>压力</w:t>
      </w:r>
      <w:r>
        <w:rPr>
          <w:rFonts w:ascii="Times New Roman"/>
          <w:color w:val="auto"/>
        </w:rPr>
        <w:t>)</w:t>
      </w:r>
      <w:r>
        <w:rPr>
          <w:rFonts w:hint="eastAsia" w:ascii="Times New Roman"/>
          <w:color w:val="auto"/>
        </w:rPr>
        <w:t>试验的过程进行现场监督确认。具体要求如下：</w:t>
      </w:r>
    </w:p>
    <w:p w14:paraId="4F9C0E8F">
      <w:pPr>
        <w:pStyle w:val="237"/>
        <w:numPr>
          <w:ilvl w:val="2"/>
          <w:numId w:val="0"/>
        </w:numPr>
        <w:rPr>
          <w:rFonts w:ascii="Times New Roman"/>
          <w:color w:val="auto"/>
        </w:rPr>
      </w:pPr>
      <w:r>
        <w:rPr>
          <w:rFonts w:ascii="Times New Roman"/>
          <w:color w:val="auto"/>
        </w:rPr>
        <w:t xml:space="preserve">a) </w:t>
      </w:r>
      <w:r>
        <w:rPr>
          <w:rFonts w:hint="eastAsia" w:ascii="Times New Roman"/>
          <w:color w:val="auto"/>
        </w:rPr>
        <w:t>检验机构应结合管道的实际情况，制定专门的耐压</w:t>
      </w:r>
      <w:r>
        <w:rPr>
          <w:rFonts w:ascii="Times New Roman"/>
          <w:color w:val="auto"/>
        </w:rPr>
        <w:t>(</w:t>
      </w:r>
      <w:r>
        <w:rPr>
          <w:rFonts w:hint="eastAsia" w:ascii="Times New Roman"/>
          <w:color w:val="auto"/>
        </w:rPr>
        <w:t>压力</w:t>
      </w:r>
      <w:r>
        <w:rPr>
          <w:rFonts w:ascii="Times New Roman"/>
          <w:color w:val="auto"/>
        </w:rPr>
        <w:t>)</w:t>
      </w:r>
      <w:r>
        <w:rPr>
          <w:rFonts w:hint="eastAsia" w:ascii="Times New Roman"/>
          <w:color w:val="auto"/>
        </w:rPr>
        <w:t>试验方案；</w:t>
      </w:r>
    </w:p>
    <w:p w14:paraId="6E254539">
      <w:pPr>
        <w:pStyle w:val="237"/>
        <w:numPr>
          <w:ilvl w:val="2"/>
          <w:numId w:val="0"/>
        </w:numPr>
        <w:rPr>
          <w:rFonts w:ascii="Times New Roman"/>
          <w:color w:val="auto"/>
        </w:rPr>
      </w:pPr>
      <w:r>
        <w:rPr>
          <w:rFonts w:ascii="Times New Roman"/>
          <w:color w:val="auto"/>
        </w:rPr>
        <w:t xml:space="preserve">b) </w:t>
      </w:r>
      <w:r>
        <w:rPr>
          <w:rFonts w:hint="eastAsia" w:ascii="Times New Roman"/>
          <w:color w:val="auto"/>
        </w:rPr>
        <w:t>被检管道应</w:t>
      </w:r>
      <w:r>
        <w:rPr>
          <w:rFonts w:ascii="Times New Roman"/>
          <w:color w:val="auto"/>
        </w:rPr>
        <w:t>100%</w:t>
      </w:r>
      <w:r>
        <w:rPr>
          <w:rFonts w:hint="eastAsia" w:ascii="Times New Roman"/>
          <w:color w:val="auto"/>
        </w:rPr>
        <w:t>参与耐压</w:t>
      </w:r>
      <w:r>
        <w:rPr>
          <w:rFonts w:ascii="Times New Roman"/>
          <w:color w:val="auto"/>
        </w:rPr>
        <w:t>(</w:t>
      </w:r>
      <w:r>
        <w:rPr>
          <w:rFonts w:hint="eastAsia" w:ascii="Times New Roman"/>
          <w:color w:val="auto"/>
        </w:rPr>
        <w:t>压力</w:t>
      </w:r>
      <w:r>
        <w:rPr>
          <w:rFonts w:ascii="Times New Roman"/>
          <w:color w:val="auto"/>
        </w:rPr>
        <w:t>)</w:t>
      </w:r>
      <w:r>
        <w:rPr>
          <w:rFonts w:hint="eastAsia" w:ascii="Times New Roman"/>
          <w:color w:val="auto"/>
        </w:rPr>
        <w:t>试验；</w:t>
      </w:r>
    </w:p>
    <w:p w14:paraId="533E5CB1">
      <w:pPr>
        <w:pStyle w:val="237"/>
        <w:numPr>
          <w:ilvl w:val="2"/>
          <w:numId w:val="0"/>
        </w:numPr>
        <w:rPr>
          <w:rFonts w:ascii="Times New Roman"/>
          <w:color w:val="auto"/>
        </w:rPr>
      </w:pPr>
      <w:r>
        <w:rPr>
          <w:rFonts w:ascii="Times New Roman"/>
          <w:color w:val="auto"/>
        </w:rPr>
        <w:t xml:space="preserve">c) </w:t>
      </w:r>
      <w:r>
        <w:rPr>
          <w:rFonts w:hint="eastAsia" w:ascii="Times New Roman"/>
          <w:color w:val="auto"/>
        </w:rPr>
        <w:t>耐压</w:t>
      </w:r>
      <w:r>
        <w:rPr>
          <w:rFonts w:ascii="Times New Roman"/>
          <w:color w:val="auto"/>
        </w:rPr>
        <w:t>(</w:t>
      </w:r>
      <w:r>
        <w:rPr>
          <w:rFonts w:hint="eastAsia" w:ascii="Times New Roman"/>
          <w:color w:val="auto"/>
        </w:rPr>
        <w:t>压力</w:t>
      </w:r>
      <w:r>
        <w:rPr>
          <w:rFonts w:ascii="Times New Roman"/>
          <w:color w:val="auto"/>
        </w:rPr>
        <w:t>)</w:t>
      </w:r>
      <w:r>
        <w:rPr>
          <w:rFonts w:hint="eastAsia" w:ascii="Times New Roman"/>
          <w:color w:val="auto"/>
        </w:rPr>
        <w:t>试验应符合</w:t>
      </w:r>
      <w:r>
        <w:rPr>
          <w:rFonts w:ascii="Times New Roman"/>
          <w:color w:val="auto"/>
        </w:rPr>
        <w:t>CJJ63</w:t>
      </w:r>
      <w:r>
        <w:rPr>
          <w:rFonts w:hint="eastAsia" w:ascii="Times New Roman"/>
          <w:color w:val="auto"/>
        </w:rPr>
        <w:t>的相关规定要求</w:t>
      </w:r>
      <w:r>
        <w:rPr>
          <w:rFonts w:ascii="Times New Roman"/>
          <w:color w:val="auto"/>
        </w:rPr>
        <w:t>,</w:t>
      </w:r>
      <w:r>
        <w:rPr>
          <w:rFonts w:hint="eastAsia" w:ascii="Times New Roman"/>
          <w:color w:val="auto"/>
        </w:rPr>
        <w:t>试验参数以本次检验所允许</w:t>
      </w:r>
      <w:r>
        <w:rPr>
          <w:rFonts w:ascii="Times New Roman"/>
          <w:color w:val="auto"/>
        </w:rPr>
        <w:t>(</w:t>
      </w:r>
      <w:r>
        <w:rPr>
          <w:rFonts w:hint="eastAsia" w:ascii="Times New Roman"/>
          <w:color w:val="auto"/>
        </w:rPr>
        <w:t>监控</w:t>
      </w:r>
      <w:r>
        <w:rPr>
          <w:rFonts w:ascii="Times New Roman"/>
          <w:color w:val="auto"/>
        </w:rPr>
        <w:t>)</w:t>
      </w:r>
      <w:r>
        <w:rPr>
          <w:rFonts w:hint="eastAsia" w:ascii="Times New Roman"/>
          <w:color w:val="auto"/>
        </w:rPr>
        <w:t>使用参数为基础进行计算；</w:t>
      </w:r>
    </w:p>
    <w:p w14:paraId="6E40C11E">
      <w:pPr>
        <w:pStyle w:val="60"/>
        <w:ind w:firstLine="0" w:firstLineChars="0"/>
        <w:rPr>
          <w:rFonts w:ascii="Times New Roman"/>
          <w:color w:val="auto"/>
        </w:rPr>
      </w:pPr>
      <w:r>
        <w:rPr>
          <w:rFonts w:ascii="Times New Roman"/>
          <w:b w:val="0"/>
          <w:bCs w:val="0"/>
          <w:color w:val="auto"/>
          <w:szCs w:val="21"/>
        </w:rPr>
        <w:t>d)</w:t>
      </w:r>
      <w:r>
        <w:rPr>
          <w:rFonts w:ascii="Times New Roman"/>
          <w:color w:val="auto"/>
          <w:szCs w:val="21"/>
        </w:rPr>
        <w:t xml:space="preserve"> </w:t>
      </w:r>
      <w:r>
        <w:rPr>
          <w:rFonts w:hint="eastAsia" w:ascii="Times New Roman"/>
          <w:color w:val="auto"/>
        </w:rPr>
        <w:t>耐压</w:t>
      </w:r>
      <w:r>
        <w:rPr>
          <w:rFonts w:ascii="Times New Roman"/>
          <w:color w:val="auto"/>
        </w:rPr>
        <w:t>(</w:t>
      </w:r>
      <w:r>
        <w:rPr>
          <w:rFonts w:hint="eastAsia" w:ascii="Times New Roman"/>
          <w:color w:val="auto"/>
        </w:rPr>
        <w:t>压力</w:t>
      </w:r>
      <w:r>
        <w:rPr>
          <w:rFonts w:ascii="Times New Roman"/>
          <w:color w:val="auto"/>
        </w:rPr>
        <w:t>)</w:t>
      </w:r>
      <w:r>
        <w:rPr>
          <w:rFonts w:hint="eastAsia" w:ascii="Times New Roman"/>
          <w:color w:val="auto"/>
        </w:rPr>
        <w:t>试验后应当给出下次全面检验日期，基于耐压</w:t>
      </w:r>
      <w:r>
        <w:rPr>
          <w:rFonts w:ascii="Times New Roman"/>
          <w:color w:val="auto"/>
        </w:rPr>
        <w:t>(</w:t>
      </w:r>
      <w:r>
        <w:rPr>
          <w:rFonts w:hint="eastAsia" w:ascii="Times New Roman"/>
          <w:color w:val="auto"/>
        </w:rPr>
        <w:t>压力</w:t>
      </w:r>
      <w:r>
        <w:rPr>
          <w:rFonts w:ascii="Times New Roman"/>
          <w:color w:val="auto"/>
        </w:rPr>
        <w:t xml:space="preserve">) </w:t>
      </w:r>
      <w:r>
        <w:rPr>
          <w:rFonts w:hint="eastAsia" w:ascii="Times New Roman"/>
          <w:color w:val="auto"/>
        </w:rPr>
        <w:t>试压的全面检验方法其下次检验周期最长不应超过</w:t>
      </w:r>
      <w:r>
        <w:rPr>
          <w:rFonts w:ascii="Times New Roman"/>
          <w:color w:val="auto"/>
        </w:rPr>
        <w:t>3</w:t>
      </w:r>
      <w:r>
        <w:rPr>
          <w:rFonts w:hint="eastAsia" w:ascii="Times New Roman"/>
          <w:color w:val="auto"/>
        </w:rPr>
        <w:t>年。</w:t>
      </w:r>
    </w:p>
    <w:p w14:paraId="57588EF3">
      <w:pPr>
        <w:pStyle w:val="60"/>
        <w:ind w:firstLine="0" w:firstLineChars="0"/>
        <w:rPr>
          <w:rFonts w:hint="eastAsia" w:ascii="Times New Roman" w:hAnsi="Times New Roman" w:eastAsia="宋体" w:cs="Times New Roman"/>
          <w:color w:val="auto"/>
        </w:rPr>
      </w:pPr>
      <w:r>
        <w:rPr>
          <w:rFonts w:hint="eastAsia" w:ascii="Times New Roman" w:hAnsi="Times New Roman" w:eastAsia="宋体" w:cs="Times New Roman"/>
          <w:color w:val="auto"/>
        </w:rPr>
        <w:t>7.5.</w:t>
      </w:r>
      <w:r>
        <w:rPr>
          <w:rFonts w:hint="eastAsia" w:ascii="Times New Roman"/>
          <w:color w:val="auto"/>
        </w:rPr>
        <w:t>9</w:t>
      </w:r>
      <w:r>
        <w:rPr>
          <w:rFonts w:hint="eastAsia" w:ascii="Times New Roman" w:hAnsi="Times New Roman" w:eastAsia="宋体" w:cs="Times New Roman"/>
          <w:color w:val="auto"/>
        </w:rPr>
        <w:t xml:space="preserve"> 安全附件与仪表检查</w:t>
      </w:r>
    </w:p>
    <w:p w14:paraId="35DB3AE6">
      <w:pPr>
        <w:pStyle w:val="60"/>
        <w:ind w:firstLine="420"/>
        <w:rPr>
          <w:rFonts w:ascii="Times New Roman"/>
          <w:color w:val="auto"/>
        </w:rPr>
      </w:pPr>
      <w:r>
        <w:rPr>
          <w:rFonts w:hint="eastAsia" w:ascii="Times New Roman"/>
          <w:color w:val="auto"/>
        </w:rPr>
        <w:t>检查管道附属的安全附件与仪表。具体参照工业管道定期检验有关要求执行，特殊的安全保护装置参照现行相关标准的规定。</w:t>
      </w:r>
    </w:p>
    <w:p w14:paraId="3053105E">
      <w:pPr>
        <w:pStyle w:val="10"/>
        <w:rPr>
          <w:rFonts w:hint="eastAsia" w:ascii="Times New Roman" w:hAnsi="Times New Roman" w:eastAsia="宋体" w:cs="黑体"/>
          <w:color w:val="auto"/>
        </w:rPr>
      </w:pPr>
      <w:r>
        <w:rPr>
          <w:rFonts w:hint="eastAsia" w:ascii="Times New Roman" w:hAnsi="Times New Roman" w:eastAsia="宋体" w:cs="黑体"/>
          <w:color w:val="auto"/>
        </w:rPr>
        <w:t>7.6 安全状况等级及检验结论</w:t>
      </w:r>
    </w:p>
    <w:p w14:paraId="657902D2">
      <w:pPr>
        <w:pStyle w:val="60"/>
        <w:ind w:firstLine="420"/>
        <w:rPr>
          <w:rFonts w:ascii="Times New Roman"/>
          <w:color w:val="auto"/>
        </w:rPr>
      </w:pPr>
      <w:r>
        <w:rPr>
          <w:rFonts w:hint="eastAsia" w:ascii="Times New Roman"/>
          <w:color w:val="auto"/>
        </w:rPr>
        <w:t>综合检验情况，评定管道安全状况等级并给出明确的检验结论。</w:t>
      </w:r>
    </w:p>
    <w:p w14:paraId="041A9D02">
      <w:pPr>
        <w:pStyle w:val="60"/>
        <w:ind w:firstLine="0" w:firstLineChars="0"/>
        <w:rPr>
          <w:rFonts w:ascii="Times New Roman"/>
          <w:color w:val="auto"/>
        </w:rPr>
      </w:pPr>
      <w:r>
        <w:rPr>
          <w:rFonts w:ascii="Times New Roman"/>
          <w:color w:val="auto"/>
        </w:rPr>
        <w:t>7.6.1</w:t>
      </w:r>
      <w:r>
        <w:rPr>
          <w:rFonts w:hint="eastAsia" w:ascii="Times New Roman"/>
          <w:color w:val="auto"/>
        </w:rPr>
        <w:t>管线位置、埋深与走向的评级</w:t>
      </w:r>
    </w:p>
    <w:p w14:paraId="0731126D">
      <w:pPr>
        <w:pStyle w:val="60"/>
        <w:ind w:firstLine="0" w:firstLineChars="0"/>
        <w:rPr>
          <w:rFonts w:ascii="Times New Roman"/>
          <w:color w:val="auto"/>
        </w:rPr>
      </w:pPr>
      <w:r>
        <w:rPr>
          <w:rFonts w:ascii="Times New Roman"/>
          <w:color w:val="auto"/>
        </w:rPr>
        <w:t xml:space="preserve">a) </w:t>
      </w:r>
      <w:r>
        <w:rPr>
          <w:rFonts w:hint="eastAsia" w:ascii="Times New Roman"/>
          <w:color w:val="auto"/>
        </w:rPr>
        <w:t>管线位置和走向完全符合相关规范及标准要求时，可定为</w:t>
      </w:r>
      <w:r>
        <w:rPr>
          <w:rFonts w:ascii="Times New Roman"/>
          <w:color w:val="auto"/>
        </w:rPr>
        <w:t>1</w:t>
      </w:r>
      <w:r>
        <w:rPr>
          <w:rFonts w:hint="eastAsia" w:ascii="Times New Roman"/>
          <w:color w:val="auto"/>
        </w:rPr>
        <w:t>级；不完全符合相关规范及标准要求时，可视具体情况定为</w:t>
      </w:r>
      <w:r>
        <w:rPr>
          <w:rFonts w:ascii="Times New Roman"/>
          <w:color w:val="auto"/>
        </w:rPr>
        <w:t>2</w:t>
      </w:r>
      <w:r>
        <w:rPr>
          <w:rFonts w:hint="eastAsia" w:ascii="Times New Roman"/>
          <w:color w:val="auto"/>
        </w:rPr>
        <w:t>级或</w:t>
      </w:r>
      <w:r>
        <w:rPr>
          <w:rFonts w:ascii="Times New Roman"/>
          <w:color w:val="auto"/>
        </w:rPr>
        <w:t>3</w:t>
      </w:r>
      <w:r>
        <w:rPr>
          <w:rFonts w:hint="eastAsia" w:ascii="Times New Roman"/>
          <w:color w:val="auto"/>
        </w:rPr>
        <w:t>级；当管线位置严重影响聚乙烯燃气管道安全且又无法进行调整时，可定为</w:t>
      </w:r>
      <w:r>
        <w:rPr>
          <w:rFonts w:ascii="Times New Roman"/>
          <w:color w:val="auto"/>
        </w:rPr>
        <w:t>4</w:t>
      </w:r>
      <w:r>
        <w:rPr>
          <w:rFonts w:hint="eastAsia" w:ascii="Times New Roman"/>
          <w:color w:val="auto"/>
        </w:rPr>
        <w:t>级。</w:t>
      </w:r>
    </w:p>
    <w:p w14:paraId="37EA2C4B">
      <w:pPr>
        <w:pStyle w:val="60"/>
        <w:ind w:firstLine="0" w:firstLineChars="0"/>
        <w:rPr>
          <w:rFonts w:ascii="Times New Roman"/>
          <w:color w:val="auto"/>
        </w:rPr>
      </w:pPr>
      <w:r>
        <w:rPr>
          <w:rFonts w:ascii="Times New Roman"/>
          <w:color w:val="auto"/>
        </w:rPr>
        <w:t xml:space="preserve">b) </w:t>
      </w:r>
      <w:r>
        <w:rPr>
          <w:rFonts w:hint="eastAsia" w:ascii="Times New Roman"/>
          <w:color w:val="auto"/>
        </w:rPr>
        <w:t>管线埋深完全符合相关规范及标准要求时，可定为</w:t>
      </w:r>
      <w:r>
        <w:rPr>
          <w:rFonts w:ascii="Times New Roman"/>
          <w:color w:val="auto"/>
        </w:rPr>
        <w:t>1</w:t>
      </w:r>
      <w:r>
        <w:rPr>
          <w:rFonts w:hint="eastAsia" w:ascii="Times New Roman"/>
          <w:color w:val="auto"/>
        </w:rPr>
        <w:t>级；不完全符合相关规范及标准要求时但采取切实可行的防护措施后可视具体情况定为</w:t>
      </w:r>
      <w:r>
        <w:rPr>
          <w:rFonts w:ascii="Times New Roman"/>
          <w:color w:val="auto"/>
        </w:rPr>
        <w:t>2</w:t>
      </w:r>
      <w:r>
        <w:rPr>
          <w:rFonts w:hint="eastAsia" w:ascii="Times New Roman"/>
          <w:color w:val="auto"/>
        </w:rPr>
        <w:t>级或</w:t>
      </w:r>
      <w:r>
        <w:rPr>
          <w:rFonts w:ascii="Times New Roman"/>
          <w:color w:val="auto"/>
        </w:rPr>
        <w:t>3</w:t>
      </w:r>
      <w:r>
        <w:rPr>
          <w:rFonts w:hint="eastAsia" w:ascii="Times New Roman"/>
          <w:color w:val="auto"/>
        </w:rPr>
        <w:t>级，否则定为</w:t>
      </w:r>
      <w:r>
        <w:rPr>
          <w:rFonts w:ascii="Times New Roman"/>
          <w:color w:val="auto"/>
        </w:rPr>
        <w:t>4</w:t>
      </w:r>
      <w:r>
        <w:rPr>
          <w:rFonts w:hint="eastAsia" w:ascii="Times New Roman"/>
          <w:color w:val="auto"/>
        </w:rPr>
        <w:t>级。</w:t>
      </w:r>
    </w:p>
    <w:p w14:paraId="75D9EEED">
      <w:pPr>
        <w:pStyle w:val="60"/>
        <w:ind w:firstLine="0" w:firstLineChars="0"/>
        <w:rPr>
          <w:rFonts w:ascii="Times New Roman"/>
          <w:color w:val="auto"/>
        </w:rPr>
      </w:pPr>
      <w:r>
        <w:rPr>
          <w:rFonts w:ascii="Times New Roman"/>
          <w:color w:val="auto"/>
        </w:rPr>
        <w:t>7.6.2</w:t>
      </w:r>
      <w:r>
        <w:rPr>
          <w:rFonts w:hint="eastAsia" w:ascii="Times New Roman"/>
          <w:color w:val="auto"/>
        </w:rPr>
        <w:t>管线泄漏的评级</w:t>
      </w:r>
    </w:p>
    <w:p w14:paraId="5796A335">
      <w:pPr>
        <w:pStyle w:val="60"/>
        <w:ind w:firstLine="0" w:firstLineChars="0"/>
        <w:rPr>
          <w:rFonts w:ascii="Times New Roman"/>
          <w:color w:val="auto"/>
        </w:rPr>
      </w:pPr>
      <w:r>
        <w:rPr>
          <w:rFonts w:ascii="Times New Roman"/>
          <w:color w:val="auto"/>
        </w:rPr>
        <w:t xml:space="preserve">a) </w:t>
      </w:r>
      <w:r>
        <w:rPr>
          <w:rFonts w:hint="eastAsia" w:ascii="Times New Roman"/>
          <w:color w:val="auto"/>
        </w:rPr>
        <w:t>聚乙烯燃气管道因自身原因存在泄漏且无法对泄漏部位进行处理的，定为</w:t>
      </w:r>
      <w:r>
        <w:rPr>
          <w:rFonts w:ascii="Times New Roman"/>
          <w:color w:val="auto"/>
        </w:rPr>
        <w:t>4</w:t>
      </w:r>
      <w:r>
        <w:rPr>
          <w:rFonts w:hint="eastAsia" w:ascii="Times New Roman"/>
          <w:color w:val="auto"/>
        </w:rPr>
        <w:t>级。</w:t>
      </w:r>
    </w:p>
    <w:p w14:paraId="40C3B339">
      <w:pPr>
        <w:pStyle w:val="60"/>
        <w:ind w:firstLine="0" w:firstLineChars="0"/>
        <w:rPr>
          <w:rFonts w:ascii="Times New Roman"/>
          <w:color w:val="auto"/>
        </w:rPr>
      </w:pPr>
      <w:r>
        <w:rPr>
          <w:rFonts w:ascii="Times New Roman"/>
          <w:color w:val="auto"/>
        </w:rPr>
        <w:t>7.6.3</w:t>
      </w:r>
      <w:r>
        <w:rPr>
          <w:rFonts w:hint="eastAsia" w:ascii="Times New Roman"/>
          <w:color w:val="auto"/>
        </w:rPr>
        <w:t>其他缺陷评级</w:t>
      </w:r>
    </w:p>
    <w:p w14:paraId="07AF658C">
      <w:pPr>
        <w:pStyle w:val="60"/>
        <w:ind w:firstLine="0" w:firstLineChars="0"/>
        <w:rPr>
          <w:rFonts w:ascii="Times New Roman"/>
          <w:color w:val="auto"/>
        </w:rPr>
      </w:pPr>
      <w:r>
        <w:rPr>
          <w:rFonts w:ascii="Times New Roman"/>
          <w:color w:val="auto"/>
        </w:rPr>
        <w:t xml:space="preserve">a) </w:t>
      </w:r>
      <w:r>
        <w:rPr>
          <w:rFonts w:hint="eastAsia" w:ascii="Times New Roman"/>
          <w:color w:val="auto"/>
        </w:rPr>
        <w:t>全面检验过程中发现除</w:t>
      </w:r>
      <w:r>
        <w:rPr>
          <w:rFonts w:ascii="Times New Roman"/>
          <w:color w:val="auto"/>
        </w:rPr>
        <w:t>7.1~7.5</w:t>
      </w:r>
      <w:r>
        <w:rPr>
          <w:rFonts w:hint="eastAsia" w:ascii="Times New Roman"/>
          <w:color w:val="auto"/>
        </w:rPr>
        <w:t>以外的其他缺陷时，经整改合格后可定为</w:t>
      </w:r>
      <w:r>
        <w:rPr>
          <w:rFonts w:ascii="Times New Roman"/>
          <w:color w:val="auto"/>
        </w:rPr>
        <w:t>1</w:t>
      </w:r>
      <w:r>
        <w:rPr>
          <w:rFonts w:hint="eastAsia" w:ascii="Times New Roman"/>
          <w:color w:val="auto"/>
        </w:rPr>
        <w:t>级或</w:t>
      </w:r>
      <w:r>
        <w:rPr>
          <w:rFonts w:ascii="Times New Roman"/>
          <w:color w:val="auto"/>
        </w:rPr>
        <w:t>2</w:t>
      </w:r>
      <w:r>
        <w:rPr>
          <w:rFonts w:hint="eastAsia" w:ascii="Times New Roman"/>
          <w:color w:val="auto"/>
        </w:rPr>
        <w:t>级，不能整改合格但能采取有效监控措施时定为</w:t>
      </w:r>
      <w:r>
        <w:rPr>
          <w:rFonts w:ascii="Times New Roman"/>
          <w:color w:val="auto"/>
        </w:rPr>
        <w:t>3</w:t>
      </w:r>
      <w:r>
        <w:rPr>
          <w:rFonts w:hint="eastAsia" w:ascii="Times New Roman"/>
          <w:color w:val="auto"/>
        </w:rPr>
        <w:t>级，否则定为</w:t>
      </w:r>
      <w:r>
        <w:rPr>
          <w:rFonts w:ascii="Times New Roman"/>
          <w:color w:val="auto"/>
        </w:rPr>
        <w:t>4</w:t>
      </w:r>
      <w:r>
        <w:rPr>
          <w:rFonts w:hint="eastAsia" w:ascii="Times New Roman"/>
          <w:color w:val="auto"/>
        </w:rPr>
        <w:t>级。</w:t>
      </w:r>
    </w:p>
    <w:p w14:paraId="1647DE0F">
      <w:pPr>
        <w:pStyle w:val="60"/>
        <w:ind w:firstLine="0" w:firstLineChars="0"/>
        <w:rPr>
          <w:rFonts w:hint="eastAsia" w:ascii="Times New Roman" w:hAnsi="Times New Roman" w:cs="Times New Roman"/>
          <w:color w:val="auto"/>
        </w:rPr>
      </w:pPr>
      <w:r>
        <w:rPr>
          <w:rFonts w:ascii="Times New Roman"/>
          <w:color w:val="auto"/>
        </w:rPr>
        <w:t>7.6.4</w:t>
      </w:r>
      <w:r>
        <w:rPr>
          <w:rFonts w:hint="eastAsia" w:ascii="Times New Roman"/>
          <w:color w:val="auto"/>
        </w:rPr>
        <w:t>适用性评价</w:t>
      </w:r>
    </w:p>
    <w:p w14:paraId="0ADCB278">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Cs w:val="20"/>
        </w:rPr>
        <w:t>适用性评价包括材料性能评价、焊接缺陷评价、壁厚减薄评价。结果分为以下</w:t>
      </w:r>
      <w:r>
        <w:rPr>
          <w:rFonts w:ascii="Times New Roman" w:hAnsi="Times New Roman"/>
          <w:color w:val="auto"/>
          <w:kern w:val="0"/>
          <w:szCs w:val="20"/>
        </w:rPr>
        <w:t>3</w:t>
      </w:r>
      <w:r>
        <w:rPr>
          <w:rFonts w:hint="eastAsia" w:ascii="Times New Roman" w:hAnsi="Times New Roman"/>
          <w:color w:val="auto"/>
          <w:kern w:val="0"/>
          <w:szCs w:val="20"/>
        </w:rPr>
        <w:t>个等级，下次检验周期应根据适用性评价与其他项目检验结果综合确定。</w:t>
      </w:r>
    </w:p>
    <w:p w14:paraId="7BCA374C">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a</w:t>
      </w:r>
      <w:r>
        <w:rPr>
          <w:rFonts w:hint="eastAsia" w:ascii="Times New Roman" w:hAnsi="Times New Roman"/>
          <w:color w:val="auto"/>
          <w:kern w:val="0"/>
          <w:szCs w:val="20"/>
        </w:rPr>
        <w:t>）允许使用：评价结果符合要求，安全状况等级可定为</w:t>
      </w:r>
      <w:r>
        <w:rPr>
          <w:rFonts w:ascii="Times New Roman" w:hAnsi="Times New Roman"/>
          <w:color w:val="auto"/>
          <w:kern w:val="0"/>
          <w:szCs w:val="20"/>
        </w:rPr>
        <w:t>1</w:t>
      </w:r>
      <w:r>
        <w:rPr>
          <w:rFonts w:hint="eastAsia" w:ascii="Times New Roman" w:hAnsi="Times New Roman"/>
          <w:color w:val="auto"/>
          <w:kern w:val="0"/>
          <w:szCs w:val="20"/>
        </w:rPr>
        <w:t>级或</w:t>
      </w:r>
      <w:r>
        <w:rPr>
          <w:rFonts w:ascii="Times New Roman" w:hAnsi="Times New Roman"/>
          <w:color w:val="auto"/>
          <w:kern w:val="0"/>
          <w:szCs w:val="20"/>
        </w:rPr>
        <w:t>2</w:t>
      </w:r>
      <w:r>
        <w:rPr>
          <w:rFonts w:hint="eastAsia" w:ascii="Times New Roman" w:hAnsi="Times New Roman"/>
          <w:color w:val="auto"/>
          <w:kern w:val="0"/>
          <w:szCs w:val="20"/>
        </w:rPr>
        <w:t>级，满足设计条件下在未来的检验周期内能安全使用；</w:t>
      </w:r>
    </w:p>
    <w:p w14:paraId="0B805184">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b</w:t>
      </w:r>
      <w:r>
        <w:rPr>
          <w:rFonts w:hint="eastAsia" w:ascii="Times New Roman" w:hAnsi="Times New Roman"/>
          <w:color w:val="auto"/>
          <w:kern w:val="0"/>
          <w:szCs w:val="20"/>
        </w:rPr>
        <w:t>）降压使用：评价结果基本符合要求，安全状况等级定为</w:t>
      </w:r>
      <w:r>
        <w:rPr>
          <w:rFonts w:ascii="Times New Roman" w:hAnsi="Times New Roman"/>
          <w:color w:val="auto"/>
          <w:kern w:val="0"/>
          <w:szCs w:val="20"/>
        </w:rPr>
        <w:t>3</w:t>
      </w:r>
      <w:r>
        <w:rPr>
          <w:rFonts w:hint="eastAsia" w:ascii="Times New Roman" w:hAnsi="Times New Roman"/>
          <w:color w:val="auto"/>
          <w:kern w:val="0"/>
          <w:szCs w:val="20"/>
        </w:rPr>
        <w:t>级，管道存在缺陷，经降低使用压力后，能够满足在未来的检验周期内能安全使用，；</w:t>
      </w:r>
    </w:p>
    <w:p w14:paraId="44FA958A">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c</w:t>
      </w:r>
      <w:r>
        <w:rPr>
          <w:rFonts w:hint="eastAsia" w:ascii="Times New Roman" w:hAnsi="Times New Roman"/>
          <w:color w:val="auto"/>
          <w:kern w:val="0"/>
          <w:szCs w:val="20"/>
        </w:rPr>
        <w:t>）不允许使用：评价结果不符合要求，安全状况等级定为</w:t>
      </w:r>
      <w:r>
        <w:rPr>
          <w:rFonts w:ascii="Times New Roman" w:hAnsi="Times New Roman"/>
          <w:color w:val="auto"/>
          <w:kern w:val="0"/>
          <w:szCs w:val="20"/>
        </w:rPr>
        <w:t>4</w:t>
      </w:r>
      <w:r>
        <w:rPr>
          <w:rFonts w:hint="eastAsia" w:ascii="Times New Roman" w:hAnsi="Times New Roman"/>
          <w:color w:val="auto"/>
          <w:kern w:val="0"/>
          <w:szCs w:val="20"/>
        </w:rPr>
        <w:t>级，管道存在严重缺陷，即使降低使用压力亦不能保证管道安全运行，使用单位应立即采取维修措施。</w:t>
      </w:r>
    </w:p>
    <w:p w14:paraId="038927F0">
      <w:pPr>
        <w:adjustRightInd/>
        <w:spacing w:line="240" w:lineRule="auto"/>
        <w:rPr>
          <w:rFonts w:ascii="Times New Roman" w:hAnsi="Times New Roman"/>
          <w:color w:val="auto"/>
          <w:kern w:val="0"/>
          <w:szCs w:val="20"/>
        </w:rPr>
      </w:pPr>
      <w:r>
        <w:rPr>
          <w:rFonts w:ascii="Times New Roman" w:hAnsi="Times New Roman"/>
          <w:color w:val="auto"/>
          <w:kern w:val="0"/>
          <w:szCs w:val="20"/>
        </w:rPr>
        <w:t>7.6.4.1</w:t>
      </w:r>
      <w:r>
        <w:rPr>
          <w:rFonts w:hint="eastAsia" w:ascii="Times New Roman" w:hAnsi="Times New Roman"/>
          <w:color w:val="auto"/>
          <w:kern w:val="0"/>
          <w:szCs w:val="20"/>
        </w:rPr>
        <w:t>存在下列条件之一的管道应进行适用性评价：</w:t>
      </w:r>
    </w:p>
    <w:p w14:paraId="7FEB3F93">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a</w:t>
      </w:r>
      <w:r>
        <w:rPr>
          <w:rFonts w:hint="eastAsia" w:ascii="Times New Roman" w:hAnsi="Times New Roman"/>
          <w:color w:val="auto"/>
          <w:kern w:val="0"/>
          <w:szCs w:val="20"/>
        </w:rPr>
        <w:t>）运行时间达到设计工作年限以上的；</w:t>
      </w:r>
      <w:r>
        <w:rPr>
          <w:rFonts w:ascii="Times New Roman" w:hAnsi="Times New Roman"/>
          <w:color w:val="auto"/>
          <w:kern w:val="0"/>
          <w:szCs w:val="20"/>
        </w:rPr>
        <w:t xml:space="preserve"> </w:t>
      </w:r>
    </w:p>
    <w:p w14:paraId="584DE5D0">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b</w:t>
      </w:r>
      <w:r>
        <w:rPr>
          <w:rFonts w:hint="eastAsia" w:ascii="Times New Roman" w:hAnsi="Times New Roman"/>
          <w:color w:val="auto"/>
          <w:kern w:val="0"/>
          <w:szCs w:val="20"/>
        </w:rPr>
        <w:t>）管道设计工作年限不明，使用年限已经达到</w:t>
      </w:r>
      <w:r>
        <w:rPr>
          <w:rFonts w:ascii="Times New Roman" w:hAnsi="Times New Roman"/>
          <w:color w:val="auto"/>
          <w:kern w:val="0"/>
          <w:szCs w:val="20"/>
        </w:rPr>
        <w:t>40</w:t>
      </w:r>
      <w:r>
        <w:rPr>
          <w:rFonts w:hint="eastAsia" w:ascii="Times New Roman" w:hAnsi="Times New Roman"/>
          <w:color w:val="auto"/>
          <w:kern w:val="0"/>
          <w:szCs w:val="20"/>
        </w:rPr>
        <w:t>年的；</w:t>
      </w:r>
    </w:p>
    <w:p w14:paraId="27F714C7">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c</w:t>
      </w:r>
      <w:r>
        <w:rPr>
          <w:rFonts w:hint="eastAsia" w:ascii="Times New Roman" w:hAnsi="Times New Roman"/>
          <w:color w:val="auto"/>
          <w:kern w:val="0"/>
          <w:szCs w:val="20"/>
        </w:rPr>
        <w:t>）生地质灾害、运行事故或外力损害后需要继续使用的。</w:t>
      </w:r>
    </w:p>
    <w:p w14:paraId="059FD78D">
      <w:pPr>
        <w:keepNext/>
        <w:keepLines/>
        <w:adjustRightInd/>
        <w:spacing w:line="360" w:lineRule="auto"/>
        <w:outlineLvl w:val="1"/>
        <w:rPr>
          <w:rFonts w:ascii="Times New Roman" w:hAnsi="Times New Roman"/>
          <w:b w:val="0"/>
          <w:bCs w:val="0"/>
          <w:color w:val="auto"/>
          <w:kern w:val="0"/>
          <w:szCs w:val="20"/>
        </w:rPr>
      </w:pPr>
      <w:r>
        <w:rPr>
          <w:rFonts w:ascii="Times New Roman" w:hAnsi="Times New Roman"/>
          <w:color w:val="auto"/>
          <w:kern w:val="0"/>
          <w:szCs w:val="20"/>
        </w:rPr>
        <w:t>7.6.4.2</w:t>
      </w:r>
      <w:r>
        <w:rPr>
          <w:rFonts w:hint="eastAsia" w:ascii="Times New Roman" w:hAnsi="Times New Roman"/>
          <w:b w:val="0"/>
          <w:bCs w:val="0"/>
          <w:color w:val="auto"/>
          <w:kern w:val="0"/>
          <w:szCs w:val="20"/>
        </w:rPr>
        <w:t>焊接缺陷评价</w:t>
      </w:r>
    </w:p>
    <w:p w14:paraId="39DD37C6">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a</w:t>
      </w:r>
      <w:r>
        <w:rPr>
          <w:rFonts w:hint="eastAsia" w:ascii="Times New Roman" w:hAnsi="Times New Roman"/>
          <w:color w:val="auto"/>
          <w:kern w:val="0"/>
          <w:szCs w:val="20"/>
        </w:rPr>
        <w:t>）熔合面夹杂</w:t>
      </w:r>
    </w:p>
    <w:p w14:paraId="04DF8B5D">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Cs w:val="20"/>
        </w:rPr>
        <w:t>不存在与内冷焊区贯通的融合面夹杂缺陷且与内冷焊区不贯通的融合面夹杂缺陷长度不大于</w:t>
      </w:r>
      <w:r>
        <w:rPr>
          <w:rFonts w:ascii="Times New Roman" w:hAnsi="Times New Roman"/>
          <w:color w:val="auto"/>
          <w:kern w:val="0"/>
          <w:szCs w:val="20"/>
        </w:rPr>
        <w:t>L/10</w:t>
      </w:r>
      <w:r>
        <w:rPr>
          <w:rFonts w:hint="eastAsia" w:ascii="Times New Roman" w:hAnsi="Times New Roman"/>
          <w:color w:val="auto"/>
          <w:kern w:val="0"/>
          <w:szCs w:val="20"/>
        </w:rPr>
        <w:t>的，评价结果为符合要求；与内冷焊区贯通的融合面夹杂缺陷长度不大于</w:t>
      </w:r>
      <w:r>
        <w:rPr>
          <w:rFonts w:ascii="Times New Roman" w:hAnsi="Times New Roman"/>
          <w:color w:val="auto"/>
          <w:kern w:val="0"/>
          <w:szCs w:val="20"/>
        </w:rPr>
        <w:t>L/10</w:t>
      </w:r>
      <w:r>
        <w:rPr>
          <w:rFonts w:hint="eastAsia" w:ascii="Times New Roman" w:hAnsi="Times New Roman"/>
          <w:color w:val="auto"/>
          <w:kern w:val="0"/>
          <w:szCs w:val="20"/>
        </w:rPr>
        <w:t>或与内冷焊区不贯通的融合面夹杂缺陷长度不大于</w:t>
      </w:r>
      <w:r>
        <w:rPr>
          <w:rFonts w:ascii="Times New Roman" w:hAnsi="Times New Roman"/>
          <w:color w:val="auto"/>
          <w:kern w:val="0"/>
          <w:szCs w:val="20"/>
        </w:rPr>
        <w:t>L/5</w:t>
      </w:r>
      <w:r>
        <w:rPr>
          <w:rFonts w:hint="eastAsia" w:ascii="Times New Roman" w:hAnsi="Times New Roman"/>
          <w:color w:val="auto"/>
          <w:kern w:val="0"/>
          <w:szCs w:val="20"/>
        </w:rPr>
        <w:t>的，评价结果为基本符合要求；与内冷焊区贯通的融合面夹杂缺陷长度大于</w:t>
      </w:r>
      <w:r>
        <w:rPr>
          <w:rFonts w:ascii="Times New Roman" w:hAnsi="Times New Roman"/>
          <w:color w:val="auto"/>
          <w:kern w:val="0"/>
          <w:szCs w:val="20"/>
        </w:rPr>
        <w:t>L/10</w:t>
      </w:r>
      <w:r>
        <w:rPr>
          <w:rFonts w:hint="eastAsia" w:ascii="Times New Roman" w:hAnsi="Times New Roman"/>
          <w:color w:val="auto"/>
          <w:kern w:val="0"/>
          <w:szCs w:val="20"/>
        </w:rPr>
        <w:t>或与内冷焊区不贯通的融合面夹杂缺陷长度大于</w:t>
      </w:r>
      <w:r>
        <w:rPr>
          <w:rFonts w:ascii="Times New Roman" w:hAnsi="Times New Roman"/>
          <w:color w:val="auto"/>
          <w:kern w:val="0"/>
          <w:szCs w:val="20"/>
        </w:rPr>
        <w:t>L/5</w:t>
      </w:r>
      <w:r>
        <w:rPr>
          <w:rFonts w:hint="eastAsia" w:ascii="Times New Roman" w:hAnsi="Times New Roman"/>
          <w:color w:val="auto"/>
          <w:kern w:val="0"/>
          <w:szCs w:val="20"/>
        </w:rPr>
        <w:t>的，评价结果为不符合要求。</w:t>
      </w:r>
    </w:p>
    <w:p w14:paraId="078283C8">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L</w:t>
      </w:r>
      <w:r>
        <w:rPr>
          <w:rFonts w:hint="eastAsia" w:ascii="Times New Roman" w:hAnsi="Times New Roman"/>
          <w:color w:val="auto"/>
          <w:kern w:val="0"/>
          <w:szCs w:val="20"/>
        </w:rPr>
        <w:t>——标称熔合区长度，单位为毫米</w:t>
      </w:r>
      <w:r>
        <w:rPr>
          <w:rFonts w:ascii="Times New Roman" w:hAnsi="Times New Roman"/>
          <w:color w:val="auto"/>
          <w:kern w:val="0"/>
          <w:szCs w:val="20"/>
        </w:rPr>
        <w:t>(mm)</w:t>
      </w:r>
      <w:r>
        <w:rPr>
          <w:rFonts w:hint="eastAsia" w:ascii="Times New Roman" w:hAnsi="Times New Roman"/>
          <w:color w:val="auto"/>
          <w:kern w:val="0"/>
          <w:szCs w:val="20"/>
        </w:rPr>
        <w:t>。</w:t>
      </w:r>
    </w:p>
    <w:p w14:paraId="53FE71F1">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b</w:t>
      </w:r>
      <w:r>
        <w:rPr>
          <w:rFonts w:hint="eastAsia" w:ascii="Times New Roman" w:hAnsi="Times New Roman"/>
          <w:color w:val="auto"/>
          <w:kern w:val="0"/>
          <w:szCs w:val="20"/>
        </w:rPr>
        <w:t>）孔洞</w:t>
      </w:r>
    </w:p>
    <w:p w14:paraId="1BDA2979">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Cs w:val="20"/>
        </w:rPr>
        <w:t>单个孔洞缺陷计算尺寸</w:t>
      </w:r>
      <w:r>
        <w:rPr>
          <w:rFonts w:ascii="Times New Roman" w:hAnsi="Times New Roman"/>
          <w:color w:val="auto"/>
          <w:kern w:val="0"/>
          <w:szCs w:val="20"/>
        </w:rPr>
        <w:t>X/L&lt;5%</w:t>
      </w:r>
      <w:r>
        <w:rPr>
          <w:rFonts w:hint="eastAsia" w:ascii="Times New Roman" w:hAnsi="Times New Roman"/>
          <w:color w:val="auto"/>
          <w:kern w:val="0"/>
          <w:szCs w:val="20"/>
        </w:rPr>
        <w:t>且</w:t>
      </w:r>
      <w:r>
        <w:rPr>
          <w:rFonts w:ascii="Times New Roman" w:hAnsi="Times New Roman"/>
          <w:color w:val="auto"/>
          <w:kern w:val="0"/>
          <w:szCs w:val="20"/>
        </w:rPr>
        <w:t>h&lt;5%T</w:t>
      </w:r>
      <w:r>
        <w:rPr>
          <w:rFonts w:hint="eastAsia" w:ascii="Times New Roman" w:hAnsi="Times New Roman"/>
          <w:color w:val="auto"/>
          <w:kern w:val="0"/>
          <w:szCs w:val="20"/>
        </w:rPr>
        <w:t>，或组合孔洞缺陷累计尺寸</w:t>
      </w:r>
      <w:r>
        <w:rPr>
          <w:rFonts w:ascii="Times New Roman" w:hAnsi="Times New Roman"/>
          <w:color w:val="auto"/>
          <w:kern w:val="0"/>
          <w:szCs w:val="20"/>
        </w:rPr>
        <w:t>X/L&lt;10%</w:t>
      </w:r>
      <w:r>
        <w:rPr>
          <w:rFonts w:hint="eastAsia" w:ascii="Times New Roman" w:hAnsi="Times New Roman"/>
          <w:color w:val="auto"/>
          <w:kern w:val="0"/>
          <w:szCs w:val="20"/>
        </w:rPr>
        <w:t>且</w:t>
      </w:r>
      <w:r>
        <w:rPr>
          <w:rFonts w:ascii="Times New Roman" w:hAnsi="Times New Roman"/>
          <w:color w:val="auto"/>
          <w:kern w:val="0"/>
          <w:szCs w:val="20"/>
        </w:rPr>
        <w:t>h&lt;5%T</w:t>
      </w:r>
      <w:r>
        <w:rPr>
          <w:rFonts w:hint="eastAsia" w:ascii="Times New Roman" w:hAnsi="Times New Roman"/>
          <w:color w:val="auto"/>
          <w:kern w:val="0"/>
          <w:szCs w:val="20"/>
        </w:rPr>
        <w:t>的，评价结果为符合要求；单个孔洞缺陷计算尺寸</w:t>
      </w:r>
      <w:r>
        <w:rPr>
          <w:rFonts w:ascii="Times New Roman" w:hAnsi="Times New Roman"/>
          <w:color w:val="auto"/>
          <w:kern w:val="0"/>
          <w:szCs w:val="20"/>
        </w:rPr>
        <w:t>5%</w:t>
      </w:r>
      <w:r>
        <w:rPr>
          <w:rFonts w:hint="eastAsia" w:ascii="Times New Roman" w:hAnsi="Times New Roman"/>
          <w:color w:val="auto"/>
          <w:kern w:val="0"/>
          <w:szCs w:val="20"/>
        </w:rPr>
        <w:t>≤</w:t>
      </w:r>
      <w:r>
        <w:rPr>
          <w:rFonts w:ascii="Times New Roman" w:hAnsi="Times New Roman"/>
          <w:color w:val="auto"/>
          <w:kern w:val="0"/>
          <w:szCs w:val="20"/>
        </w:rPr>
        <w:t>X/L&lt;10%</w:t>
      </w:r>
      <w:r>
        <w:rPr>
          <w:rFonts w:hint="eastAsia" w:ascii="Times New Roman" w:hAnsi="Times New Roman"/>
          <w:color w:val="auto"/>
          <w:kern w:val="0"/>
          <w:szCs w:val="20"/>
        </w:rPr>
        <w:t>且</w:t>
      </w:r>
      <w:r>
        <w:rPr>
          <w:rFonts w:ascii="Times New Roman" w:hAnsi="Times New Roman"/>
          <w:color w:val="auto"/>
          <w:kern w:val="0"/>
          <w:szCs w:val="20"/>
        </w:rPr>
        <w:t>5%T</w:t>
      </w:r>
      <w:r>
        <w:rPr>
          <w:rFonts w:hint="eastAsia" w:ascii="Times New Roman" w:hAnsi="Times New Roman"/>
          <w:color w:val="auto"/>
          <w:kern w:val="0"/>
          <w:szCs w:val="20"/>
        </w:rPr>
        <w:t>≤</w:t>
      </w:r>
      <w:r>
        <w:rPr>
          <w:rFonts w:ascii="Times New Roman" w:hAnsi="Times New Roman"/>
          <w:color w:val="auto"/>
          <w:kern w:val="0"/>
          <w:szCs w:val="20"/>
        </w:rPr>
        <w:t>h&lt;10%T</w:t>
      </w:r>
      <w:r>
        <w:rPr>
          <w:rFonts w:hint="eastAsia" w:ascii="Times New Roman" w:hAnsi="Times New Roman"/>
          <w:color w:val="auto"/>
          <w:kern w:val="0"/>
          <w:szCs w:val="20"/>
        </w:rPr>
        <w:t>，或组合孔洞缺陷累计尺寸</w:t>
      </w:r>
      <w:r>
        <w:rPr>
          <w:rFonts w:ascii="Times New Roman" w:hAnsi="Times New Roman"/>
          <w:color w:val="auto"/>
          <w:kern w:val="0"/>
          <w:szCs w:val="20"/>
        </w:rPr>
        <w:t>10%</w:t>
      </w:r>
      <w:r>
        <w:rPr>
          <w:rFonts w:hint="eastAsia" w:ascii="Times New Roman" w:hAnsi="Times New Roman"/>
          <w:color w:val="auto"/>
          <w:kern w:val="0"/>
          <w:szCs w:val="20"/>
        </w:rPr>
        <w:t>≤</w:t>
      </w:r>
      <w:r>
        <w:rPr>
          <w:rFonts w:ascii="Times New Roman" w:hAnsi="Times New Roman"/>
          <w:color w:val="auto"/>
          <w:kern w:val="0"/>
          <w:szCs w:val="20"/>
        </w:rPr>
        <w:t>X/L&lt;15%</w:t>
      </w:r>
      <w:r>
        <w:rPr>
          <w:rFonts w:hint="eastAsia" w:ascii="Times New Roman" w:hAnsi="Times New Roman"/>
          <w:color w:val="auto"/>
          <w:kern w:val="0"/>
          <w:szCs w:val="20"/>
        </w:rPr>
        <w:t>且</w:t>
      </w:r>
      <w:r>
        <w:rPr>
          <w:rFonts w:ascii="Times New Roman" w:hAnsi="Times New Roman"/>
          <w:color w:val="auto"/>
          <w:kern w:val="0"/>
          <w:szCs w:val="20"/>
        </w:rPr>
        <w:t>5%T</w:t>
      </w:r>
      <w:r>
        <w:rPr>
          <w:rFonts w:hint="eastAsia" w:ascii="Times New Roman" w:hAnsi="Times New Roman"/>
          <w:color w:val="auto"/>
          <w:kern w:val="0"/>
          <w:szCs w:val="20"/>
        </w:rPr>
        <w:t>≤</w:t>
      </w:r>
      <w:r>
        <w:rPr>
          <w:rFonts w:ascii="Times New Roman" w:hAnsi="Times New Roman"/>
          <w:color w:val="auto"/>
          <w:kern w:val="0"/>
          <w:szCs w:val="20"/>
        </w:rPr>
        <w:t>h&lt;10%T</w:t>
      </w:r>
      <w:r>
        <w:rPr>
          <w:rFonts w:hint="eastAsia" w:ascii="Times New Roman" w:hAnsi="Times New Roman"/>
          <w:color w:val="auto"/>
          <w:kern w:val="0"/>
          <w:szCs w:val="20"/>
        </w:rPr>
        <w:t>的，评价结果为基本符合要求；单个孔洞缺陷计算尺寸</w:t>
      </w:r>
      <w:r>
        <w:rPr>
          <w:rFonts w:ascii="Times New Roman" w:hAnsi="Times New Roman"/>
          <w:color w:val="auto"/>
          <w:kern w:val="0"/>
          <w:szCs w:val="20"/>
        </w:rPr>
        <w:t>X/L</w:t>
      </w:r>
      <w:r>
        <w:rPr>
          <w:rFonts w:hint="eastAsia" w:ascii="Times New Roman" w:hAnsi="Times New Roman"/>
          <w:color w:val="auto"/>
          <w:kern w:val="0"/>
          <w:szCs w:val="20"/>
        </w:rPr>
        <w:t>≥</w:t>
      </w:r>
      <w:r>
        <w:rPr>
          <w:rFonts w:ascii="Times New Roman" w:hAnsi="Times New Roman"/>
          <w:color w:val="auto"/>
          <w:kern w:val="0"/>
          <w:szCs w:val="20"/>
        </w:rPr>
        <w:t>10%</w:t>
      </w:r>
      <w:r>
        <w:rPr>
          <w:rFonts w:hint="eastAsia" w:ascii="Times New Roman" w:hAnsi="Times New Roman"/>
          <w:color w:val="auto"/>
          <w:kern w:val="0"/>
          <w:szCs w:val="20"/>
        </w:rPr>
        <w:t>且</w:t>
      </w:r>
      <w:r>
        <w:rPr>
          <w:rFonts w:ascii="Times New Roman" w:hAnsi="Times New Roman"/>
          <w:color w:val="auto"/>
          <w:kern w:val="0"/>
          <w:szCs w:val="20"/>
        </w:rPr>
        <w:t>h</w:t>
      </w:r>
      <w:r>
        <w:rPr>
          <w:rFonts w:hint="eastAsia" w:ascii="Times New Roman" w:hAnsi="Times New Roman"/>
          <w:color w:val="auto"/>
          <w:kern w:val="0"/>
          <w:szCs w:val="20"/>
        </w:rPr>
        <w:t>≥</w:t>
      </w:r>
      <w:r>
        <w:rPr>
          <w:rFonts w:ascii="Times New Roman" w:hAnsi="Times New Roman"/>
          <w:color w:val="auto"/>
          <w:kern w:val="0"/>
          <w:szCs w:val="20"/>
        </w:rPr>
        <w:t>10%T</w:t>
      </w:r>
      <w:r>
        <w:rPr>
          <w:rFonts w:hint="eastAsia" w:ascii="Times New Roman" w:hAnsi="Times New Roman"/>
          <w:color w:val="auto"/>
          <w:kern w:val="0"/>
          <w:szCs w:val="20"/>
        </w:rPr>
        <w:t>，或组合孔洞缺陷累计尺寸</w:t>
      </w:r>
      <w:r>
        <w:rPr>
          <w:rFonts w:ascii="Times New Roman" w:hAnsi="Times New Roman"/>
          <w:color w:val="auto"/>
          <w:kern w:val="0"/>
          <w:szCs w:val="20"/>
        </w:rPr>
        <w:t>X/L</w:t>
      </w:r>
      <w:r>
        <w:rPr>
          <w:rFonts w:hint="eastAsia" w:ascii="Times New Roman" w:hAnsi="Times New Roman"/>
          <w:color w:val="auto"/>
          <w:kern w:val="0"/>
          <w:szCs w:val="20"/>
        </w:rPr>
        <w:t>≥</w:t>
      </w:r>
      <w:r>
        <w:rPr>
          <w:rFonts w:ascii="Times New Roman" w:hAnsi="Times New Roman"/>
          <w:color w:val="auto"/>
          <w:kern w:val="0"/>
          <w:szCs w:val="20"/>
        </w:rPr>
        <w:t>15%</w:t>
      </w:r>
      <w:r>
        <w:rPr>
          <w:rFonts w:hint="eastAsia" w:ascii="Times New Roman" w:hAnsi="Times New Roman"/>
          <w:color w:val="auto"/>
          <w:kern w:val="0"/>
          <w:szCs w:val="20"/>
        </w:rPr>
        <w:t>且</w:t>
      </w:r>
      <w:r>
        <w:rPr>
          <w:rFonts w:ascii="Times New Roman" w:hAnsi="Times New Roman"/>
          <w:color w:val="auto"/>
          <w:kern w:val="0"/>
          <w:szCs w:val="20"/>
        </w:rPr>
        <w:t>h</w:t>
      </w:r>
      <w:r>
        <w:rPr>
          <w:rFonts w:hint="eastAsia" w:ascii="Times New Roman" w:hAnsi="Times New Roman"/>
          <w:color w:val="auto"/>
          <w:kern w:val="0"/>
          <w:szCs w:val="20"/>
        </w:rPr>
        <w:t>≥</w:t>
      </w:r>
      <w:r>
        <w:rPr>
          <w:rFonts w:ascii="Times New Roman" w:hAnsi="Times New Roman"/>
          <w:color w:val="auto"/>
          <w:kern w:val="0"/>
          <w:szCs w:val="20"/>
        </w:rPr>
        <w:t>10%T</w:t>
      </w:r>
      <w:r>
        <w:rPr>
          <w:rFonts w:hint="eastAsia" w:ascii="Times New Roman" w:hAnsi="Times New Roman"/>
          <w:color w:val="auto"/>
          <w:kern w:val="0"/>
          <w:szCs w:val="20"/>
        </w:rPr>
        <w:t>，或内冷焊区贯通孔洞的，评价结果为不符合要求。</w:t>
      </w:r>
    </w:p>
    <w:p w14:paraId="196F0A46">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 xml:space="preserve">X </w:t>
      </w:r>
      <w:r>
        <w:rPr>
          <w:rFonts w:hint="eastAsia" w:ascii="Times New Roman" w:hAnsi="Times New Roman"/>
          <w:color w:val="auto"/>
          <w:kern w:val="0"/>
          <w:szCs w:val="20"/>
        </w:rPr>
        <w:t>——缺陷在熔合面轴向方向上的尺寸，单位为毫米</w:t>
      </w:r>
      <w:r>
        <w:rPr>
          <w:rFonts w:ascii="Times New Roman" w:hAnsi="Times New Roman"/>
          <w:color w:val="auto"/>
          <w:kern w:val="0"/>
          <w:szCs w:val="20"/>
        </w:rPr>
        <w:t>(mm)</w:t>
      </w:r>
      <w:r>
        <w:rPr>
          <w:rFonts w:hint="eastAsia" w:ascii="Times New Roman" w:hAnsi="Times New Roman"/>
          <w:color w:val="auto"/>
          <w:kern w:val="0"/>
          <w:szCs w:val="20"/>
        </w:rPr>
        <w:t>；</w:t>
      </w:r>
    </w:p>
    <w:p w14:paraId="604FB4D4">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 xml:space="preserve">L </w:t>
      </w:r>
      <w:r>
        <w:rPr>
          <w:rFonts w:hint="eastAsia" w:ascii="Times New Roman" w:hAnsi="Times New Roman"/>
          <w:color w:val="auto"/>
          <w:kern w:val="0"/>
          <w:szCs w:val="20"/>
        </w:rPr>
        <w:t>——标称熔合区长度，单位为毫米</w:t>
      </w:r>
      <w:r>
        <w:rPr>
          <w:rFonts w:ascii="Times New Roman" w:hAnsi="Times New Roman"/>
          <w:color w:val="auto"/>
          <w:kern w:val="0"/>
          <w:szCs w:val="20"/>
        </w:rPr>
        <w:t>(mm);</w:t>
      </w:r>
    </w:p>
    <w:p w14:paraId="4F1B3F55">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 xml:space="preserve">T </w:t>
      </w:r>
      <w:r>
        <w:rPr>
          <w:rFonts w:hint="eastAsia" w:ascii="Times New Roman" w:hAnsi="Times New Roman"/>
          <w:color w:val="auto"/>
          <w:kern w:val="0"/>
          <w:szCs w:val="20"/>
        </w:rPr>
        <w:t>——管材壁厚，单位为毫米</w:t>
      </w:r>
      <w:r>
        <w:rPr>
          <w:rFonts w:ascii="Times New Roman" w:hAnsi="Times New Roman"/>
          <w:color w:val="auto"/>
          <w:kern w:val="0"/>
          <w:szCs w:val="20"/>
        </w:rPr>
        <w:t xml:space="preserve">(mm);h </w:t>
      </w:r>
      <w:r>
        <w:rPr>
          <w:rFonts w:hint="eastAsia" w:ascii="Times New Roman" w:hAnsi="Times New Roman"/>
          <w:color w:val="auto"/>
          <w:kern w:val="0"/>
          <w:szCs w:val="20"/>
        </w:rPr>
        <w:t>——孔洞自身高度，单位为毫米</w:t>
      </w:r>
      <w:r>
        <w:rPr>
          <w:rFonts w:ascii="Times New Roman" w:hAnsi="Times New Roman"/>
          <w:color w:val="auto"/>
          <w:kern w:val="0"/>
          <w:szCs w:val="20"/>
        </w:rPr>
        <w:t>(mm)</w:t>
      </w:r>
      <w:r>
        <w:rPr>
          <w:rFonts w:hint="eastAsia" w:ascii="Times New Roman" w:hAnsi="Times New Roman"/>
          <w:color w:val="auto"/>
          <w:kern w:val="0"/>
          <w:szCs w:val="20"/>
        </w:rPr>
        <w:t>。</w:t>
      </w:r>
    </w:p>
    <w:p w14:paraId="0AE0E6F6">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c</w:t>
      </w:r>
      <w:r>
        <w:rPr>
          <w:rFonts w:hint="eastAsia" w:ascii="Times New Roman" w:hAnsi="Times New Roman"/>
          <w:color w:val="auto"/>
          <w:kern w:val="0"/>
          <w:szCs w:val="20"/>
        </w:rPr>
        <w:t>）结构畸变</w:t>
      </w:r>
    </w:p>
    <w:p w14:paraId="12E18CF7">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Cs w:val="20"/>
        </w:rPr>
        <w:t>存在电阻丝错位，错位量不大于电阻丝间距的，评价结果为符合要求；错位量大于电阻丝间距但不大于</w:t>
      </w:r>
      <w:r>
        <w:rPr>
          <w:rFonts w:ascii="Times New Roman" w:hAnsi="Times New Roman"/>
          <w:color w:val="auto"/>
          <w:kern w:val="0"/>
          <w:szCs w:val="20"/>
        </w:rPr>
        <w:t>1.5</w:t>
      </w:r>
      <w:r>
        <w:rPr>
          <w:rFonts w:hint="eastAsia" w:ascii="Times New Roman" w:hAnsi="Times New Roman"/>
          <w:color w:val="auto"/>
          <w:kern w:val="0"/>
          <w:szCs w:val="20"/>
        </w:rPr>
        <w:t>倍电阻丝间距的，评价结果为基本符合要求；相邻电阻丝间存在连贯性孔洞，或相邻电阻丝相互接触，或错位量大于</w:t>
      </w:r>
      <w:r>
        <w:rPr>
          <w:rFonts w:ascii="Times New Roman" w:hAnsi="Times New Roman"/>
          <w:color w:val="auto"/>
          <w:kern w:val="0"/>
          <w:szCs w:val="20"/>
        </w:rPr>
        <w:t>1.5</w:t>
      </w:r>
      <w:r>
        <w:rPr>
          <w:rFonts w:hint="eastAsia" w:ascii="Times New Roman" w:hAnsi="Times New Roman"/>
          <w:color w:val="auto"/>
          <w:kern w:val="0"/>
          <w:szCs w:val="20"/>
        </w:rPr>
        <w:t>倍电阻丝间距的，评价结果为不符合要求。</w:t>
      </w:r>
    </w:p>
    <w:p w14:paraId="26CA02A3">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d</w:t>
      </w:r>
      <w:r>
        <w:rPr>
          <w:rFonts w:hint="eastAsia" w:ascii="Times New Roman" w:hAnsi="Times New Roman"/>
          <w:color w:val="auto"/>
          <w:kern w:val="0"/>
          <w:szCs w:val="20"/>
        </w:rPr>
        <w:t>）冷焊</w:t>
      </w:r>
    </w:p>
    <w:p w14:paraId="491532D5">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Cs w:val="20"/>
        </w:rPr>
        <w:t>在电熔管件的承插端口尺寸和公差满足</w:t>
      </w:r>
      <w:r>
        <w:rPr>
          <w:rFonts w:ascii="Times New Roman" w:hAnsi="Times New Roman"/>
          <w:color w:val="auto"/>
          <w:kern w:val="0"/>
          <w:szCs w:val="20"/>
        </w:rPr>
        <w:t>GB/T 15558</w:t>
      </w:r>
      <w:r>
        <w:rPr>
          <w:rFonts w:hint="eastAsia" w:ascii="Times New Roman" w:hAnsi="Times New Roman"/>
          <w:color w:val="auto"/>
          <w:kern w:val="0"/>
          <w:szCs w:val="20"/>
        </w:rPr>
        <w:t>（所有部分）规定的前提下：冷焊程度</w:t>
      </w:r>
      <w:r>
        <w:rPr>
          <w:rFonts w:ascii="Times New Roman" w:hAnsi="Times New Roman"/>
          <w:color w:val="auto"/>
          <w:kern w:val="0"/>
          <w:szCs w:val="20"/>
        </w:rPr>
        <w:t>H&lt;10%</w:t>
      </w:r>
      <w:r>
        <w:rPr>
          <w:rFonts w:hint="eastAsia" w:ascii="Times New Roman" w:hAnsi="Times New Roman"/>
          <w:color w:val="auto"/>
          <w:kern w:val="0"/>
          <w:szCs w:val="20"/>
        </w:rPr>
        <w:t>的，评价结果为符合要求；冷焊程度</w:t>
      </w:r>
      <w:r>
        <w:rPr>
          <w:rFonts w:ascii="Times New Roman" w:hAnsi="Times New Roman"/>
          <w:color w:val="auto"/>
          <w:kern w:val="0"/>
          <w:szCs w:val="20"/>
        </w:rPr>
        <w:t>10%</w:t>
      </w:r>
      <w:r>
        <w:rPr>
          <w:rFonts w:hint="eastAsia" w:ascii="Times New Roman" w:hAnsi="Times New Roman"/>
          <w:color w:val="auto"/>
          <w:kern w:val="0"/>
          <w:szCs w:val="20"/>
        </w:rPr>
        <w:t>≤</w:t>
      </w:r>
      <w:r>
        <w:rPr>
          <w:rFonts w:ascii="Times New Roman" w:hAnsi="Times New Roman"/>
          <w:color w:val="auto"/>
          <w:kern w:val="0"/>
          <w:szCs w:val="20"/>
        </w:rPr>
        <w:t>H&lt;30%</w:t>
      </w:r>
      <w:r>
        <w:rPr>
          <w:rFonts w:hint="eastAsia" w:ascii="Times New Roman" w:hAnsi="Times New Roman"/>
          <w:color w:val="auto"/>
          <w:kern w:val="0"/>
          <w:szCs w:val="20"/>
        </w:rPr>
        <w:t>的，评价结果为基本符合要求；冷焊程度</w:t>
      </w:r>
      <w:r>
        <w:rPr>
          <w:rFonts w:ascii="Times New Roman" w:hAnsi="Times New Roman"/>
          <w:color w:val="auto"/>
          <w:kern w:val="0"/>
          <w:szCs w:val="20"/>
        </w:rPr>
        <w:t>H</w:t>
      </w:r>
      <w:r>
        <w:rPr>
          <w:rFonts w:hint="eastAsia" w:ascii="Times New Roman" w:hAnsi="Times New Roman"/>
          <w:color w:val="auto"/>
          <w:kern w:val="0"/>
          <w:szCs w:val="20"/>
        </w:rPr>
        <w:t>≥</w:t>
      </w:r>
      <w:r>
        <w:rPr>
          <w:rFonts w:ascii="Times New Roman" w:hAnsi="Times New Roman"/>
          <w:color w:val="auto"/>
          <w:kern w:val="0"/>
          <w:szCs w:val="20"/>
        </w:rPr>
        <w:t>30%</w:t>
      </w:r>
      <w:r>
        <w:rPr>
          <w:rFonts w:hint="eastAsia" w:ascii="Times New Roman" w:hAnsi="Times New Roman"/>
          <w:color w:val="auto"/>
          <w:kern w:val="0"/>
          <w:szCs w:val="20"/>
        </w:rPr>
        <w:t>的，评价结果为不符合要求。</w:t>
      </w:r>
      <w:r>
        <w:rPr>
          <w:rFonts w:ascii="Times New Roman" w:hAnsi="Times New Roman"/>
          <w:color w:val="auto"/>
          <w:kern w:val="0"/>
          <w:szCs w:val="20"/>
        </w:rPr>
        <w:t xml:space="preserve"> </w:t>
      </w:r>
    </w:p>
    <w:p w14:paraId="4EB80F5D">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H</w:t>
      </w:r>
      <w:r>
        <w:rPr>
          <w:rFonts w:hint="eastAsia" w:ascii="Times New Roman" w:hAnsi="Times New Roman"/>
          <w:color w:val="auto"/>
          <w:kern w:val="0"/>
          <w:szCs w:val="20"/>
        </w:rPr>
        <w:t>——接头冷焊表征量。</w:t>
      </w:r>
    </w:p>
    <w:p w14:paraId="6C0D38C3">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e</w:t>
      </w:r>
      <w:r>
        <w:rPr>
          <w:rFonts w:hint="eastAsia" w:ascii="Times New Roman" w:hAnsi="Times New Roman"/>
          <w:color w:val="auto"/>
          <w:kern w:val="0"/>
          <w:szCs w:val="20"/>
        </w:rPr>
        <w:t>）过焊</w:t>
      </w:r>
    </w:p>
    <w:p w14:paraId="0689CE6C">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Cs w:val="20"/>
        </w:rPr>
        <w:t>过焊引起孔洞或电阻丝错位缺陷的，分别按照</w:t>
      </w:r>
      <w:r>
        <w:rPr>
          <w:rFonts w:ascii="Times New Roman" w:hAnsi="Times New Roman"/>
          <w:color w:val="auto"/>
          <w:kern w:val="0"/>
          <w:szCs w:val="20"/>
        </w:rPr>
        <w:t>8.3b</w:t>
      </w:r>
      <w:r>
        <w:rPr>
          <w:rFonts w:hint="eastAsia" w:ascii="Times New Roman" w:hAnsi="Times New Roman"/>
          <w:color w:val="auto"/>
          <w:kern w:val="0"/>
          <w:szCs w:val="20"/>
        </w:rPr>
        <w:t>）和</w:t>
      </w:r>
      <w:r>
        <w:rPr>
          <w:rFonts w:ascii="Times New Roman" w:hAnsi="Times New Roman"/>
          <w:color w:val="auto"/>
          <w:kern w:val="0"/>
          <w:szCs w:val="20"/>
        </w:rPr>
        <w:t>c</w:t>
      </w:r>
      <w:r>
        <w:rPr>
          <w:rFonts w:hint="eastAsia" w:ascii="Times New Roman" w:hAnsi="Times New Roman"/>
          <w:color w:val="auto"/>
          <w:kern w:val="0"/>
          <w:szCs w:val="20"/>
        </w:rPr>
        <w:t>）评定；过焊未引起孔洞或电阻丝错位缺陷的，按过焊程度对过焊进行分级评定，过焊程度</w:t>
      </w:r>
      <w:r>
        <w:rPr>
          <w:rFonts w:ascii="Times New Roman" w:hAnsi="Times New Roman"/>
          <w:color w:val="auto"/>
          <w:kern w:val="0"/>
          <w:szCs w:val="20"/>
        </w:rPr>
        <w:t>H'&lt;20%</w:t>
      </w:r>
      <w:r>
        <w:rPr>
          <w:rFonts w:hint="eastAsia" w:ascii="Times New Roman" w:hAnsi="Times New Roman"/>
          <w:color w:val="auto"/>
          <w:kern w:val="0"/>
          <w:szCs w:val="20"/>
        </w:rPr>
        <w:t>的，评价结果为符合要求；过焊程度</w:t>
      </w:r>
      <w:r>
        <w:rPr>
          <w:rFonts w:ascii="Times New Roman" w:hAnsi="Times New Roman"/>
          <w:color w:val="auto"/>
          <w:kern w:val="0"/>
          <w:szCs w:val="20"/>
        </w:rPr>
        <w:t>20%</w:t>
      </w:r>
      <w:r>
        <w:rPr>
          <w:rFonts w:hint="eastAsia" w:ascii="Times New Roman" w:hAnsi="Times New Roman"/>
          <w:color w:val="auto"/>
          <w:kern w:val="0"/>
          <w:szCs w:val="20"/>
        </w:rPr>
        <w:t>≤</w:t>
      </w:r>
      <w:r>
        <w:rPr>
          <w:rFonts w:ascii="Times New Roman" w:hAnsi="Times New Roman"/>
          <w:color w:val="auto"/>
          <w:kern w:val="0"/>
          <w:szCs w:val="20"/>
        </w:rPr>
        <w:t>H'&lt;40%</w:t>
      </w:r>
      <w:r>
        <w:rPr>
          <w:rFonts w:hint="eastAsia" w:ascii="Times New Roman" w:hAnsi="Times New Roman"/>
          <w:color w:val="auto"/>
          <w:kern w:val="0"/>
          <w:szCs w:val="20"/>
        </w:rPr>
        <w:t>的，评价结果为基本符合要求；过焊程度</w:t>
      </w:r>
      <w:r>
        <w:rPr>
          <w:rFonts w:ascii="Times New Roman" w:hAnsi="Times New Roman"/>
          <w:color w:val="auto"/>
          <w:kern w:val="0"/>
          <w:szCs w:val="20"/>
        </w:rPr>
        <w:t>H'</w:t>
      </w:r>
      <w:r>
        <w:rPr>
          <w:rFonts w:hint="eastAsia" w:ascii="Times New Roman" w:hAnsi="Times New Roman"/>
          <w:color w:val="auto"/>
          <w:kern w:val="0"/>
          <w:szCs w:val="20"/>
        </w:rPr>
        <w:t>≥</w:t>
      </w:r>
      <w:r>
        <w:rPr>
          <w:rFonts w:ascii="Times New Roman" w:hAnsi="Times New Roman"/>
          <w:color w:val="auto"/>
          <w:kern w:val="0"/>
          <w:szCs w:val="20"/>
        </w:rPr>
        <w:t>40%</w:t>
      </w:r>
      <w:r>
        <w:rPr>
          <w:rFonts w:hint="eastAsia" w:ascii="Times New Roman" w:hAnsi="Times New Roman"/>
          <w:color w:val="auto"/>
          <w:kern w:val="0"/>
          <w:szCs w:val="20"/>
        </w:rPr>
        <w:t>的，评价结果为不符合要求。</w:t>
      </w:r>
    </w:p>
    <w:p w14:paraId="6AA825C6">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H'</w:t>
      </w:r>
      <w:r>
        <w:rPr>
          <w:rFonts w:hint="eastAsia" w:ascii="Times New Roman" w:hAnsi="Times New Roman"/>
          <w:color w:val="auto"/>
          <w:kern w:val="0"/>
          <w:szCs w:val="20"/>
        </w:rPr>
        <w:t>——接头过焊表征量。</w:t>
      </w:r>
    </w:p>
    <w:p w14:paraId="6B78E0CA">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f</w:t>
      </w:r>
      <w:r>
        <w:rPr>
          <w:rFonts w:hint="eastAsia" w:ascii="Times New Roman" w:hAnsi="Times New Roman"/>
          <w:color w:val="auto"/>
          <w:kern w:val="0"/>
          <w:szCs w:val="20"/>
        </w:rPr>
        <w:t>）承插不到位</w:t>
      </w:r>
    </w:p>
    <w:p w14:paraId="17203353">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Cs w:val="20"/>
        </w:rPr>
        <w:t>焊接接头承插不到位的，评价结果为不符合要求。</w:t>
      </w:r>
    </w:p>
    <w:p w14:paraId="1A112EF8">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g</w:t>
      </w:r>
      <w:r>
        <w:rPr>
          <w:rFonts w:hint="eastAsia" w:ascii="Times New Roman" w:hAnsi="Times New Roman"/>
          <w:color w:val="auto"/>
          <w:kern w:val="0"/>
          <w:szCs w:val="20"/>
        </w:rPr>
        <w:t>）焊缝过短</w:t>
      </w:r>
    </w:p>
    <w:p w14:paraId="107E49D2">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Cs w:val="20"/>
        </w:rPr>
        <w:t>焊缝过短时，焊接接头的表现形式为卷边过大。卷边宽度</w:t>
      </w:r>
      <w:r>
        <w:rPr>
          <w:rFonts w:ascii="Times New Roman" w:hAnsi="Times New Roman"/>
          <w:color w:val="auto"/>
          <w:kern w:val="0"/>
          <w:szCs w:val="20"/>
        </w:rPr>
        <w:t>B=0.35T</w:t>
      </w:r>
      <w:r>
        <w:rPr>
          <w:rFonts w:hint="eastAsia" w:ascii="Times New Roman" w:hAnsi="Times New Roman"/>
          <w:color w:val="auto"/>
          <w:kern w:val="0"/>
          <w:szCs w:val="20"/>
        </w:rPr>
        <w:t>～</w:t>
      </w:r>
      <w:r>
        <w:rPr>
          <w:rFonts w:ascii="Times New Roman" w:hAnsi="Times New Roman"/>
          <w:color w:val="auto"/>
          <w:kern w:val="0"/>
          <w:szCs w:val="20"/>
        </w:rPr>
        <w:t>0.45T</w:t>
      </w:r>
      <w:r>
        <w:rPr>
          <w:rFonts w:hint="eastAsia" w:ascii="Times New Roman" w:hAnsi="Times New Roman"/>
          <w:color w:val="auto"/>
          <w:kern w:val="0"/>
          <w:szCs w:val="20"/>
        </w:rPr>
        <w:t>且卷边高度</w:t>
      </w:r>
      <w:r>
        <w:rPr>
          <w:rFonts w:ascii="Times New Roman" w:hAnsi="Times New Roman"/>
          <w:color w:val="auto"/>
          <w:kern w:val="0"/>
          <w:szCs w:val="20"/>
        </w:rPr>
        <w:t>L=0.2T</w:t>
      </w:r>
      <w:r>
        <w:rPr>
          <w:rFonts w:hint="eastAsia" w:ascii="Times New Roman" w:hAnsi="Times New Roman"/>
          <w:color w:val="auto"/>
          <w:kern w:val="0"/>
          <w:szCs w:val="20"/>
        </w:rPr>
        <w:t>～</w:t>
      </w:r>
      <w:r>
        <w:rPr>
          <w:rFonts w:ascii="Times New Roman" w:hAnsi="Times New Roman"/>
          <w:color w:val="auto"/>
          <w:kern w:val="0"/>
          <w:szCs w:val="20"/>
        </w:rPr>
        <w:t>0.25T</w:t>
      </w:r>
      <w:r>
        <w:rPr>
          <w:rFonts w:hint="eastAsia" w:ascii="Times New Roman" w:hAnsi="Times New Roman"/>
          <w:color w:val="auto"/>
          <w:kern w:val="0"/>
          <w:szCs w:val="20"/>
        </w:rPr>
        <w:t>的，评价结果为符合要求，否则评价结果为不符合要求；卷边底部若有杂质、小孔、偏移或损坏的，评价结果为不符合要求；卷边有裂缝缺陷的，评价结果为不符合要求。</w:t>
      </w:r>
    </w:p>
    <w:p w14:paraId="6F92596E">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t>T</w:t>
      </w:r>
      <w:r>
        <w:rPr>
          <w:rFonts w:hint="eastAsia" w:ascii="Times New Roman" w:hAnsi="Times New Roman"/>
          <w:color w:val="auto"/>
          <w:kern w:val="0"/>
          <w:szCs w:val="20"/>
        </w:rPr>
        <w:t>——管材壁厚。</w:t>
      </w:r>
    </w:p>
    <w:p w14:paraId="555B9226">
      <w:pPr>
        <w:keepNext/>
        <w:keepLines/>
        <w:adjustRightInd/>
        <w:spacing w:line="360" w:lineRule="auto"/>
        <w:outlineLvl w:val="1"/>
        <w:rPr>
          <w:rFonts w:ascii="Times New Roman" w:hAnsi="Times New Roman"/>
          <w:b w:val="0"/>
          <w:bCs w:val="0"/>
          <w:color w:val="auto"/>
          <w:kern w:val="0"/>
          <w:szCs w:val="20"/>
        </w:rPr>
      </w:pPr>
      <w:r>
        <w:rPr>
          <w:rFonts w:hint="eastAsia" w:ascii="Times New Roman" w:hAnsi="Times New Roman"/>
          <w:color w:val="auto"/>
          <w:kern w:val="0"/>
          <w:szCs w:val="20"/>
        </w:rPr>
        <w:t>7.6.4.3</w:t>
      </w:r>
      <w:r>
        <w:rPr>
          <w:rFonts w:hint="eastAsia" w:ascii="Times New Roman" w:hAnsi="Times New Roman"/>
          <w:b w:val="0"/>
          <w:bCs w:val="0"/>
          <w:color w:val="auto"/>
          <w:kern w:val="0"/>
          <w:szCs w:val="20"/>
        </w:rPr>
        <w:t>材料性能评价</w:t>
      </w:r>
    </w:p>
    <w:p w14:paraId="51E484BB">
      <w:pPr>
        <w:widowControl/>
        <w:numPr>
          <w:ilvl w:val="2"/>
          <w:numId w:val="0"/>
        </w:numPr>
        <w:adjustRightInd/>
        <w:spacing w:line="240" w:lineRule="auto"/>
        <w:ind w:firstLine="420" w:firstLineChars="200"/>
        <w:jc w:val="left"/>
        <w:outlineLvl w:val="3"/>
        <w:rPr>
          <w:rFonts w:ascii="Times New Roman" w:hAnsi="Times New Roman"/>
          <w:color w:val="auto"/>
          <w:kern w:val="0"/>
          <w:szCs w:val="20"/>
        </w:rPr>
      </w:pPr>
      <w:r>
        <w:rPr>
          <w:rFonts w:hint="eastAsia" w:ascii="Times New Roman" w:hAnsi="Times New Roman"/>
          <w:color w:val="auto"/>
          <w:kern w:val="0"/>
          <w:szCs w:val="20"/>
        </w:rPr>
        <w:t>对材料牌号不明、可能发生老化或者使用年限已经达到</w:t>
      </w:r>
      <w:r>
        <w:rPr>
          <w:rFonts w:ascii="Times New Roman" w:hAnsi="Times New Roman"/>
          <w:color w:val="auto"/>
          <w:kern w:val="0"/>
          <w:szCs w:val="20"/>
        </w:rPr>
        <w:t>40</w:t>
      </w:r>
      <w:r>
        <w:rPr>
          <w:rFonts w:hint="eastAsia" w:ascii="Times New Roman" w:hAnsi="Times New Roman"/>
          <w:color w:val="auto"/>
          <w:kern w:val="0"/>
          <w:szCs w:val="20"/>
        </w:rPr>
        <w:t>年的管道，一般应进行材料性能评价。材料性能综合评价项目包括氧化诱导时间、断裂伸长率、静液压强度、耐慢速裂纹增长等。</w:t>
      </w:r>
    </w:p>
    <w:p w14:paraId="7D09F2F0">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Cs w:val="20"/>
        </w:rPr>
        <w:t>材料性能评价一般采用现场取样的方式进行，样品长度应满足制备试样要求，必要时截取的样品应包含焊接接头。</w:t>
      </w:r>
    </w:p>
    <w:p w14:paraId="130D90FF">
      <w:pPr>
        <w:widowControl/>
        <w:numPr>
          <w:ilvl w:val="2"/>
          <w:numId w:val="0"/>
        </w:numPr>
        <w:adjustRightInd/>
        <w:spacing w:line="240" w:lineRule="auto"/>
        <w:ind w:firstLine="420" w:firstLineChars="200"/>
        <w:jc w:val="left"/>
        <w:outlineLvl w:val="3"/>
        <w:rPr>
          <w:rFonts w:ascii="Times New Roman" w:hAnsi="Times New Roman"/>
          <w:color w:val="auto"/>
          <w:kern w:val="0"/>
          <w:szCs w:val="20"/>
        </w:rPr>
      </w:pPr>
      <w:r>
        <w:rPr>
          <w:rFonts w:hint="eastAsia" w:ascii="Times New Roman" w:hAnsi="Times New Roman"/>
          <w:color w:val="auto"/>
          <w:kern w:val="0"/>
          <w:szCs w:val="20"/>
        </w:rPr>
        <w:t>对于材料牌号不明的管材，按照</w:t>
      </w:r>
      <w:r>
        <w:rPr>
          <w:rFonts w:ascii="Times New Roman" w:hAnsi="Times New Roman"/>
          <w:color w:val="auto"/>
          <w:kern w:val="0"/>
          <w:szCs w:val="20"/>
        </w:rPr>
        <w:t>PE80</w:t>
      </w:r>
      <w:r>
        <w:rPr>
          <w:rFonts w:hint="eastAsia" w:ascii="Times New Roman" w:hAnsi="Times New Roman"/>
          <w:color w:val="auto"/>
          <w:kern w:val="0"/>
          <w:szCs w:val="20"/>
        </w:rPr>
        <w:t>材料相应要求进行性能试验。</w:t>
      </w:r>
    </w:p>
    <w:p w14:paraId="2D4AC89C">
      <w:pPr>
        <w:widowControl/>
        <w:numPr>
          <w:ilvl w:val="0"/>
          <w:numId w:val="34"/>
        </w:numPr>
        <w:adjustRightInd/>
        <w:spacing w:line="240" w:lineRule="auto"/>
        <w:ind w:firstLine="420" w:firstLineChars="200"/>
        <w:jc w:val="left"/>
        <w:outlineLvl w:val="3"/>
        <w:rPr>
          <w:rFonts w:ascii="Times New Roman" w:hAnsi="Times New Roman"/>
          <w:color w:val="auto"/>
          <w:kern w:val="0"/>
          <w:szCs w:val="20"/>
        </w:rPr>
      </w:pPr>
      <w:r>
        <w:rPr>
          <w:rFonts w:hint="eastAsia" w:ascii="Times New Roman" w:hAnsi="Times New Roman"/>
          <w:color w:val="auto"/>
          <w:kern w:val="0"/>
          <w:szCs w:val="20"/>
        </w:rPr>
        <w:t>氧化诱导时间按照</w:t>
      </w:r>
      <w:r>
        <w:rPr>
          <w:rFonts w:ascii="Times New Roman" w:hAnsi="Times New Roman"/>
          <w:color w:val="auto"/>
          <w:kern w:val="0"/>
          <w:szCs w:val="20"/>
        </w:rPr>
        <w:t>GB/T19466.6</w:t>
      </w:r>
      <w:r>
        <w:rPr>
          <w:rFonts w:hint="eastAsia" w:ascii="Times New Roman" w:hAnsi="Times New Roman"/>
          <w:color w:val="auto"/>
          <w:kern w:val="0"/>
          <w:szCs w:val="20"/>
        </w:rPr>
        <w:t>进行，试验温度取200℃；</w:t>
      </w:r>
    </w:p>
    <w:p w14:paraId="3C55D9E0">
      <w:pPr>
        <w:widowControl/>
        <w:numPr>
          <w:ilvl w:val="0"/>
          <w:numId w:val="34"/>
        </w:numPr>
        <w:adjustRightInd/>
        <w:spacing w:line="240" w:lineRule="auto"/>
        <w:ind w:firstLine="420" w:firstLineChars="200"/>
        <w:jc w:val="left"/>
        <w:outlineLvl w:val="3"/>
        <w:rPr>
          <w:rFonts w:ascii="Times New Roman" w:hAnsi="Times New Roman"/>
          <w:color w:val="auto"/>
          <w:kern w:val="0"/>
          <w:szCs w:val="20"/>
        </w:rPr>
      </w:pPr>
      <w:r>
        <w:rPr>
          <w:rFonts w:hint="eastAsia" w:ascii="Times New Roman" w:hAnsi="Times New Roman"/>
          <w:color w:val="auto"/>
          <w:kern w:val="0"/>
          <w:szCs w:val="20"/>
        </w:rPr>
        <w:t>断裂伸长率按照</w:t>
      </w:r>
      <w:r>
        <w:rPr>
          <w:rFonts w:ascii="Times New Roman" w:hAnsi="Times New Roman"/>
          <w:color w:val="auto"/>
          <w:kern w:val="0"/>
          <w:szCs w:val="20"/>
        </w:rPr>
        <w:t>GB/T8804.3</w:t>
      </w:r>
      <w:r>
        <w:rPr>
          <w:rFonts w:hint="eastAsia" w:ascii="Times New Roman" w:hAnsi="Times New Roman"/>
          <w:color w:val="auto"/>
          <w:kern w:val="0"/>
          <w:szCs w:val="20"/>
        </w:rPr>
        <w:t>要求进行；</w:t>
      </w:r>
    </w:p>
    <w:p w14:paraId="7BC4093B">
      <w:pPr>
        <w:widowControl/>
        <w:numPr>
          <w:ilvl w:val="0"/>
          <w:numId w:val="34"/>
        </w:numPr>
        <w:adjustRightInd/>
        <w:spacing w:line="240" w:lineRule="auto"/>
        <w:ind w:firstLine="420" w:firstLineChars="200"/>
        <w:jc w:val="left"/>
        <w:outlineLvl w:val="3"/>
        <w:rPr>
          <w:rFonts w:ascii="Times New Roman" w:hAnsi="Times New Roman"/>
          <w:b w:val="0"/>
          <w:bCs w:val="0"/>
          <w:color w:val="auto"/>
          <w:kern w:val="0"/>
          <w:szCs w:val="20"/>
        </w:rPr>
      </w:pPr>
      <w:r>
        <w:rPr>
          <w:rFonts w:hint="eastAsia" w:ascii="Times New Roman" w:hAnsi="Times New Roman"/>
          <w:color w:val="auto"/>
          <w:kern w:val="0"/>
          <w:szCs w:val="20"/>
        </w:rPr>
        <w:t>静液压强度按照</w:t>
      </w:r>
      <w:r>
        <w:rPr>
          <w:rFonts w:ascii="Times New Roman" w:hAnsi="Times New Roman"/>
          <w:color w:val="auto"/>
          <w:kern w:val="0"/>
          <w:szCs w:val="20"/>
        </w:rPr>
        <w:t>GB/T6111</w:t>
      </w:r>
      <w:r>
        <w:rPr>
          <w:rFonts w:hint="eastAsia" w:ascii="Times New Roman" w:hAnsi="Times New Roman"/>
          <w:color w:val="auto"/>
          <w:kern w:val="0"/>
          <w:szCs w:val="20"/>
        </w:rPr>
        <w:t>要求进行，试验温度取80℃，对于</w:t>
      </w:r>
      <w:r>
        <w:rPr>
          <w:rFonts w:ascii="Times New Roman" w:hAnsi="Times New Roman"/>
          <w:color w:val="auto"/>
          <w:kern w:val="0"/>
          <w:szCs w:val="20"/>
        </w:rPr>
        <w:t>PE80</w:t>
      </w:r>
      <w:r>
        <w:rPr>
          <w:rFonts w:hint="eastAsia" w:ascii="Times New Roman" w:hAnsi="Times New Roman"/>
          <w:color w:val="auto"/>
          <w:kern w:val="0"/>
          <w:szCs w:val="20"/>
        </w:rPr>
        <w:t>材质，应使环向应力达到</w:t>
      </w:r>
      <w:r>
        <w:rPr>
          <w:rFonts w:ascii="Times New Roman" w:hAnsi="Times New Roman"/>
          <w:color w:val="auto"/>
          <w:kern w:val="0"/>
          <w:szCs w:val="20"/>
        </w:rPr>
        <w:t>4.5MPa</w:t>
      </w:r>
      <w:r>
        <w:rPr>
          <w:rFonts w:hint="eastAsia" w:ascii="Times New Roman" w:hAnsi="Times New Roman"/>
          <w:color w:val="auto"/>
          <w:kern w:val="0"/>
          <w:szCs w:val="20"/>
        </w:rPr>
        <w:t>，对于</w:t>
      </w:r>
      <w:r>
        <w:rPr>
          <w:rFonts w:ascii="Times New Roman" w:hAnsi="Times New Roman"/>
          <w:color w:val="auto"/>
          <w:kern w:val="0"/>
          <w:szCs w:val="20"/>
        </w:rPr>
        <w:t>PE100</w:t>
      </w:r>
      <w:r>
        <w:rPr>
          <w:rFonts w:hint="eastAsia" w:ascii="Times New Roman" w:hAnsi="Times New Roman"/>
          <w:color w:val="auto"/>
          <w:kern w:val="0"/>
          <w:szCs w:val="20"/>
        </w:rPr>
        <w:t>材质，应使环向应力达到</w:t>
      </w:r>
      <w:r>
        <w:rPr>
          <w:rFonts w:ascii="Times New Roman" w:hAnsi="Times New Roman"/>
          <w:color w:val="auto"/>
          <w:kern w:val="0"/>
          <w:szCs w:val="20"/>
        </w:rPr>
        <w:t>5.4MPa</w:t>
      </w:r>
      <w:r>
        <w:rPr>
          <w:rFonts w:hint="eastAsia" w:ascii="Times New Roman" w:hAnsi="Times New Roman"/>
          <w:color w:val="auto"/>
          <w:kern w:val="0"/>
          <w:szCs w:val="20"/>
        </w:rPr>
        <w:t>。</w:t>
      </w:r>
    </w:p>
    <w:p w14:paraId="18815825">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Cs w:val="20"/>
        </w:rPr>
        <w:t>以上各项材料性能试验结果应达到管材相应标准的规定值，若试验结果符合相应管材标准的要求，评价结果为符合要求，若结果不符合相应管材标准的要求，则材料性能不满足要求，评价结果为不符合要求。</w:t>
      </w:r>
    </w:p>
    <w:p w14:paraId="33C42E2C">
      <w:pPr>
        <w:adjustRightInd/>
        <w:spacing w:line="240" w:lineRule="auto"/>
        <w:ind w:firstLine="420" w:firstLineChars="200"/>
        <w:rPr>
          <w:rFonts w:ascii="Times New Roman" w:hAnsi="Times New Roman"/>
          <w:color w:val="auto"/>
          <w:kern w:val="0"/>
          <w:szCs w:val="20"/>
        </w:rPr>
      </w:pPr>
    </w:p>
    <w:p w14:paraId="223333E5">
      <w:pPr>
        <w:keepNext/>
        <w:keepLines/>
        <w:adjustRightInd/>
        <w:spacing w:line="360" w:lineRule="auto"/>
        <w:outlineLvl w:val="1"/>
        <w:rPr>
          <w:rFonts w:ascii="Times New Roman" w:hAnsi="Times New Roman"/>
          <w:b w:val="0"/>
          <w:bCs w:val="0"/>
          <w:color w:val="auto"/>
          <w:kern w:val="0"/>
          <w:szCs w:val="20"/>
        </w:rPr>
      </w:pPr>
      <w:r>
        <w:rPr>
          <w:rFonts w:hint="eastAsia" w:ascii="Times New Roman" w:hAnsi="Times New Roman"/>
          <w:color w:val="auto"/>
          <w:kern w:val="0"/>
          <w:szCs w:val="20"/>
        </w:rPr>
        <w:t>7.6.4.4</w:t>
      </w:r>
      <w:r>
        <w:rPr>
          <w:rFonts w:hint="eastAsia" w:ascii="Times New Roman" w:hAnsi="Times New Roman"/>
          <w:b w:val="0"/>
          <w:bCs w:val="0"/>
          <w:color w:val="auto"/>
          <w:kern w:val="0"/>
          <w:szCs w:val="20"/>
        </w:rPr>
        <w:t>壁厚减薄评价（强度校核）</w:t>
      </w:r>
    </w:p>
    <w:p w14:paraId="2BD68533">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Cs w:val="20"/>
        </w:rPr>
        <w:t>对于因管道本体存在损伤（如沟槽、划痕等）超出的相应标准要求的最小值，应对壁厚减薄进行综合评价。</w:t>
      </w:r>
    </w:p>
    <w:p w14:paraId="290F3D59">
      <w:pPr>
        <w:adjustRightInd/>
        <w:spacing w:line="240" w:lineRule="auto"/>
        <w:ind w:firstLine="420" w:firstLineChars="200"/>
        <w:jc w:val="center"/>
        <w:rPr>
          <w:rFonts w:ascii="Times New Roman" w:hAnsi="Times New Roman"/>
          <w:color w:val="auto"/>
          <w:kern w:val="0"/>
          <w:szCs w:val="20"/>
        </w:rPr>
      </w:pPr>
      <w:r>
        <w:rPr>
          <w:rFonts w:ascii="Times New Roman" w:hAnsi="Times New Roman"/>
          <w:color w:val="auto"/>
          <w:kern w:val="0"/>
          <w:szCs w:val="20"/>
        </w:rPr>
        <w:object>
          <v:shape id="_x0000_i1025" o:spt="75" type="#_x0000_t75" style="height:33.75pt;width:63pt;" o:ole="t" filled="f" o:preferrelative="t" stroked="f" coordsize="21600,21600">
            <v:path/>
            <v:fill on="f" focussize="0,0"/>
            <v:stroke on="f" joinstyle="miter"/>
            <v:imagedata r:id="rId22" o:title=""/>
            <o:lock v:ext="edit" aspectratio="t"/>
            <w10:wrap type="none"/>
            <w10:anchorlock/>
          </v:shape>
          <o:OLEObject Type="Embed" ProgID="Equation.DSMT4" ShapeID="_x0000_i1025" DrawAspect="Content" ObjectID="_1468075725" r:id="rId21">
            <o:LockedField>false</o:LockedField>
          </o:OLEObject>
        </w:object>
      </w:r>
      <w:r>
        <w:rPr>
          <w:rFonts w:ascii="Times New Roman" w:hAnsi="Times New Roman"/>
          <w:color w:val="auto"/>
          <w:kern w:val="0"/>
          <w:szCs w:val="20"/>
        </w:rPr>
        <w:t xml:space="preserve">       </w:t>
      </w:r>
      <w:r>
        <w:rPr>
          <w:rFonts w:hint="eastAsia" w:ascii="Times New Roman" w:hAnsi="Times New Roman"/>
          <w:color w:val="auto"/>
          <w:kern w:val="0"/>
          <w:szCs w:val="20"/>
        </w:rPr>
        <w:t>………………（</w:t>
      </w:r>
      <w:r>
        <w:rPr>
          <w:rFonts w:ascii="Times New Roman" w:hAnsi="Times New Roman"/>
          <w:color w:val="auto"/>
          <w:kern w:val="0"/>
          <w:szCs w:val="20"/>
        </w:rPr>
        <w:t>1</w:t>
      </w:r>
      <w:r>
        <w:rPr>
          <w:rFonts w:hint="eastAsia" w:ascii="Times New Roman" w:hAnsi="Times New Roman"/>
          <w:color w:val="auto"/>
          <w:kern w:val="0"/>
          <w:szCs w:val="20"/>
        </w:rPr>
        <w:t>）</w:t>
      </w:r>
    </w:p>
    <w:p w14:paraId="217085F8">
      <w:pPr>
        <w:adjustRightInd/>
        <w:spacing w:line="240" w:lineRule="auto"/>
        <w:ind w:firstLine="420" w:firstLineChars="200"/>
        <w:jc w:val="center"/>
        <w:rPr>
          <w:rFonts w:ascii="Times New Roman" w:hAnsi="Times New Roman"/>
          <w:color w:val="auto"/>
          <w:kern w:val="0"/>
          <w:szCs w:val="20"/>
        </w:rPr>
      </w:pPr>
      <w:r>
        <w:rPr>
          <w:rFonts w:ascii="Times New Roman" w:hAnsi="Times New Roman"/>
          <w:color w:val="auto"/>
          <w:kern w:val="0"/>
          <w:szCs w:val="20"/>
        </w:rPr>
        <w:object>
          <v:shape id="_x0000_i1026" o:spt="75" type="#_x0000_t75" style="height:41.25pt;width:99.75pt;" o:ole="t" filled="f" o:preferrelative="t" stroked="f" coordsize="21600,21600">
            <v:path/>
            <v:fill on="f" focussize="0,0"/>
            <v:stroke on="f" joinstyle="miter"/>
            <v:imagedata r:id="rId24" o:title=""/>
            <o:lock v:ext="edit" aspectratio="t"/>
            <w10:wrap type="none"/>
            <w10:anchorlock/>
          </v:shape>
          <o:OLEObject Type="Embed" ProgID="Equation.DSMT4" ShapeID="_x0000_i1026" DrawAspect="Content" ObjectID="_1468075726" r:id="rId23">
            <o:LockedField>false</o:LockedField>
          </o:OLEObject>
        </w:object>
      </w:r>
      <w:r>
        <w:rPr>
          <w:rFonts w:hint="eastAsia" w:ascii="Times New Roman" w:hAnsi="Times New Roman"/>
          <w:color w:val="auto"/>
          <w:kern w:val="0"/>
          <w:szCs w:val="20"/>
        </w:rPr>
        <w:t>………………（</w:t>
      </w:r>
      <w:r>
        <w:rPr>
          <w:rFonts w:ascii="Times New Roman" w:hAnsi="Times New Roman"/>
          <w:color w:val="auto"/>
          <w:kern w:val="0"/>
          <w:szCs w:val="20"/>
        </w:rPr>
        <w:t>2</w:t>
      </w:r>
      <w:r>
        <w:rPr>
          <w:rFonts w:hint="eastAsia" w:ascii="Times New Roman" w:hAnsi="Times New Roman"/>
          <w:color w:val="auto"/>
          <w:kern w:val="0"/>
          <w:szCs w:val="20"/>
        </w:rPr>
        <w:t>）</w:t>
      </w:r>
    </w:p>
    <w:p w14:paraId="51EE4F90">
      <w:pPr>
        <w:adjustRightInd/>
        <w:spacing w:line="240" w:lineRule="auto"/>
        <w:ind w:firstLine="420" w:firstLineChars="200"/>
        <w:jc w:val="center"/>
        <w:rPr>
          <w:rFonts w:ascii="Times New Roman" w:hAnsi="Times New Roman"/>
          <w:color w:val="auto"/>
          <w:kern w:val="0"/>
          <w:szCs w:val="20"/>
        </w:rPr>
      </w:pPr>
      <w:r>
        <w:rPr>
          <w:rFonts w:ascii="Times New Roman" w:hAnsi="Times New Roman"/>
          <w:color w:val="auto"/>
          <w:kern w:val="0"/>
          <w:szCs w:val="20"/>
        </w:rPr>
        <w:object>
          <v:shape id="_x0000_i1027" o:spt="75" type="#_x0000_t75" style="height:30.75pt;width:65.25pt;" o:ole="t" filled="f" o:preferrelative="t" stroked="f" coordsize="21600,21600">
            <v:path/>
            <v:fill on="f" focussize="0,0"/>
            <v:stroke on="f" joinstyle="miter"/>
            <v:imagedata r:id="rId26" o:title=""/>
            <o:lock v:ext="edit" aspectratio="t"/>
            <w10:wrap type="none"/>
            <w10:anchorlock/>
          </v:shape>
          <o:OLEObject Type="Embed" ProgID="Equation.DSMT4" ShapeID="_x0000_i1027" DrawAspect="Content" ObjectID="_1468075727" r:id="rId25">
            <o:LockedField>false</o:LockedField>
          </o:OLEObject>
        </w:object>
      </w:r>
      <w:r>
        <w:rPr>
          <w:rFonts w:ascii="Times New Roman" w:hAnsi="Times New Roman"/>
          <w:color w:val="auto"/>
          <w:kern w:val="0"/>
          <w:szCs w:val="20"/>
        </w:rPr>
        <w:t xml:space="preserve">      </w:t>
      </w:r>
      <w:r>
        <w:rPr>
          <w:rFonts w:hint="eastAsia" w:ascii="Times New Roman" w:hAnsi="Times New Roman"/>
          <w:color w:val="auto"/>
          <w:kern w:val="0"/>
          <w:szCs w:val="20"/>
        </w:rPr>
        <w:t>………………（</w:t>
      </w:r>
      <w:r>
        <w:rPr>
          <w:rFonts w:ascii="Times New Roman" w:hAnsi="Times New Roman"/>
          <w:color w:val="auto"/>
          <w:kern w:val="0"/>
          <w:szCs w:val="20"/>
        </w:rPr>
        <w:t>3</w:t>
      </w:r>
      <w:r>
        <w:rPr>
          <w:rFonts w:hint="eastAsia" w:ascii="Times New Roman" w:hAnsi="Times New Roman"/>
          <w:color w:val="auto"/>
          <w:kern w:val="0"/>
          <w:szCs w:val="20"/>
        </w:rPr>
        <w:t>）</w:t>
      </w:r>
    </w:p>
    <w:p w14:paraId="71E72CD9">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Cs w:val="20"/>
        </w:rPr>
        <w:t>式中：</w:t>
      </w:r>
    </w:p>
    <w:p w14:paraId="6ECE9A1F">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object>
          <v:shape id="_x0000_i1028" o:spt="75" type="#_x0000_t75" style="height:18pt;width:21.75pt;" o:ole="t" filled="f" o:preferrelative="t" stroked="f" coordsize="21600,21600">
            <v:path/>
            <v:fill on="f" focussize="0,0"/>
            <v:stroke on="f" joinstyle="miter"/>
            <v:imagedata r:id="rId28" o:title=""/>
            <o:lock v:ext="edit" aspectratio="t"/>
            <w10:wrap type="none"/>
            <w10:anchorlock/>
          </v:shape>
          <o:OLEObject Type="Embed" ProgID="Equation.DSMT4" ShapeID="_x0000_i1028" DrawAspect="Content" ObjectID="_1468075728" r:id="rId27">
            <o:LockedField>false</o:LockedField>
          </o:OLEObject>
        </w:object>
      </w:r>
      <w:r>
        <w:rPr>
          <w:rFonts w:hint="eastAsia" w:ascii="Times New Roman" w:hAnsi="Times New Roman"/>
          <w:color w:val="auto"/>
          <w:kern w:val="0"/>
          <w:szCs w:val="20"/>
        </w:rPr>
        <w:t>：管道实际运行中可能达到的最大工作压力，</w:t>
      </w:r>
      <w:r>
        <w:rPr>
          <w:rFonts w:ascii="Times New Roman" w:hAnsi="Times New Roman"/>
          <w:color w:val="auto"/>
          <w:kern w:val="0"/>
          <w:szCs w:val="20"/>
        </w:rPr>
        <w:object>
          <v:shape id="_x0000_i1029" o:spt="75" type="#_x0000_t75" style="height:14.25pt;width:27.75pt;" o:ole="t" filled="f" o:preferrelative="t" stroked="f" coordsize="21600,21600">
            <v:path/>
            <v:fill on="f" focussize="0,0"/>
            <v:stroke on="f" joinstyle="miter"/>
            <v:imagedata r:id="rId30" o:title=""/>
            <o:lock v:ext="edit" aspectratio="t"/>
            <w10:wrap type="none"/>
            <w10:anchorlock/>
          </v:shape>
          <o:OLEObject Type="Embed" ProgID="Equation.DSMT4" ShapeID="_x0000_i1029" DrawAspect="Content" ObjectID="_1468075729" r:id="rId29">
            <o:LockedField>false</o:LockedField>
          </o:OLEObject>
        </w:object>
      </w:r>
      <w:r>
        <w:rPr>
          <w:rFonts w:hint="eastAsia" w:ascii="Times New Roman" w:hAnsi="Times New Roman"/>
          <w:color w:val="auto"/>
          <w:kern w:val="0"/>
          <w:szCs w:val="20"/>
        </w:rPr>
        <w:t>；</w:t>
      </w:r>
    </w:p>
    <w:p w14:paraId="3FA2AA3A">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object>
          <v:shape id="_x0000_i1030" o:spt="75" type="#_x0000_t75" style="height:14.25pt;width:30pt;" o:ole="t" filled="f" o:preferrelative="t" stroked="f" coordsize="21600,21600">
            <v:path/>
            <v:fill on="f" focussize="0,0"/>
            <v:stroke on="f" joinstyle="miter"/>
            <v:imagedata r:id="rId32" o:title=""/>
            <o:lock v:ext="edit" aspectratio="t"/>
            <w10:wrap type="none"/>
            <w10:anchorlock/>
          </v:shape>
          <o:OLEObject Type="Embed" ProgID="Equation.DSMT4" ShapeID="_x0000_i1030" DrawAspect="Content" ObjectID="_1468075730" r:id="rId31">
            <o:LockedField>false</o:LockedField>
          </o:OLEObject>
        </w:object>
      </w:r>
      <w:r>
        <w:rPr>
          <w:rFonts w:hint="eastAsia" w:ascii="Times New Roman" w:hAnsi="Times New Roman"/>
          <w:color w:val="auto"/>
          <w:kern w:val="0"/>
          <w:szCs w:val="20"/>
        </w:rPr>
        <w:t>：管道能承受的最大工作压力，</w:t>
      </w:r>
      <w:r>
        <w:rPr>
          <w:rFonts w:ascii="Times New Roman" w:hAnsi="Times New Roman"/>
          <w:color w:val="auto"/>
          <w:kern w:val="0"/>
          <w:szCs w:val="20"/>
        </w:rPr>
        <w:object>
          <v:shape id="_x0000_i1031" o:spt="75" type="#_x0000_t75" style="height:14.25pt;width:27.75pt;" o:ole="t" filled="f" o:preferrelative="t" stroked="f" coordsize="21600,21600">
            <v:path/>
            <v:fill on="f" focussize="0,0"/>
            <v:stroke on="f" joinstyle="miter"/>
            <v:imagedata r:id="rId30" o:title=""/>
            <o:lock v:ext="edit" aspectratio="t"/>
            <w10:wrap type="none"/>
            <w10:anchorlock/>
          </v:shape>
          <o:OLEObject Type="Embed" ProgID="Equation.DSMT4" ShapeID="_x0000_i1031" DrawAspect="Content" ObjectID="_1468075731" r:id="rId33">
            <o:LockedField>false</o:LockedField>
          </o:OLEObject>
        </w:object>
      </w:r>
      <w:r>
        <w:rPr>
          <w:rFonts w:hint="eastAsia" w:ascii="Times New Roman" w:hAnsi="Times New Roman"/>
          <w:color w:val="auto"/>
          <w:kern w:val="0"/>
          <w:szCs w:val="20"/>
        </w:rPr>
        <w:t>；</w:t>
      </w:r>
    </w:p>
    <w:p w14:paraId="5A1F7011">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object>
          <v:shape id="_x0000_i1032" o:spt="75" type="#_x0000_t75" style="height:18pt;width:18pt;" o:ole="t" filled="f" o:preferrelative="t" stroked="f" coordsize="21600,21600">
            <v:path/>
            <v:fill on="f" focussize="0,0"/>
            <v:stroke on="f" joinstyle="miter"/>
            <v:imagedata r:id="rId35" o:title=""/>
            <o:lock v:ext="edit" aspectratio="t"/>
            <w10:wrap type="none"/>
            <w10:anchorlock/>
          </v:shape>
          <o:OLEObject Type="Embed" ProgID="Equation.DSMT4" ShapeID="_x0000_i1032" DrawAspect="Content" ObjectID="_1468075732" r:id="rId34">
            <o:LockedField>false</o:LockedField>
          </o:OLEObject>
        </w:object>
      </w:r>
      <w:r>
        <w:rPr>
          <w:rFonts w:hint="eastAsia" w:ascii="Times New Roman" w:hAnsi="Times New Roman"/>
          <w:color w:val="auto"/>
          <w:kern w:val="0"/>
          <w:szCs w:val="20"/>
        </w:rPr>
        <w:t>：工作温度下的压力折减系数，取值按</w:t>
      </w:r>
      <w:r>
        <w:rPr>
          <w:rFonts w:ascii="Times New Roman" w:hAnsi="Times New Roman"/>
          <w:color w:val="auto"/>
          <w:kern w:val="0"/>
          <w:szCs w:val="20"/>
        </w:rPr>
        <w:t>CJJ63</w:t>
      </w:r>
      <w:r>
        <w:rPr>
          <w:rFonts w:hint="eastAsia" w:ascii="Times New Roman" w:hAnsi="Times New Roman"/>
          <w:color w:val="auto"/>
          <w:kern w:val="0"/>
          <w:szCs w:val="20"/>
        </w:rPr>
        <w:t>中的规定；</w:t>
      </w:r>
    </w:p>
    <w:p w14:paraId="6F46D3E7">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object>
          <v:shape id="_x0000_i1033" o:spt="75" type="#_x0000_t75" style="height:14.25pt;width:12pt;" o:ole="t" filled="f" o:preferrelative="t" stroked="f" coordsize="21600,21600">
            <v:path/>
            <v:fill on="f" focussize="0,0"/>
            <v:stroke on="f" joinstyle="miter"/>
            <v:imagedata r:id="rId37" o:title=""/>
            <o:lock v:ext="edit" aspectratio="t"/>
            <w10:wrap type="none"/>
            <w10:anchorlock/>
          </v:shape>
          <o:OLEObject Type="Embed" ProgID="Equation.DSMT4" ShapeID="_x0000_i1033" DrawAspect="Content" ObjectID="_1468075733" r:id="rId36">
            <o:LockedField>false</o:LockedField>
          </o:OLEObject>
        </w:object>
      </w:r>
      <w:r>
        <w:rPr>
          <w:rFonts w:hint="eastAsia" w:ascii="Times New Roman" w:hAnsi="Times New Roman"/>
          <w:color w:val="auto"/>
          <w:kern w:val="0"/>
          <w:szCs w:val="20"/>
        </w:rPr>
        <w:t>：设计系数，取值按</w:t>
      </w:r>
      <w:r>
        <w:rPr>
          <w:rFonts w:ascii="Times New Roman" w:hAnsi="Times New Roman"/>
          <w:color w:val="auto"/>
          <w:kern w:val="0"/>
          <w:szCs w:val="20"/>
        </w:rPr>
        <w:t>CJJ63</w:t>
      </w:r>
      <w:r>
        <w:rPr>
          <w:rFonts w:hint="eastAsia" w:ascii="Times New Roman" w:hAnsi="Times New Roman"/>
          <w:color w:val="auto"/>
          <w:kern w:val="0"/>
          <w:szCs w:val="20"/>
        </w:rPr>
        <w:t>中的规定；</w:t>
      </w:r>
    </w:p>
    <w:p w14:paraId="3850CBAC">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object>
          <v:shape id="_x0000_i1034" o:spt="75" type="#_x0000_t75" style="height:14.25pt;width:11.25pt;" o:ole="t" filled="f" o:preferrelative="t" stroked="f" coordsize="21600,21600">
            <v:path/>
            <v:fill on="f" focussize="0,0"/>
            <v:stroke on="f" joinstyle="miter"/>
            <v:imagedata r:id="rId39" o:title=""/>
            <o:lock v:ext="edit" aspectratio="t"/>
            <w10:wrap type="none"/>
            <w10:anchorlock/>
          </v:shape>
          <o:OLEObject Type="Embed" ProgID="Equation.DSMT4" ShapeID="_x0000_i1034" DrawAspect="Content" ObjectID="_1468075734" r:id="rId38">
            <o:LockedField>false</o:LockedField>
          </o:OLEObject>
        </w:object>
      </w:r>
      <w:r>
        <w:rPr>
          <w:rFonts w:hint="eastAsia" w:ascii="Times New Roman" w:hAnsi="Times New Roman"/>
          <w:color w:val="auto"/>
          <w:kern w:val="0"/>
          <w:szCs w:val="20"/>
        </w:rPr>
        <w:t>：实测管道的平均外径，</w:t>
      </w:r>
      <w:r>
        <w:rPr>
          <w:rFonts w:ascii="Times New Roman" w:hAnsi="Times New Roman"/>
          <w:color w:val="auto"/>
          <w:kern w:val="0"/>
          <w:szCs w:val="20"/>
        </w:rPr>
        <w:object>
          <v:shape id="_x0000_i1035" o:spt="75" type="#_x0000_t75" style="height:11.25pt;width:21pt;" o:ole="t" filled="f" o:preferrelative="t" stroked="f" coordsize="21600,21600">
            <v:path/>
            <v:fill on="f" focussize="0,0"/>
            <v:stroke on="f" joinstyle="miter"/>
            <v:imagedata r:id="rId41" o:title=""/>
            <o:lock v:ext="edit" aspectratio="t"/>
            <w10:wrap type="none"/>
            <w10:anchorlock/>
          </v:shape>
          <o:OLEObject Type="Embed" ProgID="Equation.DSMT4" ShapeID="_x0000_i1035" DrawAspect="Content" ObjectID="_1468075735" r:id="rId40">
            <o:LockedField>false</o:LockedField>
          </o:OLEObject>
        </w:object>
      </w:r>
      <w:r>
        <w:rPr>
          <w:rFonts w:hint="eastAsia" w:ascii="Times New Roman" w:hAnsi="Times New Roman"/>
          <w:color w:val="auto"/>
          <w:kern w:val="0"/>
          <w:szCs w:val="20"/>
        </w:rPr>
        <w:t>；</w:t>
      </w:r>
    </w:p>
    <w:p w14:paraId="37D8FC36">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object>
          <v:shape id="_x0000_i1036" o:spt="75" type="#_x0000_t75" style="height:11.25pt;width:9pt;" o:ole="t" filled="f" o:preferrelative="t" stroked="f" coordsize="21600,21600">
            <v:path/>
            <v:fill on="f" focussize="0,0"/>
            <v:stroke on="f" joinstyle="miter"/>
            <v:imagedata r:id="rId43" o:title=""/>
            <o:lock v:ext="edit" aspectratio="t"/>
            <w10:wrap type="none"/>
            <w10:anchorlock/>
          </v:shape>
          <o:OLEObject Type="Embed" ProgID="Equation.DSMT4" ShapeID="_x0000_i1036" DrawAspect="Content" ObjectID="_1468075736" r:id="rId42">
            <o:LockedField>false</o:LockedField>
          </o:OLEObject>
        </w:object>
      </w:r>
      <w:r>
        <w:rPr>
          <w:rFonts w:hint="eastAsia" w:ascii="Times New Roman" w:hAnsi="Times New Roman"/>
          <w:color w:val="auto"/>
          <w:kern w:val="0"/>
          <w:szCs w:val="20"/>
        </w:rPr>
        <w:t>：实测管道的有效厚度，即管道缺陷附近的实测厚度减去缺陷深度，</w:t>
      </w:r>
      <w:r>
        <w:rPr>
          <w:rFonts w:ascii="Times New Roman" w:hAnsi="Times New Roman"/>
          <w:color w:val="auto"/>
          <w:kern w:val="0"/>
          <w:szCs w:val="20"/>
        </w:rPr>
        <w:object>
          <v:shape id="_x0000_i1037" o:spt="75" type="#_x0000_t75" style="height:11.25pt;width:21pt;" o:ole="t" filled="f" o:preferrelative="t" stroked="f" coordsize="21600,21600">
            <v:path/>
            <v:fill on="f" focussize="0,0"/>
            <v:stroke on="f" joinstyle="miter"/>
            <v:imagedata r:id="rId45" o:title=""/>
            <o:lock v:ext="edit" aspectratio="t"/>
            <w10:wrap type="none"/>
            <w10:anchorlock/>
          </v:shape>
          <o:OLEObject Type="Embed" ProgID="Equation.DSMT4" ShapeID="_x0000_i1037" DrawAspect="Content" ObjectID="_1468075737" r:id="rId44">
            <o:LockedField>false</o:LockedField>
          </o:OLEObject>
        </w:object>
      </w:r>
      <w:r>
        <w:rPr>
          <w:rFonts w:hint="eastAsia" w:ascii="Times New Roman" w:hAnsi="Times New Roman"/>
          <w:color w:val="auto"/>
          <w:kern w:val="0"/>
          <w:szCs w:val="20"/>
        </w:rPr>
        <w:t>；</w:t>
      </w:r>
    </w:p>
    <w:p w14:paraId="10109F11">
      <w:pPr>
        <w:adjustRightInd/>
        <w:spacing w:line="240" w:lineRule="auto"/>
        <w:ind w:firstLine="420" w:firstLineChars="200"/>
        <w:rPr>
          <w:rFonts w:ascii="Times New Roman" w:hAnsi="Times New Roman"/>
          <w:color w:val="auto"/>
          <w:kern w:val="0"/>
          <w:szCs w:val="20"/>
        </w:rPr>
      </w:pPr>
      <w:r>
        <w:rPr>
          <w:rFonts w:ascii="Times New Roman" w:hAnsi="Times New Roman"/>
          <w:color w:val="auto"/>
          <w:kern w:val="0"/>
          <w:szCs w:val="20"/>
        </w:rPr>
        <w:object>
          <v:shape id="_x0000_i1038" o:spt="75" type="#_x0000_t75" style="height:18pt;width:23.25pt;" o:ole="t" filled="f" o:preferrelative="t" stroked="f" coordsize="21600,21600">
            <v:path/>
            <v:fill on="f" focussize="0,0"/>
            <v:stroke on="f" joinstyle="miter"/>
            <v:imagedata r:id="rId47" o:title=""/>
            <o:lock v:ext="edit" aspectratio="t"/>
            <w10:wrap type="none"/>
            <w10:anchorlock/>
          </v:shape>
          <o:OLEObject Type="Embed" ProgID="Equation.DSMT4" ShapeID="_x0000_i1038" DrawAspect="Content" ObjectID="_1468075738" r:id="rId46">
            <o:LockedField>false</o:LockedField>
          </o:OLEObject>
        </w:object>
      </w:r>
      <w:r>
        <w:rPr>
          <w:rFonts w:hint="eastAsia" w:ascii="Times New Roman" w:hAnsi="Times New Roman"/>
          <w:color w:val="auto"/>
          <w:kern w:val="0"/>
          <w:szCs w:val="20"/>
        </w:rPr>
        <w:t>：耐快速裂纹扩展的临界压力</w:t>
      </w:r>
      <w:r>
        <w:rPr>
          <w:rFonts w:hint="eastAsia" w:ascii="Times New Roman" w:hAnsi="Times New Roman"/>
          <w:color w:val="auto"/>
          <w:kern w:val="0"/>
          <w:szCs w:val="20"/>
        </w:rPr>
        <w:t>（注）</w:t>
      </w:r>
      <w:r>
        <w:rPr>
          <w:rFonts w:hint="eastAsia" w:ascii="Times New Roman" w:hAnsi="Times New Roman"/>
          <w:color w:val="auto"/>
          <w:kern w:val="0"/>
          <w:szCs w:val="20"/>
        </w:rPr>
        <w:t>，</w:t>
      </w:r>
      <w:r>
        <w:rPr>
          <w:rFonts w:ascii="Times New Roman" w:hAnsi="Times New Roman"/>
          <w:color w:val="auto"/>
          <w:kern w:val="0"/>
          <w:szCs w:val="20"/>
        </w:rPr>
        <w:object>
          <v:shape id="_x0000_i1039" o:spt="75" type="#_x0000_t75" style="height:14.25pt;width:27.75pt;" o:ole="t" filled="f" o:preferrelative="t" stroked="f" coordsize="21600,21600">
            <v:path/>
            <v:fill on="f" focussize="0,0"/>
            <v:stroke on="f" joinstyle="miter"/>
            <v:imagedata r:id="rId30" o:title=""/>
            <o:lock v:ext="edit" aspectratio="t"/>
            <w10:wrap type="none"/>
            <w10:anchorlock/>
          </v:shape>
          <o:OLEObject Type="Embed" ProgID="Equation.DSMT4" ShapeID="_x0000_i1039" DrawAspect="Content" ObjectID="_1468075739" r:id="rId48">
            <o:LockedField>false</o:LockedField>
          </o:OLEObject>
        </w:object>
      </w:r>
      <w:r>
        <w:rPr>
          <w:rFonts w:hint="eastAsia" w:ascii="Times New Roman" w:hAnsi="Times New Roman"/>
          <w:color w:val="auto"/>
          <w:kern w:val="0"/>
          <w:szCs w:val="20"/>
        </w:rPr>
        <w:t>。</w:t>
      </w:r>
    </w:p>
    <w:p w14:paraId="7E800CD6">
      <w:pPr>
        <w:adjustRightInd/>
        <w:spacing w:line="240" w:lineRule="auto"/>
        <w:ind w:firstLine="420" w:firstLineChars="200"/>
        <w:rPr>
          <w:rFonts w:ascii="Times New Roman" w:hAnsi="Times New Roman"/>
          <w:color w:val="auto"/>
          <w:kern w:val="0"/>
          <w:szCs w:val="20"/>
        </w:rPr>
      </w:pPr>
      <w:r>
        <w:rPr>
          <w:rFonts w:hint="eastAsia" w:ascii="Times New Roman" w:hAnsi="Times New Roman"/>
          <w:color w:val="auto"/>
          <w:kern w:val="0"/>
          <w:sz w:val="21"/>
          <w:szCs w:val="20"/>
        </w:rPr>
        <w:t>注：此数据一般由管材生产单位提供，若管材生产单位未提供或者管材生产单位不明，或材料牌号不明，可结合</w:t>
      </w:r>
      <w:r>
        <w:rPr>
          <w:rFonts w:ascii="Times New Roman" w:hAnsi="Times New Roman"/>
          <w:color w:val="auto"/>
          <w:kern w:val="0"/>
          <w:sz w:val="21"/>
          <w:szCs w:val="20"/>
        </w:rPr>
        <w:t>8.2</w:t>
      </w:r>
      <w:r>
        <w:rPr>
          <w:rFonts w:hint="eastAsia" w:ascii="Times New Roman" w:hAnsi="Times New Roman"/>
          <w:color w:val="auto"/>
          <w:kern w:val="0"/>
          <w:sz w:val="21"/>
          <w:szCs w:val="20"/>
        </w:rPr>
        <w:t>进行材料性能综合评价，试验标准按照</w:t>
      </w:r>
      <w:r>
        <w:rPr>
          <w:rFonts w:ascii="Times New Roman" w:hAnsi="Times New Roman"/>
          <w:color w:val="auto"/>
          <w:kern w:val="0"/>
          <w:sz w:val="21"/>
          <w:szCs w:val="20"/>
        </w:rPr>
        <w:t>GB/T19280</w:t>
      </w:r>
      <w:r>
        <w:rPr>
          <w:rFonts w:hint="eastAsia" w:ascii="Times New Roman" w:hAnsi="Times New Roman"/>
          <w:color w:val="auto"/>
          <w:kern w:val="0"/>
          <w:sz w:val="21"/>
          <w:szCs w:val="20"/>
        </w:rPr>
        <w:t>，对于材料牌号不明的管材，按照</w:t>
      </w:r>
      <w:r>
        <w:rPr>
          <w:rFonts w:ascii="Times New Roman" w:hAnsi="Times New Roman"/>
          <w:color w:val="auto"/>
          <w:kern w:val="0"/>
          <w:sz w:val="21"/>
          <w:szCs w:val="20"/>
        </w:rPr>
        <w:t>PE80</w:t>
      </w:r>
      <w:r>
        <w:rPr>
          <w:rFonts w:hint="eastAsia" w:ascii="Times New Roman" w:hAnsi="Times New Roman"/>
          <w:color w:val="auto"/>
          <w:kern w:val="0"/>
          <w:sz w:val="21"/>
          <w:szCs w:val="20"/>
        </w:rPr>
        <w:t>材料相应要求进行试验。</w:t>
      </w:r>
    </w:p>
    <w:p w14:paraId="319AE412">
      <w:pPr>
        <w:pStyle w:val="60"/>
        <w:ind w:firstLine="420"/>
        <w:rPr>
          <w:rFonts w:hint="eastAsia" w:ascii="Times New Roman" w:hAnsi="Times New Roman"/>
          <w:color w:val="auto"/>
        </w:rPr>
      </w:pPr>
      <w:r>
        <w:rPr>
          <w:rFonts w:hint="eastAsia" w:ascii="Times New Roman" w:hAnsi="Times New Roman"/>
          <w:color w:val="auto"/>
          <w:kern w:val="0"/>
          <w:szCs w:val="21"/>
        </w:rPr>
        <w:t>若式（</w:t>
      </w:r>
      <w:r>
        <w:rPr>
          <w:rFonts w:ascii="Times New Roman" w:hAnsi="Times New Roman"/>
          <w:color w:val="auto"/>
          <w:kern w:val="0"/>
          <w:szCs w:val="21"/>
        </w:rPr>
        <w:t>2</w:t>
      </w:r>
      <w:r>
        <w:rPr>
          <w:rFonts w:hint="eastAsia" w:ascii="Times New Roman" w:hAnsi="Times New Roman"/>
          <w:color w:val="auto"/>
          <w:kern w:val="0"/>
          <w:szCs w:val="21"/>
        </w:rPr>
        <w:t>）的计算结果同时满足式（</w:t>
      </w:r>
      <w:r>
        <w:rPr>
          <w:rFonts w:ascii="Times New Roman" w:hAnsi="Times New Roman"/>
          <w:color w:val="auto"/>
          <w:kern w:val="0"/>
          <w:szCs w:val="21"/>
        </w:rPr>
        <w:t>1</w:t>
      </w:r>
      <w:r>
        <w:rPr>
          <w:rFonts w:hint="eastAsia" w:ascii="Times New Roman" w:hAnsi="Times New Roman"/>
          <w:color w:val="auto"/>
          <w:kern w:val="0"/>
          <w:szCs w:val="21"/>
        </w:rPr>
        <w:t>）与式（</w:t>
      </w:r>
      <w:r>
        <w:rPr>
          <w:rFonts w:ascii="Times New Roman" w:hAnsi="Times New Roman"/>
          <w:color w:val="auto"/>
          <w:kern w:val="0"/>
          <w:szCs w:val="21"/>
        </w:rPr>
        <w:t>3</w:t>
      </w:r>
      <w:r>
        <w:rPr>
          <w:rFonts w:hint="eastAsia" w:ascii="Times New Roman" w:hAnsi="Times New Roman"/>
          <w:color w:val="auto"/>
          <w:kern w:val="0"/>
          <w:szCs w:val="21"/>
        </w:rPr>
        <w:t>），评价结果为符合要求，否则评价结果为不符合要求。</w:t>
      </w:r>
    </w:p>
    <w:p w14:paraId="69D787E9">
      <w:pPr>
        <w:pStyle w:val="10"/>
        <w:rPr>
          <w:rFonts w:hint="eastAsia" w:ascii="Times New Roman" w:hAnsi="Times New Roman" w:eastAsia="宋体" w:cs="黑体"/>
          <w:color w:val="auto"/>
        </w:rPr>
      </w:pPr>
      <w:r>
        <w:rPr>
          <w:rFonts w:hint="eastAsia" w:ascii="Times New Roman" w:hAnsi="Times New Roman" w:eastAsia="宋体" w:cs="黑体"/>
          <w:color w:val="auto"/>
        </w:rPr>
        <w:t>7.7 检验记录、报告和结论</w:t>
      </w:r>
    </w:p>
    <w:p w14:paraId="128C49D8">
      <w:pPr>
        <w:pStyle w:val="60"/>
        <w:ind w:firstLine="420"/>
        <w:rPr>
          <w:rFonts w:hint="eastAsia" w:ascii="Times New Roman" w:hAnsi="Times New Roman" w:cs="Times New Roman"/>
          <w:color w:val="auto"/>
        </w:rPr>
      </w:pPr>
      <w:r>
        <w:rPr>
          <w:rFonts w:hint="eastAsia" w:ascii="Times New Roman" w:hAnsi="Times New Roman" w:cs="Times New Roman"/>
          <w:color w:val="auto"/>
        </w:rPr>
        <w:t>检验工作结束后，一般应在30个工作日或者约定的期限内出具检验报告，年度检查报告和全面检验报告模板参见附录。定期检验结论报告应有检验、审核、批准三级签字，批准人应当为检验机构的技术负责人或者授权签字人。</w:t>
      </w:r>
    </w:p>
    <w:p w14:paraId="6D078E4E">
      <w:pPr>
        <w:pStyle w:val="60"/>
        <w:ind w:firstLine="420"/>
        <w:rPr>
          <w:rFonts w:hint="eastAsia" w:ascii="Times New Roman" w:hAnsi="Times New Roman" w:cs="Times New Roman"/>
          <w:color w:val="auto"/>
        </w:rPr>
      </w:pPr>
      <w:r>
        <w:rPr>
          <w:rFonts w:hint="eastAsia" w:ascii="Times New Roman" w:hAnsi="Times New Roman" w:cs="Times New Roman"/>
          <w:color w:val="auto"/>
        </w:rPr>
        <w:t>检验人员在全面检验中发现的缺陷和问题，应当及时通知使用单位，对于发现的重大安全隐患，还应当向管道所在地的安全监督管理部门报告。使用单位应当制订修复方案，缺陷的修复应当按照有关要求进行，相关文件记录应当存档，使用单位也可委托有相应资质的单位进行修复或者采取隆压运行的措施。使用单位处理完成后，应由原检验机构确认合格。</w:t>
      </w:r>
    </w:p>
    <w:bookmarkEnd w:id="19"/>
    <w:p w14:paraId="71F74804">
      <w:pPr>
        <w:pStyle w:val="218"/>
        <w:numPr>
          <w:ilvl w:val="4"/>
          <w:numId w:val="0"/>
        </w:numPr>
        <w:rPr>
          <w:rFonts w:ascii="Times New Roman"/>
          <w:color w:val="auto"/>
        </w:rPr>
      </w:pPr>
    </w:p>
    <w:p w14:paraId="64B03C9C">
      <w:pPr>
        <w:pStyle w:val="218"/>
        <w:numPr>
          <w:ilvl w:val="4"/>
          <w:numId w:val="0"/>
        </w:numPr>
        <w:rPr>
          <w:rFonts w:ascii="Times New Roman"/>
          <w:color w:val="auto"/>
        </w:rPr>
      </w:pPr>
    </w:p>
    <w:p w14:paraId="4D160E7B">
      <w:pPr>
        <w:pStyle w:val="218"/>
        <w:numPr>
          <w:ilvl w:val="4"/>
          <w:numId w:val="0"/>
        </w:numPr>
        <w:rPr>
          <w:rFonts w:ascii="Times New Roman"/>
          <w:color w:val="auto"/>
        </w:rPr>
      </w:pPr>
    </w:p>
    <w:p w14:paraId="19351AC3">
      <w:pPr>
        <w:pStyle w:val="218"/>
        <w:numPr>
          <w:ilvl w:val="4"/>
          <w:numId w:val="0"/>
        </w:numPr>
        <w:rPr>
          <w:rFonts w:ascii="Times New Roman"/>
          <w:color w:val="auto"/>
        </w:rPr>
      </w:pPr>
    </w:p>
    <w:p w14:paraId="0D449E50">
      <w:pPr>
        <w:pStyle w:val="218"/>
        <w:numPr>
          <w:ilvl w:val="4"/>
          <w:numId w:val="0"/>
        </w:numPr>
        <w:rPr>
          <w:rFonts w:ascii="Times New Roman"/>
          <w:color w:val="auto"/>
        </w:rPr>
      </w:pPr>
    </w:p>
    <w:p w14:paraId="15785711">
      <w:pPr>
        <w:pStyle w:val="218"/>
        <w:numPr>
          <w:ilvl w:val="4"/>
          <w:numId w:val="0"/>
        </w:numPr>
        <w:rPr>
          <w:rFonts w:ascii="Times New Roman"/>
          <w:color w:val="auto"/>
        </w:rPr>
      </w:pPr>
    </w:p>
    <w:p w14:paraId="1A6669D9">
      <w:pPr>
        <w:pStyle w:val="218"/>
        <w:numPr>
          <w:ilvl w:val="4"/>
          <w:numId w:val="0"/>
        </w:numPr>
        <w:rPr>
          <w:rFonts w:ascii="Times New Roman"/>
          <w:color w:val="auto"/>
        </w:rPr>
      </w:pPr>
    </w:p>
    <w:p w14:paraId="0FAF33D7">
      <w:pPr>
        <w:pStyle w:val="218"/>
        <w:numPr>
          <w:ilvl w:val="4"/>
          <w:numId w:val="0"/>
        </w:numPr>
        <w:rPr>
          <w:rFonts w:ascii="Times New Roman"/>
          <w:color w:val="auto"/>
        </w:rPr>
      </w:pPr>
    </w:p>
    <w:p w14:paraId="3DC3A639">
      <w:pPr>
        <w:pStyle w:val="218"/>
        <w:numPr>
          <w:ilvl w:val="4"/>
          <w:numId w:val="0"/>
        </w:numPr>
        <w:rPr>
          <w:rFonts w:ascii="Times New Roman"/>
          <w:color w:val="auto"/>
        </w:rPr>
      </w:pPr>
    </w:p>
    <w:p w14:paraId="01C89E29">
      <w:pPr>
        <w:pStyle w:val="218"/>
        <w:numPr>
          <w:ilvl w:val="4"/>
          <w:numId w:val="0"/>
        </w:numPr>
        <w:rPr>
          <w:rFonts w:ascii="Times New Roman"/>
          <w:color w:val="auto"/>
        </w:rPr>
      </w:pPr>
    </w:p>
    <w:p w14:paraId="1B186518">
      <w:pPr>
        <w:pStyle w:val="218"/>
        <w:numPr>
          <w:ilvl w:val="4"/>
          <w:numId w:val="0"/>
        </w:numPr>
        <w:rPr>
          <w:rFonts w:ascii="Times New Roman"/>
          <w:color w:val="auto"/>
        </w:rPr>
      </w:pPr>
    </w:p>
    <w:p w14:paraId="74988B14">
      <w:pPr>
        <w:pStyle w:val="218"/>
        <w:numPr>
          <w:ilvl w:val="4"/>
          <w:numId w:val="0"/>
        </w:numPr>
        <w:rPr>
          <w:rFonts w:ascii="Times New Roman"/>
          <w:color w:val="auto"/>
        </w:rPr>
      </w:pPr>
    </w:p>
    <w:p w14:paraId="422362AE">
      <w:pPr>
        <w:pStyle w:val="218"/>
        <w:numPr>
          <w:ilvl w:val="4"/>
          <w:numId w:val="0"/>
        </w:numPr>
        <w:rPr>
          <w:rFonts w:ascii="Times New Roman"/>
          <w:color w:val="auto"/>
        </w:rPr>
      </w:pPr>
    </w:p>
    <w:p w14:paraId="362E1A40">
      <w:pPr>
        <w:pStyle w:val="218"/>
        <w:numPr>
          <w:ilvl w:val="4"/>
          <w:numId w:val="0"/>
        </w:numPr>
        <w:rPr>
          <w:rFonts w:ascii="Times New Roman"/>
          <w:color w:val="auto"/>
        </w:rPr>
      </w:pPr>
    </w:p>
    <w:p w14:paraId="70BA5527">
      <w:pPr>
        <w:pStyle w:val="218"/>
        <w:numPr>
          <w:ilvl w:val="4"/>
          <w:numId w:val="0"/>
        </w:numPr>
        <w:rPr>
          <w:rFonts w:ascii="Times New Roman"/>
          <w:color w:val="auto"/>
        </w:rPr>
      </w:pPr>
    </w:p>
    <w:p w14:paraId="431FCEA6">
      <w:pPr>
        <w:pStyle w:val="218"/>
        <w:numPr>
          <w:ilvl w:val="4"/>
          <w:numId w:val="0"/>
        </w:numPr>
        <w:rPr>
          <w:rFonts w:ascii="Times New Roman"/>
          <w:color w:val="auto"/>
        </w:rPr>
        <w:sectPr>
          <w:headerReference r:id="rId15" w:type="default"/>
          <w:footerReference r:id="rId17" w:type="default"/>
          <w:headerReference r:id="rId16" w:type="even"/>
          <w:footerReference r:id="rId18" w:type="even"/>
          <w:pgSz w:w="11906" w:h="16838"/>
          <w:pgMar w:top="1871" w:right="1134" w:bottom="1134" w:left="1134" w:header="1418" w:footer="1134" w:gutter="284"/>
          <w:pgNumType w:start="1"/>
          <w:cols w:space="425" w:num="1"/>
          <w:formProt w:val="0"/>
          <w:docGrid w:type="lines" w:linePitch="312" w:charSpace="0"/>
        </w:sectPr>
      </w:pPr>
    </w:p>
    <w:p w14:paraId="60F81D88">
      <w:pPr>
        <w:pStyle w:val="27"/>
        <w:rPr>
          <w:rFonts w:ascii="黑体" w:hAnsi="黑体" w:eastAsia="黑体"/>
          <w:b w:val="0"/>
          <w:sz w:val="21"/>
          <w:szCs w:val="21"/>
        </w:rPr>
      </w:pPr>
      <w:r>
        <w:rPr>
          <w:rFonts w:hint="eastAsia" w:ascii="黑体" w:hAnsi="黑体" w:eastAsia="黑体"/>
          <w:b w:val="0"/>
          <w:sz w:val="21"/>
          <w:szCs w:val="21"/>
        </w:rPr>
        <w:t>附 录 A</w:t>
      </w:r>
    </w:p>
    <w:p w14:paraId="2E9CB3EF">
      <w:pPr>
        <w:pStyle w:val="166"/>
        <w:numPr>
          <w:ilvl w:val="0"/>
          <w:numId w:val="0"/>
        </w:numPr>
        <w:spacing w:before="156" w:beforeLines="50" w:after="156" w:afterLines="50"/>
        <w:jc w:val="center"/>
        <w:rPr>
          <w:rFonts w:ascii="黑体" w:hAnsi="黑体" w:eastAsia="黑体"/>
        </w:rPr>
      </w:pPr>
      <w:r>
        <w:rPr>
          <w:rFonts w:hint="eastAsia" w:ascii="黑体" w:hAnsi="黑体" w:eastAsia="黑体"/>
        </w:rPr>
        <w:t>（</w:t>
      </w:r>
      <w:r>
        <w:rPr>
          <w:rFonts w:hint="eastAsia" w:ascii="黑体" w:hAnsi="黑体" w:eastAsia="黑体"/>
          <w:lang w:val="en-US" w:eastAsia="zh-CN"/>
        </w:rPr>
        <w:t>资料</w:t>
      </w:r>
      <w:r>
        <w:rPr>
          <w:rFonts w:hint="eastAsia" w:ascii="黑体" w:hAnsi="黑体" w:eastAsia="黑体"/>
        </w:rPr>
        <w:t>性）</w:t>
      </w:r>
    </w:p>
    <w:p w14:paraId="4CA8D56E">
      <w:pPr>
        <w:pStyle w:val="166"/>
        <w:numPr>
          <w:ilvl w:val="0"/>
          <w:numId w:val="0"/>
        </w:numPr>
        <w:spacing w:before="156" w:beforeLines="50" w:after="156" w:afterLines="50"/>
        <w:jc w:val="center"/>
        <w:rPr>
          <w:rFonts w:ascii="黑体" w:hAnsi="黑体" w:eastAsia="黑体"/>
        </w:rPr>
      </w:pPr>
      <w:r>
        <w:rPr>
          <w:rFonts w:hint="eastAsia" w:ascii="黑体" w:hAnsi="黑体" w:eastAsia="黑体"/>
        </w:rPr>
        <w:t>T</w:t>
      </w:r>
      <w:r>
        <w:rPr>
          <w:rFonts w:ascii="黑体" w:hAnsi="黑体" w:eastAsia="黑体"/>
        </w:rPr>
        <w:t>OFD</w:t>
      </w:r>
      <w:r>
        <w:rPr>
          <w:rFonts w:hint="eastAsia" w:ascii="黑体" w:hAnsi="黑体" w:eastAsia="黑体"/>
        </w:rPr>
        <w:t>检测仪器和探头性能指标要求</w:t>
      </w:r>
    </w:p>
    <w:p w14:paraId="05D99CBB">
      <w:pPr>
        <w:spacing w:before="156" w:beforeLines="50" w:after="156" w:afterLines="50" w:line="240" w:lineRule="auto"/>
        <w:rPr>
          <w:rFonts w:ascii="黑体" w:hAnsi="黑体" w:eastAsia="黑体"/>
        </w:rPr>
      </w:pPr>
      <w:r>
        <w:rPr>
          <w:rFonts w:hint="eastAsia" w:ascii="黑体" w:hAnsi="黑体" w:eastAsia="黑体"/>
        </w:rPr>
        <w:t>A</w:t>
      </w:r>
      <w:r>
        <w:rPr>
          <w:rFonts w:ascii="黑体" w:hAnsi="黑体" w:eastAsia="黑体"/>
        </w:rPr>
        <w:t xml:space="preserve">.1 </w:t>
      </w:r>
      <w:r>
        <w:rPr>
          <w:rFonts w:hint="eastAsia" w:ascii="黑体" w:hAnsi="黑体" w:eastAsia="黑体"/>
        </w:rPr>
        <w:t>检测仪器性能指标要求（见表A.1）</w:t>
      </w:r>
    </w:p>
    <w:p w14:paraId="264FAA89">
      <w:pPr>
        <w:pStyle w:val="13"/>
        <w:spacing w:before="156" w:beforeLines="50" w:after="156" w:afterLines="50" w:line="240" w:lineRule="auto"/>
        <w:jc w:val="center"/>
      </w:pPr>
      <w:r>
        <w:rPr>
          <w:rFonts w:hint="eastAsia"/>
        </w:rPr>
        <w:t>表A.1 TOFD检测仪性能指标要求</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25"/>
        <w:gridCol w:w="896"/>
        <w:gridCol w:w="7088"/>
      </w:tblGrid>
      <w:tr w14:paraId="4D4B6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9" w:type="dxa"/>
            <w:vAlign w:val="center"/>
          </w:tcPr>
          <w:p w14:paraId="694D79C8">
            <w:pPr>
              <w:pStyle w:val="244"/>
              <w:jc w:val="center"/>
              <w:rPr>
                <w:b/>
              </w:rPr>
            </w:pPr>
            <w:r>
              <w:rPr>
                <w:rFonts w:hint="eastAsia"/>
                <w:b/>
              </w:rPr>
              <w:t>序号</w:t>
            </w:r>
          </w:p>
        </w:tc>
        <w:tc>
          <w:tcPr>
            <w:tcW w:w="1321" w:type="dxa"/>
            <w:gridSpan w:val="2"/>
            <w:vAlign w:val="center"/>
          </w:tcPr>
          <w:p w14:paraId="446D5B57">
            <w:pPr>
              <w:pStyle w:val="244"/>
              <w:jc w:val="center"/>
              <w:rPr>
                <w:b/>
              </w:rPr>
            </w:pPr>
            <w:r>
              <w:rPr>
                <w:rFonts w:hint="eastAsia"/>
                <w:b/>
              </w:rPr>
              <w:t>项目</w:t>
            </w:r>
          </w:p>
        </w:tc>
        <w:tc>
          <w:tcPr>
            <w:tcW w:w="7088" w:type="dxa"/>
            <w:vAlign w:val="center"/>
          </w:tcPr>
          <w:p w14:paraId="7ECE95E0">
            <w:pPr>
              <w:pStyle w:val="244"/>
              <w:jc w:val="center"/>
              <w:rPr>
                <w:b/>
              </w:rPr>
            </w:pPr>
            <w:r>
              <w:rPr>
                <w:rFonts w:hint="eastAsia"/>
                <w:b/>
              </w:rPr>
              <w:t>技术要求</w:t>
            </w:r>
          </w:p>
        </w:tc>
      </w:tr>
      <w:tr w14:paraId="187B2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restart"/>
            <w:vAlign w:val="center"/>
          </w:tcPr>
          <w:p w14:paraId="5C7BA2A0">
            <w:pPr>
              <w:pStyle w:val="244"/>
              <w:jc w:val="center"/>
            </w:pPr>
            <w:r>
              <w:rPr>
                <w:rFonts w:hint="eastAsia"/>
              </w:rPr>
              <w:t>1</w:t>
            </w:r>
          </w:p>
        </w:tc>
        <w:tc>
          <w:tcPr>
            <w:tcW w:w="425" w:type="dxa"/>
            <w:vMerge w:val="restart"/>
            <w:vAlign w:val="center"/>
          </w:tcPr>
          <w:p w14:paraId="620140C9">
            <w:pPr>
              <w:pStyle w:val="244"/>
              <w:jc w:val="center"/>
            </w:pPr>
            <w:r>
              <w:rPr>
                <w:rFonts w:hint="eastAsia"/>
              </w:rPr>
              <w:t>电气性能要求</w:t>
            </w:r>
          </w:p>
        </w:tc>
        <w:tc>
          <w:tcPr>
            <w:tcW w:w="896" w:type="dxa"/>
            <w:vMerge w:val="restart"/>
            <w:vAlign w:val="center"/>
          </w:tcPr>
          <w:p w14:paraId="4959D9B2">
            <w:pPr>
              <w:pStyle w:val="244"/>
              <w:jc w:val="center"/>
            </w:pPr>
            <w:r>
              <w:rPr>
                <w:rFonts w:hint="eastAsia"/>
              </w:rPr>
              <w:t>（1）发射性能参数</w:t>
            </w:r>
          </w:p>
        </w:tc>
        <w:tc>
          <w:tcPr>
            <w:tcW w:w="7088" w:type="dxa"/>
            <w:vAlign w:val="center"/>
          </w:tcPr>
          <w:p w14:paraId="23C184B3">
            <w:pPr>
              <w:pStyle w:val="244"/>
            </w:pPr>
            <w:r>
              <w:rPr>
                <w:rFonts w:hint="eastAsia"/>
              </w:rPr>
              <w:t>激发电脉冲可以是单极性或双极性的，应为方波</w:t>
            </w:r>
          </w:p>
        </w:tc>
      </w:tr>
      <w:tr w14:paraId="5BC8F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03B87D58">
            <w:pPr>
              <w:pStyle w:val="244"/>
              <w:jc w:val="center"/>
            </w:pPr>
          </w:p>
        </w:tc>
        <w:tc>
          <w:tcPr>
            <w:tcW w:w="425" w:type="dxa"/>
            <w:vMerge w:val="continue"/>
            <w:vAlign w:val="center"/>
          </w:tcPr>
          <w:p w14:paraId="5CEEFA9A">
            <w:pPr>
              <w:pStyle w:val="244"/>
              <w:jc w:val="center"/>
            </w:pPr>
          </w:p>
        </w:tc>
        <w:tc>
          <w:tcPr>
            <w:tcW w:w="896" w:type="dxa"/>
            <w:vMerge w:val="continue"/>
            <w:vAlign w:val="center"/>
          </w:tcPr>
          <w:p w14:paraId="0582BB9C">
            <w:pPr>
              <w:pStyle w:val="244"/>
              <w:jc w:val="center"/>
            </w:pPr>
          </w:p>
        </w:tc>
        <w:tc>
          <w:tcPr>
            <w:tcW w:w="7088" w:type="dxa"/>
            <w:vAlign w:val="center"/>
          </w:tcPr>
          <w:p w14:paraId="61B344BF">
            <w:pPr>
              <w:pStyle w:val="244"/>
            </w:pPr>
            <w:r>
              <w:rPr>
                <w:rFonts w:hint="eastAsia"/>
              </w:rPr>
              <w:t>仪器每个通道的发射脉冲上升时间（即脉冲前沿幅度从脉冲峰值的10%~90%的上升时间）应小于25ns</w:t>
            </w:r>
          </w:p>
        </w:tc>
      </w:tr>
      <w:tr w14:paraId="238F2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5B9DC13F">
            <w:pPr>
              <w:pStyle w:val="244"/>
              <w:jc w:val="center"/>
            </w:pPr>
          </w:p>
        </w:tc>
        <w:tc>
          <w:tcPr>
            <w:tcW w:w="425" w:type="dxa"/>
            <w:vMerge w:val="continue"/>
            <w:vAlign w:val="center"/>
          </w:tcPr>
          <w:p w14:paraId="22B038E2">
            <w:pPr>
              <w:pStyle w:val="244"/>
              <w:jc w:val="center"/>
            </w:pPr>
          </w:p>
        </w:tc>
        <w:tc>
          <w:tcPr>
            <w:tcW w:w="896" w:type="dxa"/>
            <w:vMerge w:val="continue"/>
            <w:vAlign w:val="center"/>
          </w:tcPr>
          <w:p w14:paraId="03280DB9">
            <w:pPr>
              <w:pStyle w:val="244"/>
              <w:jc w:val="center"/>
            </w:pPr>
          </w:p>
        </w:tc>
        <w:tc>
          <w:tcPr>
            <w:tcW w:w="7088" w:type="dxa"/>
            <w:vAlign w:val="center"/>
          </w:tcPr>
          <w:p w14:paraId="2F72DFB5">
            <w:pPr>
              <w:pStyle w:val="244"/>
            </w:pPr>
            <w:r>
              <w:rPr>
                <w:rFonts w:hint="eastAsia"/>
              </w:rPr>
              <w:t>仪器每个通道的发射脉冲电压幅值应可调，最大值应不小于200V（特殊情况下达不到的，至少应不小于100V且提供仪器具有相当检测能力的证明文件），发射脉冲电压的实测值与设定值（带负载50</w:t>
            </w:r>
            <w:r>
              <w:rPr>
                <w:rFonts w:cs="Times New Roman"/>
              </w:rPr>
              <w:t>Ω</w:t>
            </w:r>
            <w:r>
              <w:rPr>
                <w:rFonts w:hint="eastAsia"/>
              </w:rPr>
              <w:t>）之间的偏差不大于设定值的20%。</w:t>
            </w:r>
          </w:p>
        </w:tc>
      </w:tr>
      <w:tr w14:paraId="319F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6F47D2D6">
            <w:pPr>
              <w:pStyle w:val="244"/>
              <w:jc w:val="center"/>
            </w:pPr>
          </w:p>
        </w:tc>
        <w:tc>
          <w:tcPr>
            <w:tcW w:w="425" w:type="dxa"/>
            <w:vMerge w:val="continue"/>
            <w:vAlign w:val="center"/>
          </w:tcPr>
          <w:p w14:paraId="300EC284">
            <w:pPr>
              <w:pStyle w:val="244"/>
              <w:jc w:val="center"/>
            </w:pPr>
          </w:p>
        </w:tc>
        <w:tc>
          <w:tcPr>
            <w:tcW w:w="896" w:type="dxa"/>
            <w:vMerge w:val="continue"/>
            <w:vAlign w:val="center"/>
          </w:tcPr>
          <w:p w14:paraId="557C592A">
            <w:pPr>
              <w:pStyle w:val="244"/>
              <w:jc w:val="center"/>
            </w:pPr>
          </w:p>
        </w:tc>
        <w:tc>
          <w:tcPr>
            <w:tcW w:w="7088" w:type="dxa"/>
            <w:vAlign w:val="center"/>
          </w:tcPr>
          <w:p w14:paraId="05F79E8D">
            <w:pPr>
              <w:pStyle w:val="244"/>
            </w:pPr>
            <w:r>
              <w:rPr>
                <w:rFonts w:hint="eastAsia"/>
              </w:rPr>
              <w:t>仪器每个通道的发射脉冲宽度范围应至少包括50ns~500ns且可调，步进小于或等于10ns，发射脉冲宽度的实测值与设定值之间的偏差不大于设定值的10%</w:t>
            </w:r>
          </w:p>
        </w:tc>
      </w:tr>
      <w:tr w14:paraId="05E0B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4EF4D512">
            <w:pPr>
              <w:pStyle w:val="244"/>
              <w:jc w:val="center"/>
            </w:pPr>
          </w:p>
        </w:tc>
        <w:tc>
          <w:tcPr>
            <w:tcW w:w="425" w:type="dxa"/>
            <w:vMerge w:val="continue"/>
            <w:vAlign w:val="center"/>
          </w:tcPr>
          <w:p w14:paraId="2D32687D">
            <w:pPr>
              <w:pStyle w:val="244"/>
              <w:jc w:val="center"/>
            </w:pPr>
          </w:p>
        </w:tc>
        <w:tc>
          <w:tcPr>
            <w:tcW w:w="896" w:type="dxa"/>
            <w:vMerge w:val="continue"/>
            <w:vAlign w:val="center"/>
          </w:tcPr>
          <w:p w14:paraId="3B394EDA">
            <w:pPr>
              <w:pStyle w:val="244"/>
              <w:jc w:val="center"/>
            </w:pPr>
          </w:p>
        </w:tc>
        <w:tc>
          <w:tcPr>
            <w:tcW w:w="7088" w:type="dxa"/>
            <w:vAlign w:val="center"/>
          </w:tcPr>
          <w:p w14:paraId="6A4551AC">
            <w:pPr>
              <w:pStyle w:val="244"/>
            </w:pPr>
            <w:r>
              <w:rPr>
                <w:rFonts w:hint="eastAsia"/>
              </w:rPr>
              <w:t>仪器每个通道的发射脉冲重复频率应可调，最大值应能达到500Hz及以上，发射脉冲重复频率的实测值与设定值之间的偏差不大于设定值的10%</w:t>
            </w:r>
          </w:p>
        </w:tc>
      </w:tr>
      <w:tr w14:paraId="1E91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6E1BECE9">
            <w:pPr>
              <w:pStyle w:val="244"/>
              <w:jc w:val="center"/>
            </w:pPr>
          </w:p>
        </w:tc>
        <w:tc>
          <w:tcPr>
            <w:tcW w:w="425" w:type="dxa"/>
            <w:vMerge w:val="continue"/>
            <w:vAlign w:val="center"/>
          </w:tcPr>
          <w:p w14:paraId="622DF09F">
            <w:pPr>
              <w:pStyle w:val="244"/>
              <w:jc w:val="center"/>
            </w:pPr>
          </w:p>
        </w:tc>
        <w:tc>
          <w:tcPr>
            <w:tcW w:w="896" w:type="dxa"/>
            <w:vMerge w:val="restart"/>
            <w:vAlign w:val="center"/>
          </w:tcPr>
          <w:p w14:paraId="54D743F3">
            <w:pPr>
              <w:pStyle w:val="244"/>
              <w:jc w:val="center"/>
            </w:pPr>
            <w:r>
              <w:rPr>
                <w:rFonts w:hint="eastAsia"/>
              </w:rPr>
              <w:t>（2）接受性能要求</w:t>
            </w:r>
          </w:p>
        </w:tc>
        <w:tc>
          <w:tcPr>
            <w:tcW w:w="7088" w:type="dxa"/>
            <w:vAlign w:val="center"/>
          </w:tcPr>
          <w:p w14:paraId="2FB9C7AE">
            <w:pPr>
              <w:pStyle w:val="244"/>
            </w:pPr>
            <w:r>
              <w:rPr>
                <w:rFonts w:hint="eastAsia"/>
              </w:rPr>
              <w:t>接收放大电路频带范围按-3dB测量，应至少包括0.6MHz~15MHz</w:t>
            </w:r>
          </w:p>
        </w:tc>
      </w:tr>
      <w:tr w14:paraId="74F8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6E8A30D2">
            <w:pPr>
              <w:pStyle w:val="244"/>
              <w:jc w:val="center"/>
            </w:pPr>
          </w:p>
        </w:tc>
        <w:tc>
          <w:tcPr>
            <w:tcW w:w="425" w:type="dxa"/>
            <w:vMerge w:val="continue"/>
            <w:vAlign w:val="center"/>
          </w:tcPr>
          <w:p w14:paraId="365768BB">
            <w:pPr>
              <w:pStyle w:val="244"/>
              <w:jc w:val="center"/>
            </w:pPr>
          </w:p>
        </w:tc>
        <w:tc>
          <w:tcPr>
            <w:tcW w:w="896" w:type="dxa"/>
            <w:vMerge w:val="continue"/>
            <w:vAlign w:val="center"/>
          </w:tcPr>
          <w:p w14:paraId="4C62BADB">
            <w:pPr>
              <w:pStyle w:val="244"/>
              <w:jc w:val="center"/>
            </w:pPr>
          </w:p>
        </w:tc>
        <w:tc>
          <w:tcPr>
            <w:tcW w:w="7088" w:type="dxa"/>
            <w:vAlign w:val="center"/>
          </w:tcPr>
          <w:p w14:paraId="38DA3073">
            <w:pPr>
              <w:pStyle w:val="244"/>
            </w:pPr>
            <w:r>
              <w:rPr>
                <w:rFonts w:hint="eastAsia"/>
              </w:rPr>
              <w:t>数字采样频率至少60MHz</w:t>
            </w:r>
          </w:p>
        </w:tc>
      </w:tr>
      <w:tr w14:paraId="48391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09" w:type="dxa"/>
            <w:vMerge w:val="continue"/>
            <w:vAlign w:val="center"/>
          </w:tcPr>
          <w:p w14:paraId="42BD3DB9">
            <w:pPr>
              <w:pStyle w:val="244"/>
              <w:jc w:val="center"/>
            </w:pPr>
          </w:p>
        </w:tc>
        <w:tc>
          <w:tcPr>
            <w:tcW w:w="425" w:type="dxa"/>
            <w:vMerge w:val="continue"/>
            <w:vAlign w:val="center"/>
          </w:tcPr>
          <w:p w14:paraId="023BEDF8">
            <w:pPr>
              <w:pStyle w:val="244"/>
              <w:jc w:val="center"/>
            </w:pPr>
          </w:p>
        </w:tc>
        <w:tc>
          <w:tcPr>
            <w:tcW w:w="896" w:type="dxa"/>
            <w:vMerge w:val="continue"/>
            <w:vAlign w:val="center"/>
          </w:tcPr>
          <w:p w14:paraId="7CCDFE24">
            <w:pPr>
              <w:pStyle w:val="244"/>
              <w:jc w:val="center"/>
            </w:pPr>
          </w:p>
        </w:tc>
        <w:tc>
          <w:tcPr>
            <w:tcW w:w="7088" w:type="dxa"/>
            <w:vAlign w:val="center"/>
          </w:tcPr>
          <w:p w14:paraId="123A28B8">
            <w:pPr>
              <w:pStyle w:val="244"/>
            </w:pPr>
            <w:r>
              <w:rPr>
                <w:rFonts w:hint="eastAsia"/>
              </w:rPr>
              <w:t>仪器实测净增益应不小于75dB</w:t>
            </w:r>
          </w:p>
        </w:tc>
      </w:tr>
      <w:tr w14:paraId="7F1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0B4445BC">
            <w:pPr>
              <w:pStyle w:val="244"/>
              <w:jc w:val="center"/>
            </w:pPr>
          </w:p>
        </w:tc>
        <w:tc>
          <w:tcPr>
            <w:tcW w:w="425" w:type="dxa"/>
            <w:vMerge w:val="continue"/>
            <w:vAlign w:val="center"/>
          </w:tcPr>
          <w:p w14:paraId="2AE9FD1B">
            <w:pPr>
              <w:pStyle w:val="244"/>
              <w:jc w:val="center"/>
            </w:pPr>
          </w:p>
        </w:tc>
        <w:tc>
          <w:tcPr>
            <w:tcW w:w="7984" w:type="dxa"/>
            <w:gridSpan w:val="2"/>
            <w:vAlign w:val="center"/>
          </w:tcPr>
          <w:p w14:paraId="0BF7EF76">
            <w:pPr>
              <w:pStyle w:val="244"/>
            </w:pPr>
            <w:r>
              <w:rPr>
                <w:rFonts w:hint="eastAsia"/>
              </w:rPr>
              <w:t>（3）其他电气性能应满足NB/T47013.3《承压无损检测第3部分：超声检测》附录A的要求</w:t>
            </w:r>
          </w:p>
        </w:tc>
      </w:tr>
      <w:tr w14:paraId="3FA2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restart"/>
            <w:vAlign w:val="center"/>
          </w:tcPr>
          <w:p w14:paraId="1469A91B">
            <w:pPr>
              <w:pStyle w:val="244"/>
              <w:jc w:val="center"/>
            </w:pPr>
            <w:r>
              <w:rPr>
                <w:rFonts w:hint="eastAsia"/>
              </w:rPr>
              <w:t>2</w:t>
            </w:r>
          </w:p>
        </w:tc>
        <w:tc>
          <w:tcPr>
            <w:tcW w:w="425" w:type="dxa"/>
            <w:vMerge w:val="restart"/>
            <w:vAlign w:val="center"/>
          </w:tcPr>
          <w:p w14:paraId="641EE2CB">
            <w:pPr>
              <w:pStyle w:val="244"/>
              <w:jc w:val="center"/>
            </w:pPr>
            <w:r>
              <w:rPr>
                <w:rFonts w:hint="eastAsia"/>
              </w:rPr>
              <w:t>功能要求</w:t>
            </w:r>
          </w:p>
        </w:tc>
        <w:tc>
          <w:tcPr>
            <w:tcW w:w="896" w:type="dxa"/>
            <w:vMerge w:val="restart"/>
            <w:vAlign w:val="center"/>
          </w:tcPr>
          <w:p w14:paraId="38D67F24">
            <w:pPr>
              <w:pStyle w:val="244"/>
              <w:jc w:val="center"/>
            </w:pPr>
            <w:r>
              <w:rPr>
                <w:rFonts w:hint="eastAsia"/>
              </w:rPr>
              <w:t>（1）显示功能</w:t>
            </w:r>
          </w:p>
        </w:tc>
        <w:tc>
          <w:tcPr>
            <w:tcW w:w="7088" w:type="dxa"/>
            <w:vAlign w:val="center"/>
          </w:tcPr>
          <w:p w14:paraId="0B50CD5C">
            <w:pPr>
              <w:pStyle w:val="244"/>
            </w:pPr>
            <w:r>
              <w:rPr>
                <w:rFonts w:hint="eastAsia"/>
              </w:rPr>
              <w:t>仪器每个通道检测显示应至少包括A扫描信号和TOFD图像，且A扫描信号使用射频波形式</w:t>
            </w:r>
          </w:p>
        </w:tc>
      </w:tr>
      <w:tr w14:paraId="4C61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409141EA">
            <w:pPr>
              <w:pStyle w:val="244"/>
              <w:jc w:val="center"/>
            </w:pPr>
          </w:p>
        </w:tc>
        <w:tc>
          <w:tcPr>
            <w:tcW w:w="425" w:type="dxa"/>
            <w:vMerge w:val="continue"/>
            <w:vAlign w:val="center"/>
          </w:tcPr>
          <w:p w14:paraId="21CF1AA9">
            <w:pPr>
              <w:pStyle w:val="244"/>
              <w:jc w:val="center"/>
            </w:pPr>
          </w:p>
        </w:tc>
        <w:tc>
          <w:tcPr>
            <w:tcW w:w="896" w:type="dxa"/>
            <w:vMerge w:val="continue"/>
            <w:vAlign w:val="center"/>
          </w:tcPr>
          <w:p w14:paraId="30F5307A">
            <w:pPr>
              <w:pStyle w:val="244"/>
              <w:jc w:val="center"/>
            </w:pPr>
          </w:p>
        </w:tc>
        <w:tc>
          <w:tcPr>
            <w:tcW w:w="7088" w:type="dxa"/>
            <w:vAlign w:val="center"/>
          </w:tcPr>
          <w:p w14:paraId="458744B8">
            <w:pPr>
              <w:pStyle w:val="244"/>
            </w:pPr>
            <w:r>
              <w:rPr>
                <w:rFonts w:hint="eastAsia"/>
              </w:rPr>
              <w:t>仪器每个通道所显示和记录的A扫描信号不应有明显畸变或变形</w:t>
            </w:r>
          </w:p>
        </w:tc>
      </w:tr>
      <w:tr w14:paraId="49AFC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06787919">
            <w:pPr>
              <w:pStyle w:val="244"/>
              <w:jc w:val="center"/>
            </w:pPr>
          </w:p>
        </w:tc>
        <w:tc>
          <w:tcPr>
            <w:tcW w:w="425" w:type="dxa"/>
            <w:vMerge w:val="continue"/>
            <w:vAlign w:val="center"/>
          </w:tcPr>
          <w:p w14:paraId="0CA5DD94">
            <w:pPr>
              <w:pStyle w:val="244"/>
              <w:jc w:val="center"/>
            </w:pPr>
          </w:p>
        </w:tc>
        <w:tc>
          <w:tcPr>
            <w:tcW w:w="896" w:type="dxa"/>
            <w:vMerge w:val="continue"/>
            <w:vAlign w:val="center"/>
          </w:tcPr>
          <w:p w14:paraId="16CA4035">
            <w:pPr>
              <w:pStyle w:val="244"/>
              <w:jc w:val="center"/>
            </w:pPr>
          </w:p>
        </w:tc>
        <w:tc>
          <w:tcPr>
            <w:tcW w:w="7088" w:type="dxa"/>
            <w:vAlign w:val="center"/>
          </w:tcPr>
          <w:p w14:paraId="6A8726C1">
            <w:pPr>
              <w:pStyle w:val="244"/>
            </w:pPr>
            <w:r>
              <w:rPr>
                <w:rFonts w:hint="eastAsia"/>
              </w:rPr>
              <w:t>仪器至少能以256级灰度或色度显示TOFD图像</w:t>
            </w:r>
          </w:p>
        </w:tc>
      </w:tr>
      <w:tr w14:paraId="5E00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076347AD">
            <w:pPr>
              <w:pStyle w:val="244"/>
              <w:jc w:val="center"/>
            </w:pPr>
          </w:p>
        </w:tc>
        <w:tc>
          <w:tcPr>
            <w:tcW w:w="425" w:type="dxa"/>
            <w:vMerge w:val="continue"/>
            <w:vAlign w:val="center"/>
          </w:tcPr>
          <w:p w14:paraId="3891E997">
            <w:pPr>
              <w:pStyle w:val="244"/>
              <w:jc w:val="center"/>
            </w:pPr>
          </w:p>
        </w:tc>
        <w:tc>
          <w:tcPr>
            <w:tcW w:w="896" w:type="dxa"/>
            <w:vMerge w:val="continue"/>
            <w:vAlign w:val="center"/>
          </w:tcPr>
          <w:p w14:paraId="1A66BBAF">
            <w:pPr>
              <w:pStyle w:val="244"/>
              <w:jc w:val="center"/>
            </w:pPr>
          </w:p>
        </w:tc>
        <w:tc>
          <w:tcPr>
            <w:tcW w:w="7088" w:type="dxa"/>
            <w:vAlign w:val="center"/>
          </w:tcPr>
          <w:p w14:paraId="496D1DEC">
            <w:pPr>
              <w:pStyle w:val="244"/>
            </w:pPr>
            <w:r>
              <w:rPr>
                <w:rFonts w:hint="eastAsia"/>
              </w:rPr>
              <w:t>仪器软件至少应具有同步显示TOFD图像和对应的A扫描信号、拟合曲线光标、移除直通波、局部位置信号放大等必要的分析功能</w:t>
            </w:r>
          </w:p>
        </w:tc>
      </w:tr>
      <w:tr w14:paraId="7C03B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7EDB9052">
            <w:pPr>
              <w:pStyle w:val="244"/>
              <w:jc w:val="center"/>
            </w:pPr>
          </w:p>
        </w:tc>
        <w:tc>
          <w:tcPr>
            <w:tcW w:w="425" w:type="dxa"/>
            <w:vMerge w:val="continue"/>
            <w:vAlign w:val="center"/>
          </w:tcPr>
          <w:p w14:paraId="1405695A">
            <w:pPr>
              <w:pStyle w:val="244"/>
              <w:jc w:val="center"/>
            </w:pPr>
          </w:p>
        </w:tc>
        <w:tc>
          <w:tcPr>
            <w:tcW w:w="896" w:type="dxa"/>
            <w:vMerge w:val="continue"/>
            <w:vAlign w:val="center"/>
          </w:tcPr>
          <w:p w14:paraId="17385024">
            <w:pPr>
              <w:pStyle w:val="244"/>
              <w:jc w:val="center"/>
            </w:pPr>
          </w:p>
        </w:tc>
        <w:tc>
          <w:tcPr>
            <w:tcW w:w="7088" w:type="dxa"/>
            <w:vAlign w:val="center"/>
          </w:tcPr>
          <w:p w14:paraId="1B7A15B8">
            <w:pPr>
              <w:pStyle w:val="244"/>
            </w:pPr>
            <w:r>
              <w:rPr>
                <w:rFonts w:hint="eastAsia"/>
              </w:rPr>
              <w:t>仪器软件应包括TOFD显示的深度或时基线性化算法，以测量目标体深度和高度</w:t>
            </w:r>
          </w:p>
        </w:tc>
      </w:tr>
      <w:tr w14:paraId="6CED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2091ACC5">
            <w:pPr>
              <w:pStyle w:val="244"/>
              <w:jc w:val="center"/>
            </w:pPr>
          </w:p>
        </w:tc>
        <w:tc>
          <w:tcPr>
            <w:tcW w:w="425" w:type="dxa"/>
            <w:vMerge w:val="continue"/>
            <w:vAlign w:val="center"/>
          </w:tcPr>
          <w:p w14:paraId="2FFBB646">
            <w:pPr>
              <w:pStyle w:val="244"/>
              <w:jc w:val="center"/>
            </w:pPr>
          </w:p>
        </w:tc>
        <w:tc>
          <w:tcPr>
            <w:tcW w:w="896" w:type="dxa"/>
            <w:vMerge w:val="continue"/>
            <w:vAlign w:val="center"/>
          </w:tcPr>
          <w:p w14:paraId="4BC558B7">
            <w:pPr>
              <w:pStyle w:val="244"/>
              <w:jc w:val="center"/>
            </w:pPr>
          </w:p>
        </w:tc>
        <w:tc>
          <w:tcPr>
            <w:tcW w:w="7088" w:type="dxa"/>
            <w:vAlign w:val="center"/>
          </w:tcPr>
          <w:p w14:paraId="303BD4DC">
            <w:pPr>
              <w:pStyle w:val="244"/>
            </w:pPr>
            <w:r>
              <w:rPr>
                <w:rFonts w:hint="eastAsia"/>
              </w:rPr>
              <w:t>对于未采集到的数据，仪器软件不应使用数据处理方式对缺失部分进行补充，应保持数据的真实性</w:t>
            </w:r>
          </w:p>
        </w:tc>
      </w:tr>
      <w:tr w14:paraId="31C6C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226C1DB2">
            <w:pPr>
              <w:pStyle w:val="244"/>
              <w:jc w:val="center"/>
            </w:pPr>
          </w:p>
        </w:tc>
        <w:tc>
          <w:tcPr>
            <w:tcW w:w="425" w:type="dxa"/>
            <w:vMerge w:val="continue"/>
            <w:vAlign w:val="center"/>
          </w:tcPr>
          <w:p w14:paraId="59B27EAF">
            <w:pPr>
              <w:pStyle w:val="244"/>
              <w:jc w:val="center"/>
            </w:pPr>
          </w:p>
        </w:tc>
        <w:tc>
          <w:tcPr>
            <w:tcW w:w="896" w:type="dxa"/>
            <w:vMerge w:val="restart"/>
            <w:vAlign w:val="center"/>
          </w:tcPr>
          <w:p w14:paraId="0DD9764E">
            <w:pPr>
              <w:pStyle w:val="244"/>
              <w:jc w:val="center"/>
            </w:pPr>
            <w:r>
              <w:rPr>
                <w:rFonts w:hint="eastAsia"/>
              </w:rPr>
              <w:t>（2）其他功能</w:t>
            </w:r>
          </w:p>
        </w:tc>
        <w:tc>
          <w:tcPr>
            <w:tcW w:w="7088" w:type="dxa"/>
            <w:vAlign w:val="center"/>
          </w:tcPr>
          <w:p w14:paraId="539BD029">
            <w:pPr>
              <w:pStyle w:val="244"/>
            </w:pPr>
            <w:r>
              <w:rPr>
                <w:rFonts w:hint="eastAsia"/>
              </w:rPr>
              <w:t>仪器的数据采集应和扫查装置的移动同步，扫查步进值应可调，其最小值应不大于0.5mm</w:t>
            </w:r>
          </w:p>
        </w:tc>
      </w:tr>
      <w:tr w14:paraId="551AF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5182B9E3">
            <w:pPr>
              <w:pStyle w:val="244"/>
              <w:jc w:val="center"/>
            </w:pPr>
          </w:p>
        </w:tc>
        <w:tc>
          <w:tcPr>
            <w:tcW w:w="425" w:type="dxa"/>
            <w:vMerge w:val="continue"/>
            <w:vAlign w:val="center"/>
          </w:tcPr>
          <w:p w14:paraId="1FD5D937">
            <w:pPr>
              <w:pStyle w:val="244"/>
              <w:jc w:val="center"/>
            </w:pPr>
          </w:p>
        </w:tc>
        <w:tc>
          <w:tcPr>
            <w:tcW w:w="896" w:type="dxa"/>
            <w:vMerge w:val="continue"/>
            <w:vAlign w:val="center"/>
          </w:tcPr>
          <w:p w14:paraId="217CD909">
            <w:pPr>
              <w:pStyle w:val="244"/>
              <w:jc w:val="center"/>
            </w:pPr>
          </w:p>
        </w:tc>
        <w:tc>
          <w:tcPr>
            <w:tcW w:w="7088" w:type="dxa"/>
            <w:vAlign w:val="center"/>
          </w:tcPr>
          <w:p w14:paraId="0AAA050B">
            <w:pPr>
              <w:pStyle w:val="244"/>
            </w:pPr>
            <w:r>
              <w:rPr>
                <w:rFonts w:hint="eastAsia"/>
              </w:rPr>
              <w:t>仪器应能存储和分辨各A扫描信号之间相对位置的信息，如编码位置</w:t>
            </w:r>
          </w:p>
        </w:tc>
      </w:tr>
      <w:tr w14:paraId="12FE3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7B095156">
            <w:pPr>
              <w:pStyle w:val="244"/>
              <w:jc w:val="center"/>
            </w:pPr>
          </w:p>
        </w:tc>
        <w:tc>
          <w:tcPr>
            <w:tcW w:w="425" w:type="dxa"/>
            <w:vMerge w:val="continue"/>
            <w:vAlign w:val="center"/>
          </w:tcPr>
          <w:p w14:paraId="05787BC9">
            <w:pPr>
              <w:pStyle w:val="244"/>
              <w:jc w:val="center"/>
            </w:pPr>
          </w:p>
        </w:tc>
        <w:tc>
          <w:tcPr>
            <w:tcW w:w="896" w:type="dxa"/>
            <w:vMerge w:val="continue"/>
            <w:vAlign w:val="center"/>
          </w:tcPr>
          <w:p w14:paraId="34AFB15D">
            <w:pPr>
              <w:pStyle w:val="244"/>
              <w:jc w:val="center"/>
            </w:pPr>
          </w:p>
        </w:tc>
        <w:tc>
          <w:tcPr>
            <w:tcW w:w="7088" w:type="dxa"/>
            <w:vAlign w:val="center"/>
          </w:tcPr>
          <w:p w14:paraId="0BEF1FFE">
            <w:pPr>
              <w:pStyle w:val="244"/>
            </w:pPr>
            <w:r>
              <w:rPr>
                <w:rFonts w:hint="eastAsia"/>
              </w:rPr>
              <w:t>仪器可具有滤波、取波幅阈值等数字信号处理功能，但仪器应能记录未经处理之前的原始检测数据</w:t>
            </w:r>
          </w:p>
        </w:tc>
      </w:tr>
      <w:tr w14:paraId="5D3D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14692080">
            <w:pPr>
              <w:pStyle w:val="244"/>
              <w:jc w:val="center"/>
            </w:pPr>
          </w:p>
        </w:tc>
        <w:tc>
          <w:tcPr>
            <w:tcW w:w="425" w:type="dxa"/>
            <w:vMerge w:val="continue"/>
            <w:vAlign w:val="center"/>
          </w:tcPr>
          <w:p w14:paraId="566318E7">
            <w:pPr>
              <w:pStyle w:val="244"/>
              <w:jc w:val="center"/>
            </w:pPr>
          </w:p>
        </w:tc>
        <w:tc>
          <w:tcPr>
            <w:tcW w:w="896" w:type="dxa"/>
            <w:vMerge w:val="continue"/>
            <w:vAlign w:val="center"/>
          </w:tcPr>
          <w:p w14:paraId="3CBFBA80">
            <w:pPr>
              <w:pStyle w:val="244"/>
              <w:jc w:val="center"/>
            </w:pPr>
          </w:p>
        </w:tc>
        <w:tc>
          <w:tcPr>
            <w:tcW w:w="7088" w:type="dxa"/>
            <w:vAlign w:val="center"/>
          </w:tcPr>
          <w:p w14:paraId="068F3F59">
            <w:pPr>
              <w:pStyle w:val="244"/>
            </w:pPr>
            <w:r>
              <w:rPr>
                <w:rFonts w:hint="eastAsia"/>
              </w:rPr>
              <w:t>仪器应能够以不可更改的方式将所有的A扫描信号和TOFD图像存储于磁、光等永久介质，并能输出其硬拷贝</w:t>
            </w:r>
          </w:p>
        </w:tc>
      </w:tr>
      <w:tr w14:paraId="38B0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5B371C0D">
            <w:pPr>
              <w:pStyle w:val="244"/>
              <w:jc w:val="center"/>
            </w:pPr>
          </w:p>
        </w:tc>
        <w:tc>
          <w:tcPr>
            <w:tcW w:w="425" w:type="dxa"/>
            <w:vMerge w:val="continue"/>
            <w:vAlign w:val="center"/>
          </w:tcPr>
          <w:p w14:paraId="312B7888">
            <w:pPr>
              <w:pStyle w:val="244"/>
              <w:jc w:val="center"/>
            </w:pPr>
          </w:p>
        </w:tc>
        <w:tc>
          <w:tcPr>
            <w:tcW w:w="896" w:type="dxa"/>
            <w:vMerge w:val="continue"/>
            <w:vAlign w:val="center"/>
          </w:tcPr>
          <w:p w14:paraId="16756276">
            <w:pPr>
              <w:pStyle w:val="244"/>
              <w:jc w:val="center"/>
            </w:pPr>
          </w:p>
        </w:tc>
        <w:tc>
          <w:tcPr>
            <w:tcW w:w="7088" w:type="dxa"/>
            <w:vAlign w:val="center"/>
          </w:tcPr>
          <w:p w14:paraId="7B492E71">
            <w:pPr>
              <w:pStyle w:val="244"/>
            </w:pPr>
            <w:r>
              <w:rPr>
                <w:rFonts w:hint="eastAsia"/>
              </w:rPr>
              <w:t>仪器应能够选择合适的A扫描时间窗口，以检测到需要的信号；闸门起点相对于发射脉冲至少应在0</w:t>
            </w:r>
            <w:r>
              <w:rPr>
                <w:rFonts w:cs="Times New Roman"/>
              </w:rPr>
              <w:t>μs</w:t>
            </w:r>
            <w:r>
              <w:rPr>
                <w:rFonts w:hint="eastAsia"/>
              </w:rPr>
              <w:t>~200</w:t>
            </w:r>
            <w:r>
              <w:rPr>
                <w:rFonts w:cs="Times New Roman"/>
              </w:rPr>
              <w:t>μs</w:t>
            </w:r>
            <w:r>
              <w:rPr>
                <w:rFonts w:hint="eastAsia"/>
              </w:rPr>
              <w:t>间可调节，窗口宽度至少在5</w:t>
            </w:r>
            <w:r>
              <w:rPr>
                <w:rFonts w:cs="Times New Roman"/>
              </w:rPr>
              <w:t>μs</w:t>
            </w:r>
            <w:r>
              <w:rPr>
                <w:rFonts w:hint="eastAsia"/>
              </w:rPr>
              <w:t>~100</w:t>
            </w:r>
            <w:r>
              <w:rPr>
                <w:rFonts w:cs="Times New Roman"/>
              </w:rPr>
              <w:t>μs</w:t>
            </w:r>
            <w:r>
              <w:rPr>
                <w:rFonts w:hint="eastAsia"/>
              </w:rPr>
              <w:t>间可调节</w:t>
            </w:r>
          </w:p>
        </w:tc>
      </w:tr>
      <w:tr w14:paraId="0CD8F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731F2F07">
            <w:pPr>
              <w:pStyle w:val="244"/>
              <w:jc w:val="center"/>
            </w:pPr>
          </w:p>
        </w:tc>
        <w:tc>
          <w:tcPr>
            <w:tcW w:w="425" w:type="dxa"/>
            <w:vMerge w:val="continue"/>
            <w:vAlign w:val="center"/>
          </w:tcPr>
          <w:p w14:paraId="3C5B3635">
            <w:pPr>
              <w:pStyle w:val="244"/>
              <w:jc w:val="center"/>
            </w:pPr>
          </w:p>
        </w:tc>
        <w:tc>
          <w:tcPr>
            <w:tcW w:w="896" w:type="dxa"/>
            <w:vMerge w:val="continue"/>
            <w:vAlign w:val="center"/>
          </w:tcPr>
          <w:p w14:paraId="507C4E14">
            <w:pPr>
              <w:pStyle w:val="244"/>
              <w:jc w:val="center"/>
            </w:pPr>
          </w:p>
        </w:tc>
        <w:tc>
          <w:tcPr>
            <w:tcW w:w="7088" w:type="dxa"/>
            <w:vAlign w:val="center"/>
          </w:tcPr>
          <w:p w14:paraId="44BB1F70">
            <w:pPr>
              <w:pStyle w:val="244"/>
            </w:pPr>
            <w:r>
              <w:rPr>
                <w:rFonts w:hint="eastAsia"/>
              </w:rPr>
              <w:t>仪器应提供满足本部分第</w:t>
            </w:r>
            <w:r>
              <w:fldChar w:fldCharType="begin"/>
            </w:r>
            <w:r>
              <w:rPr>
                <w:rFonts w:hint="eastAsia"/>
              </w:rPr>
              <w:instrText xml:space="preserve">REF _Ref483479421 \r \h</w:instrText>
            </w:r>
            <w:r>
              <w:fldChar w:fldCharType="separate"/>
            </w:r>
            <w:r>
              <w:t>5</w:t>
            </w:r>
            <w:r>
              <w:fldChar w:fldCharType="end"/>
            </w:r>
            <w:r>
              <w:rPr>
                <w:rFonts w:hint="eastAsia"/>
              </w:rPr>
              <w:t>章所要求的各项设置功能</w:t>
            </w:r>
          </w:p>
        </w:tc>
      </w:tr>
    </w:tbl>
    <w:p w14:paraId="4B0E2506">
      <w:pPr>
        <w:spacing w:before="156" w:beforeLines="50" w:after="156" w:afterLines="50" w:line="240" w:lineRule="auto"/>
        <w:rPr>
          <w:rFonts w:ascii="黑体" w:hAnsi="黑体" w:eastAsia="黑体"/>
        </w:rPr>
      </w:pPr>
      <w:r>
        <w:rPr>
          <w:rFonts w:hint="eastAsia" w:ascii="黑体" w:hAnsi="黑体" w:eastAsia="黑体"/>
        </w:rPr>
        <w:t>A</w:t>
      </w:r>
      <w:r>
        <w:rPr>
          <w:rFonts w:ascii="黑体" w:hAnsi="黑体" w:eastAsia="黑体"/>
        </w:rPr>
        <w:t xml:space="preserve">.2 </w:t>
      </w:r>
      <w:r>
        <w:rPr>
          <w:rFonts w:hint="eastAsia" w:ascii="黑体" w:hAnsi="黑体" w:eastAsia="黑体"/>
        </w:rPr>
        <w:t>宽带窄脉冲探头性能指标要求</w:t>
      </w:r>
    </w:p>
    <w:p w14:paraId="67401F08">
      <w:pPr>
        <w:spacing w:line="240" w:lineRule="auto"/>
        <w:ind w:firstLine="420" w:firstLineChars="200"/>
        <w:rPr>
          <w:rFonts w:ascii="宋体" w:hAnsi="宋体"/>
        </w:rPr>
      </w:pPr>
      <w:r>
        <w:rPr>
          <w:rFonts w:hint="eastAsia" w:ascii="宋体" w:hAnsi="宋体"/>
        </w:rPr>
        <w:t>宽带窄脉冲探头性能指标要求见表A.2。</w:t>
      </w:r>
    </w:p>
    <w:p w14:paraId="481FB391">
      <w:pPr>
        <w:pStyle w:val="13"/>
        <w:spacing w:before="156" w:beforeLines="50" w:after="156" w:afterLines="50" w:line="240" w:lineRule="auto"/>
        <w:jc w:val="center"/>
      </w:pPr>
      <w:r>
        <w:rPr>
          <w:rFonts w:hint="eastAsia"/>
        </w:rPr>
        <w:t>表A.2 宽带窄脉冲探头性能指标要求</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126"/>
        <w:gridCol w:w="5466"/>
      </w:tblGrid>
      <w:tr w14:paraId="4088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14:paraId="79282A26">
            <w:pPr>
              <w:pStyle w:val="244"/>
              <w:jc w:val="center"/>
              <w:rPr>
                <w:b/>
              </w:rPr>
            </w:pPr>
            <w:r>
              <w:rPr>
                <w:rFonts w:hint="eastAsia"/>
                <w:b/>
              </w:rPr>
              <w:t>序号</w:t>
            </w:r>
          </w:p>
        </w:tc>
        <w:tc>
          <w:tcPr>
            <w:tcW w:w="2126" w:type="dxa"/>
          </w:tcPr>
          <w:p w14:paraId="57CE8513">
            <w:pPr>
              <w:pStyle w:val="244"/>
              <w:jc w:val="center"/>
              <w:rPr>
                <w:b/>
              </w:rPr>
            </w:pPr>
            <w:r>
              <w:rPr>
                <w:rFonts w:hint="eastAsia"/>
                <w:b/>
              </w:rPr>
              <w:t>性能</w:t>
            </w:r>
          </w:p>
        </w:tc>
        <w:tc>
          <w:tcPr>
            <w:tcW w:w="5466" w:type="dxa"/>
          </w:tcPr>
          <w:p w14:paraId="68589606">
            <w:pPr>
              <w:pStyle w:val="244"/>
              <w:jc w:val="center"/>
              <w:rPr>
                <w:b/>
              </w:rPr>
            </w:pPr>
            <w:r>
              <w:rPr>
                <w:rFonts w:hint="eastAsia"/>
                <w:b/>
              </w:rPr>
              <w:t>指标要求</w:t>
            </w:r>
          </w:p>
        </w:tc>
      </w:tr>
      <w:tr w14:paraId="0C48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14:paraId="559D37B1">
            <w:pPr>
              <w:pStyle w:val="244"/>
              <w:jc w:val="center"/>
            </w:pPr>
            <w:r>
              <w:rPr>
                <w:rFonts w:hint="eastAsia"/>
              </w:rPr>
              <w:t>1</w:t>
            </w:r>
          </w:p>
        </w:tc>
        <w:tc>
          <w:tcPr>
            <w:tcW w:w="2126" w:type="dxa"/>
          </w:tcPr>
          <w:p w14:paraId="27C8AD17">
            <w:pPr>
              <w:pStyle w:val="244"/>
            </w:pPr>
            <w:r>
              <w:rPr>
                <w:rFonts w:hint="eastAsia"/>
              </w:rPr>
              <w:t>中心频率</w:t>
            </w:r>
          </w:p>
        </w:tc>
        <w:tc>
          <w:tcPr>
            <w:tcW w:w="5466" w:type="dxa"/>
          </w:tcPr>
          <w:p w14:paraId="4DAAD364">
            <w:pPr>
              <w:pStyle w:val="244"/>
            </w:pPr>
            <w:r>
              <w:rPr>
                <w:rFonts w:hint="eastAsia"/>
              </w:rPr>
              <w:t>实测值与标称值的偏差</w:t>
            </w:r>
            <w:r>
              <w:rPr>
                <w:rFonts w:hint="eastAsia" w:cs="Times New Roman"/>
              </w:rPr>
              <w:t>≤标称值的10%</w:t>
            </w:r>
          </w:p>
        </w:tc>
      </w:tr>
      <w:tr w14:paraId="0B498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14:paraId="6B3BB243">
            <w:pPr>
              <w:pStyle w:val="244"/>
              <w:jc w:val="center"/>
            </w:pPr>
            <w:r>
              <w:rPr>
                <w:rFonts w:hint="eastAsia"/>
              </w:rPr>
              <w:t>2</w:t>
            </w:r>
          </w:p>
        </w:tc>
        <w:tc>
          <w:tcPr>
            <w:tcW w:w="2126" w:type="dxa"/>
          </w:tcPr>
          <w:p w14:paraId="79A7BB12">
            <w:pPr>
              <w:pStyle w:val="244"/>
            </w:pPr>
            <w:r>
              <w:rPr>
                <w:rFonts w:hint="eastAsia"/>
              </w:rPr>
              <w:t>相对脉冲回波灵敏度</w:t>
            </w:r>
          </w:p>
        </w:tc>
        <w:tc>
          <w:tcPr>
            <w:tcW w:w="5466" w:type="dxa"/>
          </w:tcPr>
          <w:p w14:paraId="7E6ADBB5">
            <w:pPr>
              <w:pStyle w:val="244"/>
            </w:pPr>
            <w:r>
              <w:rPr>
                <w:rFonts w:hint="eastAsia"/>
              </w:rPr>
              <w:t>实测值与标称值的偏差</w:t>
            </w:r>
            <w:r>
              <w:rPr>
                <w:rFonts w:hint="eastAsia" w:cs="Times New Roman"/>
              </w:rPr>
              <w:t>≤3dB</w:t>
            </w:r>
          </w:p>
        </w:tc>
      </w:tr>
      <w:tr w14:paraId="430A7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14:paraId="56509F89">
            <w:pPr>
              <w:pStyle w:val="244"/>
              <w:jc w:val="center"/>
            </w:pPr>
            <w:r>
              <w:rPr>
                <w:rFonts w:hint="eastAsia"/>
              </w:rPr>
              <w:t>3</w:t>
            </w:r>
          </w:p>
        </w:tc>
        <w:tc>
          <w:tcPr>
            <w:tcW w:w="2126" w:type="dxa"/>
          </w:tcPr>
          <w:p w14:paraId="5F80A24C">
            <w:pPr>
              <w:pStyle w:val="244"/>
            </w:pPr>
            <w:r>
              <w:rPr>
                <w:rFonts w:hint="eastAsia"/>
              </w:rPr>
              <w:t>电阻抗或静电容</w:t>
            </w:r>
          </w:p>
        </w:tc>
        <w:tc>
          <w:tcPr>
            <w:tcW w:w="5466" w:type="dxa"/>
          </w:tcPr>
          <w:p w14:paraId="634FA97B">
            <w:pPr>
              <w:pStyle w:val="244"/>
            </w:pPr>
            <w:r>
              <w:rPr>
                <w:rFonts w:hint="eastAsia"/>
              </w:rPr>
              <w:t>实测值与标称值的偏差</w:t>
            </w:r>
            <w:r>
              <w:rPr>
                <w:rFonts w:hint="eastAsia" w:cs="Times New Roman"/>
              </w:rPr>
              <w:t>≤标称值的20</w:t>
            </w:r>
            <w:r>
              <w:rPr>
                <w:rFonts w:cs="Times New Roman"/>
              </w:rPr>
              <w:t>%</w:t>
            </w:r>
          </w:p>
        </w:tc>
      </w:tr>
      <w:tr w14:paraId="41650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14:paraId="1846692F">
            <w:pPr>
              <w:pStyle w:val="244"/>
              <w:jc w:val="center"/>
            </w:pPr>
            <w:r>
              <w:rPr>
                <w:rFonts w:hint="eastAsia"/>
              </w:rPr>
              <w:t>4</w:t>
            </w:r>
          </w:p>
        </w:tc>
        <w:tc>
          <w:tcPr>
            <w:tcW w:w="2126" w:type="dxa"/>
          </w:tcPr>
          <w:p w14:paraId="0141B7BC">
            <w:pPr>
              <w:pStyle w:val="244"/>
            </w:pPr>
            <w:r>
              <w:rPr>
                <w:rFonts w:hint="eastAsia"/>
              </w:rPr>
              <w:t>直通波持续时间</w:t>
            </w:r>
          </w:p>
        </w:tc>
        <w:tc>
          <w:tcPr>
            <w:tcW w:w="5466" w:type="dxa"/>
          </w:tcPr>
          <w:p w14:paraId="350479D5">
            <w:pPr>
              <w:pStyle w:val="244"/>
            </w:pPr>
            <w:r>
              <w:rPr>
                <w:rFonts w:hint="eastAsia"/>
              </w:rPr>
              <w:t>直通波按峰值下降20dB测量的持续时间应不超过两个脉冲周期</w:t>
            </w:r>
          </w:p>
        </w:tc>
      </w:tr>
      <w:tr w14:paraId="1CF1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14:paraId="7068E0BE">
            <w:pPr>
              <w:pStyle w:val="244"/>
              <w:jc w:val="center"/>
            </w:pPr>
            <w:r>
              <w:rPr>
                <w:rFonts w:hint="eastAsia"/>
              </w:rPr>
              <w:t>5</w:t>
            </w:r>
          </w:p>
        </w:tc>
        <w:tc>
          <w:tcPr>
            <w:tcW w:w="2126" w:type="dxa"/>
          </w:tcPr>
          <w:p w14:paraId="713B7BF9">
            <w:pPr>
              <w:pStyle w:val="244"/>
            </w:pPr>
            <w:r>
              <w:rPr>
                <w:rFonts w:hint="eastAsia"/>
              </w:rPr>
              <w:t>频带相对宽度</w:t>
            </w:r>
          </w:p>
        </w:tc>
        <w:tc>
          <w:tcPr>
            <w:tcW w:w="5466" w:type="dxa"/>
          </w:tcPr>
          <w:p w14:paraId="44152297">
            <w:pPr>
              <w:pStyle w:val="244"/>
            </w:pPr>
            <w:r>
              <w:rPr>
                <w:rFonts w:hint="eastAsia"/>
              </w:rPr>
              <w:t>不小于80%</w:t>
            </w:r>
          </w:p>
        </w:tc>
      </w:tr>
    </w:tbl>
    <w:p w14:paraId="0DD939B2">
      <w:pPr>
        <w:tabs>
          <w:tab w:val="left" w:pos="857"/>
        </w:tabs>
        <w:adjustRightInd/>
        <w:spacing w:line="240" w:lineRule="auto"/>
        <w:jc w:val="left"/>
        <w:rPr>
          <w:color w:val="000000"/>
          <w:lang w:bidi="zh-TW"/>
        </w:rPr>
      </w:pPr>
      <w:r>
        <w:rPr>
          <w:rFonts w:hint="eastAsia"/>
          <w:color w:val="000000"/>
          <w:lang w:bidi="zh-TW"/>
        </w:rPr>
        <w:t xml:space="preserve"> </w:t>
      </w:r>
    </w:p>
    <w:p w14:paraId="7AADD420">
      <w:pPr>
        <w:tabs>
          <w:tab w:val="left" w:pos="857"/>
        </w:tabs>
        <w:adjustRightInd/>
        <w:spacing w:line="240" w:lineRule="auto"/>
        <w:jc w:val="left"/>
        <w:rPr>
          <w:color w:val="000000"/>
          <w:lang w:bidi="zh-TW"/>
        </w:rPr>
      </w:pPr>
    </w:p>
    <w:p w14:paraId="73D59F1C">
      <w:pPr>
        <w:tabs>
          <w:tab w:val="left" w:pos="857"/>
        </w:tabs>
        <w:adjustRightInd/>
        <w:spacing w:line="240" w:lineRule="auto"/>
        <w:jc w:val="left"/>
        <w:rPr>
          <w:color w:val="000000"/>
          <w:lang w:bidi="zh-TW"/>
        </w:rPr>
      </w:pPr>
    </w:p>
    <w:p w14:paraId="238EBEC3">
      <w:pPr>
        <w:tabs>
          <w:tab w:val="left" w:pos="857"/>
        </w:tabs>
        <w:adjustRightInd/>
        <w:spacing w:line="240" w:lineRule="auto"/>
        <w:jc w:val="left"/>
        <w:rPr>
          <w:color w:val="000000"/>
          <w:lang w:bidi="zh-TW"/>
        </w:rPr>
      </w:pPr>
    </w:p>
    <w:p w14:paraId="18E1091F">
      <w:pPr>
        <w:tabs>
          <w:tab w:val="left" w:pos="857"/>
        </w:tabs>
        <w:adjustRightInd/>
        <w:spacing w:line="240" w:lineRule="auto"/>
        <w:jc w:val="left"/>
        <w:rPr>
          <w:color w:val="000000"/>
          <w:lang w:bidi="zh-TW"/>
        </w:rPr>
      </w:pPr>
    </w:p>
    <w:p w14:paraId="527F8FF1">
      <w:pPr>
        <w:tabs>
          <w:tab w:val="left" w:pos="857"/>
        </w:tabs>
        <w:adjustRightInd/>
        <w:spacing w:line="240" w:lineRule="auto"/>
        <w:jc w:val="left"/>
        <w:rPr>
          <w:color w:val="000000"/>
          <w:lang w:bidi="zh-TW"/>
        </w:rPr>
      </w:pPr>
    </w:p>
    <w:p w14:paraId="6206E778">
      <w:pPr>
        <w:tabs>
          <w:tab w:val="left" w:pos="857"/>
        </w:tabs>
        <w:adjustRightInd/>
        <w:spacing w:line="240" w:lineRule="auto"/>
        <w:jc w:val="left"/>
        <w:rPr>
          <w:color w:val="000000"/>
          <w:lang w:bidi="zh-TW"/>
        </w:rPr>
      </w:pPr>
    </w:p>
    <w:p w14:paraId="3FB92EF5">
      <w:pPr>
        <w:tabs>
          <w:tab w:val="left" w:pos="857"/>
        </w:tabs>
        <w:adjustRightInd/>
        <w:spacing w:line="240" w:lineRule="auto"/>
        <w:jc w:val="left"/>
        <w:rPr>
          <w:color w:val="000000"/>
          <w:lang w:bidi="zh-TW"/>
        </w:rPr>
      </w:pPr>
    </w:p>
    <w:p w14:paraId="758E0858">
      <w:pPr>
        <w:tabs>
          <w:tab w:val="left" w:pos="857"/>
        </w:tabs>
        <w:adjustRightInd/>
        <w:spacing w:line="240" w:lineRule="auto"/>
        <w:jc w:val="left"/>
        <w:rPr>
          <w:color w:val="000000"/>
          <w:lang w:bidi="zh-TW"/>
        </w:rPr>
      </w:pPr>
    </w:p>
    <w:p w14:paraId="703DA602">
      <w:pPr>
        <w:tabs>
          <w:tab w:val="left" w:pos="857"/>
        </w:tabs>
        <w:adjustRightInd/>
        <w:spacing w:line="240" w:lineRule="auto"/>
        <w:jc w:val="left"/>
        <w:rPr>
          <w:color w:val="000000"/>
          <w:lang w:bidi="zh-TW"/>
        </w:rPr>
      </w:pPr>
    </w:p>
    <w:p w14:paraId="3E020D3F">
      <w:pPr>
        <w:tabs>
          <w:tab w:val="left" w:pos="857"/>
        </w:tabs>
        <w:adjustRightInd/>
        <w:spacing w:line="240" w:lineRule="auto"/>
        <w:jc w:val="left"/>
        <w:rPr>
          <w:color w:val="000000"/>
          <w:lang w:bidi="zh-TW"/>
        </w:rPr>
      </w:pPr>
    </w:p>
    <w:p w14:paraId="668073CC">
      <w:pPr>
        <w:tabs>
          <w:tab w:val="left" w:pos="857"/>
        </w:tabs>
        <w:adjustRightInd/>
        <w:spacing w:line="240" w:lineRule="auto"/>
        <w:jc w:val="left"/>
        <w:rPr>
          <w:color w:val="000000"/>
          <w:lang w:bidi="zh-TW"/>
        </w:rPr>
      </w:pPr>
    </w:p>
    <w:p w14:paraId="4D904F56">
      <w:pPr>
        <w:tabs>
          <w:tab w:val="left" w:pos="857"/>
        </w:tabs>
        <w:adjustRightInd/>
        <w:spacing w:line="240" w:lineRule="auto"/>
        <w:jc w:val="left"/>
        <w:rPr>
          <w:color w:val="000000"/>
          <w:lang w:bidi="zh-TW"/>
        </w:rPr>
      </w:pPr>
    </w:p>
    <w:p w14:paraId="21AF9703">
      <w:pPr>
        <w:tabs>
          <w:tab w:val="left" w:pos="857"/>
        </w:tabs>
        <w:adjustRightInd/>
        <w:spacing w:line="240" w:lineRule="auto"/>
        <w:jc w:val="left"/>
        <w:rPr>
          <w:color w:val="000000"/>
          <w:lang w:bidi="zh-TW"/>
        </w:rPr>
      </w:pPr>
    </w:p>
    <w:p w14:paraId="1F5D786C">
      <w:pPr>
        <w:tabs>
          <w:tab w:val="left" w:pos="857"/>
        </w:tabs>
        <w:adjustRightInd/>
        <w:spacing w:line="240" w:lineRule="auto"/>
        <w:jc w:val="left"/>
        <w:rPr>
          <w:color w:val="000000"/>
          <w:lang w:bidi="zh-TW"/>
        </w:rPr>
      </w:pPr>
    </w:p>
    <w:p w14:paraId="4A8BE978">
      <w:pPr>
        <w:tabs>
          <w:tab w:val="left" w:pos="857"/>
        </w:tabs>
        <w:adjustRightInd/>
        <w:spacing w:line="240" w:lineRule="auto"/>
        <w:jc w:val="left"/>
        <w:rPr>
          <w:color w:val="000000"/>
          <w:lang w:bidi="zh-TW"/>
        </w:rPr>
      </w:pPr>
    </w:p>
    <w:p w14:paraId="13973D39">
      <w:pPr>
        <w:tabs>
          <w:tab w:val="left" w:pos="857"/>
        </w:tabs>
        <w:adjustRightInd/>
        <w:spacing w:line="240" w:lineRule="auto"/>
        <w:jc w:val="left"/>
        <w:rPr>
          <w:color w:val="000000"/>
          <w:lang w:bidi="zh-TW"/>
        </w:rPr>
      </w:pPr>
    </w:p>
    <w:p w14:paraId="327CE3EC">
      <w:pPr>
        <w:tabs>
          <w:tab w:val="left" w:pos="857"/>
        </w:tabs>
        <w:adjustRightInd/>
        <w:spacing w:line="240" w:lineRule="auto"/>
        <w:jc w:val="left"/>
        <w:rPr>
          <w:color w:val="000000"/>
          <w:lang w:bidi="zh-TW"/>
        </w:rPr>
      </w:pPr>
    </w:p>
    <w:p w14:paraId="1D3D1B0E">
      <w:pPr>
        <w:tabs>
          <w:tab w:val="left" w:pos="857"/>
        </w:tabs>
        <w:adjustRightInd/>
        <w:spacing w:line="240" w:lineRule="auto"/>
        <w:jc w:val="left"/>
        <w:rPr>
          <w:color w:val="000000"/>
          <w:lang w:bidi="zh-TW"/>
        </w:rPr>
      </w:pPr>
    </w:p>
    <w:p w14:paraId="06D42D0F">
      <w:pPr>
        <w:tabs>
          <w:tab w:val="left" w:pos="857"/>
        </w:tabs>
        <w:adjustRightInd/>
        <w:spacing w:line="240" w:lineRule="auto"/>
        <w:jc w:val="left"/>
        <w:rPr>
          <w:color w:val="000000"/>
          <w:lang w:bidi="zh-TW"/>
        </w:rPr>
      </w:pPr>
    </w:p>
    <w:p w14:paraId="7527535B">
      <w:pPr>
        <w:tabs>
          <w:tab w:val="left" w:pos="857"/>
        </w:tabs>
        <w:adjustRightInd/>
        <w:spacing w:line="240" w:lineRule="auto"/>
        <w:jc w:val="left"/>
        <w:rPr>
          <w:color w:val="000000"/>
          <w:lang w:bidi="zh-TW"/>
        </w:rPr>
      </w:pPr>
    </w:p>
    <w:p w14:paraId="5F9FEA81">
      <w:pPr>
        <w:tabs>
          <w:tab w:val="left" w:pos="857"/>
        </w:tabs>
        <w:adjustRightInd/>
        <w:spacing w:line="240" w:lineRule="auto"/>
        <w:jc w:val="left"/>
        <w:rPr>
          <w:color w:val="000000"/>
          <w:lang w:bidi="zh-TW"/>
        </w:rPr>
      </w:pPr>
    </w:p>
    <w:p w14:paraId="5B4365F6">
      <w:pPr>
        <w:tabs>
          <w:tab w:val="left" w:pos="857"/>
        </w:tabs>
        <w:adjustRightInd/>
        <w:spacing w:line="240" w:lineRule="auto"/>
        <w:jc w:val="left"/>
        <w:rPr>
          <w:color w:val="000000"/>
          <w:lang w:bidi="zh-TW"/>
        </w:rPr>
      </w:pPr>
    </w:p>
    <w:p w14:paraId="7D74EE71">
      <w:pPr>
        <w:tabs>
          <w:tab w:val="left" w:pos="857"/>
        </w:tabs>
        <w:adjustRightInd/>
        <w:spacing w:line="240" w:lineRule="auto"/>
        <w:jc w:val="left"/>
        <w:rPr>
          <w:color w:val="000000"/>
          <w:lang w:bidi="zh-TW"/>
        </w:rPr>
      </w:pPr>
    </w:p>
    <w:p w14:paraId="1A459288">
      <w:pPr>
        <w:tabs>
          <w:tab w:val="left" w:pos="857"/>
        </w:tabs>
        <w:adjustRightInd/>
        <w:spacing w:line="240" w:lineRule="auto"/>
        <w:jc w:val="left"/>
        <w:rPr>
          <w:rFonts w:hint="eastAsia"/>
          <w:color w:val="000000"/>
          <w:lang w:bidi="zh-TW"/>
        </w:rPr>
      </w:pPr>
    </w:p>
    <w:p w14:paraId="2066F48D">
      <w:pPr>
        <w:tabs>
          <w:tab w:val="left" w:pos="857"/>
        </w:tabs>
        <w:adjustRightInd/>
        <w:spacing w:line="240" w:lineRule="auto"/>
        <w:jc w:val="left"/>
        <w:rPr>
          <w:rFonts w:hint="eastAsia"/>
          <w:color w:val="000000"/>
          <w:lang w:bidi="zh-TW"/>
        </w:rPr>
      </w:pPr>
    </w:p>
    <w:p w14:paraId="29A6C145">
      <w:pPr>
        <w:pStyle w:val="27"/>
        <w:rPr>
          <w:rFonts w:hint="eastAsia" w:ascii="黑体" w:hAnsi="黑体" w:eastAsia="黑体"/>
          <w:b w:val="0"/>
          <w:sz w:val="21"/>
          <w:szCs w:val="21"/>
        </w:rPr>
        <w:sectPr>
          <w:pgSz w:w="11906" w:h="16838"/>
          <w:pgMar w:top="1871" w:right="1134" w:bottom="1134" w:left="1134" w:header="1418" w:footer="1134" w:gutter="284"/>
          <w:pgNumType w:start="1"/>
          <w:cols w:space="425" w:num="1"/>
          <w:formProt w:val="0"/>
          <w:docGrid w:type="lines" w:linePitch="312" w:charSpace="0"/>
        </w:sectPr>
      </w:pPr>
    </w:p>
    <w:p w14:paraId="26E5DEE0">
      <w:pPr>
        <w:pStyle w:val="27"/>
        <w:rPr>
          <w:rFonts w:ascii="黑体" w:hAnsi="黑体" w:eastAsia="黑体"/>
          <w:b w:val="0"/>
          <w:sz w:val="21"/>
          <w:szCs w:val="21"/>
        </w:rPr>
      </w:pPr>
      <w:r>
        <w:rPr>
          <w:rFonts w:hint="eastAsia" w:ascii="黑体" w:hAnsi="黑体" w:eastAsia="黑体"/>
          <w:b w:val="0"/>
          <w:sz w:val="21"/>
          <w:szCs w:val="21"/>
        </w:rPr>
        <w:t xml:space="preserve">附 录 </w:t>
      </w:r>
      <w:r>
        <w:rPr>
          <w:rFonts w:ascii="黑体" w:hAnsi="黑体" w:eastAsia="黑体"/>
          <w:b w:val="0"/>
          <w:sz w:val="21"/>
          <w:szCs w:val="21"/>
        </w:rPr>
        <w:t>B</w:t>
      </w:r>
    </w:p>
    <w:p w14:paraId="67E18D78">
      <w:pPr>
        <w:pStyle w:val="166"/>
        <w:numPr>
          <w:ilvl w:val="0"/>
          <w:numId w:val="0"/>
        </w:numPr>
        <w:spacing w:before="156" w:beforeLines="50" w:after="156" w:afterLines="50"/>
        <w:jc w:val="center"/>
        <w:rPr>
          <w:rFonts w:ascii="黑体" w:hAnsi="黑体" w:eastAsia="黑体"/>
        </w:rPr>
      </w:pPr>
      <w:r>
        <w:rPr>
          <w:rFonts w:hint="eastAsia" w:ascii="黑体" w:hAnsi="黑体" w:eastAsia="黑体"/>
        </w:rPr>
        <w:t>（资料性）</w:t>
      </w:r>
    </w:p>
    <w:p w14:paraId="371C61FB">
      <w:pPr>
        <w:pStyle w:val="166"/>
        <w:numPr>
          <w:ilvl w:val="0"/>
          <w:numId w:val="0"/>
        </w:numPr>
        <w:spacing w:before="156" w:beforeLines="50" w:after="156" w:afterLines="50"/>
        <w:jc w:val="center"/>
        <w:rPr>
          <w:rFonts w:ascii="黑体" w:hAnsi="黑体" w:eastAsia="黑体"/>
        </w:rPr>
      </w:pPr>
      <w:r>
        <w:rPr>
          <w:rFonts w:hint="eastAsia" w:ascii="黑体" w:hAnsi="黑体" w:eastAsia="黑体"/>
        </w:rPr>
        <w:t>仪器和探头组合的-</w:t>
      </w:r>
      <w:r>
        <w:rPr>
          <w:rFonts w:ascii="黑体" w:hAnsi="黑体" w:eastAsia="黑体"/>
        </w:rPr>
        <w:t>12</w:t>
      </w:r>
      <w:r>
        <w:rPr>
          <w:rFonts w:hint="eastAsia" w:ascii="黑体" w:hAnsi="黑体" w:eastAsia="黑体"/>
        </w:rPr>
        <w:t>d</w:t>
      </w:r>
      <w:r>
        <w:rPr>
          <w:rFonts w:ascii="黑体" w:hAnsi="黑体" w:eastAsia="黑体"/>
        </w:rPr>
        <w:t>B</w:t>
      </w:r>
      <w:r>
        <w:rPr>
          <w:rFonts w:hint="eastAsia" w:ascii="黑体" w:hAnsi="黑体" w:eastAsia="黑体"/>
        </w:rPr>
        <w:t>声束扩散角测量方法</w:t>
      </w:r>
    </w:p>
    <w:p w14:paraId="2DD0D796">
      <w:pPr>
        <w:spacing w:line="240" w:lineRule="auto"/>
        <w:ind w:firstLine="420"/>
        <w:rPr>
          <w:rFonts w:ascii="宋体" w:hAnsi="宋体"/>
        </w:rPr>
      </w:pPr>
      <w:r>
        <w:rPr>
          <w:rFonts w:hint="eastAsia" w:ascii="宋体" w:hAnsi="宋体"/>
        </w:rPr>
        <w:t>仪器和探头组合的-12dB声束扩散角采用</w:t>
      </w:r>
      <w:r>
        <w:rPr>
          <w:rFonts w:ascii="宋体" w:hAnsi="宋体"/>
        </w:rPr>
        <w:fldChar w:fldCharType="begin"/>
      </w:r>
      <w:r>
        <w:rPr>
          <w:rFonts w:hint="eastAsia" w:ascii="宋体" w:hAnsi="宋体"/>
        </w:rPr>
        <w:instrText xml:space="preserve">REF _Ref483465303 \h</w:instrText>
      </w:r>
      <w:r>
        <w:rPr>
          <w:rFonts w:ascii="宋体" w:hAnsi="宋体"/>
        </w:rPr>
        <w:instrText xml:space="preserve"> \* MERGEFORMAT </w:instrText>
      </w:r>
      <w:r>
        <w:rPr>
          <w:rFonts w:ascii="宋体" w:hAnsi="宋体"/>
        </w:rPr>
        <w:fldChar w:fldCharType="separate"/>
      </w:r>
      <w:r>
        <w:rPr>
          <w:rFonts w:hint="eastAsia" w:ascii="宋体" w:hAnsi="宋体"/>
        </w:rPr>
        <w:t>图</w:t>
      </w:r>
      <w:r>
        <w:rPr>
          <w:rFonts w:ascii="宋体" w:hAnsi="宋体"/>
        </w:rPr>
        <w:t>1</w:t>
      </w:r>
      <w:r>
        <w:rPr>
          <w:rFonts w:ascii="宋体" w:hAnsi="宋体"/>
        </w:rPr>
        <w:fldChar w:fldCharType="end"/>
      </w:r>
      <w:r>
        <w:rPr>
          <w:rFonts w:hint="eastAsia" w:ascii="宋体" w:hAnsi="宋体"/>
        </w:rPr>
        <w:t>、</w:t>
      </w:r>
      <w:r>
        <w:rPr>
          <w:rFonts w:ascii="宋体" w:hAnsi="宋体"/>
        </w:rPr>
        <w:fldChar w:fldCharType="begin"/>
      </w:r>
      <w:r>
        <w:rPr>
          <w:rFonts w:ascii="宋体" w:hAnsi="宋体"/>
        </w:rPr>
        <w:instrText xml:space="preserve"> REF _Ref483468762 \h  \* MERGEFORMAT </w:instrText>
      </w:r>
      <w:r>
        <w:rPr>
          <w:rFonts w:ascii="宋体" w:hAnsi="宋体"/>
        </w:rPr>
        <w:fldChar w:fldCharType="separate"/>
      </w:r>
      <w:r>
        <w:rPr>
          <w:rFonts w:hint="eastAsia" w:ascii="宋体" w:hAnsi="宋体"/>
        </w:rPr>
        <w:t>图</w:t>
      </w:r>
      <w:r>
        <w:rPr>
          <w:rFonts w:ascii="宋体" w:hAnsi="宋体"/>
        </w:rPr>
        <w:t>13</w:t>
      </w:r>
      <w:r>
        <w:rPr>
          <w:rFonts w:ascii="宋体" w:hAnsi="宋体"/>
        </w:rPr>
        <w:fldChar w:fldCharType="end"/>
      </w:r>
      <w:r>
        <w:rPr>
          <w:rFonts w:hint="eastAsia" w:ascii="宋体" w:hAnsi="宋体"/>
        </w:rPr>
        <w:t>所示的声束角度测定试块进行测量，测量方式（见图B.1），测量步骤如下：</w:t>
      </w:r>
    </w:p>
    <w:p w14:paraId="196066E7">
      <w:pPr>
        <w:spacing w:line="240" w:lineRule="auto"/>
        <w:ind w:firstLine="420"/>
        <w:rPr>
          <w:rFonts w:ascii="宋体" w:hAnsi="宋体"/>
        </w:rPr>
      </w:pPr>
      <w:r>
        <w:rPr>
          <w:rFonts w:ascii="Times New Roman" w:hAnsi="Times New Roman"/>
        </w:rPr>
        <w:t>a）</w:t>
      </w:r>
      <w:r>
        <w:rPr>
          <w:rFonts w:hint="eastAsia" w:ascii="宋体" w:hAnsi="宋体"/>
        </w:rPr>
        <w:t>调节仪器到自发自收状态，将需要测量的探头放置在1位置，前后调节探头的位置和方向，找到最大反射波幅，此时保持探头不动；</w:t>
      </w:r>
    </w:p>
    <w:p w14:paraId="3925ABA7">
      <w:pPr>
        <w:spacing w:line="240" w:lineRule="auto"/>
        <w:ind w:firstLine="420"/>
        <w:rPr>
          <w:rFonts w:ascii="宋体" w:hAnsi="宋体"/>
        </w:rPr>
      </w:pPr>
      <w:r>
        <w:rPr>
          <w:rFonts w:hint="eastAsia" w:ascii="Times New Roman" w:hAnsi="Times New Roman"/>
        </w:rPr>
        <w:t>b）</w:t>
      </w:r>
      <w:r>
        <w:rPr>
          <w:rFonts w:hint="eastAsia" w:ascii="宋体" w:hAnsi="宋体"/>
        </w:rPr>
        <w:t>调节仪器到一发一收状态，将另一接收探头放在2位置沿弧面移动，找到最大波幅，将最大波幅调至仪器满屏的80%，此时探头2位置对应的角度刻度值</w:t>
      </w:r>
      <w:r>
        <w:rPr>
          <w:rFonts w:ascii="宋体" w:hAnsi="宋体"/>
          <w:i/>
        </w:rPr>
        <w:t>α</w:t>
      </w:r>
      <w:r>
        <w:rPr>
          <w:rFonts w:hint="eastAsia" w:ascii="宋体" w:hAnsi="宋体"/>
          <w:vertAlign w:val="subscript"/>
        </w:rPr>
        <w:t>0</w:t>
      </w:r>
      <w:r>
        <w:rPr>
          <w:rFonts w:hint="eastAsia" w:ascii="宋体" w:hAnsi="宋体"/>
        </w:rPr>
        <w:t>即为测试探头的发射角；</w:t>
      </w:r>
    </w:p>
    <w:p w14:paraId="69899C56">
      <w:pPr>
        <w:spacing w:line="240" w:lineRule="auto"/>
        <w:ind w:firstLine="420"/>
        <w:rPr>
          <w:rFonts w:ascii="宋体" w:hAnsi="宋体"/>
        </w:rPr>
      </w:pPr>
      <w:r>
        <w:rPr>
          <w:rFonts w:hint="eastAsia" w:ascii="Times New Roman" w:hAnsi="Times New Roman"/>
        </w:rPr>
        <w:t>c）</w:t>
      </w:r>
      <w:r>
        <w:rPr>
          <w:rFonts w:hint="eastAsia" w:ascii="宋体" w:hAnsi="宋体"/>
        </w:rPr>
        <w:t>保持位置1的测试探头不动，向下移动2位置探头，当反射波幅降低至20%满屏高度时，记下探头2的位置角度值</w:t>
      </w:r>
      <w:r>
        <w:rPr>
          <w:rFonts w:ascii="宋体" w:hAnsi="宋体"/>
          <w:i/>
        </w:rPr>
        <w:t>α</w:t>
      </w:r>
      <w:r>
        <w:rPr>
          <w:rFonts w:hint="eastAsia" w:ascii="宋体" w:hAnsi="宋体"/>
          <w:vertAlign w:val="subscript"/>
        </w:rPr>
        <w:t>1</w:t>
      </w:r>
      <w:r>
        <w:rPr>
          <w:rFonts w:hint="eastAsia" w:ascii="宋体" w:hAnsi="宋体"/>
        </w:rPr>
        <w:t>，此角为下扩散角；</w:t>
      </w:r>
    </w:p>
    <w:p w14:paraId="4BC320FA">
      <w:pPr>
        <w:spacing w:line="240" w:lineRule="auto"/>
        <w:ind w:firstLine="420"/>
      </w:pPr>
      <w:r>
        <w:rPr>
          <w:rFonts w:hint="eastAsia" w:ascii="Times New Roman" w:hAnsi="Times New Roman"/>
        </w:rPr>
        <w:t>d）</w:t>
      </w:r>
      <w:r>
        <w:rPr>
          <w:rFonts w:hint="eastAsia" w:ascii="宋体" w:hAnsi="宋体"/>
        </w:rPr>
        <w:t>保持位置1的测试探头不动，向上移动2位置探头，反射波幅会逐渐升高至80%，继续向上移动，波幅会降低，当反射波幅降低至20%满屏高度时，记下探头2的位置角度值</w:t>
      </w:r>
      <w:r>
        <w:rPr>
          <w:rFonts w:ascii="宋体" w:hAnsi="宋体"/>
          <w:i/>
        </w:rPr>
        <w:t>α</w:t>
      </w:r>
      <w:r>
        <w:rPr>
          <w:rFonts w:hint="eastAsia" w:ascii="宋体" w:hAnsi="宋体"/>
          <w:vertAlign w:val="subscript"/>
        </w:rPr>
        <w:t>2</w:t>
      </w:r>
      <w:r>
        <w:rPr>
          <w:rFonts w:hint="eastAsia" w:ascii="宋体" w:hAnsi="宋体"/>
        </w:rPr>
        <w:t>，此角为上扩散角。</w:t>
      </w:r>
    </w:p>
    <w:p w14:paraId="36D75AEC">
      <w:pPr>
        <w:spacing w:line="240" w:lineRule="auto"/>
        <w:ind w:firstLine="420"/>
      </w:pPr>
      <w:r>
        <w:rPr>
          <w:rFonts w:hint="eastAsia"/>
        </w:rPr>
        <w:drawing>
          <wp:inline distT="0" distB="0" distL="0" distR="0">
            <wp:extent cx="4791710" cy="2882265"/>
            <wp:effectExtent l="0" t="0" r="889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49">
                      <a:extLst>
                        <a:ext uri="{28A0092B-C50C-407E-A947-70E740481C1C}">
                          <a14:useLocalDpi xmlns:a14="http://schemas.microsoft.com/office/drawing/2010/main" val="0"/>
                        </a:ext>
                      </a:extLst>
                    </a:blip>
                    <a:srcRect l="9150"/>
                    <a:stretch>
                      <a:fillRect/>
                    </a:stretch>
                  </pic:blipFill>
                  <pic:spPr>
                    <a:xfrm>
                      <a:off x="0" y="0"/>
                      <a:ext cx="4791710" cy="2882265"/>
                    </a:xfrm>
                    <a:prstGeom prst="rect">
                      <a:avLst/>
                    </a:prstGeom>
                    <a:ln>
                      <a:noFill/>
                    </a:ln>
                  </pic:spPr>
                </pic:pic>
              </a:graphicData>
            </a:graphic>
          </wp:inline>
        </w:drawing>
      </w:r>
    </w:p>
    <w:p w14:paraId="2F02B17D">
      <w:pPr>
        <w:tabs>
          <w:tab w:val="left" w:pos="857"/>
        </w:tabs>
        <w:adjustRightInd/>
        <w:spacing w:line="240" w:lineRule="auto"/>
        <w:jc w:val="center"/>
        <w:rPr>
          <w:rFonts w:ascii="黑体" w:hAnsi="黑体" w:eastAsia="黑体"/>
          <w:color w:val="000000"/>
          <w:lang w:bidi="zh-TW"/>
        </w:rPr>
      </w:pPr>
      <w:r>
        <w:rPr>
          <w:rFonts w:hint="eastAsia" w:ascii="黑体" w:hAnsi="黑体" w:eastAsia="黑体"/>
        </w:rPr>
        <w:t>图 B.1声束扩散角测量</w:t>
      </w:r>
    </w:p>
    <w:p w14:paraId="3EC5DCC9">
      <w:pPr>
        <w:tabs>
          <w:tab w:val="left" w:pos="857"/>
        </w:tabs>
        <w:adjustRightInd/>
        <w:spacing w:line="240" w:lineRule="auto"/>
        <w:ind w:firstLine="420" w:firstLineChars="200"/>
        <w:jc w:val="left"/>
        <w:rPr>
          <w:color w:val="000000"/>
          <w:lang w:bidi="zh-TW"/>
        </w:rPr>
      </w:pPr>
    </w:p>
    <w:p w14:paraId="4DD77BC8">
      <w:pPr>
        <w:tabs>
          <w:tab w:val="left" w:pos="857"/>
        </w:tabs>
        <w:adjustRightInd/>
        <w:spacing w:line="240" w:lineRule="auto"/>
        <w:ind w:firstLine="420" w:firstLineChars="200"/>
        <w:jc w:val="left"/>
        <w:rPr>
          <w:color w:val="000000"/>
          <w:lang w:bidi="zh-TW"/>
        </w:rPr>
      </w:pPr>
    </w:p>
    <w:p w14:paraId="23238EE7">
      <w:pPr>
        <w:tabs>
          <w:tab w:val="left" w:pos="857"/>
        </w:tabs>
        <w:adjustRightInd/>
        <w:spacing w:line="240" w:lineRule="auto"/>
        <w:ind w:firstLine="420" w:firstLineChars="200"/>
        <w:jc w:val="left"/>
        <w:rPr>
          <w:color w:val="000000"/>
          <w:lang w:bidi="zh-TW"/>
        </w:rPr>
      </w:pPr>
    </w:p>
    <w:p w14:paraId="5C916F57">
      <w:pPr>
        <w:tabs>
          <w:tab w:val="left" w:pos="857"/>
        </w:tabs>
        <w:adjustRightInd/>
        <w:spacing w:line="240" w:lineRule="auto"/>
        <w:jc w:val="left"/>
        <w:rPr>
          <w:color w:val="000000"/>
          <w:lang w:bidi="zh-TW"/>
        </w:rPr>
      </w:pPr>
    </w:p>
    <w:p w14:paraId="6025AE87">
      <w:pPr>
        <w:pStyle w:val="60"/>
        <w:ind w:firstLine="0" w:firstLineChars="0"/>
        <w:jc w:val="center"/>
      </w:pPr>
    </w:p>
    <w:p w14:paraId="45761D48">
      <w:pPr>
        <w:pStyle w:val="218"/>
        <w:numPr>
          <w:ilvl w:val="4"/>
          <w:numId w:val="0"/>
        </w:numPr>
        <w:rPr>
          <w:rFonts w:ascii="Times New Roman"/>
          <w:color w:val="auto"/>
        </w:rPr>
      </w:pPr>
    </w:p>
    <w:p w14:paraId="413B269C">
      <w:pPr>
        <w:pStyle w:val="218"/>
        <w:numPr>
          <w:ilvl w:val="4"/>
          <w:numId w:val="0"/>
        </w:numPr>
        <w:rPr>
          <w:rFonts w:ascii="Times New Roman"/>
          <w:color w:val="auto"/>
        </w:rPr>
      </w:pPr>
    </w:p>
    <w:p w14:paraId="5DB23422">
      <w:pPr>
        <w:pStyle w:val="218"/>
        <w:numPr>
          <w:ilvl w:val="4"/>
          <w:numId w:val="0"/>
        </w:numPr>
        <w:rPr>
          <w:rFonts w:ascii="Times New Roman"/>
          <w:color w:val="auto"/>
        </w:rPr>
      </w:pPr>
    </w:p>
    <w:p w14:paraId="731C1B00">
      <w:pPr>
        <w:pStyle w:val="218"/>
        <w:numPr>
          <w:ilvl w:val="4"/>
          <w:numId w:val="0"/>
        </w:numPr>
        <w:rPr>
          <w:rFonts w:ascii="Times New Roman"/>
          <w:color w:val="auto"/>
        </w:rPr>
        <w:sectPr>
          <w:pgSz w:w="11906" w:h="16838"/>
          <w:pgMar w:top="1871" w:right="1134" w:bottom="1134" w:left="1134" w:header="1418" w:footer="1134" w:gutter="284"/>
          <w:pgNumType w:start="1"/>
          <w:cols w:space="425" w:num="1"/>
          <w:formProt w:val="0"/>
          <w:docGrid w:type="lines" w:linePitch="312" w:charSpace="0"/>
        </w:sectPr>
      </w:pPr>
    </w:p>
    <w:p w14:paraId="679A449A">
      <w:pPr>
        <w:pStyle w:val="242"/>
        <w:spacing w:before="156" w:beforeLines="50" w:after="156" w:afterLines="50"/>
        <w:rPr>
          <w:rFonts w:hint="default"/>
          <w:sz w:val="21"/>
          <w:szCs w:val="21"/>
          <w:lang w:val="en-US"/>
        </w:rPr>
      </w:pPr>
      <w:r>
        <w:rPr>
          <w:rFonts w:hint="eastAsia"/>
          <w:sz w:val="21"/>
          <w:szCs w:val="21"/>
        </w:rPr>
        <w:t>附</w:t>
      </w:r>
      <w:r>
        <w:rPr>
          <w:rFonts w:hint="eastAsia"/>
          <w:sz w:val="21"/>
          <w:szCs w:val="21"/>
          <w:lang w:val="en-US" w:eastAsia="zh-CN"/>
        </w:rPr>
        <w:t xml:space="preserve"> </w:t>
      </w:r>
      <w:r>
        <w:rPr>
          <w:rFonts w:hint="eastAsia"/>
          <w:sz w:val="21"/>
          <w:szCs w:val="21"/>
        </w:rPr>
        <w:t>录</w:t>
      </w:r>
      <w:r>
        <w:rPr>
          <w:rFonts w:hint="eastAsia"/>
          <w:sz w:val="21"/>
          <w:szCs w:val="21"/>
          <w:lang w:val="en-US" w:eastAsia="zh-CN"/>
        </w:rPr>
        <w:t xml:space="preserve"> C</w:t>
      </w:r>
    </w:p>
    <w:p w14:paraId="40D08F3B">
      <w:pPr>
        <w:pStyle w:val="242"/>
        <w:spacing w:before="156" w:beforeLines="50" w:after="156" w:afterLines="50"/>
        <w:rPr>
          <w:sz w:val="21"/>
          <w:szCs w:val="21"/>
        </w:rPr>
      </w:pPr>
      <w:r>
        <w:rPr>
          <w:rFonts w:hint="eastAsia"/>
          <w:sz w:val="21"/>
          <w:szCs w:val="21"/>
        </w:rPr>
        <w:t>（</w:t>
      </w:r>
      <w:r>
        <w:rPr>
          <w:rFonts w:hint="eastAsia"/>
          <w:sz w:val="21"/>
          <w:szCs w:val="21"/>
          <w:lang w:val="en-US" w:eastAsia="zh-CN"/>
        </w:rPr>
        <w:t>资料</w:t>
      </w:r>
      <w:r>
        <w:rPr>
          <w:rFonts w:hint="eastAsia"/>
          <w:sz w:val="21"/>
          <w:szCs w:val="21"/>
        </w:rPr>
        <w:t>性）</w:t>
      </w:r>
    </w:p>
    <w:p w14:paraId="716796DC">
      <w:pPr>
        <w:pStyle w:val="242"/>
        <w:spacing w:before="156" w:beforeLines="50" w:after="156" w:afterLines="50"/>
        <w:rPr>
          <w:sz w:val="21"/>
          <w:szCs w:val="21"/>
        </w:rPr>
      </w:pPr>
      <w:r>
        <w:rPr>
          <w:rFonts w:hint="eastAsia"/>
          <w:sz w:val="21"/>
          <w:szCs w:val="21"/>
        </w:rPr>
        <w:t>相控阵超声检测仪性能指标要求</w:t>
      </w:r>
    </w:p>
    <w:p w14:paraId="7348737E">
      <w:pPr>
        <w:spacing w:line="240" w:lineRule="auto"/>
        <w:ind w:firstLine="420" w:firstLineChars="200"/>
        <w:jc w:val="left"/>
      </w:pPr>
      <w:r>
        <w:rPr>
          <w:rFonts w:hint="eastAsia"/>
        </w:rPr>
        <w:t xml:space="preserve">相控阵超声检测仪稳定性能、发射性能、接收器性能指标要求见表 </w:t>
      </w:r>
      <w:r>
        <w:rPr>
          <w:rFonts w:hint="eastAsia"/>
          <w:lang w:val="en-US" w:eastAsia="zh-CN"/>
        </w:rPr>
        <w:t>C</w:t>
      </w:r>
      <w:r>
        <w:rPr>
          <w:rFonts w:hint="eastAsia"/>
        </w:rPr>
        <w:t>.1、表</w:t>
      </w:r>
      <w:r>
        <w:rPr>
          <w:rFonts w:hint="eastAsia"/>
          <w:lang w:val="en-US" w:eastAsia="zh-CN"/>
        </w:rPr>
        <w:t>C</w:t>
      </w:r>
      <w:r>
        <w:t>.2</w:t>
      </w:r>
      <w:r>
        <w:rPr>
          <w:rFonts w:hint="eastAsia"/>
        </w:rPr>
        <w:t>及表</w:t>
      </w:r>
      <w:r>
        <w:rPr>
          <w:rFonts w:hint="eastAsia"/>
          <w:lang w:val="en-US" w:eastAsia="zh-CN"/>
        </w:rPr>
        <w:t>C</w:t>
      </w:r>
      <w:r>
        <w:t>.3</w:t>
      </w:r>
      <w:r>
        <w:rPr>
          <w:rFonts w:hint="eastAsia"/>
        </w:rPr>
        <w:t>，电</w:t>
      </w:r>
      <w:r>
        <w:rPr>
          <w:rFonts w:hint="eastAsia"/>
          <w:lang w:val="en-US" w:eastAsia="zh-CN"/>
        </w:rPr>
        <w:t>气</w:t>
      </w:r>
      <w:r>
        <w:rPr>
          <w:rFonts w:hint="eastAsia"/>
        </w:rPr>
        <w:t>性能测试方法参照 JB/T 11779 的规定。</w:t>
      </w:r>
    </w:p>
    <w:p w14:paraId="2E6D6AAA">
      <w:pPr>
        <w:pStyle w:val="13"/>
        <w:spacing w:before="156" w:beforeLines="50" w:after="156" w:afterLines="50" w:line="240" w:lineRule="auto"/>
        <w:jc w:val="center"/>
      </w:pPr>
      <w:r>
        <w:rPr>
          <w:rFonts w:hint="eastAsia"/>
        </w:rPr>
        <w:t xml:space="preserve">表 </w:t>
      </w:r>
      <w:r>
        <w:rPr>
          <w:rFonts w:hint="eastAsia"/>
          <w:lang w:val="en-US" w:eastAsia="zh-CN"/>
        </w:rPr>
        <w:t>C</w:t>
      </w:r>
      <w:r>
        <w:rPr>
          <w:rFonts w:hint="eastAsia"/>
        </w:rPr>
        <w:t>.1</w:t>
      </w:r>
      <w:r>
        <w:rPr>
          <w:rFonts w:hint="eastAsia"/>
        </w:rPr>
        <w:tab/>
      </w:r>
      <w:r>
        <w:rPr>
          <w:rFonts w:hint="eastAsia"/>
        </w:rPr>
        <w:t>相控阵超声检测仪稳定性能指标要求</w:t>
      </w:r>
    </w:p>
    <w:tbl>
      <w:tblPr>
        <w:tblStyle w:val="29"/>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471"/>
        <w:gridCol w:w="5361"/>
        <w:gridCol w:w="2294"/>
      </w:tblGrid>
      <w:tr w14:paraId="34074E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7" w:hRule="atLeast"/>
          <w:jc w:val="center"/>
        </w:trPr>
        <w:tc>
          <w:tcPr>
            <w:tcW w:w="1471" w:type="dxa"/>
            <w:tcBorders>
              <w:top w:val="single" w:color="000000" w:sz="8" w:space="0"/>
              <w:left w:val="single" w:color="000000" w:sz="4" w:space="0"/>
              <w:bottom w:val="single" w:color="000000" w:sz="4" w:space="0"/>
              <w:right w:val="single" w:color="000000" w:sz="4" w:space="0"/>
            </w:tcBorders>
            <w:vAlign w:val="center"/>
          </w:tcPr>
          <w:p w14:paraId="04CC268F">
            <w:pPr>
              <w:autoSpaceDE w:val="0"/>
              <w:autoSpaceDN w:val="0"/>
              <w:spacing w:line="240" w:lineRule="auto"/>
              <w:jc w:val="center"/>
              <w:rPr>
                <w:rFonts w:ascii="宋体" w:hAnsi="宋体" w:cs="宋体"/>
                <w:b/>
                <w:sz w:val="18"/>
                <w:lang w:eastAsia="en-US" w:bidi="en-US"/>
              </w:rPr>
            </w:pPr>
            <w:r>
              <w:rPr>
                <w:rFonts w:hint="eastAsia" w:ascii="宋体" w:hAnsi="宋体" w:cs="宋体"/>
                <w:b/>
                <w:sz w:val="18"/>
                <w:lang w:bidi="en-US"/>
              </w:rPr>
              <w:t>稳定性能要求</w:t>
            </w:r>
          </w:p>
        </w:tc>
        <w:tc>
          <w:tcPr>
            <w:tcW w:w="5361" w:type="dxa"/>
            <w:tcBorders>
              <w:top w:val="single" w:color="000000" w:sz="8" w:space="0"/>
              <w:left w:val="single" w:color="000000" w:sz="4" w:space="0"/>
              <w:bottom w:val="single" w:color="000000" w:sz="4" w:space="0"/>
              <w:right w:val="single" w:color="000000" w:sz="4" w:space="0"/>
            </w:tcBorders>
            <w:vAlign w:val="center"/>
          </w:tcPr>
          <w:p w14:paraId="01E8C9C5">
            <w:pPr>
              <w:autoSpaceDE w:val="0"/>
              <w:autoSpaceDN w:val="0"/>
              <w:spacing w:line="240" w:lineRule="auto"/>
              <w:jc w:val="center"/>
              <w:rPr>
                <w:rFonts w:ascii="宋体" w:hAnsi="宋体" w:cs="宋体"/>
                <w:b/>
                <w:sz w:val="18"/>
                <w:lang w:eastAsia="en-US" w:bidi="en-US"/>
              </w:rPr>
            </w:pPr>
            <w:r>
              <w:rPr>
                <w:rFonts w:ascii="宋体" w:hAnsi="宋体" w:cs="宋体"/>
                <w:b/>
                <w:sz w:val="18"/>
                <w:lang w:eastAsia="en-US" w:bidi="en-US"/>
              </w:rPr>
              <w:t>测试条件</w:t>
            </w:r>
          </w:p>
        </w:tc>
        <w:tc>
          <w:tcPr>
            <w:tcW w:w="2294" w:type="dxa"/>
            <w:tcBorders>
              <w:top w:val="single" w:color="000000" w:sz="8" w:space="0"/>
              <w:left w:val="single" w:color="000000" w:sz="4" w:space="0"/>
              <w:bottom w:val="single" w:color="000000" w:sz="4" w:space="0"/>
              <w:right w:val="single" w:color="000000" w:sz="8" w:space="0"/>
            </w:tcBorders>
            <w:vAlign w:val="center"/>
          </w:tcPr>
          <w:p w14:paraId="58B557D1">
            <w:pPr>
              <w:autoSpaceDE w:val="0"/>
              <w:autoSpaceDN w:val="0"/>
              <w:spacing w:line="240" w:lineRule="auto"/>
              <w:jc w:val="center"/>
              <w:rPr>
                <w:rFonts w:ascii="宋体" w:hAnsi="宋体" w:cs="宋体"/>
                <w:b/>
                <w:sz w:val="18"/>
                <w:lang w:eastAsia="en-US" w:bidi="en-US"/>
              </w:rPr>
            </w:pPr>
            <w:r>
              <w:rPr>
                <w:rFonts w:ascii="宋体" w:hAnsi="宋体" w:cs="宋体"/>
                <w:b/>
                <w:sz w:val="18"/>
                <w:lang w:eastAsia="en-US" w:bidi="en-US"/>
              </w:rPr>
              <w:t>指标要求</w:t>
            </w:r>
          </w:p>
        </w:tc>
      </w:tr>
      <w:tr w14:paraId="0C6908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79" w:hRule="atLeast"/>
          <w:jc w:val="center"/>
        </w:trPr>
        <w:tc>
          <w:tcPr>
            <w:tcW w:w="1471" w:type="dxa"/>
            <w:tcBorders>
              <w:top w:val="single" w:color="000000" w:sz="4" w:space="0"/>
              <w:left w:val="single" w:color="000000" w:sz="4" w:space="0"/>
              <w:bottom w:val="single" w:color="000000" w:sz="4" w:space="0"/>
              <w:right w:val="single" w:color="000000" w:sz="4" w:space="0"/>
            </w:tcBorders>
          </w:tcPr>
          <w:p w14:paraId="72BD66FF">
            <w:pPr>
              <w:autoSpaceDE w:val="0"/>
              <w:autoSpaceDN w:val="0"/>
              <w:spacing w:line="240" w:lineRule="auto"/>
              <w:jc w:val="left"/>
              <w:rPr>
                <w:rFonts w:ascii="宋体" w:hAnsi="宋体" w:cs="宋体"/>
                <w:sz w:val="18"/>
                <w:lang w:eastAsia="en-US" w:bidi="en-US"/>
              </w:rPr>
            </w:pPr>
          </w:p>
          <w:p w14:paraId="28FA1719">
            <w:pPr>
              <w:autoSpaceDE w:val="0"/>
              <w:autoSpaceDN w:val="0"/>
              <w:spacing w:line="240" w:lineRule="auto"/>
              <w:jc w:val="left"/>
              <w:rPr>
                <w:rFonts w:ascii="宋体" w:hAnsi="宋体" w:cs="宋体"/>
                <w:sz w:val="18"/>
                <w:lang w:eastAsia="en-US" w:bidi="en-US"/>
              </w:rPr>
            </w:pPr>
          </w:p>
          <w:p w14:paraId="71F0EEE8">
            <w:pPr>
              <w:autoSpaceDE w:val="0"/>
              <w:autoSpaceDN w:val="0"/>
              <w:spacing w:line="240" w:lineRule="auto"/>
              <w:jc w:val="left"/>
              <w:rPr>
                <w:rFonts w:ascii="宋体" w:hAnsi="宋体" w:cs="宋体"/>
                <w:sz w:val="18"/>
                <w:lang w:eastAsia="en-US" w:bidi="en-US"/>
              </w:rPr>
            </w:pPr>
          </w:p>
          <w:p w14:paraId="49051164">
            <w:pPr>
              <w:autoSpaceDE w:val="0"/>
              <w:autoSpaceDN w:val="0"/>
              <w:spacing w:line="240" w:lineRule="auto"/>
              <w:rPr>
                <w:rFonts w:ascii="宋体" w:hAnsi="宋体" w:cs="宋体"/>
                <w:sz w:val="18"/>
                <w:lang w:eastAsia="en-US" w:bidi="en-US"/>
              </w:rPr>
            </w:pPr>
            <w:r>
              <w:rPr>
                <w:rFonts w:ascii="宋体" w:hAnsi="宋体" w:cs="宋体"/>
                <w:sz w:val="18"/>
                <w:lang w:eastAsia="en-US" w:bidi="en-US"/>
              </w:rPr>
              <w:t>①预热后的稳定性</w:t>
            </w:r>
          </w:p>
        </w:tc>
        <w:tc>
          <w:tcPr>
            <w:tcW w:w="5361" w:type="dxa"/>
            <w:tcBorders>
              <w:top w:val="single" w:color="000000" w:sz="4" w:space="0"/>
              <w:left w:val="single" w:color="000000" w:sz="4" w:space="0"/>
              <w:bottom w:val="single" w:color="000000" w:sz="4" w:space="0"/>
              <w:right w:val="single" w:color="000000" w:sz="4" w:space="0"/>
            </w:tcBorders>
          </w:tcPr>
          <w:p w14:paraId="5AD9E2B1">
            <w:pPr>
              <w:autoSpaceDE w:val="0"/>
              <w:autoSpaceDN w:val="0"/>
              <w:spacing w:line="240" w:lineRule="auto"/>
              <w:ind w:left="115" w:leftChars="55" w:firstLine="114" w:firstLineChars="65"/>
              <w:rPr>
                <w:rFonts w:ascii="宋体" w:hAnsi="宋体" w:cs="宋体"/>
                <w:spacing w:val="-2"/>
                <w:sz w:val="18"/>
                <w:lang w:bidi="en-US"/>
              </w:rPr>
            </w:pPr>
          </w:p>
          <w:p w14:paraId="017B2719">
            <w:pPr>
              <w:autoSpaceDE w:val="0"/>
              <w:autoSpaceDN w:val="0"/>
              <w:spacing w:line="240" w:lineRule="auto"/>
              <w:ind w:left="115" w:leftChars="55" w:firstLine="114" w:firstLineChars="65"/>
              <w:rPr>
                <w:rFonts w:ascii="宋体" w:hAnsi="宋体" w:cs="宋体"/>
                <w:sz w:val="18"/>
                <w:lang w:bidi="en-US"/>
              </w:rPr>
            </w:pPr>
            <w:r>
              <w:rPr>
                <w:rFonts w:ascii="宋体" w:hAnsi="宋体" w:cs="宋体"/>
                <w:spacing w:val="-2"/>
                <w:sz w:val="18"/>
                <w:lang w:bidi="en-US"/>
              </w:rPr>
              <w:t>仪器按出厂文件中规定的预热时间预热后</w:t>
            </w:r>
            <w:r>
              <w:rPr>
                <w:rFonts w:ascii="宋体" w:hAnsi="宋体" w:cs="宋体"/>
                <w:sz w:val="18"/>
                <w:lang w:bidi="en-US"/>
              </w:rPr>
              <w:t>（</w:t>
            </w:r>
            <w:r>
              <w:rPr>
                <w:rFonts w:ascii="宋体" w:hAnsi="宋体" w:cs="宋体"/>
                <w:spacing w:val="-4"/>
                <w:sz w:val="18"/>
                <w:lang w:bidi="en-US"/>
              </w:rPr>
              <w:t>仪器屏幕</w:t>
            </w:r>
            <w:r>
              <w:rPr>
                <w:rFonts w:ascii="宋体" w:hAnsi="宋体" w:cs="宋体"/>
                <w:spacing w:val="-8"/>
                <w:sz w:val="18"/>
                <w:lang w:bidi="en-US"/>
              </w:rPr>
              <w:t xml:space="preserve">显示范围为 </w:t>
            </w:r>
            <w:r>
              <w:rPr>
                <w:rFonts w:eastAsia="Times New Roman" w:cs="宋体"/>
                <w:spacing w:val="1"/>
                <w:sz w:val="18"/>
                <w:lang w:bidi="en-US"/>
              </w:rPr>
              <w:t>5</w:t>
            </w:r>
            <w:r>
              <w:rPr>
                <w:rFonts w:eastAsia="Times New Roman" w:cs="宋体"/>
                <w:spacing w:val="-2"/>
                <w:sz w:val="18"/>
                <w:lang w:bidi="en-US"/>
              </w:rPr>
              <w:t>0</w:t>
            </w:r>
            <w:r>
              <w:rPr>
                <w:rFonts w:eastAsia="Times New Roman" w:cs="宋体"/>
                <w:spacing w:val="-1"/>
                <w:sz w:val="18"/>
                <w:lang w:bidi="en-US"/>
              </w:rPr>
              <w:t>m</w:t>
            </w:r>
            <w:r>
              <w:rPr>
                <w:rFonts w:eastAsia="Times New Roman" w:cs="宋体"/>
                <w:spacing w:val="1"/>
                <w:sz w:val="18"/>
                <w:lang w:bidi="en-US"/>
              </w:rPr>
              <w:t>m</w:t>
            </w:r>
            <w:r>
              <w:rPr>
                <w:rFonts w:ascii="宋体" w:hAnsi="宋体" w:cs="宋体"/>
                <w:spacing w:val="-12"/>
                <w:sz w:val="18"/>
                <w:lang w:bidi="en-US"/>
              </w:rPr>
              <w:t xml:space="preserve">，声速设定为 </w:t>
            </w:r>
            <w:r>
              <w:rPr>
                <w:rFonts w:eastAsia="Times New Roman" w:cs="宋体"/>
                <w:sz w:val="18"/>
                <w:lang w:bidi="en-US"/>
              </w:rPr>
              <w:t xml:space="preserve">5 </w:t>
            </w:r>
            <w:r>
              <w:rPr>
                <w:rFonts w:eastAsia="Times New Roman" w:cs="宋体"/>
                <w:spacing w:val="1"/>
                <w:sz w:val="18"/>
                <w:lang w:bidi="en-US"/>
              </w:rPr>
              <w:t>9</w:t>
            </w:r>
            <w:r>
              <w:rPr>
                <w:rFonts w:eastAsia="Times New Roman" w:cs="宋体"/>
                <w:spacing w:val="-2"/>
                <w:sz w:val="18"/>
                <w:lang w:bidi="en-US"/>
              </w:rPr>
              <w:t>0</w:t>
            </w:r>
            <w:r>
              <w:rPr>
                <w:rFonts w:eastAsia="Times New Roman" w:cs="宋体"/>
                <w:spacing w:val="1"/>
                <w:sz w:val="18"/>
                <w:lang w:bidi="en-US"/>
              </w:rPr>
              <w:t>0</w:t>
            </w:r>
            <w:r>
              <w:rPr>
                <w:rFonts w:eastAsia="Times New Roman" w:cs="宋体"/>
                <w:spacing w:val="-4"/>
                <w:sz w:val="18"/>
                <w:lang w:bidi="en-US"/>
              </w:rPr>
              <w:t>m</w:t>
            </w:r>
            <w:r>
              <w:rPr>
                <w:rFonts w:eastAsia="Times New Roman" w:cs="宋体"/>
                <w:sz w:val="18"/>
                <w:lang w:bidi="en-US"/>
              </w:rPr>
              <w:t>/</w:t>
            </w:r>
            <w:r>
              <w:rPr>
                <w:rFonts w:eastAsia="Times New Roman" w:cs="宋体"/>
                <w:spacing w:val="2"/>
                <w:sz w:val="18"/>
                <w:lang w:bidi="en-US"/>
              </w:rPr>
              <w:t>s</w:t>
            </w:r>
            <w:r>
              <w:rPr>
                <w:rFonts w:hint="eastAsia" w:cs="宋体"/>
                <w:spacing w:val="2"/>
                <w:sz w:val="18"/>
                <w:lang w:bidi="en-US"/>
              </w:rPr>
              <w:t>），</w:t>
            </w:r>
            <w:r>
              <w:rPr>
                <w:rFonts w:ascii="宋体" w:hAnsi="宋体" w:cs="宋体"/>
                <w:spacing w:val="-10"/>
                <w:sz w:val="18"/>
                <w:lang w:bidi="en-US"/>
              </w:rPr>
              <w:t>采用相控</w:t>
            </w:r>
            <w:r>
              <w:rPr>
                <w:rFonts w:ascii="宋体" w:hAnsi="宋体" w:cs="宋体"/>
                <w:spacing w:val="6"/>
                <w:sz w:val="18"/>
                <w:lang w:bidi="en-US"/>
              </w:rPr>
              <w:t>阵仪器一个有效的发射通道触发任意波形发生器产</w:t>
            </w:r>
            <w:r>
              <w:rPr>
                <w:rFonts w:ascii="宋体" w:hAnsi="宋体" w:cs="宋体"/>
                <w:spacing w:val="-8"/>
                <w:sz w:val="18"/>
                <w:lang w:bidi="en-US"/>
              </w:rPr>
              <w:t xml:space="preserve">生一个 </w:t>
            </w:r>
            <w:r>
              <w:rPr>
                <w:rFonts w:eastAsia="Times New Roman" w:cs="宋体"/>
                <w:sz w:val="18"/>
                <w:lang w:bidi="en-US"/>
              </w:rPr>
              <w:t xml:space="preserve">3 </w:t>
            </w:r>
            <w:r>
              <w:rPr>
                <w:rFonts w:ascii="宋体" w:hAnsi="宋体" w:cs="宋体"/>
                <w:spacing w:val="-2"/>
                <w:sz w:val="18"/>
                <w:lang w:bidi="en-US"/>
              </w:rPr>
              <w:t xml:space="preserve">周期、中心频率为 </w:t>
            </w:r>
            <w:r>
              <w:rPr>
                <w:rFonts w:eastAsia="Times New Roman" w:cs="宋体"/>
                <w:sz w:val="18"/>
                <w:lang w:bidi="en-US"/>
              </w:rPr>
              <w:t>2MHz</w:t>
            </w:r>
            <w:r>
              <w:rPr>
                <w:rFonts w:ascii="宋体" w:hAnsi="宋体" w:cs="宋体"/>
                <w:sz w:val="18"/>
                <w:lang w:bidi="en-US"/>
              </w:rPr>
              <w:t>～</w:t>
            </w:r>
            <w:r>
              <w:rPr>
                <w:rFonts w:eastAsia="Times New Roman" w:cs="宋体"/>
                <w:sz w:val="18"/>
                <w:lang w:bidi="en-US"/>
              </w:rPr>
              <w:t>6MHz</w:t>
            </w:r>
            <w:r>
              <w:rPr>
                <w:rFonts w:ascii="宋体" w:hAnsi="宋体" w:cs="宋体"/>
                <w:spacing w:val="3"/>
                <w:sz w:val="18"/>
                <w:lang w:bidi="en-US"/>
              </w:rPr>
              <w:t>、延迟为</w:t>
            </w:r>
            <w:r>
              <w:rPr>
                <w:rFonts w:eastAsia="Times New Roman" w:cs="宋体"/>
                <w:spacing w:val="3"/>
                <w:sz w:val="18"/>
                <w:lang w:bidi="en-US"/>
              </w:rPr>
              <w:t>10</w:t>
            </w:r>
            <w:r>
              <w:rPr>
                <w:rFonts w:eastAsia="Times New Roman" w:cs="宋体"/>
                <w:spacing w:val="3"/>
                <w:sz w:val="18"/>
                <w:lang w:eastAsia="en-US" w:bidi="en-US"/>
              </w:rPr>
              <w:t>μ</w:t>
            </w:r>
            <w:r>
              <w:rPr>
                <w:rFonts w:eastAsia="Times New Roman" w:cs="宋体"/>
                <w:spacing w:val="3"/>
                <w:sz w:val="18"/>
                <w:lang w:bidi="en-US"/>
              </w:rPr>
              <w:t>s</w:t>
            </w:r>
            <w:r>
              <w:rPr>
                <w:rFonts w:ascii="宋体" w:hAnsi="宋体" w:cs="宋体"/>
                <w:spacing w:val="-6"/>
                <w:sz w:val="18"/>
                <w:lang w:bidi="en-US"/>
              </w:rPr>
              <w:t xml:space="preserve">、峰值为 </w:t>
            </w:r>
            <w:r>
              <w:rPr>
                <w:rFonts w:eastAsia="Times New Roman" w:cs="宋体"/>
                <w:sz w:val="18"/>
                <w:lang w:bidi="en-US"/>
              </w:rPr>
              <w:t xml:space="preserve">100mV </w:t>
            </w:r>
            <w:r>
              <w:rPr>
                <w:rFonts w:ascii="宋体" w:hAnsi="宋体" w:cs="宋体"/>
                <w:spacing w:val="2"/>
                <w:sz w:val="18"/>
                <w:lang w:bidi="en-US"/>
              </w:rPr>
              <w:t>的信号，将信号输入至仪器一</w:t>
            </w:r>
            <w:r>
              <w:rPr>
                <w:rFonts w:ascii="宋体" w:hAnsi="宋体" w:cs="宋体"/>
                <w:spacing w:val="-2"/>
                <w:sz w:val="18"/>
                <w:lang w:bidi="en-US"/>
              </w:rPr>
              <w:t>个有效的接收通道，调节增益使屏幕上产生一个满屏</w:t>
            </w:r>
            <w:r>
              <w:rPr>
                <w:rFonts w:ascii="宋体" w:hAnsi="宋体" w:cs="宋体"/>
                <w:spacing w:val="-15"/>
                <w:sz w:val="18"/>
                <w:lang w:bidi="en-US"/>
              </w:rPr>
              <w:t xml:space="preserve">高度 </w:t>
            </w:r>
            <w:r>
              <w:rPr>
                <w:rFonts w:eastAsia="Times New Roman" w:cs="宋体"/>
                <w:sz w:val="18"/>
                <w:lang w:bidi="en-US"/>
              </w:rPr>
              <w:t>80</w:t>
            </w:r>
            <w:r>
              <w:rPr>
                <w:rFonts w:ascii="宋体" w:hAnsi="宋体" w:cs="宋体"/>
                <w:spacing w:val="-4"/>
                <w:sz w:val="18"/>
                <w:lang w:bidi="en-US"/>
              </w:rPr>
              <w:t xml:space="preserve">%的参考回波信号。每隔 </w:t>
            </w:r>
            <w:r>
              <w:rPr>
                <w:rFonts w:eastAsia="Times New Roman" w:cs="宋体"/>
                <w:sz w:val="18"/>
                <w:lang w:bidi="en-US"/>
              </w:rPr>
              <w:t xml:space="preserve">10min </w:t>
            </w:r>
            <w:r>
              <w:rPr>
                <w:rFonts w:ascii="宋体" w:hAnsi="宋体" w:cs="宋体"/>
                <w:sz w:val="18"/>
                <w:lang w:bidi="en-US"/>
              </w:rPr>
              <w:t>观察该回波信</w:t>
            </w:r>
            <w:r>
              <w:rPr>
                <w:rFonts w:ascii="宋体" w:hAnsi="宋体" w:cs="宋体"/>
                <w:spacing w:val="-3"/>
                <w:sz w:val="18"/>
                <w:lang w:bidi="en-US"/>
              </w:rPr>
              <w:t xml:space="preserve">号的幅度和时基线上位置的变化，连续测量 </w:t>
            </w:r>
            <w:r>
              <w:rPr>
                <w:rFonts w:eastAsia="Times New Roman" w:cs="宋体"/>
                <w:sz w:val="18"/>
                <w:lang w:bidi="en-US"/>
              </w:rPr>
              <w:t xml:space="preserve">3 </w:t>
            </w:r>
            <w:r>
              <w:rPr>
                <w:rFonts w:ascii="宋体" w:hAnsi="宋体" w:cs="宋体"/>
                <w:sz w:val="18"/>
                <w:lang w:bidi="en-US"/>
              </w:rPr>
              <w:t>次</w:t>
            </w:r>
          </w:p>
        </w:tc>
        <w:tc>
          <w:tcPr>
            <w:tcW w:w="2294" w:type="dxa"/>
            <w:tcBorders>
              <w:top w:val="single" w:color="000000" w:sz="4" w:space="0"/>
              <w:left w:val="single" w:color="000000" w:sz="4" w:space="0"/>
              <w:bottom w:val="single" w:color="000000" w:sz="4" w:space="0"/>
              <w:right w:val="single" w:color="000000" w:sz="8" w:space="0"/>
            </w:tcBorders>
          </w:tcPr>
          <w:p w14:paraId="6E3035C5">
            <w:pPr>
              <w:autoSpaceDE w:val="0"/>
              <w:autoSpaceDN w:val="0"/>
              <w:spacing w:line="240" w:lineRule="auto"/>
              <w:ind w:left="139" w:leftChars="66"/>
              <w:jc w:val="left"/>
              <w:rPr>
                <w:rFonts w:ascii="宋体" w:hAnsi="宋体" w:cs="宋体"/>
                <w:sz w:val="18"/>
                <w:lang w:bidi="en-US"/>
              </w:rPr>
            </w:pPr>
          </w:p>
          <w:p w14:paraId="254299B0">
            <w:pPr>
              <w:autoSpaceDE w:val="0"/>
              <w:autoSpaceDN w:val="0"/>
              <w:spacing w:line="240" w:lineRule="auto"/>
              <w:ind w:left="139" w:leftChars="66"/>
              <w:jc w:val="left"/>
              <w:rPr>
                <w:rFonts w:ascii="宋体" w:hAnsi="宋体" w:cs="宋体"/>
                <w:sz w:val="18"/>
                <w:lang w:bidi="en-US"/>
              </w:rPr>
            </w:pPr>
            <w:r>
              <w:rPr>
                <w:rFonts w:ascii="宋体" w:hAnsi="宋体" w:cs="宋体"/>
                <w:sz w:val="18"/>
                <w:lang w:bidi="en-US"/>
              </w:rPr>
              <w:t xml:space="preserve">①参考回波信号幅值的变化≤满屏高度的 </w:t>
            </w:r>
            <w:r>
              <w:rPr>
                <w:rFonts w:eastAsia="Times New Roman" w:cs="宋体"/>
                <w:sz w:val="18"/>
                <w:lang w:bidi="en-US"/>
              </w:rPr>
              <w:t>2</w:t>
            </w:r>
            <w:r>
              <w:rPr>
                <w:rFonts w:ascii="宋体" w:hAnsi="宋体" w:cs="宋体"/>
                <w:sz w:val="18"/>
                <w:lang w:bidi="en-US"/>
              </w:rPr>
              <w:t>%；</w:t>
            </w:r>
          </w:p>
          <w:p w14:paraId="69E1EC67">
            <w:pPr>
              <w:autoSpaceDE w:val="0"/>
              <w:autoSpaceDN w:val="0"/>
              <w:spacing w:line="240" w:lineRule="auto"/>
              <w:ind w:left="139" w:leftChars="66"/>
              <w:jc w:val="left"/>
              <w:rPr>
                <w:rFonts w:ascii="宋体" w:hAnsi="宋体" w:cs="宋体"/>
                <w:sz w:val="18"/>
                <w:lang w:bidi="en-US"/>
              </w:rPr>
            </w:pPr>
            <w:r>
              <w:rPr>
                <w:rFonts w:ascii="宋体" w:hAnsi="宋体" w:cs="宋体"/>
                <w:sz w:val="18"/>
                <w:lang w:bidi="en-US"/>
              </w:rPr>
              <w:t xml:space="preserve">②参考回波信号时基线位置的变化≤满屏宽度的 </w:t>
            </w:r>
            <w:r>
              <w:rPr>
                <w:rFonts w:eastAsia="Times New Roman" w:cs="宋体"/>
                <w:sz w:val="18"/>
                <w:lang w:bidi="en-US"/>
              </w:rPr>
              <w:t>1</w:t>
            </w:r>
            <w:r>
              <w:rPr>
                <w:rFonts w:ascii="宋体" w:hAnsi="宋体" w:cs="宋体"/>
                <w:sz w:val="18"/>
                <w:lang w:bidi="en-US"/>
              </w:rPr>
              <w:t>%</w:t>
            </w:r>
          </w:p>
        </w:tc>
      </w:tr>
      <w:tr w14:paraId="30E889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237" w:hRule="atLeast"/>
          <w:jc w:val="center"/>
        </w:trPr>
        <w:tc>
          <w:tcPr>
            <w:tcW w:w="1471" w:type="dxa"/>
            <w:tcBorders>
              <w:top w:val="single" w:color="000000" w:sz="4" w:space="0"/>
              <w:left w:val="single" w:color="000000" w:sz="4" w:space="0"/>
              <w:bottom w:val="single" w:color="000000" w:sz="4" w:space="0"/>
              <w:right w:val="single" w:color="000000" w:sz="4" w:space="0"/>
            </w:tcBorders>
          </w:tcPr>
          <w:p w14:paraId="24A8961B">
            <w:pPr>
              <w:autoSpaceDE w:val="0"/>
              <w:autoSpaceDN w:val="0"/>
              <w:spacing w:line="240" w:lineRule="auto"/>
              <w:jc w:val="left"/>
              <w:rPr>
                <w:rFonts w:ascii="宋体" w:hAnsi="宋体" w:cs="宋体"/>
                <w:sz w:val="18"/>
                <w:lang w:bidi="en-US"/>
              </w:rPr>
            </w:pPr>
          </w:p>
          <w:p w14:paraId="3ADC5B9F">
            <w:pPr>
              <w:autoSpaceDE w:val="0"/>
              <w:autoSpaceDN w:val="0"/>
              <w:spacing w:line="240" w:lineRule="auto"/>
              <w:jc w:val="left"/>
              <w:rPr>
                <w:rFonts w:ascii="宋体" w:hAnsi="宋体" w:cs="宋体"/>
                <w:sz w:val="18"/>
                <w:lang w:bidi="en-US"/>
              </w:rPr>
            </w:pPr>
          </w:p>
          <w:p w14:paraId="4075728C">
            <w:pPr>
              <w:autoSpaceDE w:val="0"/>
              <w:autoSpaceDN w:val="0"/>
              <w:spacing w:line="240" w:lineRule="auto"/>
              <w:jc w:val="left"/>
              <w:rPr>
                <w:rFonts w:ascii="宋体" w:hAnsi="宋体" w:cs="宋体"/>
                <w:sz w:val="18"/>
                <w:lang w:bidi="en-US"/>
              </w:rPr>
            </w:pPr>
          </w:p>
          <w:p w14:paraId="3A9771D7">
            <w:pPr>
              <w:autoSpaceDE w:val="0"/>
              <w:autoSpaceDN w:val="0"/>
              <w:spacing w:line="240" w:lineRule="auto"/>
              <w:jc w:val="left"/>
              <w:rPr>
                <w:rFonts w:ascii="宋体" w:hAnsi="宋体" w:cs="宋体"/>
                <w:lang w:bidi="en-US"/>
              </w:rPr>
            </w:pPr>
          </w:p>
          <w:p w14:paraId="79E43FB2">
            <w:pPr>
              <w:autoSpaceDE w:val="0"/>
              <w:autoSpaceDN w:val="0"/>
              <w:spacing w:line="240" w:lineRule="auto"/>
              <w:jc w:val="left"/>
              <w:rPr>
                <w:rFonts w:ascii="宋体" w:hAnsi="宋体" w:cs="宋体"/>
                <w:sz w:val="18"/>
                <w:lang w:eastAsia="en-US" w:bidi="en-US"/>
              </w:rPr>
            </w:pPr>
            <w:r>
              <w:rPr>
                <w:rFonts w:ascii="宋体" w:hAnsi="宋体" w:cs="宋体"/>
                <w:sz w:val="18"/>
                <w:lang w:eastAsia="en-US" w:bidi="en-US"/>
              </w:rPr>
              <w:t>②显示抖动</w:t>
            </w:r>
          </w:p>
        </w:tc>
        <w:tc>
          <w:tcPr>
            <w:tcW w:w="5361" w:type="dxa"/>
            <w:tcBorders>
              <w:top w:val="single" w:color="000000" w:sz="4" w:space="0"/>
              <w:left w:val="single" w:color="000000" w:sz="4" w:space="0"/>
              <w:bottom w:val="single" w:color="000000" w:sz="4" w:space="0"/>
              <w:right w:val="single" w:color="000000" w:sz="4" w:space="0"/>
            </w:tcBorders>
          </w:tcPr>
          <w:p w14:paraId="0D2210FB">
            <w:pPr>
              <w:autoSpaceDE w:val="0"/>
              <w:autoSpaceDN w:val="0"/>
              <w:spacing w:line="240" w:lineRule="auto"/>
              <w:ind w:left="115" w:leftChars="55" w:firstLine="130" w:firstLineChars="65"/>
              <w:jc w:val="left"/>
              <w:rPr>
                <w:rFonts w:ascii="宋体" w:hAnsi="宋体" w:cs="宋体"/>
                <w:sz w:val="20"/>
                <w:lang w:bidi="en-US"/>
              </w:rPr>
            </w:pPr>
          </w:p>
          <w:p w14:paraId="1FE566DF">
            <w:pPr>
              <w:autoSpaceDE w:val="0"/>
              <w:autoSpaceDN w:val="0"/>
              <w:spacing w:line="240" w:lineRule="auto"/>
              <w:ind w:left="115" w:leftChars="55" w:firstLine="114" w:firstLineChars="65"/>
              <w:rPr>
                <w:rFonts w:ascii="宋体" w:hAnsi="宋体" w:cs="宋体"/>
                <w:sz w:val="18"/>
                <w:lang w:bidi="en-US"/>
              </w:rPr>
            </w:pPr>
            <w:r>
              <w:rPr>
                <w:rFonts w:ascii="宋体" w:hAnsi="宋体" w:cs="宋体"/>
                <w:spacing w:val="-2"/>
                <w:sz w:val="18"/>
                <w:lang w:bidi="en-US"/>
              </w:rPr>
              <w:t>仪器按出厂文件中规定的预热时间预热后</w:t>
            </w:r>
            <w:r>
              <w:rPr>
                <w:rFonts w:ascii="宋体" w:hAnsi="宋体" w:cs="宋体"/>
                <w:sz w:val="18"/>
                <w:lang w:bidi="en-US"/>
              </w:rPr>
              <w:t>（</w:t>
            </w:r>
            <w:r>
              <w:rPr>
                <w:rFonts w:ascii="宋体" w:hAnsi="宋体" w:cs="宋体"/>
                <w:spacing w:val="-4"/>
                <w:sz w:val="18"/>
                <w:lang w:bidi="en-US"/>
              </w:rPr>
              <w:t>仪器屏幕</w:t>
            </w:r>
            <w:r>
              <w:rPr>
                <w:rFonts w:ascii="宋体" w:hAnsi="宋体" w:cs="宋体"/>
                <w:spacing w:val="-8"/>
                <w:sz w:val="18"/>
                <w:lang w:bidi="en-US"/>
              </w:rPr>
              <w:t xml:space="preserve">显示范围为 </w:t>
            </w:r>
            <w:r>
              <w:rPr>
                <w:rFonts w:hAnsi="宋体" w:eastAsia="Times New Roman" w:cs="宋体"/>
                <w:spacing w:val="1"/>
                <w:sz w:val="18"/>
                <w:lang w:bidi="en-US"/>
              </w:rPr>
              <w:t>5</w:t>
            </w:r>
            <w:r>
              <w:rPr>
                <w:rFonts w:hAnsi="宋体" w:eastAsia="Times New Roman" w:cs="宋体"/>
                <w:spacing w:val="-2"/>
                <w:sz w:val="18"/>
                <w:lang w:bidi="en-US"/>
              </w:rPr>
              <w:t>0</w:t>
            </w:r>
            <w:r>
              <w:rPr>
                <w:rFonts w:hAnsi="宋体" w:eastAsia="Times New Roman" w:cs="宋体"/>
                <w:spacing w:val="-1"/>
                <w:sz w:val="18"/>
                <w:lang w:bidi="en-US"/>
              </w:rPr>
              <w:t>m</w:t>
            </w:r>
            <w:r>
              <w:rPr>
                <w:rFonts w:hAnsi="宋体" w:eastAsia="Times New Roman" w:cs="宋体"/>
                <w:spacing w:val="1"/>
                <w:sz w:val="18"/>
                <w:lang w:bidi="en-US"/>
              </w:rPr>
              <w:t>m</w:t>
            </w:r>
            <w:r>
              <w:rPr>
                <w:rFonts w:ascii="宋体" w:hAnsi="宋体" w:cs="宋体"/>
                <w:spacing w:val="-12"/>
                <w:sz w:val="18"/>
                <w:lang w:bidi="en-US"/>
              </w:rPr>
              <w:t xml:space="preserve">，声速设定为 </w:t>
            </w:r>
            <w:r>
              <w:rPr>
                <w:rFonts w:hAnsi="宋体" w:eastAsia="Times New Roman" w:cs="宋体"/>
                <w:sz w:val="18"/>
                <w:lang w:bidi="en-US"/>
              </w:rPr>
              <w:t>5</w:t>
            </w:r>
            <w:r>
              <w:rPr>
                <w:rFonts w:hAnsi="宋体" w:eastAsia="Times New Roman" w:cs="宋体"/>
                <w:spacing w:val="-1"/>
                <w:sz w:val="18"/>
                <w:lang w:bidi="en-US"/>
              </w:rPr>
              <w:t xml:space="preserve"> </w:t>
            </w:r>
            <w:r>
              <w:rPr>
                <w:rFonts w:hAnsi="宋体" w:eastAsia="Times New Roman" w:cs="宋体"/>
                <w:spacing w:val="1"/>
                <w:sz w:val="18"/>
                <w:lang w:bidi="en-US"/>
              </w:rPr>
              <w:t>9</w:t>
            </w:r>
            <w:r>
              <w:rPr>
                <w:rFonts w:hAnsi="宋体" w:eastAsia="Times New Roman" w:cs="宋体"/>
                <w:spacing w:val="-2"/>
                <w:sz w:val="18"/>
                <w:lang w:bidi="en-US"/>
              </w:rPr>
              <w:t>0</w:t>
            </w:r>
            <w:r>
              <w:rPr>
                <w:rFonts w:hAnsi="宋体" w:eastAsia="Times New Roman" w:cs="宋体"/>
                <w:spacing w:val="1"/>
                <w:sz w:val="18"/>
                <w:lang w:bidi="en-US"/>
              </w:rPr>
              <w:t>0</w:t>
            </w:r>
            <w:r>
              <w:rPr>
                <w:rFonts w:hAnsi="宋体" w:eastAsia="Times New Roman" w:cs="宋体"/>
                <w:spacing w:val="-4"/>
                <w:sz w:val="18"/>
                <w:lang w:bidi="en-US"/>
              </w:rPr>
              <w:t>m</w:t>
            </w:r>
            <w:r>
              <w:rPr>
                <w:rFonts w:hAnsi="宋体" w:eastAsia="Times New Roman" w:cs="宋体"/>
                <w:sz w:val="18"/>
                <w:lang w:bidi="en-US"/>
              </w:rPr>
              <w:t>/</w:t>
            </w:r>
            <w:r>
              <w:rPr>
                <w:rFonts w:hAnsi="宋体" w:eastAsia="Times New Roman" w:cs="宋体"/>
                <w:spacing w:val="2"/>
                <w:sz w:val="18"/>
                <w:lang w:bidi="en-US"/>
              </w:rPr>
              <w:t>s</w:t>
            </w:r>
            <w:r>
              <w:rPr>
                <w:rFonts w:hint="eastAsia" w:hAnsi="宋体" w:cs="宋体"/>
                <w:spacing w:val="2"/>
                <w:sz w:val="18"/>
                <w:lang w:bidi="en-US"/>
              </w:rPr>
              <w:t>），</w:t>
            </w:r>
            <w:r>
              <w:rPr>
                <w:rFonts w:ascii="宋体" w:hAnsi="宋体" w:cs="宋体"/>
                <w:spacing w:val="-8"/>
                <w:sz w:val="18"/>
                <w:lang w:bidi="en-US"/>
              </w:rPr>
              <w:t>采用任意</w:t>
            </w:r>
            <w:r>
              <w:rPr>
                <w:rFonts w:ascii="宋体" w:hAnsi="宋体" w:cs="宋体"/>
                <w:spacing w:val="-6"/>
                <w:sz w:val="18"/>
                <w:lang w:bidi="en-US"/>
              </w:rPr>
              <w:t xml:space="preserve">波形发生器产生一个中心频率为 </w:t>
            </w:r>
            <w:r>
              <w:rPr>
                <w:rFonts w:hAnsi="宋体" w:eastAsia="Times New Roman" w:cs="宋体"/>
                <w:sz w:val="18"/>
                <w:lang w:bidi="en-US"/>
              </w:rPr>
              <w:t>2MHz</w:t>
            </w:r>
            <w:r>
              <w:rPr>
                <w:rFonts w:ascii="宋体" w:hAnsi="宋体" w:cs="宋体"/>
                <w:sz w:val="18"/>
                <w:lang w:bidi="en-US"/>
              </w:rPr>
              <w:t>～</w:t>
            </w:r>
            <w:r>
              <w:rPr>
                <w:rFonts w:hAnsi="宋体" w:eastAsia="Times New Roman" w:cs="宋体"/>
                <w:sz w:val="18"/>
                <w:lang w:bidi="en-US"/>
              </w:rPr>
              <w:t>6MHz</w:t>
            </w:r>
            <w:r>
              <w:rPr>
                <w:rFonts w:hAnsi="宋体" w:eastAsia="Times New Roman" w:cs="宋体"/>
                <w:spacing w:val="14"/>
                <w:sz w:val="18"/>
                <w:lang w:bidi="en-US"/>
              </w:rPr>
              <w:t xml:space="preserve"> </w:t>
            </w:r>
            <w:r>
              <w:rPr>
                <w:rFonts w:ascii="宋体" w:hAnsi="宋体" w:cs="宋体"/>
                <w:sz w:val="18"/>
                <w:lang w:bidi="en-US"/>
              </w:rPr>
              <w:t>的信</w:t>
            </w:r>
            <w:r>
              <w:rPr>
                <w:rFonts w:ascii="宋体" w:hAnsi="宋体" w:cs="宋体"/>
                <w:spacing w:val="-4"/>
                <w:sz w:val="18"/>
                <w:lang w:bidi="en-US"/>
              </w:rPr>
              <w:t>号，连接仪器并在屏幕上产生一个参考回波信号</w:t>
            </w:r>
            <w:r>
              <w:rPr>
                <w:rFonts w:ascii="宋体" w:hAnsi="宋体" w:cs="宋体"/>
                <w:sz w:val="18"/>
                <w:lang w:bidi="en-US"/>
              </w:rPr>
              <w:t>（</w:t>
            </w:r>
            <w:r>
              <w:rPr>
                <w:rFonts w:ascii="宋体" w:hAnsi="宋体" w:cs="宋体"/>
                <w:spacing w:val="-15"/>
                <w:sz w:val="18"/>
                <w:lang w:bidi="en-US"/>
              </w:rPr>
              <w:t>仪</w:t>
            </w:r>
            <w:r>
              <w:rPr>
                <w:rFonts w:ascii="宋体" w:hAnsi="宋体" w:cs="宋体"/>
                <w:spacing w:val="2"/>
                <w:sz w:val="18"/>
                <w:lang w:bidi="en-US"/>
              </w:rPr>
              <w:t>器增益设定在中间值</w:t>
            </w:r>
            <w:r>
              <w:rPr>
                <w:rFonts w:hint="eastAsia" w:ascii="宋体" w:hAnsi="宋体" w:cs="宋体"/>
                <w:spacing w:val="2"/>
                <w:sz w:val="18"/>
                <w:lang w:bidi="en-US"/>
              </w:rPr>
              <w:t>），</w:t>
            </w:r>
            <w:r>
              <w:rPr>
                <w:rFonts w:ascii="宋体" w:hAnsi="宋体" w:cs="宋体"/>
                <w:spacing w:val="1"/>
                <w:sz w:val="18"/>
                <w:lang w:bidi="en-US"/>
              </w:rPr>
              <w:t>调节外部衰减器将参考信号</w:t>
            </w:r>
            <w:r>
              <w:rPr>
                <w:rFonts w:ascii="宋体" w:hAnsi="宋体" w:cs="宋体"/>
                <w:spacing w:val="-3"/>
                <w:sz w:val="18"/>
                <w:lang w:bidi="en-US"/>
              </w:rPr>
              <w:t xml:space="preserve">幅度调至满屏高度的 </w:t>
            </w:r>
            <w:r>
              <w:rPr>
                <w:rFonts w:hAnsi="宋体" w:eastAsia="Times New Roman" w:cs="宋体"/>
                <w:sz w:val="18"/>
                <w:lang w:bidi="en-US"/>
              </w:rPr>
              <w:t>80</w:t>
            </w:r>
            <w:r>
              <w:rPr>
                <w:rFonts w:ascii="宋体" w:hAnsi="宋体" w:cs="宋体"/>
                <w:spacing w:val="-5"/>
                <w:sz w:val="18"/>
                <w:lang w:bidi="en-US"/>
              </w:rPr>
              <w:t xml:space="preserve">%。以每秒不少于 </w:t>
            </w:r>
            <w:r>
              <w:rPr>
                <w:rFonts w:hAnsi="宋体" w:eastAsia="Times New Roman" w:cs="宋体"/>
                <w:sz w:val="18"/>
                <w:lang w:bidi="en-US"/>
              </w:rPr>
              <w:t>1</w:t>
            </w:r>
            <w:r>
              <w:rPr>
                <w:rFonts w:hAnsi="宋体" w:eastAsia="Times New Roman" w:cs="宋体"/>
                <w:spacing w:val="6"/>
                <w:sz w:val="18"/>
                <w:lang w:bidi="en-US"/>
              </w:rPr>
              <w:t xml:space="preserve"> </w:t>
            </w:r>
            <w:r>
              <w:rPr>
                <w:rFonts w:ascii="宋体" w:hAnsi="宋体" w:cs="宋体"/>
                <w:sz w:val="18"/>
                <w:lang w:bidi="en-US"/>
              </w:rPr>
              <w:t>次的观察</w:t>
            </w:r>
            <w:r>
              <w:rPr>
                <w:rFonts w:ascii="宋体" w:hAnsi="宋体" w:cs="宋体"/>
                <w:spacing w:val="-5"/>
                <w:sz w:val="18"/>
                <w:lang w:bidi="en-US"/>
              </w:rPr>
              <w:t>频率，测量该参考信号的幅度和时基线上位置的变化</w:t>
            </w:r>
          </w:p>
        </w:tc>
        <w:tc>
          <w:tcPr>
            <w:tcW w:w="2294" w:type="dxa"/>
            <w:tcBorders>
              <w:top w:val="single" w:color="000000" w:sz="4" w:space="0"/>
              <w:left w:val="single" w:color="000000" w:sz="4" w:space="0"/>
              <w:bottom w:val="single" w:color="000000" w:sz="4" w:space="0"/>
              <w:right w:val="single" w:color="000000" w:sz="8" w:space="0"/>
            </w:tcBorders>
          </w:tcPr>
          <w:p w14:paraId="6C895303">
            <w:pPr>
              <w:autoSpaceDE w:val="0"/>
              <w:autoSpaceDN w:val="0"/>
              <w:spacing w:line="240" w:lineRule="auto"/>
              <w:ind w:left="139" w:leftChars="66"/>
              <w:jc w:val="left"/>
              <w:rPr>
                <w:rFonts w:hint="eastAsia" w:ascii="宋体" w:hAnsi="宋体" w:cs="宋体"/>
                <w:sz w:val="17"/>
                <w:lang w:bidi="en-US"/>
              </w:rPr>
            </w:pPr>
          </w:p>
          <w:p w14:paraId="1870D9FA">
            <w:pPr>
              <w:autoSpaceDE w:val="0"/>
              <w:autoSpaceDN w:val="0"/>
              <w:spacing w:line="240" w:lineRule="auto"/>
              <w:ind w:left="139" w:leftChars="66"/>
              <w:jc w:val="left"/>
              <w:rPr>
                <w:rFonts w:ascii="宋体" w:hAnsi="宋体" w:cs="宋体"/>
                <w:sz w:val="18"/>
                <w:lang w:bidi="en-US"/>
              </w:rPr>
            </w:pPr>
            <w:r>
              <w:rPr>
                <w:rFonts w:ascii="宋体" w:hAnsi="宋体" w:cs="宋体"/>
                <w:sz w:val="18"/>
                <w:lang w:bidi="en-US"/>
              </w:rPr>
              <w:t xml:space="preserve">①参考信号幅值的变化≤满屏高度的 </w:t>
            </w:r>
            <w:r>
              <w:rPr>
                <w:rFonts w:eastAsia="Times New Roman" w:cs="宋体"/>
                <w:sz w:val="18"/>
                <w:lang w:bidi="en-US"/>
              </w:rPr>
              <w:t>2</w:t>
            </w:r>
            <w:r>
              <w:rPr>
                <w:rFonts w:ascii="宋体" w:hAnsi="宋体" w:cs="宋体"/>
                <w:sz w:val="18"/>
                <w:lang w:bidi="en-US"/>
              </w:rPr>
              <w:t>%；</w:t>
            </w:r>
          </w:p>
          <w:p w14:paraId="07B1BF3F">
            <w:pPr>
              <w:autoSpaceDE w:val="0"/>
              <w:autoSpaceDN w:val="0"/>
              <w:spacing w:line="240" w:lineRule="auto"/>
              <w:ind w:left="139" w:leftChars="66"/>
              <w:jc w:val="left"/>
              <w:rPr>
                <w:rFonts w:ascii="宋体" w:hAnsi="宋体" w:cs="宋体"/>
                <w:sz w:val="18"/>
                <w:lang w:bidi="en-US"/>
              </w:rPr>
            </w:pPr>
            <w:r>
              <w:rPr>
                <w:rFonts w:ascii="宋体" w:hAnsi="宋体" w:cs="宋体"/>
                <w:sz w:val="18"/>
                <w:lang w:bidi="en-US"/>
              </w:rPr>
              <w:t xml:space="preserve">②参考信号时基线位置的变化≤满屏宽度的 </w:t>
            </w:r>
            <w:r>
              <w:rPr>
                <w:rFonts w:eastAsia="Times New Roman" w:cs="宋体"/>
                <w:sz w:val="18"/>
                <w:lang w:bidi="en-US"/>
              </w:rPr>
              <w:t>1</w:t>
            </w:r>
            <w:r>
              <w:rPr>
                <w:rFonts w:ascii="宋体" w:hAnsi="宋体" w:cs="宋体"/>
                <w:sz w:val="18"/>
                <w:lang w:bidi="en-US"/>
              </w:rPr>
              <w:t>%</w:t>
            </w:r>
          </w:p>
        </w:tc>
      </w:tr>
      <w:tr w14:paraId="0DE8C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282" w:hRule="atLeast"/>
          <w:jc w:val="center"/>
        </w:trPr>
        <w:tc>
          <w:tcPr>
            <w:tcW w:w="1471" w:type="dxa"/>
            <w:tcBorders>
              <w:top w:val="single" w:color="000000" w:sz="4" w:space="0"/>
              <w:left w:val="single" w:color="000000" w:sz="4" w:space="0"/>
              <w:bottom w:val="single" w:color="000000" w:sz="4" w:space="0"/>
              <w:right w:val="single" w:color="000000" w:sz="4" w:space="0"/>
            </w:tcBorders>
          </w:tcPr>
          <w:p w14:paraId="187A9983">
            <w:pPr>
              <w:autoSpaceDE w:val="0"/>
              <w:autoSpaceDN w:val="0"/>
              <w:spacing w:line="240" w:lineRule="auto"/>
              <w:jc w:val="left"/>
              <w:rPr>
                <w:rFonts w:ascii="宋体" w:hAnsi="宋体" w:cs="宋体"/>
                <w:sz w:val="18"/>
                <w:lang w:bidi="en-US"/>
              </w:rPr>
            </w:pPr>
          </w:p>
          <w:p w14:paraId="569B574E">
            <w:pPr>
              <w:autoSpaceDE w:val="0"/>
              <w:autoSpaceDN w:val="0"/>
              <w:spacing w:line="240" w:lineRule="auto"/>
              <w:jc w:val="left"/>
              <w:rPr>
                <w:rFonts w:ascii="宋体" w:hAnsi="宋体" w:cs="宋体"/>
                <w:sz w:val="18"/>
                <w:lang w:bidi="en-US"/>
              </w:rPr>
            </w:pPr>
          </w:p>
          <w:p w14:paraId="2B85A2E8">
            <w:pPr>
              <w:autoSpaceDE w:val="0"/>
              <w:autoSpaceDN w:val="0"/>
              <w:spacing w:line="240" w:lineRule="auto"/>
              <w:jc w:val="left"/>
              <w:rPr>
                <w:rFonts w:ascii="宋体" w:hAnsi="宋体" w:cs="宋体"/>
                <w:sz w:val="16"/>
                <w:lang w:bidi="en-US"/>
              </w:rPr>
            </w:pPr>
          </w:p>
          <w:p w14:paraId="42340D79">
            <w:pPr>
              <w:autoSpaceDE w:val="0"/>
              <w:autoSpaceDN w:val="0"/>
              <w:spacing w:line="240" w:lineRule="auto"/>
              <w:rPr>
                <w:rFonts w:ascii="宋体" w:hAnsi="宋体" w:cs="宋体"/>
                <w:sz w:val="18"/>
                <w:lang w:bidi="en-US"/>
              </w:rPr>
            </w:pPr>
            <w:r>
              <w:rPr>
                <w:rFonts w:ascii="宋体" w:hAnsi="宋体" w:cs="宋体"/>
                <w:sz w:val="18"/>
                <w:lang w:bidi="en-US"/>
              </w:rPr>
              <w:t>③相对温度变化的稳定性</w:t>
            </w:r>
          </w:p>
        </w:tc>
        <w:tc>
          <w:tcPr>
            <w:tcW w:w="5361" w:type="dxa"/>
            <w:tcBorders>
              <w:top w:val="single" w:color="000000" w:sz="4" w:space="0"/>
              <w:left w:val="single" w:color="000000" w:sz="4" w:space="0"/>
              <w:bottom w:val="single" w:color="000000" w:sz="4" w:space="0"/>
              <w:right w:val="single" w:color="000000" w:sz="4" w:space="0"/>
            </w:tcBorders>
          </w:tcPr>
          <w:p w14:paraId="3686E852">
            <w:pPr>
              <w:autoSpaceDE w:val="0"/>
              <w:autoSpaceDN w:val="0"/>
              <w:spacing w:line="240" w:lineRule="auto"/>
              <w:ind w:left="115" w:leftChars="55" w:firstLine="104" w:firstLineChars="65"/>
              <w:jc w:val="left"/>
              <w:rPr>
                <w:rFonts w:ascii="宋体" w:hAnsi="宋体" w:cs="宋体"/>
                <w:sz w:val="16"/>
                <w:lang w:bidi="en-US"/>
              </w:rPr>
            </w:pPr>
          </w:p>
          <w:p w14:paraId="4E8395EC">
            <w:pPr>
              <w:autoSpaceDE w:val="0"/>
              <w:autoSpaceDN w:val="0"/>
              <w:spacing w:line="240" w:lineRule="auto"/>
              <w:ind w:left="115" w:leftChars="55" w:firstLine="123" w:firstLineChars="65"/>
              <w:rPr>
                <w:rFonts w:ascii="宋体" w:hAnsi="宋体" w:cs="宋体"/>
                <w:sz w:val="18"/>
                <w:lang w:bidi="en-US"/>
              </w:rPr>
            </w:pPr>
            <w:r>
              <w:rPr>
                <w:rFonts w:ascii="宋体" w:hAnsi="宋体" w:cs="宋体"/>
                <w:spacing w:val="5"/>
                <w:sz w:val="18"/>
                <w:lang w:bidi="en-US"/>
              </w:rPr>
              <w:t>仪器按出厂文件中规定的预热时间预热后</w:t>
            </w:r>
            <w:r>
              <w:rPr>
                <w:rFonts w:ascii="宋体" w:hAnsi="宋体" w:cs="宋体"/>
                <w:spacing w:val="9"/>
                <w:sz w:val="18"/>
                <w:lang w:bidi="en-US"/>
              </w:rPr>
              <w:t>（</w:t>
            </w:r>
            <w:r>
              <w:rPr>
                <w:rFonts w:ascii="宋体" w:hAnsi="宋体" w:cs="宋体"/>
                <w:spacing w:val="5"/>
                <w:sz w:val="18"/>
                <w:lang w:bidi="en-US"/>
              </w:rPr>
              <w:t>仪器屏</w:t>
            </w:r>
            <w:r>
              <w:rPr>
                <w:rFonts w:ascii="宋体" w:hAnsi="宋体" w:cs="宋体"/>
                <w:spacing w:val="-1"/>
                <w:sz w:val="18"/>
                <w:lang w:bidi="en-US"/>
              </w:rPr>
              <w:t xml:space="preserve">幕显示范围为 </w:t>
            </w:r>
            <w:r>
              <w:rPr>
                <w:rFonts w:eastAsia="Times New Roman" w:cs="宋体"/>
                <w:spacing w:val="1"/>
                <w:sz w:val="18"/>
                <w:lang w:bidi="en-US"/>
              </w:rPr>
              <w:t>5</w:t>
            </w:r>
            <w:r>
              <w:rPr>
                <w:rFonts w:eastAsia="Times New Roman" w:cs="宋体"/>
                <w:spacing w:val="3"/>
                <w:sz w:val="18"/>
                <w:lang w:bidi="en-US"/>
              </w:rPr>
              <w:t>0</w:t>
            </w:r>
            <w:r>
              <w:rPr>
                <w:rFonts w:eastAsia="Times New Roman" w:cs="宋体"/>
                <w:spacing w:val="4"/>
                <w:sz w:val="18"/>
                <w:lang w:bidi="en-US"/>
              </w:rPr>
              <w:t>m</w:t>
            </w:r>
            <w:r>
              <w:rPr>
                <w:rFonts w:eastAsia="Times New Roman" w:cs="宋体"/>
                <w:spacing w:val="6"/>
                <w:sz w:val="18"/>
                <w:lang w:bidi="en-US"/>
              </w:rPr>
              <w:t>m</w:t>
            </w:r>
            <w:r>
              <w:rPr>
                <w:rFonts w:ascii="宋体" w:hAnsi="宋体" w:cs="宋体"/>
                <w:spacing w:val="-5"/>
                <w:sz w:val="18"/>
                <w:lang w:bidi="en-US"/>
              </w:rPr>
              <w:t xml:space="preserve">，声速设定为 </w:t>
            </w:r>
            <w:r>
              <w:rPr>
                <w:rFonts w:eastAsia="Times New Roman" w:cs="宋体"/>
                <w:sz w:val="18"/>
                <w:lang w:bidi="en-US"/>
              </w:rPr>
              <w:t xml:space="preserve">5 </w:t>
            </w:r>
            <w:r>
              <w:rPr>
                <w:rFonts w:eastAsia="Times New Roman" w:cs="宋体"/>
                <w:spacing w:val="3"/>
                <w:sz w:val="18"/>
                <w:lang w:bidi="en-US"/>
              </w:rPr>
              <w:t>900</w:t>
            </w:r>
            <w:r>
              <w:rPr>
                <w:rFonts w:eastAsia="Times New Roman" w:cs="宋体"/>
                <w:spacing w:val="1"/>
                <w:sz w:val="18"/>
                <w:lang w:bidi="en-US"/>
              </w:rPr>
              <w:t>m</w:t>
            </w:r>
            <w:r>
              <w:rPr>
                <w:rFonts w:eastAsia="Times New Roman" w:cs="宋体"/>
                <w:spacing w:val="2"/>
                <w:sz w:val="18"/>
                <w:lang w:bidi="en-US"/>
              </w:rPr>
              <w:t>/</w:t>
            </w:r>
            <w:r>
              <w:rPr>
                <w:rFonts w:eastAsia="Times New Roman" w:cs="宋体"/>
                <w:spacing w:val="9"/>
                <w:sz w:val="18"/>
                <w:lang w:bidi="en-US"/>
              </w:rPr>
              <w:t>s</w:t>
            </w:r>
            <w:r>
              <w:rPr>
                <w:rFonts w:hint="eastAsia" w:cs="宋体"/>
                <w:spacing w:val="9"/>
                <w:sz w:val="18"/>
                <w:lang w:bidi="en-US"/>
              </w:rPr>
              <w:t>)，</w:t>
            </w:r>
            <w:r>
              <w:rPr>
                <w:rFonts w:ascii="宋体" w:hAnsi="宋体" w:cs="宋体"/>
                <w:spacing w:val="-6"/>
                <w:sz w:val="18"/>
                <w:lang w:bidi="en-US"/>
              </w:rPr>
              <w:t>采用</w:t>
            </w:r>
            <w:r>
              <w:rPr>
                <w:rFonts w:ascii="宋体" w:hAnsi="宋体" w:cs="宋体"/>
                <w:spacing w:val="5"/>
                <w:sz w:val="18"/>
                <w:lang w:bidi="en-US"/>
              </w:rPr>
              <w:t>任意波形发生器产生一个中心频率为</w:t>
            </w:r>
            <w:r>
              <w:rPr>
                <w:rFonts w:ascii="宋体" w:hAnsi="宋体" w:cs="宋体"/>
                <w:spacing w:val="26"/>
                <w:sz w:val="18"/>
                <w:lang w:bidi="en-US"/>
              </w:rPr>
              <w:t xml:space="preserve"> </w:t>
            </w:r>
            <w:r>
              <w:rPr>
                <w:rFonts w:eastAsia="Times New Roman" w:cs="宋体"/>
                <w:sz w:val="18"/>
                <w:lang w:bidi="en-US"/>
              </w:rPr>
              <w:t xml:space="preserve">2MHz </w:t>
            </w:r>
            <w:r>
              <w:rPr>
                <w:rFonts w:ascii="宋体" w:hAnsi="宋体" w:cs="宋体"/>
                <w:spacing w:val="-11"/>
                <w:sz w:val="18"/>
                <w:lang w:bidi="en-US"/>
              </w:rPr>
              <w:t xml:space="preserve">～ </w:t>
            </w:r>
            <w:r>
              <w:rPr>
                <w:rFonts w:eastAsia="Times New Roman" w:cs="宋体"/>
                <w:spacing w:val="3"/>
                <w:sz w:val="18"/>
                <w:lang w:bidi="en-US"/>
              </w:rPr>
              <w:t>6MHz</w:t>
            </w:r>
            <w:r>
              <w:rPr>
                <w:rFonts w:ascii="宋体" w:hAnsi="宋体" w:cs="宋体"/>
                <w:spacing w:val="-7"/>
                <w:sz w:val="18"/>
                <w:lang w:bidi="en-US"/>
              </w:rPr>
              <w:t xml:space="preserve">、延迟为 </w:t>
            </w:r>
            <w:r>
              <w:rPr>
                <w:rFonts w:eastAsia="Times New Roman" w:cs="宋体"/>
                <w:spacing w:val="3"/>
                <w:sz w:val="18"/>
                <w:lang w:bidi="en-US"/>
              </w:rPr>
              <w:t>10</w:t>
            </w:r>
            <w:r>
              <w:rPr>
                <w:rFonts w:eastAsia="Times New Roman" w:cs="宋体"/>
                <w:spacing w:val="3"/>
                <w:sz w:val="18"/>
                <w:lang w:eastAsia="en-US" w:bidi="en-US"/>
              </w:rPr>
              <w:t>μ</w:t>
            </w:r>
            <w:r>
              <w:rPr>
                <w:rFonts w:eastAsia="Times New Roman" w:cs="宋体"/>
                <w:spacing w:val="3"/>
                <w:sz w:val="18"/>
                <w:lang w:bidi="en-US"/>
              </w:rPr>
              <w:t>s</w:t>
            </w:r>
            <w:r>
              <w:rPr>
                <w:rFonts w:ascii="宋体" w:hAnsi="宋体" w:cs="宋体"/>
                <w:spacing w:val="-7"/>
                <w:sz w:val="18"/>
                <w:lang w:bidi="en-US"/>
              </w:rPr>
              <w:t xml:space="preserve">、峰值为 </w:t>
            </w:r>
            <w:r>
              <w:rPr>
                <w:rFonts w:eastAsia="Times New Roman" w:cs="宋体"/>
                <w:sz w:val="18"/>
                <w:lang w:bidi="en-US"/>
              </w:rPr>
              <w:t xml:space="preserve">100mV </w:t>
            </w:r>
            <w:r>
              <w:rPr>
                <w:rFonts w:ascii="宋体" w:hAnsi="宋体" w:cs="宋体"/>
                <w:spacing w:val="4"/>
                <w:sz w:val="18"/>
                <w:lang w:bidi="en-US"/>
              </w:rPr>
              <w:t>的信号，将信号输入至仪器一个有效的接收通道，调节增益使屏</w:t>
            </w:r>
            <w:r>
              <w:rPr>
                <w:rFonts w:ascii="宋体" w:hAnsi="宋体" w:cs="宋体"/>
                <w:spacing w:val="3"/>
                <w:sz w:val="18"/>
                <w:lang w:bidi="en-US"/>
              </w:rPr>
              <w:t xml:space="preserve">幕上产生一个满屏高度 </w:t>
            </w:r>
            <w:r>
              <w:rPr>
                <w:rFonts w:eastAsia="Times New Roman" w:cs="宋体"/>
                <w:spacing w:val="5"/>
                <w:sz w:val="18"/>
                <w:lang w:bidi="en-US"/>
              </w:rPr>
              <w:t>80</w:t>
            </w:r>
            <w:r>
              <w:rPr>
                <w:rFonts w:ascii="宋体" w:hAnsi="宋体" w:cs="宋体"/>
                <w:spacing w:val="6"/>
                <w:sz w:val="18"/>
                <w:lang w:bidi="en-US"/>
              </w:rPr>
              <w:t>%的参考回波信号。在仪</w:t>
            </w:r>
            <w:r>
              <w:rPr>
                <w:rFonts w:ascii="宋体" w:hAnsi="宋体" w:cs="宋体"/>
                <w:spacing w:val="-3"/>
                <w:sz w:val="18"/>
                <w:lang w:bidi="en-US"/>
              </w:rPr>
              <w:t xml:space="preserve">器工作温度范围内，每隔 </w:t>
            </w:r>
            <w:r>
              <w:rPr>
                <w:rFonts w:eastAsia="Times New Roman" w:cs="宋体"/>
                <w:spacing w:val="3"/>
                <w:sz w:val="18"/>
                <w:lang w:bidi="en-US"/>
              </w:rPr>
              <w:t>10</w:t>
            </w:r>
            <w:r>
              <w:rPr>
                <w:rFonts w:ascii="宋体" w:hAnsi="宋体" w:cs="宋体"/>
                <w:spacing w:val="5"/>
                <w:sz w:val="18"/>
                <w:lang w:bidi="en-US"/>
              </w:rPr>
              <w:t>℃变化观察该回波信号</w:t>
            </w:r>
            <w:r>
              <w:rPr>
                <w:rFonts w:ascii="宋体" w:hAnsi="宋体" w:cs="宋体"/>
                <w:spacing w:val="6"/>
                <w:sz w:val="18"/>
                <w:lang w:bidi="en-US"/>
              </w:rPr>
              <w:t>的幅度和时基线上位置的变化</w:t>
            </w:r>
          </w:p>
        </w:tc>
        <w:tc>
          <w:tcPr>
            <w:tcW w:w="2294" w:type="dxa"/>
            <w:tcBorders>
              <w:top w:val="single" w:color="000000" w:sz="4" w:space="0"/>
              <w:left w:val="single" w:color="000000" w:sz="4" w:space="0"/>
              <w:bottom w:val="single" w:color="000000" w:sz="4" w:space="0"/>
              <w:right w:val="single" w:color="000000" w:sz="8" w:space="0"/>
            </w:tcBorders>
          </w:tcPr>
          <w:p w14:paraId="29006A68">
            <w:pPr>
              <w:autoSpaceDE w:val="0"/>
              <w:autoSpaceDN w:val="0"/>
              <w:spacing w:line="240" w:lineRule="auto"/>
              <w:ind w:left="139" w:leftChars="66"/>
              <w:jc w:val="left"/>
              <w:rPr>
                <w:rFonts w:hint="eastAsia" w:ascii="宋体" w:hAnsi="宋体" w:cs="宋体"/>
                <w:sz w:val="16"/>
                <w:lang w:bidi="en-US"/>
              </w:rPr>
            </w:pPr>
          </w:p>
          <w:p w14:paraId="77357551">
            <w:pPr>
              <w:autoSpaceDE w:val="0"/>
              <w:autoSpaceDN w:val="0"/>
              <w:spacing w:line="240" w:lineRule="auto"/>
              <w:ind w:left="139" w:leftChars="66"/>
              <w:jc w:val="left"/>
              <w:rPr>
                <w:rFonts w:ascii="宋体" w:hAnsi="宋体" w:cs="宋体"/>
                <w:sz w:val="18"/>
                <w:lang w:bidi="en-US"/>
              </w:rPr>
            </w:pPr>
            <w:r>
              <w:rPr>
                <w:rFonts w:ascii="宋体" w:hAnsi="宋体" w:cs="宋体"/>
                <w:sz w:val="18"/>
                <w:lang w:bidi="en-US"/>
              </w:rPr>
              <w:t xml:space="preserve">①参考回波信号幅值的变化≤满屏高度的 </w:t>
            </w:r>
            <w:r>
              <w:rPr>
                <w:rFonts w:eastAsia="Times New Roman" w:cs="宋体"/>
                <w:sz w:val="18"/>
                <w:lang w:bidi="en-US"/>
              </w:rPr>
              <w:t>5</w:t>
            </w:r>
            <w:r>
              <w:rPr>
                <w:rFonts w:ascii="宋体" w:hAnsi="宋体" w:cs="宋体"/>
                <w:sz w:val="18"/>
                <w:lang w:bidi="en-US"/>
              </w:rPr>
              <w:t>%；</w:t>
            </w:r>
          </w:p>
          <w:p w14:paraId="389F5C4C">
            <w:pPr>
              <w:autoSpaceDE w:val="0"/>
              <w:autoSpaceDN w:val="0"/>
              <w:spacing w:line="240" w:lineRule="auto"/>
              <w:ind w:left="139" w:leftChars="66"/>
              <w:jc w:val="left"/>
              <w:rPr>
                <w:rFonts w:ascii="宋体" w:hAnsi="宋体" w:cs="宋体"/>
                <w:sz w:val="18"/>
                <w:lang w:bidi="en-US"/>
              </w:rPr>
            </w:pPr>
            <w:r>
              <w:rPr>
                <w:rFonts w:ascii="宋体" w:hAnsi="宋体" w:cs="宋体"/>
                <w:sz w:val="18"/>
                <w:lang w:bidi="en-US"/>
              </w:rPr>
              <w:t xml:space="preserve">②参考回波信号时基线位置的变化≤满屏宽度的 </w:t>
            </w:r>
            <w:r>
              <w:rPr>
                <w:rFonts w:eastAsia="Times New Roman" w:cs="宋体"/>
                <w:sz w:val="18"/>
                <w:lang w:bidi="en-US"/>
              </w:rPr>
              <w:t>1</w:t>
            </w:r>
            <w:r>
              <w:rPr>
                <w:rFonts w:ascii="宋体" w:hAnsi="宋体" w:cs="宋体"/>
                <w:sz w:val="18"/>
                <w:lang w:bidi="en-US"/>
              </w:rPr>
              <w:t>%</w:t>
            </w:r>
          </w:p>
        </w:tc>
      </w:tr>
      <w:tr w14:paraId="6A1EE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46" w:hRule="atLeast"/>
          <w:jc w:val="center"/>
        </w:trPr>
        <w:tc>
          <w:tcPr>
            <w:tcW w:w="1471" w:type="dxa"/>
            <w:tcBorders>
              <w:top w:val="single" w:color="000000" w:sz="4" w:space="0"/>
              <w:left w:val="single" w:color="000000" w:sz="4" w:space="0"/>
              <w:bottom w:val="single" w:color="000000" w:sz="8" w:space="0"/>
              <w:right w:val="single" w:color="000000" w:sz="4" w:space="0"/>
            </w:tcBorders>
            <w:vAlign w:val="center"/>
          </w:tcPr>
          <w:p w14:paraId="12F8525B">
            <w:pPr>
              <w:autoSpaceDE w:val="0"/>
              <w:autoSpaceDN w:val="0"/>
              <w:spacing w:line="240" w:lineRule="auto"/>
              <w:rPr>
                <w:rFonts w:ascii="宋体" w:hAnsi="宋体" w:cs="宋体"/>
                <w:sz w:val="18"/>
                <w:lang w:bidi="en-US"/>
              </w:rPr>
            </w:pPr>
            <w:r>
              <w:rPr>
                <w:rFonts w:ascii="宋体" w:hAnsi="宋体" w:cs="宋体"/>
                <w:spacing w:val="3"/>
                <w:sz w:val="18"/>
                <w:lang w:bidi="en-US"/>
              </w:rPr>
              <w:t>④相对</w:t>
            </w:r>
            <w:r>
              <w:rPr>
                <w:rFonts w:ascii="宋体" w:hAnsi="宋体" w:cs="宋体"/>
                <w:sz w:val="18"/>
                <w:lang w:bidi="en-US"/>
              </w:rPr>
              <w:t>电压变化的稳定性</w:t>
            </w:r>
          </w:p>
        </w:tc>
        <w:tc>
          <w:tcPr>
            <w:tcW w:w="5361" w:type="dxa"/>
            <w:tcBorders>
              <w:top w:val="single" w:color="000000" w:sz="4" w:space="0"/>
              <w:left w:val="single" w:color="000000" w:sz="4" w:space="0"/>
              <w:bottom w:val="single" w:color="000000" w:sz="8" w:space="0"/>
              <w:right w:val="single" w:color="000000" w:sz="4" w:space="0"/>
            </w:tcBorders>
          </w:tcPr>
          <w:p w14:paraId="07CFDCA0">
            <w:pPr>
              <w:autoSpaceDE w:val="0"/>
              <w:autoSpaceDN w:val="0"/>
              <w:spacing w:line="240" w:lineRule="auto"/>
              <w:ind w:left="115" w:leftChars="55" w:firstLine="117" w:firstLineChars="65"/>
              <w:rPr>
                <w:rFonts w:ascii="宋体" w:hAnsi="宋体" w:cs="宋体"/>
                <w:sz w:val="18"/>
                <w:lang w:bidi="en-US"/>
              </w:rPr>
            </w:pPr>
          </w:p>
          <w:p w14:paraId="4B6C35B7">
            <w:pPr>
              <w:autoSpaceDE w:val="0"/>
              <w:autoSpaceDN w:val="0"/>
              <w:spacing w:line="240" w:lineRule="auto"/>
              <w:ind w:left="115" w:leftChars="55" w:firstLine="117" w:firstLineChars="65"/>
              <w:rPr>
                <w:rFonts w:ascii="宋体" w:hAnsi="宋体" w:cs="宋体"/>
                <w:sz w:val="18"/>
                <w:lang w:bidi="en-US"/>
              </w:rPr>
            </w:pPr>
            <w:r>
              <w:rPr>
                <w:rFonts w:ascii="宋体" w:hAnsi="宋体" w:cs="宋体"/>
                <w:sz w:val="18"/>
                <w:lang w:bidi="en-US"/>
              </w:rPr>
              <w:t>采用稳压电源给仪器供电，将稳压电源输出电压调到相控阵仪器正常工作电压的中间值，应用零延迟</w:t>
            </w:r>
            <w:r>
              <w:rPr>
                <w:rFonts w:hint="eastAsia" w:ascii="宋体" w:hAnsi="宋体" w:cs="宋体"/>
                <w:sz w:val="18"/>
                <w:lang w:bidi="en-US"/>
              </w:rPr>
              <w:t>法</w:t>
            </w:r>
            <w:r>
              <w:rPr>
                <w:rFonts w:ascii="宋体" w:hAnsi="宋体" w:cs="宋体"/>
                <w:sz w:val="18"/>
                <w:lang w:bidi="en-US"/>
              </w:rPr>
              <w:t>则同时激发所有可用通道，采用中心频率为</w:t>
            </w:r>
            <w:r>
              <w:rPr>
                <w:rFonts w:hAnsi="宋体" w:eastAsia="Times New Roman" w:cs="宋体"/>
                <w:sz w:val="18"/>
                <w:lang w:bidi="en-US"/>
              </w:rPr>
              <w:t>2MHz</w:t>
            </w:r>
            <w:r>
              <w:rPr>
                <w:rFonts w:ascii="宋体" w:hAnsi="宋体" w:cs="宋体"/>
                <w:sz w:val="18"/>
                <w:lang w:bidi="en-US"/>
              </w:rPr>
              <w:t>～</w:t>
            </w:r>
            <w:r>
              <w:rPr>
                <w:rFonts w:hAnsi="宋体" w:eastAsia="Times New Roman" w:cs="宋体"/>
                <w:sz w:val="18"/>
                <w:lang w:bidi="en-US"/>
              </w:rPr>
              <w:t xml:space="preserve">6MHz </w:t>
            </w:r>
            <w:r>
              <w:rPr>
                <w:rFonts w:ascii="宋体" w:hAnsi="宋体" w:cs="宋体"/>
                <w:sz w:val="18"/>
                <w:lang w:bidi="en-US"/>
              </w:rPr>
              <w:t>的相控阵探头在试块上产生底面回波作为参考信号，将参考信号幅度调至满屏高度的</w:t>
            </w:r>
            <w:r>
              <w:rPr>
                <w:rFonts w:hAnsi="宋体" w:eastAsia="Times New Roman" w:cs="宋体"/>
                <w:sz w:val="18"/>
                <w:lang w:bidi="en-US"/>
              </w:rPr>
              <w:t>80</w:t>
            </w:r>
            <w:r>
              <w:rPr>
                <w:rFonts w:ascii="宋体" w:hAnsi="宋体" w:cs="宋体"/>
                <w:sz w:val="18"/>
                <w:lang w:bidi="en-US"/>
              </w:rPr>
              <w:t xml:space="preserve">%（参考信号在仪器屏幕显示水平刻度 </w:t>
            </w:r>
            <w:r>
              <w:rPr>
                <w:rFonts w:hAnsi="宋体" w:eastAsia="Times New Roman" w:cs="宋体"/>
                <w:sz w:val="18"/>
                <w:lang w:bidi="en-US"/>
              </w:rPr>
              <w:t>50</w:t>
            </w:r>
            <w:r>
              <w:rPr>
                <w:rFonts w:ascii="宋体" w:hAnsi="宋体" w:cs="宋体"/>
                <w:sz w:val="18"/>
                <w:lang w:bidi="en-US"/>
              </w:rPr>
              <w:t>%，且不</w:t>
            </w:r>
            <w:r>
              <w:rPr>
                <w:rFonts w:ascii="宋体" w:hAnsi="宋体" w:cs="宋体"/>
                <w:spacing w:val="-10"/>
                <w:sz w:val="18"/>
                <w:lang w:bidi="en-US"/>
              </w:rPr>
              <w:t xml:space="preserve">小于 </w:t>
            </w:r>
            <w:r>
              <w:rPr>
                <w:rFonts w:hAnsi="宋体" w:eastAsia="Times New Roman" w:cs="宋体"/>
                <w:spacing w:val="3"/>
                <w:sz w:val="18"/>
                <w:lang w:bidi="en-US"/>
              </w:rPr>
              <w:t>50</w:t>
            </w:r>
            <w:r>
              <w:rPr>
                <w:rFonts w:hAnsi="宋体" w:eastAsia="Times New Roman" w:cs="宋体"/>
                <w:spacing w:val="1"/>
                <w:sz w:val="18"/>
                <w:lang w:bidi="en-US"/>
              </w:rPr>
              <w:t>m</w:t>
            </w:r>
            <w:r>
              <w:rPr>
                <w:rFonts w:hAnsi="宋体" w:eastAsia="Times New Roman" w:cs="宋体"/>
                <w:spacing w:val="8"/>
                <w:sz w:val="18"/>
                <w:lang w:bidi="en-US"/>
              </w:rPr>
              <w:t>m</w:t>
            </w:r>
            <w:r>
              <w:rPr>
                <w:rFonts w:hint="eastAsia" w:hAnsi="宋体" w:cs="宋体"/>
                <w:spacing w:val="8"/>
                <w:sz w:val="18"/>
                <w:lang w:bidi="en-US"/>
              </w:rPr>
              <w:t>），</w:t>
            </w:r>
            <w:r>
              <w:rPr>
                <w:rFonts w:ascii="宋体" w:hAnsi="宋体" w:cs="宋体"/>
                <w:spacing w:val="-1"/>
                <w:sz w:val="18"/>
                <w:lang w:bidi="en-US"/>
              </w:rPr>
              <w:t>在稳压电源输出电压降至仪器出厂文</w:t>
            </w:r>
            <w:r>
              <w:rPr>
                <w:rFonts w:ascii="宋体" w:hAnsi="宋体" w:cs="宋体"/>
                <w:sz w:val="18"/>
                <w:lang w:bidi="en-US"/>
              </w:rPr>
              <w:t>件中规定的低电压报警或低电压自动关机电压时，观察参考信号的幅值和时基线位置的变化</w:t>
            </w:r>
          </w:p>
        </w:tc>
        <w:tc>
          <w:tcPr>
            <w:tcW w:w="2294" w:type="dxa"/>
            <w:tcBorders>
              <w:top w:val="single" w:color="000000" w:sz="4" w:space="0"/>
              <w:left w:val="single" w:color="000000" w:sz="4" w:space="0"/>
              <w:bottom w:val="single" w:color="000000" w:sz="8" w:space="0"/>
              <w:right w:val="single" w:color="000000" w:sz="8" w:space="0"/>
            </w:tcBorders>
            <w:vAlign w:val="center"/>
          </w:tcPr>
          <w:p w14:paraId="5BEE3F36">
            <w:pPr>
              <w:autoSpaceDE w:val="0"/>
              <w:autoSpaceDN w:val="0"/>
              <w:spacing w:line="240" w:lineRule="auto"/>
              <w:ind w:left="139" w:leftChars="66"/>
              <w:rPr>
                <w:rFonts w:ascii="宋体" w:hAnsi="宋体" w:cs="宋体"/>
                <w:sz w:val="18"/>
                <w:lang w:bidi="en-US"/>
              </w:rPr>
            </w:pPr>
            <w:r>
              <w:rPr>
                <w:rFonts w:ascii="宋体" w:hAnsi="宋体" w:cs="宋体"/>
                <w:sz w:val="18"/>
                <w:lang w:bidi="en-US"/>
              </w:rPr>
              <w:t xml:space="preserve">①参考信号幅值的变化≤满屏高度的 </w:t>
            </w:r>
            <w:r>
              <w:rPr>
                <w:rFonts w:hAnsi="宋体" w:eastAsia="Times New Roman" w:cs="宋体"/>
                <w:sz w:val="18"/>
                <w:lang w:bidi="en-US"/>
              </w:rPr>
              <w:t>2</w:t>
            </w:r>
            <w:r>
              <w:rPr>
                <w:rFonts w:ascii="宋体" w:hAnsi="宋体" w:cs="宋体"/>
                <w:sz w:val="18"/>
                <w:lang w:bidi="en-US"/>
              </w:rPr>
              <w:t>%；</w:t>
            </w:r>
          </w:p>
          <w:p w14:paraId="50FC3102">
            <w:pPr>
              <w:autoSpaceDE w:val="0"/>
              <w:autoSpaceDN w:val="0"/>
              <w:spacing w:line="240" w:lineRule="auto"/>
              <w:ind w:left="139" w:leftChars="66"/>
              <w:rPr>
                <w:rFonts w:ascii="宋体" w:hAnsi="宋体" w:cs="宋体"/>
                <w:sz w:val="18"/>
                <w:lang w:bidi="en-US"/>
              </w:rPr>
            </w:pPr>
            <w:r>
              <w:rPr>
                <w:rFonts w:ascii="宋体" w:hAnsi="宋体" w:cs="宋体"/>
                <w:sz w:val="18"/>
                <w:lang w:bidi="en-US"/>
              </w:rPr>
              <w:t xml:space="preserve">②参考信号时基线位置的变化≤满屏宽度的 </w:t>
            </w:r>
            <w:r>
              <w:rPr>
                <w:rFonts w:eastAsia="Times New Roman" w:cs="宋体"/>
                <w:sz w:val="18"/>
                <w:lang w:bidi="en-US"/>
              </w:rPr>
              <w:t>1</w:t>
            </w:r>
            <w:r>
              <w:rPr>
                <w:rFonts w:ascii="宋体" w:hAnsi="宋体" w:cs="宋体"/>
                <w:sz w:val="18"/>
                <w:lang w:bidi="en-US"/>
              </w:rPr>
              <w:t>%</w:t>
            </w:r>
          </w:p>
        </w:tc>
      </w:tr>
    </w:tbl>
    <w:p w14:paraId="0EEBA634">
      <w:pPr>
        <w:pStyle w:val="13"/>
        <w:spacing w:before="156" w:beforeLines="50" w:after="156" w:afterLines="50" w:line="240" w:lineRule="auto"/>
        <w:jc w:val="center"/>
      </w:pPr>
      <w:r>
        <w:rPr>
          <w:rFonts w:hint="eastAsia"/>
        </w:rPr>
        <w:t xml:space="preserve">表 </w:t>
      </w:r>
      <w:r>
        <w:rPr>
          <w:rFonts w:hint="eastAsia"/>
          <w:lang w:val="en-US" w:eastAsia="zh-CN"/>
        </w:rPr>
        <w:t>C</w:t>
      </w:r>
      <w:r>
        <w:rPr>
          <w:rFonts w:hint="eastAsia"/>
        </w:rPr>
        <w:t>.</w:t>
      </w:r>
      <w:r>
        <w:t>2</w:t>
      </w:r>
      <w:r>
        <w:rPr>
          <w:rFonts w:hint="eastAsia"/>
        </w:rPr>
        <w:tab/>
      </w:r>
      <w:r>
        <w:rPr>
          <w:rFonts w:hint="eastAsia"/>
        </w:rPr>
        <w:t>相控阵超声检测仪发射性能指标要求</w:t>
      </w:r>
    </w:p>
    <w:tbl>
      <w:tblPr>
        <w:tblStyle w:val="29"/>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738"/>
        <w:gridCol w:w="4076"/>
        <w:gridCol w:w="3046"/>
      </w:tblGrid>
      <w:tr w14:paraId="4EE1F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1738" w:type="dxa"/>
            <w:tcBorders>
              <w:left w:val="single" w:color="000000" w:sz="4" w:space="0"/>
              <w:bottom w:val="single" w:color="000000" w:sz="8" w:space="0"/>
              <w:right w:val="single" w:color="000000" w:sz="4" w:space="0"/>
            </w:tcBorders>
          </w:tcPr>
          <w:p w14:paraId="6DC5797F">
            <w:pPr>
              <w:autoSpaceDE w:val="0"/>
              <w:autoSpaceDN w:val="0"/>
              <w:spacing w:line="240" w:lineRule="auto"/>
              <w:jc w:val="center"/>
              <w:rPr>
                <w:rFonts w:ascii="宋体" w:hAnsi="宋体" w:cs="宋体"/>
                <w:b/>
                <w:sz w:val="18"/>
                <w:lang w:eastAsia="en-US" w:bidi="en-US"/>
              </w:rPr>
            </w:pPr>
            <w:r>
              <w:rPr>
                <w:rFonts w:hint="eastAsia" w:ascii="宋体" w:hAnsi="宋体" w:cs="宋体"/>
                <w:b/>
                <w:sz w:val="18"/>
                <w:lang w:bidi="en-US"/>
              </w:rPr>
              <w:t>发射性能要求</w:t>
            </w:r>
          </w:p>
        </w:tc>
        <w:tc>
          <w:tcPr>
            <w:tcW w:w="4076" w:type="dxa"/>
            <w:tcBorders>
              <w:left w:val="single" w:color="000000" w:sz="4" w:space="0"/>
              <w:bottom w:val="single" w:color="000000" w:sz="8" w:space="0"/>
              <w:right w:val="single" w:color="000000" w:sz="4" w:space="0"/>
            </w:tcBorders>
          </w:tcPr>
          <w:p w14:paraId="24A2F299">
            <w:pPr>
              <w:autoSpaceDE w:val="0"/>
              <w:autoSpaceDN w:val="0"/>
              <w:spacing w:line="240" w:lineRule="auto"/>
              <w:jc w:val="center"/>
              <w:rPr>
                <w:rFonts w:ascii="宋体" w:hAnsi="宋体" w:cs="宋体"/>
                <w:b/>
                <w:sz w:val="18"/>
                <w:lang w:eastAsia="en-US" w:bidi="en-US"/>
              </w:rPr>
            </w:pPr>
            <w:r>
              <w:rPr>
                <w:rFonts w:ascii="宋体" w:hAnsi="宋体" w:cs="宋体"/>
                <w:b/>
                <w:sz w:val="18"/>
                <w:lang w:eastAsia="en-US" w:bidi="en-US"/>
              </w:rPr>
              <w:t>测试条件</w:t>
            </w:r>
          </w:p>
        </w:tc>
        <w:tc>
          <w:tcPr>
            <w:tcW w:w="3046" w:type="dxa"/>
            <w:tcBorders>
              <w:left w:val="single" w:color="000000" w:sz="4" w:space="0"/>
              <w:bottom w:val="single" w:color="000000" w:sz="8" w:space="0"/>
              <w:right w:val="single" w:color="000000" w:sz="8" w:space="0"/>
            </w:tcBorders>
          </w:tcPr>
          <w:p w14:paraId="01BE01EF">
            <w:pPr>
              <w:autoSpaceDE w:val="0"/>
              <w:autoSpaceDN w:val="0"/>
              <w:spacing w:line="240" w:lineRule="auto"/>
              <w:jc w:val="center"/>
              <w:rPr>
                <w:rFonts w:ascii="宋体" w:hAnsi="宋体" w:cs="宋体"/>
                <w:b/>
                <w:sz w:val="18"/>
                <w:lang w:eastAsia="en-US" w:bidi="en-US"/>
              </w:rPr>
            </w:pPr>
            <w:r>
              <w:rPr>
                <w:rFonts w:ascii="宋体" w:hAnsi="宋体" w:cs="宋体"/>
                <w:b/>
                <w:sz w:val="18"/>
                <w:lang w:eastAsia="en-US" w:bidi="en-US"/>
              </w:rPr>
              <w:t>指标要求</w:t>
            </w:r>
          </w:p>
        </w:tc>
      </w:tr>
      <w:tr w14:paraId="08ADC8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4" w:hRule="atLeast"/>
          <w:jc w:val="center"/>
        </w:trPr>
        <w:tc>
          <w:tcPr>
            <w:tcW w:w="1738" w:type="dxa"/>
            <w:tcBorders>
              <w:top w:val="single" w:color="000000" w:sz="8" w:space="0"/>
              <w:left w:val="single" w:color="000000" w:sz="4" w:space="0"/>
              <w:bottom w:val="single" w:color="000000" w:sz="4" w:space="0"/>
              <w:right w:val="single" w:color="000000" w:sz="4" w:space="0"/>
            </w:tcBorders>
            <w:vAlign w:val="center"/>
          </w:tcPr>
          <w:p w14:paraId="4CE1170F">
            <w:pPr>
              <w:autoSpaceDE w:val="0"/>
              <w:autoSpaceDN w:val="0"/>
              <w:spacing w:line="240" w:lineRule="auto"/>
              <w:jc w:val="left"/>
              <w:rPr>
                <w:rFonts w:ascii="宋体" w:hAnsi="宋体" w:cs="宋体"/>
                <w:sz w:val="18"/>
                <w:lang w:eastAsia="en-US" w:bidi="en-US"/>
              </w:rPr>
            </w:pPr>
            <w:r>
              <w:rPr>
                <w:rFonts w:ascii="宋体" w:hAnsi="宋体" w:cs="宋体"/>
                <w:sz w:val="18"/>
                <w:lang w:eastAsia="en-US" w:bidi="en-US"/>
              </w:rPr>
              <w:t>①发射脉冲重复频率</w:t>
            </w:r>
          </w:p>
        </w:tc>
        <w:tc>
          <w:tcPr>
            <w:tcW w:w="4076" w:type="dxa"/>
            <w:tcBorders>
              <w:top w:val="single" w:color="000000" w:sz="8" w:space="0"/>
              <w:left w:val="single" w:color="000000" w:sz="4" w:space="0"/>
              <w:bottom w:val="single" w:color="000000" w:sz="4" w:space="0"/>
              <w:right w:val="single" w:color="000000" w:sz="4" w:space="0"/>
            </w:tcBorders>
          </w:tcPr>
          <w:p w14:paraId="50D012F1">
            <w:pPr>
              <w:autoSpaceDE w:val="0"/>
              <w:autoSpaceDN w:val="0"/>
              <w:spacing w:line="240" w:lineRule="auto"/>
              <w:ind w:left="147" w:leftChars="70"/>
              <w:jc w:val="left"/>
              <w:rPr>
                <w:rFonts w:ascii="宋体" w:hAnsi="宋体" w:cs="宋体"/>
                <w:sz w:val="18"/>
                <w:lang w:bidi="en-US"/>
              </w:rPr>
            </w:pPr>
          </w:p>
          <w:p w14:paraId="06C1B849">
            <w:pPr>
              <w:autoSpaceDE w:val="0"/>
              <w:autoSpaceDN w:val="0"/>
              <w:spacing w:line="240" w:lineRule="auto"/>
              <w:ind w:left="147" w:leftChars="70"/>
              <w:jc w:val="left"/>
              <w:rPr>
                <w:rFonts w:ascii="宋体" w:hAnsi="宋体" w:cs="宋体"/>
                <w:sz w:val="18"/>
                <w:lang w:bidi="en-US"/>
              </w:rPr>
            </w:pPr>
            <w:r>
              <w:rPr>
                <w:rFonts w:ascii="宋体" w:hAnsi="宋体" w:cs="宋体"/>
                <w:sz w:val="18"/>
                <w:lang w:bidi="en-US"/>
              </w:rPr>
              <w:t>采用示波器测量相控阵仪器的发射脉冲重复频率</w:t>
            </w:r>
            <w:r>
              <w:rPr>
                <w:rFonts w:ascii="宋体" w:hAnsi="宋体" w:cs="宋体"/>
                <w:spacing w:val="4"/>
                <w:sz w:val="18"/>
                <w:lang w:bidi="en-US"/>
              </w:rPr>
              <w:t>（</w:t>
            </w:r>
            <w:r>
              <w:rPr>
                <w:rFonts w:ascii="宋体" w:hAnsi="宋体" w:cs="宋体"/>
                <w:spacing w:val="2"/>
                <w:sz w:val="18"/>
                <w:lang w:bidi="en-US"/>
              </w:rPr>
              <w:t>仅测试一个发射通道</w:t>
            </w:r>
            <w:r>
              <w:rPr>
                <w:rFonts w:hint="eastAsia" w:ascii="宋体" w:hAnsi="宋体" w:cs="宋体"/>
                <w:spacing w:val="2"/>
                <w:sz w:val="18"/>
                <w:lang w:bidi="en-US"/>
              </w:rPr>
              <w:t>），</w:t>
            </w:r>
            <w:r>
              <w:rPr>
                <w:rFonts w:ascii="宋体" w:hAnsi="宋体" w:cs="宋体"/>
                <w:spacing w:val="-2"/>
                <w:sz w:val="18"/>
                <w:lang w:bidi="en-US"/>
              </w:rPr>
              <w:t>包括最大值、最小值以及</w:t>
            </w:r>
            <w:r>
              <w:rPr>
                <w:rFonts w:ascii="宋体" w:hAnsi="宋体" w:cs="宋体"/>
                <w:spacing w:val="-6"/>
                <w:sz w:val="18"/>
                <w:lang w:bidi="en-US"/>
              </w:rPr>
              <w:t xml:space="preserve">中间值，共 </w:t>
            </w:r>
            <w:r>
              <w:rPr>
                <w:rFonts w:hAnsi="宋体" w:eastAsia="Times New Roman" w:cs="宋体"/>
                <w:sz w:val="18"/>
                <w:lang w:bidi="en-US"/>
              </w:rPr>
              <w:t xml:space="preserve">3 </w:t>
            </w:r>
            <w:r>
              <w:rPr>
                <w:rFonts w:ascii="宋体" w:hAnsi="宋体" w:cs="宋体"/>
                <w:sz w:val="18"/>
                <w:lang w:bidi="en-US"/>
              </w:rPr>
              <w:t>处</w:t>
            </w:r>
          </w:p>
        </w:tc>
        <w:tc>
          <w:tcPr>
            <w:tcW w:w="3046" w:type="dxa"/>
            <w:tcBorders>
              <w:top w:val="single" w:color="000000" w:sz="8" w:space="0"/>
              <w:left w:val="single" w:color="000000" w:sz="4" w:space="0"/>
              <w:bottom w:val="single" w:color="000000" w:sz="4" w:space="0"/>
              <w:right w:val="single" w:color="000000" w:sz="8" w:space="0"/>
            </w:tcBorders>
          </w:tcPr>
          <w:p w14:paraId="3786F2CA">
            <w:pPr>
              <w:autoSpaceDE w:val="0"/>
              <w:autoSpaceDN w:val="0"/>
              <w:spacing w:line="240" w:lineRule="auto"/>
              <w:ind w:left="176" w:leftChars="84"/>
              <w:jc w:val="left"/>
              <w:rPr>
                <w:rFonts w:ascii="宋体" w:hAnsi="宋体" w:cs="宋体"/>
                <w:sz w:val="18"/>
                <w:lang w:bidi="en-US"/>
              </w:rPr>
            </w:pPr>
            <w:r>
              <w:rPr>
                <w:rFonts w:ascii="宋体" w:hAnsi="宋体" w:cs="宋体"/>
                <w:sz w:val="18"/>
                <w:lang w:bidi="en-US"/>
              </w:rPr>
              <w:t xml:space="preserve">①实测值与标称值之间的偏差≤标称值的 </w:t>
            </w:r>
            <w:r>
              <w:rPr>
                <w:rFonts w:eastAsia="Times New Roman" w:cs="宋体"/>
                <w:sz w:val="18"/>
                <w:lang w:bidi="en-US"/>
              </w:rPr>
              <w:t>10</w:t>
            </w:r>
            <w:r>
              <w:rPr>
                <w:rFonts w:ascii="宋体" w:hAnsi="宋体" w:cs="宋体"/>
                <w:sz w:val="18"/>
                <w:lang w:bidi="en-US"/>
              </w:rPr>
              <w:t>%；</w:t>
            </w:r>
          </w:p>
          <w:p w14:paraId="1F673273">
            <w:pPr>
              <w:autoSpaceDE w:val="0"/>
              <w:autoSpaceDN w:val="0"/>
              <w:spacing w:line="240" w:lineRule="auto"/>
              <w:ind w:left="176" w:leftChars="84"/>
              <w:jc w:val="left"/>
              <w:rPr>
                <w:rFonts w:eastAsia="Times New Roman" w:cs="宋体"/>
                <w:sz w:val="18"/>
                <w:lang w:bidi="en-US"/>
              </w:rPr>
            </w:pPr>
            <w:r>
              <w:rPr>
                <w:rFonts w:ascii="宋体" w:hAnsi="宋体" w:cs="宋体"/>
                <w:sz w:val="18"/>
                <w:lang w:bidi="en-US"/>
              </w:rPr>
              <w:t xml:space="preserve">②脉冲重复频率（最大值）应不小于 </w:t>
            </w:r>
            <w:r>
              <w:rPr>
                <w:rFonts w:eastAsia="Times New Roman" w:cs="宋体"/>
                <w:sz w:val="18"/>
                <w:lang w:bidi="en-US"/>
              </w:rPr>
              <w:t>4KHz</w:t>
            </w:r>
          </w:p>
        </w:tc>
      </w:tr>
      <w:tr w14:paraId="3B7670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20" w:hRule="atLeast"/>
          <w:jc w:val="center"/>
        </w:trPr>
        <w:tc>
          <w:tcPr>
            <w:tcW w:w="1738" w:type="dxa"/>
            <w:tcBorders>
              <w:top w:val="single" w:color="000000" w:sz="4" w:space="0"/>
              <w:left w:val="single" w:color="000000" w:sz="4" w:space="0"/>
              <w:bottom w:val="single" w:color="000000" w:sz="4" w:space="0"/>
              <w:right w:val="single" w:color="000000" w:sz="4" w:space="0"/>
            </w:tcBorders>
            <w:vAlign w:val="center"/>
          </w:tcPr>
          <w:p w14:paraId="4499F682">
            <w:pPr>
              <w:autoSpaceDE w:val="0"/>
              <w:autoSpaceDN w:val="0"/>
              <w:spacing w:line="240" w:lineRule="auto"/>
              <w:jc w:val="left"/>
              <w:rPr>
                <w:rFonts w:ascii="宋体" w:hAnsi="宋体" w:cs="宋体"/>
                <w:sz w:val="18"/>
                <w:lang w:eastAsia="en-US" w:bidi="en-US"/>
              </w:rPr>
            </w:pPr>
            <w:r>
              <w:rPr>
                <w:rFonts w:ascii="宋体" w:hAnsi="宋体" w:cs="宋体"/>
                <w:sz w:val="18"/>
                <w:lang w:eastAsia="en-US" w:bidi="en-US"/>
              </w:rPr>
              <w:t>②有效输出阻抗</w:t>
            </w:r>
          </w:p>
        </w:tc>
        <w:tc>
          <w:tcPr>
            <w:tcW w:w="4076" w:type="dxa"/>
            <w:tcBorders>
              <w:top w:val="single" w:color="000000" w:sz="4" w:space="0"/>
              <w:left w:val="single" w:color="000000" w:sz="4" w:space="0"/>
              <w:bottom w:val="single" w:color="000000" w:sz="4" w:space="0"/>
              <w:right w:val="single" w:color="000000" w:sz="4" w:space="0"/>
            </w:tcBorders>
          </w:tcPr>
          <w:p w14:paraId="29041279">
            <w:pPr>
              <w:autoSpaceDE w:val="0"/>
              <w:autoSpaceDN w:val="0"/>
              <w:spacing w:line="240" w:lineRule="auto"/>
              <w:ind w:left="147" w:leftChars="70"/>
              <w:rPr>
                <w:rFonts w:ascii="宋体" w:hAnsi="宋体" w:cs="宋体"/>
                <w:sz w:val="18"/>
                <w:lang w:bidi="en-US"/>
              </w:rPr>
            </w:pPr>
            <w:r>
              <w:rPr>
                <w:rFonts w:ascii="宋体" w:hAnsi="宋体" w:cs="宋体"/>
                <w:sz w:val="18"/>
                <w:lang w:bidi="en-US"/>
              </w:rPr>
              <w:t xml:space="preserve">在发射脉冲电压、发射脉冲宽度、发射脉冲重复频率（以上取中间值）以及仪器出厂文件中提供的最佳阻尼设定值条件下，测量相控阵仪器的有效输出阻抗，测试的通道不少于通道总数的 </w:t>
            </w:r>
            <w:r>
              <w:rPr>
                <w:rFonts w:hAnsi="宋体" w:eastAsia="Times New Roman" w:cs="宋体"/>
                <w:sz w:val="18"/>
                <w:lang w:bidi="en-US"/>
              </w:rPr>
              <w:t>10</w:t>
            </w:r>
            <w:r>
              <w:rPr>
                <w:rFonts w:ascii="宋体" w:hAnsi="宋体" w:cs="宋体"/>
                <w:sz w:val="18"/>
                <w:lang w:bidi="en-US"/>
              </w:rPr>
              <w:t>%</w:t>
            </w:r>
          </w:p>
        </w:tc>
        <w:tc>
          <w:tcPr>
            <w:tcW w:w="3046" w:type="dxa"/>
            <w:tcBorders>
              <w:top w:val="single" w:color="000000" w:sz="4" w:space="0"/>
              <w:left w:val="single" w:color="000000" w:sz="4" w:space="0"/>
              <w:bottom w:val="single" w:color="000000" w:sz="4" w:space="0"/>
              <w:right w:val="single" w:color="000000" w:sz="8" w:space="0"/>
            </w:tcBorders>
          </w:tcPr>
          <w:p w14:paraId="6CD28127">
            <w:pPr>
              <w:autoSpaceDE w:val="0"/>
              <w:autoSpaceDN w:val="0"/>
              <w:spacing w:line="240" w:lineRule="auto"/>
              <w:ind w:left="176" w:leftChars="84"/>
              <w:jc w:val="left"/>
              <w:rPr>
                <w:rFonts w:ascii="宋体" w:hAnsi="宋体" w:cs="宋体"/>
                <w:sz w:val="18"/>
                <w:lang w:bidi="en-US"/>
              </w:rPr>
            </w:pPr>
            <w:r>
              <w:rPr>
                <w:rFonts w:ascii="宋体" w:hAnsi="宋体" w:cs="宋体"/>
                <w:sz w:val="18"/>
                <w:lang w:bidi="en-US"/>
              </w:rPr>
              <w:t>①有效输出阻抗≤</w:t>
            </w:r>
            <w:r>
              <w:rPr>
                <w:rFonts w:eastAsia="Times New Roman" w:cs="宋体"/>
                <w:sz w:val="18"/>
                <w:lang w:bidi="en-US"/>
              </w:rPr>
              <w:t>50</w:t>
            </w:r>
            <w:r>
              <w:rPr>
                <w:rFonts w:eastAsia="Times New Roman" w:cs="宋体"/>
                <w:sz w:val="18"/>
                <w:lang w:eastAsia="en-US" w:bidi="en-US"/>
              </w:rPr>
              <w:t>Ω</w:t>
            </w:r>
            <w:r>
              <w:rPr>
                <w:rFonts w:ascii="宋体" w:hAnsi="宋体" w:cs="宋体"/>
                <w:sz w:val="18"/>
                <w:lang w:bidi="en-US"/>
              </w:rPr>
              <w:t>，偏差在</w:t>
            </w:r>
            <w:r>
              <w:rPr>
                <w:rFonts w:eastAsia="Times New Roman" w:cs="宋体"/>
                <w:sz w:val="18"/>
                <w:lang w:bidi="en-US"/>
              </w:rPr>
              <w:t>±5</w:t>
            </w:r>
            <w:r>
              <w:rPr>
                <w:rFonts w:eastAsia="Times New Roman" w:cs="宋体"/>
                <w:sz w:val="18"/>
                <w:lang w:eastAsia="en-US" w:bidi="en-US"/>
              </w:rPr>
              <w:t>Ω</w:t>
            </w:r>
            <w:r>
              <w:rPr>
                <w:rFonts w:ascii="宋体" w:hAnsi="宋体" w:cs="宋体"/>
                <w:sz w:val="18"/>
                <w:lang w:bidi="en-US"/>
              </w:rPr>
              <w:t>内；</w:t>
            </w:r>
          </w:p>
          <w:p w14:paraId="687D333C">
            <w:pPr>
              <w:autoSpaceDE w:val="0"/>
              <w:autoSpaceDN w:val="0"/>
              <w:spacing w:line="240" w:lineRule="auto"/>
              <w:ind w:left="176" w:leftChars="84"/>
              <w:jc w:val="left"/>
              <w:rPr>
                <w:rFonts w:ascii="宋体" w:hAnsi="宋体" w:cs="宋体"/>
                <w:sz w:val="18"/>
                <w:lang w:bidi="en-US"/>
              </w:rPr>
            </w:pPr>
            <w:r>
              <w:rPr>
                <w:rFonts w:ascii="宋体" w:hAnsi="宋体" w:cs="宋体"/>
                <w:sz w:val="18"/>
                <w:lang w:bidi="en-US"/>
              </w:rPr>
              <w:t xml:space="preserve">②各通道实测值与标称值之间的偏差≤标称值的 </w:t>
            </w:r>
            <w:r>
              <w:rPr>
                <w:rFonts w:eastAsia="Times New Roman" w:cs="宋体"/>
                <w:sz w:val="18"/>
                <w:lang w:bidi="en-US"/>
              </w:rPr>
              <w:t>20</w:t>
            </w:r>
            <w:r>
              <w:rPr>
                <w:rFonts w:ascii="宋体" w:hAnsi="宋体" w:cs="宋体"/>
                <w:sz w:val="18"/>
                <w:lang w:bidi="en-US"/>
              </w:rPr>
              <w:t>%</w:t>
            </w:r>
          </w:p>
        </w:tc>
      </w:tr>
      <w:tr w14:paraId="6C0C0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00" w:hRule="atLeast"/>
          <w:jc w:val="center"/>
        </w:trPr>
        <w:tc>
          <w:tcPr>
            <w:tcW w:w="1738" w:type="dxa"/>
            <w:tcBorders>
              <w:top w:val="single" w:color="000000" w:sz="4" w:space="0"/>
              <w:left w:val="single" w:color="000000" w:sz="4" w:space="0"/>
              <w:bottom w:val="single" w:color="000000" w:sz="4" w:space="0"/>
              <w:right w:val="single" w:color="000000" w:sz="4" w:space="0"/>
            </w:tcBorders>
            <w:vAlign w:val="center"/>
          </w:tcPr>
          <w:p w14:paraId="0B56800A">
            <w:pPr>
              <w:autoSpaceDE w:val="0"/>
              <w:autoSpaceDN w:val="0"/>
              <w:spacing w:line="240" w:lineRule="auto"/>
              <w:jc w:val="left"/>
              <w:rPr>
                <w:rFonts w:ascii="宋体" w:hAnsi="宋体" w:cs="宋体"/>
                <w:sz w:val="18"/>
                <w:lang w:eastAsia="en-US" w:bidi="en-US"/>
              </w:rPr>
            </w:pPr>
            <w:r>
              <w:rPr>
                <w:rFonts w:ascii="宋体" w:hAnsi="宋体" w:cs="宋体"/>
                <w:sz w:val="18"/>
                <w:lang w:eastAsia="en-US" w:bidi="en-US"/>
              </w:rPr>
              <w:t>③发射延时精度</w:t>
            </w:r>
          </w:p>
        </w:tc>
        <w:tc>
          <w:tcPr>
            <w:tcW w:w="4076" w:type="dxa"/>
            <w:tcBorders>
              <w:top w:val="single" w:color="000000" w:sz="4" w:space="0"/>
              <w:left w:val="single" w:color="000000" w:sz="4" w:space="0"/>
              <w:bottom w:val="single" w:color="000000" w:sz="4" w:space="0"/>
              <w:right w:val="single" w:color="000000" w:sz="4" w:space="0"/>
            </w:tcBorders>
          </w:tcPr>
          <w:p w14:paraId="4B091BA5">
            <w:pPr>
              <w:autoSpaceDE w:val="0"/>
              <w:autoSpaceDN w:val="0"/>
              <w:spacing w:line="240" w:lineRule="auto"/>
              <w:ind w:left="147" w:leftChars="70"/>
              <w:rPr>
                <w:rFonts w:ascii="宋体" w:hAnsi="宋体" w:cs="宋体"/>
                <w:sz w:val="18"/>
                <w:lang w:bidi="en-US"/>
              </w:rPr>
            </w:pPr>
            <w:r>
              <w:rPr>
                <w:rFonts w:ascii="宋体" w:hAnsi="宋体" w:cs="宋体"/>
                <w:sz w:val="18"/>
                <w:lang w:bidi="en-US"/>
              </w:rPr>
              <w:t xml:space="preserve">设置相控阵仪器为 </w:t>
            </w:r>
            <w:r>
              <w:rPr>
                <w:rFonts w:hAnsi="宋体" w:eastAsia="Times New Roman" w:cs="宋体"/>
                <w:sz w:val="18"/>
                <w:lang w:bidi="en-US"/>
              </w:rPr>
              <w:t xml:space="preserve">E </w:t>
            </w:r>
            <w:r>
              <w:rPr>
                <w:rFonts w:ascii="宋体" w:hAnsi="宋体" w:cs="宋体"/>
                <w:sz w:val="18"/>
                <w:lang w:bidi="en-US"/>
              </w:rPr>
              <w:t>扫描，相控阵检测仪设置成多发多收，调整延迟法则，按一定延时间隔顺序激发所有相控阵检测仪发射器，相邻通道之间发射延时间隔设置为系统能设定的最小值，测试仪器发射延时精度，仅测试一个发射通道</w:t>
            </w:r>
          </w:p>
        </w:tc>
        <w:tc>
          <w:tcPr>
            <w:tcW w:w="3046" w:type="dxa"/>
            <w:tcBorders>
              <w:top w:val="single" w:color="000000" w:sz="4" w:space="0"/>
              <w:left w:val="single" w:color="000000" w:sz="4" w:space="0"/>
              <w:bottom w:val="single" w:color="000000" w:sz="4" w:space="0"/>
              <w:right w:val="single" w:color="000000" w:sz="8" w:space="0"/>
            </w:tcBorders>
          </w:tcPr>
          <w:p w14:paraId="04F11172">
            <w:pPr>
              <w:autoSpaceDE w:val="0"/>
              <w:autoSpaceDN w:val="0"/>
              <w:spacing w:line="240" w:lineRule="auto"/>
              <w:ind w:left="176" w:leftChars="84"/>
              <w:jc w:val="left"/>
              <w:rPr>
                <w:rFonts w:ascii="宋体" w:hAnsi="宋体" w:cs="宋体"/>
                <w:sz w:val="20"/>
                <w:lang w:bidi="en-US"/>
              </w:rPr>
            </w:pPr>
          </w:p>
          <w:p w14:paraId="1DB2D3D4">
            <w:pPr>
              <w:autoSpaceDE w:val="0"/>
              <w:autoSpaceDN w:val="0"/>
              <w:spacing w:line="240" w:lineRule="auto"/>
              <w:ind w:firstLine="180" w:firstLineChars="100"/>
              <w:jc w:val="left"/>
              <w:rPr>
                <w:rFonts w:eastAsia="Times New Roman" w:cs="宋体"/>
                <w:sz w:val="18"/>
                <w:lang w:bidi="en-US"/>
              </w:rPr>
            </w:pPr>
            <w:r>
              <w:rPr>
                <w:rFonts w:ascii="宋体" w:hAnsi="宋体" w:cs="宋体"/>
                <w:sz w:val="18"/>
                <w:lang w:bidi="en-US"/>
              </w:rPr>
              <w:t>相邻通道间发射脉冲的最小延迟时间应≤</w:t>
            </w:r>
            <w:r>
              <w:rPr>
                <w:rFonts w:eastAsia="Times New Roman" w:cs="宋体"/>
                <w:sz w:val="18"/>
                <w:lang w:bidi="en-US"/>
              </w:rPr>
              <w:t>5ns</w:t>
            </w:r>
          </w:p>
        </w:tc>
      </w:tr>
      <w:tr w14:paraId="5D6722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80" w:hRule="atLeast"/>
          <w:jc w:val="center"/>
        </w:trPr>
        <w:tc>
          <w:tcPr>
            <w:tcW w:w="1738" w:type="dxa"/>
            <w:tcBorders>
              <w:top w:val="single" w:color="000000" w:sz="4" w:space="0"/>
              <w:left w:val="single" w:color="000000" w:sz="4" w:space="0"/>
              <w:bottom w:val="single" w:color="000000" w:sz="4" w:space="0"/>
              <w:right w:val="single" w:color="000000" w:sz="4" w:space="0"/>
            </w:tcBorders>
            <w:vAlign w:val="center"/>
          </w:tcPr>
          <w:p w14:paraId="50143DCF">
            <w:pPr>
              <w:autoSpaceDE w:val="0"/>
              <w:autoSpaceDN w:val="0"/>
              <w:spacing w:line="240" w:lineRule="auto"/>
              <w:jc w:val="left"/>
              <w:rPr>
                <w:rFonts w:ascii="宋体" w:hAnsi="宋体" w:cs="宋体"/>
                <w:sz w:val="18"/>
                <w:lang w:eastAsia="en-US" w:bidi="en-US"/>
              </w:rPr>
            </w:pPr>
            <w:r>
              <w:rPr>
                <w:rFonts w:ascii="宋体" w:hAnsi="宋体" w:cs="宋体"/>
                <w:sz w:val="18"/>
                <w:lang w:eastAsia="en-US" w:bidi="en-US"/>
              </w:rPr>
              <w:t>④发射脉冲电压</w:t>
            </w:r>
          </w:p>
        </w:tc>
        <w:tc>
          <w:tcPr>
            <w:tcW w:w="4076" w:type="dxa"/>
            <w:tcBorders>
              <w:top w:val="single" w:color="000000" w:sz="4" w:space="0"/>
              <w:left w:val="single" w:color="000000" w:sz="4" w:space="0"/>
              <w:bottom w:val="single" w:color="000000" w:sz="4" w:space="0"/>
              <w:right w:val="single" w:color="000000" w:sz="4" w:space="0"/>
            </w:tcBorders>
          </w:tcPr>
          <w:p w14:paraId="5FE2FDF9">
            <w:pPr>
              <w:autoSpaceDE w:val="0"/>
              <w:autoSpaceDN w:val="0"/>
              <w:spacing w:line="240" w:lineRule="auto"/>
              <w:ind w:left="147" w:leftChars="70"/>
              <w:jc w:val="left"/>
              <w:rPr>
                <w:rFonts w:ascii="宋体" w:hAnsi="宋体" w:cs="宋体"/>
                <w:sz w:val="25"/>
                <w:lang w:bidi="en-US"/>
              </w:rPr>
            </w:pPr>
          </w:p>
          <w:p w14:paraId="61C002D3">
            <w:pPr>
              <w:autoSpaceDE w:val="0"/>
              <w:autoSpaceDN w:val="0"/>
              <w:spacing w:line="240" w:lineRule="auto"/>
              <w:ind w:left="147" w:leftChars="70"/>
              <w:rPr>
                <w:rFonts w:ascii="宋体" w:hAnsi="宋体" w:cs="宋体"/>
                <w:sz w:val="18"/>
                <w:lang w:bidi="en-US"/>
              </w:rPr>
            </w:pPr>
            <w:r>
              <w:rPr>
                <w:rFonts w:ascii="宋体" w:hAnsi="宋体" w:cs="宋体"/>
                <w:sz w:val="18"/>
                <w:lang w:bidi="en-US"/>
              </w:rPr>
              <w:t>在仪器出厂文件中提供的最佳阻尼设定值条件下， 调节发射脉冲宽度和发射脉冲重复频率为中间值， 测量相控阵仪器所有发射通道的最大、最小及中间值发射脉冲电压</w:t>
            </w:r>
          </w:p>
        </w:tc>
        <w:tc>
          <w:tcPr>
            <w:tcW w:w="3046" w:type="dxa"/>
            <w:tcBorders>
              <w:top w:val="single" w:color="000000" w:sz="4" w:space="0"/>
              <w:left w:val="single" w:color="000000" w:sz="4" w:space="0"/>
              <w:bottom w:val="single" w:color="000000" w:sz="4" w:space="0"/>
              <w:right w:val="single" w:color="000000" w:sz="8" w:space="0"/>
            </w:tcBorders>
          </w:tcPr>
          <w:p w14:paraId="3F618B71">
            <w:pPr>
              <w:autoSpaceDE w:val="0"/>
              <w:autoSpaceDN w:val="0"/>
              <w:spacing w:line="240" w:lineRule="auto"/>
              <w:ind w:left="176" w:leftChars="84"/>
              <w:rPr>
                <w:rFonts w:ascii="宋体" w:hAnsi="宋体" w:cs="宋体"/>
                <w:sz w:val="18"/>
                <w:lang w:bidi="en-US"/>
              </w:rPr>
            </w:pPr>
            <w:r>
              <w:rPr>
                <w:rFonts w:ascii="宋体" w:hAnsi="宋体" w:cs="宋体"/>
                <w:spacing w:val="6"/>
                <w:sz w:val="18"/>
                <w:lang w:bidi="en-US"/>
              </w:rPr>
              <w:t>①发射脉冲模式可以是方波或</w:t>
            </w:r>
            <w:r>
              <w:rPr>
                <w:rFonts w:ascii="宋体" w:hAnsi="宋体" w:cs="宋体"/>
                <w:spacing w:val="-10"/>
                <w:sz w:val="18"/>
                <w:lang w:bidi="en-US"/>
              </w:rPr>
              <w:t>尖脉冲；发射脉冲电压幅度</w:t>
            </w:r>
            <w:r>
              <w:rPr>
                <w:rFonts w:ascii="宋体" w:hAnsi="宋体" w:cs="宋体"/>
                <w:spacing w:val="9"/>
                <w:sz w:val="18"/>
                <w:lang w:bidi="en-US"/>
              </w:rPr>
              <w:t>（</w:t>
            </w:r>
            <w:r>
              <w:rPr>
                <w:rFonts w:ascii="宋体" w:hAnsi="宋体" w:cs="宋体"/>
                <w:sz w:val="18"/>
                <w:lang w:bidi="en-US"/>
              </w:rPr>
              <w:t>带</w:t>
            </w:r>
            <w:r>
              <w:rPr>
                <w:rFonts w:ascii="宋体" w:hAnsi="宋体" w:cs="宋体"/>
                <w:spacing w:val="-1"/>
                <w:position w:val="1"/>
                <w:sz w:val="18"/>
                <w:lang w:bidi="en-US"/>
              </w:rPr>
              <w:t xml:space="preserve">负载，即 </w:t>
            </w:r>
            <w:r>
              <w:rPr>
                <w:rFonts w:eastAsia="Times New Roman" w:cs="宋体"/>
                <w:i/>
                <w:spacing w:val="3"/>
                <w:position w:val="1"/>
                <w:sz w:val="18"/>
                <w:lang w:bidi="en-US"/>
              </w:rPr>
              <w:t>V</w:t>
            </w:r>
            <w:r>
              <w:rPr>
                <w:rFonts w:eastAsia="Times New Roman" w:cs="宋体"/>
                <w:spacing w:val="3"/>
                <w:sz w:val="11"/>
                <w:lang w:bidi="en-US"/>
              </w:rPr>
              <w:t>50</w:t>
            </w:r>
            <w:r>
              <w:rPr>
                <w:rFonts w:ascii="宋体" w:hAnsi="宋体" w:cs="宋体"/>
                <w:spacing w:val="3"/>
                <w:position w:val="1"/>
                <w:sz w:val="18"/>
                <w:lang w:bidi="en-US"/>
              </w:rPr>
              <w:t>）</w:t>
            </w:r>
            <w:r>
              <w:rPr>
                <w:rFonts w:ascii="宋体" w:hAnsi="宋体" w:cs="宋体"/>
                <w:spacing w:val="6"/>
                <w:position w:val="1"/>
                <w:sz w:val="18"/>
                <w:lang w:bidi="en-US"/>
              </w:rPr>
              <w:t>最大值≥</w:t>
            </w:r>
            <w:r>
              <w:rPr>
                <w:rFonts w:eastAsia="Times New Roman" w:cs="宋体"/>
                <w:position w:val="1"/>
                <w:sz w:val="18"/>
                <w:lang w:bidi="en-US"/>
              </w:rPr>
              <w:t>75V</w:t>
            </w:r>
            <w:r>
              <w:rPr>
                <w:rFonts w:ascii="宋体" w:hAnsi="宋体" w:cs="宋体"/>
                <w:position w:val="1"/>
                <w:sz w:val="18"/>
                <w:lang w:bidi="en-US"/>
              </w:rPr>
              <w:t>；</w:t>
            </w:r>
          </w:p>
          <w:p w14:paraId="794C6114">
            <w:pPr>
              <w:autoSpaceDE w:val="0"/>
              <w:autoSpaceDN w:val="0"/>
              <w:spacing w:line="240" w:lineRule="auto"/>
              <w:ind w:left="176" w:leftChars="84"/>
              <w:rPr>
                <w:rFonts w:ascii="宋体" w:hAnsi="宋体" w:cs="宋体"/>
                <w:sz w:val="18"/>
                <w:lang w:bidi="en-US"/>
              </w:rPr>
            </w:pPr>
            <w:r>
              <w:rPr>
                <w:rFonts w:ascii="宋体" w:hAnsi="宋体" w:cs="宋体"/>
                <w:spacing w:val="5"/>
                <w:sz w:val="18"/>
                <w:lang w:bidi="en-US"/>
              </w:rPr>
              <w:t>②实测值与标称值</w:t>
            </w:r>
            <w:r>
              <w:rPr>
                <w:rFonts w:ascii="宋体" w:hAnsi="宋体" w:cs="宋体"/>
                <w:spacing w:val="9"/>
                <w:sz w:val="18"/>
                <w:lang w:bidi="en-US"/>
              </w:rPr>
              <w:t>（</w:t>
            </w:r>
            <w:r>
              <w:rPr>
                <w:rFonts w:ascii="宋体" w:hAnsi="宋体" w:cs="宋体"/>
                <w:spacing w:val="5"/>
                <w:sz w:val="18"/>
                <w:lang w:bidi="en-US"/>
              </w:rPr>
              <w:t xml:space="preserve">带负载， </w:t>
            </w:r>
            <w:r>
              <w:rPr>
                <w:rFonts w:ascii="宋体" w:hAnsi="宋体" w:cs="宋体"/>
                <w:spacing w:val="-15"/>
                <w:position w:val="1"/>
                <w:sz w:val="18"/>
                <w:lang w:bidi="en-US"/>
              </w:rPr>
              <w:t xml:space="preserve">即 </w:t>
            </w:r>
            <w:r>
              <w:rPr>
                <w:rFonts w:eastAsia="Times New Roman" w:cs="宋体"/>
                <w:i/>
                <w:spacing w:val="2"/>
                <w:position w:val="1"/>
                <w:sz w:val="18"/>
                <w:lang w:bidi="en-US"/>
              </w:rPr>
              <w:t>V</w:t>
            </w:r>
            <w:r>
              <w:rPr>
                <w:rFonts w:eastAsia="Times New Roman" w:cs="宋体"/>
                <w:spacing w:val="2"/>
                <w:w w:val="104"/>
                <w:sz w:val="11"/>
                <w:lang w:bidi="en-US"/>
              </w:rPr>
              <w:t>5</w:t>
            </w:r>
            <w:r>
              <w:rPr>
                <w:rFonts w:eastAsia="Times New Roman" w:cs="宋体"/>
                <w:spacing w:val="4"/>
                <w:w w:val="104"/>
                <w:sz w:val="11"/>
                <w:lang w:bidi="en-US"/>
              </w:rPr>
              <w:t>0</w:t>
            </w:r>
            <w:r>
              <w:rPr>
                <w:rFonts w:ascii="宋体" w:hAnsi="宋体" w:cs="宋体"/>
                <w:spacing w:val="-72"/>
                <w:position w:val="1"/>
                <w:sz w:val="18"/>
                <w:lang w:bidi="en-US"/>
              </w:rPr>
              <w:t>）</w:t>
            </w:r>
            <w:r>
              <w:rPr>
                <w:rFonts w:ascii="宋体" w:hAnsi="宋体" w:cs="宋体"/>
                <w:spacing w:val="5"/>
                <w:position w:val="1"/>
                <w:sz w:val="18"/>
                <w:lang w:bidi="en-US"/>
              </w:rPr>
              <w:t>之间的偏差≤标称值的</w:t>
            </w:r>
            <w:r>
              <w:rPr>
                <w:rFonts w:hAnsi="宋体" w:cs="宋体"/>
                <w:sz w:val="18"/>
                <w:lang w:bidi="en-US"/>
              </w:rPr>
              <w:t>10</w:t>
            </w:r>
            <w:r>
              <w:rPr>
                <w:rFonts w:ascii="宋体" w:hAnsi="宋体" w:cs="宋体"/>
                <w:sz w:val="18"/>
                <w:lang w:bidi="en-US"/>
              </w:rPr>
              <w:t>%</w:t>
            </w:r>
          </w:p>
        </w:tc>
      </w:tr>
      <w:tr w14:paraId="1546F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20" w:hRule="atLeast"/>
          <w:jc w:val="center"/>
        </w:trPr>
        <w:tc>
          <w:tcPr>
            <w:tcW w:w="1738" w:type="dxa"/>
            <w:tcBorders>
              <w:top w:val="single" w:color="000000" w:sz="4" w:space="0"/>
              <w:left w:val="single" w:color="000000" w:sz="4" w:space="0"/>
              <w:bottom w:val="single" w:color="000000" w:sz="4" w:space="0"/>
              <w:right w:val="single" w:color="000000" w:sz="4" w:space="0"/>
            </w:tcBorders>
            <w:vAlign w:val="center"/>
          </w:tcPr>
          <w:p w14:paraId="5C135B4D">
            <w:pPr>
              <w:autoSpaceDE w:val="0"/>
              <w:autoSpaceDN w:val="0"/>
              <w:spacing w:line="240" w:lineRule="auto"/>
              <w:jc w:val="left"/>
              <w:rPr>
                <w:rFonts w:ascii="宋体" w:hAnsi="宋体" w:cs="宋体"/>
                <w:sz w:val="18"/>
                <w:lang w:eastAsia="en-US" w:bidi="en-US"/>
              </w:rPr>
            </w:pPr>
            <w:r>
              <w:rPr>
                <w:rFonts w:ascii="宋体" w:hAnsi="宋体" w:cs="宋体"/>
                <w:sz w:val="18"/>
                <w:lang w:eastAsia="en-US" w:bidi="en-US"/>
              </w:rPr>
              <w:t>⑤发射脉冲反冲</w:t>
            </w:r>
          </w:p>
        </w:tc>
        <w:tc>
          <w:tcPr>
            <w:tcW w:w="4076" w:type="dxa"/>
            <w:tcBorders>
              <w:top w:val="single" w:color="000000" w:sz="4" w:space="0"/>
              <w:left w:val="single" w:color="000000" w:sz="4" w:space="0"/>
              <w:bottom w:val="single" w:color="000000" w:sz="4" w:space="0"/>
              <w:right w:val="single" w:color="000000" w:sz="4" w:space="0"/>
            </w:tcBorders>
          </w:tcPr>
          <w:p w14:paraId="101D4123">
            <w:pPr>
              <w:autoSpaceDE w:val="0"/>
              <w:autoSpaceDN w:val="0"/>
              <w:spacing w:line="240" w:lineRule="auto"/>
              <w:ind w:left="147" w:leftChars="70"/>
              <w:jc w:val="left"/>
              <w:rPr>
                <w:rFonts w:ascii="宋体" w:hAnsi="宋体" w:cs="宋体"/>
                <w:sz w:val="18"/>
                <w:lang w:bidi="en-US"/>
              </w:rPr>
            </w:pPr>
            <w:r>
              <w:rPr>
                <w:rFonts w:ascii="宋体" w:hAnsi="宋体" w:cs="宋体"/>
                <w:spacing w:val="7"/>
                <w:sz w:val="18"/>
                <w:lang w:bidi="en-US"/>
              </w:rPr>
              <w:t>在发射脉冲电压、发射脉冲宽度（以上取中间值</w:t>
            </w:r>
            <w:r>
              <w:rPr>
                <w:rFonts w:ascii="宋体" w:hAnsi="宋体" w:cs="宋体"/>
                <w:spacing w:val="-11"/>
                <w:sz w:val="18"/>
                <w:lang w:bidi="en-US"/>
              </w:rPr>
              <w:t xml:space="preserve">） </w:t>
            </w:r>
            <w:r>
              <w:rPr>
                <w:rFonts w:ascii="宋体" w:hAnsi="宋体" w:cs="宋体"/>
                <w:spacing w:val="6"/>
                <w:sz w:val="18"/>
                <w:lang w:bidi="en-US"/>
              </w:rPr>
              <w:t xml:space="preserve">以及仪器出厂文件中提供的最佳发射脉冲重复频 </w:t>
            </w:r>
            <w:r>
              <w:rPr>
                <w:rFonts w:ascii="宋体" w:hAnsi="宋体" w:cs="宋体"/>
                <w:spacing w:val="3"/>
                <w:sz w:val="18"/>
                <w:lang w:bidi="en-US"/>
              </w:rPr>
              <w:t>率和阻尼设定值条件下，测量相控阵仪器所有发射</w:t>
            </w:r>
          </w:p>
          <w:p w14:paraId="5DDECF8B">
            <w:pPr>
              <w:autoSpaceDE w:val="0"/>
              <w:autoSpaceDN w:val="0"/>
              <w:spacing w:line="240" w:lineRule="auto"/>
              <w:ind w:left="147" w:leftChars="70"/>
              <w:jc w:val="left"/>
              <w:rPr>
                <w:rFonts w:ascii="宋体" w:hAnsi="宋体" w:cs="宋体"/>
                <w:sz w:val="18"/>
                <w:lang w:bidi="en-US"/>
              </w:rPr>
            </w:pPr>
            <w:r>
              <w:rPr>
                <w:rFonts w:ascii="宋体" w:hAnsi="宋体" w:cs="宋体"/>
                <w:sz w:val="18"/>
                <w:lang w:bidi="en-US"/>
              </w:rPr>
              <w:t>通道的发射脉冲反冲与发射脉冲电压峰-峰值之比</w:t>
            </w:r>
          </w:p>
        </w:tc>
        <w:tc>
          <w:tcPr>
            <w:tcW w:w="3046" w:type="dxa"/>
            <w:tcBorders>
              <w:top w:val="single" w:color="000000" w:sz="4" w:space="0"/>
              <w:left w:val="single" w:color="000000" w:sz="4" w:space="0"/>
              <w:bottom w:val="single" w:color="000000" w:sz="4" w:space="0"/>
              <w:right w:val="single" w:color="000000" w:sz="8" w:space="0"/>
            </w:tcBorders>
          </w:tcPr>
          <w:p w14:paraId="092AD710">
            <w:pPr>
              <w:autoSpaceDE w:val="0"/>
              <w:autoSpaceDN w:val="0"/>
              <w:spacing w:line="240" w:lineRule="auto"/>
              <w:ind w:left="176" w:leftChars="84"/>
              <w:jc w:val="left"/>
              <w:rPr>
                <w:rFonts w:ascii="宋体" w:hAnsi="宋体" w:cs="宋体"/>
                <w:sz w:val="25"/>
                <w:lang w:bidi="en-US"/>
              </w:rPr>
            </w:pPr>
          </w:p>
          <w:p w14:paraId="12238AE6">
            <w:pPr>
              <w:autoSpaceDE w:val="0"/>
              <w:autoSpaceDN w:val="0"/>
              <w:spacing w:line="240" w:lineRule="auto"/>
              <w:ind w:left="176" w:leftChars="84"/>
              <w:jc w:val="left"/>
              <w:rPr>
                <w:rFonts w:ascii="宋体" w:hAnsi="宋体" w:cs="宋体"/>
                <w:sz w:val="18"/>
                <w:lang w:bidi="en-US"/>
              </w:rPr>
            </w:pPr>
            <w:r>
              <w:rPr>
                <w:rFonts w:ascii="宋体" w:hAnsi="宋体" w:cs="宋体"/>
                <w:sz w:val="18"/>
                <w:lang w:bidi="en-US"/>
              </w:rPr>
              <w:t xml:space="preserve">方波：发射脉冲反冲实测值＜ 发射脉冲电压峰-峰值的 </w:t>
            </w:r>
            <w:r>
              <w:rPr>
                <w:rFonts w:hAnsi="宋体" w:eastAsia="Times New Roman" w:cs="宋体"/>
                <w:sz w:val="18"/>
                <w:lang w:bidi="en-US"/>
              </w:rPr>
              <w:t>8</w:t>
            </w:r>
            <w:r>
              <w:rPr>
                <w:rFonts w:ascii="宋体" w:hAnsi="宋体" w:cs="宋体"/>
                <w:sz w:val="18"/>
                <w:lang w:bidi="en-US"/>
              </w:rPr>
              <w:t>%</w:t>
            </w:r>
          </w:p>
        </w:tc>
      </w:tr>
      <w:tr w14:paraId="07F943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00" w:hRule="atLeast"/>
          <w:jc w:val="center"/>
        </w:trPr>
        <w:tc>
          <w:tcPr>
            <w:tcW w:w="1738" w:type="dxa"/>
            <w:tcBorders>
              <w:top w:val="single" w:color="000000" w:sz="4" w:space="0"/>
              <w:left w:val="single" w:color="000000" w:sz="4" w:space="0"/>
              <w:bottom w:val="single" w:color="000000" w:sz="4" w:space="0"/>
              <w:right w:val="single" w:color="000000" w:sz="4" w:space="0"/>
            </w:tcBorders>
            <w:vAlign w:val="center"/>
          </w:tcPr>
          <w:p w14:paraId="0215EAAC">
            <w:pPr>
              <w:autoSpaceDE w:val="0"/>
              <w:autoSpaceDN w:val="0"/>
              <w:spacing w:line="240" w:lineRule="auto"/>
              <w:jc w:val="left"/>
              <w:rPr>
                <w:rFonts w:ascii="宋体" w:hAnsi="宋体" w:cs="宋体"/>
                <w:sz w:val="18"/>
                <w:lang w:eastAsia="en-US" w:bidi="en-US"/>
              </w:rPr>
            </w:pPr>
            <w:r>
              <w:rPr>
                <w:rFonts w:ascii="宋体" w:hAnsi="宋体" w:cs="宋体"/>
                <w:sz w:val="18"/>
                <w:lang w:eastAsia="en-US" w:bidi="en-US"/>
              </w:rPr>
              <w:t>⑥发射脉冲宽度</w:t>
            </w:r>
          </w:p>
        </w:tc>
        <w:tc>
          <w:tcPr>
            <w:tcW w:w="4076" w:type="dxa"/>
            <w:tcBorders>
              <w:top w:val="single" w:color="000000" w:sz="4" w:space="0"/>
              <w:left w:val="single" w:color="000000" w:sz="4" w:space="0"/>
              <w:bottom w:val="single" w:color="000000" w:sz="4" w:space="0"/>
              <w:right w:val="single" w:color="000000" w:sz="4" w:space="0"/>
            </w:tcBorders>
          </w:tcPr>
          <w:p w14:paraId="576E664D">
            <w:pPr>
              <w:autoSpaceDE w:val="0"/>
              <w:autoSpaceDN w:val="0"/>
              <w:spacing w:line="240" w:lineRule="auto"/>
              <w:ind w:left="147" w:leftChars="70"/>
              <w:jc w:val="left"/>
              <w:rPr>
                <w:rFonts w:ascii="宋体" w:hAnsi="宋体" w:cs="宋体"/>
                <w:sz w:val="14"/>
                <w:lang w:bidi="en-US"/>
              </w:rPr>
            </w:pPr>
          </w:p>
          <w:p w14:paraId="4D3DD00C">
            <w:pPr>
              <w:autoSpaceDE w:val="0"/>
              <w:autoSpaceDN w:val="0"/>
              <w:spacing w:line="240" w:lineRule="auto"/>
              <w:ind w:left="147" w:leftChars="70"/>
              <w:rPr>
                <w:rFonts w:ascii="宋体" w:hAnsi="宋体" w:cs="宋体"/>
                <w:sz w:val="18"/>
                <w:lang w:eastAsia="en-US" w:bidi="en-US"/>
              </w:rPr>
            </w:pPr>
            <w:r>
              <w:rPr>
                <w:rFonts w:ascii="宋体" w:hAnsi="宋体" w:cs="宋体"/>
                <w:sz w:val="18"/>
                <w:lang w:bidi="en-US"/>
              </w:rPr>
              <w:t>在发射脉冲电压（取中间值）和仪器出厂文件中提供的最佳发射脉冲重复频率和阻尼设定值条件下， 测量相控阵仪器发射通道的最大、最小及中间值发射脉冲宽度。</w:t>
            </w:r>
            <w:r>
              <w:rPr>
                <w:rFonts w:ascii="宋体" w:hAnsi="宋体" w:cs="宋体"/>
                <w:sz w:val="18"/>
                <w:lang w:eastAsia="en-US" w:bidi="en-US"/>
              </w:rPr>
              <w:t xml:space="preserve">测试的通道不少于通道总数的 </w:t>
            </w:r>
            <w:r>
              <w:rPr>
                <w:rFonts w:hAnsi="宋体" w:eastAsia="Times New Roman" w:cs="宋体"/>
                <w:sz w:val="18"/>
                <w:lang w:eastAsia="en-US" w:bidi="en-US"/>
              </w:rPr>
              <w:t>10</w:t>
            </w:r>
            <w:r>
              <w:rPr>
                <w:rFonts w:ascii="宋体" w:hAnsi="宋体" w:cs="宋体"/>
                <w:sz w:val="18"/>
                <w:lang w:eastAsia="en-US" w:bidi="en-US"/>
              </w:rPr>
              <w:t>%</w:t>
            </w:r>
          </w:p>
        </w:tc>
        <w:tc>
          <w:tcPr>
            <w:tcW w:w="3046" w:type="dxa"/>
            <w:tcBorders>
              <w:top w:val="single" w:color="000000" w:sz="4" w:space="0"/>
              <w:left w:val="single" w:color="000000" w:sz="4" w:space="0"/>
              <w:bottom w:val="single" w:color="000000" w:sz="4" w:space="0"/>
              <w:right w:val="single" w:color="000000" w:sz="8" w:space="0"/>
            </w:tcBorders>
          </w:tcPr>
          <w:p w14:paraId="19AB8C25">
            <w:pPr>
              <w:autoSpaceDE w:val="0"/>
              <w:autoSpaceDN w:val="0"/>
              <w:spacing w:line="240" w:lineRule="auto"/>
              <w:ind w:left="176" w:leftChars="84"/>
              <w:jc w:val="left"/>
              <w:rPr>
                <w:rFonts w:ascii="宋体" w:hAnsi="宋体" w:cs="宋体"/>
                <w:sz w:val="18"/>
                <w:lang w:bidi="en-US"/>
              </w:rPr>
            </w:pPr>
            <w:r>
              <w:rPr>
                <w:rFonts w:ascii="宋体" w:hAnsi="宋体" w:cs="宋体"/>
                <w:spacing w:val="-8"/>
                <w:sz w:val="18"/>
                <w:lang w:bidi="en-US"/>
              </w:rPr>
              <w:t>①方波和双极波脉冲：实测值与</w:t>
            </w:r>
            <w:r>
              <w:rPr>
                <w:rFonts w:ascii="宋体" w:hAnsi="宋体" w:cs="宋体"/>
                <w:sz w:val="18"/>
                <w:lang w:bidi="en-US"/>
              </w:rPr>
              <w:t>标称值之间的偏差≤标称值的</w:t>
            </w:r>
            <w:r>
              <w:rPr>
                <w:rFonts w:eastAsia="Times New Roman" w:cs="宋体"/>
                <w:sz w:val="18"/>
                <w:lang w:bidi="en-US"/>
              </w:rPr>
              <w:t>10</w:t>
            </w:r>
            <w:r>
              <w:rPr>
                <w:rFonts w:ascii="宋体" w:hAnsi="宋体" w:cs="宋体"/>
                <w:sz w:val="18"/>
                <w:lang w:bidi="en-US"/>
              </w:rPr>
              <w:t>%；</w:t>
            </w:r>
          </w:p>
          <w:p w14:paraId="723D9C39">
            <w:pPr>
              <w:autoSpaceDE w:val="0"/>
              <w:autoSpaceDN w:val="0"/>
              <w:spacing w:line="240" w:lineRule="auto"/>
              <w:ind w:left="176" w:leftChars="84"/>
              <w:jc w:val="left"/>
              <w:rPr>
                <w:rFonts w:ascii="宋体" w:hAnsi="宋体" w:cs="宋体"/>
                <w:sz w:val="18"/>
                <w:lang w:bidi="en-US"/>
              </w:rPr>
            </w:pPr>
            <w:r>
              <w:rPr>
                <w:rFonts w:ascii="宋体" w:hAnsi="宋体" w:cs="宋体"/>
                <w:sz w:val="18"/>
                <w:lang w:bidi="en-US"/>
              </w:rPr>
              <w:t>②尖脉冲：实测值≤标称值的</w:t>
            </w:r>
            <w:r>
              <w:rPr>
                <w:rFonts w:hAnsi="宋体" w:eastAsia="Times New Roman" w:cs="宋体"/>
                <w:sz w:val="18"/>
                <w:lang w:bidi="en-US"/>
              </w:rPr>
              <w:t xml:space="preserve">1.5 </w:t>
            </w:r>
            <w:r>
              <w:rPr>
                <w:rFonts w:ascii="宋体" w:hAnsi="宋体" w:cs="宋体"/>
                <w:sz w:val="18"/>
                <w:lang w:bidi="en-US"/>
              </w:rPr>
              <w:t>倍</w:t>
            </w:r>
          </w:p>
        </w:tc>
      </w:tr>
      <w:tr w14:paraId="15582B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00" w:hRule="atLeast"/>
          <w:jc w:val="center"/>
        </w:trPr>
        <w:tc>
          <w:tcPr>
            <w:tcW w:w="1738" w:type="dxa"/>
            <w:tcBorders>
              <w:top w:val="single" w:color="000000" w:sz="4" w:space="0"/>
              <w:left w:val="single" w:color="000000" w:sz="4" w:space="0"/>
              <w:bottom w:val="single" w:color="000000" w:sz="4" w:space="0"/>
              <w:right w:val="single" w:color="000000" w:sz="4" w:space="0"/>
            </w:tcBorders>
            <w:vAlign w:val="center"/>
          </w:tcPr>
          <w:p w14:paraId="35ECAB91">
            <w:pPr>
              <w:autoSpaceDE w:val="0"/>
              <w:autoSpaceDN w:val="0"/>
              <w:spacing w:line="240" w:lineRule="auto"/>
              <w:jc w:val="left"/>
              <w:rPr>
                <w:rFonts w:ascii="宋体" w:hAnsi="宋体" w:cs="宋体"/>
                <w:sz w:val="18"/>
                <w:lang w:eastAsia="en-US" w:bidi="en-US"/>
              </w:rPr>
            </w:pPr>
            <w:r>
              <w:rPr>
                <w:rFonts w:ascii="宋体" w:hAnsi="宋体" w:cs="宋体"/>
                <w:sz w:val="18"/>
                <w:lang w:eastAsia="en-US" w:bidi="en-US"/>
              </w:rPr>
              <w:t>⑦发射脉冲上升时间</w:t>
            </w:r>
          </w:p>
        </w:tc>
        <w:tc>
          <w:tcPr>
            <w:tcW w:w="4076" w:type="dxa"/>
            <w:tcBorders>
              <w:top w:val="single" w:color="000000" w:sz="4" w:space="0"/>
              <w:left w:val="single" w:color="000000" w:sz="4" w:space="0"/>
              <w:bottom w:val="single" w:color="000000" w:sz="4" w:space="0"/>
              <w:right w:val="single" w:color="000000" w:sz="4" w:space="0"/>
            </w:tcBorders>
          </w:tcPr>
          <w:p w14:paraId="28BAAE25">
            <w:pPr>
              <w:autoSpaceDE w:val="0"/>
              <w:autoSpaceDN w:val="0"/>
              <w:spacing w:line="240" w:lineRule="auto"/>
              <w:ind w:left="147" w:leftChars="70"/>
              <w:jc w:val="left"/>
              <w:rPr>
                <w:rFonts w:ascii="宋体" w:hAnsi="宋体" w:cs="宋体"/>
                <w:sz w:val="18"/>
                <w:lang w:eastAsia="en-US" w:bidi="en-US"/>
              </w:rPr>
            </w:pPr>
            <w:r>
              <w:rPr>
                <w:rFonts w:ascii="宋体" w:hAnsi="宋体" w:cs="宋体"/>
                <w:spacing w:val="7"/>
                <w:sz w:val="18"/>
                <w:lang w:bidi="en-US"/>
              </w:rPr>
              <w:t>在发射脉冲电压、发射脉冲宽度（以上取中间值</w:t>
            </w:r>
            <w:r>
              <w:rPr>
                <w:rFonts w:ascii="宋体" w:hAnsi="宋体" w:cs="宋体"/>
                <w:spacing w:val="-11"/>
                <w:sz w:val="18"/>
                <w:lang w:bidi="en-US"/>
              </w:rPr>
              <w:t xml:space="preserve">） </w:t>
            </w:r>
            <w:r>
              <w:rPr>
                <w:rFonts w:ascii="宋体" w:hAnsi="宋体" w:cs="宋体"/>
                <w:spacing w:val="6"/>
                <w:sz w:val="18"/>
                <w:lang w:bidi="en-US"/>
              </w:rPr>
              <w:t xml:space="preserve">和仪器出厂文件中提供的最佳发射脉冲重复频率 </w:t>
            </w:r>
            <w:r>
              <w:rPr>
                <w:rFonts w:ascii="宋体" w:hAnsi="宋体" w:cs="宋体"/>
                <w:spacing w:val="3"/>
                <w:sz w:val="18"/>
                <w:lang w:bidi="en-US"/>
              </w:rPr>
              <w:t>和阻尼设定值条件下，测量相控阵仪器发射通道的发射脉冲上升时间。</w:t>
            </w:r>
            <w:r>
              <w:rPr>
                <w:rFonts w:ascii="宋体" w:hAnsi="宋体" w:cs="宋体"/>
                <w:spacing w:val="3"/>
                <w:sz w:val="18"/>
                <w:lang w:eastAsia="en-US" w:bidi="en-US"/>
              </w:rPr>
              <w:t>测试的通道不少于通道总数的</w:t>
            </w:r>
          </w:p>
          <w:p w14:paraId="7B0BA9B5">
            <w:pPr>
              <w:autoSpaceDE w:val="0"/>
              <w:autoSpaceDN w:val="0"/>
              <w:spacing w:line="240" w:lineRule="auto"/>
              <w:ind w:left="147" w:leftChars="70"/>
              <w:jc w:val="left"/>
              <w:rPr>
                <w:rFonts w:ascii="宋体" w:hAnsi="宋体" w:cs="宋体"/>
                <w:sz w:val="18"/>
                <w:lang w:eastAsia="en-US" w:bidi="en-US"/>
              </w:rPr>
            </w:pPr>
            <w:r>
              <w:rPr>
                <w:rFonts w:hAnsi="宋体" w:cs="宋体"/>
                <w:sz w:val="18"/>
                <w:lang w:eastAsia="en-US" w:bidi="en-US"/>
              </w:rPr>
              <w:t>10</w:t>
            </w:r>
            <w:r>
              <w:rPr>
                <w:rFonts w:ascii="宋体" w:hAnsi="宋体" w:cs="宋体"/>
                <w:sz w:val="18"/>
                <w:lang w:eastAsia="en-US" w:bidi="en-US"/>
              </w:rPr>
              <w:t>%</w:t>
            </w:r>
          </w:p>
        </w:tc>
        <w:tc>
          <w:tcPr>
            <w:tcW w:w="3046" w:type="dxa"/>
            <w:tcBorders>
              <w:top w:val="single" w:color="000000" w:sz="4" w:space="0"/>
              <w:left w:val="single" w:color="000000" w:sz="4" w:space="0"/>
              <w:bottom w:val="single" w:color="000000" w:sz="4" w:space="0"/>
              <w:right w:val="single" w:color="000000" w:sz="8" w:space="0"/>
            </w:tcBorders>
          </w:tcPr>
          <w:p w14:paraId="58EDAD66">
            <w:pPr>
              <w:autoSpaceDE w:val="0"/>
              <w:autoSpaceDN w:val="0"/>
              <w:spacing w:line="240" w:lineRule="auto"/>
              <w:ind w:left="176" w:leftChars="84"/>
              <w:jc w:val="left"/>
              <w:rPr>
                <w:rFonts w:ascii="宋体" w:hAnsi="宋体" w:cs="宋体"/>
                <w:sz w:val="14"/>
                <w:lang w:bidi="en-US"/>
              </w:rPr>
            </w:pPr>
          </w:p>
          <w:p w14:paraId="7022DE81">
            <w:pPr>
              <w:autoSpaceDE w:val="0"/>
              <w:autoSpaceDN w:val="0"/>
              <w:spacing w:line="240" w:lineRule="auto"/>
              <w:ind w:left="176" w:leftChars="84"/>
              <w:jc w:val="left"/>
              <w:rPr>
                <w:rFonts w:ascii="宋体" w:hAnsi="宋体" w:cs="宋体"/>
                <w:sz w:val="18"/>
                <w:lang w:bidi="en-US"/>
              </w:rPr>
            </w:pPr>
            <w:r>
              <w:rPr>
                <w:rFonts w:ascii="宋体" w:hAnsi="宋体" w:cs="宋体"/>
                <w:spacing w:val="3"/>
                <w:sz w:val="18"/>
                <w:lang w:bidi="en-US"/>
              </w:rPr>
              <w:t>①方波：发射脉冲上升时间的</w:t>
            </w:r>
            <w:r>
              <w:rPr>
                <w:rFonts w:ascii="宋体" w:hAnsi="宋体" w:cs="宋体"/>
                <w:spacing w:val="6"/>
                <w:sz w:val="18"/>
                <w:lang w:bidi="en-US"/>
              </w:rPr>
              <w:t>最大值≤</w:t>
            </w:r>
            <w:r>
              <w:rPr>
                <w:rFonts w:eastAsia="Times New Roman" w:cs="宋体"/>
                <w:spacing w:val="3"/>
                <w:sz w:val="18"/>
                <w:lang w:bidi="en-US"/>
              </w:rPr>
              <w:t>10ns</w:t>
            </w:r>
            <w:r>
              <w:rPr>
                <w:rFonts w:ascii="宋体" w:hAnsi="宋体" w:cs="宋体"/>
                <w:spacing w:val="3"/>
                <w:sz w:val="18"/>
                <w:lang w:bidi="en-US"/>
              </w:rPr>
              <w:t>；</w:t>
            </w:r>
          </w:p>
          <w:p w14:paraId="39822661">
            <w:pPr>
              <w:autoSpaceDE w:val="0"/>
              <w:autoSpaceDN w:val="0"/>
              <w:spacing w:line="240" w:lineRule="auto"/>
              <w:ind w:left="176" w:leftChars="84"/>
              <w:jc w:val="left"/>
              <w:rPr>
                <w:rFonts w:eastAsia="Times New Roman" w:cs="宋体"/>
                <w:sz w:val="18"/>
                <w:lang w:bidi="en-US"/>
              </w:rPr>
            </w:pPr>
            <w:r>
              <w:rPr>
                <w:rFonts w:ascii="宋体" w:hAnsi="宋体" w:cs="宋体"/>
                <w:spacing w:val="3"/>
                <w:sz w:val="18"/>
                <w:lang w:bidi="en-US"/>
              </w:rPr>
              <w:t>②双极波：发射脉冲上升时间</w:t>
            </w:r>
            <w:r>
              <w:rPr>
                <w:rFonts w:ascii="宋体" w:hAnsi="宋体" w:cs="宋体"/>
                <w:spacing w:val="6"/>
                <w:sz w:val="18"/>
                <w:lang w:bidi="en-US"/>
              </w:rPr>
              <w:t>的最大值≤</w:t>
            </w:r>
            <w:r>
              <w:rPr>
                <w:rFonts w:eastAsia="Times New Roman" w:cs="宋体"/>
                <w:spacing w:val="3"/>
                <w:sz w:val="18"/>
                <w:lang w:bidi="en-US"/>
              </w:rPr>
              <w:t>15ns</w:t>
            </w:r>
          </w:p>
        </w:tc>
      </w:tr>
    </w:tbl>
    <w:p w14:paraId="2FF7C40F"/>
    <w:p w14:paraId="2AF175A0"/>
    <w:p w14:paraId="1D0DF137">
      <w:pPr>
        <w:pStyle w:val="13"/>
        <w:spacing w:before="156" w:beforeLines="50" w:after="156" w:afterLines="50" w:line="240" w:lineRule="auto"/>
        <w:jc w:val="center"/>
        <w:rPr>
          <w:rFonts w:hint="eastAsia"/>
        </w:rPr>
      </w:pPr>
      <w:r>
        <w:rPr>
          <w:rFonts w:hint="eastAsia"/>
        </w:rPr>
        <w:t xml:space="preserve">表 </w:t>
      </w:r>
      <w:r>
        <w:rPr>
          <w:rFonts w:hint="eastAsia"/>
          <w:lang w:val="en-US" w:eastAsia="zh-CN"/>
        </w:rPr>
        <w:t>C</w:t>
      </w:r>
      <w:r>
        <w:rPr>
          <w:rFonts w:hint="eastAsia"/>
        </w:rPr>
        <w:t>.</w:t>
      </w:r>
      <w:r>
        <w:t>3</w:t>
      </w:r>
      <w:r>
        <w:rPr>
          <w:rFonts w:hint="eastAsia"/>
        </w:rPr>
        <w:tab/>
      </w:r>
      <w:r>
        <w:rPr>
          <w:rFonts w:hint="eastAsia"/>
        </w:rPr>
        <w:t>相控阵超声检测仪接收器性能指标要求</w:t>
      </w:r>
    </w:p>
    <w:tbl>
      <w:tblPr>
        <w:tblStyle w:val="29"/>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738"/>
        <w:gridCol w:w="4076"/>
        <w:gridCol w:w="3046"/>
      </w:tblGrid>
      <w:tr w14:paraId="4FFAD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6" w:hRule="atLeast"/>
          <w:jc w:val="center"/>
        </w:trPr>
        <w:tc>
          <w:tcPr>
            <w:tcW w:w="1738" w:type="dxa"/>
            <w:tcBorders>
              <w:top w:val="single" w:color="000000" w:sz="4" w:space="0"/>
              <w:left w:val="single" w:color="000000" w:sz="4" w:space="0"/>
              <w:bottom w:val="single" w:color="000000" w:sz="4" w:space="0"/>
              <w:right w:val="single" w:color="000000" w:sz="4" w:space="0"/>
            </w:tcBorders>
            <w:vAlign w:val="center"/>
          </w:tcPr>
          <w:p w14:paraId="4A53C927">
            <w:pPr>
              <w:autoSpaceDE w:val="0"/>
              <w:autoSpaceDN w:val="0"/>
              <w:spacing w:line="240" w:lineRule="auto"/>
              <w:jc w:val="center"/>
              <w:rPr>
                <w:rFonts w:ascii="宋体" w:hAnsi="宋体" w:cs="宋体"/>
                <w:sz w:val="18"/>
                <w:lang w:bidi="en-US"/>
              </w:rPr>
            </w:pPr>
            <w:r>
              <w:rPr>
                <w:rFonts w:hint="eastAsia" w:ascii="宋体" w:hAnsi="宋体" w:cs="宋体"/>
                <w:b/>
                <w:sz w:val="18"/>
                <w:lang w:bidi="en-US"/>
              </w:rPr>
              <w:t>接收器性能要求</w:t>
            </w:r>
          </w:p>
        </w:tc>
        <w:tc>
          <w:tcPr>
            <w:tcW w:w="4076" w:type="dxa"/>
            <w:tcBorders>
              <w:top w:val="single" w:color="000000" w:sz="4" w:space="0"/>
              <w:left w:val="single" w:color="000000" w:sz="4" w:space="0"/>
              <w:bottom w:val="single" w:color="000000" w:sz="4" w:space="0"/>
              <w:right w:val="single" w:color="000000" w:sz="4" w:space="0"/>
            </w:tcBorders>
            <w:vAlign w:val="center"/>
          </w:tcPr>
          <w:p w14:paraId="1AA036FF">
            <w:pPr>
              <w:autoSpaceDE w:val="0"/>
              <w:autoSpaceDN w:val="0"/>
              <w:spacing w:line="240" w:lineRule="auto"/>
              <w:jc w:val="center"/>
              <w:rPr>
                <w:rFonts w:ascii="宋体" w:hAnsi="宋体" w:cs="宋体"/>
                <w:spacing w:val="7"/>
                <w:sz w:val="18"/>
                <w:lang w:bidi="en-US"/>
              </w:rPr>
            </w:pPr>
            <w:r>
              <w:rPr>
                <w:rFonts w:ascii="宋体" w:hAnsi="宋体" w:cs="宋体"/>
                <w:b/>
                <w:sz w:val="18"/>
                <w:lang w:eastAsia="en-US" w:bidi="en-US"/>
              </w:rPr>
              <w:t>测试条件</w:t>
            </w:r>
          </w:p>
        </w:tc>
        <w:tc>
          <w:tcPr>
            <w:tcW w:w="3046" w:type="dxa"/>
            <w:tcBorders>
              <w:top w:val="single" w:color="000000" w:sz="4" w:space="0"/>
              <w:left w:val="single" w:color="000000" w:sz="4" w:space="0"/>
              <w:bottom w:val="single" w:color="000000" w:sz="4" w:space="0"/>
              <w:right w:val="single" w:color="000000" w:sz="8" w:space="0"/>
            </w:tcBorders>
            <w:vAlign w:val="center"/>
          </w:tcPr>
          <w:p w14:paraId="02DBFA15">
            <w:pPr>
              <w:autoSpaceDE w:val="0"/>
              <w:autoSpaceDN w:val="0"/>
              <w:spacing w:line="240" w:lineRule="auto"/>
              <w:jc w:val="center"/>
              <w:rPr>
                <w:rFonts w:ascii="宋体" w:hAnsi="宋体" w:cs="宋体"/>
                <w:sz w:val="14"/>
                <w:lang w:bidi="en-US"/>
              </w:rPr>
            </w:pPr>
            <w:r>
              <w:rPr>
                <w:rFonts w:ascii="宋体" w:hAnsi="宋体" w:cs="宋体"/>
                <w:b/>
                <w:sz w:val="18"/>
                <w:lang w:eastAsia="en-US" w:bidi="en-US"/>
              </w:rPr>
              <w:t>指标要求</w:t>
            </w:r>
          </w:p>
        </w:tc>
      </w:tr>
      <w:tr w14:paraId="5DE00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6" w:hRule="atLeast"/>
          <w:jc w:val="center"/>
        </w:trPr>
        <w:tc>
          <w:tcPr>
            <w:tcW w:w="1738" w:type="dxa"/>
            <w:tcBorders>
              <w:top w:val="single" w:color="000000" w:sz="4" w:space="0"/>
              <w:left w:val="single" w:color="000000" w:sz="4" w:space="0"/>
              <w:bottom w:val="single" w:color="000000" w:sz="4" w:space="0"/>
              <w:right w:val="single" w:color="000000" w:sz="4" w:space="0"/>
            </w:tcBorders>
            <w:vAlign w:val="center"/>
          </w:tcPr>
          <w:p w14:paraId="42E50C5B">
            <w:pPr>
              <w:autoSpaceDE w:val="0"/>
              <w:autoSpaceDN w:val="0"/>
              <w:spacing w:line="240" w:lineRule="auto"/>
              <w:jc w:val="left"/>
              <w:rPr>
                <w:rFonts w:ascii="宋体" w:hAnsi="宋体" w:cs="宋体"/>
                <w:sz w:val="18"/>
                <w:lang w:eastAsia="en-US" w:bidi="en-US"/>
              </w:rPr>
            </w:pPr>
            <w:r>
              <w:rPr>
                <w:rFonts w:ascii="宋体" w:hAnsi="宋体" w:cs="宋体"/>
                <w:sz w:val="18"/>
                <w:lang w:eastAsia="en-US" w:bidi="en-US"/>
              </w:rPr>
              <w:t>①串扰</w:t>
            </w:r>
          </w:p>
        </w:tc>
        <w:tc>
          <w:tcPr>
            <w:tcW w:w="4076" w:type="dxa"/>
            <w:tcBorders>
              <w:top w:val="single" w:color="000000" w:sz="4" w:space="0"/>
              <w:left w:val="single" w:color="000000" w:sz="4" w:space="0"/>
              <w:bottom w:val="single" w:color="000000" w:sz="4" w:space="0"/>
              <w:right w:val="single" w:color="000000" w:sz="4" w:space="0"/>
            </w:tcBorders>
          </w:tcPr>
          <w:p w14:paraId="66088D27">
            <w:pPr>
              <w:autoSpaceDE w:val="0"/>
              <w:autoSpaceDN w:val="0"/>
              <w:spacing w:line="240" w:lineRule="auto"/>
              <w:ind w:left="147" w:leftChars="70"/>
              <w:rPr>
                <w:rFonts w:ascii="宋体" w:hAnsi="宋体" w:cs="宋体"/>
                <w:sz w:val="18"/>
                <w:lang w:bidi="en-US"/>
              </w:rPr>
            </w:pPr>
            <w:r>
              <w:rPr>
                <w:rFonts w:ascii="宋体" w:hAnsi="宋体" w:cs="宋体"/>
                <w:sz w:val="18"/>
                <w:lang w:bidi="en-US"/>
              </w:rPr>
              <w:t xml:space="preserve">采用任意波形发生器产生 </w:t>
            </w:r>
            <w:r>
              <w:rPr>
                <w:rFonts w:hAnsi="宋体" w:eastAsia="Times New Roman" w:cs="宋体"/>
                <w:sz w:val="18"/>
                <w:lang w:bidi="en-US"/>
              </w:rPr>
              <w:t xml:space="preserve">5MHz </w:t>
            </w:r>
            <w:r>
              <w:rPr>
                <w:rFonts w:ascii="宋体" w:hAnsi="宋体" w:cs="宋体"/>
                <w:sz w:val="18"/>
                <w:lang w:bidi="en-US"/>
              </w:rPr>
              <w:t>的连续正弦波，测试相控阵仪器所有通道中任意两通道间的串扰</w:t>
            </w:r>
          </w:p>
        </w:tc>
        <w:tc>
          <w:tcPr>
            <w:tcW w:w="3046" w:type="dxa"/>
            <w:tcBorders>
              <w:top w:val="single" w:color="000000" w:sz="4" w:space="0"/>
              <w:left w:val="single" w:color="000000" w:sz="4" w:space="0"/>
              <w:bottom w:val="single" w:color="000000" w:sz="4" w:space="0"/>
              <w:right w:val="single" w:color="000000" w:sz="8" w:space="0"/>
            </w:tcBorders>
          </w:tcPr>
          <w:p w14:paraId="3F7F1604">
            <w:pPr>
              <w:autoSpaceDE w:val="0"/>
              <w:autoSpaceDN w:val="0"/>
              <w:spacing w:line="240" w:lineRule="auto"/>
              <w:ind w:left="176" w:leftChars="84"/>
              <w:rPr>
                <w:rFonts w:hAnsi="宋体" w:eastAsia="Times New Roman" w:cs="宋体"/>
                <w:sz w:val="18"/>
                <w:lang w:eastAsia="en-US" w:bidi="en-US"/>
              </w:rPr>
            </w:pPr>
            <w:r>
              <w:rPr>
                <w:rFonts w:ascii="宋体" w:hAnsi="宋体" w:cs="宋体"/>
                <w:sz w:val="18"/>
                <w:lang w:eastAsia="en-US" w:bidi="en-US"/>
              </w:rPr>
              <w:t>串扰值＞</w:t>
            </w:r>
            <w:r>
              <w:rPr>
                <w:rFonts w:hAnsi="宋体" w:eastAsia="Times New Roman" w:cs="宋体"/>
                <w:sz w:val="18"/>
                <w:lang w:eastAsia="en-US" w:bidi="en-US"/>
              </w:rPr>
              <w:t>40dB</w:t>
            </w:r>
          </w:p>
        </w:tc>
      </w:tr>
      <w:tr w14:paraId="75399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20" w:hRule="atLeast"/>
          <w:jc w:val="center"/>
        </w:trPr>
        <w:tc>
          <w:tcPr>
            <w:tcW w:w="1738" w:type="dxa"/>
            <w:tcBorders>
              <w:top w:val="single" w:color="000000" w:sz="4" w:space="0"/>
              <w:left w:val="single" w:color="000000" w:sz="4" w:space="0"/>
              <w:bottom w:val="single" w:color="000000" w:sz="4" w:space="0"/>
              <w:right w:val="single" w:color="000000" w:sz="4" w:space="0"/>
            </w:tcBorders>
            <w:vAlign w:val="center"/>
          </w:tcPr>
          <w:p w14:paraId="5782E73C">
            <w:pPr>
              <w:autoSpaceDE w:val="0"/>
              <w:autoSpaceDN w:val="0"/>
              <w:spacing w:line="240" w:lineRule="auto"/>
              <w:jc w:val="left"/>
              <w:rPr>
                <w:rFonts w:ascii="宋体" w:hAnsi="宋体" w:cs="宋体"/>
                <w:sz w:val="18"/>
                <w:lang w:eastAsia="en-US" w:bidi="en-US"/>
              </w:rPr>
            </w:pPr>
            <w:r>
              <w:rPr>
                <w:rFonts w:ascii="宋体" w:hAnsi="宋体" w:cs="宋体"/>
                <w:sz w:val="18"/>
                <w:lang w:eastAsia="en-US" w:bidi="en-US"/>
              </w:rPr>
              <w:t>②发射脉冲后盲区</w:t>
            </w:r>
          </w:p>
        </w:tc>
        <w:tc>
          <w:tcPr>
            <w:tcW w:w="4076" w:type="dxa"/>
            <w:tcBorders>
              <w:top w:val="single" w:color="000000" w:sz="4" w:space="0"/>
              <w:left w:val="single" w:color="000000" w:sz="4" w:space="0"/>
              <w:bottom w:val="single" w:color="000000" w:sz="4" w:space="0"/>
              <w:right w:val="single" w:color="000000" w:sz="4" w:space="0"/>
            </w:tcBorders>
          </w:tcPr>
          <w:p w14:paraId="35ABD79C">
            <w:pPr>
              <w:autoSpaceDE w:val="0"/>
              <w:autoSpaceDN w:val="0"/>
              <w:spacing w:line="240" w:lineRule="auto"/>
              <w:ind w:left="147" w:leftChars="70"/>
              <w:rPr>
                <w:rFonts w:ascii="宋体" w:hAnsi="宋体" w:cs="宋体"/>
                <w:sz w:val="18"/>
                <w:lang w:bidi="en-US"/>
              </w:rPr>
            </w:pPr>
            <w:r>
              <w:rPr>
                <w:rFonts w:ascii="宋体" w:hAnsi="宋体" w:cs="宋体"/>
                <w:spacing w:val="3"/>
                <w:sz w:val="18"/>
                <w:lang w:bidi="en-US"/>
              </w:rPr>
              <w:t>根据相控阵仪器的参数设置，采用任意波形发生器</w:t>
            </w:r>
            <w:r>
              <w:rPr>
                <w:rFonts w:ascii="宋体" w:hAnsi="宋体" w:cs="宋体"/>
                <w:spacing w:val="-16"/>
                <w:sz w:val="18"/>
                <w:lang w:bidi="en-US"/>
              </w:rPr>
              <w:t xml:space="preserve">产生 </w:t>
            </w:r>
            <w:r>
              <w:rPr>
                <w:rFonts w:hAnsi="宋体" w:eastAsia="Times New Roman" w:cs="宋体"/>
                <w:spacing w:val="3"/>
                <w:sz w:val="18"/>
                <w:lang w:bidi="en-US"/>
              </w:rPr>
              <w:t xml:space="preserve">5MHz </w:t>
            </w:r>
            <w:r>
              <w:rPr>
                <w:rFonts w:ascii="宋体" w:hAnsi="宋体" w:cs="宋体"/>
                <w:spacing w:val="6"/>
                <w:sz w:val="18"/>
                <w:lang w:bidi="en-US"/>
              </w:rPr>
              <w:t>或相控阵仪器宽频带的中心频率的连续</w:t>
            </w:r>
            <w:r>
              <w:rPr>
                <w:rFonts w:ascii="宋体" w:hAnsi="宋体" w:cs="宋体"/>
                <w:spacing w:val="-4"/>
                <w:sz w:val="18"/>
                <w:lang w:bidi="en-US"/>
              </w:rPr>
              <w:t>正弦波，测量相控阵仪器的发射脉冲后盲区，仅测试</w:t>
            </w:r>
            <w:r>
              <w:rPr>
                <w:rFonts w:ascii="宋体" w:hAnsi="宋体" w:cs="宋体"/>
                <w:sz w:val="18"/>
                <w:lang w:bidi="en-US"/>
              </w:rPr>
              <w:t>仪器一个通道</w:t>
            </w:r>
          </w:p>
        </w:tc>
        <w:tc>
          <w:tcPr>
            <w:tcW w:w="3046" w:type="dxa"/>
            <w:tcBorders>
              <w:top w:val="single" w:color="000000" w:sz="4" w:space="0"/>
              <w:left w:val="single" w:color="000000" w:sz="4" w:space="0"/>
              <w:bottom w:val="single" w:color="000000" w:sz="4" w:space="0"/>
              <w:right w:val="single" w:color="000000" w:sz="8" w:space="0"/>
            </w:tcBorders>
          </w:tcPr>
          <w:p w14:paraId="4A3EAFEC">
            <w:pPr>
              <w:autoSpaceDE w:val="0"/>
              <w:autoSpaceDN w:val="0"/>
              <w:spacing w:line="240" w:lineRule="auto"/>
              <w:ind w:left="176" w:leftChars="84"/>
              <w:jc w:val="left"/>
              <w:rPr>
                <w:rFonts w:ascii="宋体" w:hAnsi="宋体" w:cs="宋体"/>
                <w:sz w:val="20"/>
                <w:lang w:bidi="en-US"/>
              </w:rPr>
            </w:pPr>
          </w:p>
          <w:p w14:paraId="08A5C086">
            <w:pPr>
              <w:autoSpaceDE w:val="0"/>
              <w:autoSpaceDN w:val="0"/>
              <w:spacing w:line="240" w:lineRule="auto"/>
              <w:ind w:left="176" w:leftChars="84"/>
              <w:jc w:val="left"/>
              <w:rPr>
                <w:rFonts w:ascii="宋体" w:hAnsi="宋体" w:cs="宋体"/>
                <w:sz w:val="14"/>
                <w:lang w:bidi="en-US"/>
              </w:rPr>
            </w:pPr>
          </w:p>
          <w:p w14:paraId="43548445">
            <w:pPr>
              <w:autoSpaceDE w:val="0"/>
              <w:autoSpaceDN w:val="0"/>
              <w:spacing w:line="240" w:lineRule="auto"/>
              <w:ind w:left="176" w:leftChars="84"/>
              <w:rPr>
                <w:rFonts w:eastAsia="Times New Roman" w:cs="宋体"/>
                <w:sz w:val="18"/>
                <w:lang w:bidi="en-US"/>
              </w:rPr>
            </w:pPr>
            <w:r>
              <w:rPr>
                <w:rFonts w:ascii="宋体" w:hAnsi="宋体" w:cs="宋体"/>
                <w:sz w:val="18"/>
                <w:lang w:bidi="en-US"/>
              </w:rPr>
              <w:t>发射脉冲后盲区＜</w:t>
            </w:r>
            <w:r>
              <w:rPr>
                <w:rFonts w:eastAsia="Times New Roman" w:cs="宋体"/>
                <w:sz w:val="18"/>
                <w:lang w:bidi="en-US"/>
              </w:rPr>
              <w:t>3.0</w:t>
            </w:r>
            <w:r>
              <w:rPr>
                <w:rFonts w:eastAsia="Times New Roman" w:cs="宋体"/>
                <w:sz w:val="18"/>
                <w:lang w:eastAsia="en-US" w:bidi="en-US"/>
              </w:rPr>
              <w:t>μ</w:t>
            </w:r>
            <w:r>
              <w:rPr>
                <w:rFonts w:eastAsia="Times New Roman" w:cs="宋体"/>
                <w:sz w:val="18"/>
                <w:lang w:bidi="en-US"/>
              </w:rPr>
              <w:t>s</w:t>
            </w:r>
          </w:p>
        </w:tc>
      </w:tr>
      <w:tr w14:paraId="5E0C3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0" w:hRule="atLeast"/>
          <w:jc w:val="center"/>
        </w:trPr>
        <w:tc>
          <w:tcPr>
            <w:tcW w:w="1738" w:type="dxa"/>
            <w:tcBorders>
              <w:top w:val="single" w:color="000000" w:sz="4" w:space="0"/>
              <w:left w:val="single" w:color="000000" w:sz="4" w:space="0"/>
              <w:bottom w:val="single" w:color="000000" w:sz="8" w:space="0"/>
              <w:right w:val="single" w:color="000000" w:sz="4" w:space="0"/>
            </w:tcBorders>
            <w:vAlign w:val="center"/>
          </w:tcPr>
          <w:p w14:paraId="49204EFB">
            <w:pPr>
              <w:autoSpaceDE w:val="0"/>
              <w:autoSpaceDN w:val="0"/>
              <w:spacing w:line="240" w:lineRule="auto"/>
              <w:jc w:val="left"/>
              <w:rPr>
                <w:rFonts w:ascii="宋体" w:hAnsi="宋体" w:cs="宋体"/>
                <w:sz w:val="18"/>
                <w:lang w:eastAsia="en-US" w:bidi="en-US"/>
              </w:rPr>
            </w:pPr>
            <w:r>
              <w:rPr>
                <w:rFonts w:ascii="宋体" w:hAnsi="宋体" w:cs="宋体"/>
                <w:spacing w:val="-12"/>
                <w:sz w:val="18"/>
                <w:lang w:eastAsia="en-US" w:bidi="en-US"/>
              </w:rPr>
              <w:t>③动态范围</w:t>
            </w:r>
          </w:p>
        </w:tc>
        <w:tc>
          <w:tcPr>
            <w:tcW w:w="4076" w:type="dxa"/>
            <w:tcBorders>
              <w:top w:val="single" w:color="000000" w:sz="4" w:space="0"/>
              <w:left w:val="single" w:color="000000" w:sz="4" w:space="0"/>
              <w:bottom w:val="single" w:color="000000" w:sz="8" w:space="0"/>
              <w:right w:val="single" w:color="000000" w:sz="4" w:space="0"/>
            </w:tcBorders>
          </w:tcPr>
          <w:p w14:paraId="6741B3BB">
            <w:pPr>
              <w:autoSpaceDE w:val="0"/>
              <w:autoSpaceDN w:val="0"/>
              <w:spacing w:line="240" w:lineRule="auto"/>
              <w:ind w:left="147" w:leftChars="70"/>
              <w:rPr>
                <w:rFonts w:ascii="宋体" w:hAnsi="宋体" w:cs="宋体"/>
                <w:sz w:val="18"/>
                <w:lang w:bidi="en-US"/>
              </w:rPr>
            </w:pPr>
            <w:r>
              <w:rPr>
                <w:rFonts w:ascii="宋体" w:hAnsi="宋体" w:cs="宋体"/>
                <w:sz w:val="18"/>
                <w:lang w:bidi="en-US"/>
              </w:rPr>
              <w:t>采用任意波形发生器依次选择相控阵仪器每个频带的设定值，采用经过校准的外部衰减器，测量相</w:t>
            </w:r>
          </w:p>
          <w:p w14:paraId="0701A9A3">
            <w:pPr>
              <w:autoSpaceDE w:val="0"/>
              <w:autoSpaceDN w:val="0"/>
              <w:spacing w:line="240" w:lineRule="auto"/>
              <w:ind w:left="147" w:leftChars="70"/>
              <w:rPr>
                <w:rFonts w:ascii="宋体" w:hAnsi="宋体" w:cs="宋体"/>
                <w:sz w:val="18"/>
                <w:lang w:bidi="en-US"/>
              </w:rPr>
            </w:pPr>
            <w:r>
              <w:rPr>
                <w:rFonts w:ascii="宋体" w:hAnsi="宋体" w:cs="宋体"/>
                <w:sz w:val="18"/>
                <w:lang w:bidi="en-US"/>
              </w:rPr>
              <w:t>控阵仪器的动态范围，仅测试一个发射通道</w:t>
            </w:r>
          </w:p>
        </w:tc>
        <w:tc>
          <w:tcPr>
            <w:tcW w:w="3046" w:type="dxa"/>
            <w:tcBorders>
              <w:top w:val="single" w:color="000000" w:sz="4" w:space="0"/>
              <w:left w:val="single" w:color="000000" w:sz="4" w:space="0"/>
              <w:bottom w:val="single" w:color="000000" w:sz="8" w:space="0"/>
              <w:right w:val="single" w:color="000000" w:sz="8" w:space="0"/>
            </w:tcBorders>
          </w:tcPr>
          <w:p w14:paraId="49D9AE38">
            <w:pPr>
              <w:autoSpaceDE w:val="0"/>
              <w:autoSpaceDN w:val="0"/>
              <w:spacing w:line="240" w:lineRule="auto"/>
              <w:ind w:left="176" w:leftChars="84"/>
              <w:jc w:val="left"/>
              <w:rPr>
                <w:rFonts w:ascii="宋体" w:hAnsi="宋体" w:cs="宋体"/>
                <w:sz w:val="23"/>
                <w:lang w:bidi="en-US"/>
              </w:rPr>
            </w:pPr>
          </w:p>
          <w:p w14:paraId="57DB8468">
            <w:pPr>
              <w:autoSpaceDE w:val="0"/>
              <w:autoSpaceDN w:val="0"/>
              <w:spacing w:line="240" w:lineRule="auto"/>
              <w:ind w:left="176" w:leftChars="84"/>
              <w:rPr>
                <w:rFonts w:hAnsi="宋体" w:eastAsia="Times New Roman" w:cs="宋体"/>
                <w:sz w:val="18"/>
                <w:lang w:bidi="en-US"/>
              </w:rPr>
            </w:pPr>
            <w:r>
              <w:rPr>
                <w:rFonts w:ascii="宋体" w:hAnsi="宋体" w:cs="宋体"/>
                <w:sz w:val="18"/>
                <w:lang w:bidi="en-US"/>
              </w:rPr>
              <w:t>可用的动态范围＞</w:t>
            </w:r>
            <w:r>
              <w:rPr>
                <w:rFonts w:hAnsi="宋体" w:eastAsia="Times New Roman" w:cs="宋体"/>
                <w:sz w:val="18"/>
                <w:lang w:bidi="en-US"/>
              </w:rPr>
              <w:t>70dB</w:t>
            </w:r>
          </w:p>
        </w:tc>
      </w:tr>
    </w:tbl>
    <w:p w14:paraId="17614C76">
      <w:pPr>
        <w:tabs>
          <w:tab w:val="left" w:pos="857"/>
        </w:tabs>
        <w:adjustRightInd/>
        <w:spacing w:line="240" w:lineRule="auto"/>
        <w:ind w:firstLine="420" w:firstLineChars="200"/>
        <w:jc w:val="left"/>
        <w:rPr>
          <w:color w:val="000000"/>
          <w:lang w:bidi="zh-TW"/>
        </w:rPr>
      </w:pPr>
    </w:p>
    <w:p w14:paraId="75F477A4">
      <w:pPr>
        <w:pStyle w:val="60"/>
        <w:ind w:firstLine="0" w:firstLineChars="0"/>
        <w:jc w:val="center"/>
      </w:pPr>
      <w:r>
        <w:drawing>
          <wp:inline distT="0" distB="0" distL="0" distR="0">
            <wp:extent cx="1823720" cy="317500"/>
            <wp:effectExtent l="0" t="0" r="508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0">
                      <a:extLst>
                        <a:ext uri="{28A0092B-C50C-407E-A947-70E740481C1C}">
                          <a14:useLocalDpi xmlns:a14="http://schemas.microsoft.com/office/drawing/2010/main" val="0"/>
                        </a:ext>
                      </a:extLst>
                    </a:blip>
                    <a:stretch>
                      <a:fillRect/>
                    </a:stretch>
                  </pic:blipFill>
                  <pic:spPr>
                    <a:xfrm>
                      <a:off x="0" y="0"/>
                      <a:ext cx="1824037" cy="317500"/>
                    </a:xfrm>
                    <a:prstGeom prst="rect">
                      <a:avLst/>
                    </a:prstGeom>
                  </pic:spPr>
                </pic:pic>
              </a:graphicData>
            </a:graphic>
          </wp:inline>
        </w:drawing>
      </w:r>
    </w:p>
    <w:p w14:paraId="449D1727">
      <w:pPr>
        <w:pStyle w:val="218"/>
        <w:numPr>
          <w:ilvl w:val="4"/>
          <w:numId w:val="0"/>
        </w:numPr>
        <w:rPr>
          <w:rFonts w:ascii="Times New Roman"/>
          <w:color w:val="auto"/>
        </w:rPr>
      </w:pPr>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E4268">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6A7BB">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60A1C">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F03CF">
    <w:pPr>
      <w:pStyle w:val="56"/>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10917">
    <w:pPr>
      <w:pStyle w:val="55"/>
    </w:pPr>
    <w:r>
      <w:fldChar w:fldCharType="begin"/>
    </w:r>
    <w:r>
      <w:instrText xml:space="preserve">PAGE   \* MERGEFORMAT</w:instrText>
    </w:r>
    <w:r>
      <w:fldChar w:fldCharType="separate"/>
    </w:r>
    <w:r>
      <w:rPr>
        <w:lang w:val="zh-CN"/>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5A1AB">
    <w:pPr>
      <w:pStyle w:val="56"/>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1F573">
    <w:pPr>
      <w:pStyle w:val="55"/>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1C684">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6AA3A">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BF51A">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D4671">
    <w:pPr>
      <w:pStyle w:val="65"/>
      <w:rPr>
        <w:rFonts w:hint="eastAsia"/>
      </w:rPr>
    </w:pPr>
    <w:r>
      <w:fldChar w:fldCharType="begin"/>
    </w:r>
    <w:r>
      <w:instrText xml:space="preserve"> STYLEREF  标准文件_文件编号  \* MERGEFORMAT </w:instrText>
    </w:r>
    <w:r>
      <w:fldChar w:fldCharType="separate"/>
    </w:r>
    <w:r>
      <w:t>DB34/TXXXXX—XXXX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E7128">
    <w:pPr>
      <w:pStyle w:val="66"/>
      <w:rPr>
        <w:rFonts w:hint="eastAsia"/>
      </w:rPr>
    </w:pPr>
    <w:r>
      <w:fldChar w:fldCharType="begin"/>
    </w:r>
    <w:r>
      <w:instrText xml:space="preserve"> STYLEREF  标准文件_文件编号 \* MERGEFORMAT </w:instrText>
    </w:r>
    <w:r>
      <w:fldChar w:fldCharType="separate"/>
    </w:r>
    <w:r>
      <w:t>DB34/TXXXXX—XXXX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30F9">
    <w:pPr>
      <w:pStyle w:val="65"/>
      <w:rPr>
        <w:rFonts w:hint="eastAsia"/>
      </w:rPr>
    </w:pPr>
    <w:r>
      <w:fldChar w:fldCharType="begin"/>
    </w:r>
    <w:r>
      <w:instrText xml:space="preserve"> STYLEREF  标准文件_文件编号  \* MERGEFORMAT </w:instrText>
    </w:r>
    <w:r>
      <w:fldChar w:fldCharType="separate"/>
    </w:r>
    <w:r>
      <w:t>DB34/TXXXXX—XXXX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46BF3">
    <w:pPr>
      <w:pStyle w:val="66"/>
      <w:rPr>
        <w:rFonts w:hint="eastAsia"/>
      </w:rPr>
    </w:pPr>
    <w:r>
      <w:fldChar w:fldCharType="begin"/>
    </w:r>
    <w:r>
      <w:instrText xml:space="preserve"> STYLEREF  标准文件_文件编号 \* MERGEFORMAT </w:instrText>
    </w:r>
    <w:r>
      <w:fldChar w:fldCharType="separate"/>
    </w:r>
    <w:r>
      <w:t>DB34/TXXXXX—XXXX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32D368"/>
    <w:multiLevelType w:val="multilevel"/>
    <w:tmpl w:val="DD32D368"/>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8"/>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2DC39134"/>
    <w:multiLevelType w:val="singleLevel"/>
    <w:tmpl w:val="2DC39134"/>
    <w:lvl w:ilvl="0" w:tentative="0">
      <w:start w:val="1"/>
      <w:numFmt w:val="lowerLetter"/>
      <w:suff w:val="nothing"/>
      <w:lvlText w:val="%1）"/>
      <w:lvlJc w:val="left"/>
      <w:rPr>
        <w:rFonts w:hint="default"/>
        <w:b w:val="0"/>
        <w:bCs w:val="0"/>
      </w:rPr>
    </w:lvl>
  </w:abstractNum>
  <w:abstractNum w:abstractNumId="14">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0"/>
  </w:num>
  <w:num w:numId="3">
    <w:abstractNumId w:val="6"/>
  </w:num>
  <w:num w:numId="4">
    <w:abstractNumId w:val="26"/>
  </w:num>
  <w:num w:numId="5">
    <w:abstractNumId w:val="21"/>
  </w:num>
  <w:num w:numId="6">
    <w:abstractNumId w:val="16"/>
  </w:num>
  <w:num w:numId="7">
    <w:abstractNumId w:val="9"/>
  </w:num>
  <w:num w:numId="8">
    <w:abstractNumId w:val="4"/>
  </w:num>
  <w:num w:numId="9">
    <w:abstractNumId w:val="10"/>
  </w:num>
  <w:num w:numId="10">
    <w:abstractNumId w:val="19"/>
  </w:num>
  <w:num w:numId="11">
    <w:abstractNumId w:val="28"/>
  </w:num>
  <w:num w:numId="12">
    <w:abstractNumId w:val="14"/>
  </w:num>
  <w:num w:numId="13">
    <w:abstractNumId w:val="15"/>
  </w:num>
  <w:num w:numId="14">
    <w:abstractNumId w:val="8"/>
  </w:num>
  <w:num w:numId="15">
    <w:abstractNumId w:val="22"/>
  </w:num>
  <w:num w:numId="16">
    <w:abstractNumId w:val="24"/>
  </w:num>
  <w:num w:numId="17">
    <w:abstractNumId w:val="20"/>
  </w:num>
  <w:num w:numId="18">
    <w:abstractNumId w:val="32"/>
  </w:num>
  <w:num w:numId="19">
    <w:abstractNumId w:val="18"/>
  </w:num>
  <w:num w:numId="20">
    <w:abstractNumId w:val="2"/>
  </w:num>
  <w:num w:numId="21">
    <w:abstractNumId w:val="12"/>
  </w:num>
  <w:num w:numId="22">
    <w:abstractNumId w:val="33"/>
  </w:num>
  <w:num w:numId="23">
    <w:abstractNumId w:val="23"/>
  </w:num>
  <w:num w:numId="24">
    <w:abstractNumId w:val="7"/>
  </w:num>
  <w:num w:numId="25">
    <w:abstractNumId w:val="29"/>
  </w:num>
  <w:num w:numId="26">
    <w:abstractNumId w:val="31"/>
  </w:num>
  <w:num w:numId="27">
    <w:abstractNumId w:val="3"/>
  </w:num>
  <w:num w:numId="28">
    <w:abstractNumId w:val="5"/>
  </w:num>
  <w:num w:numId="29">
    <w:abstractNumId w:val="17"/>
  </w:num>
  <w:num w:numId="30">
    <w:abstractNumId w:val="27"/>
  </w:num>
  <w:num w:numId="31">
    <w:abstractNumId w:val="25"/>
  </w:num>
  <w:num w:numId="32">
    <w:abstractNumId w:val="11"/>
  </w:num>
  <w:num w:numId="33">
    <w:abstractNumId w:val="0"/>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trackRevisions w:val="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4MmNlYWEzYzhjNWQyM2EzODk5MDZjODFhN2QyNzUifQ=="/>
  </w:docVars>
  <w:rsids>
    <w:rsidRoot w:val="007B0CFD"/>
    <w:rsid w:val="0000040A"/>
    <w:rsid w:val="00000A94"/>
    <w:rsid w:val="00001972"/>
    <w:rsid w:val="00001D9A"/>
    <w:rsid w:val="000051EC"/>
    <w:rsid w:val="00007B3A"/>
    <w:rsid w:val="000107E0"/>
    <w:rsid w:val="00010B9B"/>
    <w:rsid w:val="00011FDE"/>
    <w:rsid w:val="00012CFD"/>
    <w:rsid w:val="00012FFD"/>
    <w:rsid w:val="00014162"/>
    <w:rsid w:val="00014340"/>
    <w:rsid w:val="0001590B"/>
    <w:rsid w:val="00016A9C"/>
    <w:rsid w:val="00022184"/>
    <w:rsid w:val="00022762"/>
    <w:rsid w:val="000238E0"/>
    <w:rsid w:val="000249DB"/>
    <w:rsid w:val="0002595E"/>
    <w:rsid w:val="00025A41"/>
    <w:rsid w:val="00026E21"/>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116"/>
    <w:rsid w:val="000622D4"/>
    <w:rsid w:val="0006357D"/>
    <w:rsid w:val="00067F1E"/>
    <w:rsid w:val="00071CC0"/>
    <w:rsid w:val="00073C8C"/>
    <w:rsid w:val="00074628"/>
    <w:rsid w:val="00077B64"/>
    <w:rsid w:val="00080A1C"/>
    <w:rsid w:val="0008100D"/>
    <w:rsid w:val="00081CD9"/>
    <w:rsid w:val="00082317"/>
    <w:rsid w:val="00083D2C"/>
    <w:rsid w:val="00086AA1"/>
    <w:rsid w:val="00087A77"/>
    <w:rsid w:val="00090CA6"/>
    <w:rsid w:val="00092B8A"/>
    <w:rsid w:val="00092FB0"/>
    <w:rsid w:val="000934C5"/>
    <w:rsid w:val="00093D25"/>
    <w:rsid w:val="00093DAB"/>
    <w:rsid w:val="00094D73"/>
    <w:rsid w:val="00094E65"/>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B9E"/>
    <w:rsid w:val="000D4B9C"/>
    <w:rsid w:val="000D4EB6"/>
    <w:rsid w:val="000D753B"/>
    <w:rsid w:val="000E4C9E"/>
    <w:rsid w:val="000E6FD7"/>
    <w:rsid w:val="000F06E1"/>
    <w:rsid w:val="000F0E3C"/>
    <w:rsid w:val="000F196B"/>
    <w:rsid w:val="000F19D5"/>
    <w:rsid w:val="000F4AEA"/>
    <w:rsid w:val="000F50E8"/>
    <w:rsid w:val="000F67E9"/>
    <w:rsid w:val="00104926"/>
    <w:rsid w:val="00113B1E"/>
    <w:rsid w:val="00114200"/>
    <w:rsid w:val="00115C6A"/>
    <w:rsid w:val="0011711C"/>
    <w:rsid w:val="00123F19"/>
    <w:rsid w:val="00124E4F"/>
    <w:rsid w:val="001260B7"/>
    <w:rsid w:val="001265CB"/>
    <w:rsid w:val="001321C6"/>
    <w:rsid w:val="001325C4"/>
    <w:rsid w:val="00133010"/>
    <w:rsid w:val="001338EE"/>
    <w:rsid w:val="00133AAE"/>
    <w:rsid w:val="00135323"/>
    <w:rsid w:val="001356C4"/>
    <w:rsid w:val="00141114"/>
    <w:rsid w:val="001412C7"/>
    <w:rsid w:val="00141776"/>
    <w:rsid w:val="00142969"/>
    <w:rsid w:val="001446C2"/>
    <w:rsid w:val="001457E7"/>
    <w:rsid w:val="00145D9D"/>
    <w:rsid w:val="00146388"/>
    <w:rsid w:val="001529E5"/>
    <w:rsid w:val="001531AE"/>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063"/>
    <w:rsid w:val="00184197"/>
    <w:rsid w:val="001852C9"/>
    <w:rsid w:val="0018687A"/>
    <w:rsid w:val="00190087"/>
    <w:rsid w:val="001913C4"/>
    <w:rsid w:val="00191F26"/>
    <w:rsid w:val="0019348F"/>
    <w:rsid w:val="00193A07"/>
    <w:rsid w:val="00194C95"/>
    <w:rsid w:val="00195C34"/>
    <w:rsid w:val="00196EF5"/>
    <w:rsid w:val="001A1A53"/>
    <w:rsid w:val="001A234A"/>
    <w:rsid w:val="001A4CF3"/>
    <w:rsid w:val="001B06E8"/>
    <w:rsid w:val="001B1CCE"/>
    <w:rsid w:val="001B71D0"/>
    <w:rsid w:val="001B71EE"/>
    <w:rsid w:val="001C04A8"/>
    <w:rsid w:val="001C2C03"/>
    <w:rsid w:val="001C42F7"/>
    <w:rsid w:val="001C49E5"/>
    <w:rsid w:val="001C680C"/>
    <w:rsid w:val="001C7FEA"/>
    <w:rsid w:val="001D0499"/>
    <w:rsid w:val="001D0BBE"/>
    <w:rsid w:val="001D0CE3"/>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E37"/>
    <w:rsid w:val="00210B15"/>
    <w:rsid w:val="002137A3"/>
    <w:rsid w:val="002142EA"/>
    <w:rsid w:val="002204BB"/>
    <w:rsid w:val="00221B79"/>
    <w:rsid w:val="00221C6B"/>
    <w:rsid w:val="002253A1"/>
    <w:rsid w:val="00225CF8"/>
    <w:rsid w:val="0022794E"/>
    <w:rsid w:val="00233CA1"/>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A3E"/>
    <w:rsid w:val="00270CB8"/>
    <w:rsid w:val="002711A8"/>
    <w:rsid w:val="00271766"/>
    <w:rsid w:val="00272736"/>
    <w:rsid w:val="00272B08"/>
    <w:rsid w:val="00281BB8"/>
    <w:rsid w:val="00281E9E"/>
    <w:rsid w:val="00282405"/>
    <w:rsid w:val="002830D4"/>
    <w:rsid w:val="00284D85"/>
    <w:rsid w:val="00285170"/>
    <w:rsid w:val="00285361"/>
    <w:rsid w:val="00292788"/>
    <w:rsid w:val="00292D60"/>
    <w:rsid w:val="00293B30"/>
    <w:rsid w:val="00293D85"/>
    <w:rsid w:val="00294D34"/>
    <w:rsid w:val="00294E3B"/>
    <w:rsid w:val="00296193"/>
    <w:rsid w:val="0029687F"/>
    <w:rsid w:val="00296C66"/>
    <w:rsid w:val="00296EBE"/>
    <w:rsid w:val="002974E3"/>
    <w:rsid w:val="002A084B"/>
    <w:rsid w:val="002A1260"/>
    <w:rsid w:val="002A1589"/>
    <w:rsid w:val="002A1608"/>
    <w:rsid w:val="002A25DC"/>
    <w:rsid w:val="002A3AAB"/>
    <w:rsid w:val="002A4CEA"/>
    <w:rsid w:val="002A5977"/>
    <w:rsid w:val="002A5A13"/>
    <w:rsid w:val="002A757F"/>
    <w:rsid w:val="002A7C69"/>
    <w:rsid w:val="002A7F44"/>
    <w:rsid w:val="002B0C40"/>
    <w:rsid w:val="002B1966"/>
    <w:rsid w:val="002B4508"/>
    <w:rsid w:val="002B5779"/>
    <w:rsid w:val="002B7332"/>
    <w:rsid w:val="002B7F51"/>
    <w:rsid w:val="002C09E7"/>
    <w:rsid w:val="002C1E06"/>
    <w:rsid w:val="002C3F07"/>
    <w:rsid w:val="002C5278"/>
    <w:rsid w:val="002C5F6B"/>
    <w:rsid w:val="002C7EBB"/>
    <w:rsid w:val="002D06C1"/>
    <w:rsid w:val="002D42B5"/>
    <w:rsid w:val="002D4F1A"/>
    <w:rsid w:val="002D59B4"/>
    <w:rsid w:val="002D6EC6"/>
    <w:rsid w:val="002D79AC"/>
    <w:rsid w:val="002E039D"/>
    <w:rsid w:val="002E4D5A"/>
    <w:rsid w:val="002E6326"/>
    <w:rsid w:val="002E6D98"/>
    <w:rsid w:val="002F0F96"/>
    <w:rsid w:val="002F2937"/>
    <w:rsid w:val="002F30E0"/>
    <w:rsid w:val="002F35E4"/>
    <w:rsid w:val="002F3730"/>
    <w:rsid w:val="002F38E1"/>
    <w:rsid w:val="002F4AA6"/>
    <w:rsid w:val="002F7AF6"/>
    <w:rsid w:val="00300E63"/>
    <w:rsid w:val="00302F5F"/>
    <w:rsid w:val="0030441D"/>
    <w:rsid w:val="00306063"/>
    <w:rsid w:val="00306A44"/>
    <w:rsid w:val="00312609"/>
    <w:rsid w:val="00313B85"/>
    <w:rsid w:val="003150ED"/>
    <w:rsid w:val="00317988"/>
    <w:rsid w:val="003221B4"/>
    <w:rsid w:val="0032258D"/>
    <w:rsid w:val="00322E62"/>
    <w:rsid w:val="00324D13"/>
    <w:rsid w:val="00324EDD"/>
    <w:rsid w:val="00331BDE"/>
    <w:rsid w:val="00332D32"/>
    <w:rsid w:val="003331E4"/>
    <w:rsid w:val="00336C64"/>
    <w:rsid w:val="00337162"/>
    <w:rsid w:val="00340007"/>
    <w:rsid w:val="0034194F"/>
    <w:rsid w:val="00344605"/>
    <w:rsid w:val="003474AA"/>
    <w:rsid w:val="00350D1D"/>
    <w:rsid w:val="00352C83"/>
    <w:rsid w:val="00355D97"/>
    <w:rsid w:val="0036039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3B8E"/>
    <w:rsid w:val="003D6D61"/>
    <w:rsid w:val="003E091D"/>
    <w:rsid w:val="003E1C53"/>
    <w:rsid w:val="003E2A69"/>
    <w:rsid w:val="003E2D49"/>
    <w:rsid w:val="003E2FD4"/>
    <w:rsid w:val="003E4103"/>
    <w:rsid w:val="003E49F6"/>
    <w:rsid w:val="003E660F"/>
    <w:rsid w:val="003F0841"/>
    <w:rsid w:val="003F23D3"/>
    <w:rsid w:val="003F3135"/>
    <w:rsid w:val="003F3F08"/>
    <w:rsid w:val="003F49F1"/>
    <w:rsid w:val="003F58F4"/>
    <w:rsid w:val="003F6272"/>
    <w:rsid w:val="00400E72"/>
    <w:rsid w:val="00401400"/>
    <w:rsid w:val="00403954"/>
    <w:rsid w:val="00404869"/>
    <w:rsid w:val="00405884"/>
    <w:rsid w:val="00407D39"/>
    <w:rsid w:val="00410CA8"/>
    <w:rsid w:val="0041477A"/>
    <w:rsid w:val="004167A3"/>
    <w:rsid w:val="00432DAA"/>
    <w:rsid w:val="00433A85"/>
    <w:rsid w:val="00434305"/>
    <w:rsid w:val="00435DF7"/>
    <w:rsid w:val="0044083F"/>
    <w:rsid w:val="00441AE7"/>
    <w:rsid w:val="00442607"/>
    <w:rsid w:val="004434EF"/>
    <w:rsid w:val="00445574"/>
    <w:rsid w:val="004467FB"/>
    <w:rsid w:val="004471CB"/>
    <w:rsid w:val="00450923"/>
    <w:rsid w:val="00451730"/>
    <w:rsid w:val="00452D6B"/>
    <w:rsid w:val="00453E1C"/>
    <w:rsid w:val="00454484"/>
    <w:rsid w:val="0045517B"/>
    <w:rsid w:val="00462D51"/>
    <w:rsid w:val="00463B77"/>
    <w:rsid w:val="00463C7B"/>
    <w:rsid w:val="004644A6"/>
    <w:rsid w:val="004659BD"/>
    <w:rsid w:val="00470775"/>
    <w:rsid w:val="00473374"/>
    <w:rsid w:val="004746B1"/>
    <w:rsid w:val="0047583F"/>
    <w:rsid w:val="00475DE8"/>
    <w:rsid w:val="00476D27"/>
    <w:rsid w:val="00481C44"/>
    <w:rsid w:val="00484936"/>
    <w:rsid w:val="00485C89"/>
    <w:rsid w:val="00486BE3"/>
    <w:rsid w:val="004878E2"/>
    <w:rsid w:val="004905E4"/>
    <w:rsid w:val="00490A89"/>
    <w:rsid w:val="00490AB4"/>
    <w:rsid w:val="00492F02"/>
    <w:rsid w:val="004939AE"/>
    <w:rsid w:val="004948E3"/>
    <w:rsid w:val="004A12DF"/>
    <w:rsid w:val="004A1BA8"/>
    <w:rsid w:val="004A3105"/>
    <w:rsid w:val="004A4B57"/>
    <w:rsid w:val="004A60A7"/>
    <w:rsid w:val="004A63FA"/>
    <w:rsid w:val="004B0272"/>
    <w:rsid w:val="004B2701"/>
    <w:rsid w:val="004B2E1B"/>
    <w:rsid w:val="004B3AA8"/>
    <w:rsid w:val="004B3E93"/>
    <w:rsid w:val="004B7CFF"/>
    <w:rsid w:val="004C1FBC"/>
    <w:rsid w:val="004C3F1D"/>
    <w:rsid w:val="004C458D"/>
    <w:rsid w:val="004C7556"/>
    <w:rsid w:val="004C7E8B"/>
    <w:rsid w:val="004C7E9D"/>
    <w:rsid w:val="004C7F67"/>
    <w:rsid w:val="004D076D"/>
    <w:rsid w:val="004D0EF1"/>
    <w:rsid w:val="004D2253"/>
    <w:rsid w:val="004D4406"/>
    <w:rsid w:val="004D57B4"/>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7DF"/>
    <w:rsid w:val="005220EC"/>
    <w:rsid w:val="00523F95"/>
    <w:rsid w:val="00524D65"/>
    <w:rsid w:val="00525B16"/>
    <w:rsid w:val="0053249B"/>
    <w:rsid w:val="0053299C"/>
    <w:rsid w:val="00533D04"/>
    <w:rsid w:val="00534804"/>
    <w:rsid w:val="00534BDF"/>
    <w:rsid w:val="00534E8B"/>
    <w:rsid w:val="005354EA"/>
    <w:rsid w:val="0053585F"/>
    <w:rsid w:val="00535EC4"/>
    <w:rsid w:val="00535ED9"/>
    <w:rsid w:val="0053692B"/>
    <w:rsid w:val="00537A41"/>
    <w:rsid w:val="00541853"/>
    <w:rsid w:val="00543BDA"/>
    <w:rsid w:val="005441CC"/>
    <w:rsid w:val="005479DA"/>
    <w:rsid w:val="00547BCC"/>
    <w:rsid w:val="0055013B"/>
    <w:rsid w:val="00551F6F"/>
    <w:rsid w:val="00554D52"/>
    <w:rsid w:val="00555044"/>
    <w:rsid w:val="00561475"/>
    <w:rsid w:val="0056487B"/>
    <w:rsid w:val="00564FB9"/>
    <w:rsid w:val="00567C0D"/>
    <w:rsid w:val="00570342"/>
    <w:rsid w:val="00570FA3"/>
    <w:rsid w:val="00571977"/>
    <w:rsid w:val="00573D9E"/>
    <w:rsid w:val="00575D76"/>
    <w:rsid w:val="005801E3"/>
    <w:rsid w:val="00581802"/>
    <w:rsid w:val="005836A8"/>
    <w:rsid w:val="0058409C"/>
    <w:rsid w:val="00584262"/>
    <w:rsid w:val="00586630"/>
    <w:rsid w:val="00587ADD"/>
    <w:rsid w:val="005953F0"/>
    <w:rsid w:val="00596160"/>
    <w:rsid w:val="005966E2"/>
    <w:rsid w:val="00597007"/>
    <w:rsid w:val="005A0966"/>
    <w:rsid w:val="005A11B7"/>
    <w:rsid w:val="005A260B"/>
    <w:rsid w:val="005A4A1B"/>
    <w:rsid w:val="005A739C"/>
    <w:rsid w:val="005A7830"/>
    <w:rsid w:val="005A7FCE"/>
    <w:rsid w:val="005B0F3F"/>
    <w:rsid w:val="005B4903"/>
    <w:rsid w:val="005B50AF"/>
    <w:rsid w:val="005B51CE"/>
    <w:rsid w:val="005B5885"/>
    <w:rsid w:val="005B5CD7"/>
    <w:rsid w:val="005B6CF6"/>
    <w:rsid w:val="005B7422"/>
    <w:rsid w:val="005C29B8"/>
    <w:rsid w:val="005C5F21"/>
    <w:rsid w:val="005C7156"/>
    <w:rsid w:val="005D0C75"/>
    <w:rsid w:val="005D0C7E"/>
    <w:rsid w:val="005D3AAF"/>
    <w:rsid w:val="005D4171"/>
    <w:rsid w:val="005D6A95"/>
    <w:rsid w:val="005D6B2C"/>
    <w:rsid w:val="005D6D9C"/>
    <w:rsid w:val="005E2335"/>
    <w:rsid w:val="005E34CA"/>
    <w:rsid w:val="005E3C18"/>
    <w:rsid w:val="005E3D35"/>
    <w:rsid w:val="005E4B90"/>
    <w:rsid w:val="005E6812"/>
    <w:rsid w:val="005E7881"/>
    <w:rsid w:val="005E78E0"/>
    <w:rsid w:val="005F0D9C"/>
    <w:rsid w:val="005F284E"/>
    <w:rsid w:val="005F4874"/>
    <w:rsid w:val="005F7B17"/>
    <w:rsid w:val="006015CE"/>
    <w:rsid w:val="00604784"/>
    <w:rsid w:val="00606419"/>
    <w:rsid w:val="00607D29"/>
    <w:rsid w:val="00612952"/>
    <w:rsid w:val="0061314C"/>
    <w:rsid w:val="00613FFF"/>
    <w:rsid w:val="00614CC1"/>
    <w:rsid w:val="00615A9D"/>
    <w:rsid w:val="00616437"/>
    <w:rsid w:val="00617387"/>
    <w:rsid w:val="006205D6"/>
    <w:rsid w:val="0062486E"/>
    <w:rsid w:val="006252D8"/>
    <w:rsid w:val="006259BC"/>
    <w:rsid w:val="0062636B"/>
    <w:rsid w:val="00626625"/>
    <w:rsid w:val="00626D6B"/>
    <w:rsid w:val="006276FE"/>
    <w:rsid w:val="00632182"/>
    <w:rsid w:val="00632AE0"/>
    <w:rsid w:val="00633C17"/>
    <w:rsid w:val="00634D9E"/>
    <w:rsid w:val="00636E3E"/>
    <w:rsid w:val="00637739"/>
    <w:rsid w:val="006379F7"/>
    <w:rsid w:val="00637E4D"/>
    <w:rsid w:val="00640620"/>
    <w:rsid w:val="00641A1F"/>
    <w:rsid w:val="0064500E"/>
    <w:rsid w:val="00645904"/>
    <w:rsid w:val="00651ACB"/>
    <w:rsid w:val="00651C47"/>
    <w:rsid w:val="00652AB2"/>
    <w:rsid w:val="00653FED"/>
    <w:rsid w:val="00654EC0"/>
    <w:rsid w:val="0065525B"/>
    <w:rsid w:val="00655D4F"/>
    <w:rsid w:val="00656D29"/>
    <w:rsid w:val="006610B9"/>
    <w:rsid w:val="006640E5"/>
    <w:rsid w:val="006646F1"/>
    <w:rsid w:val="00664929"/>
    <w:rsid w:val="00664F62"/>
    <w:rsid w:val="006655E1"/>
    <w:rsid w:val="00672060"/>
    <w:rsid w:val="00672BFD"/>
    <w:rsid w:val="006770F4"/>
    <w:rsid w:val="00677A84"/>
    <w:rsid w:val="0068026D"/>
    <w:rsid w:val="00680A27"/>
    <w:rsid w:val="006816A4"/>
    <w:rsid w:val="006819B8"/>
    <w:rsid w:val="006828F0"/>
    <w:rsid w:val="006840A6"/>
    <w:rsid w:val="006850CD"/>
    <w:rsid w:val="00685AAB"/>
    <w:rsid w:val="006900CC"/>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01D"/>
    <w:rsid w:val="006F03A8"/>
    <w:rsid w:val="006F1486"/>
    <w:rsid w:val="006F2ACA"/>
    <w:rsid w:val="006F2ADC"/>
    <w:rsid w:val="006F2BFE"/>
    <w:rsid w:val="006F31E9"/>
    <w:rsid w:val="006F6284"/>
    <w:rsid w:val="007002C5"/>
    <w:rsid w:val="00704387"/>
    <w:rsid w:val="00706A1A"/>
    <w:rsid w:val="00707669"/>
    <w:rsid w:val="00711C95"/>
    <w:rsid w:val="00711CBA"/>
    <w:rsid w:val="00711FB5"/>
    <w:rsid w:val="00712A01"/>
    <w:rsid w:val="00714F58"/>
    <w:rsid w:val="00721CC4"/>
    <w:rsid w:val="00722FBF"/>
    <w:rsid w:val="00722FC2"/>
    <w:rsid w:val="00724E1B"/>
    <w:rsid w:val="00725949"/>
    <w:rsid w:val="007263EF"/>
    <w:rsid w:val="00726E25"/>
    <w:rsid w:val="0072773C"/>
    <w:rsid w:val="00727FA2"/>
    <w:rsid w:val="007322D9"/>
    <w:rsid w:val="00732BC0"/>
    <w:rsid w:val="0073720F"/>
    <w:rsid w:val="00737796"/>
    <w:rsid w:val="00737F22"/>
    <w:rsid w:val="0074165C"/>
    <w:rsid w:val="00742C35"/>
    <w:rsid w:val="007432CA"/>
    <w:rsid w:val="007439EB"/>
    <w:rsid w:val="00743CB4"/>
    <w:rsid w:val="00743F0A"/>
    <w:rsid w:val="007444E8"/>
    <w:rsid w:val="0074548E"/>
    <w:rsid w:val="00745773"/>
    <w:rsid w:val="00746800"/>
    <w:rsid w:val="007501A8"/>
    <w:rsid w:val="00750D61"/>
    <w:rsid w:val="00750EE1"/>
    <w:rsid w:val="007514DD"/>
    <w:rsid w:val="00752B4D"/>
    <w:rsid w:val="00753F03"/>
    <w:rsid w:val="00755402"/>
    <w:rsid w:val="00756B26"/>
    <w:rsid w:val="00756EDF"/>
    <w:rsid w:val="007600E3"/>
    <w:rsid w:val="007644AA"/>
    <w:rsid w:val="00765C43"/>
    <w:rsid w:val="00765EFB"/>
    <w:rsid w:val="007671CA"/>
    <w:rsid w:val="00767C61"/>
    <w:rsid w:val="0077008A"/>
    <w:rsid w:val="00773C1F"/>
    <w:rsid w:val="00774DA4"/>
    <w:rsid w:val="00776599"/>
    <w:rsid w:val="007765B7"/>
    <w:rsid w:val="0078114B"/>
    <w:rsid w:val="00781DD2"/>
    <w:rsid w:val="00783ECF"/>
    <w:rsid w:val="0078413A"/>
    <w:rsid w:val="0078708E"/>
    <w:rsid w:val="0079192E"/>
    <w:rsid w:val="00791D45"/>
    <w:rsid w:val="00793C0D"/>
    <w:rsid w:val="007959E8"/>
    <w:rsid w:val="00795E9C"/>
    <w:rsid w:val="007A0521"/>
    <w:rsid w:val="007A2E12"/>
    <w:rsid w:val="007A3475"/>
    <w:rsid w:val="007A41C8"/>
    <w:rsid w:val="007A54CE"/>
    <w:rsid w:val="007A6FD9"/>
    <w:rsid w:val="007A7FFA"/>
    <w:rsid w:val="007B04EB"/>
    <w:rsid w:val="007B0CFD"/>
    <w:rsid w:val="007B0D4F"/>
    <w:rsid w:val="007B5A3D"/>
    <w:rsid w:val="007B5B95"/>
    <w:rsid w:val="007B68EA"/>
    <w:rsid w:val="007B7453"/>
    <w:rsid w:val="007C149A"/>
    <w:rsid w:val="007C2D89"/>
    <w:rsid w:val="007C4593"/>
    <w:rsid w:val="007C487F"/>
    <w:rsid w:val="007C5309"/>
    <w:rsid w:val="007C6069"/>
    <w:rsid w:val="007D06C4"/>
    <w:rsid w:val="007D1352"/>
    <w:rsid w:val="007D2508"/>
    <w:rsid w:val="007D346A"/>
    <w:rsid w:val="007D5623"/>
    <w:rsid w:val="007D6518"/>
    <w:rsid w:val="007D76BD"/>
    <w:rsid w:val="007E0BF1"/>
    <w:rsid w:val="007E3E0A"/>
    <w:rsid w:val="007E5D21"/>
    <w:rsid w:val="007E6FFC"/>
    <w:rsid w:val="007E736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E85"/>
    <w:rsid w:val="008373D3"/>
    <w:rsid w:val="00840617"/>
    <w:rsid w:val="00840BDF"/>
    <w:rsid w:val="00840F84"/>
    <w:rsid w:val="00842A47"/>
    <w:rsid w:val="00843C13"/>
    <w:rsid w:val="008454F8"/>
    <w:rsid w:val="00850143"/>
    <w:rsid w:val="0085173A"/>
    <w:rsid w:val="008603CE"/>
    <w:rsid w:val="008620FC"/>
    <w:rsid w:val="008627A5"/>
    <w:rsid w:val="00863E05"/>
    <w:rsid w:val="00865ACA"/>
    <w:rsid w:val="00865D28"/>
    <w:rsid w:val="00865F85"/>
    <w:rsid w:val="00866689"/>
    <w:rsid w:val="00867C10"/>
    <w:rsid w:val="00870166"/>
    <w:rsid w:val="00870439"/>
    <w:rsid w:val="00870DA1"/>
    <w:rsid w:val="008775A4"/>
    <w:rsid w:val="0088394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025"/>
    <w:rsid w:val="008A57E6"/>
    <w:rsid w:val="008A6F81"/>
    <w:rsid w:val="008A769A"/>
    <w:rsid w:val="008B08AE"/>
    <w:rsid w:val="008B0C9C"/>
    <w:rsid w:val="008B166D"/>
    <w:rsid w:val="008B17F4"/>
    <w:rsid w:val="008B3615"/>
    <w:rsid w:val="008B4AC4"/>
    <w:rsid w:val="008B50C8"/>
    <w:rsid w:val="008B5281"/>
    <w:rsid w:val="008B7E05"/>
    <w:rsid w:val="008C1797"/>
    <w:rsid w:val="008C219C"/>
    <w:rsid w:val="008C24D9"/>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CC2"/>
    <w:rsid w:val="008E4BB6"/>
    <w:rsid w:val="008E5518"/>
    <w:rsid w:val="008E6A84"/>
    <w:rsid w:val="008F0CDC"/>
    <w:rsid w:val="008F17A3"/>
    <w:rsid w:val="008F1ED3"/>
    <w:rsid w:val="008F4C29"/>
    <w:rsid w:val="008F5731"/>
    <w:rsid w:val="008F70BD"/>
    <w:rsid w:val="008F788F"/>
    <w:rsid w:val="008F7EA2"/>
    <w:rsid w:val="00902722"/>
    <w:rsid w:val="009027BC"/>
    <w:rsid w:val="009062E6"/>
    <w:rsid w:val="00911BE5"/>
    <w:rsid w:val="00913CA9"/>
    <w:rsid w:val="009145AE"/>
    <w:rsid w:val="009146CE"/>
    <w:rsid w:val="00914CA7"/>
    <w:rsid w:val="00915481"/>
    <w:rsid w:val="00915C3E"/>
    <w:rsid w:val="009161A8"/>
    <w:rsid w:val="00920EFB"/>
    <w:rsid w:val="009245F5"/>
    <w:rsid w:val="009249EC"/>
    <w:rsid w:val="009273B3"/>
    <w:rsid w:val="009305B5"/>
    <w:rsid w:val="00934696"/>
    <w:rsid w:val="00936112"/>
    <w:rsid w:val="009429D5"/>
    <w:rsid w:val="00942BF1"/>
    <w:rsid w:val="0094431B"/>
    <w:rsid w:val="00945180"/>
    <w:rsid w:val="00945428"/>
    <w:rsid w:val="0094607B"/>
    <w:rsid w:val="009477EE"/>
    <w:rsid w:val="00953604"/>
    <w:rsid w:val="0095496B"/>
    <w:rsid w:val="00956CFD"/>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222"/>
    <w:rsid w:val="00997BF1"/>
    <w:rsid w:val="009A0072"/>
    <w:rsid w:val="009A089C"/>
    <w:rsid w:val="009A118E"/>
    <w:rsid w:val="009A194D"/>
    <w:rsid w:val="009A21CD"/>
    <w:rsid w:val="009A278C"/>
    <w:rsid w:val="009A2BC2"/>
    <w:rsid w:val="009A3938"/>
    <w:rsid w:val="009A42C1"/>
    <w:rsid w:val="009A5429"/>
    <w:rsid w:val="009A72AD"/>
    <w:rsid w:val="009B09E0"/>
    <w:rsid w:val="009B0BC5"/>
    <w:rsid w:val="009B1247"/>
    <w:rsid w:val="009B3AA6"/>
    <w:rsid w:val="009B6029"/>
    <w:rsid w:val="009B6200"/>
    <w:rsid w:val="009B6971"/>
    <w:rsid w:val="009C27F1"/>
    <w:rsid w:val="009C3152"/>
    <w:rsid w:val="009C4CFA"/>
    <w:rsid w:val="009C5070"/>
    <w:rsid w:val="009D100A"/>
    <w:rsid w:val="009D112C"/>
    <w:rsid w:val="009D47FA"/>
    <w:rsid w:val="009D4C5B"/>
    <w:rsid w:val="009D50D2"/>
    <w:rsid w:val="009D6BCA"/>
    <w:rsid w:val="009E0F62"/>
    <w:rsid w:val="009E1258"/>
    <w:rsid w:val="009E4A58"/>
    <w:rsid w:val="009E5052"/>
    <w:rsid w:val="009E5A2D"/>
    <w:rsid w:val="009E5AB2"/>
    <w:rsid w:val="009E6219"/>
    <w:rsid w:val="009E62CF"/>
    <w:rsid w:val="009F03B3"/>
    <w:rsid w:val="00A0096C"/>
    <w:rsid w:val="00A01757"/>
    <w:rsid w:val="00A028C0"/>
    <w:rsid w:val="00A02BAE"/>
    <w:rsid w:val="00A05830"/>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2FEF"/>
    <w:rsid w:val="00A438D2"/>
    <w:rsid w:val="00A4452E"/>
    <w:rsid w:val="00A4472C"/>
    <w:rsid w:val="00A44E69"/>
    <w:rsid w:val="00A45C80"/>
    <w:rsid w:val="00A4661E"/>
    <w:rsid w:val="00A55BD6"/>
    <w:rsid w:val="00A55D50"/>
    <w:rsid w:val="00A57142"/>
    <w:rsid w:val="00A63E79"/>
    <w:rsid w:val="00A648CD"/>
    <w:rsid w:val="00A6537A"/>
    <w:rsid w:val="00A67866"/>
    <w:rsid w:val="00A70B07"/>
    <w:rsid w:val="00A723F8"/>
    <w:rsid w:val="00A77CCB"/>
    <w:rsid w:val="00A83D8D"/>
    <w:rsid w:val="00A8446B"/>
    <w:rsid w:val="00A8473F"/>
    <w:rsid w:val="00A862D6"/>
    <w:rsid w:val="00A8715E"/>
    <w:rsid w:val="00A9295B"/>
    <w:rsid w:val="00A9332E"/>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13FA"/>
    <w:rsid w:val="00AC27A6"/>
    <w:rsid w:val="00AC30F7"/>
    <w:rsid w:val="00AC3A5A"/>
    <w:rsid w:val="00AC4266"/>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5FAB"/>
    <w:rsid w:val="00B049AF"/>
    <w:rsid w:val="00B07242"/>
    <w:rsid w:val="00B10534"/>
    <w:rsid w:val="00B113DB"/>
    <w:rsid w:val="00B11D8A"/>
    <w:rsid w:val="00B11E44"/>
    <w:rsid w:val="00B12981"/>
    <w:rsid w:val="00B147DD"/>
    <w:rsid w:val="00B156FD"/>
    <w:rsid w:val="00B2193D"/>
    <w:rsid w:val="00B21F61"/>
    <w:rsid w:val="00B25471"/>
    <w:rsid w:val="00B261F1"/>
    <w:rsid w:val="00B265BC"/>
    <w:rsid w:val="00B27048"/>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F5D"/>
    <w:rsid w:val="00B70C83"/>
    <w:rsid w:val="00B72880"/>
    <w:rsid w:val="00B7359C"/>
    <w:rsid w:val="00B758BF"/>
    <w:rsid w:val="00B77EC8"/>
    <w:rsid w:val="00B82390"/>
    <w:rsid w:val="00B827A6"/>
    <w:rsid w:val="00B831CE"/>
    <w:rsid w:val="00B83B39"/>
    <w:rsid w:val="00B86677"/>
    <w:rsid w:val="00B86AED"/>
    <w:rsid w:val="00B87131"/>
    <w:rsid w:val="00B91E4E"/>
    <w:rsid w:val="00B939B1"/>
    <w:rsid w:val="00B96D40"/>
    <w:rsid w:val="00B97386"/>
    <w:rsid w:val="00BA263B"/>
    <w:rsid w:val="00BA42B2"/>
    <w:rsid w:val="00BA58D4"/>
    <w:rsid w:val="00BA5B9E"/>
    <w:rsid w:val="00BA7C9A"/>
    <w:rsid w:val="00BB24D0"/>
    <w:rsid w:val="00BB5F8F"/>
    <w:rsid w:val="00BB657A"/>
    <w:rsid w:val="00BC0A87"/>
    <w:rsid w:val="00BC1A4E"/>
    <w:rsid w:val="00BC5DC7"/>
    <w:rsid w:val="00BC60E3"/>
    <w:rsid w:val="00BC6B8B"/>
    <w:rsid w:val="00BC73D8"/>
    <w:rsid w:val="00BD1195"/>
    <w:rsid w:val="00BD1CA5"/>
    <w:rsid w:val="00BD52D7"/>
    <w:rsid w:val="00BD5AD2"/>
    <w:rsid w:val="00BE2020"/>
    <w:rsid w:val="00BE22F3"/>
    <w:rsid w:val="00BE5B52"/>
    <w:rsid w:val="00BE63CC"/>
    <w:rsid w:val="00BE7B8D"/>
    <w:rsid w:val="00BF0993"/>
    <w:rsid w:val="00BF10A9"/>
    <w:rsid w:val="00BF1703"/>
    <w:rsid w:val="00BF231C"/>
    <w:rsid w:val="00BF51E5"/>
    <w:rsid w:val="00BF6562"/>
    <w:rsid w:val="00BF74A6"/>
    <w:rsid w:val="00C013AD"/>
    <w:rsid w:val="00C0288A"/>
    <w:rsid w:val="00C04904"/>
    <w:rsid w:val="00C056B3"/>
    <w:rsid w:val="00C103E5"/>
    <w:rsid w:val="00C13319"/>
    <w:rsid w:val="00C13EE9"/>
    <w:rsid w:val="00C20BC5"/>
    <w:rsid w:val="00C21540"/>
    <w:rsid w:val="00C21906"/>
    <w:rsid w:val="00C21BFA"/>
    <w:rsid w:val="00C22148"/>
    <w:rsid w:val="00C24C8D"/>
    <w:rsid w:val="00C25FE2"/>
    <w:rsid w:val="00C26B53"/>
    <w:rsid w:val="00C271CB"/>
    <w:rsid w:val="00C279B2"/>
    <w:rsid w:val="00C322BC"/>
    <w:rsid w:val="00C33E50"/>
    <w:rsid w:val="00C34C20"/>
    <w:rsid w:val="00C35A3E"/>
    <w:rsid w:val="00C42130"/>
    <w:rsid w:val="00C423A4"/>
    <w:rsid w:val="00C44BF5"/>
    <w:rsid w:val="00C47979"/>
    <w:rsid w:val="00C521D6"/>
    <w:rsid w:val="00C55232"/>
    <w:rsid w:val="00C553A4"/>
    <w:rsid w:val="00C55A06"/>
    <w:rsid w:val="00C55A50"/>
    <w:rsid w:val="00C55D03"/>
    <w:rsid w:val="00C601BC"/>
    <w:rsid w:val="00C6329F"/>
    <w:rsid w:val="00C63340"/>
    <w:rsid w:val="00C643F9"/>
    <w:rsid w:val="00C64E95"/>
    <w:rsid w:val="00C705D3"/>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47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3353"/>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4E5"/>
    <w:rsid w:val="00D23A97"/>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146"/>
    <w:rsid w:val="00D51BF3"/>
    <w:rsid w:val="00D523C6"/>
    <w:rsid w:val="00D66846"/>
    <w:rsid w:val="00D675FB"/>
    <w:rsid w:val="00D71F25"/>
    <w:rsid w:val="00D72A9C"/>
    <w:rsid w:val="00D77031"/>
    <w:rsid w:val="00D84941"/>
    <w:rsid w:val="00D84FA1"/>
    <w:rsid w:val="00D851F0"/>
    <w:rsid w:val="00D85DC2"/>
    <w:rsid w:val="00D86DB7"/>
    <w:rsid w:val="00D916FE"/>
    <w:rsid w:val="00D926D0"/>
    <w:rsid w:val="00D93030"/>
    <w:rsid w:val="00D950E1"/>
    <w:rsid w:val="00D952A6"/>
    <w:rsid w:val="00D97F99"/>
    <w:rsid w:val="00DA1E08"/>
    <w:rsid w:val="00DA24F8"/>
    <w:rsid w:val="00DA28E8"/>
    <w:rsid w:val="00DA38D3"/>
    <w:rsid w:val="00DA3932"/>
    <w:rsid w:val="00DA3AFC"/>
    <w:rsid w:val="00DA64F8"/>
    <w:rsid w:val="00DA6C15"/>
    <w:rsid w:val="00DA721C"/>
    <w:rsid w:val="00DB0258"/>
    <w:rsid w:val="00DB38EE"/>
    <w:rsid w:val="00DB498B"/>
    <w:rsid w:val="00DB66CA"/>
    <w:rsid w:val="00DB6A33"/>
    <w:rsid w:val="00DB6BCA"/>
    <w:rsid w:val="00DB73F7"/>
    <w:rsid w:val="00DC0321"/>
    <w:rsid w:val="00DC3067"/>
    <w:rsid w:val="00DC370B"/>
    <w:rsid w:val="00DC5B90"/>
    <w:rsid w:val="00DD00FF"/>
    <w:rsid w:val="00DD0619"/>
    <w:rsid w:val="00DD07FB"/>
    <w:rsid w:val="00DD25C6"/>
    <w:rsid w:val="00DD454C"/>
    <w:rsid w:val="00DD4FE5"/>
    <w:rsid w:val="00DD54B0"/>
    <w:rsid w:val="00DD57EE"/>
    <w:rsid w:val="00DD6BCC"/>
    <w:rsid w:val="00DD77C0"/>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7CB"/>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C15"/>
    <w:rsid w:val="00EA58D1"/>
    <w:rsid w:val="00EA61BC"/>
    <w:rsid w:val="00EA681A"/>
    <w:rsid w:val="00EA735B"/>
    <w:rsid w:val="00EB1E69"/>
    <w:rsid w:val="00EB2086"/>
    <w:rsid w:val="00EB26EB"/>
    <w:rsid w:val="00EB4840"/>
    <w:rsid w:val="00EB563C"/>
    <w:rsid w:val="00EB5EDF"/>
    <w:rsid w:val="00EB6089"/>
    <w:rsid w:val="00EB60FE"/>
    <w:rsid w:val="00EB74DB"/>
    <w:rsid w:val="00EC5359"/>
    <w:rsid w:val="00EC562A"/>
    <w:rsid w:val="00EC654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730"/>
    <w:rsid w:val="00F157A9"/>
    <w:rsid w:val="00F25BB6"/>
    <w:rsid w:val="00F26B7E"/>
    <w:rsid w:val="00F27A3B"/>
    <w:rsid w:val="00F3155A"/>
    <w:rsid w:val="00F33374"/>
    <w:rsid w:val="00F33817"/>
    <w:rsid w:val="00F35272"/>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149"/>
    <w:rsid w:val="00F859A8"/>
    <w:rsid w:val="00F86D87"/>
    <w:rsid w:val="00F9108B"/>
    <w:rsid w:val="00F91349"/>
    <w:rsid w:val="00F925EC"/>
    <w:rsid w:val="00F93A8A"/>
    <w:rsid w:val="00F95248"/>
    <w:rsid w:val="00F956A9"/>
    <w:rsid w:val="00F963ED"/>
    <w:rsid w:val="00F966CF"/>
    <w:rsid w:val="00F96CAE"/>
    <w:rsid w:val="00F97C99"/>
    <w:rsid w:val="00FA4C58"/>
    <w:rsid w:val="00FA662D"/>
    <w:rsid w:val="00FA73B1"/>
    <w:rsid w:val="00FB0CB9"/>
    <w:rsid w:val="00FB231D"/>
    <w:rsid w:val="00FB45F1"/>
    <w:rsid w:val="00FB4A72"/>
    <w:rsid w:val="00FB54E8"/>
    <w:rsid w:val="00FB5976"/>
    <w:rsid w:val="00FB7054"/>
    <w:rsid w:val="00FC015C"/>
    <w:rsid w:val="00FC17B7"/>
    <w:rsid w:val="00FC1836"/>
    <w:rsid w:val="00FC2CB7"/>
    <w:rsid w:val="00FC4090"/>
    <w:rsid w:val="00FC55B4"/>
    <w:rsid w:val="00FD00E6"/>
    <w:rsid w:val="00FD0582"/>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6B5540"/>
    <w:rsid w:val="05555C8F"/>
    <w:rsid w:val="064128C3"/>
    <w:rsid w:val="0D4C1C87"/>
    <w:rsid w:val="0E0A6D8B"/>
    <w:rsid w:val="10E02E12"/>
    <w:rsid w:val="159643E7"/>
    <w:rsid w:val="17516817"/>
    <w:rsid w:val="1DB01DBE"/>
    <w:rsid w:val="20A65220"/>
    <w:rsid w:val="212D41BC"/>
    <w:rsid w:val="23963804"/>
    <w:rsid w:val="2A58495C"/>
    <w:rsid w:val="33236712"/>
    <w:rsid w:val="35D14A0C"/>
    <w:rsid w:val="3A245684"/>
    <w:rsid w:val="3DB82A65"/>
    <w:rsid w:val="3EC84D62"/>
    <w:rsid w:val="3F163D1F"/>
    <w:rsid w:val="40CB1C61"/>
    <w:rsid w:val="440C749E"/>
    <w:rsid w:val="44D45CE9"/>
    <w:rsid w:val="49073769"/>
    <w:rsid w:val="4AE50A49"/>
    <w:rsid w:val="4E051827"/>
    <w:rsid w:val="50174057"/>
    <w:rsid w:val="58F8694E"/>
    <w:rsid w:val="59C003F3"/>
    <w:rsid w:val="5B0D3DD0"/>
    <w:rsid w:val="5F19259B"/>
    <w:rsid w:val="5FBA13BE"/>
    <w:rsid w:val="60830691"/>
    <w:rsid w:val="60934D78"/>
    <w:rsid w:val="60966616"/>
    <w:rsid w:val="611A2DA3"/>
    <w:rsid w:val="65F55B8D"/>
    <w:rsid w:val="67D97A43"/>
    <w:rsid w:val="67F3434E"/>
    <w:rsid w:val="68AD1AA8"/>
    <w:rsid w:val="68C920D7"/>
    <w:rsid w:val="77756B2D"/>
    <w:rsid w:val="7D913F95"/>
    <w:rsid w:val="7DC6558E"/>
    <w:rsid w:val="7E681366"/>
    <w:rsid w:val="7F686F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unhideWhenUsed/>
    <w:qFormat/>
    <w:uiPriority w:val="35"/>
    <w:pPr>
      <w:adjustRightInd/>
      <w:spacing w:line="300" w:lineRule="auto"/>
    </w:pPr>
    <w:rPr>
      <w:rFonts w:ascii="Times New Roman" w:hAnsi="Times New Roman" w:eastAsia="黑体" w:cstheme="majorBidi"/>
      <w:szCs w:val="20"/>
    </w:rPr>
  </w:style>
  <w:style w:type="paragraph" w:styleId="14">
    <w:name w:val="annotation text"/>
    <w:basedOn w:val="1"/>
    <w:link w:val="234"/>
    <w:unhideWhenUsed/>
    <w:qFormat/>
    <w:uiPriority w:val="99"/>
    <w:pPr>
      <w:jc w:val="left"/>
    </w:pPr>
  </w:style>
  <w:style w:type="paragraph" w:styleId="15">
    <w:name w:val="Body Text"/>
    <w:basedOn w:val="1"/>
    <w:link w:val="90"/>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4"/>
    <w:next w:val="14"/>
    <w:link w:val="235"/>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rFonts w:ascii="Times New Roman" w:hAnsi="Times New Roman" w:eastAsia="宋体" w:cs="Times New Roman"/>
      <w:b/>
      <w:bCs/>
      <w:kern w:val="44"/>
      <w:sz w:val="44"/>
      <w:szCs w:val="44"/>
    </w:rPr>
  </w:style>
  <w:style w:type="character" w:customStyle="1" w:styleId="39">
    <w:name w:val="标题 2 字符"/>
    <w:link w:val="3"/>
    <w:qFormat/>
    <w:uiPriority w:val="0"/>
    <w:rPr>
      <w:rFonts w:ascii="Arial" w:hAnsi="Arial" w:eastAsia="黑体" w:cs="Times New Roman"/>
      <w:b/>
      <w:bCs/>
      <w:sz w:val="32"/>
      <w:szCs w:val="32"/>
    </w:rPr>
  </w:style>
  <w:style w:type="character" w:customStyle="1" w:styleId="40">
    <w:name w:val="标题 3 字符"/>
    <w:link w:val="4"/>
    <w:qFormat/>
    <w:uiPriority w:val="0"/>
    <w:rPr>
      <w:rFonts w:ascii="Times New Roman" w:hAnsi="Times New Roman" w:eastAsia="宋体" w:cs="Times New Roman"/>
      <w:b/>
      <w:bCs/>
      <w:sz w:val="32"/>
      <w:szCs w:val="32"/>
    </w:rPr>
  </w:style>
  <w:style w:type="character" w:customStyle="1" w:styleId="41">
    <w:name w:val="标题 4 字符"/>
    <w:link w:val="5"/>
    <w:qFormat/>
    <w:uiPriority w:val="0"/>
    <w:rPr>
      <w:rFonts w:ascii="Arial" w:hAnsi="Arial" w:eastAsia="黑体" w:cs="Times New Roman"/>
      <w:b/>
      <w:bCs/>
      <w:sz w:val="28"/>
      <w:szCs w:val="28"/>
    </w:rPr>
  </w:style>
  <w:style w:type="character" w:customStyle="1" w:styleId="42">
    <w:name w:val="标题 5 字符"/>
    <w:link w:val="6"/>
    <w:qFormat/>
    <w:uiPriority w:val="0"/>
    <w:rPr>
      <w:rFonts w:ascii="Times New Roman" w:hAnsi="Times New Roman" w:eastAsia="宋体" w:cs="Times New Roman"/>
      <w:b/>
      <w:bCs/>
      <w:sz w:val="28"/>
      <w:szCs w:val="28"/>
    </w:rPr>
  </w:style>
  <w:style w:type="character" w:customStyle="1" w:styleId="43">
    <w:name w:val="标题 6 字符"/>
    <w:link w:val="7"/>
    <w:qFormat/>
    <w:uiPriority w:val="0"/>
    <w:rPr>
      <w:rFonts w:ascii="Arial" w:hAnsi="Arial" w:eastAsia="黑体" w:cs="Times New Roman"/>
      <w:b/>
      <w:bCs/>
      <w:sz w:val="24"/>
      <w:szCs w:val="24"/>
    </w:rPr>
  </w:style>
  <w:style w:type="character" w:customStyle="1" w:styleId="44">
    <w:name w:val="标题 7 字符"/>
    <w:link w:val="8"/>
    <w:qFormat/>
    <w:uiPriority w:val="0"/>
    <w:rPr>
      <w:rFonts w:ascii="Times New Roman" w:hAnsi="Times New Roman" w:eastAsia="宋体" w:cs="Times New Roman"/>
      <w:b/>
      <w:bCs/>
      <w:sz w:val="24"/>
      <w:szCs w:val="24"/>
    </w:rPr>
  </w:style>
  <w:style w:type="character" w:customStyle="1" w:styleId="45">
    <w:name w:val="标题 8 字符"/>
    <w:link w:val="9"/>
    <w:qFormat/>
    <w:uiPriority w:val="0"/>
    <w:rPr>
      <w:rFonts w:ascii="Arial" w:hAnsi="Arial" w:eastAsia="黑体" w:cs="Times New Roman"/>
      <w:sz w:val="24"/>
      <w:szCs w:val="24"/>
    </w:rPr>
  </w:style>
  <w:style w:type="character" w:customStyle="1" w:styleId="46">
    <w:name w:val="标题 9 字符"/>
    <w:link w:val="10"/>
    <w:qFormat/>
    <w:uiPriority w:val="0"/>
    <w:rPr>
      <w:rFonts w:ascii="Arial" w:hAnsi="Arial" w:eastAsia="黑体" w:cs="Times New Roman"/>
      <w:szCs w:val="21"/>
    </w:rPr>
  </w:style>
  <w:style w:type="character" w:customStyle="1" w:styleId="47">
    <w:name w:val="页眉 字符"/>
    <w:link w:val="20"/>
    <w:qFormat/>
    <w:uiPriority w:val="99"/>
    <w:rPr>
      <w:rFonts w:ascii="Times New Roman" w:hAnsi="Times New Roman" w:eastAsia="宋体" w:cs="Times New Roman"/>
      <w:sz w:val="18"/>
      <w:szCs w:val="18"/>
    </w:rPr>
  </w:style>
  <w:style w:type="character" w:customStyle="1" w:styleId="48">
    <w:name w:val="页脚 字符"/>
    <w:link w:val="19"/>
    <w:qFormat/>
    <w:uiPriority w:val="99"/>
    <w:rPr>
      <w:rFonts w:ascii="宋体" w:hAnsi="Times New Roman" w:eastAsia="宋体" w:cs="Times New Roman"/>
      <w:sz w:val="18"/>
      <w:szCs w:val="18"/>
    </w:rPr>
  </w:style>
  <w:style w:type="character" w:customStyle="1" w:styleId="49">
    <w:name w:val="批注框文本 字符"/>
    <w:link w:val="18"/>
    <w:semiHidden/>
    <w:qFormat/>
    <w:uiPriority w:val="99"/>
    <w:rPr>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rPr>
  </w:style>
  <w:style w:type="character" w:customStyle="1" w:styleId="52">
    <w:name w:val="标题 字符"/>
    <w:link w:val="27"/>
    <w:qFormat/>
    <w:uiPriority w:val="0"/>
    <w:rPr>
      <w:rFonts w:ascii="Arial" w:hAnsi="Arial" w:eastAsia="宋体" w:cs="Arial"/>
      <w:b/>
      <w:bCs/>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5"/>
    <w:qFormat/>
    <w:uiPriority w:val="0"/>
    <w:rPr>
      <w:rFonts w:ascii="Times New Roman" w:hAnsi="Times New Roman" w:eastAsia="宋体" w:cs="Times New Roman"/>
      <w:szCs w:val="20"/>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pPr>
  </w:style>
  <w:style w:type="paragraph" w:customStyle="1" w:styleId="95">
    <w:name w:val="标准文件_目录标题"/>
    <w:basedOn w:val="1"/>
    <w:qFormat/>
    <w:uiPriority w:val="0"/>
    <w:pPr>
      <w:spacing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ind w:left="0" w:firstLine="200"/>
    </w:pPr>
  </w:style>
  <w:style w:type="paragraph" w:customStyle="1" w:styleId="98">
    <w:name w:val="标准文件_三级条标题"/>
    <w:basedOn w:val="69"/>
    <w:next w:val="60"/>
    <w:qFormat/>
    <w:uiPriority w:val="0"/>
    <w:pPr>
      <w:widowControl/>
      <w:numPr>
        <w:ilvl w:val="4"/>
      </w:numPr>
      <w:spacing w:before="50" w:after="50"/>
      <w:outlineLvl w:val="3"/>
    </w:pPr>
    <w:rPr>
      <w:rFonts w:hAnsi="黑体"/>
    </w:r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3"/>
    <w:semiHidden/>
    <w:qFormat/>
    <w:uiPriority w:val="0"/>
    <w:rPr>
      <w:rFonts w:ascii="宋体" w:hAnsi="Times New Roman" w:eastAsia="宋体" w:cs="Times New Roman"/>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Lines="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link w:val="245"/>
    <w:qFormat/>
    <w:uiPriority w:val="0"/>
    <w:pPr>
      <w:ind w:left="1406" w:leftChars="0" w:hanging="499" w:firstLineChars="0"/>
    </w:pPr>
  </w:style>
  <w:style w:type="paragraph" w:customStyle="1" w:styleId="166">
    <w:name w:val="标准文件_一级无标题"/>
    <w:basedOn w:val="109"/>
    <w:link w:val="246"/>
    <w:qFormat/>
    <w:uiPriority w:val="0"/>
    <w:pPr>
      <w:spacing w:beforeLines="0" w:afterLines="0"/>
      <w:outlineLvl w:val="9"/>
    </w:pPr>
    <w:rPr>
      <w:rFonts w:ascii="宋体" w:eastAsia="宋体"/>
    </w:rPr>
  </w:style>
  <w:style w:type="paragraph" w:customStyle="1" w:styleId="167">
    <w:name w:val="标准文件_五级无标题"/>
    <w:basedOn w:val="107"/>
    <w:qFormat/>
    <w:uiPriority w:val="0"/>
    <w:pPr>
      <w:spacing w:beforeLines="0" w:afterLines="0"/>
      <w:outlineLvl w:val="9"/>
    </w:pPr>
    <w:rPr>
      <w:rFonts w:ascii="宋体" w:eastAsia="宋体"/>
    </w:rPr>
  </w:style>
  <w:style w:type="paragraph" w:customStyle="1" w:styleId="168">
    <w:name w:val="标准文件_三级无标题"/>
    <w:basedOn w:val="98"/>
    <w:qFormat/>
    <w:uiPriority w:val="0"/>
    <w:pPr>
      <w:spacing w:beforeLines="0" w:afterLines="0"/>
      <w:outlineLvl w:val="9"/>
    </w:pPr>
    <w:rPr>
      <w:rFonts w:ascii="宋体" w:eastAsia="宋体"/>
    </w:rPr>
  </w:style>
  <w:style w:type="paragraph" w:customStyle="1" w:styleId="169">
    <w:name w:val="标准文件_二级无标题"/>
    <w:basedOn w:val="69"/>
    <w:qFormat/>
    <w:uiPriority w:val="0"/>
    <w:pPr>
      <w:spacing w:beforeLines="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Lines="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ind w:left="783"/>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left="1271" w:hanging="420" w:firstLineChars="0"/>
    </w:pPr>
  </w:style>
  <w:style w:type="paragraph" w:customStyle="1" w:styleId="192">
    <w:name w:val="标准文件_三级项2"/>
    <w:basedOn w:val="60"/>
    <w:qFormat/>
    <w:uiPriority w:val="0"/>
    <w:pPr>
      <w:numPr>
        <w:ilvl w:val="0"/>
        <w:numId w:val="30"/>
      </w:numPr>
      <w:spacing w:line="300" w:lineRule="exact"/>
      <w:ind w:left="1276" w:hanging="425" w:firstLineChars="0"/>
    </w:pPr>
    <w:rPr>
      <w:rFonts w:ascii="Times New Roman"/>
    </w:rPr>
  </w:style>
  <w:style w:type="paragraph" w:customStyle="1" w:styleId="193">
    <w:name w:val="标准文件_一级项2"/>
    <w:basedOn w:val="60"/>
    <w:qFormat/>
    <w:uiPriority w:val="0"/>
    <w:pPr>
      <w:numPr>
        <w:ilvl w:val="0"/>
        <w:numId w:val="31"/>
      </w:numPr>
      <w:spacing w:line="300" w:lineRule="exact"/>
      <w:ind w:left="1271" w:hanging="420"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Lines="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Lines="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Lines="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Lines="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Lines="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Lines="0" w:afterLines="0" w:line="276" w:lineRule="auto"/>
      <w:outlineLvl w:val="9"/>
    </w:pPr>
    <w:rPr>
      <w:rFonts w:ascii="宋体" w:eastAsia="宋体"/>
    </w:rPr>
  </w:style>
  <w:style w:type="paragraph" w:customStyle="1" w:styleId="216">
    <w:name w:val="标准文件_附录二级无标题"/>
    <w:basedOn w:val="83"/>
    <w:qFormat/>
    <w:uiPriority w:val="0"/>
    <w:pPr>
      <w:spacing w:beforeLines="0" w:afterLines="0" w:line="276" w:lineRule="auto"/>
      <w:outlineLvl w:val="9"/>
    </w:pPr>
    <w:rPr>
      <w:rFonts w:ascii="宋体" w:eastAsia="宋体"/>
    </w:rPr>
  </w:style>
  <w:style w:type="paragraph" w:customStyle="1" w:styleId="217">
    <w:name w:val="标准文件_附录三级无标题"/>
    <w:basedOn w:val="85"/>
    <w:qFormat/>
    <w:uiPriority w:val="0"/>
    <w:pPr>
      <w:spacing w:beforeLines="0" w:afterLines="0" w:line="276" w:lineRule="auto"/>
      <w:outlineLvl w:val="9"/>
    </w:pPr>
    <w:rPr>
      <w:rFonts w:ascii="宋体" w:eastAsia="宋体"/>
    </w:rPr>
  </w:style>
  <w:style w:type="paragraph" w:customStyle="1" w:styleId="218">
    <w:name w:val="标准文件_附录四级无标题"/>
    <w:basedOn w:val="86"/>
    <w:qFormat/>
    <w:uiPriority w:val="0"/>
    <w:pPr>
      <w:spacing w:beforeLines="0" w:afterLines="0" w:line="276" w:lineRule="auto"/>
      <w:outlineLvl w:val="9"/>
    </w:pPr>
    <w:rPr>
      <w:rFonts w:ascii="宋体" w:eastAsia="宋体"/>
    </w:rPr>
  </w:style>
  <w:style w:type="paragraph" w:customStyle="1" w:styleId="219">
    <w:name w:val="标准文件_附录五级无标题"/>
    <w:basedOn w:val="88"/>
    <w:qFormat/>
    <w:uiPriority w:val="0"/>
    <w:pPr>
      <w:spacing w:beforeLines="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Lines="0" w:afterLines="0" w:line="276" w:lineRule="auto"/>
    </w:pPr>
    <w:rPr>
      <w:rFonts w:ascii="宋体" w:eastAsia="宋体"/>
    </w:rPr>
  </w:style>
  <w:style w:type="paragraph" w:customStyle="1" w:styleId="221">
    <w:name w:val="标准文件_引言二级无标题"/>
    <w:basedOn w:val="205"/>
    <w:next w:val="60"/>
    <w:qFormat/>
    <w:uiPriority w:val="0"/>
    <w:pPr>
      <w:spacing w:beforeLines="0" w:afterLines="0" w:line="276" w:lineRule="auto"/>
    </w:pPr>
    <w:rPr>
      <w:rFonts w:ascii="宋体" w:eastAsia="宋体"/>
    </w:rPr>
  </w:style>
  <w:style w:type="paragraph" w:customStyle="1" w:styleId="222">
    <w:name w:val="标准文件_引言三级无标题"/>
    <w:basedOn w:val="206"/>
    <w:next w:val="60"/>
    <w:qFormat/>
    <w:uiPriority w:val="0"/>
    <w:pPr>
      <w:spacing w:beforeLines="0" w:afterLines="0" w:line="276" w:lineRule="auto"/>
    </w:pPr>
    <w:rPr>
      <w:rFonts w:ascii="宋体" w:eastAsia="宋体"/>
    </w:rPr>
  </w:style>
  <w:style w:type="paragraph" w:customStyle="1" w:styleId="223">
    <w:name w:val="标准文件_引言四级无标题"/>
    <w:basedOn w:val="207"/>
    <w:next w:val="60"/>
    <w:qFormat/>
    <w:uiPriority w:val="0"/>
    <w:pPr>
      <w:spacing w:beforeLines="0" w:afterLines="0" w:line="276" w:lineRule="auto"/>
    </w:pPr>
    <w:rPr>
      <w:rFonts w:ascii="宋体" w:eastAsia="宋体"/>
    </w:rPr>
  </w:style>
  <w:style w:type="paragraph" w:customStyle="1" w:styleId="224">
    <w:name w:val="标准文件_引言五级无标题"/>
    <w:basedOn w:val="208"/>
    <w:next w:val="60"/>
    <w:qFormat/>
    <w:uiPriority w:val="0"/>
    <w:pPr>
      <w:spacing w:beforeLines="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批注文字 字符"/>
    <w:basedOn w:val="31"/>
    <w:link w:val="14"/>
    <w:qFormat/>
    <w:uiPriority w:val="99"/>
    <w:rPr>
      <w:kern w:val="2"/>
      <w:sz w:val="21"/>
      <w:szCs w:val="21"/>
    </w:rPr>
  </w:style>
  <w:style w:type="character" w:customStyle="1" w:styleId="235">
    <w:name w:val="批注主题 字符"/>
    <w:basedOn w:val="234"/>
    <w:link w:val="28"/>
    <w:semiHidden/>
    <w:qFormat/>
    <w:uiPriority w:val="99"/>
    <w:rPr>
      <w:b/>
      <w:bCs/>
      <w:kern w:val="2"/>
      <w:sz w:val="21"/>
      <w:szCs w:val="21"/>
    </w:rPr>
  </w:style>
  <w:style w:type="paragraph" w:customStyle="1" w:styleId="23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7">
    <w:name w:val="二级无"/>
    <w:basedOn w:val="238"/>
    <w:qFormat/>
    <w:uiPriority w:val="0"/>
    <w:pPr>
      <w:spacing w:beforeLines="0" w:afterLines="0"/>
    </w:pPr>
    <w:rPr>
      <w:rFonts w:ascii="宋体" w:eastAsia="宋体"/>
    </w:rPr>
  </w:style>
  <w:style w:type="paragraph" w:customStyle="1" w:styleId="238">
    <w:name w:val="二级条标题"/>
    <w:basedOn w:val="239"/>
    <w:next w:val="236"/>
    <w:qFormat/>
    <w:uiPriority w:val="0"/>
    <w:pPr>
      <w:numPr>
        <w:ilvl w:val="2"/>
      </w:numPr>
      <w:spacing w:before="50" w:after="50"/>
      <w:outlineLvl w:val="3"/>
    </w:pPr>
  </w:style>
  <w:style w:type="paragraph" w:customStyle="1" w:styleId="239">
    <w:name w:val="一级条标题"/>
    <w:next w:val="236"/>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正文术语"/>
    <w:basedOn w:val="1"/>
    <w:next w:val="1"/>
    <w:qFormat/>
    <w:uiPriority w:val="0"/>
    <w:pPr>
      <w:spacing w:line="300" w:lineRule="auto"/>
      <w:ind w:firstLine="420" w:firstLineChars="200"/>
    </w:pPr>
    <w:rPr>
      <w:rFonts w:eastAsia="黑体"/>
      <w:b/>
      <w:szCs w:val="22"/>
    </w:rPr>
  </w:style>
  <w:style w:type="paragraph" w:styleId="241">
    <w:name w:val="List Paragraph"/>
    <w:basedOn w:val="1"/>
    <w:qFormat/>
    <w:uiPriority w:val="34"/>
    <w:pPr>
      <w:spacing w:line="300" w:lineRule="auto"/>
      <w:ind w:firstLine="420" w:firstLineChars="200"/>
    </w:pPr>
    <w:rPr>
      <w:szCs w:val="22"/>
    </w:rPr>
  </w:style>
  <w:style w:type="paragraph" w:customStyle="1" w:styleId="242">
    <w:name w:val="附录标题"/>
    <w:basedOn w:val="236"/>
    <w:next w:val="1"/>
    <w:qFormat/>
    <w:uiPriority w:val="0"/>
    <w:pPr>
      <w:ind w:firstLine="0" w:firstLineChars="0"/>
      <w:jc w:val="center"/>
    </w:pPr>
    <w:rPr>
      <w:rFonts w:ascii="黑体" w:eastAsia="黑体"/>
    </w:rPr>
  </w:style>
  <w:style w:type="character" w:customStyle="1" w:styleId="243">
    <w:name w:val="正文文本 + Arial Unicode MS30"/>
    <w:basedOn w:val="31"/>
    <w:unhideWhenUsed/>
    <w:qFormat/>
    <w:uiPriority w:val="99"/>
    <w:rPr>
      <w:rFonts w:hint="eastAsia" w:ascii="Arial Unicode MS" w:eastAsia="Arial Unicode MS" w:cs="Arial Unicode MS"/>
      <w:sz w:val="20"/>
      <w:szCs w:val="20"/>
      <w:lang w:val="en-US" w:eastAsia="en-US"/>
    </w:rPr>
  </w:style>
  <w:style w:type="paragraph" w:customStyle="1" w:styleId="244">
    <w:name w:val="正文表格"/>
    <w:basedOn w:val="1"/>
    <w:next w:val="1"/>
    <w:qFormat/>
    <w:uiPriority w:val="0"/>
    <w:pPr>
      <w:adjustRightInd/>
      <w:spacing w:line="240" w:lineRule="auto"/>
    </w:pPr>
    <w:rPr>
      <w:rFonts w:ascii="Times New Roman" w:hAnsi="Times New Roman" w:cstheme="minorBidi"/>
      <w:color w:val="000000"/>
      <w:sz w:val="18"/>
      <w:szCs w:val="22"/>
    </w:rPr>
  </w:style>
  <w:style w:type="character" w:customStyle="1" w:styleId="245">
    <w:name w:val="注×:后续 Char"/>
    <w:link w:val="165"/>
    <w:uiPriority w:val="0"/>
  </w:style>
  <w:style w:type="character" w:customStyle="1" w:styleId="246">
    <w:name w:val="标准文件_一级无标题 Char"/>
    <w:link w:val="166"/>
    <w:uiPriority w:val="0"/>
    <w:rPr>
      <w:rFonts w:ascii="宋体" w:eastAsia="宋体"/>
    </w:rPr>
  </w:style>
  <w:style w:type="paragraph" w:customStyle="1" w:styleId="247">
    <w:name w:val="Revision"/>
    <w:hidden/>
    <w:unhideWhenUsed/>
    <w:uiPriority w:val="99"/>
    <w:rPr>
      <w:rFonts w:ascii="Calibri" w:hAnsi="Calibri" w:eastAsia="宋体" w:cs="Times New Roman"/>
      <w:kern w:val="2"/>
      <w:sz w:val="21"/>
      <w:szCs w:val="21"/>
      <w:lang w:val="en-US" w:eastAsia="zh-CN" w:bidi="ar-SA"/>
    </w:rPr>
  </w:style>
  <w:style w:type="paragraph" w:customStyle="1" w:styleId="248">
    <w:name w:val="章标题"/>
    <w:next w:val="236"/>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4" Type="http://schemas.openxmlformats.org/officeDocument/2006/relationships/glossaryDocument" Target="glossary/document.xml"/><Relationship Id="rId53" Type="http://schemas.openxmlformats.org/officeDocument/2006/relationships/fontTable" Target="fontTable.xml"/><Relationship Id="rId52" Type="http://schemas.openxmlformats.org/officeDocument/2006/relationships/numbering" Target="numbering.xml"/><Relationship Id="rId51" Type="http://schemas.openxmlformats.org/officeDocument/2006/relationships/customXml" Target="../customXml/item1.xml"/><Relationship Id="rId50" Type="http://schemas.openxmlformats.org/officeDocument/2006/relationships/image" Target="media/image16.jpeg"/><Relationship Id="rId5" Type="http://schemas.openxmlformats.org/officeDocument/2006/relationships/header" Target="header1.xml"/><Relationship Id="rId49" Type="http://schemas.openxmlformats.org/officeDocument/2006/relationships/image" Target="media/image15.png"/><Relationship Id="rId48" Type="http://schemas.openxmlformats.org/officeDocument/2006/relationships/oleObject" Target="embeddings/oleObject15.bin"/><Relationship Id="rId47" Type="http://schemas.openxmlformats.org/officeDocument/2006/relationships/image" Target="media/image14.wmf"/><Relationship Id="rId46" Type="http://schemas.openxmlformats.org/officeDocument/2006/relationships/oleObject" Target="embeddings/oleObject14.bin"/><Relationship Id="rId45" Type="http://schemas.openxmlformats.org/officeDocument/2006/relationships/image" Target="media/image13.wmf"/><Relationship Id="rId44" Type="http://schemas.openxmlformats.org/officeDocument/2006/relationships/oleObject" Target="embeddings/oleObject13.bin"/><Relationship Id="rId43" Type="http://schemas.openxmlformats.org/officeDocument/2006/relationships/image" Target="media/image12.wmf"/><Relationship Id="rId42" Type="http://schemas.openxmlformats.org/officeDocument/2006/relationships/oleObject" Target="embeddings/oleObject12.bin"/><Relationship Id="rId41" Type="http://schemas.openxmlformats.org/officeDocument/2006/relationships/image" Target="media/image11.wmf"/><Relationship Id="rId40" Type="http://schemas.openxmlformats.org/officeDocument/2006/relationships/oleObject" Target="embeddings/oleObject11.bin"/><Relationship Id="rId4" Type="http://schemas.openxmlformats.org/officeDocument/2006/relationships/endnotes" Target="endnotes.xml"/><Relationship Id="rId39" Type="http://schemas.openxmlformats.org/officeDocument/2006/relationships/image" Target="media/image10.wmf"/><Relationship Id="rId38" Type="http://schemas.openxmlformats.org/officeDocument/2006/relationships/oleObject" Target="embeddings/oleObject10.bin"/><Relationship Id="rId37" Type="http://schemas.openxmlformats.org/officeDocument/2006/relationships/image" Target="media/image9.wmf"/><Relationship Id="rId36" Type="http://schemas.openxmlformats.org/officeDocument/2006/relationships/oleObject" Target="embeddings/oleObject9.bin"/><Relationship Id="rId35" Type="http://schemas.openxmlformats.org/officeDocument/2006/relationships/image" Target="media/image8.wmf"/><Relationship Id="rId34" Type="http://schemas.openxmlformats.org/officeDocument/2006/relationships/oleObject" Target="embeddings/oleObject8.bin"/><Relationship Id="rId33" Type="http://schemas.openxmlformats.org/officeDocument/2006/relationships/oleObject" Target="embeddings/oleObject7.bin"/><Relationship Id="rId32" Type="http://schemas.openxmlformats.org/officeDocument/2006/relationships/image" Target="media/image7.wmf"/><Relationship Id="rId31" Type="http://schemas.openxmlformats.org/officeDocument/2006/relationships/oleObject" Target="embeddings/oleObject6.bin"/><Relationship Id="rId30" Type="http://schemas.openxmlformats.org/officeDocument/2006/relationships/image" Target="media/image6.wmf"/><Relationship Id="rId3" Type="http://schemas.openxmlformats.org/officeDocument/2006/relationships/footnotes" Target="footnotes.xml"/><Relationship Id="rId29" Type="http://schemas.openxmlformats.org/officeDocument/2006/relationships/oleObject" Target="embeddings/oleObject5.bin"/><Relationship Id="rId28" Type="http://schemas.openxmlformats.org/officeDocument/2006/relationships/image" Target="media/image5.wmf"/><Relationship Id="rId27" Type="http://schemas.openxmlformats.org/officeDocument/2006/relationships/oleObject" Target="embeddings/oleObject4.bin"/><Relationship Id="rId26" Type="http://schemas.openxmlformats.org/officeDocument/2006/relationships/image" Target="media/image4.wmf"/><Relationship Id="rId25" Type="http://schemas.openxmlformats.org/officeDocument/2006/relationships/oleObject" Target="embeddings/oleObject3.bin"/><Relationship Id="rId24" Type="http://schemas.openxmlformats.org/officeDocument/2006/relationships/image" Target="media/image3.wmf"/><Relationship Id="rId23" Type="http://schemas.openxmlformats.org/officeDocument/2006/relationships/oleObject" Target="embeddings/oleObject2.bin"/><Relationship Id="rId22" Type="http://schemas.openxmlformats.org/officeDocument/2006/relationships/image" Target="media/image2.wmf"/><Relationship Id="rId21" Type="http://schemas.openxmlformats.org/officeDocument/2006/relationships/oleObject" Target="embeddings/oleObject1.bin"/><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16D8ABF242B43A1938DF8BDCADAC268"/>
        <w:style w:val=""/>
        <w:category>
          <w:name w:val="常规"/>
          <w:gallery w:val="placeholder"/>
        </w:category>
        <w:types>
          <w:type w:val="bbPlcHdr"/>
        </w:types>
        <w:behaviors>
          <w:behavior w:val="content"/>
        </w:behaviors>
        <w:description w:val=""/>
        <w:guid w:val="{C5B5BD49-50FE-4676-A914-E0F950CB8663}"/>
      </w:docPartPr>
      <w:docPartBody>
        <w:p w14:paraId="58B4788D">
          <w:pPr>
            <w:pStyle w:val="5"/>
            <w:rPr>
              <w:rFonts w:hint="eastAsia"/>
            </w:rPr>
          </w:pPr>
          <w:r>
            <w:rPr>
              <w:rStyle w:val="4"/>
              <w:rFonts w:hint="eastAsia"/>
            </w:rPr>
            <w:t>单击或点击此处输入文字。</w:t>
          </w:r>
        </w:p>
      </w:docPartBody>
    </w:docPart>
    <w:docPart>
      <w:docPartPr>
        <w:name w:val="F8B0B9639C4F47F48A3DB05B35F0D818"/>
        <w:style w:val=""/>
        <w:category>
          <w:name w:val="常规"/>
          <w:gallery w:val="placeholder"/>
        </w:category>
        <w:types>
          <w:type w:val="bbPlcHdr"/>
        </w:types>
        <w:behaviors>
          <w:behavior w:val="content"/>
        </w:behaviors>
        <w:description w:val=""/>
        <w:guid w:val="{6CE2E36E-C31B-453D-B23F-A1009BEC7E85}"/>
      </w:docPartPr>
      <w:docPartBody>
        <w:p w14:paraId="7960CF66">
          <w:pPr>
            <w:pStyle w:val="6"/>
            <w:rPr>
              <w:rFonts w:hint="eastAsia"/>
            </w:rPr>
          </w:pPr>
          <w:r>
            <w:rPr>
              <w:rStyle w:val="4"/>
              <w:rFonts w:hint="eastAsia"/>
            </w:rPr>
            <w:t>选择一项。</w:t>
          </w:r>
        </w:p>
      </w:docPartBody>
    </w:docPart>
    <w:docPart>
      <w:docPartPr>
        <w:name w:val="01410D4CD1E04F8F931B676247808851"/>
        <w:style w:val=""/>
        <w:category>
          <w:name w:val="常规"/>
          <w:gallery w:val="placeholder"/>
        </w:category>
        <w:types>
          <w:type w:val="bbPlcHdr"/>
        </w:types>
        <w:behaviors>
          <w:behavior w:val="content"/>
        </w:behaviors>
        <w:description w:val=""/>
        <w:guid w:val="{3FCE6815-1E87-437E-8831-4C482E0CC3E6}"/>
      </w:docPartPr>
      <w:docPartBody>
        <w:p w14:paraId="50F0342B">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8F72BC"/>
    <w:rsid w:val="00051128"/>
    <w:rsid w:val="001A33EA"/>
    <w:rsid w:val="00271766"/>
    <w:rsid w:val="003F7ED0"/>
    <w:rsid w:val="005006BC"/>
    <w:rsid w:val="005132CD"/>
    <w:rsid w:val="00575E0B"/>
    <w:rsid w:val="005E53C1"/>
    <w:rsid w:val="00612D52"/>
    <w:rsid w:val="006777D1"/>
    <w:rsid w:val="007823AE"/>
    <w:rsid w:val="007B32CA"/>
    <w:rsid w:val="008D630A"/>
    <w:rsid w:val="008E2463"/>
    <w:rsid w:val="008F72BC"/>
    <w:rsid w:val="00914B33"/>
    <w:rsid w:val="009E6EDF"/>
    <w:rsid w:val="00A00FC2"/>
    <w:rsid w:val="00B764B1"/>
    <w:rsid w:val="00B82AAC"/>
    <w:rsid w:val="00BC0A87"/>
    <w:rsid w:val="00EB4C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16D8ABF242B43A1938DF8BDCADAC26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8B0B9639C4F47F48A3DB05B35F0D81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1410D4CD1E04F8F931B67624780885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24</Pages>
  <Words>4305</Words>
  <Characters>5074</Characters>
  <Lines>87</Lines>
  <Paragraphs>24</Paragraphs>
  <TotalTime>2</TotalTime>
  <ScaleCrop>false</ScaleCrop>
  <LinksUpToDate>false</LinksUpToDate>
  <CharactersWithSpaces>5258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2021-02-08T02:21:00Z</dcterms:created>
  <dc:creator>lingjj</dc:creator>
  <dc:description>&lt;config cover="true" show_menu="true" version="1.0.0" doctype="SDKXY"&gt;_x000d_
&lt;/config&gt;</dc:description>
  <cp:lastModifiedBy>前面右转</cp:lastModifiedBy>
  <cp:lastPrinted>2020-08-30T10:00:00Z</cp:lastPrinted>
  <dcterms:modified xsi:type="dcterms:W3CDTF">2024-11-29T01:31:04Z</dcterms:modified>
  <dc:title>地方标准</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2052-12.1.0.18912</vt:lpwstr>
  </property>
  <property fmtid="{D5CDD505-2E9C-101B-9397-08002B2CF9AE}" pid="16" name="ICV">
    <vt:lpwstr>76756D35CBBE45D5955254887E3369C7_13</vt:lpwstr>
  </property>
</Properties>
</file>