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2CE20">
      <w:pPr>
        <w:spacing w:line="360" w:lineRule="auto"/>
        <w:jc w:val="center"/>
        <w:rPr>
          <w:rFonts w:eastAsia="华文中宋"/>
          <w:sz w:val="36"/>
          <w:szCs w:val="36"/>
        </w:rPr>
      </w:pPr>
    </w:p>
    <w:p w14:paraId="111BCB5B">
      <w:pPr>
        <w:spacing w:line="360" w:lineRule="auto"/>
        <w:jc w:val="center"/>
        <w:rPr>
          <w:rFonts w:eastAsia="华文中宋"/>
          <w:sz w:val="36"/>
          <w:szCs w:val="36"/>
        </w:rPr>
      </w:pPr>
      <w:r>
        <w:rPr>
          <w:rFonts w:eastAsia="华文中宋"/>
          <w:sz w:val="36"/>
          <w:szCs w:val="36"/>
        </w:rPr>
        <w:t>安徽省地方标准编制说明</w:t>
      </w:r>
    </w:p>
    <w:tbl>
      <w:tblPr>
        <w:tblStyle w:val="39"/>
        <w:tblW w:w="94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453"/>
        <w:gridCol w:w="46"/>
        <w:gridCol w:w="2769"/>
        <w:gridCol w:w="1208"/>
        <w:gridCol w:w="1341"/>
        <w:gridCol w:w="1789"/>
      </w:tblGrid>
      <w:tr w14:paraId="508D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367" w:type="dxa"/>
            <w:gridSpan w:val="3"/>
            <w:tcBorders>
              <w:top w:val="single" w:color="auto" w:sz="4" w:space="0"/>
              <w:left w:val="single" w:color="auto" w:sz="4" w:space="0"/>
              <w:bottom w:val="single" w:color="auto" w:sz="4" w:space="0"/>
              <w:right w:val="single" w:color="auto" w:sz="4" w:space="0"/>
            </w:tcBorders>
            <w:vAlign w:val="center"/>
          </w:tcPr>
          <w:p w14:paraId="3E3B1222">
            <w:pPr>
              <w:pStyle w:val="28"/>
              <w:spacing w:line="360" w:lineRule="auto"/>
              <w:ind w:left="420" w:firstLine="0" w:firstLineChars="0"/>
              <w:rPr>
                <w:rFonts w:ascii="Times New Roman" w:hAnsi="Times New Roman" w:cs="Times New Roman"/>
                <w:szCs w:val="21"/>
              </w:rPr>
            </w:pPr>
            <w:r>
              <w:rPr>
                <w:rFonts w:ascii="Times New Roman" w:hAnsi="Times New Roman" w:cs="Times New Roman"/>
                <w:szCs w:val="21"/>
              </w:rPr>
              <w:t>标准名称</w:t>
            </w:r>
          </w:p>
        </w:tc>
        <w:tc>
          <w:tcPr>
            <w:tcW w:w="7107" w:type="dxa"/>
            <w:gridSpan w:val="4"/>
            <w:tcBorders>
              <w:top w:val="single" w:color="auto" w:sz="4" w:space="0"/>
              <w:left w:val="single" w:color="auto" w:sz="4" w:space="0"/>
              <w:bottom w:val="single" w:color="auto" w:sz="4" w:space="0"/>
              <w:right w:val="single" w:color="auto" w:sz="4" w:space="0"/>
            </w:tcBorders>
            <w:vAlign w:val="center"/>
          </w:tcPr>
          <w:p w14:paraId="19D39426">
            <w:pPr>
              <w:pStyle w:val="28"/>
              <w:spacing w:line="360" w:lineRule="auto"/>
              <w:jc w:val="center"/>
              <w:rPr>
                <w:rFonts w:ascii="Times New Roman" w:hAnsi="Times New Roman" w:cs="Times New Roman"/>
                <w:b/>
                <w:szCs w:val="21"/>
              </w:rPr>
            </w:pPr>
            <w:r>
              <w:rPr>
                <w:rFonts w:hint="eastAsia" w:ascii="Times New Roman" w:hAnsi="Times New Roman" w:cs="Times New Roman"/>
                <w:szCs w:val="21"/>
              </w:rPr>
              <w:t>聚乙烯燃气管道检测、检验及评价方法</w:t>
            </w:r>
          </w:p>
        </w:tc>
      </w:tr>
      <w:tr w14:paraId="46A2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367" w:type="dxa"/>
            <w:gridSpan w:val="3"/>
            <w:tcBorders>
              <w:top w:val="single" w:color="auto" w:sz="4" w:space="0"/>
              <w:left w:val="single" w:color="auto" w:sz="4" w:space="0"/>
              <w:bottom w:val="single" w:color="auto" w:sz="4" w:space="0"/>
              <w:right w:val="single" w:color="auto" w:sz="4" w:space="0"/>
            </w:tcBorders>
            <w:vAlign w:val="center"/>
          </w:tcPr>
          <w:p w14:paraId="34BB979E">
            <w:pPr>
              <w:pStyle w:val="28"/>
              <w:spacing w:line="360" w:lineRule="auto"/>
              <w:ind w:firstLine="0" w:firstLineChars="0"/>
              <w:jc w:val="center"/>
              <w:rPr>
                <w:rFonts w:ascii="Times New Roman" w:hAnsi="Times New Roman" w:cs="Times New Roman"/>
                <w:szCs w:val="21"/>
              </w:rPr>
            </w:pPr>
            <w:r>
              <w:rPr>
                <w:rFonts w:ascii="Times New Roman" w:hAnsi="Times New Roman" w:cs="Times New Roman"/>
                <w:szCs w:val="21"/>
              </w:rPr>
              <w:t>任务来源</w:t>
            </w:r>
          </w:p>
          <w:p w14:paraId="1CDBCD9D">
            <w:pPr>
              <w:pStyle w:val="28"/>
              <w:spacing w:line="360" w:lineRule="auto"/>
              <w:ind w:firstLine="0" w:firstLineChars="0"/>
              <w:jc w:val="center"/>
              <w:rPr>
                <w:rFonts w:ascii="Times New Roman" w:hAnsi="Times New Roman" w:cs="Times New Roman"/>
                <w:szCs w:val="21"/>
              </w:rPr>
            </w:pPr>
            <w:r>
              <w:rPr>
                <w:rFonts w:ascii="Times New Roman" w:hAnsi="Times New Roman" w:cs="Times New Roman"/>
                <w:szCs w:val="21"/>
              </w:rPr>
              <w:t>（项目计划号）</w:t>
            </w:r>
          </w:p>
        </w:tc>
        <w:tc>
          <w:tcPr>
            <w:tcW w:w="7107" w:type="dxa"/>
            <w:gridSpan w:val="4"/>
            <w:tcBorders>
              <w:top w:val="single" w:color="auto" w:sz="4" w:space="0"/>
              <w:left w:val="single" w:color="auto" w:sz="4" w:space="0"/>
              <w:bottom w:val="single" w:color="auto" w:sz="4" w:space="0"/>
              <w:right w:val="single" w:color="auto" w:sz="4" w:space="0"/>
            </w:tcBorders>
            <w:vAlign w:val="center"/>
          </w:tcPr>
          <w:p w14:paraId="64814A5F">
            <w:pPr>
              <w:autoSpaceDE w:val="0"/>
              <w:autoSpaceDN w:val="0"/>
              <w:adjustRightInd w:val="0"/>
              <w:jc w:val="left"/>
              <w:rPr>
                <w:rFonts w:hint="default" w:eastAsiaTheme="minorEastAsia"/>
                <w:szCs w:val="21"/>
                <w:lang w:val="en-US" w:eastAsia="zh-CN"/>
              </w:rPr>
            </w:pPr>
            <w:r>
              <w:rPr>
                <w:rFonts w:hint="eastAsia" w:eastAsiaTheme="minorEastAsia"/>
                <w:szCs w:val="21"/>
              </w:rPr>
              <w:t>安徽省市场监督管理局关于下达</w:t>
            </w:r>
            <w:r>
              <w:rPr>
                <w:rFonts w:eastAsiaTheme="minorEastAsia"/>
                <w:szCs w:val="21"/>
              </w:rPr>
              <w:t>202</w:t>
            </w:r>
            <w:r>
              <w:rPr>
                <w:rFonts w:hint="eastAsia" w:eastAsiaTheme="minorEastAsia"/>
                <w:szCs w:val="21"/>
                <w:lang w:val="en-US" w:eastAsia="zh-CN"/>
              </w:rPr>
              <w:t>3</w:t>
            </w:r>
            <w:r>
              <w:rPr>
                <w:rFonts w:hint="eastAsia" w:eastAsiaTheme="minorEastAsia"/>
                <w:szCs w:val="21"/>
              </w:rPr>
              <w:t>年第三批安徽省地方标准制修订计划的通知皖市监函</w:t>
            </w:r>
            <w:r>
              <w:rPr>
                <w:rFonts w:hint="eastAsia" w:eastAsiaTheme="minorEastAsia"/>
                <w:szCs w:val="21"/>
                <w:lang w:val="en-US" w:eastAsia="zh-CN"/>
              </w:rPr>
              <w:t>[</w:t>
            </w:r>
            <w:r>
              <w:rPr>
                <w:rFonts w:hint="eastAsia" w:eastAsiaTheme="minorEastAsia"/>
                <w:szCs w:val="21"/>
              </w:rPr>
              <w:t>202</w:t>
            </w:r>
            <w:r>
              <w:rPr>
                <w:rFonts w:hint="eastAsia" w:eastAsiaTheme="minorEastAsia"/>
                <w:szCs w:val="21"/>
                <w:lang w:val="en-US" w:eastAsia="zh-CN"/>
              </w:rPr>
              <w:t>3]</w:t>
            </w:r>
            <w:r>
              <w:rPr>
                <w:rFonts w:eastAsiaTheme="minorEastAsia"/>
                <w:szCs w:val="21"/>
              </w:rPr>
              <w:t>62</w:t>
            </w:r>
            <w:r>
              <w:rPr>
                <w:rFonts w:hint="eastAsia" w:eastAsiaTheme="minorEastAsia"/>
                <w:szCs w:val="21"/>
                <w:lang w:val="en-US" w:eastAsia="zh-CN"/>
              </w:rPr>
              <w:t>2</w:t>
            </w:r>
            <w:r>
              <w:rPr>
                <w:rFonts w:hint="eastAsia" w:eastAsiaTheme="minorEastAsia"/>
                <w:szCs w:val="21"/>
              </w:rPr>
              <w:t>号</w:t>
            </w:r>
            <w:r>
              <w:rPr>
                <w:rFonts w:hint="eastAsia" w:eastAsiaTheme="minorEastAsia"/>
                <w:szCs w:val="21"/>
                <w:lang w:val="en-US" w:eastAsia="zh-CN"/>
              </w:rPr>
              <w:t>（2023-3-39）</w:t>
            </w:r>
          </w:p>
        </w:tc>
      </w:tr>
      <w:tr w14:paraId="517C3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367" w:type="dxa"/>
            <w:gridSpan w:val="3"/>
            <w:tcBorders>
              <w:top w:val="single" w:color="auto" w:sz="4" w:space="0"/>
              <w:left w:val="single" w:color="auto" w:sz="4" w:space="0"/>
              <w:bottom w:val="single" w:color="auto" w:sz="4" w:space="0"/>
              <w:right w:val="single" w:color="auto" w:sz="4" w:space="0"/>
            </w:tcBorders>
            <w:vAlign w:val="center"/>
          </w:tcPr>
          <w:p w14:paraId="6077853B">
            <w:pPr>
              <w:pStyle w:val="28"/>
              <w:spacing w:line="360" w:lineRule="auto"/>
              <w:ind w:left="420" w:firstLine="0" w:firstLineChars="0"/>
              <w:rPr>
                <w:rFonts w:ascii="Times New Roman" w:hAnsi="Times New Roman" w:cs="Times New Roman"/>
                <w:szCs w:val="21"/>
              </w:rPr>
            </w:pPr>
            <w:r>
              <w:rPr>
                <w:rFonts w:ascii="Times New Roman" w:hAnsi="Times New Roman" w:cs="Times New Roman"/>
                <w:szCs w:val="21"/>
              </w:rPr>
              <w:t>负责起草单位</w:t>
            </w:r>
          </w:p>
        </w:tc>
        <w:tc>
          <w:tcPr>
            <w:tcW w:w="7107" w:type="dxa"/>
            <w:gridSpan w:val="4"/>
            <w:tcBorders>
              <w:top w:val="single" w:color="auto" w:sz="4" w:space="0"/>
              <w:left w:val="single" w:color="auto" w:sz="4" w:space="0"/>
              <w:bottom w:val="single" w:color="auto" w:sz="4" w:space="0"/>
              <w:right w:val="single" w:color="auto" w:sz="4" w:space="0"/>
            </w:tcBorders>
            <w:vAlign w:val="center"/>
          </w:tcPr>
          <w:p w14:paraId="2E5986C3">
            <w:pPr>
              <w:pStyle w:val="28"/>
              <w:spacing w:line="360" w:lineRule="auto"/>
              <w:ind w:firstLine="2100" w:firstLineChars="1000"/>
              <w:rPr>
                <w:rFonts w:ascii="Times New Roman" w:hAnsi="Times New Roman" w:cs="Times New Roman"/>
                <w:szCs w:val="21"/>
              </w:rPr>
            </w:pPr>
            <w:r>
              <w:rPr>
                <w:rFonts w:ascii="Times New Roman" w:hAnsi="Times New Roman" w:cs="Times New Roman"/>
                <w:szCs w:val="21"/>
              </w:rPr>
              <w:t>安徽</w:t>
            </w:r>
            <w:r>
              <w:rPr>
                <w:rFonts w:hint="eastAsia" w:ascii="Times New Roman" w:hAnsi="Times New Roman" w:cs="Times New Roman"/>
                <w:szCs w:val="21"/>
              </w:rPr>
              <w:t>省特种设备检测院</w:t>
            </w:r>
          </w:p>
        </w:tc>
      </w:tr>
      <w:tr w14:paraId="2F83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367" w:type="dxa"/>
            <w:gridSpan w:val="3"/>
            <w:tcBorders>
              <w:top w:val="single" w:color="auto" w:sz="4" w:space="0"/>
              <w:left w:val="single" w:color="auto" w:sz="4" w:space="0"/>
              <w:bottom w:val="single" w:color="auto" w:sz="4" w:space="0"/>
              <w:right w:val="single" w:color="auto" w:sz="4" w:space="0"/>
            </w:tcBorders>
            <w:vAlign w:val="center"/>
          </w:tcPr>
          <w:p w14:paraId="4DFC6C3F">
            <w:pPr>
              <w:pStyle w:val="28"/>
              <w:spacing w:line="360" w:lineRule="auto"/>
              <w:ind w:left="420" w:firstLine="0" w:firstLineChars="0"/>
              <w:rPr>
                <w:rFonts w:ascii="Times New Roman" w:hAnsi="Times New Roman" w:cs="Times New Roman"/>
                <w:szCs w:val="21"/>
              </w:rPr>
            </w:pPr>
            <w:r>
              <w:rPr>
                <w:rFonts w:ascii="Times New Roman" w:hAnsi="Times New Roman" w:cs="Times New Roman"/>
                <w:szCs w:val="21"/>
              </w:rPr>
              <w:t>单位地址</w:t>
            </w:r>
          </w:p>
        </w:tc>
        <w:tc>
          <w:tcPr>
            <w:tcW w:w="7107" w:type="dxa"/>
            <w:gridSpan w:val="4"/>
            <w:tcBorders>
              <w:top w:val="single" w:color="auto" w:sz="4" w:space="0"/>
              <w:left w:val="single" w:color="auto" w:sz="4" w:space="0"/>
              <w:bottom w:val="single" w:color="auto" w:sz="4" w:space="0"/>
              <w:right w:val="single" w:color="auto" w:sz="4" w:space="0"/>
            </w:tcBorders>
            <w:vAlign w:val="center"/>
          </w:tcPr>
          <w:p w14:paraId="3D1CBBB7">
            <w:pPr>
              <w:pStyle w:val="28"/>
              <w:spacing w:line="360" w:lineRule="auto"/>
              <w:ind w:firstLine="0" w:firstLineChars="0"/>
              <w:jc w:val="center"/>
              <w:rPr>
                <w:rFonts w:ascii="Times New Roman" w:hAnsi="Times New Roman" w:cs="Times New Roman"/>
                <w:szCs w:val="21"/>
              </w:rPr>
            </w:pPr>
            <w:r>
              <w:rPr>
                <w:rFonts w:ascii="Times New Roman" w:hAnsi="Times New Roman" w:cs="Times New Roman"/>
                <w:szCs w:val="21"/>
              </w:rPr>
              <w:t>合肥市包河工业园</w:t>
            </w:r>
            <w:r>
              <w:rPr>
                <w:rFonts w:hint="eastAsia" w:ascii="Times New Roman" w:hAnsi="Times New Roman" w:cs="Times New Roman"/>
                <w:szCs w:val="21"/>
              </w:rPr>
              <w:t>大连路4</w:t>
            </w:r>
            <w:r>
              <w:rPr>
                <w:rFonts w:ascii="Times New Roman" w:hAnsi="Times New Roman" w:cs="Times New Roman"/>
                <w:szCs w:val="21"/>
              </w:rPr>
              <w:t>5号</w:t>
            </w:r>
          </w:p>
        </w:tc>
      </w:tr>
      <w:tr w14:paraId="45BD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367" w:type="dxa"/>
            <w:gridSpan w:val="3"/>
            <w:tcBorders>
              <w:top w:val="single" w:color="auto" w:sz="4" w:space="0"/>
              <w:left w:val="single" w:color="auto" w:sz="4" w:space="0"/>
              <w:bottom w:val="single" w:color="auto" w:sz="4" w:space="0"/>
              <w:right w:val="single" w:color="auto" w:sz="4" w:space="0"/>
            </w:tcBorders>
            <w:vAlign w:val="center"/>
          </w:tcPr>
          <w:p w14:paraId="70E5369A">
            <w:pPr>
              <w:pStyle w:val="28"/>
              <w:spacing w:line="360" w:lineRule="auto"/>
              <w:ind w:left="420" w:firstLine="0" w:firstLineChars="0"/>
              <w:rPr>
                <w:rFonts w:ascii="Times New Roman" w:hAnsi="Times New Roman" w:cs="Times New Roman"/>
                <w:szCs w:val="21"/>
              </w:rPr>
            </w:pPr>
            <w:r>
              <w:rPr>
                <w:rFonts w:ascii="Times New Roman" w:hAnsi="Times New Roman" w:cs="Times New Roman"/>
                <w:szCs w:val="21"/>
              </w:rPr>
              <w:t>参与起草单位</w:t>
            </w:r>
          </w:p>
        </w:tc>
        <w:tc>
          <w:tcPr>
            <w:tcW w:w="7107" w:type="dxa"/>
            <w:gridSpan w:val="4"/>
            <w:tcBorders>
              <w:top w:val="single" w:color="auto" w:sz="4" w:space="0"/>
              <w:left w:val="single" w:color="auto" w:sz="4" w:space="0"/>
              <w:bottom w:val="single" w:color="auto" w:sz="4" w:space="0"/>
              <w:right w:val="single" w:color="auto" w:sz="4" w:space="0"/>
            </w:tcBorders>
            <w:vAlign w:val="center"/>
          </w:tcPr>
          <w:p w14:paraId="5B7CF436">
            <w:pPr>
              <w:pStyle w:val="28"/>
              <w:spacing w:line="360" w:lineRule="auto"/>
              <w:ind w:firstLine="0" w:firstLineChars="0"/>
              <w:jc w:val="center"/>
              <w:rPr>
                <w:rFonts w:ascii="Times New Roman" w:hAnsi="Times New Roman" w:cs="Times New Roman"/>
                <w:szCs w:val="21"/>
              </w:rPr>
            </w:pPr>
            <w:r>
              <w:rPr>
                <w:rFonts w:hint="eastAsia" w:ascii="Times New Roman" w:hAnsi="Times New Roman" w:cs="Times New Roman"/>
                <w:szCs w:val="21"/>
              </w:rPr>
              <w:t>安徽华夏高科技开发有限责任公司、合肥合燃华润燃气有限公司、芜湖市特种设备监督检验中心、安徽省市场监督管理局特种设备安全监察处</w:t>
            </w:r>
          </w:p>
        </w:tc>
      </w:tr>
      <w:tr w14:paraId="0DEF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9474" w:type="dxa"/>
            <w:gridSpan w:val="7"/>
            <w:tcBorders>
              <w:top w:val="single" w:color="auto" w:sz="4" w:space="0"/>
              <w:left w:val="single" w:color="auto" w:sz="4" w:space="0"/>
              <w:bottom w:val="single" w:color="auto" w:sz="4" w:space="0"/>
              <w:right w:val="single" w:color="auto" w:sz="4" w:space="0"/>
            </w:tcBorders>
          </w:tcPr>
          <w:p w14:paraId="073219CB">
            <w:pPr>
              <w:pStyle w:val="51"/>
              <w:numPr>
                <w:ilvl w:val="0"/>
                <w:numId w:val="14"/>
              </w:numPr>
              <w:spacing w:before="156" w:after="156" w:line="360" w:lineRule="auto"/>
              <w:ind w:left="630" w:hanging="210"/>
              <w:rPr>
                <w:rFonts w:ascii="Times New Roman" w:eastAsia="宋体"/>
                <w:szCs w:val="21"/>
              </w:rPr>
            </w:pPr>
            <w:r>
              <w:rPr>
                <w:rFonts w:ascii="Times New Roman" w:eastAsia="宋体"/>
                <w:szCs w:val="21"/>
              </w:rPr>
              <w:t>标准起草人（全部起草人，应与标准文本前言中起草人排序一致）</w:t>
            </w:r>
          </w:p>
        </w:tc>
      </w:tr>
      <w:tr w14:paraId="4CAA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868" w:type="dxa"/>
            <w:tcBorders>
              <w:top w:val="single" w:color="auto" w:sz="4" w:space="0"/>
              <w:left w:val="single" w:color="auto" w:sz="4" w:space="0"/>
              <w:bottom w:val="single" w:color="auto" w:sz="4" w:space="0"/>
              <w:right w:val="single" w:color="auto" w:sz="4" w:space="0"/>
            </w:tcBorders>
            <w:vAlign w:val="center"/>
          </w:tcPr>
          <w:p w14:paraId="1F5C3D5C">
            <w:pPr>
              <w:pStyle w:val="28"/>
              <w:ind w:firstLine="0" w:firstLineChars="0"/>
              <w:jc w:val="center"/>
              <w:rPr>
                <w:rFonts w:ascii="Times New Roman" w:hAnsi="Times New Roman" w:cs="Times New Roman"/>
                <w:szCs w:val="21"/>
              </w:rPr>
            </w:pPr>
            <w:r>
              <w:rPr>
                <w:rFonts w:hint="eastAsia" w:ascii="Times New Roman" w:hAnsi="Times New Roman" w:cs="Times New Roman"/>
                <w:szCs w:val="21"/>
              </w:rPr>
              <w:t>序号</w:t>
            </w:r>
          </w:p>
        </w:tc>
        <w:tc>
          <w:tcPr>
            <w:tcW w:w="1453" w:type="dxa"/>
            <w:tcBorders>
              <w:top w:val="single" w:color="auto" w:sz="4" w:space="0"/>
              <w:left w:val="single" w:color="auto" w:sz="4" w:space="0"/>
              <w:bottom w:val="single" w:color="auto" w:sz="4" w:space="0"/>
              <w:right w:val="single" w:color="auto" w:sz="4" w:space="0"/>
            </w:tcBorders>
            <w:vAlign w:val="center"/>
          </w:tcPr>
          <w:p w14:paraId="071DE0C9">
            <w:pPr>
              <w:pStyle w:val="28"/>
              <w:ind w:firstLine="0" w:firstLineChars="0"/>
              <w:jc w:val="center"/>
              <w:rPr>
                <w:rFonts w:ascii="Times New Roman" w:hAnsi="Times New Roman" w:cs="Times New Roman"/>
                <w:szCs w:val="21"/>
              </w:rPr>
            </w:pPr>
            <w:r>
              <w:rPr>
                <w:rFonts w:ascii="Times New Roman" w:hAnsi="Times New Roman" w:cs="Times New Roman"/>
                <w:szCs w:val="21"/>
              </w:rPr>
              <w:t>姓名</w:t>
            </w: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6CAD5CC0">
            <w:pPr>
              <w:pStyle w:val="28"/>
              <w:ind w:firstLine="0" w:firstLineChars="0"/>
              <w:jc w:val="center"/>
              <w:rPr>
                <w:rFonts w:ascii="Times New Roman" w:hAnsi="Times New Roman" w:cs="Times New Roman"/>
                <w:szCs w:val="21"/>
              </w:rPr>
            </w:pPr>
            <w:r>
              <w:rPr>
                <w:rFonts w:ascii="Times New Roman" w:hAnsi="Times New Roman" w:cs="Times New Roman"/>
                <w:szCs w:val="21"/>
              </w:rPr>
              <w:t>单 位</w:t>
            </w:r>
          </w:p>
        </w:tc>
        <w:tc>
          <w:tcPr>
            <w:tcW w:w="1208" w:type="dxa"/>
            <w:tcBorders>
              <w:top w:val="single" w:color="auto" w:sz="4" w:space="0"/>
              <w:left w:val="single" w:color="auto" w:sz="4" w:space="0"/>
              <w:bottom w:val="single" w:color="auto" w:sz="4" w:space="0"/>
              <w:right w:val="single" w:color="auto" w:sz="4" w:space="0"/>
            </w:tcBorders>
            <w:vAlign w:val="center"/>
          </w:tcPr>
          <w:p w14:paraId="48B4EB00">
            <w:pPr>
              <w:pStyle w:val="28"/>
              <w:ind w:firstLine="0" w:firstLineChars="0"/>
              <w:jc w:val="center"/>
              <w:rPr>
                <w:rFonts w:ascii="Times New Roman" w:hAnsi="Times New Roman" w:cs="Times New Roman"/>
                <w:szCs w:val="21"/>
              </w:rPr>
            </w:pPr>
            <w:r>
              <w:rPr>
                <w:rFonts w:ascii="Times New Roman" w:hAnsi="Times New Roman" w:cs="Times New Roman"/>
                <w:szCs w:val="21"/>
              </w:rPr>
              <w:t>职务</w:t>
            </w:r>
          </w:p>
        </w:tc>
        <w:tc>
          <w:tcPr>
            <w:tcW w:w="1341" w:type="dxa"/>
            <w:tcBorders>
              <w:top w:val="single" w:color="auto" w:sz="4" w:space="0"/>
              <w:left w:val="single" w:color="auto" w:sz="4" w:space="0"/>
              <w:bottom w:val="single" w:color="auto" w:sz="4" w:space="0"/>
              <w:right w:val="single" w:color="auto" w:sz="4" w:space="0"/>
            </w:tcBorders>
            <w:vAlign w:val="center"/>
          </w:tcPr>
          <w:p w14:paraId="067831C0">
            <w:pPr>
              <w:pStyle w:val="28"/>
              <w:ind w:firstLine="0" w:firstLineChars="0"/>
              <w:jc w:val="center"/>
              <w:rPr>
                <w:rFonts w:ascii="Times New Roman" w:hAnsi="Times New Roman" w:cs="Times New Roman"/>
                <w:szCs w:val="21"/>
              </w:rPr>
            </w:pPr>
            <w:r>
              <w:rPr>
                <w:rFonts w:ascii="Times New Roman" w:hAnsi="Times New Roman" w:cs="Times New Roman"/>
                <w:szCs w:val="21"/>
              </w:rPr>
              <w:t>职称</w:t>
            </w:r>
          </w:p>
        </w:tc>
        <w:tc>
          <w:tcPr>
            <w:tcW w:w="1789" w:type="dxa"/>
            <w:tcBorders>
              <w:top w:val="single" w:color="auto" w:sz="4" w:space="0"/>
              <w:left w:val="single" w:color="auto" w:sz="4" w:space="0"/>
              <w:bottom w:val="single" w:color="auto" w:sz="4" w:space="0"/>
              <w:right w:val="single" w:color="auto" w:sz="4" w:space="0"/>
            </w:tcBorders>
            <w:vAlign w:val="center"/>
          </w:tcPr>
          <w:p w14:paraId="3879DC3B">
            <w:pPr>
              <w:pStyle w:val="28"/>
              <w:ind w:firstLine="0" w:firstLineChars="0"/>
              <w:jc w:val="center"/>
              <w:rPr>
                <w:rFonts w:ascii="Times New Roman" w:hAnsi="Times New Roman" w:cs="Times New Roman"/>
                <w:szCs w:val="21"/>
              </w:rPr>
            </w:pPr>
            <w:r>
              <w:rPr>
                <w:rFonts w:ascii="Times New Roman" w:hAnsi="Times New Roman" w:cs="Times New Roman"/>
                <w:szCs w:val="21"/>
              </w:rPr>
              <w:t>电话</w:t>
            </w:r>
          </w:p>
        </w:tc>
      </w:tr>
      <w:tr w14:paraId="1B145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68" w:type="dxa"/>
            <w:tcBorders>
              <w:top w:val="single" w:color="auto" w:sz="4" w:space="0"/>
              <w:left w:val="single" w:color="auto" w:sz="4" w:space="0"/>
              <w:bottom w:val="single" w:color="auto" w:sz="4" w:space="0"/>
              <w:right w:val="single" w:color="auto" w:sz="4" w:space="0"/>
            </w:tcBorders>
            <w:vAlign w:val="center"/>
          </w:tcPr>
          <w:p w14:paraId="6E09BA6C">
            <w:pPr>
              <w:pStyle w:val="28"/>
              <w:numPr>
                <w:ilvl w:val="0"/>
                <w:numId w:val="15"/>
              </w:numPr>
              <w:spacing w:line="360" w:lineRule="auto"/>
              <w:ind w:firstLineChars="0"/>
              <w:rPr>
                <w:rFonts w:ascii="Times New Roman" w:hAnsi="Times New Roman"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3C7D6AAA">
            <w:pPr>
              <w:spacing w:line="360" w:lineRule="auto"/>
              <w:ind w:firstLine="270" w:firstLineChars="150"/>
              <w:rPr>
                <w:rFonts w:eastAsiaTheme="minorEastAsia"/>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7EBE7D77">
            <w:pPr>
              <w:spacing w:line="360" w:lineRule="auto"/>
              <w:jc w:val="center"/>
              <w:rPr>
                <w:rFonts w:eastAsiaTheme="minorEastAsia"/>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66E73F81">
            <w:pPr>
              <w:pStyle w:val="28"/>
              <w:spacing w:line="360" w:lineRule="auto"/>
              <w:ind w:firstLine="0" w:firstLineChars="0"/>
              <w:jc w:val="center"/>
              <w:rPr>
                <w:rFonts w:hint="eastAsia" w:ascii="Times New Roman" w:hAnsi="Times New Roman" w:cs="Times New Roman"/>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5444DCD9">
            <w:pPr>
              <w:pStyle w:val="28"/>
              <w:spacing w:line="360" w:lineRule="auto"/>
              <w:ind w:firstLine="0" w:firstLineChars="0"/>
              <w:jc w:val="center"/>
              <w:rPr>
                <w:rFonts w:ascii="Times New Roman" w:hAnsi="Times New Roman" w:cs="Times New Roman"/>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73A94FB8">
            <w:pPr>
              <w:pStyle w:val="28"/>
              <w:spacing w:line="360" w:lineRule="auto"/>
              <w:ind w:firstLine="0" w:firstLineChars="0"/>
              <w:jc w:val="center"/>
              <w:rPr>
                <w:rFonts w:ascii="Times New Roman" w:hAnsi="Times New Roman" w:cs="Times New Roman"/>
                <w:sz w:val="18"/>
                <w:szCs w:val="18"/>
              </w:rPr>
            </w:pPr>
          </w:p>
        </w:tc>
      </w:tr>
      <w:tr w14:paraId="05F0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68" w:type="dxa"/>
            <w:tcBorders>
              <w:top w:val="single" w:color="auto" w:sz="4" w:space="0"/>
              <w:left w:val="single" w:color="auto" w:sz="4" w:space="0"/>
              <w:bottom w:val="single" w:color="auto" w:sz="4" w:space="0"/>
              <w:right w:val="single" w:color="auto" w:sz="4" w:space="0"/>
            </w:tcBorders>
            <w:vAlign w:val="center"/>
          </w:tcPr>
          <w:p w14:paraId="32586B2C">
            <w:pPr>
              <w:pStyle w:val="59"/>
              <w:numPr>
                <w:ilvl w:val="0"/>
                <w:numId w:val="15"/>
              </w:numPr>
              <w:tabs>
                <w:tab w:val="left" w:pos="363"/>
              </w:tabs>
              <w:ind w:firstLineChars="0"/>
              <w:rPr>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101015F6">
            <w:pPr>
              <w:tabs>
                <w:tab w:val="left" w:pos="363"/>
              </w:tabs>
              <w:jc w:val="center"/>
              <w:rPr>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3BA23908">
            <w:pPr>
              <w:tabs>
                <w:tab w:val="left" w:pos="363"/>
              </w:tabs>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63A0C0A2">
            <w:pPr>
              <w:tabs>
                <w:tab w:val="left" w:pos="363"/>
              </w:tabs>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5854E47F">
            <w:pPr>
              <w:tabs>
                <w:tab w:val="left" w:pos="363"/>
              </w:tabs>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487E4CD4">
            <w:pPr>
              <w:pStyle w:val="56"/>
              <w:tabs>
                <w:tab w:val="left" w:pos="363"/>
              </w:tabs>
              <w:spacing w:before="156" w:after="156"/>
              <w:ind w:left="0" w:firstLine="90" w:firstLineChars="50"/>
              <w:jc w:val="center"/>
              <w:rPr>
                <w:rFonts w:ascii="Times New Roman" w:hAnsi="Times New Roman" w:eastAsia="宋体"/>
                <w:sz w:val="18"/>
                <w:szCs w:val="18"/>
              </w:rPr>
            </w:pPr>
          </w:p>
        </w:tc>
      </w:tr>
      <w:tr w14:paraId="6393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8" w:type="dxa"/>
            <w:tcBorders>
              <w:top w:val="single" w:color="auto" w:sz="4" w:space="0"/>
              <w:left w:val="single" w:color="auto" w:sz="4" w:space="0"/>
              <w:bottom w:val="single" w:color="auto" w:sz="4" w:space="0"/>
              <w:right w:val="single" w:color="auto" w:sz="4" w:space="0"/>
            </w:tcBorders>
            <w:vAlign w:val="center"/>
          </w:tcPr>
          <w:p w14:paraId="6CDAF924">
            <w:pPr>
              <w:pStyle w:val="59"/>
              <w:numPr>
                <w:ilvl w:val="0"/>
                <w:numId w:val="15"/>
              </w:numPr>
              <w:tabs>
                <w:tab w:val="left" w:pos="363"/>
              </w:tabs>
              <w:ind w:firstLineChars="0"/>
              <w:rPr>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20FAA6A4">
            <w:pPr>
              <w:tabs>
                <w:tab w:val="left" w:pos="363"/>
              </w:tabs>
              <w:jc w:val="center"/>
              <w:rPr>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00F52EEB">
            <w:pPr>
              <w:tabs>
                <w:tab w:val="left" w:pos="363"/>
              </w:tabs>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24EA2AD1">
            <w:pPr>
              <w:tabs>
                <w:tab w:val="left" w:pos="363"/>
              </w:tabs>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6A12A83D">
            <w:pPr>
              <w:tabs>
                <w:tab w:val="left" w:pos="363"/>
              </w:tabs>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7E466BE7">
            <w:pPr>
              <w:pStyle w:val="56"/>
              <w:tabs>
                <w:tab w:val="left" w:pos="363"/>
              </w:tabs>
              <w:spacing w:before="156" w:after="156"/>
              <w:ind w:left="0" w:firstLine="90" w:firstLineChars="50"/>
              <w:jc w:val="center"/>
              <w:rPr>
                <w:rFonts w:ascii="Times New Roman" w:hAnsi="Times New Roman" w:eastAsia="宋体"/>
                <w:sz w:val="18"/>
                <w:szCs w:val="18"/>
              </w:rPr>
            </w:pPr>
          </w:p>
        </w:tc>
      </w:tr>
      <w:tr w14:paraId="13EE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868" w:type="dxa"/>
            <w:tcBorders>
              <w:top w:val="single" w:color="auto" w:sz="4" w:space="0"/>
              <w:left w:val="single" w:color="auto" w:sz="4" w:space="0"/>
              <w:bottom w:val="single" w:color="auto" w:sz="4" w:space="0"/>
              <w:right w:val="single" w:color="auto" w:sz="4" w:space="0"/>
            </w:tcBorders>
            <w:vAlign w:val="center"/>
          </w:tcPr>
          <w:p w14:paraId="329A0D3E">
            <w:pPr>
              <w:pStyle w:val="12"/>
              <w:numPr>
                <w:ilvl w:val="0"/>
                <w:numId w:val="15"/>
              </w:numPr>
              <w:rPr>
                <w:color w:val="000000"/>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212D884F">
            <w:pPr>
              <w:jc w:val="center"/>
              <w:rPr>
                <w:rStyle w:val="47"/>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428283F0">
            <w:pPr>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69D30030">
            <w:pPr>
              <w:pStyle w:val="13"/>
              <w:ind w:firstLine="0"/>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2B3D9435">
            <w:pPr>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174D4650">
            <w:pPr>
              <w:pStyle w:val="56"/>
              <w:spacing w:before="156" w:after="156"/>
              <w:ind w:left="0" w:firstLine="90" w:firstLineChars="50"/>
              <w:jc w:val="center"/>
              <w:rPr>
                <w:rFonts w:ascii="Times New Roman" w:hAnsi="Times New Roman" w:eastAsia="宋体"/>
                <w:color w:val="000000"/>
                <w:sz w:val="18"/>
                <w:szCs w:val="18"/>
              </w:rPr>
            </w:pPr>
          </w:p>
        </w:tc>
      </w:tr>
      <w:tr w14:paraId="4EC4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868" w:type="dxa"/>
            <w:tcBorders>
              <w:top w:val="single" w:color="auto" w:sz="4" w:space="0"/>
              <w:left w:val="single" w:color="auto" w:sz="4" w:space="0"/>
              <w:bottom w:val="single" w:color="auto" w:sz="4" w:space="0"/>
              <w:right w:val="single" w:color="auto" w:sz="4" w:space="0"/>
            </w:tcBorders>
            <w:vAlign w:val="center"/>
          </w:tcPr>
          <w:p w14:paraId="6DACE18B">
            <w:pPr>
              <w:pStyle w:val="12"/>
              <w:numPr>
                <w:ilvl w:val="0"/>
                <w:numId w:val="15"/>
              </w:numPr>
              <w:rPr>
                <w:color w:val="000000"/>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32E3A61C">
            <w:pPr>
              <w:jc w:val="center"/>
              <w:rPr>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71A2B749">
            <w:pPr>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18F0AEE4">
            <w:pPr>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3E33A2DB">
            <w:pPr>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378DABC5">
            <w:pPr>
              <w:jc w:val="center"/>
              <w:rPr>
                <w:sz w:val="18"/>
                <w:szCs w:val="18"/>
              </w:rPr>
            </w:pPr>
          </w:p>
        </w:tc>
      </w:tr>
      <w:tr w14:paraId="69B2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68" w:type="dxa"/>
            <w:tcBorders>
              <w:top w:val="single" w:color="auto" w:sz="4" w:space="0"/>
              <w:left w:val="single" w:color="auto" w:sz="4" w:space="0"/>
              <w:bottom w:val="single" w:color="auto" w:sz="4" w:space="0"/>
              <w:right w:val="single" w:color="auto" w:sz="4" w:space="0"/>
            </w:tcBorders>
            <w:vAlign w:val="center"/>
          </w:tcPr>
          <w:p w14:paraId="74C4E77A">
            <w:pPr>
              <w:pStyle w:val="28"/>
              <w:numPr>
                <w:ilvl w:val="0"/>
                <w:numId w:val="15"/>
              </w:numPr>
              <w:ind w:firstLineChars="0"/>
              <w:rPr>
                <w:rFonts w:ascii="Times New Roman" w:hAnsi="Times New Roman"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3DFF5ECA">
            <w:pPr>
              <w:pStyle w:val="28"/>
              <w:ind w:firstLine="0" w:firstLineChars="0"/>
              <w:jc w:val="center"/>
              <w:rPr>
                <w:rFonts w:ascii="Times New Roman" w:hAnsi="Times New Roman" w:cs="Times New Roman"/>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6DE12174">
            <w:pPr>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229FA969">
            <w:pPr>
              <w:pStyle w:val="28"/>
              <w:ind w:firstLine="0" w:firstLineChars="0"/>
              <w:jc w:val="center"/>
              <w:rPr>
                <w:rFonts w:ascii="Times New Roman" w:hAnsi="Times New Roman" w:cs="Times New Roman"/>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510334F5">
            <w:pPr>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7BD1EE42">
            <w:pPr>
              <w:pStyle w:val="56"/>
              <w:spacing w:before="156" w:after="156"/>
              <w:ind w:left="0" w:firstLine="90" w:firstLineChars="50"/>
              <w:jc w:val="center"/>
              <w:rPr>
                <w:rFonts w:ascii="Times New Roman" w:hAnsi="Times New Roman" w:eastAsia="宋体"/>
                <w:color w:val="000000"/>
                <w:sz w:val="18"/>
                <w:szCs w:val="18"/>
              </w:rPr>
            </w:pPr>
          </w:p>
        </w:tc>
      </w:tr>
      <w:tr w14:paraId="5F01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8" w:type="dxa"/>
            <w:tcBorders>
              <w:top w:val="single" w:color="auto" w:sz="4" w:space="0"/>
              <w:left w:val="single" w:color="auto" w:sz="4" w:space="0"/>
              <w:bottom w:val="single" w:color="auto" w:sz="4" w:space="0"/>
              <w:right w:val="single" w:color="auto" w:sz="4" w:space="0"/>
            </w:tcBorders>
            <w:vAlign w:val="center"/>
          </w:tcPr>
          <w:p w14:paraId="76F3E861">
            <w:pPr>
              <w:pStyle w:val="28"/>
              <w:numPr>
                <w:ilvl w:val="0"/>
                <w:numId w:val="15"/>
              </w:numPr>
              <w:spacing w:line="360" w:lineRule="auto"/>
              <w:ind w:firstLineChars="0"/>
              <w:rPr>
                <w:rFonts w:ascii="Times New Roman" w:hAnsi="Times New Roman"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5233B1C1">
            <w:pPr>
              <w:pStyle w:val="28"/>
              <w:spacing w:line="360" w:lineRule="auto"/>
              <w:ind w:firstLine="0" w:firstLineChars="0"/>
              <w:jc w:val="center"/>
              <w:rPr>
                <w:rFonts w:ascii="Times New Roman" w:hAnsi="Times New Roman" w:cs="Times New Roman"/>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46B62D93">
            <w:pPr>
              <w:spacing w:line="360" w:lineRule="auto"/>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3DBF7537">
            <w:pPr>
              <w:tabs>
                <w:tab w:val="left" w:pos="363"/>
              </w:tabs>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1680BE6E">
            <w:pPr>
              <w:pStyle w:val="28"/>
              <w:spacing w:line="360" w:lineRule="auto"/>
              <w:ind w:firstLine="0" w:firstLineChars="0"/>
              <w:jc w:val="center"/>
              <w:rPr>
                <w:rFonts w:ascii="Times New Roman" w:hAnsi="Times New Roman" w:cs="Times New Roman"/>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6FA9F6F9">
            <w:pPr>
              <w:pStyle w:val="28"/>
              <w:spacing w:line="360" w:lineRule="auto"/>
              <w:ind w:firstLine="0" w:firstLineChars="0"/>
              <w:jc w:val="center"/>
              <w:rPr>
                <w:rFonts w:ascii="Times New Roman" w:hAnsi="Times New Roman" w:eastAsia="宋体" w:cs="Times New Roman"/>
                <w:sz w:val="18"/>
                <w:szCs w:val="18"/>
              </w:rPr>
            </w:pPr>
          </w:p>
        </w:tc>
      </w:tr>
      <w:tr w14:paraId="580A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8" w:type="dxa"/>
            <w:tcBorders>
              <w:top w:val="single" w:color="auto" w:sz="4" w:space="0"/>
              <w:left w:val="single" w:color="auto" w:sz="4" w:space="0"/>
              <w:bottom w:val="single" w:color="auto" w:sz="4" w:space="0"/>
              <w:right w:val="single" w:color="auto" w:sz="4" w:space="0"/>
            </w:tcBorders>
            <w:vAlign w:val="center"/>
          </w:tcPr>
          <w:p w14:paraId="2B98F4A6">
            <w:pPr>
              <w:pStyle w:val="28"/>
              <w:numPr>
                <w:ilvl w:val="0"/>
                <w:numId w:val="15"/>
              </w:numPr>
              <w:spacing w:line="360" w:lineRule="auto"/>
              <w:ind w:firstLineChars="0"/>
              <w:rPr>
                <w:rFonts w:ascii="Times New Roman" w:hAnsi="Times New Roman"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3DC4A846">
            <w:pPr>
              <w:pStyle w:val="28"/>
              <w:spacing w:line="360" w:lineRule="auto"/>
              <w:ind w:firstLine="0" w:firstLineChars="0"/>
              <w:jc w:val="center"/>
              <w:rPr>
                <w:rFonts w:ascii="Times New Roman" w:hAnsi="Times New Roman" w:cs="Times New Roman"/>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5EBFF493">
            <w:pPr>
              <w:spacing w:line="360" w:lineRule="auto"/>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63A30E64">
            <w:pPr>
              <w:pStyle w:val="13"/>
              <w:ind w:firstLine="0"/>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195B2773">
            <w:pPr>
              <w:pStyle w:val="28"/>
              <w:spacing w:line="360" w:lineRule="auto"/>
              <w:ind w:firstLine="0" w:firstLineChars="0"/>
              <w:jc w:val="center"/>
              <w:rPr>
                <w:rFonts w:ascii="Times New Roman" w:hAnsi="Times New Roman" w:cs="Times New Roman"/>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0FADD2F9">
            <w:pPr>
              <w:pStyle w:val="28"/>
              <w:spacing w:line="360" w:lineRule="auto"/>
              <w:ind w:firstLine="0" w:firstLineChars="0"/>
              <w:jc w:val="center"/>
              <w:rPr>
                <w:rFonts w:ascii="Times New Roman" w:hAnsi="Times New Roman" w:eastAsia="宋体" w:cs="Times New Roman"/>
                <w:sz w:val="18"/>
                <w:szCs w:val="18"/>
              </w:rPr>
            </w:pPr>
          </w:p>
        </w:tc>
      </w:tr>
      <w:tr w14:paraId="0034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8" w:type="dxa"/>
            <w:tcBorders>
              <w:top w:val="single" w:color="auto" w:sz="4" w:space="0"/>
              <w:left w:val="single" w:color="auto" w:sz="4" w:space="0"/>
              <w:bottom w:val="single" w:color="auto" w:sz="4" w:space="0"/>
              <w:right w:val="single" w:color="auto" w:sz="4" w:space="0"/>
            </w:tcBorders>
            <w:vAlign w:val="center"/>
          </w:tcPr>
          <w:p w14:paraId="78BFDC96">
            <w:pPr>
              <w:pStyle w:val="28"/>
              <w:numPr>
                <w:ilvl w:val="0"/>
                <w:numId w:val="15"/>
              </w:numPr>
              <w:spacing w:line="360" w:lineRule="auto"/>
              <w:ind w:firstLineChars="0"/>
              <w:jc w:val="center"/>
              <w:rPr>
                <w:rFonts w:ascii="Times New Roman" w:hAnsi="Times New Roman" w:eastAsia="宋体"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654C861E">
            <w:pPr>
              <w:jc w:val="center"/>
              <w:rPr>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3BB074D7">
            <w:pPr>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71821B83">
            <w:pPr>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7AE11A0D">
            <w:pPr>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39472E4F">
            <w:pPr>
              <w:jc w:val="center"/>
              <w:rPr>
                <w:sz w:val="18"/>
                <w:szCs w:val="18"/>
              </w:rPr>
            </w:pPr>
          </w:p>
        </w:tc>
      </w:tr>
      <w:tr w14:paraId="52A0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8" w:type="dxa"/>
            <w:tcBorders>
              <w:top w:val="single" w:color="auto" w:sz="4" w:space="0"/>
              <w:left w:val="single" w:color="auto" w:sz="4" w:space="0"/>
              <w:bottom w:val="single" w:color="auto" w:sz="4" w:space="0"/>
              <w:right w:val="single" w:color="auto" w:sz="4" w:space="0"/>
            </w:tcBorders>
            <w:vAlign w:val="center"/>
          </w:tcPr>
          <w:p w14:paraId="4DFD4015">
            <w:pPr>
              <w:pStyle w:val="28"/>
              <w:numPr>
                <w:ilvl w:val="0"/>
                <w:numId w:val="15"/>
              </w:numPr>
              <w:spacing w:line="360" w:lineRule="auto"/>
              <w:ind w:firstLineChars="0"/>
              <w:jc w:val="center"/>
              <w:rPr>
                <w:rFonts w:ascii="Times New Roman" w:hAnsi="Times New Roman" w:eastAsia="宋体"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6E3D1CC9">
            <w:pPr>
              <w:jc w:val="center"/>
              <w:rPr>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3A2121DD">
            <w:pPr>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43F43FED">
            <w:pPr>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127AFA69">
            <w:pPr>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1145DC7E">
            <w:pPr>
              <w:jc w:val="center"/>
              <w:rPr>
                <w:sz w:val="18"/>
                <w:szCs w:val="18"/>
              </w:rPr>
            </w:pPr>
          </w:p>
        </w:tc>
      </w:tr>
      <w:tr w14:paraId="3E16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8" w:type="dxa"/>
            <w:tcBorders>
              <w:top w:val="single" w:color="auto" w:sz="4" w:space="0"/>
              <w:left w:val="single" w:color="auto" w:sz="4" w:space="0"/>
              <w:bottom w:val="single" w:color="auto" w:sz="4" w:space="0"/>
              <w:right w:val="single" w:color="auto" w:sz="4" w:space="0"/>
            </w:tcBorders>
            <w:vAlign w:val="center"/>
          </w:tcPr>
          <w:p w14:paraId="0EEB40BF">
            <w:pPr>
              <w:pStyle w:val="28"/>
              <w:numPr>
                <w:ilvl w:val="0"/>
                <w:numId w:val="15"/>
              </w:numPr>
              <w:spacing w:line="360" w:lineRule="auto"/>
              <w:ind w:firstLineChars="0"/>
              <w:jc w:val="center"/>
              <w:rPr>
                <w:rFonts w:ascii="Times New Roman" w:hAnsi="Times New Roman" w:eastAsia="宋体"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6D7F911E">
            <w:pPr>
              <w:jc w:val="center"/>
              <w:rPr>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483D864D">
            <w:pPr>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4CD2EF19">
            <w:pPr>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5134C20E">
            <w:pPr>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2D60DE64">
            <w:pPr>
              <w:jc w:val="center"/>
              <w:rPr>
                <w:sz w:val="18"/>
                <w:szCs w:val="18"/>
              </w:rPr>
            </w:pPr>
          </w:p>
        </w:tc>
      </w:tr>
      <w:tr w14:paraId="2609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8" w:type="dxa"/>
            <w:tcBorders>
              <w:top w:val="single" w:color="auto" w:sz="4" w:space="0"/>
              <w:left w:val="single" w:color="auto" w:sz="4" w:space="0"/>
              <w:bottom w:val="single" w:color="auto" w:sz="4" w:space="0"/>
              <w:right w:val="single" w:color="auto" w:sz="4" w:space="0"/>
            </w:tcBorders>
            <w:vAlign w:val="center"/>
          </w:tcPr>
          <w:p w14:paraId="4FE0B25C">
            <w:pPr>
              <w:pStyle w:val="28"/>
              <w:numPr>
                <w:ilvl w:val="0"/>
                <w:numId w:val="15"/>
              </w:numPr>
              <w:spacing w:line="360" w:lineRule="auto"/>
              <w:ind w:firstLineChars="0"/>
              <w:jc w:val="center"/>
              <w:rPr>
                <w:rFonts w:ascii="Times New Roman" w:hAnsi="Times New Roman" w:eastAsia="宋体" w:cs="Times New Roman"/>
                <w:sz w:val="18"/>
                <w:szCs w:val="18"/>
              </w:rPr>
            </w:pPr>
          </w:p>
        </w:tc>
        <w:tc>
          <w:tcPr>
            <w:tcW w:w="1453" w:type="dxa"/>
            <w:tcBorders>
              <w:top w:val="single" w:color="auto" w:sz="4" w:space="0"/>
              <w:left w:val="single" w:color="auto" w:sz="4" w:space="0"/>
              <w:bottom w:val="single" w:color="auto" w:sz="4" w:space="0"/>
              <w:right w:val="single" w:color="auto" w:sz="4" w:space="0"/>
            </w:tcBorders>
            <w:vAlign w:val="center"/>
          </w:tcPr>
          <w:p w14:paraId="5FF8F593">
            <w:pPr>
              <w:jc w:val="center"/>
              <w:rPr>
                <w:sz w:val="18"/>
                <w:szCs w:val="18"/>
              </w:rPr>
            </w:pPr>
          </w:p>
        </w:tc>
        <w:tc>
          <w:tcPr>
            <w:tcW w:w="2815" w:type="dxa"/>
            <w:gridSpan w:val="2"/>
            <w:tcBorders>
              <w:top w:val="single" w:color="auto" w:sz="4" w:space="0"/>
              <w:left w:val="single" w:color="auto" w:sz="4" w:space="0"/>
              <w:bottom w:val="single" w:color="auto" w:sz="4" w:space="0"/>
              <w:right w:val="single" w:color="auto" w:sz="4" w:space="0"/>
            </w:tcBorders>
            <w:vAlign w:val="center"/>
          </w:tcPr>
          <w:p w14:paraId="71EA274C">
            <w:pPr>
              <w:jc w:val="center"/>
              <w:rPr>
                <w:sz w:val="18"/>
                <w:szCs w:val="18"/>
              </w:rPr>
            </w:pPr>
          </w:p>
        </w:tc>
        <w:tc>
          <w:tcPr>
            <w:tcW w:w="1208" w:type="dxa"/>
            <w:tcBorders>
              <w:top w:val="single" w:color="auto" w:sz="4" w:space="0"/>
              <w:left w:val="single" w:color="auto" w:sz="4" w:space="0"/>
              <w:bottom w:val="single" w:color="auto" w:sz="4" w:space="0"/>
              <w:right w:val="single" w:color="auto" w:sz="4" w:space="0"/>
            </w:tcBorders>
            <w:vAlign w:val="center"/>
          </w:tcPr>
          <w:p w14:paraId="5ADF2F93">
            <w:pPr>
              <w:jc w:val="center"/>
              <w:rPr>
                <w:sz w:val="18"/>
                <w:szCs w:val="18"/>
              </w:rPr>
            </w:pPr>
          </w:p>
        </w:tc>
        <w:tc>
          <w:tcPr>
            <w:tcW w:w="1341" w:type="dxa"/>
            <w:tcBorders>
              <w:top w:val="single" w:color="auto" w:sz="4" w:space="0"/>
              <w:left w:val="single" w:color="auto" w:sz="4" w:space="0"/>
              <w:bottom w:val="single" w:color="auto" w:sz="4" w:space="0"/>
              <w:right w:val="single" w:color="auto" w:sz="4" w:space="0"/>
            </w:tcBorders>
            <w:vAlign w:val="center"/>
          </w:tcPr>
          <w:p w14:paraId="34EF0AB0">
            <w:pPr>
              <w:jc w:val="center"/>
              <w:rPr>
                <w:sz w:val="18"/>
                <w:szCs w:val="18"/>
              </w:rPr>
            </w:pPr>
          </w:p>
        </w:tc>
        <w:tc>
          <w:tcPr>
            <w:tcW w:w="1789" w:type="dxa"/>
            <w:tcBorders>
              <w:top w:val="single" w:color="auto" w:sz="4" w:space="0"/>
              <w:left w:val="single" w:color="auto" w:sz="4" w:space="0"/>
              <w:bottom w:val="single" w:color="auto" w:sz="4" w:space="0"/>
              <w:right w:val="single" w:color="auto" w:sz="4" w:space="0"/>
            </w:tcBorders>
            <w:vAlign w:val="center"/>
          </w:tcPr>
          <w:p w14:paraId="60C32118">
            <w:pPr>
              <w:jc w:val="center"/>
              <w:rPr>
                <w:sz w:val="18"/>
                <w:szCs w:val="18"/>
              </w:rPr>
            </w:pPr>
          </w:p>
        </w:tc>
      </w:tr>
      <w:tr w14:paraId="1062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474" w:type="dxa"/>
            <w:gridSpan w:val="7"/>
            <w:tcBorders>
              <w:top w:val="single" w:color="auto" w:sz="4" w:space="0"/>
              <w:left w:val="single" w:color="auto" w:sz="4" w:space="0"/>
              <w:bottom w:val="single" w:color="auto" w:sz="4" w:space="0"/>
              <w:right w:val="single" w:color="auto" w:sz="4" w:space="0"/>
            </w:tcBorders>
            <w:vAlign w:val="bottom"/>
          </w:tcPr>
          <w:p w14:paraId="214C72F6">
            <w:pPr>
              <w:pStyle w:val="28"/>
              <w:spacing w:line="360" w:lineRule="auto"/>
              <w:ind w:left="420" w:firstLine="0" w:firstLineChars="0"/>
              <w:jc w:val="center"/>
              <w:rPr>
                <w:rFonts w:ascii="Times New Roman" w:hAnsi="Times New Roman" w:cs="Times New Roman"/>
                <w:szCs w:val="21"/>
              </w:rPr>
            </w:pPr>
            <w:r>
              <w:rPr>
                <w:rFonts w:ascii="Times New Roman" w:hAnsi="Times New Roman" w:cs="Times New Roman"/>
                <w:szCs w:val="21"/>
              </w:rPr>
              <w:t>编制情况</w:t>
            </w:r>
          </w:p>
        </w:tc>
      </w:tr>
      <w:tr w14:paraId="0DC7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474" w:type="dxa"/>
            <w:gridSpan w:val="7"/>
            <w:tcBorders>
              <w:top w:val="single" w:color="auto" w:sz="4" w:space="0"/>
              <w:left w:val="single" w:color="auto" w:sz="4" w:space="0"/>
              <w:bottom w:val="single" w:color="auto" w:sz="4" w:space="0"/>
              <w:right w:val="single" w:color="auto" w:sz="4" w:space="0"/>
            </w:tcBorders>
          </w:tcPr>
          <w:p w14:paraId="65204D6D">
            <w:pPr>
              <w:pStyle w:val="28"/>
              <w:spacing w:line="360" w:lineRule="auto"/>
              <w:ind w:firstLine="0" w:firstLineChars="0"/>
              <w:rPr>
                <w:rFonts w:ascii="Times New Roman" w:hAnsi="Times New Roman" w:cs="Times New Roman"/>
                <w:szCs w:val="21"/>
              </w:rPr>
            </w:pPr>
            <w:r>
              <w:rPr>
                <w:rFonts w:ascii="Times New Roman" w:hAnsi="Times New Roman" w:cs="Times New Roman"/>
                <w:szCs w:val="21"/>
              </w:rPr>
              <w:t>1、编制过程简介</w:t>
            </w:r>
          </w:p>
        </w:tc>
      </w:tr>
      <w:tr w14:paraId="2167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74" w:type="dxa"/>
            <w:gridSpan w:val="7"/>
            <w:tcBorders>
              <w:top w:val="single" w:color="auto" w:sz="4" w:space="0"/>
              <w:left w:val="single" w:color="auto" w:sz="4" w:space="0"/>
              <w:bottom w:val="single" w:color="auto" w:sz="4" w:space="0"/>
              <w:right w:val="single" w:color="auto" w:sz="4" w:space="0"/>
            </w:tcBorders>
          </w:tcPr>
          <w:p w14:paraId="4483135C">
            <w:pPr>
              <w:spacing w:line="360" w:lineRule="auto"/>
              <w:ind w:firstLine="422" w:firstLineChars="200"/>
              <w:jc w:val="left"/>
              <w:rPr>
                <w:rFonts w:hint="eastAsia"/>
                <w:bCs/>
                <w:szCs w:val="21"/>
              </w:rPr>
            </w:pPr>
            <w:r>
              <w:rPr>
                <w:b/>
              </w:rPr>
              <w:t>标准起草过程：</w:t>
            </w:r>
            <w:r>
              <w:rPr>
                <w:rFonts w:hint="eastAsia"/>
                <w:bCs/>
                <w:szCs w:val="21"/>
              </w:rPr>
              <w:t>成立标准编制小组：202</w:t>
            </w:r>
            <w:r>
              <w:rPr>
                <w:rFonts w:hint="eastAsia"/>
                <w:bCs/>
                <w:szCs w:val="21"/>
                <w:lang w:val="en-US" w:eastAsia="zh-CN"/>
              </w:rPr>
              <w:t>3</w:t>
            </w:r>
            <w:r>
              <w:rPr>
                <w:rFonts w:hint="eastAsia"/>
                <w:bCs/>
                <w:szCs w:val="21"/>
              </w:rPr>
              <w:t>年</w:t>
            </w:r>
            <w:r>
              <w:rPr>
                <w:bCs/>
                <w:szCs w:val="21"/>
              </w:rPr>
              <w:t>1</w:t>
            </w:r>
            <w:r>
              <w:rPr>
                <w:rFonts w:hint="eastAsia"/>
                <w:bCs/>
                <w:szCs w:val="21"/>
                <w:lang w:val="en-US" w:eastAsia="zh-CN"/>
              </w:rPr>
              <w:t>2</w:t>
            </w:r>
            <w:r>
              <w:rPr>
                <w:rFonts w:hint="eastAsia"/>
                <w:bCs/>
                <w:szCs w:val="21"/>
              </w:rPr>
              <w:t>月</w:t>
            </w:r>
            <w:r>
              <w:rPr>
                <w:rFonts w:hint="eastAsia"/>
                <w:bCs/>
                <w:szCs w:val="21"/>
                <w:lang w:val="en-US" w:eastAsia="zh-CN"/>
              </w:rPr>
              <w:t>06</w:t>
            </w:r>
            <w:r>
              <w:rPr>
                <w:rFonts w:hint="eastAsia"/>
                <w:bCs/>
                <w:szCs w:val="21"/>
              </w:rPr>
              <w:t>日，收到</w:t>
            </w:r>
            <w:r>
              <w:rPr>
                <w:rFonts w:hint="eastAsia" w:eastAsiaTheme="minorEastAsia"/>
                <w:szCs w:val="21"/>
              </w:rPr>
              <w:t>安徽省市场监督管理局关于下达</w:t>
            </w:r>
            <w:r>
              <w:rPr>
                <w:rFonts w:eastAsiaTheme="minorEastAsia"/>
                <w:szCs w:val="21"/>
              </w:rPr>
              <w:t>202</w:t>
            </w:r>
            <w:r>
              <w:rPr>
                <w:rFonts w:hint="eastAsia" w:eastAsiaTheme="minorEastAsia"/>
                <w:szCs w:val="21"/>
                <w:lang w:val="en-US" w:eastAsia="zh-CN"/>
              </w:rPr>
              <w:t>3</w:t>
            </w:r>
            <w:r>
              <w:rPr>
                <w:rFonts w:hint="eastAsia" w:eastAsiaTheme="minorEastAsia"/>
                <w:szCs w:val="21"/>
              </w:rPr>
              <w:t>年第三批安徽省地方标准制修订计划的通知皖市监函</w:t>
            </w:r>
            <w:r>
              <w:rPr>
                <w:rFonts w:hint="eastAsia" w:eastAsiaTheme="minorEastAsia"/>
                <w:szCs w:val="21"/>
                <w:lang w:val="en-US" w:eastAsia="zh-CN"/>
              </w:rPr>
              <w:t>[</w:t>
            </w:r>
            <w:r>
              <w:rPr>
                <w:rFonts w:hint="eastAsia" w:eastAsiaTheme="minorEastAsia"/>
                <w:szCs w:val="21"/>
              </w:rPr>
              <w:t>202</w:t>
            </w:r>
            <w:r>
              <w:rPr>
                <w:rFonts w:hint="eastAsia" w:eastAsiaTheme="minorEastAsia"/>
                <w:szCs w:val="21"/>
                <w:lang w:val="en-US" w:eastAsia="zh-CN"/>
              </w:rPr>
              <w:t>3]</w:t>
            </w:r>
            <w:r>
              <w:rPr>
                <w:rFonts w:eastAsiaTheme="minorEastAsia"/>
                <w:szCs w:val="21"/>
              </w:rPr>
              <w:t>62</w:t>
            </w:r>
            <w:r>
              <w:rPr>
                <w:rFonts w:hint="eastAsia" w:eastAsiaTheme="minorEastAsia"/>
                <w:szCs w:val="21"/>
                <w:lang w:val="en-US" w:eastAsia="zh-CN"/>
              </w:rPr>
              <w:t>2</w:t>
            </w:r>
            <w:r>
              <w:rPr>
                <w:rFonts w:hint="eastAsia" w:eastAsiaTheme="minorEastAsia"/>
                <w:szCs w:val="21"/>
              </w:rPr>
              <w:t>号</w:t>
            </w:r>
            <w:r>
              <w:rPr>
                <w:rFonts w:hint="eastAsia"/>
                <w:bCs/>
                <w:szCs w:val="21"/>
              </w:rPr>
              <w:t>文件后，成立以安徽省特种设备检测院管道检测中心</w:t>
            </w:r>
            <w:r>
              <w:rPr>
                <w:rFonts w:hint="eastAsia"/>
                <w:bCs/>
                <w:szCs w:val="21"/>
                <w:lang w:eastAsia="zh-CN"/>
              </w:rPr>
              <w:t>、安徽华夏高科技开发有限责任公司、合肥合燃华润燃气有限公司、芜湖市特种设备监督检验中心、安徽省市场监督管理局特种设备安全监察处</w:t>
            </w:r>
            <w:r>
              <w:rPr>
                <w:rFonts w:hint="eastAsia"/>
                <w:bCs/>
                <w:szCs w:val="21"/>
              </w:rPr>
              <w:t xml:space="preserve">相关技术人员为主的标准编制小组。 </w:t>
            </w:r>
          </w:p>
          <w:p w14:paraId="271FB5CF">
            <w:pPr>
              <w:spacing w:line="360" w:lineRule="auto"/>
              <w:ind w:firstLine="420" w:firstLineChars="200"/>
              <w:jc w:val="left"/>
              <w:rPr>
                <w:rFonts w:hint="eastAsia"/>
                <w:bCs/>
                <w:szCs w:val="21"/>
              </w:rPr>
            </w:pPr>
            <w:r>
              <w:rPr>
                <w:rFonts w:hint="eastAsia"/>
                <w:bCs/>
                <w:szCs w:val="21"/>
              </w:rPr>
              <w:t>主要工作过程：</w:t>
            </w:r>
          </w:p>
          <w:p w14:paraId="3D7CC5BE">
            <w:pPr>
              <w:spacing w:line="360" w:lineRule="auto"/>
              <w:ind w:firstLine="420" w:firstLineChars="200"/>
              <w:jc w:val="left"/>
              <w:rPr>
                <w:rFonts w:hint="eastAsia"/>
                <w:bCs/>
                <w:szCs w:val="21"/>
              </w:rPr>
            </w:pPr>
            <w:r>
              <w:rPr>
                <w:rFonts w:hint="eastAsia"/>
                <w:bCs/>
                <w:szCs w:val="21"/>
              </w:rPr>
              <w:t>1、202</w:t>
            </w:r>
            <w:r>
              <w:rPr>
                <w:rFonts w:hint="eastAsia"/>
                <w:bCs/>
                <w:szCs w:val="21"/>
                <w:lang w:val="en-US" w:eastAsia="zh-CN"/>
              </w:rPr>
              <w:t>3</w:t>
            </w:r>
            <w:r>
              <w:rPr>
                <w:rFonts w:hint="eastAsia"/>
                <w:bCs/>
                <w:szCs w:val="21"/>
              </w:rPr>
              <w:t>年</w:t>
            </w:r>
            <w:r>
              <w:rPr>
                <w:rFonts w:hint="eastAsia"/>
                <w:bCs/>
                <w:szCs w:val="21"/>
                <w:lang w:val="en-US" w:eastAsia="zh-CN"/>
              </w:rPr>
              <w:t>12</w:t>
            </w:r>
            <w:r>
              <w:rPr>
                <w:rFonts w:hint="eastAsia"/>
                <w:bCs/>
                <w:szCs w:val="21"/>
              </w:rPr>
              <w:t>月安徽省特种设备检测院</w:t>
            </w:r>
            <w:r>
              <w:rPr>
                <w:rFonts w:hint="eastAsia"/>
                <w:bCs/>
                <w:szCs w:val="21"/>
                <w:lang w:val="en-US" w:eastAsia="zh-CN"/>
              </w:rPr>
              <w:t>与各合作单位</w:t>
            </w:r>
            <w:r>
              <w:rPr>
                <w:rFonts w:hint="eastAsia"/>
                <w:bCs/>
                <w:szCs w:val="21"/>
              </w:rPr>
              <w:t>共同成立了标准起草小组，并制定出标准编写方案，明确各成员的工作任务和分工；</w:t>
            </w:r>
          </w:p>
          <w:p w14:paraId="6E9A9DC1">
            <w:pPr>
              <w:spacing w:line="360" w:lineRule="auto"/>
              <w:ind w:firstLine="420" w:firstLineChars="200"/>
              <w:jc w:val="left"/>
              <w:rPr>
                <w:rFonts w:hint="eastAsia"/>
                <w:bCs/>
                <w:szCs w:val="21"/>
              </w:rPr>
            </w:pPr>
            <w:r>
              <w:rPr>
                <w:rFonts w:hint="eastAsia"/>
                <w:bCs/>
                <w:szCs w:val="21"/>
              </w:rPr>
              <w:t>2、20</w:t>
            </w:r>
            <w:r>
              <w:rPr>
                <w:rFonts w:hint="eastAsia"/>
                <w:bCs/>
                <w:szCs w:val="21"/>
                <w:lang w:val="en-US" w:eastAsia="zh-CN"/>
              </w:rPr>
              <w:t>24</w:t>
            </w:r>
            <w:r>
              <w:rPr>
                <w:rFonts w:hint="eastAsia"/>
                <w:bCs/>
                <w:szCs w:val="21"/>
              </w:rPr>
              <w:t>年</w:t>
            </w:r>
            <w:r>
              <w:rPr>
                <w:rFonts w:hint="eastAsia"/>
                <w:bCs/>
                <w:szCs w:val="21"/>
                <w:lang w:val="en-US" w:eastAsia="zh-CN"/>
              </w:rPr>
              <w:t>1</w:t>
            </w:r>
            <w:r>
              <w:rPr>
                <w:rFonts w:hint="eastAsia"/>
                <w:bCs/>
                <w:szCs w:val="21"/>
              </w:rPr>
              <w:t>月-2</w:t>
            </w:r>
            <w:r>
              <w:rPr>
                <w:bCs/>
                <w:szCs w:val="21"/>
              </w:rPr>
              <w:t>02</w:t>
            </w:r>
            <w:r>
              <w:rPr>
                <w:rFonts w:hint="eastAsia"/>
                <w:bCs/>
                <w:szCs w:val="21"/>
                <w:lang w:val="en-US" w:eastAsia="zh-CN"/>
              </w:rPr>
              <w:t>4</w:t>
            </w:r>
            <w:r>
              <w:rPr>
                <w:rFonts w:hint="eastAsia"/>
                <w:bCs/>
                <w:szCs w:val="21"/>
              </w:rPr>
              <w:t>年</w:t>
            </w:r>
            <w:r>
              <w:rPr>
                <w:rFonts w:hint="eastAsia"/>
                <w:bCs/>
                <w:szCs w:val="21"/>
                <w:lang w:val="en-US" w:eastAsia="zh-CN"/>
              </w:rPr>
              <w:t>2</w:t>
            </w:r>
            <w:r>
              <w:rPr>
                <w:rFonts w:hint="eastAsia"/>
                <w:bCs/>
                <w:szCs w:val="21"/>
              </w:rPr>
              <w:t>月，编制人员从充分调研了</w:t>
            </w:r>
            <w:r>
              <w:rPr>
                <w:rFonts w:hint="eastAsia"/>
                <w:bCs/>
                <w:szCs w:val="21"/>
                <w:lang w:val="en-US" w:eastAsia="zh-CN"/>
              </w:rPr>
              <w:t>国内聚乙烯管道监测、评价的相关标准和技术</w:t>
            </w:r>
            <w:r>
              <w:rPr>
                <w:rFonts w:hint="eastAsia"/>
                <w:bCs/>
                <w:szCs w:val="21"/>
              </w:rPr>
              <w:t>，</w:t>
            </w:r>
            <w:r>
              <w:rPr>
                <w:rFonts w:hint="eastAsia"/>
                <w:bCs/>
                <w:szCs w:val="21"/>
                <w:lang w:val="en-US" w:eastAsia="zh-CN"/>
              </w:rPr>
              <w:t>结合安徽省内实际情况，提出标准内容中关于超声相控阵、TOFD的技术要求，以及聚乙烯管道评价的研究方向</w:t>
            </w:r>
            <w:r>
              <w:rPr>
                <w:rFonts w:hint="eastAsia"/>
                <w:bCs/>
                <w:szCs w:val="21"/>
              </w:rPr>
              <w:t>；</w:t>
            </w:r>
          </w:p>
          <w:p w14:paraId="723CD098">
            <w:pPr>
              <w:spacing w:line="360" w:lineRule="auto"/>
              <w:ind w:firstLine="420" w:firstLineChars="200"/>
              <w:jc w:val="left"/>
              <w:rPr>
                <w:rFonts w:hint="eastAsia"/>
                <w:bCs/>
                <w:szCs w:val="21"/>
              </w:rPr>
            </w:pPr>
            <w:r>
              <w:rPr>
                <w:rFonts w:hint="eastAsia"/>
                <w:bCs/>
                <w:szCs w:val="21"/>
              </w:rPr>
              <w:t>3、202</w:t>
            </w:r>
            <w:r>
              <w:rPr>
                <w:rFonts w:hint="eastAsia"/>
                <w:bCs/>
                <w:szCs w:val="21"/>
                <w:lang w:val="en-US" w:eastAsia="zh-CN"/>
              </w:rPr>
              <w:t>4</w:t>
            </w:r>
            <w:r>
              <w:rPr>
                <w:rFonts w:hint="eastAsia"/>
                <w:bCs/>
                <w:szCs w:val="21"/>
              </w:rPr>
              <w:t>年</w:t>
            </w:r>
            <w:r>
              <w:rPr>
                <w:rFonts w:hint="eastAsia"/>
                <w:bCs/>
                <w:szCs w:val="21"/>
                <w:lang w:val="en-US" w:eastAsia="zh-CN"/>
              </w:rPr>
              <w:t>3</w:t>
            </w:r>
            <w:r>
              <w:rPr>
                <w:rFonts w:hint="eastAsia"/>
                <w:bCs/>
                <w:szCs w:val="21"/>
              </w:rPr>
              <w:t>月-202</w:t>
            </w:r>
            <w:r>
              <w:rPr>
                <w:rFonts w:hint="eastAsia"/>
                <w:bCs/>
                <w:szCs w:val="21"/>
                <w:lang w:val="en-US" w:eastAsia="zh-CN"/>
              </w:rPr>
              <w:t>4</w:t>
            </w:r>
            <w:r>
              <w:rPr>
                <w:rFonts w:hint="eastAsia"/>
                <w:bCs/>
                <w:szCs w:val="21"/>
              </w:rPr>
              <w:t>年</w:t>
            </w:r>
            <w:r>
              <w:rPr>
                <w:rFonts w:hint="eastAsia"/>
                <w:bCs/>
                <w:szCs w:val="21"/>
                <w:lang w:val="en-US" w:eastAsia="zh-CN"/>
              </w:rPr>
              <w:t>6</w:t>
            </w:r>
            <w:r>
              <w:rPr>
                <w:rFonts w:hint="eastAsia"/>
                <w:bCs/>
                <w:szCs w:val="21"/>
              </w:rPr>
              <w:t>月，</w:t>
            </w:r>
            <w:r>
              <w:rPr>
                <w:rFonts w:hint="eastAsia"/>
                <w:bCs/>
                <w:szCs w:val="21"/>
                <w:lang w:val="en-US" w:eastAsia="zh-CN"/>
              </w:rPr>
              <w:t>通过制作模拟聚乙烯管道热熔接头和电熔接头各类型缺陷，分别采用TOFD和超声相控阵的方法对其进行检测</w:t>
            </w:r>
            <w:r>
              <w:rPr>
                <w:rFonts w:hint="eastAsia"/>
                <w:bCs/>
                <w:szCs w:val="21"/>
              </w:rPr>
              <w:t>，</w:t>
            </w:r>
            <w:r>
              <w:rPr>
                <w:rFonts w:hint="eastAsia"/>
                <w:bCs/>
                <w:szCs w:val="21"/>
                <w:lang w:val="en-US" w:eastAsia="zh-CN"/>
              </w:rPr>
              <w:t>分析检测数据，根据检测结果，结合聚乙烯管道的定期检验管道评价内容，形成标准初稿，</w:t>
            </w:r>
            <w:r>
              <w:rPr>
                <w:rFonts w:hint="eastAsia"/>
                <w:bCs/>
                <w:szCs w:val="21"/>
              </w:rPr>
              <w:t>起草组成员多次进行了认真讨论</w:t>
            </w:r>
            <w:r>
              <w:rPr>
                <w:rFonts w:hint="eastAsia"/>
                <w:bCs/>
                <w:szCs w:val="21"/>
                <w:lang w:val="en-US" w:eastAsia="zh-CN"/>
              </w:rPr>
              <w:t>及修改</w:t>
            </w:r>
            <w:r>
              <w:rPr>
                <w:rFonts w:hint="eastAsia"/>
                <w:bCs/>
                <w:szCs w:val="21"/>
              </w:rPr>
              <w:t>，确定标准编制的主要框架，并明确各部分的编写人员分工；</w:t>
            </w:r>
          </w:p>
          <w:p w14:paraId="757CCB2F">
            <w:pPr>
              <w:spacing w:line="360" w:lineRule="auto"/>
              <w:ind w:firstLine="420" w:firstLineChars="200"/>
              <w:jc w:val="left"/>
              <w:rPr>
                <w:bCs/>
                <w:szCs w:val="21"/>
              </w:rPr>
            </w:pPr>
            <w:r>
              <w:rPr>
                <w:rFonts w:hint="eastAsia"/>
                <w:bCs/>
                <w:szCs w:val="21"/>
              </w:rPr>
              <w:t>4、202</w:t>
            </w:r>
            <w:r>
              <w:rPr>
                <w:rFonts w:hint="eastAsia"/>
                <w:bCs/>
                <w:szCs w:val="21"/>
                <w:lang w:val="en-US" w:eastAsia="zh-CN"/>
              </w:rPr>
              <w:t>4</w:t>
            </w:r>
            <w:r>
              <w:rPr>
                <w:rFonts w:hint="eastAsia"/>
                <w:bCs/>
                <w:szCs w:val="21"/>
              </w:rPr>
              <w:t>年0</w:t>
            </w:r>
            <w:r>
              <w:rPr>
                <w:rFonts w:hint="eastAsia"/>
                <w:bCs/>
                <w:szCs w:val="21"/>
                <w:lang w:val="en-US" w:eastAsia="zh-CN"/>
              </w:rPr>
              <w:t>7</w:t>
            </w:r>
            <w:r>
              <w:rPr>
                <w:rFonts w:hint="eastAsia"/>
                <w:bCs/>
                <w:szCs w:val="21"/>
              </w:rPr>
              <w:t>月-202</w:t>
            </w:r>
            <w:r>
              <w:rPr>
                <w:rFonts w:hint="eastAsia"/>
                <w:bCs/>
                <w:szCs w:val="21"/>
                <w:lang w:val="en-US" w:eastAsia="zh-CN"/>
              </w:rPr>
              <w:t>4</w:t>
            </w:r>
            <w:r>
              <w:rPr>
                <w:rFonts w:hint="eastAsia"/>
                <w:bCs/>
                <w:szCs w:val="21"/>
              </w:rPr>
              <w:t>年</w:t>
            </w:r>
            <w:r>
              <w:rPr>
                <w:rFonts w:hint="eastAsia"/>
                <w:bCs/>
                <w:szCs w:val="21"/>
                <w:lang w:val="en-US" w:eastAsia="zh-CN"/>
              </w:rPr>
              <w:t>11</w:t>
            </w:r>
            <w:r>
              <w:rPr>
                <w:rFonts w:hint="eastAsia"/>
                <w:bCs/>
                <w:szCs w:val="21"/>
              </w:rPr>
              <w:t>月，形成标准编制小组讨论稿，并经编制小组讨论后修改形成工作组意见稿；</w:t>
            </w:r>
          </w:p>
        </w:tc>
      </w:tr>
      <w:tr w14:paraId="0B18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474" w:type="dxa"/>
            <w:gridSpan w:val="7"/>
            <w:tcBorders>
              <w:top w:val="single" w:color="auto" w:sz="4" w:space="0"/>
              <w:left w:val="single" w:color="auto" w:sz="4" w:space="0"/>
              <w:bottom w:val="single" w:color="auto" w:sz="4" w:space="0"/>
              <w:right w:val="single" w:color="auto" w:sz="4" w:space="0"/>
            </w:tcBorders>
          </w:tcPr>
          <w:p w14:paraId="6FB19245">
            <w:pPr>
              <w:pStyle w:val="28"/>
              <w:spacing w:line="360" w:lineRule="auto"/>
              <w:ind w:firstLine="0" w:firstLineChars="0"/>
              <w:rPr>
                <w:rFonts w:ascii="Times New Roman" w:hAnsi="Times New Roman" w:cs="Times New Roman"/>
                <w:szCs w:val="21"/>
              </w:rPr>
            </w:pPr>
            <w:r>
              <w:rPr>
                <w:rFonts w:ascii="Times New Roman" w:hAnsi="Times New Roman" w:cs="Times New Roman"/>
                <w:szCs w:val="21"/>
              </w:rPr>
              <w:t>2、制定标准的必要性和意义</w:t>
            </w:r>
          </w:p>
        </w:tc>
      </w:tr>
      <w:tr w14:paraId="0932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474" w:type="dxa"/>
            <w:gridSpan w:val="7"/>
            <w:tcBorders>
              <w:top w:val="single" w:color="auto" w:sz="4" w:space="0"/>
              <w:left w:val="single" w:color="auto" w:sz="4" w:space="0"/>
              <w:bottom w:val="single" w:color="auto" w:sz="4" w:space="0"/>
              <w:right w:val="single" w:color="auto" w:sz="4" w:space="0"/>
            </w:tcBorders>
          </w:tcPr>
          <w:p w14:paraId="2872D76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b/>
                <w:bCs/>
                <w:color w:val="auto"/>
                <w:szCs w:val="21"/>
                <w:lang w:val="en-US" w:eastAsia="zh-CN"/>
              </w:rPr>
            </w:pPr>
            <w:r>
              <w:rPr>
                <w:rFonts w:hint="eastAsia"/>
                <w:b/>
                <w:bCs/>
                <w:color w:val="auto"/>
                <w:szCs w:val="21"/>
                <w:lang w:val="en-US" w:eastAsia="zh-CN"/>
              </w:rPr>
              <w:t>必要性</w:t>
            </w:r>
          </w:p>
          <w:p w14:paraId="387AB34C">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管道老化与损伤风险：随着聚乙烯燃气管道使用时间的增长，管道老化、施工造成的损伤，加之地基沉降、第三方外力的作用，导致管道经常发生破裂或穿孔等事故。例如，国内最早投用的燃气聚乙烯管道已达30年，管道老化、施工造成的损伤等问题日益凸显。</w:t>
            </w:r>
          </w:p>
          <w:p w14:paraId="26DBCC35">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0" w:leftChars="0" w:firstLine="420" w:firstLineChars="200"/>
              <w:textAlignment w:val="auto"/>
              <w:rPr>
                <w:rFonts w:hint="eastAsia"/>
                <w:szCs w:val="21"/>
                <w:lang w:val="en-US" w:eastAsia="zh-CN"/>
              </w:rPr>
            </w:pPr>
            <w:r>
              <w:rPr>
                <w:rFonts w:hint="eastAsia"/>
                <w:szCs w:val="21"/>
                <w:lang w:val="en-US" w:eastAsia="zh-CN"/>
              </w:rPr>
              <w:t>安全性能检测与评价缺失：目前，国内对于在役聚乙烯燃气管道的安全性能检测与评价标准尚不完善。现有的标准如TSG D7004-2010《压力管道定期检验规则——公用管道》中仅提出通过阀井和开挖的方式对聚乙烯管道的直接检查，缺乏全面、系统的检测与评价方法。</w:t>
            </w:r>
          </w:p>
          <w:p w14:paraId="4ECB1DF3">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0" w:leftChars="0" w:firstLine="420" w:firstLineChars="200"/>
              <w:textAlignment w:val="auto"/>
              <w:rPr>
                <w:rFonts w:hint="eastAsia"/>
                <w:szCs w:val="21"/>
                <w:lang w:val="en-US" w:eastAsia="zh-CN"/>
              </w:rPr>
            </w:pPr>
            <w:r>
              <w:rPr>
                <w:rFonts w:hint="eastAsia"/>
                <w:szCs w:val="21"/>
                <w:lang w:val="en-US" w:eastAsia="zh-CN"/>
              </w:rPr>
              <w:t>技术发展的需求：随着超声相控阵、TOFD等先进无损检测技术的发展，对聚乙烯燃气管道的电熔接头和热熔接头进行更为精准、高效的检测成为可能，目前国内标准并没有专门针对聚乙烯燃气管道焊接接头的超声相控阵、TOFD检测评价标准，制定相关标准，有助于规范这些先进技术的应用。</w:t>
            </w:r>
          </w:p>
          <w:p w14:paraId="7E57876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b/>
                <w:bCs/>
                <w:szCs w:val="21"/>
                <w:lang w:val="en-US" w:eastAsia="zh-CN"/>
              </w:rPr>
            </w:pPr>
            <w:r>
              <w:rPr>
                <w:rFonts w:hint="eastAsia"/>
                <w:b/>
                <w:bCs/>
                <w:szCs w:val="21"/>
                <w:lang w:val="en-US" w:eastAsia="zh-CN"/>
              </w:rPr>
              <w:t>意义</w:t>
            </w:r>
          </w:p>
          <w:p w14:paraId="30FB3E53">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firstLine="420" w:firstLineChars="200"/>
              <w:textAlignment w:val="auto"/>
              <w:rPr>
                <w:rFonts w:hint="eastAsia"/>
                <w:szCs w:val="21"/>
                <w:lang w:val="en-US" w:eastAsia="zh-CN"/>
              </w:rPr>
            </w:pPr>
            <w:r>
              <w:rPr>
                <w:rFonts w:hint="eastAsia"/>
                <w:szCs w:val="21"/>
                <w:lang w:val="en-US" w:eastAsia="zh-CN"/>
              </w:rPr>
              <w:t>提高管道安全性：通过超声相控阵对聚乙烯燃气管道电熔接头进行检验，以及TOFD对聚乙烯管道热熔接头进行检验，可以更加准确地发现管道内部的缺陷和损伤，及时采取措施进行修复，从而避免事故的发生，提高管道的安全性。</w:t>
            </w:r>
          </w:p>
          <w:p w14:paraId="47E76D6E">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420" w:firstLineChars="200"/>
              <w:textAlignment w:val="auto"/>
              <w:rPr>
                <w:rFonts w:hint="eastAsia"/>
                <w:szCs w:val="21"/>
                <w:lang w:val="en-US" w:eastAsia="zh-CN"/>
              </w:rPr>
            </w:pPr>
            <w:r>
              <w:rPr>
                <w:rFonts w:hint="eastAsia"/>
                <w:szCs w:val="21"/>
                <w:lang w:val="en-US" w:eastAsia="zh-CN"/>
              </w:rPr>
              <w:t>规范检测与评价行为：该标准的制定为聚乙烯燃气管道的检测、检验及评价提供了统一的规范和要求，有助于规范检测与评价行为，确保检测结果的准确性和可靠性。</w:t>
            </w:r>
          </w:p>
          <w:p w14:paraId="3925B6DB">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420" w:firstLineChars="200"/>
              <w:textAlignment w:val="auto"/>
              <w:rPr>
                <w:rFonts w:hint="eastAsia"/>
                <w:szCs w:val="21"/>
                <w:lang w:val="en-US" w:eastAsia="zh-CN"/>
              </w:rPr>
            </w:pPr>
            <w:r>
              <w:rPr>
                <w:rFonts w:hint="eastAsia"/>
                <w:szCs w:val="21"/>
                <w:lang w:val="en-US" w:eastAsia="zh-CN"/>
              </w:rPr>
              <w:t>促进技术进步：该标准的制定鼓励采用先进的检测技术和方法，如超声相控阵、TOFD等，这将推动相关技术的研发和应用，促进燃气管道检测技术的进步。</w:t>
            </w:r>
          </w:p>
          <w:p w14:paraId="733B9D15">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420" w:firstLineChars="200"/>
              <w:textAlignment w:val="auto"/>
              <w:rPr>
                <w:rFonts w:hint="eastAsia"/>
                <w:szCs w:val="21"/>
              </w:rPr>
            </w:pPr>
            <w:r>
              <w:rPr>
                <w:rFonts w:hint="eastAsia"/>
                <w:szCs w:val="21"/>
                <w:lang w:val="en-US" w:eastAsia="zh-CN"/>
              </w:rPr>
              <w:t>保障公共安全：聚乙烯燃气管道作为城镇公用设施，其安全运行直接关系到千家万户的生命财产安全。该标准的制定和实施有助于及时发现和消除安全隐患，保障公共安全。</w:t>
            </w:r>
          </w:p>
        </w:tc>
      </w:tr>
      <w:tr w14:paraId="74B8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474" w:type="dxa"/>
            <w:gridSpan w:val="7"/>
            <w:tcBorders>
              <w:top w:val="single" w:color="auto" w:sz="4" w:space="0"/>
              <w:left w:val="single" w:color="auto" w:sz="4" w:space="0"/>
              <w:bottom w:val="single" w:color="auto" w:sz="4" w:space="0"/>
              <w:right w:val="single" w:color="auto" w:sz="4" w:space="0"/>
            </w:tcBorders>
          </w:tcPr>
          <w:p w14:paraId="52E2C9A6">
            <w:pPr>
              <w:pStyle w:val="28"/>
              <w:spacing w:line="360" w:lineRule="auto"/>
              <w:ind w:firstLine="0" w:firstLineChars="0"/>
              <w:rPr>
                <w:rFonts w:ascii="Times New Roman" w:hAnsi="Times New Roman" w:cs="Times New Roman"/>
                <w:szCs w:val="21"/>
              </w:rPr>
            </w:pPr>
            <w:r>
              <w:rPr>
                <w:rFonts w:ascii="Times New Roman" w:hAnsi="Times New Roman" w:cs="Times New Roman"/>
                <w:szCs w:val="21"/>
              </w:rPr>
              <w:t>3、制定标准的原则和依据，与现行法律法规、标准的关系。</w:t>
            </w:r>
          </w:p>
        </w:tc>
      </w:tr>
      <w:tr w14:paraId="1D69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9474" w:type="dxa"/>
            <w:gridSpan w:val="7"/>
            <w:tcBorders>
              <w:top w:val="single" w:color="auto" w:sz="4" w:space="0"/>
              <w:left w:val="single" w:color="auto" w:sz="4" w:space="0"/>
              <w:bottom w:val="single" w:color="auto" w:sz="4" w:space="0"/>
              <w:right w:val="single" w:color="auto" w:sz="4" w:space="0"/>
            </w:tcBorders>
          </w:tcPr>
          <w:p w14:paraId="05F9DFC2">
            <w:pPr>
              <w:pStyle w:val="28"/>
              <w:rPr>
                <w:rFonts w:ascii="Times New Roman" w:hAnsi="Times New Roman" w:eastAsia="宋体" w:cs="Times New Roman"/>
                <w:bCs/>
                <w:szCs w:val="21"/>
              </w:rPr>
            </w:pPr>
            <w:r>
              <w:rPr>
                <w:rFonts w:ascii="Times New Roman" w:hAnsi="Times New Roman" w:eastAsia="宋体" w:cs="Times New Roman"/>
                <w:bCs/>
                <w:szCs w:val="21"/>
              </w:rPr>
              <w:t>本标准在制定过程中</w:t>
            </w:r>
            <w:r>
              <w:rPr>
                <w:rFonts w:hint="eastAsia" w:ascii="Times New Roman" w:hAnsi="Times New Roman" w:eastAsia="宋体" w:cs="Times New Roman"/>
                <w:bCs/>
                <w:szCs w:val="21"/>
              </w:rPr>
              <w:t>查询和参考</w:t>
            </w:r>
            <w:r>
              <w:rPr>
                <w:rFonts w:ascii="Times New Roman" w:hAnsi="Times New Roman" w:eastAsia="宋体" w:cs="Times New Roman"/>
                <w:bCs/>
                <w:szCs w:val="21"/>
              </w:rPr>
              <w:t>了</w:t>
            </w:r>
            <w:r>
              <w:rPr>
                <w:rFonts w:hint="eastAsia" w:ascii="Times New Roman" w:hAnsi="Times New Roman" w:eastAsia="宋体" w:cs="Times New Roman"/>
                <w:bCs/>
                <w:szCs w:val="21"/>
              </w:rPr>
              <w:t>以下标准：</w:t>
            </w:r>
          </w:p>
          <w:p w14:paraId="39BF8290">
            <w:pPr>
              <w:pStyle w:val="28"/>
              <w:rPr>
                <w:rFonts w:hint="eastAsia"/>
              </w:rPr>
            </w:pPr>
            <w:r>
              <w:rPr>
                <w:rFonts w:hint="eastAsia"/>
              </w:rPr>
              <w:t>GB/T 27664.1 无损检测超声检测设备的性能与检验 第1部分：仪器</w:t>
            </w:r>
          </w:p>
          <w:p w14:paraId="4781B188">
            <w:pPr>
              <w:pStyle w:val="28"/>
              <w:rPr>
                <w:rFonts w:hint="eastAsia"/>
              </w:rPr>
            </w:pPr>
            <w:r>
              <w:rPr>
                <w:rFonts w:hint="eastAsia"/>
              </w:rPr>
              <w:t>GB/T 27664.2 无损检测超声检测设备的性能与检验 第2部分：探头</w:t>
            </w:r>
          </w:p>
          <w:p w14:paraId="3C46300C">
            <w:pPr>
              <w:pStyle w:val="28"/>
              <w:rPr>
                <w:rFonts w:hint="eastAsia"/>
              </w:rPr>
            </w:pPr>
            <w:r>
              <w:rPr>
                <w:rFonts w:hint="eastAsia"/>
              </w:rPr>
              <w:t>GB/T 33488.3 化工用塑料焊接制承压设备检验方法 第3部分：超声检测</w:t>
            </w:r>
          </w:p>
          <w:p w14:paraId="1DF473CD">
            <w:pPr>
              <w:pStyle w:val="28"/>
              <w:rPr>
                <w:rFonts w:hint="eastAsia"/>
              </w:rPr>
            </w:pPr>
            <w:r>
              <w:rPr>
                <w:rFonts w:hint="eastAsia"/>
              </w:rPr>
              <w:t>GB 15558.1 燃气用埋地聚乙烯管道系统 第1部分：管材</w:t>
            </w:r>
          </w:p>
          <w:p w14:paraId="0E4CCF64">
            <w:pPr>
              <w:pStyle w:val="28"/>
              <w:rPr>
                <w:rFonts w:hint="eastAsia"/>
              </w:rPr>
            </w:pPr>
            <w:r>
              <w:rPr>
                <w:rFonts w:hint="eastAsia"/>
              </w:rPr>
              <w:t>GB 15558.2 燃气用埋地聚乙烯管道系统 第2部分：管件</w:t>
            </w:r>
          </w:p>
          <w:p w14:paraId="26FB4166">
            <w:pPr>
              <w:pStyle w:val="28"/>
              <w:rPr>
                <w:rFonts w:hint="eastAsia"/>
              </w:rPr>
            </w:pPr>
            <w:r>
              <w:rPr>
                <w:rFonts w:hint="eastAsia"/>
              </w:rPr>
              <w:t>GB/T 9445 无损检测 人员资格鉴定与认证</w:t>
            </w:r>
          </w:p>
          <w:p w14:paraId="04C24A52">
            <w:pPr>
              <w:pStyle w:val="28"/>
              <w:rPr>
                <w:rFonts w:hint="eastAsia"/>
              </w:rPr>
            </w:pPr>
            <w:r>
              <w:rPr>
                <w:rFonts w:hint="eastAsia"/>
              </w:rPr>
              <w:t>GB/T 12604.1 无损检测 术语 超声检测</w:t>
            </w:r>
          </w:p>
          <w:p w14:paraId="5EE079D5">
            <w:pPr>
              <w:pStyle w:val="28"/>
              <w:rPr>
                <w:rFonts w:hint="eastAsia"/>
              </w:rPr>
            </w:pPr>
            <w:r>
              <w:rPr>
                <w:rFonts w:hint="eastAsia"/>
              </w:rPr>
              <w:t>GB/T 32563-2016 无损检测 超声检测 相控阵超声检测方法</w:t>
            </w:r>
          </w:p>
          <w:p w14:paraId="3C78A312">
            <w:pPr>
              <w:pStyle w:val="28"/>
              <w:rPr>
                <w:rFonts w:hint="eastAsia"/>
              </w:rPr>
            </w:pPr>
            <w:r>
              <w:rPr>
                <w:rFonts w:hint="eastAsia"/>
              </w:rPr>
              <w:t>JB/T 11731 无损检测</w:t>
            </w:r>
            <w:r>
              <w:rPr>
                <w:rFonts w:hint="eastAsia"/>
              </w:rPr>
              <w:tab/>
            </w:r>
            <w:r>
              <w:rPr>
                <w:rFonts w:hint="eastAsia"/>
              </w:rPr>
              <w:t>超声相控阵探头通用技术条件</w:t>
            </w:r>
          </w:p>
          <w:p w14:paraId="4F478D24">
            <w:pPr>
              <w:pStyle w:val="28"/>
              <w:rPr>
                <w:rFonts w:hint="eastAsia"/>
              </w:rPr>
            </w:pPr>
            <w:r>
              <w:rPr>
                <w:rFonts w:hint="eastAsia"/>
              </w:rPr>
              <w:t>JB/T 11779 无损检测仪器</w:t>
            </w:r>
            <w:r>
              <w:rPr>
                <w:rFonts w:hint="eastAsia"/>
              </w:rPr>
              <w:tab/>
            </w:r>
            <w:r>
              <w:rPr>
                <w:rFonts w:hint="eastAsia"/>
              </w:rPr>
              <w:t>相控阵超声检测仪技术条件</w:t>
            </w:r>
          </w:p>
          <w:p w14:paraId="0BE30D4C">
            <w:pPr>
              <w:pStyle w:val="28"/>
              <w:rPr>
                <w:rFonts w:hint="eastAsia"/>
              </w:rPr>
            </w:pPr>
            <w:r>
              <w:rPr>
                <w:rFonts w:hint="eastAsia"/>
              </w:rPr>
              <w:t>GB 55009 燃气工程项目规范</w:t>
            </w:r>
          </w:p>
          <w:p w14:paraId="5E38B5B5">
            <w:pPr>
              <w:pStyle w:val="28"/>
              <w:rPr>
                <w:rFonts w:hint="eastAsia"/>
              </w:rPr>
            </w:pPr>
            <w:r>
              <w:rPr>
                <w:rFonts w:hint="eastAsia"/>
              </w:rPr>
              <w:t>CJJ 33 城镇燃气输配工程施工及验收规范</w:t>
            </w:r>
          </w:p>
          <w:p w14:paraId="6CBC1816">
            <w:pPr>
              <w:pStyle w:val="28"/>
              <w:rPr>
                <w:rFonts w:hint="eastAsia"/>
              </w:rPr>
            </w:pPr>
            <w:r>
              <w:rPr>
                <w:rFonts w:hint="eastAsia"/>
              </w:rPr>
              <w:t>CJJ 63 聚乙烯工业管道工程技术规程</w:t>
            </w:r>
          </w:p>
          <w:p w14:paraId="0294323D">
            <w:pPr>
              <w:pStyle w:val="28"/>
              <w:rPr>
                <w:rFonts w:hint="eastAsia"/>
              </w:rPr>
            </w:pPr>
            <w:r>
              <w:rPr>
                <w:rFonts w:hint="eastAsia"/>
              </w:rPr>
              <w:t>GB 50028 城镇燃气设计规范</w:t>
            </w:r>
          </w:p>
          <w:p w14:paraId="1A2E7838">
            <w:pPr>
              <w:pStyle w:val="28"/>
              <w:rPr>
                <w:rFonts w:hint="eastAsia"/>
              </w:rPr>
            </w:pPr>
            <w:r>
              <w:rPr>
                <w:rFonts w:hint="eastAsia"/>
              </w:rPr>
              <w:t>GB/T 19285 埋地钢质管道腐蚀防护工程检验</w:t>
            </w:r>
          </w:p>
          <w:p w14:paraId="4B126AB3">
            <w:pPr>
              <w:pStyle w:val="28"/>
              <w:rPr>
                <w:rFonts w:hint="eastAsia"/>
              </w:rPr>
            </w:pPr>
            <w:r>
              <w:rPr>
                <w:rFonts w:hint="eastAsia"/>
              </w:rPr>
              <w:t>NB/T 47013 承压设备无损检测</w:t>
            </w:r>
          </w:p>
          <w:p w14:paraId="797C0B7B">
            <w:pPr>
              <w:pStyle w:val="28"/>
              <w:rPr>
                <w:rFonts w:hint="eastAsia"/>
              </w:rPr>
            </w:pPr>
            <w:r>
              <w:rPr>
                <w:rFonts w:hint="eastAsia"/>
              </w:rPr>
              <w:t>TSG D7004-2010 压力管道定期检验规则——公用管道</w:t>
            </w:r>
          </w:p>
          <w:p w14:paraId="28F12F65">
            <w:pPr>
              <w:pStyle w:val="28"/>
              <w:rPr>
                <w:rFonts w:hint="eastAsia"/>
              </w:rPr>
            </w:pPr>
            <w:r>
              <w:rPr>
                <w:rFonts w:hint="eastAsia"/>
              </w:rPr>
              <w:t>TSG D7005-2018 压力管道定期检验规则——工业管道</w:t>
            </w:r>
          </w:p>
          <w:p w14:paraId="0DEC3364">
            <w:pPr>
              <w:pStyle w:val="28"/>
              <w:spacing w:line="360" w:lineRule="auto"/>
              <w:rPr>
                <w:rFonts w:ascii="Times New Roman" w:hAnsi="Times New Roman" w:cs="Times New Roman"/>
                <w:szCs w:val="21"/>
              </w:rPr>
            </w:pPr>
            <w:r>
              <w:rPr>
                <w:rFonts w:ascii="Times New Roman" w:hAnsi="Times New Roman" w:eastAsia="宋体" w:cs="Times New Roman"/>
                <w:bCs/>
                <w:szCs w:val="21"/>
              </w:rPr>
              <w:t>根据</w:t>
            </w:r>
            <w:r>
              <w:rPr>
                <w:rFonts w:hint="eastAsia" w:ascii="Times New Roman" w:hAnsi="Times New Roman" w:eastAsia="宋体" w:cs="Times New Roman"/>
                <w:bCs/>
                <w:szCs w:val="21"/>
              </w:rPr>
              <w:t>相关的</w:t>
            </w:r>
            <w:r>
              <w:rPr>
                <w:rFonts w:ascii="Times New Roman" w:hAnsi="Times New Roman" w:eastAsia="宋体" w:cs="Times New Roman"/>
                <w:bCs/>
                <w:szCs w:val="21"/>
              </w:rPr>
              <w:t>法律、法规和</w:t>
            </w:r>
            <w:r>
              <w:rPr>
                <w:rFonts w:hint="eastAsia" w:ascii="Times New Roman" w:hAnsi="Times New Roman" w:eastAsia="宋体" w:cs="Times New Roman"/>
                <w:bCs/>
                <w:szCs w:val="21"/>
              </w:rPr>
              <w:t>城镇燃气管道的</w:t>
            </w:r>
            <w:r>
              <w:rPr>
                <w:rFonts w:ascii="Times New Roman" w:hAnsi="Times New Roman" w:eastAsia="宋体" w:cs="Times New Roman"/>
                <w:bCs/>
                <w:szCs w:val="21"/>
              </w:rPr>
              <w:t>特点，围绕</w:t>
            </w:r>
            <w:r>
              <w:rPr>
                <w:rFonts w:hint="eastAsia" w:ascii="Times New Roman" w:hAnsi="Times New Roman" w:eastAsia="宋体" w:cs="Times New Roman"/>
                <w:bCs/>
                <w:szCs w:val="21"/>
              </w:rPr>
              <w:t>适用、安全、质量</w:t>
            </w:r>
            <w:r>
              <w:rPr>
                <w:rFonts w:ascii="Times New Roman" w:hAnsi="Times New Roman" w:eastAsia="宋体" w:cs="Times New Roman"/>
                <w:bCs/>
                <w:szCs w:val="21"/>
              </w:rPr>
              <w:t>等要求进行制定，以使标准具有一定的先进性、通用性、科学性和可操作性。</w:t>
            </w:r>
          </w:p>
        </w:tc>
      </w:tr>
      <w:tr w14:paraId="1E9C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4554DCAA">
            <w:pPr>
              <w:pStyle w:val="28"/>
              <w:spacing w:line="360" w:lineRule="auto"/>
              <w:ind w:firstLine="0" w:firstLineChars="0"/>
              <w:rPr>
                <w:rFonts w:ascii="Times New Roman" w:hAnsi="Times New Roman" w:cs="Times New Roman"/>
                <w:szCs w:val="21"/>
              </w:rPr>
            </w:pPr>
            <w:r>
              <w:rPr>
                <w:rFonts w:ascii="Times New Roman" w:hAnsi="Times New Roman" w:cs="Times New Roman"/>
                <w:szCs w:val="21"/>
              </w:rPr>
              <w:t>4、主要条款的说明，主要技术指标、参数、试验验证的论述（详细说明）</w:t>
            </w:r>
          </w:p>
        </w:tc>
      </w:tr>
      <w:tr w14:paraId="647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415B9735">
            <w:pPr>
              <w:pStyle w:val="28"/>
              <w:spacing w:line="360" w:lineRule="auto"/>
              <w:ind w:firstLine="420" w:firstLineChars="0"/>
              <w:rPr>
                <w:rFonts w:hint="eastAsia" w:ascii="Times New Roman" w:hAnsi="Times New Roman" w:eastAsia="宋体" w:cs="Times New Roman"/>
                <w:lang w:val="en-US" w:eastAsia="zh-CN"/>
              </w:rPr>
            </w:pPr>
            <w:r>
              <w:rPr>
                <w:rFonts w:hint="eastAsia" w:ascii="Times New Roman" w:hAnsi="Times New Roman" w:cs="Times New Roman"/>
                <w:b/>
                <w:bCs/>
                <w:szCs w:val="21"/>
                <w:lang w:val="en-US" w:eastAsia="zh-CN"/>
              </w:rPr>
              <w:t xml:space="preserve">4.2.2.1.2 </w:t>
            </w:r>
            <w:r>
              <w:rPr>
                <w:rFonts w:hint="eastAsia" w:ascii="Times New Roman" w:hAnsi="Times New Roman" w:eastAsia="宋体" w:cs="Times New Roman"/>
                <w:b/>
                <w:bCs/>
              </w:rPr>
              <w:t>热熔对比试块的声学性能应与被检工件相同或相似，外形尺寸应能代表被检工件的特征，并且满足扫查装置的扫查要求。该材料内不得有大于或等于φ2 mm平底孔当量的缺陷。热熔对比试块分为平面对比试块和曲面对比试块，其规格尺寸和要求分别见GB/T 33588.5-2024的要求。</w:t>
            </w:r>
          </w:p>
          <w:p w14:paraId="4A5A0761">
            <w:pPr>
              <w:pStyle w:val="28"/>
              <w:spacing w:line="360" w:lineRule="auto"/>
              <w:ind w:firstLine="42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说明：热熔对比试块在超声波检测中扮演着至关重要的角色，其设计需严格遵循GB/T 33588.5-2024等标准的要求。这些试块需具备与被检工件相同或相似的声学性能，以确保检测结果的准确性；同时，其外形尺寸应能代表被检工件的特征，并满足扫查装置的扫查要求，从而覆盖整个检测区域并避免盲区。此外，试块内部不得存在大于或等于φ2 mm平底孔当量的缺陷，以保证试块本身的质量。热熔对比试块分为平面对比试块和曲面对比试块两种类型，它们的规格尺寸和要求均需在标准中详细规定，以确保试块能够准确地模拟被检工件的特征，提高超声波检测的可靠性和准确性。</w:t>
            </w:r>
          </w:p>
          <w:p w14:paraId="78CB0DA9">
            <w:pPr>
              <w:pStyle w:val="28"/>
              <w:spacing w:line="360" w:lineRule="auto"/>
              <w:ind w:firstLine="420"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4.2.2.1.3 </w:t>
            </w:r>
            <w:r>
              <w:rPr>
                <w:rFonts w:hint="default" w:ascii="Times New Roman" w:hAnsi="Times New Roman" w:eastAsia="宋体" w:cs="Times New Roman"/>
                <w:b/>
                <w:bCs/>
                <w:lang w:val="en-US" w:eastAsia="zh-CN"/>
              </w:rPr>
              <w:t>电熔对比试块应采用与被检电熔套筒材料声学性能相同或相似的材料制成，试块的表面粗糙度应与检测试样相接近，该材料内不得有大于或等于φ1 mm平底孔当量的缺陷。对比试块有PE-I,其规格尺寸和要求分别见NB/T 47013.15-2015附录A的要求。</w:t>
            </w:r>
          </w:p>
          <w:p w14:paraId="243B539C">
            <w:pPr>
              <w:pStyle w:val="28"/>
              <w:spacing w:line="360" w:lineRule="auto"/>
              <w:ind w:firstLine="42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说明：电熔对比试块需依据NB/T 47013.15-2015标准附录A的严格规定来制备，其核心要求是试块必须由与被检电熔套筒材料声学特性高度一致或相似的材料构成，以确保检测过程中的声波传播特性与实际情况相符。同时，试块的表面粗糙度需精心控制，以与待检测试样的表面状况相接近，从而减少因表面差异带来的检测误差。尤为重要的是，试块内部必须无任何大于或等于φ1 mm平底孔当量的缺陷，以保障试块自身的质量不影响检测结果的准确性。在此标准下，PE-I作为对比试块的一种规格型号，其具体的尺寸、形状及其他技术要求均需在NB/T 47013.15-2015附录A中找到详细的规定，这些规定共同构成了电熔对比试块制备与使用的规范框架。</w:t>
            </w:r>
          </w:p>
          <w:p w14:paraId="17FDB173">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5.2.3　相邻两个或多个缺陷显示（非点状)其在X轴方向间距小于其中较小的缺陷长度且在Z轴方向间距小于其中较小的缺陷自身高度时，应作为一条缺陷处理，该缺陷深度、缺陷长度及缺陷自身高度按如下原则确定：</w:t>
            </w:r>
          </w:p>
          <w:p w14:paraId="01F2A2E7">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a)缺陷深度：以两缺陷深度较小值作为单个缺陷深度；</w:t>
            </w:r>
          </w:p>
          <w:p w14:paraId="5AC0CBE2">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b)缺陷长度：两缺陷在X轴投影上的前、后端点间距离；</w:t>
            </w:r>
          </w:p>
          <w:p w14:paraId="42E55F49">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缺陷自身高度：若两缺陷在X轴投影无重叠，以其中较大的缺陷自身高度作为单个缺陷自身高度；若两缺陷在X轴投影有重叠，则以两缺陷自身高度之和作为单个缺陷自身高度（间距计入)。</w:t>
            </w:r>
          </w:p>
          <w:p w14:paraId="2050A871">
            <w:pPr>
              <w:pStyle w:val="28"/>
              <w:spacing w:line="360" w:lineRule="auto"/>
              <w:ind w:firstLine="42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说明：在</w:t>
            </w:r>
            <w:bookmarkStart w:id="30" w:name="_GoBack"/>
            <w:bookmarkEnd w:id="30"/>
            <w:r>
              <w:rPr>
                <w:rFonts w:hint="eastAsia" w:ascii="Times New Roman" w:hAnsi="Times New Roman" w:eastAsia="宋体" w:cs="Times New Roman"/>
                <w:lang w:val="en-US" w:eastAsia="zh-CN"/>
              </w:rPr>
              <w:t>聚乙烯管道热熔接头的TOFD（超声波衍射时差法）检测中，当相邻两个或多个非点状缺陷在X轴（通常指扫描方向或轴向）上的间距小于其中较小缺陷的长度，并且在Z轴（通常指垂直于扫描方向或壁厚方向）上的间距小于其中较小缺陷的自身高度时，这些缺陷应被视为一个整体缺陷进行处理。具体来说，确定这个整体缺陷的特征参数需遵循以下原则：首先，缺陷深度取两个缺陷中较浅的那个深度值；其次，缺陷长度是通过在X轴上的投影来确定，即计算两个缺陷前后端点之间的最大距离；最后，对于缺陷自身高度，如果两个缺陷在X轴上的投影没有重叠，那么取其中较高的那个值作为整体缺陷的高度；如果投影有重叠，则将两个缺陷的高度相加（包括它们之间的间距）来确定整体缺陷的高度。这一规定旨在确保在评估热熔接头质量时，能够准确、全面地考虑相邻缺陷对管道完整性的影响。</w:t>
            </w:r>
          </w:p>
          <w:p w14:paraId="468CC299">
            <w:pPr>
              <w:pStyle w:val="28"/>
              <w:spacing w:line="360" w:lineRule="auto"/>
              <w:ind w:firstLine="420"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7.6.4.3 </w:t>
            </w:r>
            <w:r>
              <w:rPr>
                <w:rFonts w:hint="default" w:ascii="Times New Roman" w:hAnsi="Times New Roman" w:eastAsia="宋体" w:cs="Times New Roman"/>
                <w:b/>
                <w:bCs/>
                <w:lang w:val="en-US" w:eastAsia="zh-CN"/>
              </w:rPr>
              <w:t>对材料牌号不明、可能发生老化或者使用年限已经达到40年的管道，一般应进行材料性能评价。材料性能综合评价项目包括氧化诱导时间、断裂伸长率、静液压强度、耐慢速裂纹增长等。</w:t>
            </w:r>
          </w:p>
          <w:p w14:paraId="0CCF0FCD">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材料性能评价一般采用现场取样的方式进行，样品长度应满足制备试样要求，必要时截取的样品应包含焊接接头。</w:t>
            </w:r>
          </w:p>
          <w:p w14:paraId="233B7199">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对于材料牌号不明的管材，按照PE80材料相应要求进行性能试验。</w:t>
            </w:r>
          </w:p>
          <w:p w14:paraId="03F99512">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a）氧化诱导时间按照GB/T19466.6进行，试验温度取200℃；</w:t>
            </w:r>
          </w:p>
          <w:p w14:paraId="5756E70D">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b）断裂伸长率按照GB/T8804.3要求进行；</w:t>
            </w:r>
          </w:p>
          <w:p w14:paraId="0D6BC67F">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c）静液压强度按照GB/T6111要求进行，试验温度取80℃，对于PE80材质，应使环向应力达到4.5MPa，对于PE100材质，应使环向应力达到5.4MPa。</w:t>
            </w:r>
          </w:p>
          <w:p w14:paraId="6A92A272">
            <w:pPr>
              <w:pStyle w:val="28"/>
              <w:spacing w:line="360" w:lineRule="auto"/>
              <w:ind w:firstLine="420"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以上各项材料性能试验结果应达到管材相应标准的规定值，若试验结果符合相应管材标准的要求，评价结果为符合要求，若结果不符合相应管材标准的要求，则材料性能不满足要求，评价结果为不符合要求。</w:t>
            </w:r>
          </w:p>
          <w:p w14:paraId="6CDC8C21">
            <w:pPr>
              <w:pStyle w:val="28"/>
              <w:spacing w:line="360" w:lineRule="auto"/>
              <w:ind w:firstLine="42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说明：对于材料牌号不明确、可能存在老化现象或已经使用了长达40年之久的管道，为了全面评估其当前的安全性能和剩余使用寿命，必须进行详尽的材料性能评价。这一评价过程涉及多个关键性能指标，包括但不限于氧化诱导时间、断裂伸长率、静液压强度以及耐慢速裂纹增长能力，这些指标共同构成了对管道材料综合性能的全面考量。在实际操作中，评价工作通常通过现场取样来进行，以确保所取样品能够真实反映管道的实际状况。样品的长度和截取位置需严格遵循相关标准，以确保后续试验的准确性和可靠性。在必要时，所截取的样品还应包含焊接接头部分，因为焊接接头的质量往往对管道的整体性能具有重要影响。针对材料牌号不明的管材，评价工作会默认按照PE80材料的相应要求进行性能试验。具体来说，氧化诱导时间的测定需遵循GB/T19466.6标准，并在200℃的试验温度下进行；断裂伸长率的测试则需按照GB/T8804.3的标准要求进行；而静液压强度的试验则需依据GB/T6111标准，在80℃的试验温度下，对于PE80材质需使环向应力达到4.5MPa，对于PE100材质则需达到5.4MPa。这些试验旨在模拟管道在实际使用过程中的各种受力状态，从而准确评估其承压能力和安全性能。最后，所有材料性能试验的结果都将与相应管材标准的规定值进行严格比对。只有当所有指标均符合或超过标准要求时，才能判定该管道的材料性能评价为合格；反之，若任何一项指标不达标，则意味着管道的材料性能不满足要求，需采取相应的处理措施以确保其安全运行。这样的评价流程不仅科学严谨，而且为管道的安全管理提供了有力的技术支撑。</w:t>
            </w:r>
          </w:p>
        </w:tc>
      </w:tr>
      <w:tr w14:paraId="16577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758DBD7E">
            <w:pPr>
              <w:pStyle w:val="28"/>
              <w:spacing w:line="360" w:lineRule="auto"/>
              <w:ind w:firstLine="0" w:firstLineChars="0"/>
              <w:rPr>
                <w:rFonts w:ascii="Times New Roman" w:hAnsi="Times New Roman" w:cs="Times New Roman"/>
              </w:rPr>
            </w:pPr>
            <w:bookmarkStart w:id="0" w:name="_Toc464905809"/>
            <w:bookmarkStart w:id="1" w:name="_Toc464902852"/>
            <w:bookmarkStart w:id="2" w:name="_Toc464905613"/>
            <w:bookmarkStart w:id="3" w:name="_Toc464905557"/>
            <w:bookmarkStart w:id="4" w:name="_Toc465074266"/>
            <w:r>
              <w:rPr>
                <w:rFonts w:ascii="Times New Roman" w:hAnsi="Times New Roman" w:cs="Times New Roman"/>
                <w:szCs w:val="21"/>
              </w:rPr>
              <w:t>5、标准中如果涉及专利，应有明确的知识产权说明</w:t>
            </w:r>
            <w:bookmarkEnd w:id="0"/>
            <w:bookmarkEnd w:id="1"/>
            <w:bookmarkEnd w:id="2"/>
            <w:bookmarkEnd w:id="3"/>
            <w:bookmarkEnd w:id="4"/>
          </w:p>
        </w:tc>
      </w:tr>
      <w:tr w14:paraId="0768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474" w:type="dxa"/>
            <w:gridSpan w:val="7"/>
            <w:tcBorders>
              <w:top w:val="single" w:color="auto" w:sz="4" w:space="0"/>
              <w:left w:val="single" w:color="auto" w:sz="4" w:space="0"/>
              <w:bottom w:val="single" w:color="auto" w:sz="4" w:space="0"/>
              <w:right w:val="single" w:color="auto" w:sz="4" w:space="0"/>
            </w:tcBorders>
          </w:tcPr>
          <w:p w14:paraId="371EC085">
            <w:pPr>
              <w:pStyle w:val="28"/>
              <w:spacing w:line="360" w:lineRule="auto"/>
              <w:ind w:left="420" w:firstLine="0" w:firstLineChars="0"/>
              <w:rPr>
                <w:rFonts w:ascii="Times New Roman" w:hAnsi="Times New Roman" w:cs="Times New Roman"/>
                <w:szCs w:val="21"/>
              </w:rPr>
            </w:pPr>
            <w:r>
              <w:rPr>
                <w:rFonts w:ascii="Times New Roman" w:hAnsi="Times New Roman" w:cs="Times New Roman"/>
                <w:szCs w:val="21"/>
              </w:rPr>
              <w:t>无</w:t>
            </w:r>
          </w:p>
        </w:tc>
      </w:tr>
      <w:tr w14:paraId="351A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7EFC4B13">
            <w:pPr>
              <w:pStyle w:val="28"/>
              <w:spacing w:line="360" w:lineRule="auto"/>
              <w:ind w:firstLine="0" w:firstLineChars="0"/>
              <w:rPr>
                <w:rFonts w:ascii="Times New Roman" w:hAnsi="Times New Roman" w:cs="Times New Roman"/>
              </w:rPr>
            </w:pPr>
            <w:bookmarkStart w:id="5" w:name="_Toc464905558"/>
            <w:bookmarkStart w:id="6" w:name="_Toc464902853"/>
            <w:bookmarkStart w:id="7" w:name="_Toc465074267"/>
            <w:bookmarkStart w:id="8" w:name="_Toc464905614"/>
            <w:bookmarkStart w:id="9" w:name="_Toc464905810"/>
            <w:r>
              <w:rPr>
                <w:rFonts w:ascii="Times New Roman" w:hAnsi="Times New Roman" w:cs="Times New Roman"/>
                <w:szCs w:val="21"/>
              </w:rPr>
              <w:t>6、采用国际标</w:t>
            </w:r>
            <w:r>
              <w:rPr>
                <w:rFonts w:ascii="Times New Roman" w:hAnsi="Times New Roman" w:eastAsia="宋体" w:cs="Times New Roman"/>
                <w:bCs/>
                <w:szCs w:val="21"/>
              </w:rPr>
              <w:t>准或国外先进标准的，</w:t>
            </w:r>
            <w:r>
              <w:rPr>
                <w:rFonts w:ascii="Times New Roman" w:hAnsi="Times New Roman" w:cs="Times New Roman"/>
                <w:szCs w:val="21"/>
              </w:rPr>
              <w:t>说明采标程度，以及国内外同类标准水平的对比情况</w:t>
            </w:r>
            <w:bookmarkEnd w:id="5"/>
            <w:bookmarkEnd w:id="6"/>
            <w:bookmarkEnd w:id="7"/>
            <w:bookmarkEnd w:id="8"/>
            <w:bookmarkEnd w:id="9"/>
          </w:p>
        </w:tc>
      </w:tr>
      <w:tr w14:paraId="29CE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38F03A0B">
            <w:pPr>
              <w:spacing w:line="360" w:lineRule="auto"/>
              <w:ind w:firstLine="420" w:firstLineChars="200"/>
              <w:rPr>
                <w:szCs w:val="21"/>
              </w:rPr>
            </w:pPr>
            <w:r>
              <w:rPr>
                <w:rFonts w:hint="eastAsia"/>
                <w:bCs/>
              </w:rPr>
              <w:t>至标准编制之日内尚未发现与计划编制标准向冲突现行法律、法规和强制性国家标准。</w:t>
            </w:r>
          </w:p>
        </w:tc>
      </w:tr>
      <w:tr w14:paraId="63F4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70B05C6E">
            <w:pPr>
              <w:pStyle w:val="28"/>
              <w:spacing w:line="360" w:lineRule="auto"/>
              <w:ind w:firstLine="0" w:firstLineChars="0"/>
              <w:rPr>
                <w:rFonts w:ascii="Times New Roman" w:hAnsi="Times New Roman" w:cs="Times New Roman"/>
              </w:rPr>
            </w:pPr>
            <w:bookmarkStart w:id="10" w:name="_Toc464905811"/>
            <w:bookmarkStart w:id="11" w:name="_Toc464905615"/>
            <w:bookmarkStart w:id="12" w:name="_Toc465074268"/>
            <w:bookmarkStart w:id="13" w:name="_Toc464902854"/>
            <w:bookmarkStart w:id="14" w:name="_Toc464905559"/>
            <w:r>
              <w:rPr>
                <w:rFonts w:ascii="Times New Roman" w:hAnsi="Times New Roman" w:cs="Times New Roman"/>
                <w:szCs w:val="21"/>
              </w:rPr>
              <w:t>7、重大分歧意见的处理经过和依据</w:t>
            </w:r>
            <w:bookmarkEnd w:id="10"/>
            <w:bookmarkEnd w:id="11"/>
            <w:bookmarkEnd w:id="12"/>
            <w:bookmarkEnd w:id="13"/>
            <w:bookmarkEnd w:id="14"/>
          </w:p>
        </w:tc>
      </w:tr>
      <w:tr w14:paraId="69AD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474" w:type="dxa"/>
            <w:gridSpan w:val="7"/>
            <w:tcBorders>
              <w:top w:val="single" w:color="auto" w:sz="4" w:space="0"/>
              <w:left w:val="single" w:color="auto" w:sz="4" w:space="0"/>
              <w:bottom w:val="single" w:color="auto" w:sz="4" w:space="0"/>
              <w:right w:val="single" w:color="auto" w:sz="4" w:space="0"/>
            </w:tcBorders>
          </w:tcPr>
          <w:p w14:paraId="12FA0DA9">
            <w:pPr>
              <w:pStyle w:val="28"/>
              <w:spacing w:line="360" w:lineRule="auto"/>
              <w:ind w:firstLine="0" w:firstLineChars="0"/>
              <w:rPr>
                <w:rFonts w:ascii="Times New Roman" w:hAnsi="Times New Roman" w:cs="Times New Roman"/>
                <w:szCs w:val="21"/>
              </w:rPr>
            </w:pPr>
            <w:r>
              <w:rPr>
                <w:rFonts w:hint="eastAsia" w:ascii="Times New Roman" w:hAnsi="Times New Roman" w:cs="Times New Roman"/>
                <w:szCs w:val="21"/>
              </w:rPr>
              <w:t xml:space="preserve"> 无</w:t>
            </w:r>
          </w:p>
        </w:tc>
      </w:tr>
      <w:tr w14:paraId="0C774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32CD0B4F">
            <w:pPr>
              <w:pStyle w:val="28"/>
              <w:spacing w:line="360" w:lineRule="auto"/>
              <w:ind w:firstLine="0" w:firstLineChars="0"/>
              <w:rPr>
                <w:rFonts w:ascii="Times New Roman" w:hAnsi="Times New Roman" w:cs="Times New Roman"/>
              </w:rPr>
            </w:pPr>
            <w:bookmarkStart w:id="15" w:name="_Toc464905616"/>
            <w:bookmarkStart w:id="16" w:name="_Toc464905560"/>
            <w:bookmarkStart w:id="17" w:name="_Toc464902855"/>
            <w:bookmarkStart w:id="18" w:name="_Toc465074269"/>
            <w:bookmarkStart w:id="19" w:name="_Toc464905812"/>
            <w:r>
              <w:rPr>
                <w:rFonts w:ascii="Times New Roman" w:hAnsi="Times New Roman" w:cs="Times New Roman"/>
                <w:szCs w:val="21"/>
              </w:rPr>
              <w:t>8、贯彻标准的要求和措施建议（包括组织措施、技术措施、过渡办法、实施日期等）</w:t>
            </w:r>
            <w:bookmarkEnd w:id="15"/>
            <w:bookmarkEnd w:id="16"/>
            <w:bookmarkEnd w:id="17"/>
            <w:bookmarkEnd w:id="18"/>
            <w:bookmarkEnd w:id="19"/>
          </w:p>
        </w:tc>
      </w:tr>
      <w:tr w14:paraId="1F5F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9474" w:type="dxa"/>
            <w:gridSpan w:val="7"/>
            <w:tcBorders>
              <w:top w:val="single" w:color="auto" w:sz="4" w:space="0"/>
              <w:left w:val="single" w:color="auto" w:sz="4" w:space="0"/>
              <w:bottom w:val="single" w:color="auto" w:sz="4" w:space="0"/>
              <w:right w:val="single" w:color="auto" w:sz="4" w:space="0"/>
            </w:tcBorders>
          </w:tcPr>
          <w:p w14:paraId="2C726192">
            <w:pPr>
              <w:spacing w:line="360" w:lineRule="auto"/>
              <w:ind w:firstLine="420" w:firstLineChars="200"/>
              <w:rPr>
                <w:szCs w:val="21"/>
              </w:rPr>
            </w:pPr>
            <w:r>
              <w:rPr>
                <w:rFonts w:hint="eastAsia" w:cs="宋体"/>
                <w:color w:val="000000"/>
                <w:szCs w:val="21"/>
              </w:rPr>
              <w:t>首先，在标准起草参与单位推广使用。标准起草单位的相关部门应成立技术指导组，抽调标准起草人员负责指导，在行业内组织相关标准宣贯，并针对关键重要环节加强指导，确保严格按照标准进行操作。其次，在全省特种设备检验检测机构推广，将本标准相关内容纳入其单位的体系文件中。</w:t>
            </w:r>
          </w:p>
        </w:tc>
      </w:tr>
      <w:tr w14:paraId="4E7E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1A0C88D6">
            <w:pPr>
              <w:pStyle w:val="28"/>
              <w:spacing w:line="360" w:lineRule="auto"/>
              <w:ind w:firstLine="0" w:firstLineChars="0"/>
              <w:rPr>
                <w:rFonts w:ascii="Times New Roman" w:hAnsi="Times New Roman" w:cs="Times New Roman"/>
              </w:rPr>
            </w:pPr>
            <w:bookmarkStart w:id="20" w:name="_Toc464905813"/>
            <w:bookmarkStart w:id="21" w:name="_Toc464905617"/>
            <w:bookmarkStart w:id="22" w:name="_Toc464902856"/>
            <w:bookmarkStart w:id="23" w:name="_Toc465074270"/>
            <w:bookmarkStart w:id="24" w:name="_Toc464905561"/>
            <w:r>
              <w:rPr>
                <w:rFonts w:ascii="Times New Roman" w:hAnsi="Times New Roman" w:cs="Times New Roman"/>
                <w:szCs w:val="21"/>
              </w:rPr>
              <w:t>9、废止现行相关标准的建议</w:t>
            </w:r>
            <w:bookmarkEnd w:id="20"/>
            <w:bookmarkEnd w:id="21"/>
            <w:bookmarkEnd w:id="22"/>
            <w:bookmarkEnd w:id="23"/>
            <w:bookmarkEnd w:id="24"/>
          </w:p>
        </w:tc>
      </w:tr>
      <w:tr w14:paraId="02407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9474" w:type="dxa"/>
            <w:gridSpan w:val="7"/>
            <w:tcBorders>
              <w:top w:val="single" w:color="auto" w:sz="4" w:space="0"/>
              <w:left w:val="single" w:color="auto" w:sz="4" w:space="0"/>
              <w:bottom w:val="single" w:color="auto" w:sz="4" w:space="0"/>
              <w:right w:val="single" w:color="auto" w:sz="4" w:space="0"/>
            </w:tcBorders>
          </w:tcPr>
          <w:p w14:paraId="5E69FC99">
            <w:pPr>
              <w:pStyle w:val="28"/>
              <w:spacing w:line="360" w:lineRule="auto"/>
              <w:ind w:left="420" w:firstLine="0" w:firstLineChars="0"/>
              <w:rPr>
                <w:rFonts w:ascii="Times New Roman" w:hAnsi="Times New Roman" w:cs="Times New Roman"/>
                <w:szCs w:val="21"/>
              </w:rPr>
            </w:pPr>
            <w:r>
              <w:rPr>
                <w:rFonts w:ascii="Times New Roman" w:hAnsi="Times New Roman" w:cs="Times New Roman"/>
                <w:szCs w:val="21"/>
              </w:rPr>
              <w:t>无</w:t>
            </w:r>
          </w:p>
        </w:tc>
      </w:tr>
      <w:tr w14:paraId="1E5E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474" w:type="dxa"/>
            <w:gridSpan w:val="7"/>
            <w:tcBorders>
              <w:top w:val="single" w:color="auto" w:sz="4" w:space="0"/>
              <w:left w:val="single" w:color="auto" w:sz="4" w:space="0"/>
              <w:bottom w:val="single" w:color="auto" w:sz="4" w:space="0"/>
              <w:right w:val="single" w:color="auto" w:sz="4" w:space="0"/>
            </w:tcBorders>
          </w:tcPr>
          <w:p w14:paraId="7F9C5CBD">
            <w:pPr>
              <w:pStyle w:val="28"/>
              <w:spacing w:line="360" w:lineRule="auto"/>
              <w:ind w:firstLine="0" w:firstLineChars="0"/>
              <w:rPr>
                <w:rFonts w:ascii="Times New Roman" w:hAnsi="Times New Roman" w:cs="Times New Roman"/>
              </w:rPr>
            </w:pPr>
            <w:bookmarkStart w:id="25" w:name="_Toc464905562"/>
            <w:bookmarkStart w:id="26" w:name="_Toc464902857"/>
            <w:bookmarkStart w:id="27" w:name="_Toc465074271"/>
            <w:bookmarkStart w:id="28" w:name="_Toc464905814"/>
            <w:bookmarkStart w:id="29" w:name="_Toc464905618"/>
            <w:r>
              <w:rPr>
                <w:rFonts w:ascii="Times New Roman" w:hAnsi="Times New Roman" w:cs="Times New Roman"/>
                <w:szCs w:val="21"/>
              </w:rPr>
              <w:t>10、其它应予说明的事项</w:t>
            </w:r>
            <w:bookmarkEnd w:id="25"/>
            <w:bookmarkEnd w:id="26"/>
            <w:bookmarkEnd w:id="27"/>
            <w:bookmarkEnd w:id="28"/>
            <w:bookmarkEnd w:id="29"/>
          </w:p>
        </w:tc>
      </w:tr>
      <w:tr w14:paraId="1B6D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474" w:type="dxa"/>
            <w:gridSpan w:val="7"/>
            <w:tcBorders>
              <w:top w:val="single" w:color="auto" w:sz="4" w:space="0"/>
              <w:left w:val="single" w:color="auto" w:sz="4" w:space="0"/>
              <w:bottom w:val="single" w:color="auto" w:sz="4" w:space="0"/>
              <w:right w:val="single" w:color="auto" w:sz="4" w:space="0"/>
            </w:tcBorders>
          </w:tcPr>
          <w:p w14:paraId="1E15C14B">
            <w:pPr>
              <w:spacing w:line="360" w:lineRule="auto"/>
              <w:ind w:left="600" w:hanging="180"/>
              <w:rPr>
                <w:szCs w:val="21"/>
              </w:rPr>
            </w:pPr>
            <w:r>
              <w:rPr>
                <w:szCs w:val="21"/>
              </w:rPr>
              <w:t>无</w:t>
            </w:r>
          </w:p>
        </w:tc>
      </w:tr>
    </w:tbl>
    <w:p w14:paraId="2594D372">
      <w:pPr>
        <w:widowControl/>
        <w:spacing w:line="360" w:lineRule="auto"/>
        <w:jc w:val="left"/>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9D28">
    <w:pPr>
      <w:pStyle w:val="2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5B7EE7">
                          <w:pPr>
                            <w:pStyle w:val="2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F5B7EE7">
                    <w:pPr>
                      <w:pStyle w:val="2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A0A2BF"/>
    <w:multiLevelType w:val="singleLevel"/>
    <w:tmpl w:val="98A0A2BF"/>
    <w:lvl w:ilvl="0" w:tentative="0">
      <w:start w:val="1"/>
      <w:numFmt w:val="decimal"/>
      <w:suff w:val="space"/>
      <w:lvlText w:val="%1."/>
      <w:lvlJc w:val="left"/>
    </w:lvl>
  </w:abstractNum>
  <w:abstractNum w:abstractNumId="1">
    <w:nsid w:val="C10F4768"/>
    <w:multiLevelType w:val="singleLevel"/>
    <w:tmpl w:val="C10F4768"/>
    <w:lvl w:ilvl="0" w:tentative="0">
      <w:start w:val="1"/>
      <w:numFmt w:val="decimal"/>
      <w:suff w:val="space"/>
      <w:lvlText w:val="%1."/>
      <w:lvlJc w:val="left"/>
    </w:lvl>
  </w:abstractNum>
  <w:abstractNum w:abstractNumId="2">
    <w:nsid w:val="079102AD"/>
    <w:multiLevelType w:val="multilevel"/>
    <w:tmpl w:val="079102AD"/>
    <w:lvl w:ilvl="0" w:tentative="0">
      <w:start w:val="1"/>
      <w:numFmt w:val="decimal"/>
      <w:pStyle w:val="10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tentative="0">
      <w:start w:val="1"/>
      <w:numFmt w:val="decimal"/>
      <w:pStyle w:val="6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12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441211"/>
    <w:multiLevelType w:val="multilevel"/>
    <w:tmpl w:val="0D441211"/>
    <w:lvl w:ilvl="0" w:tentative="0">
      <w:start w:val="1"/>
      <w:numFmt w:val="lowerLetter"/>
      <w:pStyle w:val="7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18"/>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0D983844"/>
    <w:multiLevelType w:val="multilevel"/>
    <w:tmpl w:val="0D983844"/>
    <w:lvl w:ilvl="0" w:tentative="0">
      <w:start w:val="1"/>
      <w:numFmt w:val="decimal"/>
      <w:pStyle w:val="14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0DDE2B46"/>
    <w:multiLevelType w:val="multilevel"/>
    <w:tmpl w:val="0DDE2B46"/>
    <w:lvl w:ilvl="0" w:tentative="0">
      <w:start w:val="1"/>
      <w:numFmt w:val="lowerLetter"/>
      <w:pStyle w:val="7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1DBF583A"/>
    <w:multiLevelType w:val="multilevel"/>
    <w:tmpl w:val="1DBF583A"/>
    <w:lvl w:ilvl="0" w:tentative="0">
      <w:start w:val="1"/>
      <w:numFmt w:val="decimal"/>
      <w:pStyle w:val="7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9">
    <w:nsid w:val="22827D5B"/>
    <w:multiLevelType w:val="multilevel"/>
    <w:tmpl w:val="22827D5B"/>
    <w:lvl w:ilvl="0" w:tentative="0">
      <w:start w:val="1"/>
      <w:numFmt w:val="none"/>
      <w:pStyle w:val="11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0">
    <w:nsid w:val="27495E13"/>
    <w:multiLevelType w:val="multilevel"/>
    <w:tmpl w:val="27495E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C5917C3"/>
    <w:multiLevelType w:val="multilevel"/>
    <w:tmpl w:val="2C5917C3"/>
    <w:lvl w:ilvl="0" w:tentative="0">
      <w:start w:val="1"/>
      <w:numFmt w:val="none"/>
      <w:pStyle w:val="99"/>
      <w:suff w:val="nothing"/>
      <w:lvlText w:val="%1——"/>
      <w:lvlJc w:val="left"/>
      <w:pPr>
        <w:ind w:left="2677" w:hanging="408"/>
      </w:pPr>
      <w:rPr>
        <w:rFonts w:hint="eastAsia"/>
      </w:rPr>
    </w:lvl>
    <w:lvl w:ilvl="1" w:tentative="0">
      <w:start w:val="1"/>
      <w:numFmt w:val="bullet"/>
      <w:pStyle w:val="75"/>
      <w:lvlText w:val=""/>
      <w:lvlJc w:val="left"/>
      <w:pPr>
        <w:tabs>
          <w:tab w:val="left" w:pos="760"/>
        </w:tabs>
        <w:ind w:left="1264" w:hanging="413"/>
      </w:pPr>
      <w:rPr>
        <w:rFonts w:hint="default" w:ascii="Symbol" w:hAnsi="Symbol"/>
        <w:color w:val="auto"/>
      </w:rPr>
    </w:lvl>
    <w:lvl w:ilvl="2" w:tentative="0">
      <w:start w:val="1"/>
      <w:numFmt w:val="bullet"/>
      <w:pStyle w:val="7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D733618"/>
    <w:multiLevelType w:val="multilevel"/>
    <w:tmpl w:val="3D733618"/>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3">
    <w:nsid w:val="4B733A5F"/>
    <w:multiLevelType w:val="multilevel"/>
    <w:tmpl w:val="4B733A5F"/>
    <w:lvl w:ilvl="0" w:tentative="0">
      <w:start w:val="1"/>
      <w:numFmt w:val="decimal"/>
      <w:pStyle w:val="8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43"/>
      <w:lvlText w:val="%1)"/>
      <w:lvlJc w:val="left"/>
      <w:pPr>
        <w:tabs>
          <w:tab w:val="left" w:pos="839"/>
        </w:tabs>
        <w:ind w:left="839" w:hanging="419"/>
      </w:pPr>
      <w:rPr>
        <w:rFonts w:hint="eastAsia" w:ascii="宋体" w:eastAsia="宋体"/>
        <w:b w:val="0"/>
        <w:i w:val="0"/>
        <w:sz w:val="21"/>
      </w:rPr>
    </w:lvl>
    <w:lvl w:ilvl="1" w:tentative="0">
      <w:start w:val="1"/>
      <w:numFmt w:val="decimal"/>
      <w:pStyle w:val="13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9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2"/>
  </w:num>
  <w:num w:numId="2">
    <w:abstractNumId w:val="3"/>
  </w:num>
  <w:num w:numId="3">
    <w:abstractNumId w:val="8"/>
  </w:num>
  <w:num w:numId="4">
    <w:abstractNumId w:val="11"/>
  </w:num>
  <w:num w:numId="5">
    <w:abstractNumId w:val="5"/>
  </w:num>
  <w:num w:numId="6">
    <w:abstractNumId w:val="7"/>
  </w:num>
  <w:num w:numId="7">
    <w:abstractNumId w:val="13"/>
  </w:num>
  <w:num w:numId="8">
    <w:abstractNumId w:val="16"/>
  </w:num>
  <w:num w:numId="9">
    <w:abstractNumId w:val="2"/>
  </w:num>
  <w:num w:numId="10">
    <w:abstractNumId w:val="9"/>
  </w:num>
  <w:num w:numId="11">
    <w:abstractNumId w:val="4"/>
  </w:num>
  <w:num w:numId="12">
    <w:abstractNumId w:val="15"/>
  </w:num>
  <w:num w:numId="13">
    <w:abstractNumId w:val="6"/>
  </w:num>
  <w:num w:numId="14">
    <w:abstractNumId w:val="14"/>
  </w:num>
  <w:num w:numId="15">
    <w:abstractNumId w:val="10"/>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kMzdkZjQ5ZDNiYzk5N2MzNTMzOWRkMDFhYTliMDkifQ=="/>
  </w:docVars>
  <w:rsids>
    <w:rsidRoot w:val="00B46374"/>
    <w:rsid w:val="000073CE"/>
    <w:rsid w:val="0003099D"/>
    <w:rsid w:val="0003406C"/>
    <w:rsid w:val="000345E4"/>
    <w:rsid w:val="00036A3C"/>
    <w:rsid w:val="00036B5C"/>
    <w:rsid w:val="00040900"/>
    <w:rsid w:val="000433A7"/>
    <w:rsid w:val="000440BD"/>
    <w:rsid w:val="00046FCB"/>
    <w:rsid w:val="0004786B"/>
    <w:rsid w:val="0005232E"/>
    <w:rsid w:val="00060149"/>
    <w:rsid w:val="00062E35"/>
    <w:rsid w:val="000701DD"/>
    <w:rsid w:val="000862AF"/>
    <w:rsid w:val="00092A0A"/>
    <w:rsid w:val="00093C64"/>
    <w:rsid w:val="00095F7D"/>
    <w:rsid w:val="000A18C1"/>
    <w:rsid w:val="000B09C6"/>
    <w:rsid w:val="000B40A8"/>
    <w:rsid w:val="000C4C8D"/>
    <w:rsid w:val="000E7EF4"/>
    <w:rsid w:val="000F1F1D"/>
    <w:rsid w:val="00100E5F"/>
    <w:rsid w:val="00103187"/>
    <w:rsid w:val="00105DE2"/>
    <w:rsid w:val="001064C4"/>
    <w:rsid w:val="00107525"/>
    <w:rsid w:val="001138D5"/>
    <w:rsid w:val="00116ED1"/>
    <w:rsid w:val="00124749"/>
    <w:rsid w:val="001247D0"/>
    <w:rsid w:val="00124FF0"/>
    <w:rsid w:val="00127D49"/>
    <w:rsid w:val="00135323"/>
    <w:rsid w:val="001467D5"/>
    <w:rsid w:val="001467EE"/>
    <w:rsid w:val="001479FE"/>
    <w:rsid w:val="0015246D"/>
    <w:rsid w:val="001532E8"/>
    <w:rsid w:val="00154011"/>
    <w:rsid w:val="00154F04"/>
    <w:rsid w:val="00165593"/>
    <w:rsid w:val="00166CE0"/>
    <w:rsid w:val="00172168"/>
    <w:rsid w:val="00172711"/>
    <w:rsid w:val="00175BDF"/>
    <w:rsid w:val="00180770"/>
    <w:rsid w:val="00181E2B"/>
    <w:rsid w:val="001846A7"/>
    <w:rsid w:val="00185375"/>
    <w:rsid w:val="00193FE6"/>
    <w:rsid w:val="00194AE1"/>
    <w:rsid w:val="001A1DD4"/>
    <w:rsid w:val="001A6A66"/>
    <w:rsid w:val="001A70AB"/>
    <w:rsid w:val="001B474A"/>
    <w:rsid w:val="001B7203"/>
    <w:rsid w:val="001C06DF"/>
    <w:rsid w:val="001C58E5"/>
    <w:rsid w:val="001C7A44"/>
    <w:rsid w:val="001D0A97"/>
    <w:rsid w:val="001E310E"/>
    <w:rsid w:val="001E6FF3"/>
    <w:rsid w:val="001F4A52"/>
    <w:rsid w:val="001F58AA"/>
    <w:rsid w:val="001F5E03"/>
    <w:rsid w:val="001F7DFA"/>
    <w:rsid w:val="001F7F21"/>
    <w:rsid w:val="00201601"/>
    <w:rsid w:val="00201804"/>
    <w:rsid w:val="00215755"/>
    <w:rsid w:val="002358D8"/>
    <w:rsid w:val="0023778D"/>
    <w:rsid w:val="00240851"/>
    <w:rsid w:val="0024114C"/>
    <w:rsid w:val="0024132F"/>
    <w:rsid w:val="00247B2B"/>
    <w:rsid w:val="00252A5A"/>
    <w:rsid w:val="00252D90"/>
    <w:rsid w:val="00256657"/>
    <w:rsid w:val="00266481"/>
    <w:rsid w:val="0027647D"/>
    <w:rsid w:val="002775B4"/>
    <w:rsid w:val="002810F0"/>
    <w:rsid w:val="00281AAE"/>
    <w:rsid w:val="00286848"/>
    <w:rsid w:val="002942CA"/>
    <w:rsid w:val="0029567A"/>
    <w:rsid w:val="002959DC"/>
    <w:rsid w:val="002A6916"/>
    <w:rsid w:val="002B21AA"/>
    <w:rsid w:val="002B7D3F"/>
    <w:rsid w:val="002C5476"/>
    <w:rsid w:val="002D70E6"/>
    <w:rsid w:val="002E3420"/>
    <w:rsid w:val="002E7686"/>
    <w:rsid w:val="002F4F8E"/>
    <w:rsid w:val="002F5184"/>
    <w:rsid w:val="002F55B9"/>
    <w:rsid w:val="002F75EE"/>
    <w:rsid w:val="0030031C"/>
    <w:rsid w:val="003135A7"/>
    <w:rsid w:val="00320C8B"/>
    <w:rsid w:val="00321112"/>
    <w:rsid w:val="003228E6"/>
    <w:rsid w:val="003276E5"/>
    <w:rsid w:val="003338A2"/>
    <w:rsid w:val="00334AA8"/>
    <w:rsid w:val="00340340"/>
    <w:rsid w:val="00344D0F"/>
    <w:rsid w:val="003515F2"/>
    <w:rsid w:val="00351EAC"/>
    <w:rsid w:val="00354103"/>
    <w:rsid w:val="00360D47"/>
    <w:rsid w:val="0036530E"/>
    <w:rsid w:val="003724F1"/>
    <w:rsid w:val="0037483C"/>
    <w:rsid w:val="003857AA"/>
    <w:rsid w:val="003861E1"/>
    <w:rsid w:val="00387210"/>
    <w:rsid w:val="003A04EA"/>
    <w:rsid w:val="003A0C76"/>
    <w:rsid w:val="003A3FDE"/>
    <w:rsid w:val="003A57F4"/>
    <w:rsid w:val="003A70A9"/>
    <w:rsid w:val="003A79DD"/>
    <w:rsid w:val="003B61D4"/>
    <w:rsid w:val="003B7834"/>
    <w:rsid w:val="003C1D67"/>
    <w:rsid w:val="003D3F79"/>
    <w:rsid w:val="003D69DE"/>
    <w:rsid w:val="003E4CE5"/>
    <w:rsid w:val="003E5922"/>
    <w:rsid w:val="003E73A9"/>
    <w:rsid w:val="003F5965"/>
    <w:rsid w:val="00401C78"/>
    <w:rsid w:val="00405DBA"/>
    <w:rsid w:val="0040711D"/>
    <w:rsid w:val="00410962"/>
    <w:rsid w:val="004142D6"/>
    <w:rsid w:val="00434E3D"/>
    <w:rsid w:val="004408E7"/>
    <w:rsid w:val="00440AFB"/>
    <w:rsid w:val="004441C8"/>
    <w:rsid w:val="00447C26"/>
    <w:rsid w:val="00452542"/>
    <w:rsid w:val="00455040"/>
    <w:rsid w:val="0045550A"/>
    <w:rsid w:val="00457104"/>
    <w:rsid w:val="00460019"/>
    <w:rsid w:val="00461C38"/>
    <w:rsid w:val="00461C3C"/>
    <w:rsid w:val="00465813"/>
    <w:rsid w:val="0047045B"/>
    <w:rsid w:val="004730B5"/>
    <w:rsid w:val="0048215E"/>
    <w:rsid w:val="00486A66"/>
    <w:rsid w:val="004951E6"/>
    <w:rsid w:val="00497DB7"/>
    <w:rsid w:val="004A1535"/>
    <w:rsid w:val="004A65F0"/>
    <w:rsid w:val="004A6E6E"/>
    <w:rsid w:val="004A7C4A"/>
    <w:rsid w:val="004A7D33"/>
    <w:rsid w:val="004B12FB"/>
    <w:rsid w:val="004B2B8A"/>
    <w:rsid w:val="004C3268"/>
    <w:rsid w:val="004C32C2"/>
    <w:rsid w:val="004D4C10"/>
    <w:rsid w:val="004E4BA0"/>
    <w:rsid w:val="004E5CD1"/>
    <w:rsid w:val="004F1B79"/>
    <w:rsid w:val="004F32C9"/>
    <w:rsid w:val="004F4481"/>
    <w:rsid w:val="004F68C5"/>
    <w:rsid w:val="004F6AAC"/>
    <w:rsid w:val="004F7ED6"/>
    <w:rsid w:val="0050196D"/>
    <w:rsid w:val="00507C92"/>
    <w:rsid w:val="0051122D"/>
    <w:rsid w:val="00511E58"/>
    <w:rsid w:val="00513D53"/>
    <w:rsid w:val="0052010E"/>
    <w:rsid w:val="00521975"/>
    <w:rsid w:val="005303CE"/>
    <w:rsid w:val="005308A8"/>
    <w:rsid w:val="00531752"/>
    <w:rsid w:val="0053664C"/>
    <w:rsid w:val="00554298"/>
    <w:rsid w:val="00563F99"/>
    <w:rsid w:val="00564ED3"/>
    <w:rsid w:val="00566BC4"/>
    <w:rsid w:val="00567328"/>
    <w:rsid w:val="00573898"/>
    <w:rsid w:val="00582E84"/>
    <w:rsid w:val="0058707D"/>
    <w:rsid w:val="005900F3"/>
    <w:rsid w:val="00590331"/>
    <w:rsid w:val="00591DCA"/>
    <w:rsid w:val="00592404"/>
    <w:rsid w:val="005924BE"/>
    <w:rsid w:val="005957A5"/>
    <w:rsid w:val="00597819"/>
    <w:rsid w:val="005A0A59"/>
    <w:rsid w:val="005A522D"/>
    <w:rsid w:val="005B3B41"/>
    <w:rsid w:val="005C3EE6"/>
    <w:rsid w:val="005C51BF"/>
    <w:rsid w:val="005C67F1"/>
    <w:rsid w:val="005D3921"/>
    <w:rsid w:val="005D5FFE"/>
    <w:rsid w:val="005E0EC9"/>
    <w:rsid w:val="005E0FCC"/>
    <w:rsid w:val="005E4CE5"/>
    <w:rsid w:val="005E7670"/>
    <w:rsid w:val="005F0BA1"/>
    <w:rsid w:val="005F334E"/>
    <w:rsid w:val="005F693D"/>
    <w:rsid w:val="005F6B8C"/>
    <w:rsid w:val="006014A6"/>
    <w:rsid w:val="006038B9"/>
    <w:rsid w:val="006050A3"/>
    <w:rsid w:val="00606B9F"/>
    <w:rsid w:val="00610528"/>
    <w:rsid w:val="00611F47"/>
    <w:rsid w:val="006145F9"/>
    <w:rsid w:val="00624897"/>
    <w:rsid w:val="00625216"/>
    <w:rsid w:val="006257FA"/>
    <w:rsid w:val="00626028"/>
    <w:rsid w:val="00626E47"/>
    <w:rsid w:val="00631517"/>
    <w:rsid w:val="006345EA"/>
    <w:rsid w:val="00634C40"/>
    <w:rsid w:val="00635C8B"/>
    <w:rsid w:val="006376E3"/>
    <w:rsid w:val="0063789B"/>
    <w:rsid w:val="006408D7"/>
    <w:rsid w:val="0064148C"/>
    <w:rsid w:val="0064292A"/>
    <w:rsid w:val="00642E7D"/>
    <w:rsid w:val="006443E1"/>
    <w:rsid w:val="00644773"/>
    <w:rsid w:val="006466F1"/>
    <w:rsid w:val="00650264"/>
    <w:rsid w:val="0065087E"/>
    <w:rsid w:val="006541B8"/>
    <w:rsid w:val="00665BA0"/>
    <w:rsid w:val="006664CD"/>
    <w:rsid w:val="0067390A"/>
    <w:rsid w:val="00684456"/>
    <w:rsid w:val="006862DE"/>
    <w:rsid w:val="00690655"/>
    <w:rsid w:val="00690C7B"/>
    <w:rsid w:val="00693787"/>
    <w:rsid w:val="006A5872"/>
    <w:rsid w:val="006B6DDC"/>
    <w:rsid w:val="006C1361"/>
    <w:rsid w:val="006E31D8"/>
    <w:rsid w:val="006F77EE"/>
    <w:rsid w:val="00701BFA"/>
    <w:rsid w:val="007126CE"/>
    <w:rsid w:val="00715ACA"/>
    <w:rsid w:val="00720226"/>
    <w:rsid w:val="00720EDC"/>
    <w:rsid w:val="0073011A"/>
    <w:rsid w:val="007345CC"/>
    <w:rsid w:val="00735A22"/>
    <w:rsid w:val="007362B3"/>
    <w:rsid w:val="00736E72"/>
    <w:rsid w:val="00741319"/>
    <w:rsid w:val="00741AFE"/>
    <w:rsid w:val="0074724C"/>
    <w:rsid w:val="00750597"/>
    <w:rsid w:val="0075561E"/>
    <w:rsid w:val="007722BB"/>
    <w:rsid w:val="00780816"/>
    <w:rsid w:val="00785DA6"/>
    <w:rsid w:val="007860B0"/>
    <w:rsid w:val="00787F2A"/>
    <w:rsid w:val="0079563B"/>
    <w:rsid w:val="007A13F3"/>
    <w:rsid w:val="007A3660"/>
    <w:rsid w:val="007A4304"/>
    <w:rsid w:val="007B12D1"/>
    <w:rsid w:val="007B5C31"/>
    <w:rsid w:val="007C10C4"/>
    <w:rsid w:val="007C7B41"/>
    <w:rsid w:val="007D01C7"/>
    <w:rsid w:val="007D5848"/>
    <w:rsid w:val="007D6010"/>
    <w:rsid w:val="007D71E9"/>
    <w:rsid w:val="007D7C5C"/>
    <w:rsid w:val="007E48E7"/>
    <w:rsid w:val="007F0729"/>
    <w:rsid w:val="007F0DBE"/>
    <w:rsid w:val="007F1947"/>
    <w:rsid w:val="00801C2A"/>
    <w:rsid w:val="0080405C"/>
    <w:rsid w:val="00810DBF"/>
    <w:rsid w:val="008112F7"/>
    <w:rsid w:val="008129FC"/>
    <w:rsid w:val="00812C39"/>
    <w:rsid w:val="00812D78"/>
    <w:rsid w:val="00814CA2"/>
    <w:rsid w:val="00815DAD"/>
    <w:rsid w:val="00816AA8"/>
    <w:rsid w:val="00820DE7"/>
    <w:rsid w:val="00832175"/>
    <w:rsid w:val="008333F3"/>
    <w:rsid w:val="00836168"/>
    <w:rsid w:val="00840117"/>
    <w:rsid w:val="00844982"/>
    <w:rsid w:val="0084758B"/>
    <w:rsid w:val="00851FB7"/>
    <w:rsid w:val="008559F8"/>
    <w:rsid w:val="00860B80"/>
    <w:rsid w:val="00863182"/>
    <w:rsid w:val="00873316"/>
    <w:rsid w:val="00876627"/>
    <w:rsid w:val="008769D3"/>
    <w:rsid w:val="0088385F"/>
    <w:rsid w:val="0089203B"/>
    <w:rsid w:val="00894C8C"/>
    <w:rsid w:val="00895FC8"/>
    <w:rsid w:val="008A0EAC"/>
    <w:rsid w:val="008A20A0"/>
    <w:rsid w:val="008A3DC8"/>
    <w:rsid w:val="008A3E9E"/>
    <w:rsid w:val="008A6DB4"/>
    <w:rsid w:val="008B3EE5"/>
    <w:rsid w:val="008C0E09"/>
    <w:rsid w:val="008C20A4"/>
    <w:rsid w:val="008C5912"/>
    <w:rsid w:val="008C6596"/>
    <w:rsid w:val="008C6696"/>
    <w:rsid w:val="008D051C"/>
    <w:rsid w:val="008D1B27"/>
    <w:rsid w:val="008D2990"/>
    <w:rsid w:val="008D7F95"/>
    <w:rsid w:val="008E4A93"/>
    <w:rsid w:val="008F0557"/>
    <w:rsid w:val="0090057E"/>
    <w:rsid w:val="009010BE"/>
    <w:rsid w:val="009020F3"/>
    <w:rsid w:val="009121AA"/>
    <w:rsid w:val="009132E8"/>
    <w:rsid w:val="00914C29"/>
    <w:rsid w:val="009173BC"/>
    <w:rsid w:val="009173F1"/>
    <w:rsid w:val="00921AF8"/>
    <w:rsid w:val="00926DA9"/>
    <w:rsid w:val="0092799F"/>
    <w:rsid w:val="00930BED"/>
    <w:rsid w:val="00931628"/>
    <w:rsid w:val="00940580"/>
    <w:rsid w:val="00942035"/>
    <w:rsid w:val="009446D9"/>
    <w:rsid w:val="00947A16"/>
    <w:rsid w:val="00954454"/>
    <w:rsid w:val="00960249"/>
    <w:rsid w:val="00964527"/>
    <w:rsid w:val="00971BBB"/>
    <w:rsid w:val="00982230"/>
    <w:rsid w:val="0098412A"/>
    <w:rsid w:val="00985B41"/>
    <w:rsid w:val="00992715"/>
    <w:rsid w:val="00992A22"/>
    <w:rsid w:val="009938DD"/>
    <w:rsid w:val="00993E68"/>
    <w:rsid w:val="009A75DA"/>
    <w:rsid w:val="009A77A0"/>
    <w:rsid w:val="009C0CD6"/>
    <w:rsid w:val="009C7451"/>
    <w:rsid w:val="009C7E9B"/>
    <w:rsid w:val="009D02C3"/>
    <w:rsid w:val="009D0D1F"/>
    <w:rsid w:val="009D1A81"/>
    <w:rsid w:val="009D3BC9"/>
    <w:rsid w:val="009D6FF5"/>
    <w:rsid w:val="009E5A80"/>
    <w:rsid w:val="009E7B0E"/>
    <w:rsid w:val="009F0ACC"/>
    <w:rsid w:val="009F0F25"/>
    <w:rsid w:val="009F20C0"/>
    <w:rsid w:val="009F3359"/>
    <w:rsid w:val="009F3FAC"/>
    <w:rsid w:val="00A11AA1"/>
    <w:rsid w:val="00A15775"/>
    <w:rsid w:val="00A15CDC"/>
    <w:rsid w:val="00A161F7"/>
    <w:rsid w:val="00A22042"/>
    <w:rsid w:val="00A22F1F"/>
    <w:rsid w:val="00A241E3"/>
    <w:rsid w:val="00A242AF"/>
    <w:rsid w:val="00A265FB"/>
    <w:rsid w:val="00A35FAD"/>
    <w:rsid w:val="00A4012A"/>
    <w:rsid w:val="00A46FE1"/>
    <w:rsid w:val="00A471C9"/>
    <w:rsid w:val="00A5222A"/>
    <w:rsid w:val="00A57AC1"/>
    <w:rsid w:val="00A63F27"/>
    <w:rsid w:val="00A648D1"/>
    <w:rsid w:val="00A72FF8"/>
    <w:rsid w:val="00A73EAD"/>
    <w:rsid w:val="00A7549F"/>
    <w:rsid w:val="00A7713C"/>
    <w:rsid w:val="00A77ADB"/>
    <w:rsid w:val="00A83C03"/>
    <w:rsid w:val="00A8523F"/>
    <w:rsid w:val="00A92047"/>
    <w:rsid w:val="00A94FFE"/>
    <w:rsid w:val="00A95B03"/>
    <w:rsid w:val="00AA1019"/>
    <w:rsid w:val="00AA19C1"/>
    <w:rsid w:val="00AA256F"/>
    <w:rsid w:val="00AA5960"/>
    <w:rsid w:val="00AA7423"/>
    <w:rsid w:val="00AB0C83"/>
    <w:rsid w:val="00AB65D6"/>
    <w:rsid w:val="00AC35D3"/>
    <w:rsid w:val="00AD2584"/>
    <w:rsid w:val="00AD7A2A"/>
    <w:rsid w:val="00AE334F"/>
    <w:rsid w:val="00AE389B"/>
    <w:rsid w:val="00AE506F"/>
    <w:rsid w:val="00AE7404"/>
    <w:rsid w:val="00AF32BB"/>
    <w:rsid w:val="00AF5E57"/>
    <w:rsid w:val="00AF6D7C"/>
    <w:rsid w:val="00AF70DB"/>
    <w:rsid w:val="00AF772B"/>
    <w:rsid w:val="00B00004"/>
    <w:rsid w:val="00B07C42"/>
    <w:rsid w:val="00B1103E"/>
    <w:rsid w:val="00B145EA"/>
    <w:rsid w:val="00B14962"/>
    <w:rsid w:val="00B225ED"/>
    <w:rsid w:val="00B22A0C"/>
    <w:rsid w:val="00B242AA"/>
    <w:rsid w:val="00B3272A"/>
    <w:rsid w:val="00B34E05"/>
    <w:rsid w:val="00B40739"/>
    <w:rsid w:val="00B42D2F"/>
    <w:rsid w:val="00B43277"/>
    <w:rsid w:val="00B46374"/>
    <w:rsid w:val="00B52358"/>
    <w:rsid w:val="00B5518B"/>
    <w:rsid w:val="00B61F4D"/>
    <w:rsid w:val="00B64DC4"/>
    <w:rsid w:val="00B7175F"/>
    <w:rsid w:val="00B74C37"/>
    <w:rsid w:val="00B841C8"/>
    <w:rsid w:val="00B91A34"/>
    <w:rsid w:val="00B956A6"/>
    <w:rsid w:val="00B96263"/>
    <w:rsid w:val="00BA3A69"/>
    <w:rsid w:val="00BA42FD"/>
    <w:rsid w:val="00BA75F8"/>
    <w:rsid w:val="00BB5B11"/>
    <w:rsid w:val="00BB69E4"/>
    <w:rsid w:val="00BC610A"/>
    <w:rsid w:val="00BC6FD9"/>
    <w:rsid w:val="00BD4DA3"/>
    <w:rsid w:val="00BD5946"/>
    <w:rsid w:val="00BD5C83"/>
    <w:rsid w:val="00BD6304"/>
    <w:rsid w:val="00BD6DEF"/>
    <w:rsid w:val="00BE296F"/>
    <w:rsid w:val="00BE367B"/>
    <w:rsid w:val="00BE5994"/>
    <w:rsid w:val="00BE6013"/>
    <w:rsid w:val="00BF7A50"/>
    <w:rsid w:val="00C02BD0"/>
    <w:rsid w:val="00C06463"/>
    <w:rsid w:val="00C066C1"/>
    <w:rsid w:val="00C10D45"/>
    <w:rsid w:val="00C1146D"/>
    <w:rsid w:val="00C1716A"/>
    <w:rsid w:val="00C21414"/>
    <w:rsid w:val="00C217CE"/>
    <w:rsid w:val="00C2315E"/>
    <w:rsid w:val="00C34AB3"/>
    <w:rsid w:val="00C35546"/>
    <w:rsid w:val="00C36104"/>
    <w:rsid w:val="00C40EBB"/>
    <w:rsid w:val="00C42524"/>
    <w:rsid w:val="00C514A8"/>
    <w:rsid w:val="00C53F8F"/>
    <w:rsid w:val="00C62E62"/>
    <w:rsid w:val="00C654D3"/>
    <w:rsid w:val="00C702DC"/>
    <w:rsid w:val="00C754B2"/>
    <w:rsid w:val="00C75C57"/>
    <w:rsid w:val="00C833AF"/>
    <w:rsid w:val="00C8623B"/>
    <w:rsid w:val="00C91830"/>
    <w:rsid w:val="00C960E1"/>
    <w:rsid w:val="00CB77BE"/>
    <w:rsid w:val="00CC1AE5"/>
    <w:rsid w:val="00CC5FF7"/>
    <w:rsid w:val="00CC64DA"/>
    <w:rsid w:val="00CD16DF"/>
    <w:rsid w:val="00CD3540"/>
    <w:rsid w:val="00CD382A"/>
    <w:rsid w:val="00CD4CF9"/>
    <w:rsid w:val="00CE0C39"/>
    <w:rsid w:val="00CE2EEB"/>
    <w:rsid w:val="00CE4ED9"/>
    <w:rsid w:val="00CF2C17"/>
    <w:rsid w:val="00D00D1B"/>
    <w:rsid w:val="00D07FBF"/>
    <w:rsid w:val="00D12EA3"/>
    <w:rsid w:val="00D14E68"/>
    <w:rsid w:val="00D157FE"/>
    <w:rsid w:val="00D1794E"/>
    <w:rsid w:val="00D23F05"/>
    <w:rsid w:val="00D249A9"/>
    <w:rsid w:val="00D32B47"/>
    <w:rsid w:val="00D33888"/>
    <w:rsid w:val="00D41B1A"/>
    <w:rsid w:val="00D4457E"/>
    <w:rsid w:val="00D45223"/>
    <w:rsid w:val="00D510F8"/>
    <w:rsid w:val="00D5178D"/>
    <w:rsid w:val="00D55056"/>
    <w:rsid w:val="00D56CC1"/>
    <w:rsid w:val="00D61D38"/>
    <w:rsid w:val="00D655C7"/>
    <w:rsid w:val="00D66A20"/>
    <w:rsid w:val="00D66A42"/>
    <w:rsid w:val="00D725F9"/>
    <w:rsid w:val="00D75DE4"/>
    <w:rsid w:val="00D80807"/>
    <w:rsid w:val="00D83A91"/>
    <w:rsid w:val="00D91144"/>
    <w:rsid w:val="00D911BB"/>
    <w:rsid w:val="00D9615C"/>
    <w:rsid w:val="00D96760"/>
    <w:rsid w:val="00D969F4"/>
    <w:rsid w:val="00DA7BAE"/>
    <w:rsid w:val="00DB38BB"/>
    <w:rsid w:val="00DC1223"/>
    <w:rsid w:val="00DC2D46"/>
    <w:rsid w:val="00DC55B1"/>
    <w:rsid w:val="00DD0E26"/>
    <w:rsid w:val="00DD103E"/>
    <w:rsid w:val="00DD21B3"/>
    <w:rsid w:val="00DE128B"/>
    <w:rsid w:val="00DE2EE0"/>
    <w:rsid w:val="00DF1C0A"/>
    <w:rsid w:val="00E0462B"/>
    <w:rsid w:val="00E148A4"/>
    <w:rsid w:val="00E15DA7"/>
    <w:rsid w:val="00E24F73"/>
    <w:rsid w:val="00E26C65"/>
    <w:rsid w:val="00E418B9"/>
    <w:rsid w:val="00E41EC9"/>
    <w:rsid w:val="00E469B2"/>
    <w:rsid w:val="00E47AE3"/>
    <w:rsid w:val="00E54D74"/>
    <w:rsid w:val="00E64869"/>
    <w:rsid w:val="00E70BC1"/>
    <w:rsid w:val="00E7513C"/>
    <w:rsid w:val="00E7659F"/>
    <w:rsid w:val="00E76A80"/>
    <w:rsid w:val="00E80203"/>
    <w:rsid w:val="00E81411"/>
    <w:rsid w:val="00E82625"/>
    <w:rsid w:val="00E852E5"/>
    <w:rsid w:val="00E85D16"/>
    <w:rsid w:val="00E936B1"/>
    <w:rsid w:val="00E965EA"/>
    <w:rsid w:val="00EA4374"/>
    <w:rsid w:val="00EA68D7"/>
    <w:rsid w:val="00EB0515"/>
    <w:rsid w:val="00EB3B4F"/>
    <w:rsid w:val="00EB4B2E"/>
    <w:rsid w:val="00EB4FB9"/>
    <w:rsid w:val="00EB6E1F"/>
    <w:rsid w:val="00EB7FF1"/>
    <w:rsid w:val="00EC13C4"/>
    <w:rsid w:val="00EC1696"/>
    <w:rsid w:val="00EC6F93"/>
    <w:rsid w:val="00ED363D"/>
    <w:rsid w:val="00ED5404"/>
    <w:rsid w:val="00EE6C90"/>
    <w:rsid w:val="00EF3A11"/>
    <w:rsid w:val="00F03131"/>
    <w:rsid w:val="00F04C9C"/>
    <w:rsid w:val="00F12AA2"/>
    <w:rsid w:val="00F24163"/>
    <w:rsid w:val="00F4025B"/>
    <w:rsid w:val="00F535D7"/>
    <w:rsid w:val="00F53A87"/>
    <w:rsid w:val="00F56409"/>
    <w:rsid w:val="00F7149B"/>
    <w:rsid w:val="00F72D36"/>
    <w:rsid w:val="00F77925"/>
    <w:rsid w:val="00F869BA"/>
    <w:rsid w:val="00F913B9"/>
    <w:rsid w:val="00F917BF"/>
    <w:rsid w:val="00FA199A"/>
    <w:rsid w:val="00FA2BBB"/>
    <w:rsid w:val="00FA2CCD"/>
    <w:rsid w:val="00FC1DF5"/>
    <w:rsid w:val="00FD1B1C"/>
    <w:rsid w:val="00FD687E"/>
    <w:rsid w:val="00FD73F8"/>
    <w:rsid w:val="00FD78EF"/>
    <w:rsid w:val="00FE3C7B"/>
    <w:rsid w:val="00FF6245"/>
    <w:rsid w:val="011B2144"/>
    <w:rsid w:val="01E5574B"/>
    <w:rsid w:val="022649F5"/>
    <w:rsid w:val="05091A55"/>
    <w:rsid w:val="05BB2326"/>
    <w:rsid w:val="07B04604"/>
    <w:rsid w:val="0A3960E0"/>
    <w:rsid w:val="0A645B94"/>
    <w:rsid w:val="0C01394A"/>
    <w:rsid w:val="0E075378"/>
    <w:rsid w:val="0E505CB8"/>
    <w:rsid w:val="0E7024A1"/>
    <w:rsid w:val="0E7A44C2"/>
    <w:rsid w:val="0F2B696C"/>
    <w:rsid w:val="102173FB"/>
    <w:rsid w:val="103669F4"/>
    <w:rsid w:val="10452DA1"/>
    <w:rsid w:val="11876042"/>
    <w:rsid w:val="11E11021"/>
    <w:rsid w:val="12296EDC"/>
    <w:rsid w:val="124C1803"/>
    <w:rsid w:val="13EC4AA9"/>
    <w:rsid w:val="14733A48"/>
    <w:rsid w:val="158C6F70"/>
    <w:rsid w:val="15D54F0F"/>
    <w:rsid w:val="161A6DC6"/>
    <w:rsid w:val="168016D5"/>
    <w:rsid w:val="16976013"/>
    <w:rsid w:val="17354D00"/>
    <w:rsid w:val="17B3580D"/>
    <w:rsid w:val="17B634BB"/>
    <w:rsid w:val="189C242D"/>
    <w:rsid w:val="19515CC2"/>
    <w:rsid w:val="1AAE48A6"/>
    <w:rsid w:val="1B5A40CB"/>
    <w:rsid w:val="1B882707"/>
    <w:rsid w:val="1D5C7CC4"/>
    <w:rsid w:val="1DFE21D8"/>
    <w:rsid w:val="1F150CEA"/>
    <w:rsid w:val="1F8F4381"/>
    <w:rsid w:val="20E761A4"/>
    <w:rsid w:val="231A5B02"/>
    <w:rsid w:val="24312EC3"/>
    <w:rsid w:val="25733DFD"/>
    <w:rsid w:val="26A1217D"/>
    <w:rsid w:val="27E41A8F"/>
    <w:rsid w:val="294A65EE"/>
    <w:rsid w:val="298556B2"/>
    <w:rsid w:val="2AE57DE8"/>
    <w:rsid w:val="2B7D0EB2"/>
    <w:rsid w:val="2C5D1363"/>
    <w:rsid w:val="2D8A6187"/>
    <w:rsid w:val="2DA03BFD"/>
    <w:rsid w:val="2DC322C4"/>
    <w:rsid w:val="2E4A24C4"/>
    <w:rsid w:val="2E893E46"/>
    <w:rsid w:val="2EF57F78"/>
    <w:rsid w:val="307B6B9A"/>
    <w:rsid w:val="309767C4"/>
    <w:rsid w:val="31B5579D"/>
    <w:rsid w:val="32683721"/>
    <w:rsid w:val="326F3B9E"/>
    <w:rsid w:val="32F8719E"/>
    <w:rsid w:val="33071E17"/>
    <w:rsid w:val="34BA1A48"/>
    <w:rsid w:val="34D3771C"/>
    <w:rsid w:val="36145188"/>
    <w:rsid w:val="3768410E"/>
    <w:rsid w:val="37A00AEA"/>
    <w:rsid w:val="37B26A07"/>
    <w:rsid w:val="38563836"/>
    <w:rsid w:val="38887767"/>
    <w:rsid w:val="38AA7219"/>
    <w:rsid w:val="38DC5FCD"/>
    <w:rsid w:val="39270CFB"/>
    <w:rsid w:val="393218C3"/>
    <w:rsid w:val="3A0E7E7C"/>
    <w:rsid w:val="3A1C0EA5"/>
    <w:rsid w:val="3B5563E4"/>
    <w:rsid w:val="3D332398"/>
    <w:rsid w:val="3EA404FB"/>
    <w:rsid w:val="3F2D3B71"/>
    <w:rsid w:val="3FA04B2D"/>
    <w:rsid w:val="40C15F0C"/>
    <w:rsid w:val="4195322A"/>
    <w:rsid w:val="42547DB1"/>
    <w:rsid w:val="42EF4C01"/>
    <w:rsid w:val="43A85162"/>
    <w:rsid w:val="43D13DC3"/>
    <w:rsid w:val="45CE5353"/>
    <w:rsid w:val="468970DA"/>
    <w:rsid w:val="471A1B29"/>
    <w:rsid w:val="4856251F"/>
    <w:rsid w:val="49E113CD"/>
    <w:rsid w:val="4A18796F"/>
    <w:rsid w:val="4A986051"/>
    <w:rsid w:val="4C3A284B"/>
    <w:rsid w:val="4C5025D3"/>
    <w:rsid w:val="4CCB6BE3"/>
    <w:rsid w:val="4DBC09FD"/>
    <w:rsid w:val="4E893A05"/>
    <w:rsid w:val="4F196C82"/>
    <w:rsid w:val="505120D3"/>
    <w:rsid w:val="51844B18"/>
    <w:rsid w:val="519305DE"/>
    <w:rsid w:val="52486702"/>
    <w:rsid w:val="52DA47EF"/>
    <w:rsid w:val="53616C70"/>
    <w:rsid w:val="53C5334E"/>
    <w:rsid w:val="54510997"/>
    <w:rsid w:val="551F3084"/>
    <w:rsid w:val="55990DAE"/>
    <w:rsid w:val="56440D1A"/>
    <w:rsid w:val="570606C5"/>
    <w:rsid w:val="58710240"/>
    <w:rsid w:val="58C919AA"/>
    <w:rsid w:val="596A7545"/>
    <w:rsid w:val="59843637"/>
    <w:rsid w:val="59CE4131"/>
    <w:rsid w:val="59D95C1D"/>
    <w:rsid w:val="5A2812B5"/>
    <w:rsid w:val="5A324A75"/>
    <w:rsid w:val="5A475807"/>
    <w:rsid w:val="5AA21A3B"/>
    <w:rsid w:val="5BE66EB5"/>
    <w:rsid w:val="5C2C00C5"/>
    <w:rsid w:val="5C6E5C8D"/>
    <w:rsid w:val="5D334BD7"/>
    <w:rsid w:val="5D395350"/>
    <w:rsid w:val="5DB84EAE"/>
    <w:rsid w:val="5F4D6CC7"/>
    <w:rsid w:val="5FCE0E72"/>
    <w:rsid w:val="6014374B"/>
    <w:rsid w:val="60A30D33"/>
    <w:rsid w:val="60F02A2F"/>
    <w:rsid w:val="61036141"/>
    <w:rsid w:val="614A7384"/>
    <w:rsid w:val="62F06F3D"/>
    <w:rsid w:val="62F074F9"/>
    <w:rsid w:val="63131F02"/>
    <w:rsid w:val="63863F05"/>
    <w:rsid w:val="63E567BC"/>
    <w:rsid w:val="645543AB"/>
    <w:rsid w:val="64BE57CA"/>
    <w:rsid w:val="66560D21"/>
    <w:rsid w:val="668D2269"/>
    <w:rsid w:val="671A20F2"/>
    <w:rsid w:val="672E1089"/>
    <w:rsid w:val="67E018A2"/>
    <w:rsid w:val="68126F92"/>
    <w:rsid w:val="68FE64E8"/>
    <w:rsid w:val="69C773D0"/>
    <w:rsid w:val="69CC13DD"/>
    <w:rsid w:val="6A00682C"/>
    <w:rsid w:val="6A041F99"/>
    <w:rsid w:val="6B93382D"/>
    <w:rsid w:val="6BA0659B"/>
    <w:rsid w:val="6C5D119A"/>
    <w:rsid w:val="6CBC7404"/>
    <w:rsid w:val="6CBD5903"/>
    <w:rsid w:val="6D122439"/>
    <w:rsid w:val="6DEA1B19"/>
    <w:rsid w:val="6E6733A0"/>
    <w:rsid w:val="6E802FCF"/>
    <w:rsid w:val="6F1E72E7"/>
    <w:rsid w:val="6FD9207B"/>
    <w:rsid w:val="6FDE0AC5"/>
    <w:rsid w:val="70614E84"/>
    <w:rsid w:val="70B23153"/>
    <w:rsid w:val="70EE1AC5"/>
    <w:rsid w:val="71DF3CCD"/>
    <w:rsid w:val="73F71FB8"/>
    <w:rsid w:val="742C30C1"/>
    <w:rsid w:val="75504B8E"/>
    <w:rsid w:val="75B55338"/>
    <w:rsid w:val="75DA55C9"/>
    <w:rsid w:val="76BE156F"/>
    <w:rsid w:val="7778496A"/>
    <w:rsid w:val="779852C0"/>
    <w:rsid w:val="78D0229A"/>
    <w:rsid w:val="79A82152"/>
    <w:rsid w:val="7AA959BA"/>
    <w:rsid w:val="7BFD5426"/>
    <w:rsid w:val="7C403CA5"/>
    <w:rsid w:val="7CCD2F68"/>
    <w:rsid w:val="7E0578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3"/>
    <w:qFormat/>
    <w:uiPriority w:val="0"/>
    <w:pPr>
      <w:keepNext/>
      <w:keepLines/>
      <w:spacing w:before="340" w:after="330" w:line="578" w:lineRule="auto"/>
      <w:outlineLvl w:val="0"/>
    </w:pPr>
    <w:rPr>
      <w:b/>
      <w:bCs/>
      <w:kern w:val="44"/>
      <w:sz w:val="44"/>
      <w:szCs w:val="44"/>
      <w:lang w:val="zh-CN"/>
    </w:rPr>
  </w:style>
  <w:style w:type="paragraph" w:styleId="3">
    <w:name w:val="heading 3"/>
    <w:basedOn w:val="1"/>
    <w:next w:val="1"/>
    <w:link w:val="62"/>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61"/>
    <w:qFormat/>
    <w:uiPriority w:val="9"/>
    <w:pPr>
      <w:widowControl/>
      <w:spacing w:before="100" w:beforeAutospacing="1" w:after="100" w:afterAutospacing="1"/>
      <w:jc w:val="left"/>
      <w:outlineLvl w:val="3"/>
    </w:pPr>
    <w:rPr>
      <w:rFonts w:ascii="宋体" w:hAnsi="宋体" w:cs="宋体"/>
      <w:b/>
      <w:bCs/>
      <w:kern w:val="0"/>
      <w:sz w:val="24"/>
    </w:rPr>
  </w:style>
  <w:style w:type="character" w:default="1" w:styleId="41">
    <w:name w:val="Default Paragraph Font"/>
    <w:semiHidden/>
    <w:unhideWhenUsed/>
    <w:uiPriority w:val="1"/>
  </w:style>
  <w:style w:type="table" w:default="1" w:styleId="39">
    <w:name w:val="Normal Table"/>
    <w:semiHidden/>
    <w:unhideWhenUsed/>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link w:val="69"/>
    <w:semiHidden/>
    <w:qFormat/>
    <w:uiPriority w:val="0"/>
    <w:pPr>
      <w:shd w:val="clear" w:color="auto" w:fill="000080"/>
    </w:pPr>
  </w:style>
  <w:style w:type="paragraph" w:styleId="10">
    <w:name w:val="annotation text"/>
    <w:basedOn w:val="1"/>
    <w:link w:val="160"/>
    <w:qFormat/>
    <w:uiPriority w:val="0"/>
    <w:pPr>
      <w:jc w:val="left"/>
    </w:pPr>
    <w:rPr>
      <w:lang w:val="zh-CN"/>
    </w:r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Body Text"/>
    <w:basedOn w:val="1"/>
    <w:link w:val="162"/>
    <w:qFormat/>
    <w:uiPriority w:val="0"/>
    <w:pPr>
      <w:tabs>
        <w:tab w:val="left" w:pos="363"/>
      </w:tabs>
      <w:spacing w:after="120"/>
    </w:pPr>
    <w:rPr>
      <w:szCs w:val="20"/>
    </w:rPr>
  </w:style>
  <w:style w:type="paragraph" w:styleId="13">
    <w:name w:val="Body Text Indent"/>
    <w:basedOn w:val="1"/>
    <w:link w:val="163"/>
    <w:qFormat/>
    <w:uiPriority w:val="0"/>
    <w:pPr>
      <w:tabs>
        <w:tab w:val="left" w:pos="363"/>
      </w:tabs>
      <w:ind w:firstLine="570"/>
    </w:pPr>
    <w:rPr>
      <w:sz w:val="28"/>
      <w:szCs w:val="20"/>
    </w:rPr>
  </w:style>
  <w:style w:type="paragraph" w:styleId="14">
    <w:name w:val="index 4"/>
    <w:basedOn w:val="1"/>
    <w:next w:val="1"/>
    <w:qFormat/>
    <w:uiPriority w:val="0"/>
    <w:pPr>
      <w:ind w:left="840" w:hanging="210"/>
      <w:jc w:val="left"/>
    </w:pPr>
    <w:rPr>
      <w:rFonts w:ascii="Calibri" w:hAnsi="Calibri"/>
      <w:sz w:val="20"/>
      <w:szCs w:val="20"/>
    </w:rPr>
  </w:style>
  <w:style w:type="paragraph" w:styleId="15">
    <w:name w:val="toc 5"/>
    <w:basedOn w:val="1"/>
    <w:next w:val="1"/>
    <w:semiHidden/>
    <w:qFormat/>
    <w:uiPriority w:val="0"/>
    <w:pPr>
      <w:tabs>
        <w:tab w:val="right" w:leader="dot" w:pos="9241"/>
      </w:tabs>
      <w:ind w:firstLine="300" w:firstLineChars="300"/>
      <w:jc w:val="left"/>
    </w:pPr>
    <w:rPr>
      <w:rFonts w:ascii="宋体"/>
      <w:szCs w:val="21"/>
    </w:rPr>
  </w:style>
  <w:style w:type="paragraph" w:styleId="16">
    <w:name w:val="toc 3"/>
    <w:basedOn w:val="1"/>
    <w:next w:val="1"/>
    <w:qFormat/>
    <w:uiPriority w:val="39"/>
    <w:pPr>
      <w:tabs>
        <w:tab w:val="right" w:leader="dot" w:pos="9241"/>
      </w:tabs>
      <w:ind w:firstLine="102" w:firstLineChars="100"/>
      <w:jc w:val="left"/>
    </w:pPr>
    <w:rPr>
      <w:rFonts w:ascii="宋体"/>
      <w:szCs w:val="21"/>
    </w:rPr>
  </w:style>
  <w:style w:type="paragraph" w:styleId="17">
    <w:name w:val="toc 8"/>
    <w:basedOn w:val="1"/>
    <w:next w:val="1"/>
    <w:semiHidden/>
    <w:qFormat/>
    <w:uiPriority w:val="0"/>
    <w:pPr>
      <w:tabs>
        <w:tab w:val="right" w:leader="dot" w:pos="9241"/>
      </w:tabs>
      <w:ind w:firstLine="607" w:firstLineChars="600"/>
      <w:jc w:val="left"/>
    </w:pPr>
    <w:rPr>
      <w:rFonts w:ascii="宋体"/>
      <w:szCs w:val="21"/>
    </w:rPr>
  </w:style>
  <w:style w:type="paragraph" w:styleId="18">
    <w:name w:val="index 3"/>
    <w:basedOn w:val="1"/>
    <w:next w:val="1"/>
    <w:qFormat/>
    <w:uiPriority w:val="0"/>
    <w:pPr>
      <w:ind w:left="630" w:hanging="210"/>
      <w:jc w:val="left"/>
    </w:pPr>
    <w:rPr>
      <w:rFonts w:ascii="Calibri" w:hAnsi="Calibri"/>
      <w:sz w:val="20"/>
      <w:szCs w:val="20"/>
    </w:rPr>
  </w:style>
  <w:style w:type="paragraph" w:styleId="19">
    <w:name w:val="Date"/>
    <w:basedOn w:val="1"/>
    <w:next w:val="1"/>
    <w:link w:val="157"/>
    <w:qFormat/>
    <w:uiPriority w:val="0"/>
    <w:pPr>
      <w:ind w:left="100" w:leftChars="2500"/>
    </w:pPr>
    <w:rPr>
      <w:lang w:val="zh-CN"/>
    </w:rPr>
  </w:style>
  <w:style w:type="paragraph" w:styleId="20">
    <w:name w:val="endnote text"/>
    <w:basedOn w:val="1"/>
    <w:link w:val="72"/>
    <w:semiHidden/>
    <w:qFormat/>
    <w:uiPriority w:val="0"/>
    <w:pPr>
      <w:snapToGrid w:val="0"/>
      <w:jc w:val="left"/>
    </w:pPr>
  </w:style>
  <w:style w:type="paragraph" w:styleId="21">
    <w:name w:val="Balloon Text"/>
    <w:basedOn w:val="1"/>
    <w:link w:val="55"/>
    <w:unhideWhenUsed/>
    <w:qFormat/>
    <w:uiPriority w:val="0"/>
    <w:rPr>
      <w:sz w:val="18"/>
      <w:szCs w:val="18"/>
    </w:rPr>
  </w:style>
  <w:style w:type="paragraph" w:styleId="22">
    <w:name w:val="footer"/>
    <w:basedOn w:val="1"/>
    <w:link w:val="58"/>
    <w:unhideWhenUsed/>
    <w:qFormat/>
    <w:uiPriority w:val="99"/>
    <w:pPr>
      <w:tabs>
        <w:tab w:val="center" w:pos="4153"/>
        <w:tab w:val="right" w:pos="8306"/>
      </w:tabs>
      <w:snapToGrid w:val="0"/>
      <w:jc w:val="left"/>
    </w:pPr>
    <w:rPr>
      <w:sz w:val="18"/>
      <w:szCs w:val="18"/>
    </w:rPr>
  </w:style>
  <w:style w:type="paragraph" w:styleId="23">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5">
    <w:name w:val="toc 4"/>
    <w:basedOn w:val="1"/>
    <w:next w:val="1"/>
    <w:semiHidden/>
    <w:qFormat/>
    <w:uiPriority w:val="0"/>
    <w:pPr>
      <w:tabs>
        <w:tab w:val="right" w:leader="dot" w:pos="9241"/>
      </w:tabs>
      <w:ind w:firstLine="198"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50"/>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styleId="29">
    <w:name w:val="footnote text"/>
    <w:basedOn w:val="1"/>
    <w:link w:val="103"/>
    <w:qFormat/>
    <w:uiPriority w:val="0"/>
    <w:pPr>
      <w:numPr>
        <w:ilvl w:val="0"/>
        <w:numId w:val="1"/>
      </w:numPr>
      <w:snapToGrid w:val="0"/>
      <w:jc w:val="left"/>
    </w:pPr>
    <w:rPr>
      <w:rFonts w:ascii="宋体"/>
      <w:sz w:val="18"/>
      <w:szCs w:val="18"/>
    </w:rPr>
  </w:style>
  <w:style w:type="paragraph" w:styleId="30">
    <w:name w:val="toc 6"/>
    <w:basedOn w:val="1"/>
    <w:next w:val="1"/>
    <w:semiHidden/>
    <w:qFormat/>
    <w:uiPriority w:val="0"/>
    <w:pPr>
      <w:tabs>
        <w:tab w:val="right" w:leader="dot" w:pos="9241"/>
      </w:tabs>
      <w:ind w:firstLine="403" w:firstLineChars="400"/>
      <w:jc w:val="left"/>
    </w:pPr>
    <w:rPr>
      <w:rFonts w:ascii="宋体"/>
      <w:szCs w:val="21"/>
    </w:rPr>
  </w:style>
  <w:style w:type="paragraph" w:styleId="31">
    <w:name w:val="index 7"/>
    <w:basedOn w:val="1"/>
    <w:next w:val="1"/>
    <w:qFormat/>
    <w:uiPriority w:val="0"/>
    <w:pPr>
      <w:ind w:left="1470" w:hanging="210"/>
      <w:jc w:val="left"/>
    </w:pPr>
    <w:rPr>
      <w:rFonts w:ascii="Calibri" w:hAnsi="Calibri"/>
      <w:sz w:val="20"/>
      <w:szCs w:val="20"/>
    </w:rPr>
  </w:style>
  <w:style w:type="paragraph" w:styleId="32">
    <w:name w:val="index 9"/>
    <w:basedOn w:val="1"/>
    <w:next w:val="1"/>
    <w:qFormat/>
    <w:uiPriority w:val="0"/>
    <w:pPr>
      <w:ind w:left="1890" w:hanging="210"/>
      <w:jc w:val="left"/>
    </w:pPr>
    <w:rPr>
      <w:rFonts w:ascii="Calibri" w:hAnsi="Calibri"/>
      <w:sz w:val="20"/>
      <w:szCs w:val="20"/>
    </w:rPr>
  </w:style>
  <w:style w:type="paragraph" w:styleId="33">
    <w:name w:val="toc 2"/>
    <w:basedOn w:val="1"/>
    <w:next w:val="1"/>
    <w:semiHidden/>
    <w:qFormat/>
    <w:uiPriority w:val="0"/>
    <w:pPr>
      <w:tabs>
        <w:tab w:val="right" w:leader="dot" w:pos="9241"/>
      </w:tabs>
    </w:pPr>
    <w:rPr>
      <w:rFonts w:ascii="宋体"/>
      <w:szCs w:val="21"/>
    </w:rPr>
  </w:style>
  <w:style w:type="paragraph" w:styleId="34">
    <w:name w:val="toc 9"/>
    <w:basedOn w:val="1"/>
    <w:next w:val="1"/>
    <w:semiHidden/>
    <w:qFormat/>
    <w:uiPriority w:val="0"/>
    <w:pPr>
      <w:ind w:left="1470"/>
      <w:jc w:val="left"/>
    </w:pPr>
    <w:rPr>
      <w:sz w:val="20"/>
      <w:szCs w:val="20"/>
    </w:rPr>
  </w:style>
  <w:style w:type="paragraph" w:styleId="35">
    <w:name w:val="HTML Preformatted"/>
    <w:basedOn w:val="1"/>
    <w:link w:val="6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6">
    <w:name w:val="Normal (Web)"/>
    <w:basedOn w:val="1"/>
    <w:unhideWhenUsed/>
    <w:qFormat/>
    <w:uiPriority w:val="99"/>
    <w:pPr>
      <w:spacing w:before="100" w:beforeAutospacing="1" w:after="100" w:afterAutospacing="1"/>
      <w:jc w:val="left"/>
    </w:pPr>
    <w:rPr>
      <w:kern w:val="0"/>
      <w:sz w:val="24"/>
      <w:szCs w:val="20"/>
    </w:rPr>
  </w:style>
  <w:style w:type="paragraph" w:styleId="37">
    <w:name w:val="index 2"/>
    <w:basedOn w:val="1"/>
    <w:next w:val="1"/>
    <w:qFormat/>
    <w:uiPriority w:val="0"/>
    <w:pPr>
      <w:ind w:left="420" w:hanging="210"/>
      <w:jc w:val="left"/>
    </w:pPr>
    <w:rPr>
      <w:rFonts w:ascii="Calibri" w:hAnsi="Calibri"/>
      <w:sz w:val="20"/>
      <w:szCs w:val="20"/>
    </w:rPr>
  </w:style>
  <w:style w:type="paragraph" w:styleId="38">
    <w:name w:val="annotation subject"/>
    <w:basedOn w:val="10"/>
    <w:next w:val="10"/>
    <w:link w:val="161"/>
    <w:qFormat/>
    <w:uiPriority w:val="0"/>
    <w:rPr>
      <w:b/>
      <w:bCs/>
    </w:rPr>
  </w:style>
  <w:style w:type="table" w:styleId="40">
    <w:name w:val="Table Grid"/>
    <w:basedOn w:val="39"/>
    <w:qFormat/>
    <w:uiPriority w:val="0"/>
    <w:rPr>
      <w:rFonts w:ascii="Times New Roman" w:hAnsi="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42">
    <w:name w:val="Strong"/>
    <w:qFormat/>
    <w:uiPriority w:val="22"/>
    <w:rPr>
      <w:b/>
      <w:bCs/>
    </w:rPr>
  </w:style>
  <w:style w:type="character" w:styleId="43">
    <w:name w:val="endnote reference"/>
    <w:semiHidden/>
    <w:qFormat/>
    <w:uiPriority w:val="0"/>
    <w:rPr>
      <w:vertAlign w:val="superscript"/>
    </w:rPr>
  </w:style>
  <w:style w:type="character" w:styleId="44">
    <w:name w:val="page number"/>
    <w:qFormat/>
    <w:uiPriority w:val="0"/>
    <w:rPr>
      <w:rFonts w:ascii="Times New Roman" w:hAnsi="Times New Roman" w:eastAsia="宋体"/>
      <w:sz w:val="18"/>
    </w:rPr>
  </w:style>
  <w:style w:type="character" w:styleId="45">
    <w:name w:val="FollowedHyperlink"/>
    <w:qFormat/>
    <w:uiPriority w:val="0"/>
    <w:rPr>
      <w:color w:val="800080"/>
      <w:u w:val="single"/>
    </w:rPr>
  </w:style>
  <w:style w:type="character" w:styleId="46">
    <w:name w:val="Emphasis"/>
    <w:basedOn w:val="41"/>
    <w:qFormat/>
    <w:uiPriority w:val="20"/>
    <w:rPr>
      <w:i/>
      <w:iCs/>
    </w:rPr>
  </w:style>
  <w:style w:type="character" w:styleId="47">
    <w:name w:val="Hyperlink"/>
    <w:basedOn w:val="41"/>
    <w:unhideWhenUsed/>
    <w:qFormat/>
    <w:uiPriority w:val="0"/>
    <w:rPr>
      <w:color w:val="000000"/>
      <w:u w:val="none"/>
    </w:rPr>
  </w:style>
  <w:style w:type="character" w:styleId="48">
    <w:name w:val="annotation reference"/>
    <w:qFormat/>
    <w:uiPriority w:val="0"/>
    <w:rPr>
      <w:sz w:val="21"/>
      <w:szCs w:val="21"/>
    </w:rPr>
  </w:style>
  <w:style w:type="character" w:styleId="49">
    <w:name w:val="footnote reference"/>
    <w:semiHidden/>
    <w:qFormat/>
    <w:uiPriority w:val="0"/>
    <w:rPr>
      <w:vertAlign w:val="superscript"/>
    </w:rPr>
  </w:style>
  <w:style w:type="character" w:customStyle="1" w:styleId="50">
    <w:name w:val="段 Char"/>
    <w:basedOn w:val="41"/>
    <w:link w:val="28"/>
    <w:qFormat/>
    <w:uiPriority w:val="0"/>
    <w:rPr>
      <w:rFonts w:ascii="宋体"/>
    </w:rPr>
  </w:style>
  <w:style w:type="paragraph" w:customStyle="1" w:styleId="51">
    <w:name w:val="正文表标题"/>
    <w:next w:val="28"/>
    <w:qFormat/>
    <w:uiPriority w:val="0"/>
    <w:pPr>
      <w:tabs>
        <w:tab w:val="left" w:pos="360"/>
      </w:tabs>
      <w:spacing w:beforeLines="50" w:afterLines="50"/>
      <w:ind w:left="623" w:hanging="425"/>
      <w:jc w:val="center"/>
    </w:pPr>
    <w:rPr>
      <w:rFonts w:ascii="黑体" w:hAnsi="Times New Roman" w:eastAsia="黑体" w:cs="Times New Roman"/>
      <w:sz w:val="21"/>
      <w:lang w:val="en-US" w:eastAsia="zh-CN" w:bidi="ar-SA"/>
    </w:rPr>
  </w:style>
  <w:style w:type="paragraph" w:customStyle="1" w:styleId="52">
    <w:name w:val="附录标识"/>
    <w:basedOn w:val="1"/>
    <w:next w:val="28"/>
    <w:qFormat/>
    <w:uiPriority w:val="0"/>
    <w:pPr>
      <w:keepNext/>
      <w:widowControl/>
      <w:shd w:val="clear" w:color="FFFFFF" w:fill="FFFFFF"/>
      <w:tabs>
        <w:tab w:val="left" w:pos="360"/>
        <w:tab w:val="left" w:pos="720"/>
        <w:tab w:val="left" w:pos="6405"/>
      </w:tabs>
      <w:spacing w:before="640" w:after="280"/>
      <w:ind w:left="720" w:hanging="720"/>
      <w:jc w:val="center"/>
      <w:outlineLvl w:val="0"/>
    </w:pPr>
    <w:rPr>
      <w:rFonts w:ascii="黑体" w:eastAsia="黑体"/>
      <w:kern w:val="0"/>
      <w:szCs w:val="20"/>
    </w:rPr>
  </w:style>
  <w:style w:type="paragraph" w:customStyle="1" w:styleId="53">
    <w:name w:val="附录表标号"/>
    <w:basedOn w:val="1"/>
    <w:next w:val="28"/>
    <w:qFormat/>
    <w:uiPriority w:val="0"/>
    <w:pPr>
      <w:tabs>
        <w:tab w:val="left" w:pos="720"/>
      </w:tabs>
      <w:spacing w:line="14" w:lineRule="exact"/>
      <w:ind w:left="811" w:hanging="448"/>
      <w:jc w:val="center"/>
      <w:outlineLvl w:val="0"/>
    </w:pPr>
    <w:rPr>
      <w:color w:val="FFFFFF"/>
    </w:rPr>
  </w:style>
  <w:style w:type="paragraph" w:customStyle="1" w:styleId="54">
    <w:name w:val="附录图标号"/>
    <w:basedOn w:val="1"/>
    <w:qFormat/>
    <w:uiPriority w:val="0"/>
    <w:pPr>
      <w:keepNext/>
      <w:pageBreakBefore/>
      <w:widowControl/>
      <w:tabs>
        <w:tab w:val="left" w:pos="720"/>
      </w:tabs>
      <w:spacing w:line="14" w:lineRule="exact"/>
      <w:ind w:left="720" w:firstLine="363"/>
      <w:jc w:val="center"/>
      <w:outlineLvl w:val="0"/>
    </w:pPr>
    <w:rPr>
      <w:color w:val="FFFFFF"/>
    </w:rPr>
  </w:style>
  <w:style w:type="character" w:customStyle="1" w:styleId="55">
    <w:name w:val="批注框文本 字符"/>
    <w:basedOn w:val="41"/>
    <w:link w:val="21"/>
    <w:qFormat/>
    <w:uiPriority w:val="0"/>
    <w:rPr>
      <w:rFonts w:ascii="Times New Roman" w:hAnsi="Times New Roman" w:eastAsia="宋体" w:cs="Times New Roman"/>
      <w:sz w:val="18"/>
      <w:szCs w:val="18"/>
    </w:rPr>
  </w:style>
  <w:style w:type="paragraph" w:customStyle="1" w:styleId="56">
    <w:name w:val="章标题"/>
    <w:next w:val="28"/>
    <w:qFormat/>
    <w:uiPriority w:val="0"/>
    <w:pPr>
      <w:tabs>
        <w:tab w:val="left" w:pos="992"/>
      </w:tabs>
      <w:spacing w:beforeLines="50" w:afterLines="50"/>
      <w:ind w:left="992" w:hanging="567"/>
      <w:jc w:val="both"/>
      <w:outlineLvl w:val="1"/>
    </w:pPr>
    <w:rPr>
      <w:rFonts w:ascii="黑体" w:hAnsi="Calibri" w:eastAsia="黑体" w:cs="Times New Roman"/>
      <w:sz w:val="21"/>
      <w:szCs w:val="22"/>
      <w:lang w:val="en-US" w:eastAsia="zh-CN" w:bidi="ar-SA"/>
    </w:rPr>
  </w:style>
  <w:style w:type="character" w:customStyle="1" w:styleId="57">
    <w:name w:val="页眉 字符"/>
    <w:basedOn w:val="41"/>
    <w:link w:val="23"/>
    <w:qFormat/>
    <w:uiPriority w:val="99"/>
    <w:rPr>
      <w:rFonts w:ascii="Times New Roman" w:hAnsi="Times New Roman" w:eastAsia="宋体" w:cs="Times New Roman"/>
      <w:sz w:val="18"/>
      <w:szCs w:val="18"/>
    </w:rPr>
  </w:style>
  <w:style w:type="character" w:customStyle="1" w:styleId="58">
    <w:name w:val="页脚 字符"/>
    <w:basedOn w:val="41"/>
    <w:link w:val="22"/>
    <w:qFormat/>
    <w:uiPriority w:val="99"/>
    <w:rPr>
      <w:rFonts w:ascii="Times New Roman" w:hAnsi="Times New Roman" w:eastAsia="宋体" w:cs="Times New Roman"/>
      <w:sz w:val="18"/>
      <w:szCs w:val="18"/>
    </w:rPr>
  </w:style>
  <w:style w:type="paragraph" w:styleId="59">
    <w:name w:val="List Paragraph"/>
    <w:basedOn w:val="1"/>
    <w:qFormat/>
    <w:uiPriority w:val="34"/>
    <w:pPr>
      <w:ind w:firstLine="420" w:firstLineChars="200"/>
    </w:pPr>
  </w:style>
  <w:style w:type="character" w:customStyle="1" w:styleId="60">
    <w:name w:val="HTML 预设格式 字符"/>
    <w:basedOn w:val="41"/>
    <w:link w:val="35"/>
    <w:qFormat/>
    <w:uiPriority w:val="99"/>
    <w:rPr>
      <w:rFonts w:ascii="宋体" w:hAnsi="宋体" w:eastAsia="宋体" w:cs="宋体"/>
      <w:kern w:val="0"/>
      <w:sz w:val="24"/>
      <w:szCs w:val="24"/>
    </w:rPr>
  </w:style>
  <w:style w:type="character" w:customStyle="1" w:styleId="61">
    <w:name w:val="标题 4 字符"/>
    <w:basedOn w:val="41"/>
    <w:link w:val="4"/>
    <w:qFormat/>
    <w:uiPriority w:val="9"/>
    <w:rPr>
      <w:rFonts w:ascii="宋体" w:hAnsi="宋体" w:eastAsia="宋体" w:cs="宋体"/>
      <w:b/>
      <w:bCs/>
      <w:kern w:val="0"/>
      <w:sz w:val="24"/>
      <w:szCs w:val="24"/>
    </w:rPr>
  </w:style>
  <w:style w:type="character" w:customStyle="1" w:styleId="62">
    <w:name w:val="标题 3 字符"/>
    <w:basedOn w:val="41"/>
    <w:link w:val="3"/>
    <w:qFormat/>
    <w:uiPriority w:val="9"/>
    <w:rPr>
      <w:rFonts w:ascii="Times New Roman" w:hAnsi="Times New Roman" w:eastAsia="宋体" w:cs="Times New Roman"/>
      <w:b/>
      <w:bCs/>
      <w:sz w:val="32"/>
      <w:szCs w:val="32"/>
    </w:rPr>
  </w:style>
  <w:style w:type="character" w:customStyle="1" w:styleId="63">
    <w:name w:val="标题 1 字符"/>
    <w:basedOn w:val="41"/>
    <w:link w:val="2"/>
    <w:qFormat/>
    <w:uiPriority w:val="0"/>
    <w:rPr>
      <w:rFonts w:ascii="Times New Roman" w:hAnsi="Times New Roman" w:eastAsia="宋体" w:cs="Times New Roman"/>
      <w:b/>
      <w:bCs/>
      <w:kern w:val="44"/>
      <w:sz w:val="44"/>
      <w:szCs w:val="44"/>
      <w:lang w:val="zh-CN" w:eastAsia="zh-CN"/>
    </w:rPr>
  </w:style>
  <w:style w:type="character" w:customStyle="1" w:styleId="64">
    <w:name w:val="发布"/>
    <w:qFormat/>
    <w:uiPriority w:val="0"/>
    <w:rPr>
      <w:rFonts w:ascii="黑体" w:eastAsia="黑体"/>
      <w:spacing w:val="85"/>
      <w:w w:val="100"/>
      <w:position w:val="3"/>
      <w:sz w:val="28"/>
      <w:szCs w:val="28"/>
    </w:rPr>
  </w:style>
  <w:style w:type="character" w:customStyle="1" w:styleId="65">
    <w:name w:val="附录公式 Char"/>
    <w:basedOn w:val="50"/>
    <w:link w:val="66"/>
    <w:qFormat/>
    <w:uiPriority w:val="0"/>
    <w:rPr>
      <w:rFonts w:ascii="宋体"/>
    </w:rPr>
  </w:style>
  <w:style w:type="paragraph" w:customStyle="1" w:styleId="66">
    <w:name w:val="附录公式"/>
    <w:basedOn w:val="28"/>
    <w:next w:val="28"/>
    <w:link w:val="65"/>
    <w:qFormat/>
    <w:uiPriority w:val="0"/>
  </w:style>
  <w:style w:type="character" w:customStyle="1" w:styleId="67">
    <w:name w:val="首示例 Char"/>
    <w:link w:val="68"/>
    <w:qFormat/>
    <w:uiPriority w:val="0"/>
    <w:rPr>
      <w:rFonts w:ascii="宋体" w:hAnsi="宋体"/>
      <w:sz w:val="18"/>
      <w:szCs w:val="18"/>
    </w:rPr>
  </w:style>
  <w:style w:type="paragraph" w:customStyle="1" w:styleId="68">
    <w:name w:val="首示例"/>
    <w:next w:val="28"/>
    <w:link w:val="67"/>
    <w:qFormat/>
    <w:uiPriority w:val="0"/>
    <w:pPr>
      <w:numPr>
        <w:ilvl w:val="0"/>
        <w:numId w:val="2"/>
      </w:numPr>
      <w:tabs>
        <w:tab w:val="left" w:pos="360"/>
      </w:tabs>
      <w:ind w:firstLine="0"/>
    </w:pPr>
    <w:rPr>
      <w:rFonts w:ascii="宋体" w:hAnsi="宋体" w:eastAsiaTheme="minorEastAsia" w:cstheme="minorBidi"/>
      <w:kern w:val="2"/>
      <w:sz w:val="18"/>
      <w:szCs w:val="18"/>
      <w:lang w:val="en-US" w:eastAsia="zh-CN" w:bidi="ar-SA"/>
    </w:rPr>
  </w:style>
  <w:style w:type="character" w:customStyle="1" w:styleId="69">
    <w:name w:val="文档结构图 字符"/>
    <w:basedOn w:val="41"/>
    <w:link w:val="9"/>
    <w:semiHidden/>
    <w:qFormat/>
    <w:uiPriority w:val="0"/>
    <w:rPr>
      <w:rFonts w:ascii="Times New Roman" w:hAnsi="Times New Roman" w:eastAsia="宋体" w:cs="Times New Roman"/>
      <w:szCs w:val="24"/>
      <w:shd w:val="clear" w:color="auto" w:fill="000080"/>
    </w:rPr>
  </w:style>
  <w:style w:type="paragraph" w:customStyle="1" w:styleId="70">
    <w:name w:val="注×：（正文）"/>
    <w:qFormat/>
    <w:uiPriority w:val="0"/>
    <w:pPr>
      <w:numPr>
        <w:ilvl w:val="0"/>
        <w:numId w:val="3"/>
      </w:numPr>
      <w:jc w:val="both"/>
    </w:pPr>
    <w:rPr>
      <w:rFonts w:ascii="宋体" w:hAnsi="Times New Roman" w:eastAsia="宋体" w:cs="Times New Roman"/>
      <w:sz w:val="18"/>
      <w:szCs w:val="18"/>
      <w:lang w:val="en-US" w:eastAsia="zh-CN" w:bidi="ar-SA"/>
    </w:rPr>
  </w:style>
  <w:style w:type="paragraph" w:customStyle="1" w:styleId="7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character" w:customStyle="1" w:styleId="72">
    <w:name w:val="尾注文本 字符"/>
    <w:basedOn w:val="41"/>
    <w:link w:val="20"/>
    <w:semiHidden/>
    <w:qFormat/>
    <w:uiPriority w:val="0"/>
    <w:rPr>
      <w:rFonts w:ascii="Times New Roman" w:hAnsi="Times New Roman" w:eastAsia="宋体" w:cs="Times New Roman"/>
      <w:szCs w:val="24"/>
    </w:r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编号列项（三级）"/>
    <w:qFormat/>
    <w:uiPriority w:val="0"/>
    <w:rPr>
      <w:rFonts w:ascii="宋体" w:hAnsi="Times New Roman" w:eastAsia="宋体" w:cs="Times New Roman"/>
      <w:sz w:val="21"/>
      <w:lang w:val="en-US" w:eastAsia="zh-CN" w:bidi="ar-SA"/>
    </w:rPr>
  </w:style>
  <w:style w:type="paragraph" w:customStyle="1" w:styleId="75">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76">
    <w:name w:val="列项◆（三级）"/>
    <w:basedOn w:val="1"/>
    <w:qFormat/>
    <w:uiPriority w:val="0"/>
    <w:pPr>
      <w:numPr>
        <w:ilvl w:val="2"/>
        <w:numId w:val="4"/>
      </w:numPr>
    </w:pPr>
    <w:rPr>
      <w:rFonts w:ascii="宋体"/>
      <w:szCs w:val="21"/>
    </w:rPr>
  </w:style>
  <w:style w:type="paragraph" w:customStyle="1" w:styleId="77">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8">
    <w:name w:val="图表脚注说明"/>
    <w:basedOn w:val="1"/>
    <w:qFormat/>
    <w:uiPriority w:val="0"/>
    <w:pPr>
      <w:numPr>
        <w:ilvl w:val="0"/>
        <w:numId w:val="6"/>
      </w:numPr>
    </w:pPr>
    <w:rPr>
      <w:rFonts w:ascii="宋体"/>
      <w:sz w:val="18"/>
      <w:szCs w:val="18"/>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二级无"/>
    <w:basedOn w:val="82"/>
    <w:qFormat/>
    <w:uiPriority w:val="0"/>
    <w:pPr>
      <w:spacing w:before="0" w:beforeLines="0" w:after="0" w:afterLines="0"/>
    </w:pPr>
    <w:rPr>
      <w:rFonts w:ascii="宋体" w:eastAsia="宋体"/>
    </w:rPr>
  </w:style>
  <w:style w:type="paragraph" w:customStyle="1" w:styleId="82">
    <w:name w:val="二级条标题"/>
    <w:basedOn w:val="83"/>
    <w:next w:val="28"/>
    <w:qFormat/>
    <w:uiPriority w:val="0"/>
    <w:pPr>
      <w:spacing w:before="50" w:after="50"/>
      <w:outlineLvl w:val="3"/>
    </w:pPr>
  </w:style>
  <w:style w:type="paragraph" w:customStyle="1" w:styleId="83">
    <w:name w:val="一级条标题"/>
    <w:next w:val="28"/>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84">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5">
    <w:name w:val="示例×："/>
    <w:basedOn w:val="56"/>
    <w:qFormat/>
    <w:uiPriority w:val="0"/>
    <w:pPr>
      <w:numPr>
        <w:ilvl w:val="0"/>
        <w:numId w:val="7"/>
      </w:numPr>
      <w:spacing w:beforeLines="0" w:afterLines="0"/>
      <w:outlineLvl w:val="9"/>
    </w:pPr>
    <w:rPr>
      <w:rFonts w:ascii="宋体" w:hAnsi="Times New Roman" w:eastAsia="宋体"/>
      <w:sz w:val="18"/>
      <w:szCs w:val="18"/>
    </w:rPr>
  </w:style>
  <w:style w:type="paragraph" w:customStyle="1" w:styleId="86">
    <w:name w:val="三级条标题"/>
    <w:basedOn w:val="82"/>
    <w:next w:val="28"/>
    <w:qFormat/>
    <w:uiPriority w:val="0"/>
    <w:pPr>
      <w:outlineLvl w:val="4"/>
    </w:pPr>
  </w:style>
  <w:style w:type="paragraph" w:customStyle="1" w:styleId="87">
    <w:name w:val="封面标准文稿编辑信息"/>
    <w:basedOn w:val="88"/>
    <w:qFormat/>
    <w:uiPriority w:val="0"/>
    <w:pPr>
      <w:framePr w:wrap="around"/>
      <w:spacing w:before="180" w:line="180" w:lineRule="exact"/>
    </w:pPr>
    <w:rPr>
      <w:sz w:val="21"/>
    </w:rPr>
  </w:style>
  <w:style w:type="paragraph" w:customStyle="1" w:styleId="88">
    <w:name w:val="封面标准文稿类别"/>
    <w:basedOn w:val="89"/>
    <w:qFormat/>
    <w:uiPriority w:val="0"/>
    <w:pPr>
      <w:framePr w:wrap="around"/>
      <w:spacing w:after="160" w:line="240" w:lineRule="auto"/>
    </w:pPr>
    <w:rPr>
      <w:sz w:val="24"/>
    </w:rPr>
  </w:style>
  <w:style w:type="paragraph" w:customStyle="1" w:styleId="89">
    <w:name w:val="封面一致性程度标识"/>
    <w:basedOn w:val="79"/>
    <w:qFormat/>
    <w:uiPriority w:val="0"/>
    <w:pPr>
      <w:framePr w:wrap="around"/>
      <w:spacing w:before="440"/>
    </w:pPr>
    <w:rPr>
      <w:rFonts w:ascii="宋体" w:eastAsia="宋体"/>
    </w:rPr>
  </w:style>
  <w:style w:type="paragraph" w:customStyle="1" w:styleId="9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91">
    <w:name w:val="其他发布部门"/>
    <w:basedOn w:val="92"/>
    <w:qFormat/>
    <w:uiPriority w:val="0"/>
    <w:pPr>
      <w:framePr w:wrap="around" w:y="15310"/>
      <w:spacing w:line="0" w:lineRule="atLeast"/>
    </w:pPr>
    <w:rPr>
      <w:rFonts w:ascii="黑体" w:eastAsia="黑体"/>
      <w:b w:val="0"/>
    </w:rPr>
  </w:style>
  <w:style w:type="paragraph" w:customStyle="1" w:styleId="92">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3">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4">
    <w:name w:val="实施日期"/>
    <w:basedOn w:val="71"/>
    <w:qFormat/>
    <w:uiPriority w:val="0"/>
    <w:pPr>
      <w:framePr w:wrap="around" w:vAnchor="page" w:hAnchor="text"/>
      <w:jc w:val="right"/>
    </w:pPr>
  </w:style>
  <w:style w:type="paragraph" w:customStyle="1" w:styleId="9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96">
    <w:name w:val="注："/>
    <w:next w:val="28"/>
    <w:qFormat/>
    <w:uiPriority w:val="0"/>
    <w:pPr>
      <w:widowControl w:val="0"/>
      <w:numPr>
        <w:ilvl w:val="0"/>
        <w:numId w:val="8"/>
      </w:numPr>
      <w:autoSpaceDE w:val="0"/>
      <w:autoSpaceDN w:val="0"/>
      <w:jc w:val="both"/>
    </w:pPr>
    <w:rPr>
      <w:rFonts w:ascii="宋体" w:hAnsi="Times New Roman" w:eastAsia="宋体" w:cs="Times New Roman"/>
      <w:sz w:val="18"/>
      <w:szCs w:val="18"/>
      <w:lang w:val="en-US" w:eastAsia="zh-CN" w:bidi="ar-SA"/>
    </w:rPr>
  </w:style>
  <w:style w:type="paragraph" w:customStyle="1" w:styleId="97">
    <w:name w:val="四级无"/>
    <w:basedOn w:val="98"/>
    <w:qFormat/>
    <w:uiPriority w:val="0"/>
    <w:pPr>
      <w:spacing w:before="0" w:beforeLines="0" w:after="0" w:afterLines="0"/>
    </w:pPr>
    <w:rPr>
      <w:rFonts w:ascii="宋体" w:eastAsia="宋体"/>
    </w:rPr>
  </w:style>
  <w:style w:type="paragraph" w:customStyle="1" w:styleId="98">
    <w:name w:val="四级条标题"/>
    <w:basedOn w:val="86"/>
    <w:next w:val="28"/>
    <w:qFormat/>
    <w:uiPriority w:val="0"/>
    <w:pPr>
      <w:outlineLvl w:val="5"/>
    </w:pPr>
  </w:style>
  <w:style w:type="paragraph" w:customStyle="1" w:styleId="99">
    <w:name w:val="列项——（一级）"/>
    <w:qFormat/>
    <w:uiPriority w:val="0"/>
    <w:pPr>
      <w:widowControl w:val="0"/>
      <w:numPr>
        <w:ilvl w:val="0"/>
        <w:numId w:val="4"/>
      </w:numPr>
      <w:ind w:left="833"/>
      <w:jc w:val="both"/>
    </w:pPr>
    <w:rPr>
      <w:rFonts w:ascii="宋体" w:hAnsi="Times New Roman" w:eastAsia="宋体" w:cs="Times New Roman"/>
      <w:sz w:val="21"/>
      <w:lang w:val="en-US" w:eastAsia="zh-CN" w:bidi="ar-SA"/>
    </w:rPr>
  </w:style>
  <w:style w:type="paragraph" w:customStyle="1" w:styleId="100">
    <w:name w:val="封面标准文稿类别2"/>
    <w:basedOn w:val="88"/>
    <w:qFormat/>
    <w:uiPriority w:val="0"/>
    <w:pPr>
      <w:framePr w:wrap="around" w:y="4469"/>
    </w:pPr>
  </w:style>
  <w:style w:type="paragraph" w:customStyle="1" w:styleId="10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0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character" w:customStyle="1" w:styleId="103">
    <w:name w:val="脚注文本 字符"/>
    <w:basedOn w:val="41"/>
    <w:link w:val="29"/>
    <w:qFormat/>
    <w:uiPriority w:val="0"/>
    <w:rPr>
      <w:rFonts w:ascii="宋体" w:hAnsi="Times New Roman" w:eastAsia="宋体" w:cs="Times New Roman"/>
      <w:sz w:val="18"/>
      <w:szCs w:val="18"/>
    </w:rPr>
  </w:style>
  <w:style w:type="paragraph" w:customStyle="1" w:styleId="104">
    <w:name w:val="标准书眉_偶数页"/>
    <w:basedOn w:val="105"/>
    <w:next w:val="1"/>
    <w:qFormat/>
    <w:uiPriority w:val="0"/>
    <w:pPr>
      <w:tabs>
        <w:tab w:val="center" w:pos="4154"/>
        <w:tab w:val="right" w:pos="8306"/>
      </w:tabs>
      <w:jc w:val="left"/>
    </w:pPr>
  </w:style>
  <w:style w:type="paragraph" w:customStyle="1" w:styleId="10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06">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07">
    <w:name w:val="示例后文字"/>
    <w:basedOn w:val="28"/>
    <w:next w:val="28"/>
    <w:qFormat/>
    <w:uiPriority w:val="0"/>
    <w:pPr>
      <w:ind w:firstLine="360"/>
    </w:pPr>
    <w:rPr>
      <w:rFonts w:hAnsi="Times New Roman" w:eastAsia="宋体" w:cs="Times New Roman"/>
      <w:kern w:val="0"/>
      <w:sz w:val="18"/>
      <w:szCs w:val="20"/>
    </w:rPr>
  </w:style>
  <w:style w:type="paragraph" w:customStyle="1" w:styleId="108">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9">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10">
    <w:name w:val="五级无"/>
    <w:basedOn w:val="111"/>
    <w:qFormat/>
    <w:uiPriority w:val="0"/>
    <w:pPr>
      <w:spacing w:before="0" w:beforeLines="0" w:after="0" w:afterLines="0"/>
    </w:pPr>
    <w:rPr>
      <w:rFonts w:ascii="宋体" w:eastAsia="宋体"/>
    </w:rPr>
  </w:style>
  <w:style w:type="paragraph" w:customStyle="1" w:styleId="111">
    <w:name w:val="五级条标题"/>
    <w:basedOn w:val="98"/>
    <w:next w:val="28"/>
    <w:qFormat/>
    <w:uiPriority w:val="0"/>
    <w:pPr>
      <w:outlineLvl w:val="6"/>
    </w:pPr>
  </w:style>
  <w:style w:type="paragraph" w:customStyle="1" w:styleId="11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13">
    <w:name w:val="图标脚注说明"/>
    <w:basedOn w:val="28"/>
    <w:qFormat/>
    <w:uiPriority w:val="0"/>
    <w:pPr>
      <w:ind w:left="840" w:hanging="420" w:firstLineChars="0"/>
    </w:pPr>
    <w:rPr>
      <w:rFonts w:hAnsi="Times New Roman" w:eastAsia="宋体" w:cs="Times New Roman"/>
      <w:kern w:val="0"/>
      <w:sz w:val="18"/>
      <w:szCs w:val="18"/>
    </w:rPr>
  </w:style>
  <w:style w:type="paragraph" w:customStyle="1" w:styleId="11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1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16">
    <w:name w:val="一级无"/>
    <w:basedOn w:val="83"/>
    <w:qFormat/>
    <w:uiPriority w:val="0"/>
    <w:pPr>
      <w:spacing w:before="0" w:beforeLines="0" w:after="0" w:afterLines="0"/>
    </w:pPr>
    <w:rPr>
      <w:rFonts w:ascii="宋体" w:eastAsia="宋体"/>
    </w:rPr>
  </w:style>
  <w:style w:type="paragraph" w:customStyle="1" w:styleId="117">
    <w:name w:val="注：（正文）"/>
    <w:basedOn w:val="96"/>
    <w:next w:val="28"/>
    <w:qFormat/>
    <w:uiPriority w:val="0"/>
    <w:pPr>
      <w:numPr>
        <w:ilvl w:val="0"/>
        <w:numId w:val="10"/>
      </w:numPr>
    </w:pPr>
  </w:style>
  <w:style w:type="paragraph" w:customStyle="1" w:styleId="118">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119">
    <w:name w:val="三级无"/>
    <w:basedOn w:val="86"/>
    <w:qFormat/>
    <w:uiPriority w:val="0"/>
    <w:pPr>
      <w:spacing w:before="0" w:beforeLines="0" w:after="0" w:afterLines="0"/>
    </w:pPr>
    <w:rPr>
      <w:rFonts w:ascii="宋体" w:eastAsia="宋体"/>
    </w:rPr>
  </w:style>
  <w:style w:type="paragraph" w:customStyle="1" w:styleId="120">
    <w:name w:val="示例"/>
    <w:next w:val="114"/>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12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2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3">
    <w:name w:val="封面正文"/>
    <w:qFormat/>
    <w:uiPriority w:val="0"/>
    <w:pPr>
      <w:jc w:val="both"/>
    </w:pPr>
    <w:rPr>
      <w:rFonts w:ascii="Times New Roman" w:hAnsi="Times New Roman" w:eastAsia="宋体" w:cs="Times New Roman"/>
      <w:lang w:val="en-US" w:eastAsia="zh-CN" w:bidi="ar-SA"/>
    </w:rPr>
  </w:style>
  <w:style w:type="paragraph" w:customStyle="1" w:styleId="124">
    <w:name w:val="附录标题"/>
    <w:basedOn w:val="28"/>
    <w:next w:val="28"/>
    <w:qFormat/>
    <w:uiPriority w:val="0"/>
    <w:pPr>
      <w:ind w:firstLine="0" w:firstLineChars="0"/>
      <w:jc w:val="center"/>
    </w:pPr>
    <w:rPr>
      <w:rFonts w:ascii="黑体" w:hAnsi="Times New Roman" w:eastAsia="黑体" w:cs="Times New Roman"/>
      <w:kern w:val="0"/>
      <w:szCs w:val="20"/>
    </w:rPr>
  </w:style>
  <w:style w:type="paragraph" w:customStyle="1" w:styleId="125">
    <w:name w:val="附录表标题"/>
    <w:basedOn w:val="1"/>
    <w:next w:val="28"/>
    <w:qFormat/>
    <w:uiPriority w:val="0"/>
    <w:pPr>
      <w:tabs>
        <w:tab w:val="left" w:pos="180"/>
      </w:tabs>
      <w:spacing w:before="50" w:beforeLines="50" w:after="50" w:afterLines="50"/>
      <w:jc w:val="center"/>
    </w:pPr>
    <w:rPr>
      <w:rFonts w:ascii="黑体" w:eastAsia="黑体"/>
      <w:szCs w:val="21"/>
    </w:rPr>
  </w:style>
  <w:style w:type="paragraph" w:customStyle="1" w:styleId="126">
    <w:name w:val="附录二级条标题"/>
    <w:basedOn w:val="1"/>
    <w:next w:val="28"/>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27">
    <w:name w:val="附录二级无"/>
    <w:basedOn w:val="126"/>
    <w:qFormat/>
    <w:uiPriority w:val="0"/>
    <w:pPr>
      <w:tabs>
        <w:tab w:val="clear" w:pos="360"/>
      </w:tabs>
      <w:spacing w:before="0" w:beforeLines="0" w:after="0" w:afterLines="0"/>
    </w:pPr>
    <w:rPr>
      <w:rFonts w:ascii="宋体" w:eastAsia="宋体"/>
      <w:szCs w:val="21"/>
    </w:rPr>
  </w:style>
  <w:style w:type="paragraph" w:customStyle="1" w:styleId="128">
    <w:name w:val="附录五级条标题"/>
    <w:basedOn w:val="129"/>
    <w:next w:val="28"/>
    <w:qFormat/>
    <w:uiPriority w:val="0"/>
    <w:pPr>
      <w:tabs>
        <w:tab w:val="left" w:pos="360"/>
      </w:tabs>
      <w:outlineLvl w:val="6"/>
    </w:pPr>
  </w:style>
  <w:style w:type="paragraph" w:customStyle="1" w:styleId="129">
    <w:name w:val="附录四级条标题"/>
    <w:basedOn w:val="130"/>
    <w:next w:val="28"/>
    <w:qFormat/>
    <w:uiPriority w:val="0"/>
    <w:pPr>
      <w:tabs>
        <w:tab w:val="left" w:pos="360"/>
      </w:tabs>
      <w:outlineLvl w:val="5"/>
    </w:pPr>
  </w:style>
  <w:style w:type="paragraph" w:customStyle="1" w:styleId="130">
    <w:name w:val="附录三级条标题"/>
    <w:basedOn w:val="126"/>
    <w:next w:val="28"/>
    <w:qFormat/>
    <w:uiPriority w:val="0"/>
    <w:pPr>
      <w:outlineLvl w:val="4"/>
    </w:pPr>
  </w:style>
  <w:style w:type="paragraph" w:customStyle="1" w:styleId="131">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32">
    <w:name w:val="附录三级无"/>
    <w:basedOn w:val="130"/>
    <w:qFormat/>
    <w:uiPriority w:val="0"/>
    <w:pPr>
      <w:tabs>
        <w:tab w:val="clear" w:pos="360"/>
      </w:tabs>
      <w:spacing w:before="0" w:beforeLines="0" w:after="0" w:afterLines="0"/>
    </w:pPr>
    <w:rPr>
      <w:rFonts w:ascii="宋体" w:eastAsia="宋体"/>
      <w:szCs w:val="21"/>
    </w:rPr>
  </w:style>
  <w:style w:type="paragraph" w:customStyle="1" w:styleId="133">
    <w:name w:val="其他发布日期"/>
    <w:basedOn w:val="71"/>
    <w:qFormat/>
    <w:uiPriority w:val="0"/>
    <w:pPr>
      <w:framePr w:wrap="around" w:vAnchor="page" w:hAnchor="text" w:x="1419"/>
    </w:pPr>
  </w:style>
  <w:style w:type="paragraph" w:customStyle="1" w:styleId="134">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35">
    <w:name w:val="附录一级无"/>
    <w:basedOn w:val="136"/>
    <w:qFormat/>
    <w:uiPriority w:val="0"/>
    <w:pPr>
      <w:tabs>
        <w:tab w:val="left" w:pos="360"/>
      </w:tabs>
      <w:spacing w:before="0" w:beforeLines="0" w:after="0" w:afterLines="0"/>
    </w:pPr>
    <w:rPr>
      <w:rFonts w:ascii="宋体" w:eastAsia="宋体"/>
      <w:szCs w:val="21"/>
    </w:rPr>
  </w:style>
  <w:style w:type="paragraph" w:customStyle="1" w:styleId="136">
    <w:name w:val="附录一级条标题"/>
    <w:basedOn w:val="137"/>
    <w:next w:val="28"/>
    <w:qFormat/>
    <w:uiPriority w:val="0"/>
    <w:pPr>
      <w:tabs>
        <w:tab w:val="left" w:pos="360"/>
      </w:tabs>
      <w:autoSpaceDN w:val="0"/>
      <w:spacing w:before="50" w:beforeLines="50" w:after="50" w:afterLines="50"/>
      <w:outlineLvl w:val="2"/>
    </w:pPr>
  </w:style>
  <w:style w:type="paragraph" w:customStyle="1" w:styleId="137">
    <w:name w:val="附录章标题"/>
    <w:next w:val="28"/>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3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39">
    <w:name w:val="附录四级无"/>
    <w:basedOn w:val="129"/>
    <w:qFormat/>
    <w:uiPriority w:val="0"/>
    <w:pPr>
      <w:tabs>
        <w:tab w:val="clear" w:pos="360"/>
      </w:tabs>
      <w:spacing w:before="0" w:beforeLines="0" w:after="0" w:afterLines="0"/>
    </w:pPr>
    <w:rPr>
      <w:rFonts w:ascii="宋体" w:eastAsia="宋体"/>
      <w:szCs w:val="21"/>
    </w:rPr>
  </w:style>
  <w:style w:type="paragraph" w:customStyle="1" w:styleId="14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41">
    <w:name w:val="附录图标题"/>
    <w:basedOn w:val="1"/>
    <w:next w:val="28"/>
    <w:qFormat/>
    <w:uiPriority w:val="0"/>
    <w:pPr>
      <w:tabs>
        <w:tab w:val="left" w:pos="363"/>
      </w:tabs>
      <w:spacing w:before="50" w:beforeLines="50" w:after="50" w:afterLines="50"/>
      <w:jc w:val="center"/>
    </w:pPr>
    <w:rPr>
      <w:rFonts w:ascii="黑体" w:eastAsia="黑体"/>
      <w:szCs w:val="21"/>
    </w:rPr>
  </w:style>
  <w:style w:type="paragraph" w:customStyle="1" w:styleId="142">
    <w:name w:val="附录五级无"/>
    <w:basedOn w:val="128"/>
    <w:qFormat/>
    <w:uiPriority w:val="0"/>
    <w:pPr>
      <w:tabs>
        <w:tab w:val="clear" w:pos="360"/>
      </w:tabs>
      <w:spacing w:before="0" w:beforeLines="0" w:after="0" w:afterLines="0"/>
    </w:pPr>
    <w:rPr>
      <w:rFonts w:ascii="宋体" w:eastAsia="宋体"/>
      <w:szCs w:val="21"/>
    </w:rPr>
  </w:style>
  <w:style w:type="paragraph" w:customStyle="1" w:styleId="143">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44">
    <w:name w:val="正文图标题"/>
    <w:next w:val="28"/>
    <w:qFormat/>
    <w:uiPriority w:val="0"/>
    <w:pPr>
      <w:numPr>
        <w:ilvl w:val="0"/>
        <w:numId w:val="13"/>
      </w:numPr>
      <w:spacing w:before="156" w:beforeLines="50" w:after="156" w:afterLines="50"/>
      <w:jc w:val="center"/>
    </w:pPr>
    <w:rPr>
      <w:rFonts w:ascii="黑体" w:hAnsi="Times New Roman" w:eastAsia="黑体" w:cs="Times New Roman"/>
      <w:sz w:val="21"/>
      <w:lang w:val="en-US" w:eastAsia="zh-CN" w:bidi="ar-SA"/>
    </w:rPr>
  </w:style>
  <w:style w:type="paragraph" w:customStyle="1" w:styleId="14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其他标准标志"/>
    <w:basedOn w:val="115"/>
    <w:qFormat/>
    <w:uiPriority w:val="0"/>
    <w:pPr>
      <w:framePr w:w="6101" w:wrap="around" w:vAnchor="page" w:hAnchor="page" w:x="4673" w:y="942"/>
    </w:pPr>
    <w:rPr>
      <w:w w:val="130"/>
    </w:rPr>
  </w:style>
  <w:style w:type="paragraph" w:customStyle="1" w:styleId="148">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49">
    <w:name w:val="封面标准文稿编辑信息2"/>
    <w:basedOn w:val="87"/>
    <w:qFormat/>
    <w:uiPriority w:val="0"/>
    <w:pPr>
      <w:framePr w:wrap="around" w:y="4469"/>
    </w:pPr>
  </w:style>
  <w:style w:type="paragraph" w:customStyle="1" w:styleId="150">
    <w:name w:val="条文脚注"/>
    <w:basedOn w:val="29"/>
    <w:qFormat/>
    <w:uiPriority w:val="0"/>
    <w:pPr>
      <w:numPr>
        <w:numId w:val="0"/>
      </w:numPr>
      <w:jc w:val="both"/>
    </w:pPr>
  </w:style>
  <w:style w:type="paragraph" w:customStyle="1" w:styleId="151">
    <w:name w:val="正文公式编号制表符"/>
    <w:basedOn w:val="28"/>
    <w:next w:val="28"/>
    <w:qFormat/>
    <w:uiPriority w:val="0"/>
    <w:pPr>
      <w:ind w:firstLine="0" w:firstLineChars="0"/>
    </w:pPr>
    <w:rPr>
      <w:rFonts w:hAnsi="Times New Roman" w:eastAsia="宋体" w:cs="Times New Roman"/>
      <w:kern w:val="0"/>
      <w:szCs w:val="20"/>
    </w:rPr>
  </w:style>
  <w:style w:type="paragraph" w:customStyle="1" w:styleId="152">
    <w:name w:val="终结线"/>
    <w:basedOn w:val="1"/>
    <w:qFormat/>
    <w:uiPriority w:val="0"/>
    <w:pPr>
      <w:framePr w:hSpace="181" w:vSpace="181" w:wrap="around" w:vAnchor="text" w:hAnchor="margin" w:xAlign="center" w:y="285"/>
    </w:pPr>
  </w:style>
  <w:style w:type="paragraph" w:customStyle="1" w:styleId="153">
    <w:name w:val="其他实施日期"/>
    <w:basedOn w:val="94"/>
    <w:qFormat/>
    <w:uiPriority w:val="0"/>
    <w:pPr>
      <w:framePr w:wrap="around"/>
    </w:pPr>
  </w:style>
  <w:style w:type="paragraph" w:customStyle="1" w:styleId="154">
    <w:name w:val="封面标准名称2"/>
    <w:basedOn w:val="80"/>
    <w:qFormat/>
    <w:uiPriority w:val="0"/>
    <w:pPr>
      <w:framePr w:wrap="around" w:y="4469"/>
      <w:spacing w:before="630" w:beforeLines="630"/>
    </w:pPr>
  </w:style>
  <w:style w:type="paragraph" w:customStyle="1" w:styleId="155">
    <w:name w:val="封面标准英文名称2"/>
    <w:basedOn w:val="79"/>
    <w:qFormat/>
    <w:uiPriority w:val="0"/>
    <w:pPr>
      <w:framePr w:wrap="around" w:y="4469"/>
    </w:pPr>
  </w:style>
  <w:style w:type="paragraph" w:customStyle="1" w:styleId="156">
    <w:name w:val="封面一致性程度标识2"/>
    <w:basedOn w:val="89"/>
    <w:qFormat/>
    <w:uiPriority w:val="0"/>
    <w:pPr>
      <w:framePr w:wrap="around" w:y="4469"/>
    </w:pPr>
  </w:style>
  <w:style w:type="character" w:customStyle="1" w:styleId="157">
    <w:name w:val="日期 字符"/>
    <w:basedOn w:val="41"/>
    <w:link w:val="19"/>
    <w:qFormat/>
    <w:uiPriority w:val="0"/>
    <w:rPr>
      <w:rFonts w:ascii="Times New Roman" w:hAnsi="Times New Roman" w:eastAsia="宋体" w:cs="Times New Roman"/>
      <w:szCs w:val="24"/>
      <w:lang w:val="zh-CN" w:eastAsia="zh-CN"/>
    </w:rPr>
  </w:style>
  <w:style w:type="paragraph" w:customStyle="1" w:styleId="158">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159">
    <w:name w:val="apple-converted-space"/>
    <w:qFormat/>
    <w:uiPriority w:val="0"/>
  </w:style>
  <w:style w:type="character" w:customStyle="1" w:styleId="160">
    <w:name w:val="批注文字 字符"/>
    <w:basedOn w:val="41"/>
    <w:link w:val="10"/>
    <w:qFormat/>
    <w:uiPriority w:val="0"/>
    <w:rPr>
      <w:rFonts w:ascii="Times New Roman" w:hAnsi="Times New Roman" w:eastAsia="宋体" w:cs="Times New Roman"/>
      <w:szCs w:val="24"/>
      <w:lang w:val="zh-CN" w:eastAsia="zh-CN"/>
    </w:rPr>
  </w:style>
  <w:style w:type="character" w:customStyle="1" w:styleId="161">
    <w:name w:val="批注主题 字符"/>
    <w:basedOn w:val="160"/>
    <w:link w:val="38"/>
    <w:qFormat/>
    <w:uiPriority w:val="0"/>
    <w:rPr>
      <w:rFonts w:ascii="Times New Roman" w:hAnsi="Times New Roman" w:eastAsia="宋体" w:cs="Times New Roman"/>
      <w:b/>
      <w:bCs/>
      <w:szCs w:val="24"/>
      <w:lang w:val="zh-CN" w:eastAsia="zh-CN"/>
    </w:rPr>
  </w:style>
  <w:style w:type="character" w:customStyle="1" w:styleId="162">
    <w:name w:val="正文文本 字符"/>
    <w:basedOn w:val="41"/>
    <w:link w:val="12"/>
    <w:qFormat/>
    <w:uiPriority w:val="0"/>
    <w:rPr>
      <w:rFonts w:ascii="Times New Roman" w:hAnsi="Times New Roman"/>
      <w:kern w:val="2"/>
      <w:sz w:val="21"/>
    </w:rPr>
  </w:style>
  <w:style w:type="character" w:customStyle="1" w:styleId="163">
    <w:name w:val="正文文本缩进 字符"/>
    <w:basedOn w:val="41"/>
    <w:link w:val="13"/>
    <w:qFormat/>
    <w:uiPriority w:val="0"/>
    <w:rPr>
      <w:rFonts w:ascii="Times New Roman" w:hAnsi="Times New Roman"/>
      <w:kern w:val="2"/>
      <w:sz w:val="28"/>
    </w:rPr>
  </w:style>
  <w:style w:type="paragraph" w:customStyle="1" w:styleId="164">
    <w:name w:val="Table Paragraph"/>
    <w:basedOn w:val="1"/>
    <w:qFormat/>
    <w:uiPriority w:val="1"/>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bc</Company>
  <Pages>6</Pages>
  <Words>4199</Words>
  <Characters>4574</Characters>
  <Lines>33</Lines>
  <Paragraphs>9</Paragraphs>
  <TotalTime>8</TotalTime>
  <ScaleCrop>false</ScaleCrop>
  <LinksUpToDate>false</LinksUpToDate>
  <CharactersWithSpaces>4668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2019-07-07T07:00:00Z</dcterms:created>
  <dc:creator>Administrator</dc:creator>
  <cp:lastModifiedBy>前面右转</cp:lastModifiedBy>
  <cp:lastPrinted>2023-01-31T08:54:00Z</cp:lastPrinted>
  <dcterms:modified xsi:type="dcterms:W3CDTF">2024-11-29T01:13:41Z</dcterms:modified>
  <cp:revision>1266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599641C1E287480E9D2989AFA271B65E_13</vt:lpwstr>
  </property>
</Properties>
</file>