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3"/>
        <w:framePr/>
      </w:pPr>
      <w:bookmarkStart w:id="139" w:name="_GoBack"/>
      <w:bookmarkEnd w:id="139"/>
      <w:r>
        <w:rPr>
          <w:rFonts w:ascii="Times New Roman"/>
          <w:b/>
        </w:rPr>
        <w:t>ICS</w:t>
      </w:r>
      <w:r>
        <w:rPr>
          <w:rFonts w:hint="eastAsia" w:ascii="MS Gothic" w:hAnsi="MS Gothic" w:eastAsia="MS Gothic" w:cs="MS Gothic"/>
        </w:rPr>
        <w:t> </w:t>
      </w:r>
      <w:r>
        <w:rPr>
          <w:rFonts w:hint="eastAsia" w:eastAsia="宋体"/>
        </w:rPr>
        <w:t>13</w:t>
      </w:r>
      <w:r>
        <w:rPr>
          <w:rFonts w:hint="eastAsia"/>
        </w:rPr>
        <w:t>.020.10</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23"/>
              <w:framePr/>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true"/>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BYAAABkcnMvUEsBAhQAFAAAAAgAh07iQMiuL+zVAAAABwEAAA8AAAAAAAAA&#10;AQAgAAAAOAAAAGRycy9kb3ducmV2LnhtbFBLAQIUABQAAAAIAIdO4kAwV62PjAEAAA4DAAAOAAAA&#10;AAAAAAEAIAAAADoBAABkcnMvZTJvRG9jLnhtbFBLBQYAAAAABgAGAFkBAAA4BQAAAAA=&#10;">
                      <v:fill on="t" focussize="0,0"/>
                      <v:stroke on="f"/>
                      <v:imagedata o:title=""/>
                      <o:lock v:ext="edit" aspectratio="f"/>
                    </v:rect>
                  </w:pict>
                </mc:Fallback>
              </mc:AlternateContent>
            </w:r>
            <w:r>
              <w:rPr>
                <w:rFonts w:hint="eastAsia"/>
              </w:rPr>
              <w:t>CCS Z00</w:t>
            </w:r>
          </w:p>
        </w:tc>
      </w:tr>
    </w:tbl>
    <w:p>
      <w:pPr>
        <w:pStyle w:val="110"/>
        <w:framePr/>
        <w:spacing w:line="240" w:lineRule="auto"/>
      </w:pPr>
    </w:p>
    <w:p>
      <w:pPr>
        <w:pStyle w:val="102"/>
        <w:framePr/>
        <w:spacing w:line="240" w:lineRule="auto"/>
        <w:rPr>
          <w:rFonts w:hint="eastAsia"/>
        </w:rPr>
      </w:pPr>
      <w:r>
        <w:rPr>
          <w:rFonts w:hint="eastAsia"/>
        </w:rPr>
        <w:t>上海市地方标准</w:t>
      </w:r>
    </w:p>
    <w:p>
      <w:pPr>
        <w:pStyle w:val="107"/>
        <w:framePr w:h="1264" w:hRule="exact"/>
        <w:spacing w:line="240" w:lineRule="auto"/>
        <w:rPr>
          <w:rFonts w:hint="eastAsia" w:hAnsi="黑体"/>
        </w:rPr>
      </w:pPr>
      <w:bookmarkStart w:id="0" w:name="StdNo1"/>
      <w:r>
        <w:rPr>
          <w:rFonts w:hint="eastAsia" w:ascii="Times New Roman"/>
          <w:b/>
        </w:rPr>
        <w:t>DB</w:t>
      </w:r>
      <w:r>
        <w:rPr>
          <w:rFonts w:hint="eastAsia" w:hAnsi="黑体"/>
          <w:b/>
        </w:rPr>
        <w:t xml:space="preserve"> </w:t>
      </w:r>
      <w:bookmarkEnd w:id="0"/>
      <w:r>
        <w:rPr>
          <w:rFonts w:hAnsi="黑体"/>
        </w:rPr>
        <w:fldChar w:fldCharType="begin">
          <w:ffData>
            <w:enabled/>
            <w:calcOnExit w:val="0"/>
            <w:textInput>
              <w:default w:val="31/T XXXX"/>
            </w:textInput>
          </w:ffData>
        </w:fldChar>
      </w:r>
      <w:r>
        <w:rPr>
          <w:rFonts w:hAnsi="黑体"/>
        </w:rPr>
        <w:instrText xml:space="preserve"> FORMTEXT </w:instrText>
      </w:r>
      <w:r>
        <w:rPr>
          <w:rFonts w:hAnsi="黑体"/>
        </w:rPr>
        <w:fldChar w:fldCharType="separate"/>
      </w:r>
      <w:r>
        <w:rPr>
          <w:rFonts w:hAnsi="黑体"/>
        </w:rPr>
        <w:t>31/T XXXX</w:t>
      </w:r>
      <w:r>
        <w:rPr>
          <w:rFonts w:hAnsi="黑体"/>
        </w:rPr>
        <w:fldChar w:fldCharType="end"/>
      </w:r>
      <w:r>
        <w:rPr>
          <w:rFonts w:hAnsi="黑体"/>
        </w:rPr>
        <w:t>—</w:t>
      </w:r>
      <w:r>
        <w:rPr>
          <w:rFonts w:hint="eastAsia" w:hAnsi="黑体"/>
        </w:rPr>
        <w:t>202X</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107"/>
              <w:framePr w:h="1264" w:hRule="exact"/>
              <w:spacing w:line="240" w:lineRule="auto"/>
              <w:rPr>
                <w:rFonts w:hint="eastAsia" w:ascii="宋体" w:hAnsi="宋体" w:eastAsia="宋体"/>
                <w:sz w:val="24"/>
                <w:szCs w:val="24"/>
              </w:rPr>
            </w:pPr>
            <w:bookmarkStart w:id="1" w:name="DT"/>
          </w:p>
          <w:bookmarkEnd w:id="1"/>
          <w:p>
            <w:pPr>
              <w:pStyle w:val="156"/>
              <w:framePr w:h="1264" w:hRule="exact"/>
              <w:spacing w:line="240" w:lineRule="auto"/>
            </w:pPr>
          </w:p>
        </w:tc>
      </w:tr>
    </w:tbl>
    <w:p>
      <w:pPr>
        <w:pStyle w:val="107"/>
        <w:framePr w:h="1264" w:hRule="exact"/>
        <w:spacing w:line="240" w:lineRule="auto"/>
        <w:rPr>
          <w:rFonts w:hint="eastAsia" w:hAnsi="黑体"/>
        </w:rPr>
      </w:pPr>
    </w:p>
    <w:p>
      <w:pPr>
        <w:pStyle w:val="107"/>
        <w:framePr w:h="1264" w:hRule="exact"/>
        <w:spacing w:line="240" w:lineRule="auto"/>
        <w:rPr>
          <w:rFonts w:hint="eastAsia" w:hAnsi="黑体"/>
        </w:rPr>
      </w:pPr>
    </w:p>
    <w:p>
      <w:pPr>
        <w:framePr w:w="9639" w:h="6917" w:hRule="exact" w:wrap="around" w:vAnchor="page" w:hAnchor="page" w:x="1372" w:y="4877" w:anchorLock="1"/>
        <w:spacing w:before="312"/>
        <w:rPr>
          <w:rFonts w:eastAsia="黑体"/>
          <w:color w:val="000000"/>
          <w:sz w:val="48"/>
          <w:szCs w:val="48"/>
        </w:rPr>
      </w:pPr>
    </w:p>
    <w:p>
      <w:pPr>
        <w:framePr w:w="9639" w:h="6917" w:hRule="exact" w:wrap="around" w:vAnchor="page" w:hAnchor="page" w:x="1372" w:y="4877" w:anchorLock="1"/>
        <w:spacing w:before="312"/>
        <w:jc w:val="center"/>
        <w:rPr>
          <w:rFonts w:eastAsia="黑体"/>
          <w:b/>
          <w:bCs/>
          <w:color w:val="000000"/>
          <w:sz w:val="48"/>
          <w:szCs w:val="48"/>
        </w:rPr>
      </w:pPr>
      <w:r>
        <w:rPr>
          <w:rFonts w:hint="eastAsia" w:eastAsia="黑体"/>
          <w:color w:val="000000"/>
          <w:sz w:val="48"/>
          <w:szCs w:val="48"/>
        </w:rPr>
        <w:t>玻璃产品碳足迹核算方法</w:t>
      </w:r>
    </w:p>
    <w:p>
      <w:pPr>
        <w:pStyle w:val="74"/>
        <w:framePr w:x="1372" w:y="4877"/>
        <w:spacing w:line="240" w:lineRule="auto"/>
        <w:rPr>
          <w:b/>
          <w:bCs/>
          <w:color w:val="FF0000"/>
          <w:sz w:val="30"/>
          <w:szCs w:val="30"/>
        </w:rPr>
      </w:pPr>
      <w:r>
        <w:rPr>
          <w:rFonts w:hint="eastAsia"/>
          <w:spacing w:val="-4"/>
          <w:sz w:val="30"/>
          <w:szCs w:val="30"/>
        </w:rPr>
        <w:t>Q</w:t>
      </w:r>
      <w:r>
        <w:rPr>
          <w:spacing w:val="-4"/>
          <w:sz w:val="30"/>
          <w:szCs w:val="30"/>
        </w:rPr>
        <w:t>uantification for carbon footprint of products –Glass</w:t>
      </w:r>
    </w:p>
    <w:p>
      <w:pPr>
        <w:pStyle w:val="75"/>
        <w:framePr w:x="1372" w:y="4877"/>
        <w:spacing w:line="240" w:lineRule="auto"/>
      </w:pPr>
    </w:p>
    <w:p>
      <w:pPr>
        <w:pStyle w:val="81"/>
        <w:framePr w:x="1372" w:y="4877"/>
        <w:spacing w:line="240" w:lineRule="auto"/>
      </w:pP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80"/>
              <w:framePr w:x="1372" w:y="4877"/>
              <w:rPr>
                <w:b/>
                <w:sz w:val="44"/>
                <w:szCs w:val="44"/>
              </w:rPr>
            </w:pPr>
            <w:r>
              <w:rPr>
                <w:b/>
                <w:sz w:val="28"/>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4281805</wp:posOffset>
                      </wp:positionV>
                      <wp:extent cx="1905000" cy="254000"/>
                      <wp:effectExtent l="0" t="0" r="0" b="3175"/>
                      <wp:wrapNone/>
                      <wp:docPr id="4"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true"/>
                          </wps:wsp>
                        </a:graphicData>
                      </a:graphic>
                    </wp:anchor>
                  </w:drawing>
                </mc:Choice>
                <mc:Fallback>
                  <w:pict>
                    <v:rect id="RQ" o:spid="_x0000_s1026" o:spt="1" style="position:absolute;left:0pt;margin-left:173.3pt;margin-top:337.15pt;height:20pt;width:150pt;z-index:-251654144;mso-width-relative:page;mso-height-relative:page;" fillcolor="#FFFFFF" filled="t" stroked="f" coordsize="21600,21600" o:gfxdata="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FgAAAGRycy9QSwECFAAUAAAACACHTuJA39f34NcAAAALAQAADwAAAAAAAAABACAA&#10;AAA4AAAAZHJzL2Rvd25yZXYueG1sUEsBAhQAFAAAAAgAh07iQEjSbZCGAQAADgMAAA4AAAAAAAAA&#10;AQAgAAAAPAEAAGRycy9lMm9Eb2MueG1sUEsFBgAAAAAGAAYAWQEAADQFAAAAAA==&#10;">
                      <v:fill on="t" focussize="0,0"/>
                      <v:stroke on="f"/>
                      <v:imagedata o:title=""/>
                      <o:lock v:ext="edit" aspectratio="f"/>
                      <w10:anchorlock/>
                    </v:rect>
                  </w:pict>
                </mc:Fallback>
              </mc:AlternateContent>
            </w:r>
            <w:r>
              <w:rPr>
                <w:rFonts w:hint="eastAsia"/>
                <w:b/>
                <w:sz w:val="28"/>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9"/>
              <w:framePr w:x="1372" w:y="4877"/>
              <w:spacing w:line="240" w:lineRule="auto"/>
            </w:pPr>
          </w:p>
        </w:tc>
      </w:tr>
    </w:tbl>
    <w:p>
      <w:pPr>
        <w:pStyle w:val="120"/>
        <w:framePr w:hAnchor="page" w:x="1208" w:y="14140"/>
      </w:pPr>
      <w:r>
        <w:rPr>
          <w:rFonts w:hint="eastAsia" w:ascii="黑体"/>
        </w:rPr>
        <w:t>202X</w:t>
      </w:r>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2" w:name="FD"/>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2"/>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-66675</wp:posOffset>
                </wp:positionH>
                <wp:positionV relativeFrom="page">
                  <wp:posOffset>9275445</wp:posOffset>
                </wp:positionV>
                <wp:extent cx="6120130" cy="0"/>
                <wp:effectExtent l="0" t="4445" r="4445" b="5080"/>
                <wp:wrapNone/>
                <wp:docPr id="1" name="Line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Line 10" o:spid="_x0000_s1026" o:spt="20" style="position:absolute;left:0pt;margin-left:-5.25pt;margin-top:730.35pt;height:0pt;width:481.9pt;mso-position-vertical-relative:page;z-index:251659264;mso-width-relative:page;mso-height-relative:page;" filled="f" stroked="t" coordsize="21600,21600" o:gfxdata="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&#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BYAAABkcnMvUEsBAhQAFAAAAAgAh07iQPJyfPrYAAAADQEAAA8AAAAAAAAAAQAgAAAAOAAAAGRy&#10;cy9kb3ducmV2LnhtbFBLAQIUABQAAAAIAIdO4kBOEBVbtgEAAIADAAAOAAAAAAAAAAEAIAAAAD0B&#10;AABkcnMvZTJvRG9jLnhtbFBLBQYAAAAABgAGAFkBAABlBQAAAAA=&#10;">
                <v:fill on="f" focussize="0,0"/>
                <v:stroke color="#000000" joinstyle="round"/>
                <v:imagedata o:title=""/>
                <o:lock v:ext="edit" aspectratio="f"/>
                <w10:anchorlock/>
              </v:line>
            </w:pict>
          </mc:Fallback>
        </mc:AlternateContent>
      </w:r>
    </w:p>
    <w:p>
      <w:pPr>
        <w:pStyle w:val="127"/>
        <w:framePr w:hAnchor="page" w:x="6668" w:y="14140"/>
      </w:pPr>
      <w:r>
        <w:rPr>
          <w:rFonts w:hint="eastAsia" w:ascii="黑体"/>
        </w:rPr>
        <w:t>202X</w:t>
      </w:r>
      <w:r>
        <w:rPr>
          <w:rFonts w:ascii="黑体"/>
        </w:rPr>
        <w:t>-</w:t>
      </w:r>
      <w:bookmarkStart w:id="3"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3"/>
      <w:r>
        <w:rPr>
          <w:rFonts w:ascii="黑体"/>
        </w:rPr>
        <w:t>-</w:t>
      </w:r>
      <w:bookmarkStart w:id="4"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pPr>
        <w:pStyle w:val="153"/>
        <w:framePr/>
        <w:spacing w:line="240" w:lineRule="auto"/>
      </w:pPr>
      <w:bookmarkStart w:id="5" w:name="fm"/>
      <w:r>
        <w:rPr>
          <w:rFonts w:hint="eastAsia" w:hAnsi="黑体"/>
        </w:rPr>
        <w:t>上海市市场监督管理局</w:t>
      </w:r>
      <w:r>
        <w:rPr>
          <w:w w:val="100"/>
        </w:rPr>
        <mc:AlternateContent>
          <mc:Choice Requires="wps">
            <w:drawing>
              <wp:anchor distT="0" distB="0" distL="114300" distR="114300" simplePos="0" relativeHeight="251663360" behindDoc="1" locked="1" layoutInCell="1" allowOverlap="1">
                <wp:simplePos x="0" y="0"/>
                <wp:positionH relativeFrom="column">
                  <wp:posOffset>1810385</wp:posOffset>
                </wp:positionH>
                <wp:positionV relativeFrom="paragraph">
                  <wp:posOffset>-3942715</wp:posOffset>
                </wp:positionV>
                <wp:extent cx="1270000" cy="304800"/>
                <wp:effectExtent l="0" t="0" r="6350" b="0"/>
                <wp:wrapNone/>
                <wp:docPr id="5"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true"/>
                    </wps:wsp>
                  </a:graphicData>
                </a:graphic>
              </wp:anchor>
            </w:drawing>
          </mc:Choice>
          <mc:Fallback>
            <w:pict>
              <v:rect id="LB" o:spid="_x0000_s1026" o:spt="1" style="position:absolute;left:0pt;margin-left:142.55pt;margin-top:-310.45pt;height:24pt;width:100pt;z-index:-251653120;mso-width-relative:page;mso-height-relative:page;" fillcolor="#FFFFFF" filled="t" stroked="f" coordsize="21600,21600" o:gfxdata="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FgAAAGRycy9QSwECFAAUAAAACACHTuJA+bXu1tkAAAANAQAADwAAAAAAAAAB&#10;ACAAAAA4AAAAZHJzL2Rvd25yZXYueG1sUEsBAhQAFAAAAAgAh07iQMWF156HAQAADgMAAA4AAAAA&#10;AAAAAQAgAAAAPgEAAGRycy9lMm9Eb2MueG1sUEsFBgAAAAAGAAYAWQEAADcFAAAAAA==&#10;">
                <v:fill on="t" focussize="0,0"/>
                <v:stroke on="f"/>
                <v:imagedata o:title=""/>
                <o:lock v:ext="edit" aspectratio="f"/>
                <w10:anchorlock/>
              </v:rect>
            </w:pict>
          </mc:Fallback>
        </mc:AlternateContent>
      </w:r>
      <w:r>
        <w:rPr>
          <w:w w:val="100"/>
        </w:rPr>
        <mc:AlternateContent>
          <mc:Choice Requires="wps">
            <w:drawing>
              <wp:anchor distT="0" distB="0" distL="114300" distR="114300" simplePos="0" relativeHeight="251664384" behindDoc="1" locked="1" layoutInCell="1" allowOverlap="1">
                <wp:simplePos x="0" y="0"/>
                <wp:positionH relativeFrom="column">
                  <wp:posOffset>4413885</wp:posOffset>
                </wp:positionH>
                <wp:positionV relativeFrom="paragraph">
                  <wp:posOffset>-7435215</wp:posOffset>
                </wp:positionV>
                <wp:extent cx="1143000" cy="228600"/>
                <wp:effectExtent l="0" t="0" r="0" b="0"/>
                <wp:wrapNone/>
                <wp:docPr id="6"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true"/>
                    </wps:wsp>
                  </a:graphicData>
                </a:graphic>
              </wp:anchor>
            </w:drawing>
          </mc:Choice>
          <mc:Fallback>
            <w:pict>
              <v:rect id="DT" o:spid="_x0000_s1026" o:spt="1" style="position:absolute;left:0pt;margin-left:347.55pt;margin-top:-585.45pt;height:18pt;width:90pt;z-index:-251652096;mso-width-relative:page;mso-height-relative:page;" fillcolor="#FFFFFF" filled="t" stroked="f" coordsize="21600,21600" o:gfxdata="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FgAAAGRycy9QSwECFAAUAAAACACHTuJA38mKEdoAAAAPAQAADwAAAAAAAAAB&#10;ACAAAAA4AAAAZHJzL2Rvd25yZXYueG1sUEsBAhQAFAAAAAgAh07iQHt6Y6+GAQAADgMAAA4AAAAA&#10;AAAAAQAgAAAAPwEAAGRycy9lMm9Eb2MueG1sUEsFBgAAAAAGAAYAWQEAADcFAAAAAA==&#10;">
                <v:fill on="t" focussize="0,0"/>
                <v:stroke on="f"/>
                <v:imagedata o:title=""/>
                <o:lock v:ext="edit" aspectratio="f"/>
                <w10:anchorlock/>
              </v:rect>
            </w:pict>
          </mc:Fallback>
        </mc:AlternateContent>
      </w:r>
      <w:r>
        <w:rPr>
          <w:w w:val="100"/>
        </w:rPr>
        <mc:AlternateContent>
          <mc:Choice Requires="wps">
            <w:drawing>
              <wp:anchor distT="0" distB="0" distL="114300" distR="114300" simplePos="0" relativeHeight="251660288" behindDoc="0" locked="1" layoutInCell="1" allowOverlap="1">
                <wp:simplePos x="0" y="0"/>
                <wp:positionH relativeFrom="column">
                  <wp:posOffset>-464820</wp:posOffset>
                </wp:positionH>
                <wp:positionV relativeFrom="paragraph">
                  <wp:posOffset>-7021195</wp:posOffset>
                </wp:positionV>
                <wp:extent cx="6120130" cy="0"/>
                <wp:effectExtent l="0" t="4445" r="4445" b="5080"/>
                <wp:wrapNone/>
                <wp:docPr id="2" name="Line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Line 11" o:spid="_x0000_s1026" o:spt="20" style="position:absolute;left:0pt;margin-left:-36.6pt;margin-top:-552.85pt;height:0pt;width:481.9pt;z-index:251660288;mso-width-relative:page;mso-height-relative:page;" filled="f" stroked="t" coordsize="21600,21600" o:gfxdata="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OyWRoNgAAAAPAQAADwAAAAAAAAABACAAAAA4AAAA&#10;ZHJzL2Rvd25yZXYueG1sUEsBAhQAFAAAAAgAh07iQI2KchC4AQAAgAMAAA4AAAAAAAAAAQAgAAAA&#10;PQEAAGRycy9lMm9Eb2MueG1sUEsFBgAAAAAGAAYAWQEAAGcFAAAAAA==&#10;">
                <v:fill on="f" focussize="0,0"/>
                <v:stroke color="#000000" joinstyle="round"/>
                <v:imagedata o:title=""/>
                <o:lock v:ext="edit" aspectratio="f"/>
                <w10:anchorlock/>
              </v:line>
            </w:pict>
          </mc:Fallback>
        </mc:AlternateContent>
      </w:r>
      <w:bookmarkEnd w:id="5"/>
      <w:r>
        <w:rPr>
          <w:rFonts w:hint="eastAsia" w:hAnsi="黑体"/>
        </w:rPr>
        <w:t xml:space="preserve">  </w:t>
      </w:r>
      <w:r>
        <w:rPr>
          <w:rStyle w:val="71"/>
          <w:rFonts w:hint="eastAsia"/>
          <w:szCs w:val="28"/>
        </w:rPr>
        <w:t>发布</w:t>
      </w:r>
    </w:p>
    <w:p>
      <w:pPr>
        <w:pStyle w:val="110"/>
        <w:framePr w:w="4103" w:vAnchor="page" w:hAnchor="page" w:x="6760" w:y="881"/>
        <w:spacing w:line="240" w:lineRule="auto"/>
      </w:pPr>
      <w:r>
        <w:rPr>
          <w:rFonts w:hint="eastAsia"/>
        </w:rPr>
        <w:t>DB31</w:t>
      </w:r>
    </w:p>
    <w:p>
      <w:pPr>
        <w:pStyle w:val="28"/>
        <w:spacing w:before="156" w:after="156"/>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p>
    <w:p>
      <w:pPr>
        <w:pStyle w:val="24"/>
        <w:spacing w:line="380" w:lineRule="exact"/>
        <w:outlineLvl w:val="0"/>
        <w:rPr>
          <w:rFonts w:hint="eastAsia"/>
          <w:sz w:val="32"/>
          <w:szCs w:val="32"/>
        </w:rPr>
      </w:pPr>
      <w:bookmarkStart w:id="6" w:name="_Toc4886"/>
      <w:bookmarkStart w:id="7" w:name="_Toc1768"/>
      <w:r>
        <w:rPr>
          <w:rFonts w:hint="eastAsia"/>
          <w:sz w:val="32"/>
          <w:szCs w:val="32"/>
        </w:rPr>
        <w:t>目</w:t>
      </w:r>
      <w:r>
        <w:rPr>
          <w:sz w:val="32"/>
          <w:szCs w:val="32"/>
        </w:rPr>
        <w:t xml:space="preserve">    </w:t>
      </w:r>
      <w:r>
        <w:rPr>
          <w:rFonts w:hint="eastAsia"/>
          <w:sz w:val="32"/>
          <w:szCs w:val="32"/>
        </w:rPr>
        <w:t>次</w:t>
      </w:r>
      <w:bookmarkEnd w:id="6"/>
      <w:bookmarkEnd w:id="7"/>
    </w:p>
    <w:sdt>
      <w:sdtPr>
        <w:rPr>
          <w:rFonts w:ascii="宋体" w:hAnsi="宋体"/>
        </w:rPr>
        <w:id w:val="147482929"/>
        <w15:color w:val="DBDBDB"/>
        <w:docPartObj>
          <w:docPartGallery w:val="Table of Contents"/>
          <w:docPartUnique/>
        </w:docPartObj>
      </w:sdtPr>
      <w:sdtEndPr>
        <w:rPr>
          <w:rFonts w:ascii="宋体" w:hAnsi="宋体"/>
          <w:b/>
        </w:rPr>
      </w:sdtEndPr>
      <w:sdtContent>
        <w:p>
          <w:pPr>
            <w:spacing w:before="312"/>
            <w:jc w:val="center"/>
          </w:pPr>
        </w:p>
        <w:p>
          <w:pPr>
            <w:pStyle w:val="170"/>
            <w:tabs>
              <w:tab w:val="right" w:leader="dot" w:pos="9355"/>
            </w:tabs>
            <w:rPr>
              <w:b/>
            </w:rPr>
          </w:pPr>
          <w:r>
            <w:fldChar w:fldCharType="begin"/>
          </w:r>
          <w:r>
            <w:instrText xml:space="preserve">TOC \o "1-2" \h \u </w:instrText>
          </w:r>
          <w:r>
            <w:fldChar w:fldCharType="separate"/>
          </w:r>
          <w:r>
            <w:fldChar w:fldCharType="begin"/>
          </w:r>
          <w:r>
            <w:instrText xml:space="preserve"> HYPERLINK \l "_Toc24018" </w:instrText>
          </w:r>
          <w:r>
            <w:fldChar w:fldCharType="separate"/>
          </w:r>
          <w:r>
            <w:rPr>
              <w:b/>
            </w:rPr>
            <w:t>前  言</w:t>
          </w:r>
          <w:r>
            <w:rPr>
              <w:b/>
            </w:rPr>
            <w:tab/>
          </w:r>
          <w:r>
            <w:rPr>
              <w:b/>
            </w:rPr>
            <w:fldChar w:fldCharType="begin"/>
          </w:r>
          <w:r>
            <w:rPr>
              <w:b/>
            </w:rPr>
            <w:instrText xml:space="preserve"> PAGEREF _Toc24018 \h </w:instrText>
          </w:r>
          <w:r>
            <w:rPr>
              <w:b/>
            </w:rPr>
            <w:fldChar w:fldCharType="separate"/>
          </w:r>
          <w:r>
            <w:rPr>
              <w:b/>
            </w:rPr>
            <w:t>I</w:t>
          </w:r>
          <w:r>
            <w:rPr>
              <w:b/>
            </w:rPr>
            <w:fldChar w:fldCharType="end"/>
          </w:r>
          <w:r>
            <w:rPr>
              <w:b/>
            </w:rPr>
            <w:fldChar w:fldCharType="end"/>
          </w:r>
        </w:p>
        <w:p>
          <w:pPr>
            <w:pStyle w:val="170"/>
            <w:tabs>
              <w:tab w:val="right" w:leader="dot" w:pos="9355"/>
            </w:tabs>
            <w:rPr>
              <w:b/>
            </w:rPr>
          </w:pPr>
          <w:r>
            <w:fldChar w:fldCharType="begin"/>
          </w:r>
          <w:r>
            <w:instrText xml:space="preserve"> HYPERLINK \l "_Toc18227" </w:instrText>
          </w:r>
          <w:r>
            <w:fldChar w:fldCharType="separate"/>
          </w:r>
          <w:r>
            <w:rPr>
              <w:rFonts w:ascii="黑体" w:eastAsia="黑体"/>
              <w:b/>
              <w:szCs w:val="21"/>
            </w:rPr>
            <w:t xml:space="preserve">1 </w:t>
          </w:r>
          <w:r>
            <w:rPr>
              <w:b/>
              <w:szCs w:val="21"/>
            </w:rPr>
            <w:t>范围</w:t>
          </w:r>
          <w:r>
            <w:rPr>
              <w:b/>
            </w:rPr>
            <w:tab/>
          </w:r>
          <w:r>
            <w:rPr>
              <w:b/>
            </w:rPr>
            <w:fldChar w:fldCharType="begin"/>
          </w:r>
          <w:r>
            <w:rPr>
              <w:b/>
            </w:rPr>
            <w:instrText xml:space="preserve"> PAGEREF _Toc18227 \h </w:instrText>
          </w:r>
          <w:r>
            <w:rPr>
              <w:b/>
            </w:rPr>
            <w:fldChar w:fldCharType="separate"/>
          </w:r>
          <w:r>
            <w:rPr>
              <w:b/>
            </w:rPr>
            <w:t>1</w:t>
          </w:r>
          <w:r>
            <w:rPr>
              <w:b/>
            </w:rPr>
            <w:fldChar w:fldCharType="end"/>
          </w:r>
          <w:r>
            <w:rPr>
              <w:b/>
            </w:rPr>
            <w:fldChar w:fldCharType="end"/>
          </w:r>
        </w:p>
        <w:p>
          <w:pPr>
            <w:pStyle w:val="170"/>
            <w:tabs>
              <w:tab w:val="right" w:leader="dot" w:pos="9355"/>
            </w:tabs>
            <w:rPr>
              <w:b/>
            </w:rPr>
          </w:pPr>
          <w:r>
            <w:fldChar w:fldCharType="begin"/>
          </w:r>
          <w:r>
            <w:instrText xml:space="preserve"> HYPERLINK \l "_Toc7285" </w:instrText>
          </w:r>
          <w:r>
            <w:fldChar w:fldCharType="separate"/>
          </w:r>
          <w:r>
            <w:rPr>
              <w:rFonts w:ascii="黑体" w:eastAsia="黑体"/>
              <w:b/>
              <w:szCs w:val="21"/>
            </w:rPr>
            <w:t xml:space="preserve">2 </w:t>
          </w:r>
          <w:r>
            <w:rPr>
              <w:b/>
              <w:szCs w:val="21"/>
            </w:rPr>
            <w:t>规范性引用文件</w:t>
          </w:r>
          <w:r>
            <w:rPr>
              <w:b/>
            </w:rPr>
            <w:tab/>
          </w:r>
          <w:r>
            <w:rPr>
              <w:b/>
            </w:rPr>
            <w:fldChar w:fldCharType="begin"/>
          </w:r>
          <w:r>
            <w:rPr>
              <w:b/>
            </w:rPr>
            <w:instrText xml:space="preserve"> PAGEREF _Toc7285 \h </w:instrText>
          </w:r>
          <w:r>
            <w:rPr>
              <w:b/>
            </w:rPr>
            <w:fldChar w:fldCharType="separate"/>
          </w:r>
          <w:r>
            <w:rPr>
              <w:b/>
            </w:rPr>
            <w:t>1</w:t>
          </w:r>
          <w:r>
            <w:rPr>
              <w:b/>
            </w:rPr>
            <w:fldChar w:fldCharType="end"/>
          </w:r>
          <w:r>
            <w:rPr>
              <w:b/>
            </w:rPr>
            <w:fldChar w:fldCharType="end"/>
          </w:r>
        </w:p>
        <w:p>
          <w:pPr>
            <w:pStyle w:val="170"/>
            <w:tabs>
              <w:tab w:val="right" w:leader="dot" w:pos="9355"/>
            </w:tabs>
            <w:rPr>
              <w:b/>
            </w:rPr>
          </w:pPr>
          <w:r>
            <w:fldChar w:fldCharType="begin"/>
          </w:r>
          <w:r>
            <w:instrText xml:space="preserve"> HYPERLINK \l "_Toc16370" </w:instrText>
          </w:r>
          <w:r>
            <w:fldChar w:fldCharType="separate"/>
          </w:r>
          <w:r>
            <w:rPr>
              <w:rFonts w:ascii="黑体" w:eastAsia="黑体"/>
              <w:b/>
              <w:szCs w:val="21"/>
            </w:rPr>
            <w:t xml:space="preserve">3 </w:t>
          </w:r>
          <w:r>
            <w:rPr>
              <w:b/>
            </w:rPr>
            <w:t>术语和定义</w:t>
          </w:r>
          <w:r>
            <w:rPr>
              <w:b/>
            </w:rPr>
            <w:tab/>
          </w:r>
          <w:r>
            <w:rPr>
              <w:b/>
            </w:rPr>
            <w:fldChar w:fldCharType="begin"/>
          </w:r>
          <w:r>
            <w:rPr>
              <w:b/>
            </w:rPr>
            <w:instrText xml:space="preserve"> PAGEREF _Toc16370 \h </w:instrText>
          </w:r>
          <w:r>
            <w:rPr>
              <w:b/>
            </w:rPr>
            <w:fldChar w:fldCharType="separate"/>
          </w:r>
          <w:r>
            <w:rPr>
              <w:b/>
            </w:rPr>
            <w:t>1</w:t>
          </w:r>
          <w:r>
            <w:rPr>
              <w:b/>
            </w:rPr>
            <w:fldChar w:fldCharType="end"/>
          </w:r>
          <w:r>
            <w:rPr>
              <w:b/>
            </w:rPr>
            <w:fldChar w:fldCharType="end"/>
          </w:r>
        </w:p>
        <w:p>
          <w:pPr>
            <w:pStyle w:val="170"/>
            <w:tabs>
              <w:tab w:val="right" w:leader="dot" w:pos="9355"/>
            </w:tabs>
            <w:rPr>
              <w:b/>
            </w:rPr>
          </w:pPr>
          <w:r>
            <w:fldChar w:fldCharType="begin"/>
          </w:r>
          <w:r>
            <w:instrText xml:space="preserve"> HYPERLINK \l "_Toc8791" </w:instrText>
          </w:r>
          <w:r>
            <w:fldChar w:fldCharType="separate"/>
          </w:r>
          <w:r>
            <w:rPr>
              <w:rFonts w:ascii="黑体" w:eastAsia="黑体"/>
              <w:b/>
              <w:szCs w:val="21"/>
            </w:rPr>
            <w:t xml:space="preserve">4 </w:t>
          </w:r>
          <w:r>
            <w:rPr>
              <w:rFonts w:hint="eastAsia"/>
              <w:b/>
            </w:rPr>
            <w:t>目的和范围</w:t>
          </w:r>
          <w:r>
            <w:rPr>
              <w:b/>
            </w:rPr>
            <w:tab/>
          </w:r>
          <w:r>
            <w:rPr>
              <w:rFonts w:hint="eastAsia"/>
              <w:b/>
            </w:rPr>
            <w:t>3</w:t>
          </w:r>
          <w:r>
            <w:rPr>
              <w:rFonts w:hint="eastAsia"/>
              <w:b/>
            </w:rPr>
            <w:fldChar w:fldCharType="end"/>
          </w:r>
        </w:p>
        <w:p>
          <w:pPr>
            <w:pStyle w:val="171"/>
            <w:tabs>
              <w:tab w:val="right" w:leader="dot" w:pos="9355"/>
            </w:tabs>
            <w:ind w:left="420"/>
          </w:pPr>
          <w:r>
            <w:fldChar w:fldCharType="begin"/>
          </w:r>
          <w:r>
            <w:instrText xml:space="preserve"> HYPERLINK \l "_Toc9061" </w:instrText>
          </w:r>
          <w:r>
            <w:fldChar w:fldCharType="separate"/>
          </w:r>
          <w:r>
            <w:rPr>
              <w:rFonts w:hint="eastAsia" w:ascii="黑体" w:eastAsia="黑体"/>
              <w:szCs w:val="24"/>
            </w:rPr>
            <w:t xml:space="preserve">4.1 </w:t>
          </w:r>
          <w:r>
            <w:rPr>
              <w:szCs w:val="22"/>
            </w:rPr>
            <w:t>目的</w:t>
          </w:r>
          <w:r>
            <w:tab/>
          </w:r>
          <w:r>
            <w:rPr>
              <w:rFonts w:hint="eastAsia"/>
            </w:rPr>
            <w:t>3</w:t>
          </w:r>
          <w:r>
            <w:rPr>
              <w:rFonts w:hint="eastAsia"/>
            </w:rPr>
            <w:fldChar w:fldCharType="end"/>
          </w:r>
        </w:p>
        <w:p>
          <w:pPr>
            <w:pStyle w:val="171"/>
            <w:tabs>
              <w:tab w:val="right" w:leader="dot" w:pos="9355"/>
            </w:tabs>
            <w:ind w:left="420"/>
          </w:pPr>
          <w:r>
            <w:fldChar w:fldCharType="begin"/>
          </w:r>
          <w:r>
            <w:instrText xml:space="preserve"> HYPERLINK \l "_Toc31052" </w:instrText>
          </w:r>
          <w:r>
            <w:fldChar w:fldCharType="separate"/>
          </w:r>
          <w:r>
            <w:rPr>
              <w:rFonts w:hint="eastAsia" w:ascii="黑体" w:eastAsia="黑体"/>
              <w:szCs w:val="24"/>
            </w:rPr>
            <w:t xml:space="preserve">4.2 </w:t>
          </w:r>
          <w:r>
            <w:rPr>
              <w:szCs w:val="22"/>
            </w:rPr>
            <w:t>范围</w:t>
          </w:r>
          <w:r>
            <w:tab/>
          </w:r>
          <w:r>
            <w:fldChar w:fldCharType="begin"/>
          </w:r>
          <w:r>
            <w:instrText xml:space="preserve"> PAGEREF _Toc31052 \h </w:instrText>
          </w:r>
          <w:r>
            <w:fldChar w:fldCharType="separate"/>
          </w:r>
          <w:r>
            <w:t>3</w:t>
          </w:r>
          <w:r>
            <w:fldChar w:fldCharType="end"/>
          </w:r>
          <w:r>
            <w:fldChar w:fldCharType="end"/>
          </w:r>
        </w:p>
        <w:p>
          <w:pPr>
            <w:pStyle w:val="171"/>
            <w:tabs>
              <w:tab w:val="right" w:leader="dot" w:pos="9355"/>
            </w:tabs>
            <w:ind w:left="420"/>
          </w:pPr>
          <w:r>
            <w:fldChar w:fldCharType="begin"/>
          </w:r>
          <w:r>
            <w:instrText xml:space="preserve"> HYPERLINK \l "_Toc2005" </w:instrText>
          </w:r>
          <w:r>
            <w:fldChar w:fldCharType="separate"/>
          </w:r>
          <w:r>
            <w:rPr>
              <w:rFonts w:hint="eastAsia" w:ascii="黑体" w:eastAsia="黑体"/>
              <w:szCs w:val="24"/>
            </w:rPr>
            <w:t xml:space="preserve">4.3 </w:t>
          </w:r>
          <w:r>
            <w:rPr>
              <w:szCs w:val="22"/>
            </w:rPr>
            <w:t>产品描述</w:t>
          </w:r>
          <w:r>
            <w:tab/>
          </w:r>
          <w:r>
            <w:fldChar w:fldCharType="begin"/>
          </w:r>
          <w:r>
            <w:instrText xml:space="preserve"> PAGEREF _Toc2005 \h </w:instrText>
          </w:r>
          <w:r>
            <w:fldChar w:fldCharType="separate"/>
          </w:r>
          <w:r>
            <w:t>3</w:t>
          </w:r>
          <w:r>
            <w:fldChar w:fldCharType="end"/>
          </w:r>
          <w:r>
            <w:fldChar w:fldCharType="end"/>
          </w:r>
        </w:p>
        <w:p>
          <w:pPr>
            <w:pStyle w:val="171"/>
            <w:tabs>
              <w:tab w:val="right" w:leader="dot" w:pos="9355"/>
            </w:tabs>
            <w:ind w:left="420"/>
          </w:pPr>
          <w:r>
            <w:fldChar w:fldCharType="begin"/>
          </w:r>
          <w:r>
            <w:instrText xml:space="preserve"> HYPERLINK \l "_Toc6445" </w:instrText>
          </w:r>
          <w:r>
            <w:fldChar w:fldCharType="separate"/>
          </w:r>
          <w:r>
            <w:rPr>
              <w:rFonts w:hint="eastAsia" w:ascii="黑体" w:eastAsia="黑体"/>
              <w:szCs w:val="24"/>
            </w:rPr>
            <w:t xml:space="preserve">4.4 </w:t>
          </w:r>
          <w:r>
            <w:rPr>
              <w:rFonts w:hint="eastAsia"/>
              <w:szCs w:val="22"/>
            </w:rPr>
            <w:t>声明</w:t>
          </w:r>
          <w:r>
            <w:rPr>
              <w:szCs w:val="22"/>
            </w:rPr>
            <w:t>单位</w:t>
          </w:r>
          <w:r>
            <w:tab/>
          </w:r>
          <w:r>
            <w:rPr>
              <w:rFonts w:hint="eastAsia"/>
            </w:rPr>
            <w:t>4</w:t>
          </w:r>
          <w:r>
            <w:rPr>
              <w:rFonts w:hint="eastAsia"/>
            </w:rPr>
            <w:fldChar w:fldCharType="end"/>
          </w:r>
        </w:p>
        <w:p>
          <w:pPr>
            <w:pStyle w:val="171"/>
            <w:tabs>
              <w:tab w:val="right" w:leader="dot" w:pos="9355"/>
            </w:tabs>
            <w:ind w:left="420"/>
          </w:pPr>
          <w:r>
            <w:fldChar w:fldCharType="begin"/>
          </w:r>
          <w:r>
            <w:instrText xml:space="preserve"> HYPERLINK \l "_Toc9537" </w:instrText>
          </w:r>
          <w:r>
            <w:fldChar w:fldCharType="separate"/>
          </w:r>
          <w:r>
            <w:rPr>
              <w:rFonts w:hint="eastAsia" w:ascii="黑体" w:eastAsia="黑体"/>
              <w:szCs w:val="24"/>
            </w:rPr>
            <w:t xml:space="preserve">4.5 </w:t>
          </w:r>
          <w:r>
            <w:rPr>
              <w:szCs w:val="22"/>
            </w:rPr>
            <w:t>系统边界</w:t>
          </w:r>
          <w:r>
            <w:tab/>
          </w:r>
          <w:r>
            <w:rPr>
              <w:rFonts w:hint="eastAsia"/>
            </w:rPr>
            <w:t>4</w:t>
          </w:r>
          <w:r>
            <w:rPr>
              <w:rFonts w:hint="eastAsia"/>
            </w:rPr>
            <w:fldChar w:fldCharType="end"/>
          </w:r>
        </w:p>
        <w:p>
          <w:pPr>
            <w:pStyle w:val="171"/>
            <w:tabs>
              <w:tab w:val="right" w:leader="dot" w:pos="9355"/>
            </w:tabs>
            <w:ind w:left="420"/>
          </w:pPr>
          <w:r>
            <w:fldChar w:fldCharType="begin"/>
          </w:r>
          <w:r>
            <w:instrText xml:space="preserve"> HYPERLINK \l "_Toc9537" </w:instrText>
          </w:r>
          <w:r>
            <w:fldChar w:fldCharType="separate"/>
          </w:r>
          <w:r>
            <w:rPr>
              <w:rFonts w:hint="eastAsia" w:ascii="黑体" w:eastAsia="黑体"/>
              <w:szCs w:val="24"/>
            </w:rPr>
            <w:t xml:space="preserve">4.6 </w:t>
          </w:r>
          <w:r>
            <w:rPr>
              <w:rFonts w:hint="eastAsia"/>
              <w:szCs w:val="22"/>
            </w:rPr>
            <w:t>数据和数据质量</w:t>
          </w:r>
          <w:r>
            <w:tab/>
          </w:r>
          <w:r>
            <w:rPr>
              <w:rFonts w:hint="eastAsia"/>
            </w:rPr>
            <w:t>6</w:t>
          </w:r>
          <w:r>
            <w:rPr>
              <w:rFonts w:hint="eastAsia"/>
            </w:rPr>
            <w:fldChar w:fldCharType="end"/>
          </w:r>
        </w:p>
        <w:p>
          <w:pPr>
            <w:pStyle w:val="170"/>
            <w:tabs>
              <w:tab w:val="right" w:leader="dot" w:pos="9355"/>
            </w:tabs>
            <w:rPr>
              <w:b/>
            </w:rPr>
          </w:pPr>
          <w:r>
            <w:fldChar w:fldCharType="begin"/>
          </w:r>
          <w:r>
            <w:instrText xml:space="preserve"> HYPERLINK \l "_Toc7134" </w:instrText>
          </w:r>
          <w:r>
            <w:fldChar w:fldCharType="separate"/>
          </w:r>
          <w:r>
            <w:rPr>
              <w:rFonts w:ascii="黑体" w:eastAsia="黑体"/>
              <w:b/>
              <w:szCs w:val="21"/>
            </w:rPr>
            <w:t xml:space="preserve">5 </w:t>
          </w:r>
          <w:r>
            <w:rPr>
              <w:rFonts w:hint="eastAsia"/>
              <w:b/>
            </w:rPr>
            <w:t>清单分析</w:t>
          </w:r>
          <w:r>
            <w:rPr>
              <w:b/>
            </w:rPr>
            <w:tab/>
          </w:r>
          <w:r>
            <w:rPr>
              <w:rFonts w:hint="eastAsia"/>
              <w:b/>
            </w:rPr>
            <w:t>8</w:t>
          </w:r>
          <w:r>
            <w:rPr>
              <w:rFonts w:hint="eastAsia"/>
              <w:b/>
            </w:rPr>
            <w:fldChar w:fldCharType="end"/>
          </w:r>
        </w:p>
        <w:p>
          <w:pPr>
            <w:pStyle w:val="171"/>
            <w:tabs>
              <w:tab w:val="right" w:leader="dot" w:pos="9355"/>
            </w:tabs>
            <w:ind w:left="420"/>
          </w:pPr>
          <w:r>
            <w:fldChar w:fldCharType="begin"/>
          </w:r>
          <w:r>
            <w:instrText xml:space="preserve"> HYPERLINK \l "_Toc3370" </w:instrText>
          </w:r>
          <w:r>
            <w:fldChar w:fldCharType="separate"/>
          </w:r>
          <w:r>
            <w:rPr>
              <w:rFonts w:hint="eastAsia" w:ascii="黑体" w:eastAsia="黑体"/>
              <w:szCs w:val="24"/>
            </w:rPr>
            <w:t xml:space="preserve">5.1 </w:t>
          </w:r>
          <w:r>
            <w:rPr>
              <w:szCs w:val="22"/>
            </w:rPr>
            <w:t>数据收集</w:t>
          </w:r>
          <w:r>
            <w:tab/>
          </w:r>
          <w:r>
            <w:rPr>
              <w:rFonts w:hint="eastAsia"/>
            </w:rPr>
            <w:t>8</w:t>
          </w:r>
          <w:r>
            <w:rPr>
              <w:rFonts w:hint="eastAsia"/>
            </w:rPr>
            <w:fldChar w:fldCharType="end"/>
          </w:r>
        </w:p>
        <w:p>
          <w:pPr>
            <w:pStyle w:val="171"/>
            <w:tabs>
              <w:tab w:val="right" w:leader="dot" w:pos="9355"/>
            </w:tabs>
            <w:ind w:left="420"/>
          </w:pPr>
          <w:r>
            <w:fldChar w:fldCharType="begin"/>
          </w:r>
          <w:r>
            <w:instrText xml:space="preserve"> HYPERLINK \l "_Toc5463" </w:instrText>
          </w:r>
          <w:r>
            <w:fldChar w:fldCharType="separate"/>
          </w:r>
          <w:r>
            <w:rPr>
              <w:rFonts w:hint="eastAsia" w:ascii="黑体" w:eastAsia="黑体"/>
              <w:szCs w:val="24"/>
            </w:rPr>
            <w:t xml:space="preserve">5.2 </w:t>
          </w:r>
          <w:r>
            <w:rPr>
              <w:szCs w:val="22"/>
            </w:rPr>
            <w:t>数据</w:t>
          </w:r>
          <w:r>
            <w:rPr>
              <w:rFonts w:hint="eastAsia"/>
              <w:szCs w:val="22"/>
            </w:rPr>
            <w:t>审定</w:t>
          </w:r>
          <w:r>
            <w:tab/>
          </w:r>
          <w:r>
            <w:rPr>
              <w:rFonts w:hint="eastAsia"/>
            </w:rPr>
            <w:t>10</w:t>
          </w:r>
          <w:r>
            <w:rPr>
              <w:rFonts w:hint="eastAsia"/>
            </w:rPr>
            <w:fldChar w:fldCharType="end"/>
          </w:r>
        </w:p>
        <w:p>
          <w:pPr>
            <w:pStyle w:val="171"/>
            <w:tabs>
              <w:tab w:val="right" w:leader="dot" w:pos="9355"/>
            </w:tabs>
            <w:ind w:left="420"/>
          </w:pPr>
          <w:r>
            <w:fldChar w:fldCharType="begin"/>
          </w:r>
          <w:r>
            <w:instrText xml:space="preserve"> HYPERLINK \l "_Toc30760" </w:instrText>
          </w:r>
          <w:r>
            <w:fldChar w:fldCharType="separate"/>
          </w:r>
          <w:r>
            <w:rPr>
              <w:rFonts w:hint="eastAsia" w:ascii="黑体" w:eastAsia="黑体"/>
              <w:szCs w:val="24"/>
            </w:rPr>
            <w:t xml:space="preserve">5.3 </w:t>
          </w:r>
          <w:r>
            <w:rPr>
              <w:szCs w:val="22"/>
            </w:rPr>
            <w:t>数据与单元过程的关联</w:t>
          </w:r>
          <w:r>
            <w:tab/>
          </w:r>
          <w:r>
            <w:rPr>
              <w:rFonts w:hint="eastAsia"/>
            </w:rPr>
            <w:t>11</w:t>
          </w:r>
          <w:r>
            <w:rPr>
              <w:rFonts w:hint="eastAsia"/>
            </w:rPr>
            <w:fldChar w:fldCharType="end"/>
          </w:r>
        </w:p>
        <w:p>
          <w:pPr>
            <w:pStyle w:val="171"/>
            <w:tabs>
              <w:tab w:val="right" w:leader="dot" w:pos="9355"/>
            </w:tabs>
            <w:ind w:left="420"/>
          </w:pPr>
          <w:r>
            <w:fldChar w:fldCharType="begin"/>
          </w:r>
          <w:r>
            <w:instrText xml:space="preserve"> HYPERLINK \l "_Toc2399" </w:instrText>
          </w:r>
          <w:r>
            <w:fldChar w:fldCharType="separate"/>
          </w:r>
          <w:r>
            <w:rPr>
              <w:rFonts w:hint="eastAsia" w:ascii="黑体" w:eastAsia="黑体"/>
              <w:szCs w:val="24"/>
            </w:rPr>
            <w:t xml:space="preserve">5.4 </w:t>
          </w:r>
          <w:r>
            <w:rPr>
              <w:szCs w:val="22"/>
            </w:rPr>
            <w:t>数据与</w:t>
          </w:r>
          <w:r>
            <w:rPr>
              <w:rFonts w:hint="eastAsia"/>
              <w:szCs w:val="22"/>
            </w:rPr>
            <w:t>声明</w:t>
          </w:r>
          <w:r>
            <w:rPr>
              <w:szCs w:val="22"/>
            </w:rPr>
            <w:t>单位的关联</w:t>
          </w:r>
          <w:r>
            <w:tab/>
          </w:r>
          <w:r>
            <w:rPr>
              <w:rFonts w:hint="eastAsia"/>
            </w:rPr>
            <w:t>11</w:t>
          </w:r>
          <w:r>
            <w:rPr>
              <w:rFonts w:hint="eastAsia"/>
            </w:rPr>
            <w:fldChar w:fldCharType="end"/>
          </w:r>
        </w:p>
        <w:p>
          <w:pPr>
            <w:pStyle w:val="171"/>
            <w:tabs>
              <w:tab w:val="right" w:leader="dot" w:pos="9355"/>
            </w:tabs>
            <w:ind w:left="420"/>
          </w:pPr>
          <w:r>
            <w:fldChar w:fldCharType="begin"/>
          </w:r>
          <w:r>
            <w:instrText xml:space="preserve"> HYPERLINK \l "_Toc2399" </w:instrText>
          </w:r>
          <w:r>
            <w:fldChar w:fldCharType="separate"/>
          </w:r>
          <w:r>
            <w:rPr>
              <w:rFonts w:hint="eastAsia" w:ascii="黑体" w:eastAsia="黑体"/>
              <w:szCs w:val="24"/>
            </w:rPr>
            <w:t xml:space="preserve">5.5 </w:t>
          </w:r>
          <w:r>
            <w:rPr>
              <w:rFonts w:hint="eastAsia"/>
              <w:szCs w:val="22"/>
            </w:rPr>
            <w:t>调整系统边界</w:t>
          </w:r>
          <w:r>
            <w:tab/>
          </w:r>
          <w:r>
            <w:rPr>
              <w:rFonts w:hint="eastAsia"/>
            </w:rPr>
            <w:t>11</w:t>
          </w:r>
          <w:r>
            <w:rPr>
              <w:rFonts w:hint="eastAsia"/>
            </w:rPr>
            <w:fldChar w:fldCharType="end"/>
          </w:r>
        </w:p>
        <w:p>
          <w:pPr>
            <w:pStyle w:val="171"/>
            <w:tabs>
              <w:tab w:val="right" w:leader="dot" w:pos="9355"/>
            </w:tabs>
            <w:ind w:left="420"/>
          </w:pPr>
          <w:r>
            <w:fldChar w:fldCharType="begin"/>
          </w:r>
          <w:r>
            <w:instrText xml:space="preserve"> HYPERLINK \l "_Toc26026" </w:instrText>
          </w:r>
          <w:r>
            <w:fldChar w:fldCharType="separate"/>
          </w:r>
          <w:r>
            <w:rPr>
              <w:rFonts w:hint="eastAsia" w:ascii="黑体" w:eastAsia="黑体"/>
              <w:szCs w:val="24"/>
            </w:rPr>
            <w:t xml:space="preserve">5.6 </w:t>
          </w:r>
          <w:r>
            <w:rPr>
              <w:szCs w:val="22"/>
            </w:rPr>
            <w:t>数据合并</w:t>
          </w:r>
          <w:r>
            <w:tab/>
          </w:r>
          <w:r>
            <w:rPr>
              <w:rFonts w:hint="eastAsia"/>
            </w:rPr>
            <w:t>11</w:t>
          </w:r>
          <w:r>
            <w:rPr>
              <w:rFonts w:hint="eastAsia"/>
            </w:rPr>
            <w:fldChar w:fldCharType="end"/>
          </w:r>
        </w:p>
        <w:p>
          <w:pPr>
            <w:pStyle w:val="171"/>
            <w:tabs>
              <w:tab w:val="right" w:leader="dot" w:pos="9355"/>
            </w:tabs>
            <w:ind w:left="420"/>
          </w:pPr>
          <w:r>
            <w:fldChar w:fldCharType="begin"/>
          </w:r>
          <w:r>
            <w:instrText xml:space="preserve"> HYPERLINK \l "_Toc10792" </w:instrText>
          </w:r>
          <w:r>
            <w:fldChar w:fldCharType="separate"/>
          </w:r>
          <w:r>
            <w:rPr>
              <w:rFonts w:hint="eastAsia" w:ascii="黑体" w:eastAsia="黑体"/>
              <w:szCs w:val="24"/>
            </w:rPr>
            <w:t xml:space="preserve">5.7 </w:t>
          </w:r>
          <w:r>
            <w:rPr>
              <w:szCs w:val="22"/>
            </w:rPr>
            <w:t>数据分配</w:t>
          </w:r>
          <w:r>
            <w:tab/>
          </w:r>
          <w:r>
            <w:rPr>
              <w:rFonts w:hint="eastAsia"/>
            </w:rPr>
            <w:t>11</w:t>
          </w:r>
          <w:r>
            <w:rPr>
              <w:rFonts w:hint="eastAsia"/>
            </w:rPr>
            <w:fldChar w:fldCharType="end"/>
          </w:r>
        </w:p>
        <w:p>
          <w:pPr>
            <w:pStyle w:val="170"/>
            <w:tabs>
              <w:tab w:val="right" w:leader="dot" w:pos="9355"/>
            </w:tabs>
            <w:rPr>
              <w:b/>
            </w:rPr>
          </w:pPr>
          <w:r>
            <w:fldChar w:fldCharType="begin"/>
          </w:r>
          <w:r>
            <w:instrText xml:space="preserve"> HYPERLINK \l "_Toc29954" </w:instrText>
          </w:r>
          <w:r>
            <w:fldChar w:fldCharType="separate"/>
          </w:r>
          <w:r>
            <w:rPr>
              <w:rFonts w:ascii="黑体" w:eastAsia="黑体"/>
              <w:b/>
              <w:szCs w:val="21"/>
            </w:rPr>
            <w:t xml:space="preserve">6 </w:t>
          </w:r>
          <w:r>
            <w:rPr>
              <w:rFonts w:hint="eastAsia"/>
              <w:b/>
            </w:rPr>
            <w:t>影响评价</w:t>
          </w:r>
          <w:r>
            <w:rPr>
              <w:b/>
            </w:rPr>
            <w:tab/>
          </w:r>
          <w:r>
            <w:rPr>
              <w:b/>
            </w:rPr>
            <w:fldChar w:fldCharType="begin"/>
          </w:r>
          <w:r>
            <w:rPr>
              <w:b/>
            </w:rPr>
            <w:instrText xml:space="preserve"> PAGEREF _Toc29954 \h </w:instrText>
          </w:r>
          <w:r>
            <w:rPr>
              <w:b/>
            </w:rPr>
            <w:fldChar w:fldCharType="separate"/>
          </w:r>
          <w:r>
            <w:rPr>
              <w:b/>
            </w:rPr>
            <w:t>1</w:t>
          </w:r>
          <w:r>
            <w:rPr>
              <w:rFonts w:hint="eastAsia"/>
              <w:b/>
            </w:rPr>
            <w:t>1</w:t>
          </w:r>
          <w:r>
            <w:rPr>
              <w:b/>
            </w:rPr>
            <w:fldChar w:fldCharType="end"/>
          </w:r>
          <w:r>
            <w:rPr>
              <w:b/>
            </w:rPr>
            <w:fldChar w:fldCharType="end"/>
          </w:r>
        </w:p>
        <w:p>
          <w:pPr>
            <w:pStyle w:val="171"/>
            <w:tabs>
              <w:tab w:val="right" w:leader="dot" w:pos="9355"/>
            </w:tabs>
            <w:ind w:left="420"/>
          </w:pPr>
          <w:r>
            <w:fldChar w:fldCharType="begin"/>
          </w:r>
          <w:r>
            <w:instrText xml:space="preserve"> HYPERLINK \l "_Toc7717" </w:instrText>
          </w:r>
          <w:r>
            <w:fldChar w:fldCharType="separate"/>
          </w:r>
          <w:r>
            <w:rPr>
              <w:rFonts w:hint="eastAsia" w:ascii="黑体" w:eastAsia="黑体"/>
              <w:szCs w:val="24"/>
            </w:rPr>
            <w:t xml:space="preserve">6.1 </w:t>
          </w:r>
          <w:r>
            <w:rPr>
              <w:szCs w:val="22"/>
            </w:rPr>
            <w:t>概述</w:t>
          </w:r>
          <w:r>
            <w:tab/>
          </w:r>
          <w:r>
            <w:fldChar w:fldCharType="begin"/>
          </w:r>
          <w:r>
            <w:instrText xml:space="preserve"> PAGEREF _Toc7717 \h </w:instrText>
          </w:r>
          <w:r>
            <w:fldChar w:fldCharType="separate"/>
          </w:r>
          <w:r>
            <w:t>1</w:t>
          </w:r>
          <w:r>
            <w:rPr>
              <w:rFonts w:hint="eastAsia"/>
            </w:rPr>
            <w:t>1</w:t>
          </w:r>
          <w:r>
            <w:fldChar w:fldCharType="end"/>
          </w:r>
          <w:r>
            <w:fldChar w:fldCharType="end"/>
          </w:r>
        </w:p>
        <w:p>
          <w:pPr>
            <w:pStyle w:val="171"/>
            <w:tabs>
              <w:tab w:val="right" w:leader="dot" w:pos="9355"/>
            </w:tabs>
            <w:ind w:left="420"/>
          </w:pPr>
          <w:r>
            <w:fldChar w:fldCharType="begin"/>
          </w:r>
          <w:r>
            <w:instrText xml:space="preserve"> HYPERLINK \l "_Toc19863" </w:instrText>
          </w:r>
          <w:r>
            <w:fldChar w:fldCharType="separate"/>
          </w:r>
          <w:r>
            <w:rPr>
              <w:rFonts w:hint="eastAsia" w:ascii="黑体" w:eastAsia="黑体"/>
              <w:szCs w:val="24"/>
            </w:rPr>
            <w:t xml:space="preserve">6.2 </w:t>
          </w:r>
          <w:r>
            <w:rPr>
              <w:szCs w:val="22"/>
            </w:rPr>
            <w:t>产品碳足迹计算</w:t>
          </w:r>
          <w:r>
            <w:tab/>
          </w:r>
          <w:r>
            <w:fldChar w:fldCharType="begin"/>
          </w:r>
          <w:r>
            <w:instrText xml:space="preserve"> PAGEREF _Toc19863 \h </w:instrText>
          </w:r>
          <w:r>
            <w:fldChar w:fldCharType="separate"/>
          </w:r>
          <w:r>
            <w:t>1</w:t>
          </w:r>
          <w:r>
            <w:fldChar w:fldCharType="end"/>
          </w:r>
          <w:r>
            <w:fldChar w:fldCharType="end"/>
          </w:r>
          <w:r>
            <w:rPr>
              <w:rFonts w:hint="eastAsia"/>
            </w:rPr>
            <w:t>2</w:t>
          </w:r>
        </w:p>
        <w:p>
          <w:pPr>
            <w:pStyle w:val="171"/>
            <w:tabs>
              <w:tab w:val="right" w:leader="dot" w:pos="9355"/>
            </w:tabs>
            <w:ind w:left="420"/>
          </w:pPr>
          <w:r>
            <w:fldChar w:fldCharType="begin"/>
          </w:r>
          <w:r>
            <w:instrText xml:space="preserve"> HYPERLINK \l "_Toc9949" </w:instrText>
          </w:r>
          <w:r>
            <w:fldChar w:fldCharType="separate"/>
          </w:r>
          <w:r>
            <w:rPr>
              <w:rFonts w:hint="eastAsia" w:ascii="黑体" w:eastAsia="黑体"/>
              <w:szCs w:val="24"/>
            </w:rPr>
            <w:t xml:space="preserve">6.3 </w:t>
          </w:r>
          <w:r>
            <w:rPr>
              <w:szCs w:val="22"/>
            </w:rPr>
            <w:t>原</w:t>
          </w:r>
          <w:r>
            <w:rPr>
              <w:rFonts w:hint="eastAsia"/>
              <w:szCs w:val="22"/>
            </w:rPr>
            <w:t>辅</w:t>
          </w:r>
          <w:r>
            <w:rPr>
              <w:szCs w:val="22"/>
            </w:rPr>
            <w:t>料温室气体排放量</w:t>
          </w:r>
          <w:r>
            <w:tab/>
          </w:r>
          <w:r>
            <w:fldChar w:fldCharType="begin"/>
          </w:r>
          <w:r>
            <w:instrText xml:space="preserve"> PAGEREF _Toc9949 \h </w:instrText>
          </w:r>
          <w:r>
            <w:fldChar w:fldCharType="separate"/>
          </w:r>
          <w:r>
            <w:t>1</w:t>
          </w:r>
          <w:r>
            <w:rPr>
              <w:rFonts w:hint="eastAsia"/>
            </w:rPr>
            <w:t>2</w:t>
          </w:r>
          <w:r>
            <w:fldChar w:fldCharType="end"/>
          </w:r>
          <w:r>
            <w:fldChar w:fldCharType="end"/>
          </w:r>
        </w:p>
        <w:p>
          <w:pPr>
            <w:pStyle w:val="171"/>
            <w:tabs>
              <w:tab w:val="right" w:leader="dot" w:pos="9355"/>
            </w:tabs>
            <w:ind w:left="420"/>
          </w:pPr>
          <w:r>
            <w:fldChar w:fldCharType="begin"/>
          </w:r>
          <w:r>
            <w:instrText xml:space="preserve"> HYPERLINK \l "_Toc9949" </w:instrText>
          </w:r>
          <w:r>
            <w:fldChar w:fldCharType="separate"/>
          </w:r>
          <w:r>
            <w:rPr>
              <w:rFonts w:hint="eastAsia" w:ascii="黑体" w:eastAsia="黑体"/>
              <w:szCs w:val="24"/>
            </w:rPr>
            <w:t xml:space="preserve">6.4 </w:t>
          </w:r>
          <w:r>
            <w:rPr>
              <w:rFonts w:hint="eastAsia"/>
              <w:szCs w:val="22"/>
            </w:rPr>
            <w:t>运输过程</w:t>
          </w:r>
          <w:r>
            <w:rPr>
              <w:szCs w:val="22"/>
            </w:rPr>
            <w:t>温室气体排放量</w:t>
          </w:r>
          <w:r>
            <w:tab/>
          </w:r>
          <w:r>
            <w:fldChar w:fldCharType="end"/>
          </w:r>
          <w:r>
            <w:rPr>
              <w:rFonts w:hint="eastAsia"/>
            </w:rPr>
            <w:t>12</w:t>
          </w:r>
        </w:p>
        <w:p>
          <w:pPr>
            <w:pStyle w:val="171"/>
            <w:tabs>
              <w:tab w:val="right" w:leader="dot" w:pos="9355"/>
            </w:tabs>
            <w:ind w:left="420"/>
          </w:pPr>
          <w:r>
            <w:fldChar w:fldCharType="begin"/>
          </w:r>
          <w:r>
            <w:instrText xml:space="preserve"> HYPERLINK \l "_Toc27561" </w:instrText>
          </w:r>
          <w:r>
            <w:fldChar w:fldCharType="separate"/>
          </w:r>
          <w:r>
            <w:rPr>
              <w:rFonts w:hint="eastAsia" w:ascii="黑体" w:eastAsia="黑体"/>
              <w:szCs w:val="24"/>
            </w:rPr>
            <w:t xml:space="preserve">6.5 </w:t>
          </w:r>
          <w:r>
            <w:rPr>
              <w:rFonts w:hint="eastAsia"/>
              <w:szCs w:val="22"/>
            </w:rPr>
            <w:t>加工制造过程</w:t>
          </w:r>
          <w:r>
            <w:rPr>
              <w:szCs w:val="22"/>
            </w:rPr>
            <w:t>温室气体排放量</w:t>
          </w:r>
          <w:r>
            <w:tab/>
          </w:r>
          <w:r>
            <w:fldChar w:fldCharType="begin"/>
          </w:r>
          <w:r>
            <w:instrText xml:space="preserve"> PAGEREF _Toc27561 \h </w:instrText>
          </w:r>
          <w:r>
            <w:fldChar w:fldCharType="separate"/>
          </w:r>
          <w:r>
            <w:t>1</w:t>
          </w:r>
          <w:r>
            <w:rPr>
              <w:rFonts w:hint="eastAsia"/>
            </w:rPr>
            <w:t>3</w:t>
          </w:r>
          <w:r>
            <w:fldChar w:fldCharType="end"/>
          </w:r>
          <w:r>
            <w:fldChar w:fldCharType="end"/>
          </w:r>
        </w:p>
        <w:p>
          <w:pPr>
            <w:pStyle w:val="170"/>
            <w:tabs>
              <w:tab w:val="right" w:leader="dot" w:pos="9355"/>
            </w:tabs>
            <w:rPr>
              <w:b/>
            </w:rPr>
          </w:pPr>
          <w:r>
            <w:fldChar w:fldCharType="begin"/>
          </w:r>
          <w:r>
            <w:instrText xml:space="preserve"> HYPERLINK \l "_Toc4423" </w:instrText>
          </w:r>
          <w:r>
            <w:fldChar w:fldCharType="separate"/>
          </w:r>
          <w:r>
            <w:rPr>
              <w:rFonts w:ascii="黑体" w:eastAsia="黑体"/>
              <w:b/>
              <w:szCs w:val="21"/>
            </w:rPr>
            <w:t xml:space="preserve">7 </w:t>
          </w:r>
          <w:r>
            <w:rPr>
              <w:rFonts w:hint="eastAsia"/>
              <w:b/>
            </w:rPr>
            <w:t>结果解释</w:t>
          </w:r>
          <w:r>
            <w:rPr>
              <w:b/>
            </w:rPr>
            <w:tab/>
          </w:r>
          <w:r>
            <w:rPr>
              <w:b/>
            </w:rPr>
            <w:fldChar w:fldCharType="begin"/>
          </w:r>
          <w:r>
            <w:rPr>
              <w:b/>
            </w:rPr>
            <w:instrText xml:space="preserve"> PAGEREF _Toc4423 \h </w:instrText>
          </w:r>
          <w:r>
            <w:rPr>
              <w:b/>
            </w:rPr>
            <w:fldChar w:fldCharType="separate"/>
          </w:r>
          <w:r>
            <w:rPr>
              <w:b/>
            </w:rPr>
            <w:t>1</w:t>
          </w:r>
          <w:r>
            <w:rPr>
              <w:rFonts w:hint="eastAsia"/>
              <w:b/>
            </w:rPr>
            <w:t>4</w:t>
          </w:r>
          <w:r>
            <w:rPr>
              <w:b/>
            </w:rPr>
            <w:fldChar w:fldCharType="end"/>
          </w:r>
          <w:r>
            <w:rPr>
              <w:b/>
            </w:rPr>
            <w:fldChar w:fldCharType="end"/>
          </w:r>
        </w:p>
        <w:p>
          <w:pPr>
            <w:pStyle w:val="170"/>
            <w:tabs>
              <w:tab w:val="right" w:leader="dot" w:pos="9355"/>
            </w:tabs>
            <w:rPr>
              <w:b/>
            </w:rPr>
          </w:pPr>
          <w:r>
            <w:fldChar w:fldCharType="begin"/>
          </w:r>
          <w:r>
            <w:instrText xml:space="preserve"> HYPERLINK \l "_Toc32078" </w:instrText>
          </w:r>
          <w:r>
            <w:fldChar w:fldCharType="separate"/>
          </w:r>
          <w:r>
            <w:rPr>
              <w:rFonts w:ascii="黑体" w:eastAsia="黑体"/>
              <w:b/>
              <w:szCs w:val="21"/>
            </w:rPr>
            <w:t xml:space="preserve">8 </w:t>
          </w:r>
          <w:r>
            <w:rPr>
              <w:rFonts w:hint="eastAsia"/>
              <w:b/>
            </w:rPr>
            <w:t>产品碳足迹报告</w:t>
          </w:r>
          <w:r>
            <w:rPr>
              <w:b/>
            </w:rPr>
            <w:tab/>
          </w:r>
          <w:r>
            <w:rPr>
              <w:b/>
            </w:rPr>
            <w:fldChar w:fldCharType="begin"/>
          </w:r>
          <w:r>
            <w:rPr>
              <w:b/>
            </w:rPr>
            <w:instrText xml:space="preserve"> PAGEREF _Toc32078 \h </w:instrText>
          </w:r>
          <w:r>
            <w:rPr>
              <w:b/>
            </w:rPr>
            <w:fldChar w:fldCharType="separate"/>
          </w:r>
          <w:r>
            <w:rPr>
              <w:b/>
            </w:rPr>
            <w:t>1</w:t>
          </w:r>
          <w:r>
            <w:rPr>
              <w:rFonts w:hint="eastAsia"/>
              <w:b/>
            </w:rPr>
            <w:t>4</w:t>
          </w:r>
          <w:r>
            <w:rPr>
              <w:b/>
            </w:rPr>
            <w:fldChar w:fldCharType="end"/>
          </w:r>
          <w:r>
            <w:rPr>
              <w:b/>
            </w:rPr>
            <w:fldChar w:fldCharType="end"/>
          </w:r>
        </w:p>
        <w:p>
          <w:pPr>
            <w:pStyle w:val="170"/>
            <w:tabs>
              <w:tab w:val="right" w:leader="dot" w:pos="9355"/>
            </w:tabs>
            <w:rPr>
              <w:b/>
            </w:rPr>
          </w:pPr>
          <w:r>
            <w:fldChar w:fldCharType="begin"/>
          </w:r>
          <w:r>
            <w:instrText xml:space="preserve"> HYPERLINK \l "_Toc8369" </w:instrText>
          </w:r>
          <w:r>
            <w:fldChar w:fldCharType="separate"/>
          </w:r>
          <w:r>
            <w:rPr>
              <w:rFonts w:ascii="黑体" w:eastAsia="黑体"/>
              <w:b/>
              <w:szCs w:val="21"/>
            </w:rPr>
            <w:t xml:space="preserve">9 </w:t>
          </w:r>
          <w:r>
            <w:rPr>
              <w:rFonts w:hint="eastAsia"/>
              <w:b/>
              <w:szCs w:val="24"/>
            </w:rPr>
            <w:t>鉴定性评审</w:t>
          </w:r>
          <w:r>
            <w:rPr>
              <w:b/>
            </w:rPr>
            <w:tab/>
          </w:r>
          <w:r>
            <w:rPr>
              <w:b/>
            </w:rPr>
            <w:fldChar w:fldCharType="begin"/>
          </w:r>
          <w:r>
            <w:rPr>
              <w:b/>
            </w:rPr>
            <w:instrText xml:space="preserve"> PAGEREF _Toc8369 \h </w:instrText>
          </w:r>
          <w:r>
            <w:rPr>
              <w:b/>
            </w:rPr>
            <w:fldChar w:fldCharType="separate"/>
          </w:r>
          <w:r>
            <w:rPr>
              <w:b/>
            </w:rPr>
            <w:t>1</w:t>
          </w:r>
          <w:r>
            <w:rPr>
              <w:rFonts w:hint="eastAsia"/>
              <w:b/>
            </w:rPr>
            <w:t>5</w:t>
          </w:r>
          <w:r>
            <w:rPr>
              <w:b/>
            </w:rPr>
            <w:fldChar w:fldCharType="end"/>
          </w:r>
          <w:r>
            <w:rPr>
              <w:b/>
            </w:rPr>
            <w:fldChar w:fldCharType="end"/>
          </w:r>
        </w:p>
        <w:p>
          <w:pPr>
            <w:pStyle w:val="170"/>
            <w:tabs>
              <w:tab w:val="right" w:leader="dot" w:pos="9355"/>
            </w:tabs>
            <w:rPr>
              <w:b/>
            </w:rPr>
          </w:pPr>
          <w:r>
            <w:fldChar w:fldCharType="begin"/>
          </w:r>
          <w:r>
            <w:instrText xml:space="preserve"> HYPERLINK \l "_Toc2389" </w:instrText>
          </w:r>
          <w:r>
            <w:fldChar w:fldCharType="separate"/>
          </w:r>
          <w:r>
            <w:rPr>
              <w:b/>
              <w:bCs/>
              <w:szCs w:val="22"/>
            </w:rPr>
            <w:t>附录A（资料性）</w:t>
          </w:r>
          <w:r>
            <w:rPr>
              <w:rFonts w:hint="eastAsia"/>
              <w:b/>
              <w:bCs/>
              <w:szCs w:val="22"/>
            </w:rPr>
            <w:t>能源消耗数据分配方法</w:t>
          </w:r>
          <w:r>
            <w:rPr>
              <w:b/>
            </w:rPr>
            <w:tab/>
          </w:r>
          <w:r>
            <w:rPr>
              <w:b/>
            </w:rPr>
            <w:fldChar w:fldCharType="begin"/>
          </w:r>
          <w:r>
            <w:rPr>
              <w:b/>
            </w:rPr>
            <w:instrText xml:space="preserve"> PAGEREF _Toc2389 \h </w:instrText>
          </w:r>
          <w:r>
            <w:rPr>
              <w:b/>
            </w:rPr>
            <w:fldChar w:fldCharType="separate"/>
          </w:r>
          <w:r>
            <w:rPr>
              <w:b/>
            </w:rPr>
            <w:t>1</w:t>
          </w:r>
          <w:r>
            <w:rPr>
              <w:rFonts w:hint="eastAsia"/>
              <w:b/>
            </w:rPr>
            <w:t>6</w:t>
          </w:r>
          <w:r>
            <w:rPr>
              <w:b/>
            </w:rPr>
            <w:fldChar w:fldCharType="end"/>
          </w:r>
          <w:r>
            <w:rPr>
              <w:b/>
            </w:rPr>
            <w:fldChar w:fldCharType="end"/>
          </w:r>
        </w:p>
        <w:p>
          <w:pPr>
            <w:pStyle w:val="170"/>
            <w:tabs>
              <w:tab w:val="right" w:leader="dot" w:pos="9355"/>
            </w:tabs>
            <w:rPr>
              <w:b/>
            </w:rPr>
          </w:pPr>
          <w:r>
            <w:fldChar w:fldCharType="begin"/>
          </w:r>
          <w:r>
            <w:instrText xml:space="preserve"> HYPERLINK \l "_Toc2389" </w:instrText>
          </w:r>
          <w:r>
            <w:fldChar w:fldCharType="separate"/>
          </w:r>
          <w:r>
            <w:rPr>
              <w:b/>
              <w:bCs/>
              <w:szCs w:val="22"/>
            </w:rPr>
            <w:t>附录</w:t>
          </w:r>
          <w:r>
            <w:rPr>
              <w:rFonts w:hint="eastAsia"/>
              <w:b/>
              <w:bCs/>
              <w:szCs w:val="22"/>
            </w:rPr>
            <w:t>B</w:t>
          </w:r>
          <w:r>
            <w:rPr>
              <w:b/>
              <w:bCs/>
              <w:szCs w:val="22"/>
            </w:rPr>
            <w:t>（资料性）</w:t>
          </w:r>
          <w:r>
            <w:rPr>
              <w:rFonts w:hint="eastAsia"/>
              <w:b/>
              <w:bCs/>
              <w:szCs w:val="22"/>
            </w:rPr>
            <w:t>GWP</w:t>
          </w:r>
          <w:r>
            <w:rPr>
              <w:b/>
              <w:bCs/>
              <w:szCs w:val="22"/>
            </w:rPr>
            <w:t>参考值</w:t>
          </w:r>
          <w:r>
            <w:rPr>
              <w:b/>
            </w:rPr>
            <w:tab/>
          </w:r>
          <w:r>
            <w:rPr>
              <w:b/>
            </w:rPr>
            <w:fldChar w:fldCharType="begin"/>
          </w:r>
          <w:r>
            <w:rPr>
              <w:b/>
            </w:rPr>
            <w:instrText xml:space="preserve"> PAGEREF _Toc2389 \h </w:instrText>
          </w:r>
          <w:r>
            <w:rPr>
              <w:b/>
            </w:rPr>
            <w:fldChar w:fldCharType="separate"/>
          </w:r>
          <w:r>
            <w:rPr>
              <w:b/>
            </w:rPr>
            <w:t>1</w:t>
          </w:r>
          <w:r>
            <w:rPr>
              <w:b/>
            </w:rPr>
            <w:fldChar w:fldCharType="end"/>
          </w:r>
          <w:r>
            <w:rPr>
              <w:b/>
            </w:rPr>
            <w:fldChar w:fldCharType="end"/>
          </w:r>
          <w:r>
            <w:rPr>
              <w:rFonts w:hint="eastAsia"/>
              <w:b/>
            </w:rPr>
            <w:t>8</w:t>
          </w:r>
        </w:p>
        <w:p>
          <w:pPr>
            <w:pStyle w:val="170"/>
            <w:tabs>
              <w:tab w:val="right" w:leader="dot" w:pos="9355"/>
            </w:tabs>
            <w:rPr>
              <w:b/>
            </w:rPr>
          </w:pPr>
          <w:r>
            <w:fldChar w:fldCharType="begin"/>
          </w:r>
          <w:r>
            <w:instrText xml:space="preserve"> HYPERLINK \l "_Toc2389" </w:instrText>
          </w:r>
          <w:r>
            <w:fldChar w:fldCharType="separate"/>
          </w:r>
          <w:r>
            <w:rPr>
              <w:b/>
              <w:bCs/>
              <w:szCs w:val="22"/>
            </w:rPr>
            <w:t>附录</w:t>
          </w:r>
          <w:r>
            <w:rPr>
              <w:rFonts w:hint="eastAsia"/>
              <w:b/>
              <w:bCs/>
              <w:szCs w:val="22"/>
            </w:rPr>
            <w:t>C</w:t>
          </w:r>
          <w:r>
            <w:rPr>
              <w:b/>
              <w:bCs/>
              <w:szCs w:val="22"/>
            </w:rPr>
            <w:t>（资料性）</w:t>
          </w:r>
          <w:r>
            <w:rPr>
              <w:rFonts w:hint="eastAsia"/>
              <w:b/>
              <w:bCs/>
              <w:szCs w:val="22"/>
            </w:rPr>
            <w:t>碳排放因子</w:t>
          </w:r>
          <w:r>
            <w:rPr>
              <w:b/>
            </w:rPr>
            <w:tab/>
          </w:r>
          <w:r>
            <w:rPr>
              <w:rFonts w:hint="eastAsia"/>
              <w:b/>
            </w:rPr>
            <w:t>19</w:t>
          </w:r>
          <w:r>
            <w:rPr>
              <w:rFonts w:hint="eastAsia"/>
              <w:b/>
            </w:rPr>
            <w:fldChar w:fldCharType="end"/>
          </w:r>
        </w:p>
        <w:p>
          <w:pPr>
            <w:pStyle w:val="170"/>
            <w:tabs>
              <w:tab w:val="right" w:leader="dot" w:pos="9355"/>
            </w:tabs>
            <w:rPr>
              <w:b/>
            </w:rPr>
          </w:pPr>
          <w:r>
            <w:fldChar w:fldCharType="begin"/>
          </w:r>
          <w:r>
            <w:instrText xml:space="preserve"> HYPERLINK \l "_Toc2389" </w:instrText>
          </w:r>
          <w:r>
            <w:fldChar w:fldCharType="separate"/>
          </w:r>
          <w:r>
            <w:rPr>
              <w:b/>
              <w:bCs/>
              <w:szCs w:val="22"/>
            </w:rPr>
            <w:t>附录</w:t>
          </w:r>
          <w:r>
            <w:rPr>
              <w:rFonts w:hint="eastAsia"/>
              <w:b/>
              <w:bCs/>
              <w:szCs w:val="22"/>
            </w:rPr>
            <w:t>D</w:t>
          </w:r>
          <w:r>
            <w:rPr>
              <w:b/>
              <w:bCs/>
              <w:szCs w:val="22"/>
            </w:rPr>
            <w:t>（资料性）</w:t>
          </w:r>
          <w:r>
            <w:rPr>
              <w:rFonts w:hint="eastAsia"/>
              <w:b/>
              <w:bCs/>
              <w:szCs w:val="22"/>
            </w:rPr>
            <w:t>玻璃产品碳足迹报告（模板）</w:t>
          </w:r>
          <w:r>
            <w:rPr>
              <w:b/>
            </w:rPr>
            <w:tab/>
          </w:r>
          <w:r>
            <w:rPr>
              <w:rFonts w:hint="eastAsia"/>
              <w:b/>
            </w:rPr>
            <w:t>2</w:t>
          </w:r>
          <w:r>
            <w:rPr>
              <w:rFonts w:hint="eastAsia"/>
              <w:b/>
            </w:rPr>
            <w:fldChar w:fldCharType="end"/>
          </w:r>
          <w:r>
            <w:rPr>
              <w:rFonts w:hint="eastAsia"/>
              <w:b/>
            </w:rPr>
            <w:t>1</w:t>
          </w:r>
        </w:p>
        <w:p>
          <w:pPr>
            <w:pStyle w:val="170"/>
            <w:tabs>
              <w:tab w:val="right" w:leader="dot" w:pos="9355"/>
            </w:tabs>
            <w:rPr>
              <w:b/>
            </w:rPr>
          </w:pPr>
          <w:r>
            <w:fldChar w:fldCharType="begin"/>
          </w:r>
          <w:r>
            <w:instrText xml:space="preserve"> HYPERLINK \l "_Toc2389" </w:instrText>
          </w:r>
          <w:r>
            <w:fldChar w:fldCharType="separate"/>
          </w:r>
          <w:r>
            <w:rPr>
              <w:rFonts w:hint="eastAsia"/>
              <w:b/>
              <w:bCs/>
              <w:szCs w:val="22"/>
            </w:rPr>
            <w:t>参考文献</w:t>
          </w:r>
          <w:r>
            <w:rPr>
              <w:b/>
            </w:rPr>
            <w:tab/>
          </w:r>
          <w:r>
            <w:rPr>
              <w:rFonts w:hint="eastAsia"/>
              <w:b/>
            </w:rPr>
            <w:t>25</w:t>
          </w:r>
          <w:r>
            <w:rPr>
              <w:rFonts w:hint="eastAsia"/>
              <w:b/>
            </w:rPr>
            <w:fldChar w:fldCharType="end"/>
          </w:r>
        </w:p>
        <w:p>
          <w:pPr>
            <w:spacing w:before="312"/>
          </w:pPr>
          <w:r>
            <w:rPr>
              <w:b/>
            </w:rPr>
            <w:fldChar w:fldCharType="end"/>
          </w:r>
        </w:p>
      </w:sdtContent>
    </w:sdt>
    <w:p>
      <w:pPr>
        <w:spacing w:before="312"/>
      </w:pPr>
      <w:bookmarkStart w:id="8" w:name="_Toc21750"/>
      <w:bookmarkStart w:id="9" w:name="_Toc24018"/>
    </w:p>
    <w:p>
      <w:pPr>
        <w:spacing w:before="312"/>
        <w:ind w:right="420"/>
        <w:jc w:val="right"/>
        <w:sectPr>
          <w:headerReference r:id="rId5" w:type="default"/>
          <w:footerReference r:id="rId6" w:type="default"/>
          <w:pgSz w:w="11906" w:h="16838"/>
          <w:pgMar w:top="567" w:right="1134" w:bottom="1134" w:left="1417" w:header="1418" w:footer="1134" w:gutter="0"/>
          <w:pgNumType w:fmt="upperRoman" w:start="1"/>
          <w:cols w:space="720" w:num="1"/>
          <w:formProt w:val="0"/>
          <w:docGrid w:type="lines" w:linePitch="312" w:charSpace="0"/>
        </w:sectPr>
      </w:pPr>
    </w:p>
    <w:p>
      <w:pPr>
        <w:pStyle w:val="89"/>
        <w:spacing w:line="380" w:lineRule="exact"/>
        <w:rPr>
          <w:rFonts w:ascii="Times New Roman" w:eastAsia="宋体"/>
        </w:rPr>
      </w:pPr>
      <w:r>
        <w:rPr>
          <w:rFonts w:ascii="Times New Roman" w:eastAsia="宋体"/>
        </w:rPr>
        <w:t>前</w:t>
      </w:r>
      <w:bookmarkStart w:id="10" w:name="BKQY"/>
      <w:r>
        <w:rPr>
          <w:rFonts w:ascii="Times New Roman" w:eastAsia="宋体"/>
        </w:rPr>
        <w:t>  言</w:t>
      </w:r>
      <w:bookmarkEnd w:id="8"/>
      <w:bookmarkEnd w:id="9"/>
      <w:bookmarkEnd w:id="10"/>
    </w:p>
    <w:p>
      <w:pPr>
        <w:widowControl/>
        <w:snapToGrid w:val="0"/>
        <w:spacing w:line="380" w:lineRule="exact"/>
        <w:ind w:firstLine="420" w:firstLineChars="200"/>
        <w:jc w:val="left"/>
        <w:rPr>
          <w:color w:val="000000"/>
          <w:szCs w:val="21"/>
          <w:lang w:bidi="ar"/>
        </w:rPr>
      </w:pPr>
      <w:r>
        <w:rPr>
          <w:color w:val="000000"/>
          <w:szCs w:val="21"/>
          <w:lang w:bidi="ar"/>
        </w:rPr>
        <w:t>本文件按照GB/T 1.1—2020《标准化工作导则 第1部分：标准化文件的结构和起草规则》的规定起草。</w:t>
      </w:r>
    </w:p>
    <w:p>
      <w:pPr>
        <w:widowControl/>
        <w:snapToGrid w:val="0"/>
        <w:spacing w:line="380" w:lineRule="exact"/>
        <w:ind w:firstLine="420" w:firstLineChars="200"/>
        <w:jc w:val="left"/>
        <w:rPr>
          <w:color w:val="000000"/>
          <w:szCs w:val="21"/>
          <w:lang w:bidi="ar"/>
        </w:rPr>
      </w:pPr>
      <w:r>
        <w:rPr>
          <w:color w:val="000000"/>
          <w:szCs w:val="21"/>
          <w:lang w:bidi="ar"/>
        </w:rPr>
        <w:t>本文件由</w:t>
      </w:r>
      <w:bookmarkStart w:id="11" w:name="_Hlk176172243"/>
      <w:r>
        <w:t>上海市住房和城乡建设管理委员会</w:t>
      </w:r>
      <w:r>
        <w:rPr>
          <w:rFonts w:hint="eastAsia"/>
        </w:rPr>
        <w:t>、</w:t>
      </w:r>
      <w:r>
        <w:t>上海市发展和改革委员会提出</w:t>
      </w:r>
      <w:bookmarkEnd w:id="11"/>
      <w:r>
        <w:t>。</w:t>
      </w:r>
    </w:p>
    <w:p>
      <w:pPr>
        <w:widowControl/>
        <w:snapToGrid w:val="0"/>
        <w:spacing w:line="380" w:lineRule="exact"/>
        <w:ind w:firstLine="420" w:firstLineChars="200"/>
        <w:jc w:val="left"/>
        <w:rPr>
          <w:color w:val="000000"/>
          <w:szCs w:val="21"/>
          <w:lang w:bidi="ar"/>
        </w:rPr>
      </w:pPr>
      <w:r>
        <w:rPr>
          <w:color w:val="000000"/>
          <w:szCs w:val="21"/>
          <w:lang w:bidi="ar"/>
        </w:rPr>
        <w:t>本文件由上海市碳达峰碳中和标准化技术委员会归口。</w:t>
      </w:r>
    </w:p>
    <w:p>
      <w:pPr>
        <w:widowControl/>
        <w:snapToGrid w:val="0"/>
        <w:spacing w:line="380" w:lineRule="exact"/>
        <w:ind w:firstLine="420" w:firstLineChars="200"/>
        <w:jc w:val="left"/>
        <w:rPr>
          <w:color w:val="000000"/>
          <w:szCs w:val="21"/>
          <w:lang w:bidi="ar"/>
        </w:rPr>
      </w:pPr>
      <w:r>
        <w:rPr>
          <w:color w:val="000000"/>
          <w:szCs w:val="21"/>
          <w:lang w:bidi="ar"/>
        </w:rPr>
        <w:t>本文件起草单位：上海建科检验有限公司等。</w:t>
      </w:r>
    </w:p>
    <w:p>
      <w:pPr>
        <w:widowControl/>
        <w:snapToGrid w:val="0"/>
        <w:spacing w:line="380" w:lineRule="exact"/>
        <w:ind w:firstLine="420" w:firstLineChars="200"/>
        <w:jc w:val="left"/>
        <w:rPr>
          <w:color w:val="000000"/>
          <w:szCs w:val="21"/>
          <w:lang w:bidi="ar"/>
        </w:rPr>
      </w:pPr>
      <w:r>
        <w:rPr>
          <w:color w:val="000000"/>
          <w:szCs w:val="21"/>
          <w:lang w:bidi="ar"/>
        </w:rPr>
        <w:t>本文件主要起草人：</w:t>
      </w:r>
    </w:p>
    <w:p>
      <w:pPr>
        <w:pStyle w:val="28"/>
        <w:spacing w:before="156" w:after="156" w:line="380" w:lineRule="exact"/>
        <w:rPr>
          <w:rFonts w:ascii="Times New Roman"/>
        </w:rPr>
      </w:pPr>
    </w:p>
    <w:p>
      <w:pPr>
        <w:spacing w:before="312" w:line="380" w:lineRule="exact"/>
      </w:pPr>
    </w:p>
    <w:p>
      <w:pPr>
        <w:spacing w:before="312" w:line="380" w:lineRule="exact"/>
        <w:jc w:val="center"/>
        <w:sectPr>
          <w:footerReference r:id="rId7" w:type="default"/>
          <w:pgSz w:w="11906" w:h="16838"/>
          <w:pgMar w:top="567" w:right="1134" w:bottom="1134" w:left="1417" w:header="1418" w:footer="1134" w:gutter="0"/>
          <w:pgNumType w:fmt="upperRoman" w:start="1"/>
          <w:cols w:space="720" w:num="1"/>
          <w:formProt w:val="0"/>
          <w:docGrid w:type="lines" w:linePitch="312" w:charSpace="0"/>
        </w:sectPr>
      </w:pPr>
    </w:p>
    <w:p>
      <w:pPr>
        <w:pStyle w:val="133"/>
        <w:spacing w:before="240" w:line="380" w:lineRule="exact"/>
        <w:rPr>
          <w:rFonts w:ascii="Times New Roman" w:eastAsia="宋体"/>
        </w:rPr>
      </w:pPr>
      <w:bookmarkStart w:id="12" w:name="_Toc4681"/>
      <w:bookmarkStart w:id="13" w:name="_Toc16118"/>
      <w:bookmarkStart w:id="14" w:name="_Toc25301"/>
      <w:r>
        <w:rPr>
          <w:rFonts w:ascii="Times New Roman" w:eastAsia="宋体"/>
        </w:rPr>
        <w:t>玻璃产品碳足迹核算</w:t>
      </w:r>
      <w:bookmarkEnd w:id="12"/>
      <w:r>
        <w:rPr>
          <w:rFonts w:ascii="Times New Roman" w:eastAsia="宋体"/>
        </w:rPr>
        <w:t>方法</w:t>
      </w:r>
      <w:bookmarkEnd w:id="13"/>
      <w:bookmarkEnd w:id="14"/>
    </w:p>
    <w:p>
      <w:pPr>
        <w:pStyle w:val="138"/>
        <w:spacing w:before="240" w:after="240" w:line="380" w:lineRule="exact"/>
        <w:outlineLvl w:val="0"/>
        <w:rPr>
          <w:rFonts w:ascii="Times New Roman" w:eastAsia="宋体"/>
          <w:b/>
          <w:szCs w:val="21"/>
        </w:rPr>
      </w:pPr>
      <w:bookmarkStart w:id="15" w:name="_Toc247618047"/>
      <w:bookmarkStart w:id="16" w:name="_Toc3142"/>
      <w:bookmarkStart w:id="17" w:name="_Toc13748268"/>
      <w:bookmarkStart w:id="18" w:name="_Toc18227"/>
      <w:bookmarkStart w:id="19" w:name="_Toc261589490"/>
      <w:bookmarkStart w:id="20" w:name="_Toc13732330"/>
      <w:bookmarkStart w:id="21" w:name="_Toc247618192"/>
      <w:bookmarkStart w:id="22" w:name="_Toc13672237"/>
      <w:r>
        <w:rPr>
          <w:rFonts w:ascii="Times New Roman" w:eastAsia="宋体"/>
          <w:b/>
          <w:szCs w:val="21"/>
        </w:rPr>
        <w:t>范围</w:t>
      </w:r>
      <w:bookmarkEnd w:id="15"/>
      <w:bookmarkEnd w:id="16"/>
      <w:bookmarkEnd w:id="17"/>
      <w:bookmarkEnd w:id="18"/>
      <w:bookmarkEnd w:id="19"/>
      <w:bookmarkEnd w:id="20"/>
      <w:bookmarkEnd w:id="21"/>
      <w:bookmarkEnd w:id="22"/>
    </w:p>
    <w:p>
      <w:pPr>
        <w:pStyle w:val="28"/>
        <w:spacing w:line="380" w:lineRule="exact"/>
      </w:pPr>
      <w:bookmarkStart w:id="23" w:name="_Hlk2440247"/>
      <w:r>
        <w:rPr>
          <w:szCs w:val="21"/>
        </w:rPr>
        <w:t>本文件规定了</w:t>
      </w:r>
      <w:r>
        <w:rPr>
          <w:rFonts w:hint="eastAsia"/>
        </w:rPr>
        <w:t>玻璃产品碳足迹核算的目的和范围、清单分析、影响评价、结果解释、碳足迹报告和鉴定性评审等要求。</w:t>
      </w:r>
    </w:p>
    <w:p>
      <w:pPr>
        <w:pStyle w:val="28"/>
        <w:spacing w:line="380" w:lineRule="exact"/>
        <w:rPr>
          <w:sz w:val="24"/>
        </w:rPr>
      </w:pPr>
      <w:r>
        <w:rPr>
          <w:rFonts w:hint="eastAsia"/>
        </w:rPr>
        <w:t>本文件适用于建筑和汽</w:t>
      </w:r>
      <w:r>
        <w:rPr>
          <w:szCs w:val="21"/>
        </w:rPr>
        <w:t>车用钢化玻璃、夹层玻璃</w:t>
      </w:r>
      <w:r>
        <w:rPr>
          <w:rFonts w:hint="eastAsia"/>
          <w:szCs w:val="21"/>
        </w:rPr>
        <w:t>、</w:t>
      </w:r>
      <w:r>
        <w:rPr>
          <w:szCs w:val="21"/>
        </w:rPr>
        <w:t>中空玻璃</w:t>
      </w:r>
      <w:r>
        <w:rPr>
          <w:rFonts w:hint="eastAsia"/>
          <w:szCs w:val="21"/>
        </w:rPr>
        <w:t>和光伏玻璃</w:t>
      </w:r>
      <w:r>
        <w:rPr>
          <w:szCs w:val="21"/>
        </w:rPr>
        <w:t>产品的碳足迹核算。</w:t>
      </w:r>
    </w:p>
    <w:bookmarkEnd w:id="23"/>
    <w:p>
      <w:pPr>
        <w:pStyle w:val="138"/>
        <w:spacing w:before="240" w:after="240" w:line="380" w:lineRule="exact"/>
        <w:outlineLvl w:val="0"/>
        <w:rPr>
          <w:rFonts w:ascii="Times New Roman" w:eastAsia="宋体"/>
          <w:b/>
          <w:szCs w:val="21"/>
        </w:rPr>
      </w:pPr>
      <w:bookmarkStart w:id="24" w:name="_Toc7285"/>
      <w:bookmarkStart w:id="25" w:name="_Toc13748269"/>
      <w:bookmarkStart w:id="26" w:name="_Toc247618048"/>
      <w:bookmarkStart w:id="27" w:name="_Toc5492"/>
      <w:bookmarkStart w:id="28" w:name="_Toc13672238"/>
      <w:bookmarkStart w:id="29" w:name="_Toc261589491"/>
      <w:bookmarkStart w:id="30" w:name="_Toc247618193"/>
      <w:bookmarkStart w:id="31" w:name="_Toc13732331"/>
      <w:r>
        <w:rPr>
          <w:rFonts w:ascii="Times New Roman" w:eastAsia="宋体"/>
          <w:b/>
          <w:szCs w:val="21"/>
        </w:rPr>
        <w:t>规范性引用文件</w:t>
      </w:r>
      <w:bookmarkEnd w:id="24"/>
      <w:bookmarkEnd w:id="25"/>
      <w:bookmarkEnd w:id="26"/>
      <w:bookmarkEnd w:id="27"/>
      <w:bookmarkEnd w:id="28"/>
      <w:bookmarkEnd w:id="29"/>
      <w:bookmarkEnd w:id="30"/>
      <w:bookmarkEnd w:id="31"/>
    </w:p>
    <w:p>
      <w:pPr>
        <w:pStyle w:val="28"/>
        <w:spacing w:line="380" w:lineRule="exact"/>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8"/>
        <w:spacing w:line="380" w:lineRule="exact"/>
        <w:rPr>
          <w:rFonts w:ascii="Times New Roman"/>
        </w:rPr>
      </w:pPr>
      <w:r>
        <w:rPr>
          <w:rFonts w:ascii="Times New Roman"/>
        </w:rPr>
        <w:t>GB/T 24040—2008 环境管理 生命周期评价 原则与框架（ISO 14040:2006, Environmental management——Life cycle assessment——Principles and framework, IDT）</w:t>
      </w:r>
    </w:p>
    <w:p>
      <w:pPr>
        <w:pStyle w:val="28"/>
        <w:spacing w:line="380" w:lineRule="exact"/>
        <w:rPr>
          <w:rFonts w:ascii="Times New Roman"/>
        </w:rPr>
      </w:pPr>
      <w:r>
        <w:rPr>
          <w:rFonts w:ascii="Times New Roman"/>
        </w:rPr>
        <w:t>GB/T 24044—2008 环境管理 生命周期评价 要求与指南（ISO 14044:2006, Environmental management——Life cycle assessment——Requirements and guidelines, IDT）</w:t>
      </w:r>
    </w:p>
    <w:p>
      <w:pPr>
        <w:pStyle w:val="28"/>
        <w:spacing w:line="380" w:lineRule="exact"/>
        <w:rPr>
          <w:rFonts w:ascii="Times New Roman"/>
        </w:rPr>
      </w:pPr>
      <w:r>
        <w:rPr>
          <w:rFonts w:hint="eastAsia" w:ascii="Times New Roman"/>
        </w:rPr>
        <w:t>GB/T 24067</w:t>
      </w:r>
      <w:r>
        <w:rPr>
          <w:rFonts w:ascii="Times New Roman"/>
        </w:rPr>
        <w:t>—</w:t>
      </w:r>
      <w:r>
        <w:rPr>
          <w:rFonts w:hint="eastAsia" w:ascii="Times New Roman"/>
        </w:rPr>
        <w:t>2024</w:t>
      </w:r>
      <w:r>
        <w:rPr>
          <w:rFonts w:ascii="Times New Roman"/>
        </w:rPr>
        <w:t xml:space="preserve"> </w:t>
      </w:r>
      <w:r>
        <w:rPr>
          <w:rFonts w:hint="eastAsia" w:ascii="Times New Roman"/>
        </w:rPr>
        <w:t>温室气体 产品碳足迹 量化要求和指南（</w:t>
      </w:r>
      <w:r>
        <w:rPr>
          <w:rFonts w:ascii="Times New Roman"/>
        </w:rPr>
        <w:t>ISO 14067</w:t>
      </w:r>
      <w:r>
        <w:rPr>
          <w:rFonts w:hint="eastAsia" w:ascii="Times New Roman"/>
        </w:rPr>
        <w:t>:</w:t>
      </w:r>
      <w:r>
        <w:rPr>
          <w:rFonts w:ascii="Times New Roman"/>
        </w:rPr>
        <w:t>2018</w:t>
      </w:r>
      <w:r>
        <w:rPr>
          <w:rFonts w:hint="eastAsia" w:ascii="Times New Roman"/>
        </w:rPr>
        <w:t>, Greenhouse</w:t>
      </w:r>
      <w:r>
        <w:rPr>
          <w:rFonts w:ascii="Times New Roman"/>
        </w:rPr>
        <w:t xml:space="preserve"> </w:t>
      </w:r>
      <w:r>
        <w:rPr>
          <w:rFonts w:hint="eastAsia" w:ascii="Times New Roman"/>
        </w:rPr>
        <w:t>gases</w:t>
      </w:r>
      <w:r>
        <w:rPr>
          <w:rFonts w:ascii="Times New Roman"/>
        </w:rPr>
        <w:t>——</w:t>
      </w:r>
      <w:r>
        <w:rPr>
          <w:rFonts w:hint="eastAsia" w:ascii="Times New Roman"/>
        </w:rPr>
        <w:t>Carbon</w:t>
      </w:r>
      <w:r>
        <w:rPr>
          <w:rFonts w:ascii="Times New Roman"/>
        </w:rPr>
        <w:t xml:space="preserve"> </w:t>
      </w:r>
      <w:r>
        <w:rPr>
          <w:rFonts w:hint="eastAsia" w:ascii="Times New Roman"/>
        </w:rPr>
        <w:t>footprint</w:t>
      </w:r>
      <w:r>
        <w:rPr>
          <w:rFonts w:ascii="Times New Roman"/>
        </w:rPr>
        <w:t xml:space="preserve"> </w:t>
      </w:r>
      <w:r>
        <w:rPr>
          <w:rFonts w:hint="eastAsia" w:ascii="Times New Roman"/>
        </w:rPr>
        <w:t>of</w:t>
      </w:r>
      <w:r>
        <w:rPr>
          <w:rFonts w:ascii="Times New Roman"/>
        </w:rPr>
        <w:t xml:space="preserve"> </w:t>
      </w:r>
      <w:r>
        <w:rPr>
          <w:rFonts w:hint="eastAsia" w:ascii="Times New Roman"/>
        </w:rPr>
        <w:t>products</w:t>
      </w:r>
      <w:r>
        <w:rPr>
          <w:rFonts w:ascii="Times New Roman"/>
        </w:rPr>
        <w:t xml:space="preserve">——Requirements and guidelines </w:t>
      </w:r>
      <w:r>
        <w:rPr>
          <w:rFonts w:hint="eastAsia" w:ascii="Times New Roman"/>
        </w:rPr>
        <w:t>for</w:t>
      </w:r>
      <w:r>
        <w:rPr>
          <w:rFonts w:ascii="Times New Roman"/>
        </w:rPr>
        <w:t xml:space="preserve"> quantification</w:t>
      </w:r>
      <w:r>
        <w:rPr>
          <w:rFonts w:hint="eastAsia" w:ascii="Times New Roman"/>
        </w:rPr>
        <w:t>, MOD</w:t>
      </w:r>
      <w:r>
        <w:rPr>
          <w:rFonts w:ascii="Times New Roman"/>
        </w:rPr>
        <w:t>)</w:t>
      </w:r>
    </w:p>
    <w:p>
      <w:pPr>
        <w:pStyle w:val="28"/>
        <w:spacing w:line="380" w:lineRule="exact"/>
        <w:rPr>
          <w:rFonts w:ascii="Times New Roman"/>
        </w:rPr>
      </w:pPr>
      <w:r>
        <w:rPr>
          <w:rFonts w:hint="eastAsia" w:ascii="Times New Roman"/>
        </w:rPr>
        <w:t>GB/T 51366</w:t>
      </w:r>
      <w:r>
        <w:rPr>
          <w:rFonts w:ascii="Times New Roman"/>
        </w:rPr>
        <w:t>—</w:t>
      </w:r>
      <w:r>
        <w:rPr>
          <w:rFonts w:hint="eastAsia" w:ascii="Times New Roman"/>
        </w:rPr>
        <w:t>2019 建筑碳排放计算标准</w:t>
      </w:r>
    </w:p>
    <w:p>
      <w:pPr>
        <w:pStyle w:val="28"/>
        <w:spacing w:line="380" w:lineRule="exact"/>
        <w:rPr>
          <w:rFonts w:ascii="Times New Roman"/>
        </w:rPr>
      </w:pPr>
      <w:r>
        <w:rPr>
          <w:rFonts w:ascii="Times New Roman"/>
        </w:rPr>
        <w:t>DB31/T 1071 产品碳足迹核算通则</w:t>
      </w:r>
    </w:p>
    <w:p>
      <w:pPr>
        <w:pStyle w:val="138"/>
        <w:spacing w:before="240" w:after="240" w:line="380" w:lineRule="exact"/>
        <w:outlineLvl w:val="0"/>
        <w:rPr>
          <w:rFonts w:ascii="Times New Roman" w:eastAsia="宋体"/>
          <w:b/>
        </w:rPr>
      </w:pPr>
      <w:bookmarkStart w:id="32" w:name="_Toc261589492"/>
      <w:bookmarkStart w:id="33" w:name="_Toc13748270"/>
      <w:bookmarkStart w:id="34" w:name="_Toc13732332"/>
      <w:bookmarkStart w:id="35" w:name="_Toc16370"/>
      <w:bookmarkStart w:id="36" w:name="_Toc11608"/>
      <w:bookmarkStart w:id="37" w:name="_Toc13672239"/>
      <w:r>
        <w:rPr>
          <w:rFonts w:ascii="Times New Roman" w:eastAsia="宋体"/>
          <w:b/>
        </w:rPr>
        <w:t>术语和定义</w:t>
      </w:r>
      <w:bookmarkEnd w:id="32"/>
      <w:bookmarkEnd w:id="33"/>
      <w:bookmarkEnd w:id="34"/>
      <w:bookmarkEnd w:id="35"/>
      <w:bookmarkEnd w:id="36"/>
      <w:bookmarkEnd w:id="37"/>
    </w:p>
    <w:p>
      <w:pPr>
        <w:pStyle w:val="12"/>
        <w:spacing w:line="380" w:lineRule="exact"/>
      </w:pPr>
      <w:r>
        <w:rPr>
          <w:rFonts w:hint="eastAsia"/>
        </w:rPr>
        <w:t>GB/T 24025、GB/T 24040、GB/T 24044、GB/T 24067、DB31/T 1071和ISO 14067界定的以及下列术语和定义适用于本文件。</w:t>
      </w:r>
    </w:p>
    <w:p>
      <w:pPr>
        <w:pStyle w:val="28"/>
        <w:spacing w:line="380" w:lineRule="exact"/>
        <w:ind w:firstLine="0" w:firstLineChars="0"/>
        <w:rPr>
          <w:rFonts w:ascii="Times New Roman"/>
        </w:rPr>
      </w:pPr>
      <w:bookmarkStart w:id="38" w:name="_Toc25631"/>
      <w:r>
        <w:rPr>
          <w:rFonts w:ascii="Times New Roman"/>
        </w:rPr>
        <w:t>3.1</w:t>
      </w:r>
      <w:bookmarkEnd w:id="38"/>
    </w:p>
    <w:p>
      <w:pPr>
        <w:pStyle w:val="138"/>
        <w:numPr>
          <w:ilvl w:val="0"/>
          <w:numId w:val="0"/>
        </w:numPr>
        <w:spacing w:beforeLines="0" w:afterLines="0" w:line="380" w:lineRule="exact"/>
        <w:ind w:left="424" w:leftChars="202"/>
        <w:outlineLvl w:val="9"/>
        <w:rPr>
          <w:rFonts w:ascii="Times New Roman" w:eastAsia="宋体"/>
        </w:rPr>
      </w:pPr>
      <w:bookmarkStart w:id="39" w:name="_Toc4490"/>
      <w:bookmarkStart w:id="40" w:name="_Toc8753"/>
      <w:r>
        <w:rPr>
          <w:rFonts w:ascii="Times New Roman" w:eastAsia="宋体"/>
        </w:rPr>
        <w:t>钢化玻璃 safety tempered glass in building</w:t>
      </w:r>
      <w:bookmarkEnd w:id="39"/>
      <w:bookmarkEnd w:id="40"/>
      <w:r>
        <w:rPr>
          <w:rFonts w:ascii="Times New Roman" w:eastAsia="宋体"/>
        </w:rPr>
        <w:t xml:space="preserve"> </w:t>
      </w:r>
    </w:p>
    <w:p>
      <w:pPr>
        <w:pStyle w:val="28"/>
        <w:spacing w:line="380" w:lineRule="exact"/>
        <w:rPr>
          <w:rFonts w:ascii="Times New Roman"/>
        </w:rPr>
      </w:pPr>
      <w:r>
        <w:rPr>
          <w:rFonts w:ascii="Times New Roman"/>
        </w:rPr>
        <w:t>经热处理工艺之后的玻璃。其特点是在玻璃表面形成压应力层，机械强度和耐热冲击强度得到提高，并具有特殊的碎片状态。</w:t>
      </w:r>
    </w:p>
    <w:p>
      <w:pPr>
        <w:pStyle w:val="28"/>
        <w:spacing w:line="380" w:lineRule="exact"/>
        <w:rPr>
          <w:rFonts w:ascii="Times New Roman"/>
        </w:rPr>
      </w:pPr>
      <w:r>
        <w:rPr>
          <w:rFonts w:ascii="Times New Roman"/>
        </w:rPr>
        <w:t>[来源：</w:t>
      </w:r>
      <w:bookmarkStart w:id="41" w:name="_Hlk176180070"/>
      <w:r>
        <w:rPr>
          <w:rFonts w:ascii="Times New Roman"/>
        </w:rPr>
        <w:t>GB</w:t>
      </w:r>
      <w:r>
        <w:rPr>
          <w:rFonts w:hint="eastAsia" w:ascii="Times New Roman"/>
        </w:rPr>
        <w:t>/T</w:t>
      </w:r>
      <w:r>
        <w:rPr>
          <w:rFonts w:ascii="Times New Roman"/>
        </w:rPr>
        <w:t xml:space="preserve"> 15763.2—2005</w:t>
      </w:r>
      <w:bookmarkEnd w:id="41"/>
      <w:r>
        <w:rPr>
          <w:rFonts w:hint="eastAsia" w:ascii="Times New Roman"/>
        </w:rPr>
        <w:t>，</w:t>
      </w:r>
      <w:r>
        <w:rPr>
          <w:rFonts w:ascii="Times New Roman"/>
        </w:rPr>
        <w:t>定义3.1]</w:t>
      </w:r>
    </w:p>
    <w:p>
      <w:pPr>
        <w:pStyle w:val="28"/>
        <w:spacing w:line="380" w:lineRule="exact"/>
        <w:ind w:firstLine="0" w:firstLineChars="0"/>
        <w:rPr>
          <w:rFonts w:ascii="Times New Roman"/>
        </w:rPr>
      </w:pPr>
      <w:r>
        <w:rPr>
          <w:rFonts w:ascii="Times New Roman"/>
        </w:rPr>
        <w:t>3.2</w:t>
      </w:r>
    </w:p>
    <w:p>
      <w:pPr>
        <w:pStyle w:val="138"/>
        <w:numPr>
          <w:ilvl w:val="0"/>
          <w:numId w:val="0"/>
        </w:numPr>
        <w:spacing w:beforeLines="0" w:afterLines="0" w:line="380" w:lineRule="exact"/>
        <w:ind w:left="424" w:leftChars="202"/>
        <w:outlineLvl w:val="9"/>
        <w:rPr>
          <w:rFonts w:ascii="Times New Roman" w:eastAsia="宋体"/>
        </w:rPr>
      </w:pPr>
      <w:bookmarkStart w:id="42" w:name="_Toc9231"/>
      <w:bookmarkStart w:id="43" w:name="_Toc5446"/>
      <w:r>
        <w:rPr>
          <w:rFonts w:ascii="Times New Roman" w:eastAsia="宋体"/>
        </w:rPr>
        <w:t>夹层玻璃laminated glass</w:t>
      </w:r>
      <w:bookmarkEnd w:id="42"/>
      <w:bookmarkEnd w:id="43"/>
    </w:p>
    <w:p>
      <w:pPr>
        <w:pStyle w:val="28"/>
        <w:spacing w:line="380" w:lineRule="exact"/>
        <w:rPr>
          <w:rFonts w:ascii="Times New Roman"/>
        </w:rPr>
      </w:pPr>
      <w:r>
        <w:rPr>
          <w:rFonts w:ascii="Times New Roman"/>
        </w:rPr>
        <w:t>玻璃与玻璃和/或塑料等材料，用中间层分隔并通过处理使其粘结为一体的建筑用复合材料的统称。</w:t>
      </w:r>
    </w:p>
    <w:p>
      <w:pPr>
        <w:pStyle w:val="28"/>
        <w:spacing w:line="380" w:lineRule="exact"/>
        <w:rPr>
          <w:rFonts w:ascii="Times New Roman"/>
        </w:rPr>
      </w:pPr>
      <w:r>
        <w:rPr>
          <w:rFonts w:ascii="Times New Roman"/>
        </w:rPr>
        <w:t>[来源：</w:t>
      </w:r>
      <w:bookmarkStart w:id="44" w:name="OLE_LINK2"/>
      <w:r>
        <w:rPr>
          <w:rFonts w:ascii="Times New Roman"/>
        </w:rPr>
        <w:t>GB</w:t>
      </w:r>
      <w:r>
        <w:rPr>
          <w:rFonts w:hint="eastAsia" w:ascii="Times New Roman"/>
        </w:rPr>
        <w:t>/T</w:t>
      </w:r>
      <w:r>
        <w:rPr>
          <w:rFonts w:ascii="Times New Roman"/>
        </w:rPr>
        <w:t xml:space="preserve"> 15763.3—2009</w:t>
      </w:r>
      <w:bookmarkEnd w:id="44"/>
      <w:r>
        <w:rPr>
          <w:rFonts w:hint="eastAsia" w:ascii="Times New Roman"/>
        </w:rPr>
        <w:t>，</w:t>
      </w:r>
      <w:r>
        <w:rPr>
          <w:rFonts w:ascii="Times New Roman"/>
        </w:rPr>
        <w:t>定义3.5]</w:t>
      </w:r>
    </w:p>
    <w:p>
      <w:pPr>
        <w:pStyle w:val="28"/>
        <w:spacing w:line="380" w:lineRule="exact"/>
        <w:ind w:firstLine="0" w:firstLineChars="0"/>
        <w:rPr>
          <w:rFonts w:ascii="Times New Roman"/>
        </w:rPr>
      </w:pPr>
      <w:r>
        <w:rPr>
          <w:rFonts w:ascii="Times New Roman"/>
        </w:rPr>
        <w:t>3.3</w:t>
      </w:r>
    </w:p>
    <w:p>
      <w:pPr>
        <w:pStyle w:val="138"/>
        <w:numPr>
          <w:ilvl w:val="0"/>
          <w:numId w:val="0"/>
        </w:numPr>
        <w:spacing w:beforeLines="0" w:afterLines="0" w:line="380" w:lineRule="exact"/>
        <w:ind w:left="424" w:leftChars="202"/>
        <w:outlineLvl w:val="9"/>
        <w:rPr>
          <w:rFonts w:ascii="Times New Roman" w:eastAsia="宋体"/>
        </w:rPr>
      </w:pPr>
      <w:bookmarkStart w:id="45" w:name="_Toc27979"/>
      <w:bookmarkStart w:id="46" w:name="_Toc18000"/>
      <w:r>
        <w:rPr>
          <w:rFonts w:ascii="Times New Roman" w:eastAsia="宋体"/>
        </w:rPr>
        <w:t>中空玻璃insulating glass</w:t>
      </w:r>
      <w:bookmarkEnd w:id="45"/>
      <w:bookmarkEnd w:id="46"/>
    </w:p>
    <w:p>
      <w:pPr>
        <w:pStyle w:val="28"/>
        <w:spacing w:line="380" w:lineRule="exact"/>
        <w:rPr>
          <w:rFonts w:ascii="Times New Roman"/>
        </w:rPr>
      </w:pPr>
      <w:r>
        <w:rPr>
          <w:rFonts w:ascii="Times New Roman"/>
        </w:rPr>
        <w:t>两片或多片玻璃以有效支撑均匀隔开并周边粘结密封，使玻璃层间形成有效干燥气体空间的玻璃制品。</w:t>
      </w:r>
    </w:p>
    <w:p>
      <w:pPr>
        <w:pStyle w:val="28"/>
        <w:spacing w:line="380" w:lineRule="exact"/>
        <w:rPr>
          <w:rFonts w:ascii="Times New Roman"/>
        </w:rPr>
      </w:pPr>
      <w:bookmarkStart w:id="47" w:name="OLE_LINK1"/>
      <w:r>
        <w:rPr>
          <w:rFonts w:ascii="Times New Roman"/>
        </w:rPr>
        <w:t>[来源：</w:t>
      </w:r>
      <w:bookmarkStart w:id="48" w:name="_Hlk176180086"/>
      <w:r>
        <w:rPr>
          <w:rFonts w:ascii="Times New Roman"/>
        </w:rPr>
        <w:t>GB/T 11944—2012</w:t>
      </w:r>
      <w:bookmarkEnd w:id="48"/>
      <w:r>
        <w:rPr>
          <w:rFonts w:hint="eastAsia" w:ascii="Times New Roman"/>
        </w:rPr>
        <w:t>，</w:t>
      </w:r>
      <w:r>
        <w:rPr>
          <w:rFonts w:ascii="Times New Roman"/>
        </w:rPr>
        <w:t>定义3.1]</w:t>
      </w:r>
    </w:p>
    <w:bookmarkEnd w:id="47"/>
    <w:p>
      <w:pPr>
        <w:pStyle w:val="28"/>
        <w:spacing w:line="380" w:lineRule="exact"/>
        <w:ind w:firstLine="0" w:firstLineChars="0"/>
        <w:rPr>
          <w:rFonts w:ascii="Times New Roman"/>
        </w:rPr>
      </w:pPr>
      <w:r>
        <w:rPr>
          <w:rFonts w:hint="eastAsia" w:ascii="Times New Roman"/>
        </w:rPr>
        <w:t>3.4</w:t>
      </w:r>
    </w:p>
    <w:p>
      <w:pPr>
        <w:pStyle w:val="28"/>
        <w:spacing w:line="380" w:lineRule="exact"/>
        <w:rPr>
          <w:rFonts w:ascii="Times New Roman"/>
        </w:rPr>
      </w:pPr>
      <w:r>
        <w:rPr>
          <w:rFonts w:hint="eastAsia" w:ascii="Times New Roman"/>
        </w:rPr>
        <w:t>光伏玻璃</w:t>
      </w:r>
      <w:r>
        <w:rPr>
          <w:rFonts w:ascii="Times New Roman"/>
        </w:rPr>
        <w:t xml:space="preserve"> photovoltaic glass</w:t>
      </w:r>
    </w:p>
    <w:p>
      <w:pPr>
        <w:pStyle w:val="28"/>
        <w:spacing w:line="380" w:lineRule="exact"/>
        <w:rPr>
          <w:rFonts w:ascii="Times New Roman"/>
        </w:rPr>
      </w:pPr>
      <w:r>
        <w:rPr>
          <w:rFonts w:hint="eastAsia" w:ascii="Times New Roman"/>
        </w:rPr>
        <w:t>用于光伏组件的玻璃，包括前板玻璃、背板玻璃和基板玻璃。</w:t>
      </w:r>
    </w:p>
    <w:p>
      <w:pPr>
        <w:pStyle w:val="28"/>
        <w:spacing w:line="380" w:lineRule="exact"/>
        <w:rPr>
          <w:rFonts w:ascii="Times New Roman"/>
        </w:rPr>
      </w:pPr>
      <w:r>
        <w:rPr>
          <w:rFonts w:ascii="Times New Roman"/>
        </w:rPr>
        <w:t>[来源：</w:t>
      </w:r>
      <w:r>
        <w:rPr>
          <w:rFonts w:hint="eastAsia" w:ascii="Times New Roman"/>
        </w:rPr>
        <w:t>IEC</w:t>
      </w:r>
      <w:r>
        <w:rPr>
          <w:rFonts w:ascii="Times New Roman"/>
        </w:rPr>
        <w:t xml:space="preserve"> </w:t>
      </w:r>
      <w:r>
        <w:rPr>
          <w:rFonts w:hint="eastAsia" w:ascii="Times New Roman"/>
        </w:rPr>
        <w:t>62805-1: 2017，</w:t>
      </w:r>
      <w:r>
        <w:rPr>
          <w:rFonts w:ascii="Times New Roman"/>
        </w:rPr>
        <w:t>定义3.1]</w:t>
      </w:r>
    </w:p>
    <w:p>
      <w:pPr>
        <w:pStyle w:val="28"/>
        <w:spacing w:line="380" w:lineRule="exact"/>
        <w:ind w:firstLine="0" w:firstLineChars="0"/>
        <w:rPr>
          <w:rFonts w:ascii="Times New Roman"/>
        </w:rPr>
      </w:pPr>
      <w:r>
        <w:rPr>
          <w:rFonts w:ascii="Times New Roman"/>
        </w:rPr>
        <w:t>3.</w:t>
      </w:r>
      <w:r>
        <w:rPr>
          <w:rFonts w:hint="eastAsia" w:ascii="Times New Roman"/>
        </w:rPr>
        <w:t>5</w:t>
      </w:r>
    </w:p>
    <w:p>
      <w:pPr>
        <w:pStyle w:val="138"/>
        <w:numPr>
          <w:ilvl w:val="0"/>
          <w:numId w:val="0"/>
        </w:numPr>
        <w:spacing w:beforeLines="0" w:afterLines="0" w:line="380" w:lineRule="exact"/>
        <w:ind w:left="424" w:leftChars="202"/>
        <w:outlineLvl w:val="9"/>
        <w:rPr>
          <w:rFonts w:ascii="Times New Roman" w:eastAsia="宋体"/>
        </w:rPr>
      </w:pPr>
      <w:bookmarkStart w:id="49" w:name="_Toc17999"/>
      <w:bookmarkStart w:id="50" w:name="_Toc13596"/>
      <w:r>
        <w:rPr>
          <w:rFonts w:hint="eastAsia" w:ascii="Times New Roman" w:eastAsia="宋体"/>
        </w:rPr>
        <w:t>声明</w:t>
      </w:r>
      <w:r>
        <w:rPr>
          <w:rFonts w:ascii="Times New Roman" w:eastAsia="宋体"/>
        </w:rPr>
        <w:t xml:space="preserve">单位 </w:t>
      </w:r>
      <w:r>
        <w:rPr>
          <w:rFonts w:hint="eastAsia" w:ascii="Times New Roman" w:eastAsia="宋体"/>
        </w:rPr>
        <w:t>declared</w:t>
      </w:r>
      <w:r>
        <w:rPr>
          <w:rFonts w:ascii="Times New Roman" w:eastAsia="宋体"/>
        </w:rPr>
        <w:t xml:space="preserve"> unit</w:t>
      </w:r>
      <w:bookmarkEnd w:id="49"/>
      <w:bookmarkEnd w:id="50"/>
    </w:p>
    <w:p>
      <w:pPr>
        <w:pStyle w:val="28"/>
        <w:spacing w:line="380" w:lineRule="exact"/>
        <w:rPr>
          <w:rFonts w:ascii="Times New Roman"/>
        </w:rPr>
      </w:pPr>
      <w:r>
        <w:rPr>
          <w:rFonts w:ascii="Times New Roman"/>
        </w:rPr>
        <w:t>用来</w:t>
      </w:r>
      <w:r>
        <w:rPr>
          <w:rFonts w:hint="eastAsia" w:ascii="Times New Roman"/>
        </w:rPr>
        <w:t>量化产品部分碳足迹的基准单位</w:t>
      </w:r>
      <w:r>
        <w:rPr>
          <w:rFonts w:ascii="Times New Roman"/>
        </w:rPr>
        <w:t>。</w:t>
      </w:r>
    </w:p>
    <w:p>
      <w:pPr>
        <w:pStyle w:val="28"/>
        <w:spacing w:line="380" w:lineRule="exact"/>
        <w:rPr>
          <w:rFonts w:ascii="Times New Roman"/>
        </w:rPr>
      </w:pPr>
      <w:r>
        <w:rPr>
          <w:rFonts w:ascii="Times New Roman"/>
        </w:rPr>
        <w:t>[来源：GB/T 240</w:t>
      </w:r>
      <w:r>
        <w:rPr>
          <w:rFonts w:hint="eastAsia" w:ascii="Times New Roman"/>
        </w:rPr>
        <w:t>67</w:t>
      </w:r>
      <w:r>
        <w:rPr>
          <w:rFonts w:ascii="Times New Roman"/>
        </w:rPr>
        <w:t>—20</w:t>
      </w:r>
      <w:r>
        <w:rPr>
          <w:rFonts w:hint="eastAsia" w:ascii="Times New Roman"/>
        </w:rPr>
        <w:t>24</w:t>
      </w:r>
      <w:r>
        <w:rPr>
          <w:rFonts w:ascii="Times New Roman"/>
        </w:rPr>
        <w:t>，定义3.</w:t>
      </w:r>
      <w:r>
        <w:rPr>
          <w:rFonts w:hint="eastAsia" w:ascii="Times New Roman"/>
        </w:rPr>
        <w:t>3.8</w:t>
      </w:r>
      <w:r>
        <w:rPr>
          <w:rFonts w:ascii="Times New Roman"/>
        </w:rPr>
        <w:t>]</w:t>
      </w:r>
    </w:p>
    <w:p>
      <w:pPr>
        <w:pStyle w:val="28"/>
        <w:spacing w:line="380" w:lineRule="exact"/>
        <w:ind w:firstLine="0" w:firstLineChars="0"/>
        <w:rPr>
          <w:rFonts w:ascii="Times New Roman"/>
        </w:rPr>
      </w:pPr>
      <w:r>
        <w:rPr>
          <w:rFonts w:ascii="Times New Roman"/>
        </w:rPr>
        <w:t>3.</w:t>
      </w:r>
      <w:r>
        <w:rPr>
          <w:rFonts w:hint="eastAsia" w:ascii="Times New Roman"/>
        </w:rPr>
        <w:t>6</w:t>
      </w:r>
    </w:p>
    <w:p>
      <w:pPr>
        <w:pStyle w:val="138"/>
        <w:numPr>
          <w:ilvl w:val="0"/>
          <w:numId w:val="0"/>
        </w:numPr>
        <w:spacing w:beforeLines="0" w:afterLines="0" w:line="380" w:lineRule="exact"/>
        <w:ind w:left="424" w:leftChars="202"/>
        <w:outlineLvl w:val="9"/>
        <w:rPr>
          <w:rFonts w:ascii="Times New Roman" w:eastAsia="宋体"/>
        </w:rPr>
      </w:pPr>
      <w:bookmarkStart w:id="51" w:name="_Toc30077"/>
      <w:bookmarkStart w:id="52" w:name="_Toc760"/>
      <w:r>
        <w:rPr>
          <w:rFonts w:ascii="Times New Roman" w:eastAsia="宋体"/>
        </w:rPr>
        <w:t>系统边界 system boundary</w:t>
      </w:r>
      <w:bookmarkEnd w:id="51"/>
      <w:bookmarkEnd w:id="52"/>
    </w:p>
    <w:p>
      <w:pPr>
        <w:pStyle w:val="28"/>
        <w:spacing w:line="380" w:lineRule="exact"/>
        <w:rPr>
          <w:rFonts w:ascii="Times New Roman"/>
        </w:rPr>
      </w:pPr>
      <w:r>
        <w:rPr>
          <w:rFonts w:ascii="Times New Roman"/>
        </w:rPr>
        <w:t>通过一组准则</w:t>
      </w:r>
      <w:r>
        <w:rPr>
          <w:rFonts w:ascii="Times New Roman"/>
          <w:spacing w:val="-1"/>
        </w:rPr>
        <w:t>确定</w:t>
      </w:r>
      <w:r>
        <w:rPr>
          <w:rFonts w:ascii="Times New Roman"/>
        </w:rPr>
        <w:t>哪些单元过程属于产品系统的一部分。</w:t>
      </w:r>
    </w:p>
    <w:p>
      <w:pPr>
        <w:pStyle w:val="28"/>
        <w:spacing w:line="380" w:lineRule="exact"/>
        <w:rPr>
          <w:rFonts w:ascii="Times New Roman"/>
        </w:rPr>
      </w:pPr>
      <w:r>
        <w:rPr>
          <w:rFonts w:ascii="Times New Roman"/>
        </w:rPr>
        <w:t>[</w:t>
      </w:r>
      <w:r>
        <w:rPr>
          <w:rFonts w:ascii="Times New Roman"/>
          <w:spacing w:val="-1"/>
        </w:rPr>
        <w:t>来源：</w:t>
      </w:r>
      <w:r>
        <w:rPr>
          <w:rFonts w:ascii="Times New Roman"/>
        </w:rPr>
        <w:t>GB/T</w:t>
      </w:r>
      <w:r>
        <w:rPr>
          <w:rFonts w:ascii="Times New Roman"/>
          <w:spacing w:val="-3"/>
        </w:rPr>
        <w:t xml:space="preserve"> </w:t>
      </w:r>
      <w:r>
        <w:rPr>
          <w:rFonts w:ascii="Times New Roman"/>
        </w:rPr>
        <w:t>24040—2008，GB/T</w:t>
      </w:r>
      <w:r>
        <w:rPr>
          <w:rFonts w:ascii="Times New Roman"/>
          <w:spacing w:val="-3"/>
        </w:rPr>
        <w:t xml:space="preserve"> </w:t>
      </w:r>
      <w:r>
        <w:rPr>
          <w:rFonts w:ascii="Times New Roman"/>
        </w:rPr>
        <w:t>24044—2008，定义3.32]</w:t>
      </w:r>
    </w:p>
    <w:p>
      <w:pPr>
        <w:pStyle w:val="28"/>
        <w:spacing w:line="380" w:lineRule="exact"/>
        <w:ind w:firstLine="0" w:firstLineChars="0"/>
        <w:rPr>
          <w:rFonts w:ascii="Times New Roman"/>
        </w:rPr>
      </w:pPr>
      <w:r>
        <w:rPr>
          <w:rFonts w:hint="eastAsia" w:ascii="Times New Roman"/>
        </w:rPr>
        <w:t>3.7</w:t>
      </w:r>
    </w:p>
    <w:p>
      <w:pPr>
        <w:pStyle w:val="28"/>
        <w:spacing w:line="380" w:lineRule="exact"/>
        <w:rPr>
          <w:rFonts w:ascii="Times New Roman"/>
        </w:rPr>
      </w:pPr>
      <w:r>
        <w:rPr>
          <w:rFonts w:hint="eastAsia" w:ascii="Times New Roman"/>
        </w:rPr>
        <w:t>单元过程 unit process</w:t>
      </w:r>
    </w:p>
    <w:p>
      <w:pPr>
        <w:pStyle w:val="28"/>
        <w:spacing w:line="380" w:lineRule="exact"/>
        <w:rPr>
          <w:rFonts w:ascii="Times New Roman"/>
        </w:rPr>
      </w:pPr>
      <w:r>
        <w:rPr>
          <w:rFonts w:hint="eastAsia" w:ascii="Times New Roman"/>
        </w:rPr>
        <w:t>进行生命周期清单分析时为量化输入和输出数据而确定的最基本部分。</w:t>
      </w:r>
    </w:p>
    <w:p>
      <w:pPr>
        <w:pStyle w:val="28"/>
        <w:spacing w:line="380" w:lineRule="exact"/>
        <w:rPr>
          <w:rFonts w:ascii="Times New Roman"/>
        </w:rPr>
      </w:pPr>
      <w:r>
        <w:rPr>
          <w:rFonts w:hint="eastAsia" w:ascii="Times New Roman"/>
        </w:rPr>
        <w:t>[来源：GB/T 24040</w:t>
      </w:r>
      <w:r>
        <w:rPr>
          <w:rFonts w:ascii="Times New Roman"/>
        </w:rPr>
        <w:t>—</w:t>
      </w:r>
      <w:r>
        <w:rPr>
          <w:rFonts w:hint="eastAsia" w:ascii="Times New Roman"/>
        </w:rPr>
        <w:t>2008，GB/T 24044</w:t>
      </w:r>
      <w:r>
        <w:rPr>
          <w:rFonts w:ascii="Times New Roman"/>
        </w:rPr>
        <w:t>—</w:t>
      </w:r>
      <w:r>
        <w:rPr>
          <w:rFonts w:hint="eastAsia" w:ascii="Times New Roman"/>
        </w:rPr>
        <w:t>2008，定义3.34]</w:t>
      </w:r>
    </w:p>
    <w:p>
      <w:pPr>
        <w:pStyle w:val="28"/>
        <w:spacing w:line="380" w:lineRule="exact"/>
        <w:ind w:firstLine="0" w:firstLineChars="0"/>
        <w:rPr>
          <w:rFonts w:ascii="Times New Roman"/>
        </w:rPr>
      </w:pPr>
      <w:r>
        <w:rPr>
          <w:rFonts w:ascii="Times New Roman"/>
        </w:rPr>
        <w:t>3.</w:t>
      </w:r>
      <w:r>
        <w:rPr>
          <w:rFonts w:hint="eastAsia" w:ascii="Times New Roman"/>
        </w:rPr>
        <w:t>8</w:t>
      </w:r>
    </w:p>
    <w:p>
      <w:pPr>
        <w:pStyle w:val="138"/>
        <w:numPr>
          <w:ilvl w:val="0"/>
          <w:numId w:val="0"/>
        </w:numPr>
        <w:spacing w:beforeLines="0" w:afterLines="0" w:line="380" w:lineRule="exact"/>
        <w:ind w:left="424" w:leftChars="202"/>
        <w:outlineLvl w:val="9"/>
        <w:rPr>
          <w:rFonts w:ascii="Times New Roman" w:eastAsia="宋体"/>
        </w:rPr>
      </w:pPr>
      <w:bookmarkStart w:id="53" w:name="_Toc10922"/>
      <w:bookmarkStart w:id="54" w:name="_Toc28710"/>
      <w:r>
        <w:rPr>
          <w:rFonts w:ascii="Times New Roman" w:eastAsia="宋体"/>
        </w:rPr>
        <w:t>取舍准则 cut-off criteria</w:t>
      </w:r>
      <w:bookmarkEnd w:id="53"/>
      <w:bookmarkEnd w:id="54"/>
    </w:p>
    <w:p>
      <w:pPr>
        <w:pStyle w:val="28"/>
        <w:spacing w:line="380" w:lineRule="exact"/>
        <w:rPr>
          <w:rFonts w:ascii="Times New Roman"/>
        </w:rPr>
      </w:pPr>
      <w:r>
        <w:rPr>
          <w:rFonts w:ascii="Times New Roman"/>
        </w:rPr>
        <w:t>对与单元过程或产品系统相关的物质和能量流的数量或环境影响重要性程度是否被排除在研究范围之外所作出的规定。</w:t>
      </w:r>
    </w:p>
    <w:p>
      <w:pPr>
        <w:pStyle w:val="28"/>
        <w:spacing w:line="380" w:lineRule="exact"/>
        <w:ind w:firstLine="408"/>
        <w:rPr>
          <w:rFonts w:ascii="Times New Roman"/>
        </w:rPr>
      </w:pPr>
      <w:r>
        <w:rPr>
          <w:rFonts w:ascii="Times New Roman"/>
          <w:spacing w:val="-3"/>
        </w:rPr>
        <w:t>[</w:t>
      </w:r>
      <w:r>
        <w:rPr>
          <w:rFonts w:ascii="Times New Roman"/>
          <w:spacing w:val="-1"/>
        </w:rPr>
        <w:t>来源：</w:t>
      </w:r>
      <w:r>
        <w:rPr>
          <w:rFonts w:ascii="Times New Roman"/>
          <w:spacing w:val="-3"/>
        </w:rPr>
        <w:t>GB/T 24</w:t>
      </w:r>
      <w:r>
        <w:rPr>
          <w:rFonts w:ascii="Times New Roman"/>
        </w:rPr>
        <w:t>040—2008，GB/T</w:t>
      </w:r>
      <w:r>
        <w:rPr>
          <w:rFonts w:ascii="Times New Roman"/>
          <w:spacing w:val="-3"/>
        </w:rPr>
        <w:t xml:space="preserve"> </w:t>
      </w:r>
      <w:r>
        <w:rPr>
          <w:rFonts w:ascii="Times New Roman"/>
        </w:rPr>
        <w:t>24044—2008，定义3.18]</w:t>
      </w:r>
    </w:p>
    <w:p>
      <w:pPr>
        <w:pStyle w:val="28"/>
        <w:spacing w:line="380" w:lineRule="exact"/>
        <w:ind w:firstLine="0" w:firstLineChars="0"/>
        <w:rPr>
          <w:rFonts w:ascii="Times New Roman"/>
        </w:rPr>
      </w:pPr>
      <w:r>
        <w:rPr>
          <w:rFonts w:ascii="Times New Roman"/>
        </w:rPr>
        <w:t>3.</w:t>
      </w:r>
      <w:r>
        <w:rPr>
          <w:rFonts w:hint="eastAsia" w:ascii="Times New Roman"/>
        </w:rPr>
        <w:t>9</w:t>
      </w:r>
    </w:p>
    <w:p>
      <w:pPr>
        <w:pStyle w:val="138"/>
        <w:numPr>
          <w:ilvl w:val="0"/>
          <w:numId w:val="0"/>
        </w:numPr>
        <w:spacing w:beforeLines="0" w:afterLines="0" w:line="380" w:lineRule="exact"/>
        <w:ind w:left="424" w:leftChars="202"/>
        <w:outlineLvl w:val="9"/>
        <w:rPr>
          <w:rFonts w:ascii="Times New Roman" w:eastAsia="宋体"/>
        </w:rPr>
      </w:pPr>
      <w:bookmarkStart w:id="55" w:name="_Toc26242"/>
      <w:bookmarkStart w:id="56" w:name="_Toc15415"/>
      <w:r>
        <w:rPr>
          <w:rFonts w:ascii="Times New Roman" w:eastAsia="宋体"/>
        </w:rPr>
        <w:t>产品碳足迹 carbon footprint of the product</w:t>
      </w:r>
      <w:bookmarkEnd w:id="55"/>
      <w:bookmarkEnd w:id="56"/>
    </w:p>
    <w:p>
      <w:pPr>
        <w:pStyle w:val="28"/>
        <w:spacing w:line="380" w:lineRule="exact"/>
        <w:rPr>
          <w:rFonts w:ascii="Times New Roman"/>
        </w:rPr>
      </w:pPr>
      <w:r>
        <w:rPr>
          <w:rFonts w:hint="eastAsia" w:ascii="Times New Roman"/>
        </w:rPr>
        <w:t>产品系统中的温室气体排放量和温室气体清除量之和，以二氧化碳当量表示，并基于气候变化这一单一影响类型进行生命周期评价。</w:t>
      </w:r>
    </w:p>
    <w:p>
      <w:pPr>
        <w:pStyle w:val="28"/>
        <w:spacing w:line="380" w:lineRule="exact"/>
        <w:ind w:firstLine="408"/>
        <w:rPr>
          <w:rFonts w:ascii="Times New Roman"/>
        </w:rPr>
      </w:pPr>
      <w:r>
        <w:rPr>
          <w:rFonts w:ascii="Times New Roman"/>
          <w:spacing w:val="-3"/>
        </w:rPr>
        <w:t>[</w:t>
      </w:r>
      <w:r>
        <w:rPr>
          <w:rFonts w:ascii="Times New Roman"/>
          <w:spacing w:val="-1"/>
        </w:rPr>
        <w:t>来源：</w:t>
      </w:r>
      <w:r>
        <w:rPr>
          <w:rFonts w:ascii="Times New Roman"/>
          <w:szCs w:val="21"/>
        </w:rPr>
        <w:t>DB31/T 1071</w:t>
      </w:r>
      <w:r>
        <w:rPr>
          <w:rFonts w:ascii="Times New Roman"/>
        </w:rPr>
        <w:t>，定义3.</w:t>
      </w:r>
      <w:r>
        <w:rPr>
          <w:rFonts w:hint="eastAsia" w:ascii="Times New Roman"/>
        </w:rPr>
        <w:t>1.1.2</w:t>
      </w:r>
      <w:r>
        <w:rPr>
          <w:rFonts w:ascii="Times New Roman"/>
        </w:rPr>
        <w:t>]</w:t>
      </w:r>
    </w:p>
    <w:p>
      <w:pPr>
        <w:pStyle w:val="28"/>
        <w:spacing w:line="380" w:lineRule="exact"/>
        <w:ind w:firstLine="0" w:firstLineChars="0"/>
        <w:rPr>
          <w:rFonts w:ascii="Times New Roman"/>
        </w:rPr>
      </w:pPr>
      <w:r>
        <w:rPr>
          <w:rFonts w:hint="eastAsia" w:ascii="Times New Roman"/>
        </w:rPr>
        <w:t>3.10</w:t>
      </w:r>
    </w:p>
    <w:p>
      <w:pPr>
        <w:pStyle w:val="28"/>
        <w:spacing w:line="380" w:lineRule="exact"/>
        <w:rPr>
          <w:rFonts w:ascii="Times New Roman"/>
        </w:rPr>
      </w:pPr>
      <w:r>
        <w:rPr>
          <w:rFonts w:hint="eastAsia" w:ascii="Times New Roman"/>
        </w:rPr>
        <w:t>现场数据 site-specific data</w:t>
      </w:r>
    </w:p>
    <w:p>
      <w:pPr>
        <w:pStyle w:val="28"/>
        <w:spacing w:line="380" w:lineRule="exact"/>
        <w:rPr>
          <w:rFonts w:ascii="Times New Roman"/>
        </w:rPr>
      </w:pPr>
      <w:r>
        <w:rPr>
          <w:rFonts w:hint="eastAsia" w:ascii="Times New Roman"/>
        </w:rPr>
        <w:t>从产品系统内部获得的初级数据。</w:t>
      </w:r>
    </w:p>
    <w:p>
      <w:pPr>
        <w:pStyle w:val="28"/>
        <w:spacing w:line="380" w:lineRule="exact"/>
        <w:ind w:firstLine="408"/>
        <w:rPr>
          <w:rFonts w:ascii="Times New Roman"/>
        </w:rPr>
      </w:pPr>
      <w:r>
        <w:rPr>
          <w:rFonts w:ascii="Times New Roman"/>
          <w:spacing w:val="-3"/>
        </w:rPr>
        <w:t>[</w:t>
      </w:r>
      <w:r>
        <w:rPr>
          <w:rFonts w:ascii="Times New Roman"/>
          <w:spacing w:val="-1"/>
        </w:rPr>
        <w:t>来源：</w:t>
      </w:r>
      <w:r>
        <w:rPr>
          <w:rFonts w:hint="eastAsia" w:ascii="Times New Roman"/>
          <w:szCs w:val="21"/>
        </w:rPr>
        <w:t>GB</w:t>
      </w:r>
      <w:r>
        <w:rPr>
          <w:rFonts w:ascii="Times New Roman"/>
          <w:szCs w:val="21"/>
        </w:rPr>
        <w:t xml:space="preserve">/T </w:t>
      </w:r>
      <w:r>
        <w:rPr>
          <w:rFonts w:hint="eastAsia" w:ascii="Times New Roman"/>
          <w:szCs w:val="21"/>
        </w:rPr>
        <w:t>24067</w:t>
      </w:r>
      <w:r>
        <w:rPr>
          <w:rFonts w:ascii="Times New Roman"/>
        </w:rPr>
        <w:t>—</w:t>
      </w:r>
      <w:r>
        <w:rPr>
          <w:rFonts w:hint="eastAsia" w:ascii="Times New Roman"/>
          <w:szCs w:val="21"/>
        </w:rPr>
        <w:t>2024</w:t>
      </w:r>
      <w:r>
        <w:rPr>
          <w:rFonts w:ascii="Times New Roman"/>
        </w:rPr>
        <w:t>，定义</w:t>
      </w:r>
      <w:r>
        <w:rPr>
          <w:rFonts w:hint="eastAsia" w:ascii="Times New Roman"/>
        </w:rPr>
        <w:t>3.6.2</w:t>
      </w:r>
      <w:r>
        <w:rPr>
          <w:rFonts w:ascii="Times New Roman"/>
        </w:rPr>
        <w:t>]</w:t>
      </w:r>
    </w:p>
    <w:p>
      <w:pPr>
        <w:pStyle w:val="28"/>
        <w:spacing w:line="380" w:lineRule="exact"/>
        <w:ind w:firstLine="0" w:firstLineChars="0"/>
        <w:rPr>
          <w:rFonts w:ascii="Times New Roman"/>
        </w:rPr>
      </w:pPr>
      <w:r>
        <w:rPr>
          <w:rFonts w:hint="eastAsia" w:ascii="Times New Roman"/>
        </w:rPr>
        <w:t>3.11</w:t>
      </w:r>
    </w:p>
    <w:p>
      <w:pPr>
        <w:pStyle w:val="28"/>
        <w:spacing w:line="380" w:lineRule="exact"/>
        <w:rPr>
          <w:rFonts w:ascii="Times New Roman"/>
        </w:rPr>
      </w:pPr>
      <w:r>
        <w:rPr>
          <w:rFonts w:hint="eastAsia" w:ascii="Times New Roman"/>
        </w:rPr>
        <w:t>初级数据 primary data</w:t>
      </w:r>
    </w:p>
    <w:p>
      <w:pPr>
        <w:pStyle w:val="28"/>
        <w:spacing w:line="380" w:lineRule="exact"/>
        <w:rPr>
          <w:rFonts w:ascii="Times New Roman"/>
        </w:rPr>
      </w:pPr>
      <w:r>
        <w:rPr>
          <w:rFonts w:hint="eastAsia" w:ascii="Times New Roman"/>
        </w:rPr>
        <w:t>通过直接测量或基于直接测量的计算得到的过程或活动的量化值。</w:t>
      </w:r>
    </w:p>
    <w:p>
      <w:pPr>
        <w:pStyle w:val="28"/>
        <w:spacing w:line="380" w:lineRule="exact"/>
        <w:ind w:firstLine="408"/>
        <w:rPr>
          <w:rFonts w:ascii="Times New Roman"/>
        </w:rPr>
      </w:pPr>
      <w:r>
        <w:rPr>
          <w:rFonts w:ascii="Times New Roman"/>
          <w:spacing w:val="-3"/>
        </w:rPr>
        <w:t>[</w:t>
      </w:r>
      <w:r>
        <w:rPr>
          <w:rFonts w:ascii="Times New Roman"/>
          <w:spacing w:val="-1"/>
        </w:rPr>
        <w:t>来源：</w:t>
      </w:r>
      <w:r>
        <w:rPr>
          <w:rFonts w:hint="eastAsia" w:ascii="Times New Roman"/>
          <w:szCs w:val="21"/>
        </w:rPr>
        <w:t>GB</w:t>
      </w:r>
      <w:r>
        <w:rPr>
          <w:rFonts w:ascii="Times New Roman"/>
          <w:szCs w:val="21"/>
        </w:rPr>
        <w:t xml:space="preserve">/T </w:t>
      </w:r>
      <w:r>
        <w:rPr>
          <w:rFonts w:hint="eastAsia" w:ascii="Times New Roman"/>
          <w:szCs w:val="21"/>
        </w:rPr>
        <w:t>24067</w:t>
      </w:r>
      <w:r>
        <w:rPr>
          <w:rFonts w:ascii="Times New Roman"/>
        </w:rPr>
        <w:t>—</w:t>
      </w:r>
      <w:r>
        <w:rPr>
          <w:rFonts w:hint="eastAsia" w:ascii="Times New Roman"/>
          <w:szCs w:val="21"/>
        </w:rPr>
        <w:t>2024</w:t>
      </w:r>
      <w:r>
        <w:rPr>
          <w:rFonts w:ascii="Times New Roman"/>
        </w:rPr>
        <w:t>，定义</w:t>
      </w:r>
      <w:r>
        <w:rPr>
          <w:rFonts w:hint="eastAsia" w:ascii="Times New Roman"/>
        </w:rPr>
        <w:t>3.6.1</w:t>
      </w:r>
      <w:r>
        <w:rPr>
          <w:rFonts w:ascii="Times New Roman"/>
        </w:rPr>
        <w:t>]</w:t>
      </w:r>
    </w:p>
    <w:p>
      <w:pPr>
        <w:pStyle w:val="28"/>
        <w:spacing w:line="380" w:lineRule="exact"/>
        <w:ind w:firstLine="0" w:firstLineChars="0"/>
        <w:rPr>
          <w:rFonts w:ascii="Times New Roman"/>
        </w:rPr>
      </w:pPr>
      <w:r>
        <w:rPr>
          <w:rFonts w:hint="eastAsia" w:ascii="Times New Roman"/>
        </w:rPr>
        <w:t>3.12</w:t>
      </w:r>
    </w:p>
    <w:p>
      <w:pPr>
        <w:pStyle w:val="28"/>
        <w:spacing w:line="380" w:lineRule="exact"/>
        <w:rPr>
          <w:rFonts w:ascii="Times New Roman"/>
        </w:rPr>
      </w:pPr>
      <w:r>
        <w:rPr>
          <w:rFonts w:hint="eastAsia" w:ascii="Times New Roman"/>
        </w:rPr>
        <w:t>次级数据 secondary data</w:t>
      </w:r>
    </w:p>
    <w:p>
      <w:pPr>
        <w:pStyle w:val="28"/>
        <w:spacing w:line="380" w:lineRule="exact"/>
        <w:rPr>
          <w:rFonts w:ascii="Times New Roman"/>
        </w:rPr>
      </w:pPr>
      <w:r>
        <w:rPr>
          <w:rFonts w:hint="eastAsia" w:ascii="Times New Roman"/>
        </w:rPr>
        <w:t>不符合初级数据要求的数据。</w:t>
      </w:r>
    </w:p>
    <w:p>
      <w:pPr>
        <w:pStyle w:val="28"/>
        <w:spacing w:line="380" w:lineRule="exact"/>
        <w:ind w:firstLine="408"/>
        <w:rPr>
          <w:rFonts w:ascii="Times New Roman"/>
        </w:rPr>
      </w:pPr>
      <w:r>
        <w:rPr>
          <w:rFonts w:ascii="Times New Roman"/>
          <w:spacing w:val="-3"/>
        </w:rPr>
        <w:t>[</w:t>
      </w:r>
      <w:r>
        <w:rPr>
          <w:rFonts w:ascii="Times New Roman"/>
          <w:spacing w:val="-1"/>
        </w:rPr>
        <w:t>来源：</w:t>
      </w:r>
      <w:r>
        <w:rPr>
          <w:rFonts w:hint="eastAsia" w:ascii="Times New Roman"/>
          <w:szCs w:val="21"/>
        </w:rPr>
        <w:t>GB</w:t>
      </w:r>
      <w:r>
        <w:rPr>
          <w:rFonts w:ascii="Times New Roman"/>
          <w:szCs w:val="21"/>
        </w:rPr>
        <w:t xml:space="preserve">/T </w:t>
      </w:r>
      <w:r>
        <w:rPr>
          <w:rFonts w:hint="eastAsia" w:ascii="Times New Roman"/>
          <w:szCs w:val="21"/>
        </w:rPr>
        <w:t>24067</w:t>
      </w:r>
      <w:r>
        <w:rPr>
          <w:rFonts w:ascii="Times New Roman"/>
        </w:rPr>
        <w:t>—</w:t>
      </w:r>
      <w:r>
        <w:rPr>
          <w:rFonts w:hint="eastAsia" w:ascii="Times New Roman"/>
          <w:szCs w:val="21"/>
        </w:rPr>
        <w:t>2024</w:t>
      </w:r>
      <w:r>
        <w:rPr>
          <w:rFonts w:ascii="Times New Roman"/>
        </w:rPr>
        <w:t>，定义</w:t>
      </w:r>
      <w:r>
        <w:rPr>
          <w:rFonts w:hint="eastAsia" w:ascii="Times New Roman"/>
        </w:rPr>
        <w:t>3.6.3</w:t>
      </w:r>
      <w:r>
        <w:rPr>
          <w:rFonts w:ascii="Times New Roman"/>
        </w:rPr>
        <w:t>]</w:t>
      </w:r>
    </w:p>
    <w:p>
      <w:pPr>
        <w:pStyle w:val="138"/>
        <w:spacing w:before="240" w:after="240" w:line="380" w:lineRule="exact"/>
        <w:outlineLvl w:val="0"/>
        <w:rPr>
          <w:rFonts w:ascii="Times New Roman" w:eastAsia="宋体"/>
          <w:b/>
          <w:sz w:val="24"/>
          <w:szCs w:val="24"/>
        </w:rPr>
      </w:pPr>
      <w:bookmarkStart w:id="57" w:name="_Toc8791"/>
      <w:bookmarkStart w:id="58" w:name="_Toc16272"/>
      <w:bookmarkStart w:id="59" w:name="_Toc13672242"/>
      <w:bookmarkStart w:id="60" w:name="_Toc13732335"/>
      <w:bookmarkStart w:id="61" w:name="_Toc13748288"/>
      <w:bookmarkStart w:id="62" w:name="_Toc261589496"/>
      <w:r>
        <w:rPr>
          <w:rFonts w:hint="eastAsia" w:ascii="Times New Roman" w:eastAsia="宋体"/>
          <w:b/>
        </w:rPr>
        <w:t>目的和范围</w:t>
      </w:r>
      <w:bookmarkEnd w:id="57"/>
      <w:bookmarkEnd w:id="58"/>
    </w:p>
    <w:p>
      <w:pPr>
        <w:pStyle w:val="138"/>
        <w:numPr>
          <w:ilvl w:val="1"/>
          <w:numId w:val="2"/>
        </w:numPr>
        <w:spacing w:before="240" w:after="240" w:line="380" w:lineRule="exact"/>
        <w:rPr>
          <w:rFonts w:ascii="Times New Roman" w:eastAsia="宋体"/>
          <w:szCs w:val="22"/>
        </w:rPr>
      </w:pPr>
      <w:bookmarkStart w:id="63" w:name="_Toc9061"/>
      <w:r>
        <w:rPr>
          <w:rFonts w:ascii="Times New Roman" w:eastAsia="宋体"/>
          <w:szCs w:val="22"/>
        </w:rPr>
        <w:t>目的</w:t>
      </w:r>
      <w:bookmarkEnd w:id="63"/>
    </w:p>
    <w:p>
      <w:pPr>
        <w:pStyle w:val="12"/>
        <w:spacing w:line="380" w:lineRule="exact"/>
      </w:pPr>
      <w:bookmarkStart w:id="64" w:name="_Hlk171425239"/>
      <w:bookmarkStart w:id="65" w:name="_Hlk171425268"/>
      <w:r>
        <w:rPr>
          <w:rFonts w:hint="eastAsia"/>
        </w:rPr>
        <w:t>结合取舍准则，通过量化玻璃产品生命周期或选定过程的所有显著的温室气体排放量和清除量，计算玻璃产品对全球变暖的潜在贡献</w:t>
      </w:r>
      <w:r>
        <w:t>[</w:t>
      </w:r>
      <w:r>
        <w:rPr>
          <w:rFonts w:hint="eastAsia"/>
        </w:rPr>
        <w:t>以二氧化碳当量（</w:t>
      </w:r>
      <w:r>
        <w:t>CO</w:t>
      </w:r>
      <w:r>
        <w:rPr>
          <w:vertAlign w:val="subscript"/>
        </w:rPr>
        <w:t>2</w:t>
      </w:r>
      <w:r>
        <w:t>e</w:t>
      </w:r>
      <w:r>
        <w:rPr>
          <w:rFonts w:hint="eastAsia"/>
        </w:rPr>
        <w:t>）表示</w:t>
      </w:r>
      <w:r>
        <w:t>]</w:t>
      </w:r>
      <w:r>
        <w:rPr>
          <w:rFonts w:hint="eastAsia"/>
        </w:rPr>
        <w:t>。</w:t>
      </w:r>
      <w:bookmarkEnd w:id="64"/>
    </w:p>
    <w:bookmarkEnd w:id="65"/>
    <w:p>
      <w:pPr>
        <w:pStyle w:val="12"/>
        <w:spacing w:line="380" w:lineRule="exact"/>
      </w:pPr>
      <w:r>
        <w:t>在确定产品碳足迹研究目的时，应明确说明以下问题：</w:t>
      </w:r>
    </w:p>
    <w:p>
      <w:pPr>
        <w:numPr>
          <w:ilvl w:val="0"/>
          <w:numId w:val="12"/>
        </w:numPr>
        <w:spacing w:line="380" w:lineRule="exact"/>
        <w:ind w:left="777" w:hanging="357"/>
        <w:rPr>
          <w:szCs w:val="21"/>
        </w:rPr>
      </w:pPr>
      <w:r>
        <w:t>应用意图；</w:t>
      </w:r>
    </w:p>
    <w:p>
      <w:pPr>
        <w:numPr>
          <w:ilvl w:val="0"/>
          <w:numId w:val="12"/>
        </w:numPr>
        <w:spacing w:line="380" w:lineRule="exact"/>
        <w:ind w:left="777" w:hanging="357"/>
        <w:rPr>
          <w:szCs w:val="21"/>
        </w:rPr>
      </w:pPr>
      <w:r>
        <w:t>开展该项研究的理由；</w:t>
      </w:r>
    </w:p>
    <w:p>
      <w:pPr>
        <w:numPr>
          <w:ilvl w:val="0"/>
          <w:numId w:val="12"/>
        </w:numPr>
        <w:spacing w:line="380" w:lineRule="exact"/>
        <w:ind w:left="777" w:hanging="357"/>
        <w:rPr>
          <w:szCs w:val="21"/>
        </w:rPr>
      </w:pPr>
      <w:r>
        <w:t>目标受众（即</w:t>
      </w:r>
      <w:r>
        <w:rPr>
          <w:rFonts w:hint="eastAsia"/>
        </w:rPr>
        <w:t>研究</w:t>
      </w:r>
      <w:r>
        <w:t>结果的接收者）。</w:t>
      </w:r>
    </w:p>
    <w:p>
      <w:pPr>
        <w:pStyle w:val="138"/>
        <w:numPr>
          <w:ilvl w:val="1"/>
          <w:numId w:val="2"/>
        </w:numPr>
        <w:spacing w:before="240" w:after="240" w:line="380" w:lineRule="exact"/>
        <w:rPr>
          <w:rFonts w:ascii="Times New Roman" w:eastAsia="宋体"/>
          <w:szCs w:val="22"/>
        </w:rPr>
      </w:pPr>
      <w:bookmarkStart w:id="66" w:name="_Toc31052"/>
      <w:r>
        <w:rPr>
          <w:rFonts w:ascii="Times New Roman" w:eastAsia="宋体"/>
          <w:szCs w:val="22"/>
        </w:rPr>
        <w:t>范围</w:t>
      </w:r>
      <w:bookmarkEnd w:id="66"/>
    </w:p>
    <w:p>
      <w:pPr>
        <w:pStyle w:val="28"/>
        <w:spacing w:line="380" w:lineRule="exact"/>
        <w:rPr>
          <w:rFonts w:ascii="Times New Roman"/>
        </w:rPr>
      </w:pPr>
      <w:r>
        <w:rPr>
          <w:rFonts w:ascii="Times New Roman"/>
        </w:rPr>
        <w:t>在确定产品碳足迹核算范围的过程中，应考虑并描述包括但不限于以下各项：</w:t>
      </w:r>
    </w:p>
    <w:p>
      <w:pPr>
        <w:numPr>
          <w:ilvl w:val="0"/>
          <w:numId w:val="13"/>
        </w:numPr>
        <w:spacing w:line="380" w:lineRule="exact"/>
        <w:ind w:left="777" w:hanging="357"/>
        <w:rPr>
          <w:szCs w:val="21"/>
        </w:rPr>
      </w:pPr>
      <w:r>
        <w:t>产品描述；</w:t>
      </w:r>
    </w:p>
    <w:p>
      <w:pPr>
        <w:numPr>
          <w:ilvl w:val="0"/>
          <w:numId w:val="13"/>
        </w:numPr>
        <w:spacing w:line="380" w:lineRule="exact"/>
        <w:ind w:left="777" w:hanging="357"/>
        <w:rPr>
          <w:szCs w:val="21"/>
        </w:rPr>
      </w:pPr>
      <w:r>
        <w:rPr>
          <w:rFonts w:hint="eastAsia"/>
        </w:rPr>
        <w:t>声明</w:t>
      </w:r>
      <w:r>
        <w:t>单位；</w:t>
      </w:r>
    </w:p>
    <w:p>
      <w:pPr>
        <w:numPr>
          <w:ilvl w:val="0"/>
          <w:numId w:val="13"/>
        </w:numPr>
        <w:spacing w:line="380" w:lineRule="exact"/>
        <w:ind w:left="777" w:hanging="357"/>
        <w:rPr>
          <w:szCs w:val="21"/>
        </w:rPr>
      </w:pPr>
      <w:r>
        <w:t>系统边界；</w:t>
      </w:r>
    </w:p>
    <w:p>
      <w:pPr>
        <w:numPr>
          <w:ilvl w:val="0"/>
          <w:numId w:val="13"/>
        </w:numPr>
        <w:spacing w:line="380" w:lineRule="exact"/>
        <w:ind w:left="777" w:hanging="357"/>
        <w:rPr>
          <w:szCs w:val="21"/>
        </w:rPr>
      </w:pPr>
      <w:r>
        <w:t>数据和数据质量要求；</w:t>
      </w:r>
    </w:p>
    <w:p>
      <w:pPr>
        <w:numPr>
          <w:ilvl w:val="0"/>
          <w:numId w:val="13"/>
        </w:numPr>
        <w:spacing w:line="380" w:lineRule="exact"/>
        <w:ind w:left="777" w:hanging="357"/>
      </w:pPr>
      <w:r>
        <w:t>数据时间</w:t>
      </w:r>
      <w:r>
        <w:rPr>
          <w:rFonts w:hint="eastAsia"/>
        </w:rPr>
        <w:t>边界和数据地理边界</w:t>
      </w:r>
      <w:r>
        <w:t>。</w:t>
      </w:r>
    </w:p>
    <w:p>
      <w:pPr>
        <w:pStyle w:val="138"/>
        <w:numPr>
          <w:ilvl w:val="1"/>
          <w:numId w:val="2"/>
        </w:numPr>
        <w:spacing w:before="240" w:after="240" w:line="380" w:lineRule="exact"/>
        <w:rPr>
          <w:rFonts w:ascii="Times New Roman" w:eastAsia="宋体"/>
          <w:szCs w:val="22"/>
        </w:rPr>
      </w:pPr>
      <w:bookmarkStart w:id="67" w:name="_Toc2005"/>
      <w:r>
        <w:rPr>
          <w:rFonts w:ascii="Times New Roman" w:eastAsia="宋体"/>
          <w:szCs w:val="22"/>
        </w:rPr>
        <w:t>产品描述</w:t>
      </w:r>
      <w:bookmarkEnd w:id="67"/>
    </w:p>
    <w:p>
      <w:pPr>
        <w:pStyle w:val="28"/>
        <w:spacing w:line="380" w:lineRule="exact"/>
        <w:rPr>
          <w:rFonts w:ascii="Times New Roman"/>
        </w:rPr>
      </w:pPr>
      <w:r>
        <w:rPr>
          <w:rFonts w:ascii="Times New Roman"/>
        </w:rPr>
        <w:t>产品描述应使用户能够明确的识别产品：</w:t>
      </w:r>
    </w:p>
    <w:p>
      <w:pPr>
        <w:numPr>
          <w:ilvl w:val="0"/>
          <w:numId w:val="14"/>
        </w:numPr>
        <w:spacing w:line="380" w:lineRule="exact"/>
        <w:ind w:left="777" w:hanging="357"/>
        <w:rPr>
          <w:szCs w:val="21"/>
        </w:rPr>
      </w:pPr>
      <w:r>
        <w:t>产品名称（型号、规格、分类、用途）；</w:t>
      </w:r>
    </w:p>
    <w:p>
      <w:pPr>
        <w:numPr>
          <w:ilvl w:val="0"/>
          <w:numId w:val="14"/>
        </w:numPr>
        <w:spacing w:line="380" w:lineRule="exact"/>
        <w:ind w:left="777" w:hanging="357"/>
        <w:rPr>
          <w:szCs w:val="21"/>
        </w:rPr>
      </w:pPr>
      <w:r>
        <w:t>产品的简单示意图；</w:t>
      </w:r>
    </w:p>
    <w:p>
      <w:pPr>
        <w:numPr>
          <w:ilvl w:val="0"/>
          <w:numId w:val="14"/>
        </w:numPr>
        <w:spacing w:line="380" w:lineRule="exact"/>
        <w:ind w:left="777" w:hanging="357"/>
        <w:rPr>
          <w:szCs w:val="21"/>
        </w:rPr>
      </w:pPr>
      <w:r>
        <w:t>产品的主要技术参数和性能；</w:t>
      </w:r>
    </w:p>
    <w:p>
      <w:pPr>
        <w:numPr>
          <w:ilvl w:val="0"/>
          <w:numId w:val="14"/>
        </w:numPr>
        <w:spacing w:line="380" w:lineRule="exact"/>
        <w:ind w:left="777" w:hanging="357"/>
        <w:rPr>
          <w:szCs w:val="21"/>
        </w:rPr>
      </w:pPr>
      <w:r>
        <w:t>产品满足相关质量标准的证明文件；</w:t>
      </w:r>
    </w:p>
    <w:p>
      <w:pPr>
        <w:numPr>
          <w:ilvl w:val="0"/>
          <w:numId w:val="14"/>
        </w:numPr>
        <w:spacing w:line="380" w:lineRule="exact"/>
        <w:ind w:left="777" w:hanging="357"/>
        <w:rPr>
          <w:szCs w:val="21"/>
        </w:rPr>
      </w:pPr>
      <w:r>
        <w:t>产品所获取的其他标志等。</w:t>
      </w:r>
    </w:p>
    <w:p>
      <w:pPr>
        <w:pStyle w:val="138"/>
        <w:numPr>
          <w:ilvl w:val="1"/>
          <w:numId w:val="2"/>
        </w:numPr>
        <w:spacing w:before="240" w:after="240" w:line="380" w:lineRule="exact"/>
        <w:rPr>
          <w:rFonts w:ascii="Times New Roman" w:eastAsia="宋体"/>
          <w:szCs w:val="22"/>
        </w:rPr>
      </w:pPr>
      <w:bookmarkStart w:id="68" w:name="_Toc6445"/>
      <w:r>
        <w:rPr>
          <w:rFonts w:hint="eastAsia" w:ascii="Times New Roman" w:eastAsia="宋体"/>
          <w:szCs w:val="22"/>
        </w:rPr>
        <w:t>声明</w:t>
      </w:r>
      <w:r>
        <w:rPr>
          <w:rFonts w:ascii="Times New Roman" w:eastAsia="宋体"/>
          <w:szCs w:val="22"/>
        </w:rPr>
        <w:t>单位</w:t>
      </w:r>
      <w:bookmarkEnd w:id="68"/>
    </w:p>
    <w:p>
      <w:pPr>
        <w:pStyle w:val="28"/>
        <w:spacing w:line="380" w:lineRule="exact"/>
        <w:rPr>
          <w:rFonts w:ascii="Times New Roman"/>
        </w:rPr>
      </w:pPr>
      <w:r>
        <w:rPr>
          <w:rFonts w:ascii="Times New Roman"/>
        </w:rPr>
        <w:t>1 m</w:t>
      </w:r>
      <w:r>
        <w:rPr>
          <w:rFonts w:ascii="Times New Roman"/>
          <w:vertAlign w:val="superscript"/>
        </w:rPr>
        <w:t>2</w:t>
      </w:r>
      <w:r>
        <w:rPr>
          <w:rFonts w:hint="eastAsia" w:ascii="Times New Roman"/>
        </w:rPr>
        <w:t>钢化</w:t>
      </w:r>
      <w:r>
        <w:rPr>
          <w:rFonts w:ascii="Times New Roman"/>
        </w:rPr>
        <w:t>玻璃产品</w:t>
      </w:r>
      <w:r>
        <w:rPr>
          <w:rFonts w:hint="eastAsia" w:ascii="Times New Roman"/>
        </w:rPr>
        <w:t>；1 m</w:t>
      </w:r>
      <w:r>
        <w:rPr>
          <w:rFonts w:ascii="Times New Roman"/>
          <w:vertAlign w:val="superscript"/>
        </w:rPr>
        <w:t>2</w:t>
      </w:r>
      <w:r>
        <w:rPr>
          <w:rFonts w:hint="eastAsia" w:ascii="Times New Roman"/>
        </w:rPr>
        <w:t>夹层玻璃产品；1 m</w:t>
      </w:r>
      <w:r>
        <w:rPr>
          <w:rFonts w:ascii="Times New Roman"/>
          <w:vertAlign w:val="superscript"/>
        </w:rPr>
        <w:t>2</w:t>
      </w:r>
      <w:r>
        <w:rPr>
          <w:rFonts w:hint="eastAsia" w:ascii="Times New Roman"/>
        </w:rPr>
        <w:t>中空玻璃产品；1 m</w:t>
      </w:r>
      <w:r>
        <w:rPr>
          <w:rFonts w:ascii="Times New Roman"/>
          <w:vertAlign w:val="superscript"/>
        </w:rPr>
        <w:t>2</w:t>
      </w:r>
      <w:r>
        <w:rPr>
          <w:rFonts w:hint="eastAsia" w:ascii="Times New Roman"/>
        </w:rPr>
        <w:t>光伏玻璃产品。</w:t>
      </w:r>
    </w:p>
    <w:p>
      <w:pPr>
        <w:pStyle w:val="138"/>
        <w:numPr>
          <w:ilvl w:val="1"/>
          <w:numId w:val="2"/>
        </w:numPr>
        <w:spacing w:before="240" w:after="240" w:line="380" w:lineRule="exact"/>
        <w:rPr>
          <w:rFonts w:ascii="Times New Roman" w:eastAsia="宋体"/>
          <w:szCs w:val="22"/>
        </w:rPr>
      </w:pPr>
      <w:bookmarkStart w:id="69" w:name="_Toc9537"/>
      <w:r>
        <w:rPr>
          <w:rFonts w:ascii="Times New Roman" w:eastAsia="宋体"/>
          <w:szCs w:val="22"/>
        </w:rPr>
        <w:t>系统边界</w:t>
      </w:r>
      <w:bookmarkEnd w:id="69"/>
    </w:p>
    <w:p>
      <w:pPr>
        <w:pStyle w:val="12"/>
        <w:spacing w:before="240" w:line="380" w:lineRule="exact"/>
        <w:ind w:firstLine="0" w:firstLineChars="0"/>
      </w:pPr>
      <w:r>
        <w:t>4.</w:t>
      </w:r>
      <w:r>
        <w:rPr>
          <w:rFonts w:hint="eastAsia"/>
        </w:rPr>
        <w:t>5.1</w:t>
      </w:r>
      <w:r>
        <w:t xml:space="preserve"> 概述</w:t>
      </w:r>
    </w:p>
    <w:p>
      <w:pPr>
        <w:pStyle w:val="12"/>
        <w:spacing w:line="380" w:lineRule="exact"/>
      </w:pPr>
      <w:r>
        <w:t>系统边界决定产品碳足迹研究所涵盖的单元过程。应对研究中包括的单元过程以及对这些单元过程研究的详细程度进行研究并做出规定。对研究的总体结论不会造成显著影响的生命周期阶段、过程、输入或输出才允许被排除，但应明确说明并解释排除的原因及可能造成的后果。</w:t>
      </w:r>
    </w:p>
    <w:p>
      <w:pPr>
        <w:pStyle w:val="12"/>
        <w:spacing w:before="240" w:line="380" w:lineRule="exact"/>
        <w:ind w:firstLine="0" w:firstLineChars="0"/>
      </w:pPr>
      <w:r>
        <w:t xml:space="preserve">4.5.2 </w:t>
      </w:r>
      <w:r>
        <w:rPr>
          <w:rFonts w:hint="eastAsia"/>
        </w:rPr>
        <w:t>系统边界设置</w:t>
      </w:r>
    </w:p>
    <w:p>
      <w:pPr>
        <w:pStyle w:val="12"/>
        <w:spacing w:line="380" w:lineRule="exact"/>
      </w:pPr>
      <w:r>
        <w:t>本文件界定的玻璃生命周期系统边界，如图1所示，从资源开采、原辅料和能源生产及运输、产品</w:t>
      </w:r>
      <w:r>
        <w:rPr>
          <w:rFonts w:hint="eastAsia"/>
        </w:rPr>
        <w:t>加工制造</w:t>
      </w:r>
      <w:r>
        <w:t>到产品出厂为止，包括：</w:t>
      </w:r>
    </w:p>
    <w:p>
      <w:pPr>
        <w:numPr>
          <w:ilvl w:val="0"/>
          <w:numId w:val="15"/>
        </w:numPr>
        <w:spacing w:line="380" w:lineRule="exact"/>
        <w:ind w:left="777" w:hanging="357"/>
        <w:rPr>
          <w:szCs w:val="21"/>
        </w:rPr>
      </w:pPr>
      <w:r>
        <w:t>原</w:t>
      </w:r>
      <w:r>
        <w:rPr>
          <w:rFonts w:hint="eastAsia"/>
        </w:rPr>
        <w:t>辅料生产（</w:t>
      </w:r>
      <w:bookmarkStart w:id="70" w:name="_Hlk176180019"/>
      <w:r>
        <w:rPr>
          <w:rFonts w:hint="eastAsia"/>
        </w:rPr>
        <w:t>原材料平板玻璃；辅料边部密封材料</w:t>
      </w:r>
      <w:r>
        <w:t>、</w:t>
      </w:r>
      <w:r>
        <w:rPr>
          <w:rFonts w:hint="eastAsia"/>
        </w:rPr>
        <w:t>间隔材料、干燥剂、</w:t>
      </w:r>
      <w:r>
        <w:t>中间层</w:t>
      </w:r>
      <w:r>
        <w:rPr>
          <w:rFonts w:hint="eastAsia"/>
        </w:rPr>
        <w:t>、塑料、镀膜材料、釉料</w:t>
      </w:r>
      <w:r>
        <w:t>等</w:t>
      </w:r>
      <w:r>
        <w:rPr>
          <w:rFonts w:hint="eastAsia"/>
        </w:rPr>
        <w:t>；</w:t>
      </w:r>
      <w:r>
        <w:rPr>
          <w:rFonts w:hint="eastAsia"/>
          <w:szCs w:val="21"/>
        </w:rPr>
        <w:t>包装材料木箱、集装箱、集装架、塑料膜、软材料等；附件垫块、包边条、钉柱等</w:t>
      </w:r>
      <w:bookmarkEnd w:id="70"/>
      <w:r>
        <w:rPr>
          <w:rFonts w:hint="eastAsia"/>
          <w:szCs w:val="21"/>
        </w:rPr>
        <w:t>）；</w:t>
      </w:r>
    </w:p>
    <w:p>
      <w:pPr>
        <w:numPr>
          <w:ilvl w:val="0"/>
          <w:numId w:val="15"/>
        </w:numPr>
        <w:spacing w:line="380" w:lineRule="exact"/>
        <w:ind w:left="777" w:hanging="357"/>
        <w:rPr>
          <w:szCs w:val="21"/>
        </w:rPr>
      </w:pPr>
      <w:r>
        <w:t>能源生产（如电力、汽油、柴油</w:t>
      </w:r>
      <w:r>
        <w:rPr>
          <w:rFonts w:hint="eastAsia"/>
        </w:rPr>
        <w:t>、</w:t>
      </w:r>
      <w:r>
        <w:t>天然气、</w:t>
      </w:r>
      <w:r>
        <w:rPr>
          <w:rFonts w:hint="eastAsia"/>
        </w:rPr>
        <w:t>水</w:t>
      </w:r>
      <w:r>
        <w:t>等）；</w:t>
      </w:r>
    </w:p>
    <w:p>
      <w:pPr>
        <w:numPr>
          <w:ilvl w:val="0"/>
          <w:numId w:val="15"/>
        </w:numPr>
        <w:spacing w:line="380" w:lineRule="exact"/>
        <w:ind w:left="777" w:hanging="357"/>
        <w:rPr>
          <w:szCs w:val="21"/>
        </w:rPr>
      </w:pPr>
      <w:r>
        <w:t>运输（原辅料和能源的运输）；</w:t>
      </w:r>
    </w:p>
    <w:p>
      <w:pPr>
        <w:numPr>
          <w:ilvl w:val="0"/>
          <w:numId w:val="15"/>
        </w:numPr>
        <w:spacing w:line="380" w:lineRule="exact"/>
        <w:ind w:left="777" w:hanging="357"/>
        <w:rPr>
          <w:sz w:val="20"/>
        </w:rPr>
      </w:pPr>
      <w:r>
        <w:t>玻璃</w:t>
      </w:r>
      <w:r>
        <w:rPr>
          <w:rFonts w:hint="eastAsia"/>
        </w:rPr>
        <w:t>加工制造（如</w:t>
      </w:r>
      <w:r>
        <w:t>电力、汽油、柴油</w:t>
      </w:r>
      <w:r>
        <w:rPr>
          <w:rFonts w:hint="eastAsia"/>
        </w:rPr>
        <w:t>、</w:t>
      </w:r>
      <w:r>
        <w:t>天然气、</w:t>
      </w:r>
      <w:r>
        <w:rPr>
          <w:rFonts w:hint="eastAsia"/>
        </w:rPr>
        <w:t>水等的使用）</w:t>
      </w:r>
      <w:r>
        <w:t>。</w:t>
      </w:r>
    </w:p>
    <w:p>
      <w:pPr>
        <w:pStyle w:val="28"/>
        <w:spacing w:before="120" w:beforeLines="50"/>
        <w:ind w:firstLine="0" w:firstLineChars="0"/>
        <w:jc w:val="center"/>
        <w:rPr>
          <w:rFonts w:ascii="Times New Roman"/>
          <w:sz w:val="20"/>
        </w:rPr>
      </w:pPr>
      <w:r>
        <w:rPr>
          <w:rFonts w:ascii="Times New Roman"/>
          <w:sz w:val="20"/>
        </w:rPr>
        <w:drawing>
          <wp:inline distT="0" distB="0" distL="0" distR="0">
            <wp:extent cx="4131310" cy="2804795"/>
            <wp:effectExtent l="0" t="0" r="0" b="0"/>
            <wp:docPr id="224184766"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24184766" name="图片 8"/>
                    <pic:cNvPicPr>
                      <a:picLocks noChangeAspect="true"/>
                    </pic:cNvPicPr>
                  </pic:nvPicPr>
                  <pic:blipFill>
                    <a:blip r:embed="rId14" cstate="print">
                      <a:extLst>
                        <a:ext uri="{28A0092B-C50C-407E-A947-70E740481C1C}">
                          <a14:useLocalDpi xmlns:a14="http://schemas.microsoft.com/office/drawing/2010/main" val="false"/>
                        </a:ext>
                      </a:extLst>
                    </a:blip>
                    <a:srcRect t="1244" b="1435"/>
                    <a:stretch>
                      <a:fillRect/>
                    </a:stretch>
                  </pic:blipFill>
                  <pic:spPr>
                    <a:xfrm>
                      <a:off x="0" y="0"/>
                      <a:ext cx="4153795" cy="2820333"/>
                    </a:xfrm>
                    <a:prstGeom prst="rect">
                      <a:avLst/>
                    </a:prstGeom>
                    <a:ln>
                      <a:noFill/>
                    </a:ln>
                  </pic:spPr>
                </pic:pic>
              </a:graphicData>
            </a:graphic>
          </wp:inline>
        </w:drawing>
      </w:r>
    </w:p>
    <w:p>
      <w:pPr>
        <w:pStyle w:val="28"/>
        <w:spacing w:line="380" w:lineRule="exact"/>
        <w:ind w:firstLine="0" w:firstLineChars="0"/>
        <w:rPr>
          <w:rFonts w:ascii="Times New Roman"/>
          <w:sz w:val="20"/>
        </w:rPr>
      </w:pPr>
      <w:r>
        <w:rPr>
          <w:rFonts w:ascii="Times New Roman"/>
          <w:sz w:val="20"/>
        </w:rPr>
        <w:t>注1：</w:t>
      </w:r>
      <w:r>
        <w:rPr>
          <w:rFonts w:ascii="Times New Roman"/>
          <w:sz w:val="20"/>
          <w:szCs w:val="21"/>
        </w:rPr>
        <w:t>钢化玻璃、夹层玻璃</w:t>
      </w:r>
      <w:r>
        <w:rPr>
          <w:rFonts w:hint="eastAsia" w:ascii="Times New Roman"/>
          <w:sz w:val="20"/>
          <w:szCs w:val="21"/>
        </w:rPr>
        <w:t>、</w:t>
      </w:r>
      <w:r>
        <w:rPr>
          <w:rFonts w:ascii="Times New Roman"/>
          <w:sz w:val="20"/>
          <w:szCs w:val="21"/>
        </w:rPr>
        <w:t>中空玻璃</w:t>
      </w:r>
      <w:r>
        <w:rPr>
          <w:rFonts w:hint="eastAsia" w:ascii="Times New Roman"/>
          <w:sz w:val="20"/>
          <w:szCs w:val="21"/>
        </w:rPr>
        <w:t>和光伏玻璃的</w:t>
      </w:r>
      <w:r>
        <w:rPr>
          <w:rFonts w:ascii="Times New Roman"/>
          <w:sz w:val="20"/>
          <w:szCs w:val="21"/>
        </w:rPr>
        <w:t>典型生产工艺流程如图2-图</w:t>
      </w:r>
      <w:r>
        <w:rPr>
          <w:rFonts w:hint="eastAsia" w:ascii="Times New Roman"/>
          <w:sz w:val="20"/>
          <w:szCs w:val="21"/>
        </w:rPr>
        <w:t>5</w:t>
      </w:r>
      <w:r>
        <w:rPr>
          <w:rFonts w:ascii="Times New Roman"/>
          <w:sz w:val="20"/>
          <w:szCs w:val="21"/>
        </w:rPr>
        <w:t>所示。</w:t>
      </w:r>
    </w:p>
    <w:p>
      <w:pPr>
        <w:pStyle w:val="28"/>
        <w:spacing w:line="380" w:lineRule="exact"/>
        <w:ind w:firstLine="0" w:firstLineChars="0"/>
        <w:jc w:val="center"/>
      </w:pPr>
      <w:r>
        <w:rPr>
          <w:rFonts w:ascii="Times New Roman"/>
        </w:rPr>
        <w:t>图1 玻璃生命周期系统边界图</w:t>
      </w:r>
    </w:p>
    <w:p>
      <w:pPr>
        <w:jc w:val="center"/>
      </w:pPr>
      <w:r>
        <w:rPr>
          <w:rFonts w:hint="eastAsia"/>
        </w:rPr>
        <w:drawing>
          <wp:inline distT="0" distB="0" distL="0" distR="0">
            <wp:extent cx="5471795" cy="613410"/>
            <wp:effectExtent l="0" t="0" r="0" b="0"/>
            <wp:docPr id="1223589896"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23589896" name="图片 8"/>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5472000" cy="613548"/>
                    </a:xfrm>
                    <a:prstGeom prst="rect">
                      <a:avLst/>
                    </a:prstGeom>
                  </pic:spPr>
                </pic:pic>
              </a:graphicData>
            </a:graphic>
          </wp:inline>
        </w:drawing>
      </w:r>
    </w:p>
    <w:p>
      <w:pPr>
        <w:spacing w:line="380" w:lineRule="exact"/>
        <w:jc w:val="center"/>
      </w:pPr>
      <w:r>
        <w:t>图2 钢化玻璃生产工艺流程图</w:t>
      </w:r>
    </w:p>
    <w:p/>
    <w:p>
      <w:pPr>
        <w:jc w:val="center"/>
      </w:pPr>
      <w:r>
        <w:drawing>
          <wp:inline distT="0" distB="0" distL="0" distR="0">
            <wp:extent cx="5471795" cy="897255"/>
            <wp:effectExtent l="0" t="0" r="0" b="0"/>
            <wp:docPr id="245710104"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45710104" name="图片 12"/>
                    <pic:cNvPicPr>
                      <a:picLocks noChangeAspect="true"/>
                    </pic:cNvPicPr>
                  </pic:nvPicPr>
                  <pic:blipFill>
                    <a:blip r:embed="rId16" cstate="print">
                      <a:extLst>
                        <a:ext uri="{28A0092B-C50C-407E-A947-70E740481C1C}">
                          <a14:useLocalDpi xmlns:a14="http://schemas.microsoft.com/office/drawing/2010/main" val="false"/>
                        </a:ext>
                      </a:extLst>
                    </a:blip>
                    <a:stretch>
                      <a:fillRect/>
                    </a:stretch>
                  </pic:blipFill>
                  <pic:spPr>
                    <a:xfrm>
                      <a:off x="0" y="0"/>
                      <a:ext cx="5472000" cy="897795"/>
                    </a:xfrm>
                    <a:prstGeom prst="rect">
                      <a:avLst/>
                    </a:prstGeom>
                  </pic:spPr>
                </pic:pic>
              </a:graphicData>
            </a:graphic>
          </wp:inline>
        </w:drawing>
      </w:r>
    </w:p>
    <w:p>
      <w:pPr>
        <w:spacing w:line="380" w:lineRule="exact"/>
        <w:jc w:val="center"/>
      </w:pPr>
      <w:r>
        <w:t>图3 夹层玻璃生产工艺流程图</w:t>
      </w:r>
    </w:p>
    <w:p/>
    <w:p>
      <w:pPr>
        <w:jc w:val="center"/>
      </w:pPr>
      <w:r>
        <w:drawing>
          <wp:inline distT="0" distB="0" distL="0" distR="0">
            <wp:extent cx="5471795" cy="792480"/>
            <wp:effectExtent l="0" t="0" r="0" b="7620"/>
            <wp:docPr id="1247825816"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47825816" name="图片 13"/>
                    <pic:cNvPicPr>
                      <a:picLocks noChangeAspect="true"/>
                    </pic:cNvPicPr>
                  </pic:nvPicPr>
                  <pic:blipFill>
                    <a:blip r:embed="rId17" cstate="print">
                      <a:extLst>
                        <a:ext uri="{28A0092B-C50C-407E-A947-70E740481C1C}">
                          <a14:useLocalDpi xmlns:a14="http://schemas.microsoft.com/office/drawing/2010/main" val="false"/>
                        </a:ext>
                      </a:extLst>
                    </a:blip>
                    <a:stretch>
                      <a:fillRect/>
                    </a:stretch>
                  </pic:blipFill>
                  <pic:spPr>
                    <a:xfrm>
                      <a:off x="0" y="0"/>
                      <a:ext cx="5472000" cy="793104"/>
                    </a:xfrm>
                    <a:prstGeom prst="rect">
                      <a:avLst/>
                    </a:prstGeom>
                  </pic:spPr>
                </pic:pic>
              </a:graphicData>
            </a:graphic>
          </wp:inline>
        </w:drawing>
      </w:r>
    </w:p>
    <w:p>
      <w:pPr>
        <w:spacing w:line="380" w:lineRule="exact"/>
        <w:jc w:val="center"/>
      </w:pPr>
      <w:r>
        <w:t>图</w:t>
      </w:r>
      <w:r>
        <w:rPr>
          <w:rFonts w:hint="eastAsia"/>
        </w:rPr>
        <w:t>4</w:t>
      </w:r>
      <w:r>
        <w:t xml:space="preserve"> 中空玻璃生产工艺流程图</w:t>
      </w:r>
    </w:p>
    <w:p/>
    <w:p>
      <w:pPr>
        <w:jc w:val="center"/>
      </w:pPr>
      <w:r>
        <w:drawing>
          <wp:inline distT="0" distB="0" distL="0" distR="0">
            <wp:extent cx="5154295" cy="880745"/>
            <wp:effectExtent l="0" t="0" r="8255" b="0"/>
            <wp:docPr id="169461263"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9461263" name="图片 8"/>
                    <pic:cNvPicPr>
                      <a:picLocks noChangeAspect="true"/>
                    </pic:cNvPicPr>
                  </pic:nvPicPr>
                  <pic:blipFill>
                    <a:blip r:embed="rId18" cstate="print">
                      <a:extLst>
                        <a:ext uri="{28A0092B-C50C-407E-A947-70E740481C1C}">
                          <a14:useLocalDpi xmlns:a14="http://schemas.microsoft.com/office/drawing/2010/main" val="false"/>
                        </a:ext>
                      </a:extLst>
                    </a:blip>
                    <a:stretch>
                      <a:fillRect/>
                    </a:stretch>
                  </pic:blipFill>
                  <pic:spPr>
                    <a:xfrm>
                      <a:off x="0" y="0"/>
                      <a:ext cx="5160434" cy="881692"/>
                    </a:xfrm>
                    <a:prstGeom prst="rect">
                      <a:avLst/>
                    </a:prstGeom>
                  </pic:spPr>
                </pic:pic>
              </a:graphicData>
            </a:graphic>
          </wp:inline>
        </w:drawing>
      </w:r>
    </w:p>
    <w:p>
      <w:pPr>
        <w:spacing w:line="380" w:lineRule="exact"/>
        <w:jc w:val="center"/>
      </w:pPr>
      <w:r>
        <w:rPr>
          <w:rFonts w:hint="eastAsia"/>
        </w:rPr>
        <w:t>图</w:t>
      </w:r>
      <w:r>
        <w:t xml:space="preserve">5 </w:t>
      </w:r>
      <w:r>
        <w:rPr>
          <w:rFonts w:hint="eastAsia"/>
        </w:rPr>
        <w:t>光伏玻璃生产工艺流程图</w:t>
      </w:r>
    </w:p>
    <w:p>
      <w:pPr>
        <w:spacing w:line="380" w:lineRule="exact"/>
        <w:jc w:val="center"/>
      </w:pPr>
    </w:p>
    <w:p>
      <w:pPr>
        <w:pStyle w:val="12"/>
        <w:spacing w:before="240" w:line="380" w:lineRule="exact"/>
        <w:ind w:firstLine="0" w:firstLineChars="0"/>
      </w:pPr>
      <w:r>
        <w:t xml:space="preserve">4.5.3 </w:t>
      </w:r>
      <w:r>
        <w:rPr>
          <w:rFonts w:hint="eastAsia"/>
        </w:rPr>
        <w:t>排放源识别</w:t>
      </w:r>
    </w:p>
    <w:p>
      <w:pPr>
        <w:pStyle w:val="12"/>
        <w:spacing w:before="240" w:line="380" w:lineRule="exact"/>
      </w:pPr>
      <w:r>
        <w:rPr>
          <w:rFonts w:hint="eastAsia"/>
        </w:rPr>
        <w:t>根据所设置的系统边界，边界内可能的温室气体排放源如表1所示：</w:t>
      </w:r>
    </w:p>
    <w:p>
      <w:pPr>
        <w:spacing w:before="240" w:after="120" w:line="380" w:lineRule="exact"/>
        <w:jc w:val="center"/>
        <w:rPr>
          <w:szCs w:val="21"/>
        </w:rPr>
      </w:pPr>
      <w:r>
        <w:rPr>
          <w:szCs w:val="21"/>
        </w:rPr>
        <w:t xml:space="preserve">表1 </w:t>
      </w:r>
      <w:r>
        <w:rPr>
          <w:rFonts w:hint="eastAsia"/>
          <w:szCs w:val="21"/>
        </w:rPr>
        <w:t>温室气体排放源清单表</w:t>
      </w:r>
    </w:p>
    <w:tbl>
      <w:tblPr>
        <w:tblStyle w:val="39"/>
        <w:tblW w:w="476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6"/>
        <w:gridCol w:w="2176"/>
        <w:gridCol w:w="3040"/>
        <w:gridCol w:w="22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3" w:hRule="atLeast"/>
          <w:jc w:val="center"/>
        </w:trPr>
        <w:tc>
          <w:tcPr>
            <w:tcW w:w="744" w:type="pct"/>
            <w:vMerge w:val="restart"/>
            <w:vAlign w:val="center"/>
          </w:tcPr>
          <w:p>
            <w:pPr>
              <w:jc w:val="center"/>
              <w:rPr>
                <w:rFonts w:ascii="宋体"/>
                <w:sz w:val="18"/>
                <w:szCs w:val="18"/>
              </w:rPr>
            </w:pPr>
            <w:r>
              <w:rPr>
                <w:rFonts w:hint="eastAsia" w:ascii="宋体"/>
                <w:sz w:val="18"/>
                <w:szCs w:val="18"/>
              </w:rPr>
              <w:t>序号</w:t>
            </w:r>
          </w:p>
        </w:tc>
        <w:tc>
          <w:tcPr>
            <w:tcW w:w="1240" w:type="pct"/>
            <w:vMerge w:val="restart"/>
            <w:vAlign w:val="center"/>
          </w:tcPr>
          <w:p>
            <w:pPr>
              <w:jc w:val="center"/>
              <w:rPr>
                <w:rFonts w:ascii="宋体"/>
                <w:sz w:val="18"/>
                <w:szCs w:val="18"/>
              </w:rPr>
            </w:pPr>
            <w:r>
              <w:rPr>
                <w:rFonts w:hint="eastAsia" w:ascii="宋体"/>
                <w:sz w:val="18"/>
                <w:szCs w:val="18"/>
              </w:rPr>
              <w:t>排放类型</w:t>
            </w:r>
          </w:p>
        </w:tc>
        <w:tc>
          <w:tcPr>
            <w:tcW w:w="1732" w:type="pct"/>
            <w:vMerge w:val="restart"/>
            <w:vAlign w:val="center"/>
          </w:tcPr>
          <w:p>
            <w:pPr>
              <w:jc w:val="center"/>
              <w:rPr>
                <w:rFonts w:ascii="宋体"/>
                <w:sz w:val="18"/>
                <w:szCs w:val="18"/>
              </w:rPr>
            </w:pPr>
            <w:r>
              <w:rPr>
                <w:rFonts w:hint="eastAsia" w:ascii="宋体"/>
                <w:sz w:val="18"/>
                <w:szCs w:val="18"/>
              </w:rPr>
              <w:t>对应活动/设施</w:t>
            </w:r>
          </w:p>
        </w:tc>
        <w:tc>
          <w:tcPr>
            <w:tcW w:w="1284" w:type="pct"/>
            <w:vMerge w:val="restart"/>
            <w:vAlign w:val="center"/>
          </w:tcPr>
          <w:p>
            <w:pPr>
              <w:jc w:val="center"/>
              <w:rPr>
                <w:rFonts w:ascii="宋体"/>
                <w:sz w:val="18"/>
                <w:szCs w:val="18"/>
              </w:rPr>
            </w:pPr>
            <w:r>
              <w:rPr>
                <w:rFonts w:hint="eastAsia" w:ascii="宋体"/>
                <w:sz w:val="18"/>
                <w:szCs w:val="18"/>
              </w:rPr>
              <w:t>排放源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jc w:val="center"/>
        </w:trPr>
        <w:tc>
          <w:tcPr>
            <w:tcW w:w="744" w:type="pct"/>
            <w:vMerge w:val="continue"/>
            <w:vAlign w:val="center"/>
          </w:tcPr>
          <w:p>
            <w:pPr>
              <w:spacing w:line="380" w:lineRule="exact"/>
              <w:jc w:val="center"/>
              <w:rPr>
                <w:rFonts w:ascii="宋体"/>
                <w:sz w:val="18"/>
                <w:szCs w:val="18"/>
              </w:rPr>
            </w:pPr>
          </w:p>
        </w:tc>
        <w:tc>
          <w:tcPr>
            <w:tcW w:w="1240" w:type="pct"/>
            <w:vMerge w:val="continue"/>
            <w:vAlign w:val="center"/>
          </w:tcPr>
          <w:p>
            <w:pPr>
              <w:spacing w:line="380" w:lineRule="exact"/>
              <w:jc w:val="center"/>
              <w:rPr>
                <w:rFonts w:ascii="宋体"/>
                <w:sz w:val="18"/>
                <w:szCs w:val="18"/>
              </w:rPr>
            </w:pPr>
          </w:p>
        </w:tc>
        <w:tc>
          <w:tcPr>
            <w:tcW w:w="1732" w:type="pct"/>
            <w:vMerge w:val="continue"/>
            <w:vAlign w:val="center"/>
          </w:tcPr>
          <w:p>
            <w:pPr>
              <w:spacing w:line="380" w:lineRule="exact"/>
              <w:jc w:val="center"/>
              <w:rPr>
                <w:rFonts w:ascii="宋体"/>
                <w:sz w:val="18"/>
                <w:szCs w:val="18"/>
              </w:rPr>
            </w:pPr>
          </w:p>
        </w:tc>
        <w:tc>
          <w:tcPr>
            <w:tcW w:w="1284" w:type="pct"/>
            <w:vMerge w:val="continue"/>
            <w:vAlign w:val="center"/>
          </w:tcPr>
          <w:p>
            <w:pPr>
              <w:spacing w:line="380" w:lineRule="exact"/>
              <w:jc w:val="center"/>
              <w:rPr>
                <w:rFonts w:asci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w:t>
            </w:r>
          </w:p>
        </w:tc>
        <w:tc>
          <w:tcPr>
            <w:tcW w:w="1240" w:type="pct"/>
            <w:vMerge w:val="restart"/>
            <w:vAlign w:val="center"/>
          </w:tcPr>
          <w:p>
            <w:pPr>
              <w:spacing w:line="380" w:lineRule="exact"/>
              <w:jc w:val="center"/>
              <w:rPr>
                <w:rFonts w:ascii="宋体"/>
                <w:sz w:val="18"/>
                <w:szCs w:val="18"/>
              </w:rPr>
            </w:pPr>
            <w:r>
              <w:rPr>
                <w:rFonts w:hint="eastAsia" w:ascii="宋体"/>
                <w:sz w:val="18"/>
                <w:szCs w:val="18"/>
              </w:rPr>
              <w:t>原辅料生产阶段的排放</w:t>
            </w:r>
          </w:p>
        </w:tc>
        <w:tc>
          <w:tcPr>
            <w:tcW w:w="3016" w:type="pct"/>
            <w:gridSpan w:val="2"/>
            <w:vAlign w:val="center"/>
          </w:tcPr>
          <w:p>
            <w:pPr>
              <w:spacing w:line="380" w:lineRule="exact"/>
              <w:jc w:val="center"/>
              <w:rPr>
                <w:rFonts w:ascii="宋体"/>
                <w:sz w:val="18"/>
                <w:szCs w:val="18"/>
              </w:rPr>
            </w:pPr>
            <w:r>
              <w:rPr>
                <w:rFonts w:hint="eastAsia" w:ascii="宋体"/>
                <w:sz w:val="18"/>
                <w:szCs w:val="18"/>
              </w:rPr>
              <w:t>外购原材料（平板玻璃）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2</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外购辅料（边部密封材料（硅酮胶、丁基胶、聚硫胶等））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3</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外购辅料（间隔材料）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4</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外购辅料（干燥剂）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5</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tcPr>
          <w:p>
            <w:pPr>
              <w:spacing w:line="380" w:lineRule="exact"/>
              <w:ind w:left="181" w:leftChars="86"/>
              <w:jc w:val="center"/>
              <w:rPr>
                <w:rFonts w:ascii="宋体"/>
                <w:sz w:val="18"/>
                <w:szCs w:val="18"/>
              </w:rPr>
            </w:pPr>
            <w:r>
              <w:rPr>
                <w:rFonts w:hint="eastAsia" w:ascii="宋体"/>
                <w:kern w:val="0"/>
                <w:sz w:val="18"/>
                <w:szCs w:val="18"/>
              </w:rPr>
              <w:t>外购辅料（中间层（PVB、EVA、SGP等））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6</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外购辅料（塑料）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7</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shd w:val="clear" w:color="auto" w:fill="auto"/>
            <w:vAlign w:val="center"/>
          </w:tcPr>
          <w:p>
            <w:pPr>
              <w:spacing w:line="380" w:lineRule="exact"/>
              <w:ind w:left="181" w:leftChars="86"/>
              <w:jc w:val="center"/>
              <w:rPr>
                <w:rFonts w:ascii="宋体"/>
                <w:sz w:val="18"/>
                <w:szCs w:val="18"/>
              </w:rPr>
            </w:pPr>
            <w:r>
              <w:rPr>
                <w:rFonts w:hint="eastAsia" w:ascii="宋体"/>
                <w:sz w:val="18"/>
                <w:szCs w:val="18"/>
              </w:rPr>
              <w:t>外购辅料（镀膜材料）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8</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shd w:val="clear" w:color="auto" w:fill="auto"/>
            <w:vAlign w:val="center"/>
          </w:tcPr>
          <w:p>
            <w:pPr>
              <w:spacing w:line="380" w:lineRule="exact"/>
              <w:ind w:left="181" w:leftChars="86"/>
              <w:jc w:val="center"/>
              <w:rPr>
                <w:rFonts w:ascii="宋体"/>
                <w:sz w:val="18"/>
                <w:szCs w:val="18"/>
              </w:rPr>
            </w:pPr>
            <w:r>
              <w:rPr>
                <w:rFonts w:hint="eastAsia" w:ascii="宋体"/>
                <w:sz w:val="18"/>
                <w:szCs w:val="18"/>
              </w:rPr>
              <w:t>外购辅料（釉料）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9</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外购包装材料（木箱、集装箱、集装架）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10</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外购包装材料（塑料膜）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11</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外购包装材料（软材料）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12</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外购附件（垫块）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13</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外购附件（包边条）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14</w:t>
            </w:r>
          </w:p>
        </w:tc>
        <w:tc>
          <w:tcPr>
            <w:tcW w:w="1240" w:type="pct"/>
            <w:vMerge w:val="continue"/>
            <w:vAlign w:val="center"/>
          </w:tcPr>
          <w:p>
            <w:pPr>
              <w:spacing w:line="380" w:lineRule="exact"/>
              <w:ind w:left="181" w:leftChars="86"/>
              <w:jc w:val="center"/>
              <w:rPr>
                <w:rFonts w:ascii="宋体"/>
                <w:sz w:val="18"/>
                <w:szCs w:val="18"/>
              </w:rPr>
            </w:pPr>
          </w:p>
        </w:tc>
        <w:tc>
          <w:tcPr>
            <w:tcW w:w="3016" w:type="pct"/>
            <w:gridSpan w:val="2"/>
            <w:vAlign w:val="center"/>
          </w:tcPr>
          <w:p>
            <w:pPr>
              <w:spacing w:line="380" w:lineRule="exact"/>
              <w:ind w:left="181" w:leftChars="86"/>
              <w:jc w:val="center"/>
              <w:rPr>
                <w:rFonts w:ascii="宋体"/>
                <w:sz w:val="18"/>
                <w:szCs w:val="18"/>
              </w:rPr>
            </w:pPr>
            <w:r>
              <w:rPr>
                <w:rFonts w:hint="eastAsia" w:ascii="宋体"/>
                <w:sz w:val="18"/>
                <w:szCs w:val="18"/>
              </w:rPr>
              <w:t>外购附件（钉柱）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15</w:t>
            </w:r>
          </w:p>
        </w:tc>
        <w:tc>
          <w:tcPr>
            <w:tcW w:w="1240" w:type="pct"/>
            <w:vMerge w:val="restart"/>
            <w:vAlign w:val="center"/>
          </w:tcPr>
          <w:p>
            <w:pPr>
              <w:spacing w:line="380" w:lineRule="exact"/>
              <w:jc w:val="center"/>
              <w:rPr>
                <w:rFonts w:ascii="宋体"/>
                <w:sz w:val="18"/>
                <w:szCs w:val="18"/>
              </w:rPr>
            </w:pPr>
            <w:r>
              <w:rPr>
                <w:rFonts w:hint="eastAsia" w:ascii="宋体"/>
                <w:sz w:val="18"/>
                <w:szCs w:val="18"/>
              </w:rPr>
              <w:t>原辅料和燃料运输阶段的排放</w:t>
            </w: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物流运输-陆运</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汽油、柴油、电力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16</w:t>
            </w:r>
          </w:p>
        </w:tc>
        <w:tc>
          <w:tcPr>
            <w:tcW w:w="1240" w:type="pct"/>
            <w:vMerge w:val="continue"/>
            <w:vAlign w:val="center"/>
          </w:tcPr>
          <w:p>
            <w:pPr>
              <w:spacing w:line="380" w:lineRule="exact"/>
              <w:ind w:left="181" w:leftChars="86"/>
              <w:jc w:val="center"/>
              <w:rPr>
                <w:rFonts w:ascii="宋体"/>
                <w:sz w:val="18"/>
                <w:szCs w:val="18"/>
              </w:rPr>
            </w:pP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物流运输-空运</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航空燃油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17</w:t>
            </w:r>
          </w:p>
        </w:tc>
        <w:tc>
          <w:tcPr>
            <w:tcW w:w="1240" w:type="pct"/>
            <w:vMerge w:val="continue"/>
            <w:vAlign w:val="center"/>
          </w:tcPr>
          <w:p>
            <w:pPr>
              <w:spacing w:line="380" w:lineRule="exact"/>
              <w:ind w:left="181" w:leftChars="86"/>
              <w:jc w:val="center"/>
              <w:rPr>
                <w:rFonts w:ascii="宋体"/>
                <w:sz w:val="18"/>
                <w:szCs w:val="18"/>
              </w:rPr>
            </w:pP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物流运输-海运</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海运燃油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18</w:t>
            </w:r>
          </w:p>
        </w:tc>
        <w:tc>
          <w:tcPr>
            <w:tcW w:w="1240" w:type="pct"/>
            <w:vMerge w:val="continue"/>
            <w:vAlign w:val="center"/>
          </w:tcPr>
          <w:p>
            <w:pPr>
              <w:spacing w:line="380" w:lineRule="exact"/>
              <w:ind w:left="181" w:leftChars="86"/>
              <w:jc w:val="center"/>
              <w:rPr>
                <w:rFonts w:ascii="宋体"/>
                <w:sz w:val="18"/>
                <w:szCs w:val="18"/>
              </w:rPr>
            </w:pP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物流运输-铁路</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汽油、柴油、电力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jc w:val="center"/>
        </w:trPr>
        <w:tc>
          <w:tcPr>
            <w:tcW w:w="744" w:type="pct"/>
            <w:vAlign w:val="center"/>
          </w:tcPr>
          <w:p>
            <w:pPr>
              <w:spacing w:line="380" w:lineRule="exact"/>
              <w:jc w:val="center"/>
              <w:rPr>
                <w:rFonts w:ascii="宋体"/>
                <w:sz w:val="18"/>
                <w:szCs w:val="18"/>
              </w:rPr>
            </w:pPr>
            <w:r>
              <w:rPr>
                <w:rFonts w:ascii="宋体"/>
                <w:sz w:val="18"/>
                <w:szCs w:val="18"/>
              </w:rPr>
              <w:t>19</w:t>
            </w:r>
          </w:p>
        </w:tc>
        <w:tc>
          <w:tcPr>
            <w:tcW w:w="1240" w:type="pct"/>
            <w:vMerge w:val="restart"/>
            <w:vAlign w:val="center"/>
          </w:tcPr>
          <w:p>
            <w:pPr>
              <w:spacing w:line="380" w:lineRule="exact"/>
              <w:jc w:val="center"/>
              <w:rPr>
                <w:rFonts w:ascii="宋体"/>
                <w:sz w:val="18"/>
                <w:szCs w:val="18"/>
              </w:rPr>
            </w:pPr>
            <w:r>
              <w:rPr>
                <w:rFonts w:hint="eastAsia" w:ascii="宋体"/>
                <w:sz w:val="18"/>
                <w:szCs w:val="18"/>
              </w:rPr>
              <w:t>加工制造阶段的排放</w:t>
            </w:r>
          </w:p>
        </w:tc>
        <w:tc>
          <w:tcPr>
            <w:tcW w:w="1732" w:type="pct"/>
            <w:vAlign w:val="center"/>
          </w:tcPr>
          <w:p>
            <w:pPr>
              <w:spacing w:line="380" w:lineRule="exact"/>
              <w:jc w:val="center"/>
              <w:rPr>
                <w:rFonts w:ascii="宋体"/>
                <w:sz w:val="18"/>
                <w:szCs w:val="18"/>
              </w:rPr>
            </w:pPr>
            <w:r>
              <w:rPr>
                <w:rFonts w:hint="eastAsia" w:ascii="宋体"/>
                <w:sz w:val="18"/>
                <w:szCs w:val="18"/>
              </w:rPr>
              <w:t>厂区内叉车</w:t>
            </w:r>
          </w:p>
        </w:tc>
        <w:tc>
          <w:tcPr>
            <w:tcW w:w="1284" w:type="pct"/>
            <w:vAlign w:val="center"/>
          </w:tcPr>
          <w:p>
            <w:pPr>
              <w:spacing w:line="380" w:lineRule="exact"/>
              <w:jc w:val="center"/>
              <w:rPr>
                <w:rFonts w:ascii="宋体"/>
                <w:sz w:val="18"/>
                <w:szCs w:val="18"/>
              </w:rPr>
            </w:pPr>
            <w:r>
              <w:rPr>
                <w:rFonts w:hint="eastAsia" w:ascii="宋体"/>
                <w:sz w:val="18"/>
                <w:szCs w:val="18"/>
              </w:rPr>
              <w:t>柴油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744" w:type="pct"/>
            <w:vAlign w:val="center"/>
          </w:tcPr>
          <w:p>
            <w:pPr>
              <w:spacing w:line="380" w:lineRule="exact"/>
              <w:jc w:val="center"/>
              <w:rPr>
                <w:rFonts w:ascii="宋体"/>
                <w:sz w:val="18"/>
                <w:szCs w:val="18"/>
              </w:rPr>
            </w:pPr>
            <w:r>
              <w:rPr>
                <w:rFonts w:ascii="宋体"/>
                <w:sz w:val="18"/>
                <w:szCs w:val="18"/>
              </w:rPr>
              <w:t>20</w:t>
            </w:r>
          </w:p>
        </w:tc>
        <w:tc>
          <w:tcPr>
            <w:tcW w:w="1240" w:type="pct"/>
            <w:vMerge w:val="continue"/>
            <w:vAlign w:val="center"/>
          </w:tcPr>
          <w:p>
            <w:pPr>
              <w:spacing w:line="380" w:lineRule="exact"/>
              <w:jc w:val="center"/>
              <w:rPr>
                <w:rFonts w:ascii="宋体"/>
                <w:sz w:val="18"/>
                <w:szCs w:val="18"/>
              </w:rPr>
            </w:pPr>
          </w:p>
        </w:tc>
        <w:tc>
          <w:tcPr>
            <w:tcW w:w="1732" w:type="pct"/>
            <w:vAlign w:val="center"/>
          </w:tcPr>
          <w:p>
            <w:pPr>
              <w:spacing w:line="380" w:lineRule="exact"/>
              <w:jc w:val="center"/>
              <w:rPr>
                <w:rFonts w:ascii="宋体"/>
                <w:sz w:val="18"/>
                <w:szCs w:val="18"/>
              </w:rPr>
            </w:pPr>
            <w:r>
              <w:rPr>
                <w:rFonts w:hint="eastAsia" w:ascii="宋体"/>
                <w:sz w:val="18"/>
                <w:szCs w:val="18"/>
              </w:rPr>
              <w:t>厂区内货车</w:t>
            </w:r>
          </w:p>
        </w:tc>
        <w:tc>
          <w:tcPr>
            <w:tcW w:w="1284" w:type="pct"/>
            <w:vAlign w:val="center"/>
          </w:tcPr>
          <w:p>
            <w:pPr>
              <w:spacing w:line="380" w:lineRule="exact"/>
              <w:jc w:val="center"/>
              <w:rPr>
                <w:rFonts w:ascii="宋体"/>
                <w:sz w:val="18"/>
                <w:szCs w:val="18"/>
              </w:rPr>
            </w:pPr>
            <w:r>
              <w:rPr>
                <w:rFonts w:hint="eastAsia" w:ascii="宋体"/>
                <w:sz w:val="18"/>
                <w:szCs w:val="18"/>
              </w:rPr>
              <w:t>柴油、汽油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744" w:type="pct"/>
            <w:vAlign w:val="center"/>
          </w:tcPr>
          <w:p>
            <w:pPr>
              <w:spacing w:line="380" w:lineRule="exact"/>
              <w:jc w:val="center"/>
              <w:rPr>
                <w:rFonts w:ascii="宋体"/>
                <w:sz w:val="18"/>
                <w:szCs w:val="18"/>
              </w:rPr>
            </w:pPr>
            <w:r>
              <w:rPr>
                <w:rFonts w:ascii="宋体"/>
                <w:sz w:val="18"/>
                <w:szCs w:val="18"/>
              </w:rPr>
              <w:t>21</w:t>
            </w:r>
          </w:p>
        </w:tc>
        <w:tc>
          <w:tcPr>
            <w:tcW w:w="1240" w:type="pct"/>
            <w:vMerge w:val="continue"/>
            <w:vAlign w:val="center"/>
          </w:tcPr>
          <w:p>
            <w:pPr>
              <w:spacing w:line="380" w:lineRule="exact"/>
              <w:jc w:val="center"/>
              <w:rPr>
                <w:rFonts w:ascii="宋体"/>
                <w:sz w:val="18"/>
                <w:szCs w:val="18"/>
              </w:rPr>
            </w:pP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钢化炉等设施</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天然气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744" w:type="pct"/>
            <w:vAlign w:val="center"/>
          </w:tcPr>
          <w:p>
            <w:pPr>
              <w:spacing w:line="380" w:lineRule="exact"/>
              <w:jc w:val="center"/>
              <w:rPr>
                <w:rFonts w:ascii="宋体"/>
                <w:sz w:val="18"/>
                <w:szCs w:val="18"/>
              </w:rPr>
            </w:pPr>
            <w:r>
              <w:rPr>
                <w:rFonts w:ascii="宋体"/>
                <w:sz w:val="18"/>
                <w:szCs w:val="18"/>
              </w:rPr>
              <w:t>22</w:t>
            </w:r>
          </w:p>
        </w:tc>
        <w:tc>
          <w:tcPr>
            <w:tcW w:w="1240" w:type="pct"/>
            <w:vMerge w:val="continue"/>
            <w:vAlign w:val="center"/>
          </w:tcPr>
          <w:p>
            <w:pPr>
              <w:spacing w:line="380" w:lineRule="exact"/>
              <w:jc w:val="center"/>
              <w:rPr>
                <w:rFonts w:ascii="宋体"/>
                <w:sz w:val="18"/>
                <w:szCs w:val="18"/>
              </w:rPr>
            </w:pP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用电设施</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外购电力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744" w:type="pct"/>
            <w:vAlign w:val="center"/>
          </w:tcPr>
          <w:p>
            <w:pPr>
              <w:spacing w:line="380" w:lineRule="exact"/>
              <w:jc w:val="center"/>
              <w:rPr>
                <w:rFonts w:ascii="宋体"/>
                <w:sz w:val="18"/>
                <w:szCs w:val="18"/>
              </w:rPr>
            </w:pPr>
            <w:r>
              <w:rPr>
                <w:rFonts w:ascii="宋体"/>
                <w:sz w:val="18"/>
                <w:szCs w:val="18"/>
              </w:rPr>
              <w:t>23</w:t>
            </w:r>
          </w:p>
        </w:tc>
        <w:tc>
          <w:tcPr>
            <w:tcW w:w="1240" w:type="pct"/>
            <w:vMerge w:val="continue"/>
            <w:vAlign w:val="center"/>
          </w:tcPr>
          <w:p>
            <w:pPr>
              <w:spacing w:line="380" w:lineRule="exact"/>
              <w:jc w:val="center"/>
              <w:rPr>
                <w:rFonts w:ascii="宋体"/>
                <w:sz w:val="18"/>
                <w:szCs w:val="18"/>
              </w:rPr>
            </w:pPr>
          </w:p>
        </w:tc>
        <w:tc>
          <w:tcPr>
            <w:tcW w:w="1732" w:type="pct"/>
            <w:vAlign w:val="center"/>
          </w:tcPr>
          <w:p>
            <w:pPr>
              <w:spacing w:line="380" w:lineRule="exact"/>
              <w:ind w:left="181" w:leftChars="86"/>
              <w:jc w:val="center"/>
              <w:rPr>
                <w:rFonts w:ascii="宋体"/>
                <w:sz w:val="18"/>
                <w:szCs w:val="18"/>
              </w:rPr>
            </w:pPr>
            <w:r>
              <w:rPr>
                <w:rFonts w:hint="eastAsia" w:ascii="宋体"/>
                <w:sz w:val="18"/>
                <w:szCs w:val="18"/>
              </w:rPr>
              <w:t>清洗、冷却等工艺</w:t>
            </w:r>
          </w:p>
        </w:tc>
        <w:tc>
          <w:tcPr>
            <w:tcW w:w="1284" w:type="pct"/>
            <w:vAlign w:val="center"/>
          </w:tcPr>
          <w:p>
            <w:pPr>
              <w:spacing w:line="380" w:lineRule="exact"/>
              <w:ind w:left="181" w:leftChars="86"/>
              <w:jc w:val="center"/>
              <w:rPr>
                <w:rFonts w:ascii="宋体"/>
                <w:sz w:val="18"/>
                <w:szCs w:val="18"/>
              </w:rPr>
            </w:pPr>
            <w:r>
              <w:rPr>
                <w:rFonts w:hint="eastAsia" w:ascii="宋体"/>
                <w:sz w:val="18"/>
                <w:szCs w:val="18"/>
              </w:rPr>
              <w:t>水</w:t>
            </w:r>
          </w:p>
        </w:tc>
      </w:tr>
    </w:tbl>
    <w:p>
      <w:pPr>
        <w:pStyle w:val="12"/>
        <w:spacing w:before="240" w:line="380" w:lineRule="exact"/>
        <w:ind w:firstLine="0" w:firstLineChars="0"/>
      </w:pPr>
      <w:r>
        <w:t>4.</w:t>
      </w:r>
      <w:r>
        <w:rPr>
          <w:rFonts w:hint="eastAsia"/>
        </w:rPr>
        <w:t>5.4</w:t>
      </w:r>
      <w:r>
        <w:t xml:space="preserve"> 取舍准则</w:t>
      </w:r>
    </w:p>
    <w:p>
      <w:pPr>
        <w:pStyle w:val="28"/>
        <w:spacing w:line="380" w:lineRule="exact"/>
        <w:rPr>
          <w:rFonts w:ascii="Times New Roman"/>
        </w:rPr>
      </w:pPr>
      <w:r>
        <w:rPr>
          <w:rFonts w:ascii="Times New Roman"/>
        </w:rPr>
        <w:t>本文件确定的取舍原则为清单分析和</w:t>
      </w:r>
      <w:r>
        <w:rPr>
          <w:rFonts w:hint="eastAsia" w:ascii="Times New Roman"/>
        </w:rPr>
        <w:t>产品碳足迹</w:t>
      </w:r>
      <w:r>
        <w:rPr>
          <w:rFonts w:ascii="Times New Roman"/>
        </w:rPr>
        <w:t>影响贡献均小于1%的</w:t>
      </w:r>
      <w:r>
        <w:rPr>
          <w:rFonts w:hint="eastAsia" w:ascii="Times New Roman"/>
        </w:rPr>
        <w:t>环节，但舍弃环节总的影响不应超过清单分析或产品碳足迹总量的5%</w:t>
      </w:r>
      <w:r>
        <w:rPr>
          <w:rFonts w:ascii="Times New Roman"/>
        </w:rPr>
        <w:t>。应遵循：</w:t>
      </w:r>
    </w:p>
    <w:p>
      <w:pPr>
        <w:numPr>
          <w:ilvl w:val="0"/>
          <w:numId w:val="16"/>
        </w:numPr>
        <w:spacing w:line="380" w:lineRule="exact"/>
        <w:ind w:left="777" w:hanging="357"/>
        <w:rPr>
          <w:szCs w:val="21"/>
        </w:rPr>
      </w:pPr>
      <w:r>
        <w:rPr>
          <w:szCs w:val="21"/>
        </w:rPr>
        <w:t>能源的所有输入均列出；</w:t>
      </w:r>
    </w:p>
    <w:p>
      <w:pPr>
        <w:numPr>
          <w:ilvl w:val="0"/>
          <w:numId w:val="16"/>
        </w:numPr>
        <w:spacing w:line="380" w:lineRule="exact"/>
        <w:ind w:left="777" w:hanging="357"/>
        <w:rPr>
          <w:szCs w:val="21"/>
        </w:rPr>
      </w:pPr>
      <w:r>
        <w:t>原</w:t>
      </w:r>
      <w:r>
        <w:rPr>
          <w:rFonts w:hint="eastAsia"/>
        </w:rPr>
        <w:t>辅</w:t>
      </w:r>
      <w:r>
        <w:t>料的所有输入均列出；</w:t>
      </w:r>
    </w:p>
    <w:p>
      <w:pPr>
        <w:numPr>
          <w:ilvl w:val="0"/>
          <w:numId w:val="16"/>
        </w:numPr>
        <w:spacing w:line="380" w:lineRule="exact"/>
        <w:ind w:left="777" w:hanging="357"/>
        <w:rPr>
          <w:szCs w:val="21"/>
        </w:rPr>
      </w:pPr>
      <w:r>
        <w:t>大气、水体的各种排放均列出；</w:t>
      </w:r>
    </w:p>
    <w:p>
      <w:pPr>
        <w:numPr>
          <w:ilvl w:val="0"/>
          <w:numId w:val="16"/>
        </w:numPr>
        <w:spacing w:line="380" w:lineRule="exact"/>
        <w:ind w:left="777" w:hanging="357"/>
        <w:rPr>
          <w:szCs w:val="21"/>
        </w:rPr>
      </w:pPr>
      <w:r>
        <w:t>危险性固体废弃物排放应列出，小于固体废弃物排放总量1%的一般性固体废弃物可忽略；</w:t>
      </w:r>
    </w:p>
    <w:p>
      <w:pPr>
        <w:numPr>
          <w:ilvl w:val="0"/>
          <w:numId w:val="16"/>
        </w:numPr>
        <w:spacing w:line="380" w:lineRule="exact"/>
        <w:ind w:left="777" w:hanging="357"/>
        <w:rPr>
          <w:szCs w:val="21"/>
        </w:rPr>
      </w:pPr>
      <w:r>
        <w:t>道路与厂房的基础设施、各工序的设备、厂区内人员及生活设施的消耗和排放，均忽略；</w:t>
      </w:r>
    </w:p>
    <w:p>
      <w:pPr>
        <w:numPr>
          <w:ilvl w:val="0"/>
          <w:numId w:val="16"/>
        </w:numPr>
        <w:spacing w:line="380" w:lineRule="exact"/>
        <w:ind w:left="777" w:hanging="357"/>
        <w:rPr>
          <w:szCs w:val="21"/>
        </w:rPr>
      </w:pPr>
      <w:r>
        <w:rPr>
          <w:rFonts w:hint="eastAsia"/>
        </w:rPr>
        <w:t>取舍原则不适用于有毒有害物质，任何有毒有害的材料和物质均应包含于清单中。</w:t>
      </w:r>
    </w:p>
    <w:p>
      <w:pPr>
        <w:pStyle w:val="138"/>
        <w:numPr>
          <w:ilvl w:val="1"/>
          <w:numId w:val="2"/>
        </w:numPr>
        <w:spacing w:before="240" w:after="240" w:line="380" w:lineRule="exact"/>
        <w:rPr>
          <w:rFonts w:ascii="Times New Roman" w:eastAsia="宋体"/>
          <w:szCs w:val="22"/>
        </w:rPr>
      </w:pPr>
      <w:r>
        <w:rPr>
          <w:rFonts w:hint="eastAsia" w:ascii="Times New Roman" w:eastAsia="宋体"/>
          <w:szCs w:val="22"/>
        </w:rPr>
        <w:t>数据和数据质量</w:t>
      </w:r>
    </w:p>
    <w:p>
      <w:pPr>
        <w:pStyle w:val="28"/>
        <w:spacing w:before="120" w:beforeLines="50" w:after="120" w:afterLines="50" w:line="380" w:lineRule="exact"/>
        <w:ind w:firstLine="0" w:firstLineChars="0"/>
        <w:rPr>
          <w:rFonts w:ascii="Times New Roman"/>
        </w:rPr>
      </w:pPr>
      <w:r>
        <w:rPr>
          <w:rFonts w:hint="eastAsia" w:ascii="Times New Roman"/>
        </w:rPr>
        <w:t>4.6.1 数据质量通则</w:t>
      </w:r>
    </w:p>
    <w:p>
      <w:pPr>
        <w:pStyle w:val="28"/>
        <w:spacing w:line="380" w:lineRule="exact"/>
        <w:rPr>
          <w:rFonts w:ascii="Times New Roman"/>
        </w:rPr>
      </w:pPr>
      <w:r>
        <w:rPr>
          <w:rFonts w:hint="eastAsia" w:ascii="Times New Roman"/>
        </w:rPr>
        <w:t>在开展产品碳足迹研究的组织拥有财务或运营控制权的情况下，应收集现场数据。所收集的过程数据应具有代表性。对于最重要的单元过程，即使没有财务或运营控制权，也宜使用现场数据。</w:t>
      </w:r>
    </w:p>
    <w:p>
      <w:pPr>
        <w:pStyle w:val="28"/>
        <w:spacing w:line="380" w:lineRule="exact"/>
        <w:ind w:firstLine="360"/>
        <w:rPr>
          <w:rFonts w:ascii="Times New Roman"/>
          <w:sz w:val="18"/>
          <w:szCs w:val="18"/>
        </w:rPr>
      </w:pPr>
      <w:r>
        <w:rPr>
          <w:rFonts w:hint="eastAsia" w:ascii="Times New Roman"/>
          <w:sz w:val="18"/>
          <w:szCs w:val="18"/>
        </w:rPr>
        <w:t>注</w:t>
      </w:r>
      <w:r>
        <w:rPr>
          <w:rFonts w:ascii="Times New Roman"/>
          <w:sz w:val="18"/>
          <w:szCs w:val="18"/>
        </w:rPr>
        <w:t>1</w:t>
      </w:r>
      <w:r>
        <w:rPr>
          <w:rFonts w:hint="eastAsia" w:ascii="Times New Roman"/>
          <w:sz w:val="18"/>
          <w:szCs w:val="18"/>
        </w:rPr>
        <w:t>：最重要的单元过程是那些对产品碳足迹贡献度不低于</w:t>
      </w:r>
      <w:r>
        <w:rPr>
          <w:rFonts w:ascii="Times New Roman"/>
          <w:sz w:val="18"/>
          <w:szCs w:val="18"/>
        </w:rPr>
        <w:t>50%</w:t>
      </w:r>
      <w:r>
        <w:rPr>
          <w:rFonts w:hint="eastAsia" w:ascii="Times New Roman"/>
          <w:sz w:val="18"/>
          <w:szCs w:val="18"/>
        </w:rPr>
        <w:t>的单元过程。</w:t>
      </w:r>
    </w:p>
    <w:p>
      <w:pPr>
        <w:pStyle w:val="28"/>
        <w:spacing w:line="380" w:lineRule="exact"/>
        <w:ind w:firstLine="360"/>
        <w:rPr>
          <w:rFonts w:ascii="Times New Roman"/>
          <w:sz w:val="18"/>
          <w:szCs w:val="18"/>
        </w:rPr>
      </w:pPr>
      <w:r>
        <w:rPr>
          <w:rFonts w:hint="eastAsia" w:ascii="Times New Roman"/>
          <w:sz w:val="18"/>
          <w:szCs w:val="18"/>
        </w:rPr>
        <w:t>注</w:t>
      </w:r>
      <w:r>
        <w:rPr>
          <w:rFonts w:ascii="Times New Roman"/>
          <w:sz w:val="18"/>
          <w:szCs w:val="18"/>
        </w:rPr>
        <w:t>2</w:t>
      </w:r>
      <w:r>
        <w:rPr>
          <w:rFonts w:hint="eastAsia" w:ascii="Times New Roman"/>
          <w:sz w:val="18"/>
          <w:szCs w:val="18"/>
        </w:rPr>
        <w:t>：现场数据是指</w:t>
      </w:r>
      <w:r>
        <w:rPr>
          <w:rFonts w:ascii="Times New Roman"/>
          <w:sz w:val="18"/>
          <w:szCs w:val="18"/>
        </w:rPr>
        <w:t>GHG</w:t>
      </w:r>
      <w:r>
        <w:rPr>
          <w:rFonts w:hint="eastAsia" w:ascii="Times New Roman"/>
          <w:sz w:val="18"/>
          <w:szCs w:val="18"/>
        </w:rPr>
        <w:t>直接排放量（通过直接监测、化学计量、质量平衡或类似方法确定）、活动数据（导致</w:t>
      </w:r>
      <w:r>
        <w:rPr>
          <w:rFonts w:ascii="Times New Roman"/>
          <w:sz w:val="18"/>
          <w:szCs w:val="18"/>
        </w:rPr>
        <w:t>GHG</w:t>
      </w:r>
      <w:r>
        <w:rPr>
          <w:rFonts w:hint="eastAsia" w:ascii="Times New Roman"/>
          <w:sz w:val="18"/>
          <w:szCs w:val="18"/>
        </w:rPr>
        <w:t>排放或清除的过程的输入和输出）或排放因子。可从一个特定的地点收集现场数据，也可选取该研究的系统内所有地点现场数据的平均值。只要其结果是针对产品生命周期中的单元过程，即可对其进行测量或建模。</w:t>
      </w:r>
    </w:p>
    <w:p>
      <w:pPr>
        <w:pStyle w:val="28"/>
        <w:spacing w:line="380" w:lineRule="exact"/>
        <w:rPr>
          <w:rFonts w:ascii="Times New Roman"/>
        </w:rPr>
      </w:pPr>
      <w:r>
        <w:rPr>
          <w:rFonts w:hint="eastAsia" w:ascii="Times New Roman"/>
        </w:rPr>
        <w:t>在收集现场数据不可行的情况下，宜使用经第三方评审的非现场数据的初级数据。</w:t>
      </w:r>
    </w:p>
    <w:p>
      <w:pPr>
        <w:pStyle w:val="28"/>
        <w:spacing w:line="380" w:lineRule="exact"/>
        <w:rPr>
          <w:rFonts w:ascii="Times New Roman"/>
        </w:rPr>
      </w:pPr>
      <w:r>
        <w:rPr>
          <w:rFonts w:hint="eastAsia" w:ascii="Times New Roman"/>
        </w:rPr>
        <w:t>仅在收集初级数据不可行时，或对于重要性较低的过程，次级数据才能用于输入和输出。</w:t>
      </w:r>
    </w:p>
    <w:p>
      <w:pPr>
        <w:pStyle w:val="28"/>
        <w:spacing w:line="380" w:lineRule="exact"/>
        <w:ind w:firstLine="360"/>
        <w:rPr>
          <w:rFonts w:ascii="Times New Roman"/>
          <w:sz w:val="18"/>
          <w:szCs w:val="18"/>
        </w:rPr>
      </w:pPr>
      <w:r>
        <w:rPr>
          <w:rFonts w:hint="eastAsia" w:ascii="Times New Roman"/>
          <w:sz w:val="18"/>
          <w:szCs w:val="18"/>
        </w:rPr>
        <w:t>注</w:t>
      </w:r>
      <w:r>
        <w:rPr>
          <w:rFonts w:ascii="Times New Roman"/>
          <w:sz w:val="18"/>
          <w:szCs w:val="18"/>
        </w:rPr>
        <w:t>3</w:t>
      </w:r>
      <w:r>
        <w:rPr>
          <w:rFonts w:hint="eastAsia" w:ascii="Times New Roman"/>
          <w:sz w:val="18"/>
          <w:szCs w:val="18"/>
        </w:rPr>
        <w:t>：在某些情况下，作为次级数据的默认排放因子不是基于生命周期的排放因子，可能需要进行调整或修改。</w:t>
      </w:r>
    </w:p>
    <w:p>
      <w:pPr>
        <w:pStyle w:val="28"/>
        <w:spacing w:line="380" w:lineRule="exact"/>
        <w:rPr>
          <w:rFonts w:ascii="Times New Roman"/>
        </w:rPr>
      </w:pPr>
      <w:r>
        <w:rPr>
          <w:rFonts w:hint="eastAsia" w:ascii="Times New Roman"/>
        </w:rPr>
        <w:t>应记录和证明次级数据的适用性，并注明参考文件。</w:t>
      </w:r>
    </w:p>
    <w:p>
      <w:pPr>
        <w:pStyle w:val="28"/>
        <w:spacing w:line="380" w:lineRule="exact"/>
        <w:rPr>
          <w:rFonts w:ascii="Times New Roman"/>
        </w:rPr>
      </w:pPr>
      <w:r>
        <w:rPr>
          <w:rFonts w:hint="eastAsia" w:ascii="Times New Roman"/>
        </w:rPr>
        <w:t>产品碳足迹研究宜通过使用现有最高质量数据，尽可能地减少偏差和不确定性。</w:t>
      </w:r>
    </w:p>
    <w:p>
      <w:pPr>
        <w:pStyle w:val="28"/>
        <w:spacing w:before="120" w:after="120" w:line="380" w:lineRule="exact"/>
        <w:ind w:firstLine="0" w:firstLineChars="0"/>
        <w:rPr>
          <w:rFonts w:ascii="Times New Roman"/>
        </w:rPr>
      </w:pPr>
      <w:r>
        <w:rPr>
          <w:rFonts w:hint="eastAsia" w:ascii="Times New Roman"/>
        </w:rPr>
        <w:t>4.6.2</w:t>
      </w:r>
      <w:r>
        <w:rPr>
          <w:rFonts w:ascii="Times New Roman"/>
        </w:rPr>
        <w:t xml:space="preserve"> 活动数据</w:t>
      </w:r>
      <w:r>
        <w:rPr>
          <w:rFonts w:hint="eastAsia" w:ascii="Times New Roman"/>
        </w:rPr>
        <w:t>质量要求</w:t>
      </w:r>
    </w:p>
    <w:p>
      <w:pPr>
        <w:pStyle w:val="28"/>
        <w:spacing w:line="380" w:lineRule="exact"/>
        <w:rPr>
          <w:rFonts w:ascii="Times New Roman"/>
        </w:rPr>
      </w:pPr>
      <w:r>
        <w:rPr>
          <w:rFonts w:ascii="Times New Roman"/>
        </w:rPr>
        <w:t>活动数据的质量要求包括：</w:t>
      </w:r>
    </w:p>
    <w:p>
      <w:pPr>
        <w:numPr>
          <w:ilvl w:val="0"/>
          <w:numId w:val="17"/>
        </w:numPr>
        <w:spacing w:line="380" w:lineRule="exact"/>
        <w:ind w:left="777" w:hanging="357"/>
        <w:rPr>
          <w:szCs w:val="21"/>
        </w:rPr>
      </w:pPr>
      <w:r>
        <w:rPr>
          <w:szCs w:val="21"/>
        </w:rPr>
        <w:t>代表性：应按照企业申请单元，收集过去一年全年的生产统计数据，申请单元可以是一条生产线、多条生产线、整个企业或集团。</w:t>
      </w:r>
    </w:p>
    <w:p>
      <w:pPr>
        <w:numPr>
          <w:ilvl w:val="0"/>
          <w:numId w:val="17"/>
        </w:numPr>
        <w:spacing w:line="380" w:lineRule="exact"/>
        <w:ind w:left="777" w:hanging="357"/>
        <w:rPr>
          <w:szCs w:val="21"/>
        </w:rPr>
      </w:pPr>
      <w:r>
        <w:rPr>
          <w:szCs w:val="21"/>
        </w:rPr>
        <w:t>完整性：应完整覆盖本文件中确定的所有需要企业填报的生产数据。</w:t>
      </w:r>
    </w:p>
    <w:p>
      <w:pPr>
        <w:numPr>
          <w:ilvl w:val="0"/>
          <w:numId w:val="17"/>
        </w:numPr>
        <w:spacing w:line="380" w:lineRule="exact"/>
        <w:ind w:left="777" w:hanging="357"/>
        <w:rPr>
          <w:szCs w:val="21"/>
        </w:rPr>
      </w:pPr>
      <w:r>
        <w:rPr>
          <w:szCs w:val="21"/>
        </w:rPr>
        <w:t>准确性：能源、原辅料消耗数据应该来自于申请单元的实际生产统计记录；所有</w:t>
      </w:r>
      <w:r>
        <w:rPr>
          <w:rFonts w:hint="eastAsia"/>
          <w:szCs w:val="21"/>
        </w:rPr>
        <w:t>活动</w:t>
      </w:r>
      <w:r>
        <w:rPr>
          <w:szCs w:val="21"/>
        </w:rPr>
        <w:t>数据均须转换为单位产品，且需要详细记录相关的原始数据、数据来源、计算过程等。</w:t>
      </w:r>
    </w:p>
    <w:p>
      <w:pPr>
        <w:numPr>
          <w:ilvl w:val="0"/>
          <w:numId w:val="17"/>
        </w:numPr>
        <w:spacing w:line="380" w:lineRule="exact"/>
        <w:ind w:left="777" w:hanging="357"/>
        <w:rPr>
          <w:szCs w:val="21"/>
        </w:rPr>
      </w:pPr>
      <w:r>
        <w:rPr>
          <w:szCs w:val="21"/>
        </w:rPr>
        <w:t>一致性：企业</w:t>
      </w:r>
      <w:r>
        <w:rPr>
          <w:rFonts w:hint="eastAsia"/>
          <w:szCs w:val="21"/>
        </w:rPr>
        <w:t>活动</w:t>
      </w:r>
      <w:r>
        <w:rPr>
          <w:szCs w:val="21"/>
        </w:rPr>
        <w:t>数据收集时应保持相同的数据来源、统计口径、处理规则等。</w:t>
      </w:r>
    </w:p>
    <w:p>
      <w:pPr>
        <w:pStyle w:val="28"/>
        <w:spacing w:before="120" w:after="120" w:line="380" w:lineRule="exact"/>
        <w:ind w:firstLine="0" w:firstLineChars="0"/>
        <w:rPr>
          <w:rFonts w:ascii="Times New Roman"/>
        </w:rPr>
      </w:pPr>
      <w:r>
        <w:rPr>
          <w:rFonts w:hint="eastAsia" w:ascii="Times New Roman"/>
        </w:rPr>
        <w:t>4.6.3</w:t>
      </w:r>
      <w:r>
        <w:rPr>
          <w:rFonts w:ascii="Times New Roman"/>
        </w:rPr>
        <w:t xml:space="preserve"> 排放因子</w:t>
      </w:r>
      <w:r>
        <w:rPr>
          <w:rFonts w:hint="eastAsia" w:ascii="Times New Roman"/>
        </w:rPr>
        <w:t>质量要求</w:t>
      </w:r>
    </w:p>
    <w:p>
      <w:pPr>
        <w:pStyle w:val="28"/>
        <w:spacing w:line="380" w:lineRule="exact"/>
        <w:rPr>
          <w:rFonts w:ascii="Times New Roman"/>
        </w:rPr>
      </w:pPr>
      <w:r>
        <w:rPr>
          <w:rFonts w:ascii="Times New Roman"/>
        </w:rPr>
        <w:t>排放因子的质量要求包括：</w:t>
      </w:r>
    </w:p>
    <w:p>
      <w:pPr>
        <w:numPr>
          <w:ilvl w:val="0"/>
          <w:numId w:val="18"/>
        </w:numPr>
        <w:spacing w:line="380" w:lineRule="exact"/>
        <w:ind w:left="777" w:hanging="357"/>
        <w:rPr>
          <w:szCs w:val="21"/>
        </w:rPr>
      </w:pPr>
      <w:r>
        <w:rPr>
          <w:szCs w:val="21"/>
        </w:rPr>
        <w:t>代表性：排放因子选取的优先级如下：实际测量的数据；地方发布的排放因子；国家发布的排放因子；国外权威数据库中的排放因子；相关</w:t>
      </w:r>
      <w:r>
        <w:rPr>
          <w:rFonts w:hint="eastAsia"/>
          <w:szCs w:val="21"/>
        </w:rPr>
        <w:t>文献</w:t>
      </w:r>
      <w:r>
        <w:rPr>
          <w:szCs w:val="21"/>
        </w:rPr>
        <w:t>中的排放因子。数据的参考年限应优先选择近年数据。</w:t>
      </w:r>
      <w:r>
        <w:rPr>
          <w:rFonts w:hint="eastAsia"/>
          <w:szCs w:val="21"/>
        </w:rPr>
        <w:t>与此同时，应优先考虑与被评估产品的特定技术相关的数据。</w:t>
      </w:r>
      <w:r>
        <w:rPr>
          <w:szCs w:val="21"/>
        </w:rPr>
        <w:t>另外，如果企业的原</w:t>
      </w:r>
      <w:r>
        <w:rPr>
          <w:rFonts w:hint="eastAsia"/>
          <w:szCs w:val="21"/>
        </w:rPr>
        <w:t>辅</w:t>
      </w:r>
      <w:r>
        <w:rPr>
          <w:szCs w:val="21"/>
        </w:rPr>
        <w:t>料供应商可以提供符合相关LCA标准要求的、经第三方独立验证的上游LCA报告，</w:t>
      </w:r>
      <w:r>
        <w:rPr>
          <w:rFonts w:hint="eastAsia"/>
          <w:szCs w:val="21"/>
        </w:rPr>
        <w:t>则应使用此类排放因子</w:t>
      </w:r>
      <w:r>
        <w:rPr>
          <w:szCs w:val="21"/>
        </w:rPr>
        <w:t>。</w:t>
      </w:r>
    </w:p>
    <w:p>
      <w:pPr>
        <w:numPr>
          <w:ilvl w:val="0"/>
          <w:numId w:val="18"/>
        </w:numPr>
        <w:spacing w:line="380" w:lineRule="exact"/>
        <w:ind w:left="777" w:hanging="357"/>
        <w:rPr>
          <w:szCs w:val="21"/>
        </w:rPr>
      </w:pPr>
      <w:r>
        <w:rPr>
          <w:szCs w:val="21"/>
        </w:rPr>
        <w:t>完整性：表2（见5.</w:t>
      </w:r>
      <w:r>
        <w:rPr>
          <w:rFonts w:hint="eastAsia"/>
          <w:szCs w:val="21"/>
        </w:rPr>
        <w:t>1</w:t>
      </w:r>
      <w:r>
        <w:rPr>
          <w:szCs w:val="21"/>
        </w:rPr>
        <w:t>.1）所确定的所有过程均需提供完整的</w:t>
      </w:r>
      <w:r>
        <w:rPr>
          <w:rFonts w:hint="eastAsia"/>
          <w:szCs w:val="21"/>
        </w:rPr>
        <w:t>排放因子</w:t>
      </w:r>
      <w:r>
        <w:rPr>
          <w:szCs w:val="21"/>
        </w:rPr>
        <w:t>数据，</w:t>
      </w:r>
      <w:r>
        <w:rPr>
          <w:rFonts w:hint="eastAsia"/>
          <w:szCs w:val="21"/>
        </w:rPr>
        <w:t>排放因子</w:t>
      </w:r>
      <w:r>
        <w:rPr>
          <w:szCs w:val="21"/>
        </w:rPr>
        <w:t>的系统边界应该从资源开采到这些原辅料或能源产品出厂为止。</w:t>
      </w:r>
    </w:p>
    <w:p>
      <w:pPr>
        <w:numPr>
          <w:ilvl w:val="0"/>
          <w:numId w:val="18"/>
        </w:numPr>
        <w:spacing w:line="380" w:lineRule="exact"/>
        <w:ind w:left="777" w:hanging="357"/>
        <w:rPr>
          <w:szCs w:val="21"/>
        </w:rPr>
      </w:pPr>
      <w:r>
        <w:rPr>
          <w:szCs w:val="21"/>
        </w:rPr>
        <w:t>一致性：所有被选择的</w:t>
      </w:r>
      <w:r>
        <w:rPr>
          <w:rFonts w:hint="eastAsia"/>
          <w:szCs w:val="21"/>
        </w:rPr>
        <w:t>排放因子</w:t>
      </w:r>
      <w:r>
        <w:rPr>
          <w:szCs w:val="21"/>
        </w:rPr>
        <w:t>应完整覆盖本文件确定的，并且应将</w:t>
      </w:r>
      <w:r>
        <w:rPr>
          <w:rFonts w:hint="eastAsia"/>
          <w:szCs w:val="21"/>
        </w:rPr>
        <w:t>排放因子</w:t>
      </w:r>
      <w:r>
        <w:rPr>
          <w:szCs w:val="21"/>
        </w:rPr>
        <w:t>转换为一致的物质名录后再进行计算。同一第三方机构对同类产品LCA的</w:t>
      </w:r>
      <w:r>
        <w:rPr>
          <w:rFonts w:hint="eastAsia"/>
          <w:szCs w:val="21"/>
        </w:rPr>
        <w:t>排放因子</w:t>
      </w:r>
      <w:r>
        <w:rPr>
          <w:szCs w:val="21"/>
        </w:rPr>
        <w:t>选择应该保持一致，如果</w:t>
      </w:r>
      <w:r>
        <w:rPr>
          <w:rFonts w:hint="eastAsia"/>
          <w:szCs w:val="21"/>
        </w:rPr>
        <w:t>排放因子</w:t>
      </w:r>
      <w:r>
        <w:rPr>
          <w:szCs w:val="21"/>
        </w:rPr>
        <w:t>更新，则报告也应更新。</w:t>
      </w:r>
    </w:p>
    <w:p>
      <w:pPr>
        <w:pStyle w:val="28"/>
        <w:spacing w:before="120" w:after="120" w:line="380" w:lineRule="exact"/>
        <w:ind w:firstLine="0" w:firstLineChars="0"/>
        <w:rPr>
          <w:rFonts w:ascii="Times New Roman"/>
          <w:szCs w:val="21"/>
        </w:rPr>
      </w:pPr>
      <w:r>
        <w:rPr>
          <w:rFonts w:hint="eastAsia" w:ascii="Times New Roman"/>
        </w:rPr>
        <w:t>4.6</w:t>
      </w:r>
      <w:r>
        <w:rPr>
          <w:rFonts w:ascii="Times New Roman"/>
        </w:rPr>
        <w:t>.</w:t>
      </w:r>
      <w:r>
        <w:rPr>
          <w:rFonts w:hint="eastAsia" w:ascii="Times New Roman"/>
        </w:rPr>
        <w:t>4</w:t>
      </w:r>
      <w:r>
        <w:rPr>
          <w:rFonts w:ascii="Times New Roman"/>
        </w:rPr>
        <w:t xml:space="preserve"> </w:t>
      </w:r>
      <w:r>
        <w:rPr>
          <w:rFonts w:ascii="Times New Roman"/>
          <w:szCs w:val="21"/>
        </w:rPr>
        <w:t>数据质量评分</w:t>
      </w:r>
    </w:p>
    <w:p>
      <w:pPr>
        <w:pStyle w:val="28"/>
        <w:spacing w:line="380" w:lineRule="exact"/>
        <w:rPr>
          <w:rFonts w:ascii="Times New Roman"/>
          <w:szCs w:val="21"/>
        </w:rPr>
      </w:pPr>
      <w:r>
        <w:rPr>
          <w:rFonts w:ascii="Times New Roman"/>
          <w:szCs w:val="21"/>
        </w:rPr>
        <w:t>按照DB31/T 1071中的规定。</w:t>
      </w:r>
    </w:p>
    <w:p>
      <w:pPr>
        <w:pStyle w:val="28"/>
        <w:spacing w:before="120" w:after="120" w:line="380" w:lineRule="exact"/>
        <w:ind w:firstLine="0" w:firstLineChars="0"/>
        <w:rPr>
          <w:rFonts w:ascii="Times New Roman"/>
        </w:rPr>
      </w:pPr>
      <w:r>
        <w:rPr>
          <w:rFonts w:hint="eastAsia" w:ascii="Times New Roman"/>
        </w:rPr>
        <w:t xml:space="preserve">4.6.5 </w:t>
      </w:r>
      <w:r>
        <w:rPr>
          <w:rFonts w:ascii="Times New Roman"/>
        </w:rPr>
        <w:t>数据时间</w:t>
      </w:r>
      <w:r>
        <w:rPr>
          <w:rFonts w:hint="eastAsia" w:ascii="Times New Roman"/>
        </w:rPr>
        <w:t>边界</w:t>
      </w:r>
    </w:p>
    <w:p>
      <w:pPr>
        <w:pStyle w:val="28"/>
        <w:spacing w:line="380" w:lineRule="exact"/>
        <w:rPr>
          <w:rFonts w:ascii="Times New Roman"/>
          <w:szCs w:val="21"/>
        </w:rPr>
      </w:pPr>
      <w:r>
        <w:rPr>
          <w:rFonts w:ascii="Times New Roman"/>
          <w:szCs w:val="21"/>
        </w:rPr>
        <w:t>数据收集时间段的选择</w:t>
      </w:r>
      <w:r>
        <w:rPr>
          <w:rFonts w:hint="eastAsia" w:ascii="Times New Roman"/>
          <w:szCs w:val="21"/>
        </w:rPr>
        <w:t>宜</w:t>
      </w:r>
      <w:r>
        <w:rPr>
          <w:rFonts w:ascii="Times New Roman"/>
          <w:szCs w:val="21"/>
        </w:rPr>
        <w:t>考虑数据在</w:t>
      </w:r>
      <w:r>
        <w:rPr>
          <w:rFonts w:hint="eastAsia" w:ascii="Times New Roman"/>
          <w:szCs w:val="21"/>
        </w:rPr>
        <w:t>本年度</w:t>
      </w:r>
      <w:r>
        <w:rPr>
          <w:rFonts w:ascii="Times New Roman"/>
          <w:szCs w:val="21"/>
        </w:rPr>
        <w:t>和</w:t>
      </w:r>
      <w:r>
        <w:rPr>
          <w:rFonts w:hint="eastAsia" w:ascii="Times New Roman"/>
          <w:szCs w:val="21"/>
        </w:rPr>
        <w:t>跨年度的</w:t>
      </w:r>
      <w:r>
        <w:rPr>
          <w:rFonts w:ascii="Times New Roman"/>
          <w:szCs w:val="21"/>
        </w:rPr>
        <w:t>变化，并在可能的情况下使用代表所选时间段趋势的数值，原则上以上一年为数据统计期。</w:t>
      </w:r>
    </w:p>
    <w:p>
      <w:pPr>
        <w:pStyle w:val="28"/>
        <w:spacing w:before="120" w:after="120" w:line="380" w:lineRule="exact"/>
        <w:ind w:firstLine="0" w:firstLineChars="0"/>
        <w:rPr>
          <w:rFonts w:ascii="Times New Roman"/>
        </w:rPr>
      </w:pPr>
      <w:r>
        <w:rPr>
          <w:rFonts w:hint="eastAsia" w:ascii="Times New Roman"/>
        </w:rPr>
        <w:t>4.6.6 数据地理边界</w:t>
      </w:r>
    </w:p>
    <w:p>
      <w:pPr>
        <w:spacing w:line="380" w:lineRule="exact"/>
        <w:ind w:firstLine="420" w:firstLineChars="200"/>
      </w:pPr>
      <w:r>
        <w:rPr>
          <w:rFonts w:hint="eastAsia"/>
        </w:rPr>
        <w:t>数据地理边界宜根据产品碳足迹研究目的选择地理格网划分规则和格网级别，并说明其合理性。单元过程位置的平均数据宜反映该单元过程的地理位置。</w:t>
      </w:r>
    </w:p>
    <w:p>
      <w:pPr>
        <w:spacing w:line="380" w:lineRule="exact"/>
        <w:ind w:firstLine="360" w:firstLineChars="200"/>
        <w:rPr>
          <w:sz w:val="18"/>
          <w:szCs w:val="18"/>
        </w:rPr>
      </w:pPr>
      <w:r>
        <w:rPr>
          <w:rFonts w:hint="eastAsia"/>
          <w:sz w:val="18"/>
          <w:szCs w:val="18"/>
        </w:rPr>
        <w:t>注</w:t>
      </w:r>
      <w:r>
        <w:rPr>
          <w:sz w:val="18"/>
          <w:szCs w:val="18"/>
        </w:rPr>
        <w:t>1</w:t>
      </w:r>
      <w:r>
        <w:rPr>
          <w:rFonts w:hint="eastAsia"/>
          <w:sz w:val="18"/>
          <w:szCs w:val="18"/>
        </w:rPr>
        <w:t>：地理格网是指按照行政区域等规则将地理空间划分所形成的网络，每个格网称为格网单元。</w:t>
      </w:r>
    </w:p>
    <w:p>
      <w:pPr>
        <w:spacing w:line="380" w:lineRule="exact"/>
        <w:ind w:firstLine="360" w:firstLineChars="200"/>
        <w:rPr>
          <w:sz w:val="18"/>
          <w:szCs w:val="18"/>
        </w:rPr>
      </w:pPr>
      <w:r>
        <w:rPr>
          <w:rFonts w:hint="eastAsia"/>
          <w:sz w:val="18"/>
          <w:szCs w:val="18"/>
        </w:rPr>
        <w:t>示例：按照行政区域的规则划分，可按一定尺寸的正方形划分。</w:t>
      </w:r>
    </w:p>
    <w:p>
      <w:pPr>
        <w:spacing w:line="380" w:lineRule="exact"/>
        <w:ind w:firstLine="360" w:firstLineChars="200"/>
        <w:rPr>
          <w:sz w:val="18"/>
          <w:szCs w:val="18"/>
        </w:rPr>
      </w:pPr>
      <w:r>
        <w:rPr>
          <w:rFonts w:hint="eastAsia"/>
          <w:sz w:val="18"/>
          <w:szCs w:val="18"/>
        </w:rPr>
        <w:t>注</w:t>
      </w:r>
      <w:r>
        <w:rPr>
          <w:sz w:val="18"/>
          <w:szCs w:val="18"/>
        </w:rPr>
        <w:t>2</w:t>
      </w:r>
      <w:r>
        <w:rPr>
          <w:rFonts w:hint="eastAsia"/>
          <w:sz w:val="18"/>
          <w:szCs w:val="18"/>
        </w:rPr>
        <w:t>：格网级别是在同一地理格网划分规则下地理格网的分级。</w:t>
      </w:r>
    </w:p>
    <w:p>
      <w:pPr>
        <w:spacing w:line="380" w:lineRule="exact"/>
        <w:ind w:firstLine="360" w:firstLineChars="200"/>
        <w:rPr>
          <w:sz w:val="18"/>
          <w:szCs w:val="18"/>
        </w:rPr>
      </w:pPr>
      <w:r>
        <w:rPr>
          <w:rFonts w:hint="eastAsia"/>
          <w:sz w:val="18"/>
          <w:szCs w:val="18"/>
        </w:rPr>
        <w:t>示例：行政区域格网包括省级行政区、县级行政区和乡级行政区三个级别；根据研究目的，地理格网的划分及其级别可自定义。</w:t>
      </w:r>
    </w:p>
    <w:p>
      <w:pPr>
        <w:pStyle w:val="28"/>
        <w:spacing w:before="120" w:after="120" w:line="380" w:lineRule="exact"/>
        <w:ind w:firstLine="0" w:firstLineChars="0"/>
      </w:pPr>
      <w:r>
        <w:rPr>
          <w:rFonts w:ascii="Times New Roman"/>
        </w:rPr>
        <w:t xml:space="preserve">4.6.7 </w:t>
      </w:r>
      <w:r>
        <w:rPr>
          <w:rFonts w:hint="eastAsia" w:ascii="Times New Roman"/>
        </w:rPr>
        <w:t>数据有效期</w:t>
      </w:r>
    </w:p>
    <w:p>
      <w:pPr>
        <w:spacing w:line="380" w:lineRule="exact"/>
        <w:ind w:firstLine="420" w:firstLineChars="200"/>
      </w:pPr>
      <w:r>
        <w:rPr>
          <w:rFonts w:hint="eastAsia"/>
        </w:rPr>
        <w:t>如果玻璃产品生命周期的意外变化导致温室气体排放核算变化超过10%，并且经历了超过三个月，则应对与玻璃产品相关的生命周期温室气体排放进行重新核算。</w:t>
      </w:r>
    </w:p>
    <w:p>
      <w:pPr>
        <w:spacing w:line="380" w:lineRule="exact"/>
        <w:ind w:firstLine="420" w:firstLineChars="200"/>
      </w:pPr>
      <w:r>
        <w:rPr>
          <w:rFonts w:hint="eastAsia"/>
        </w:rPr>
        <w:t>如果计划改变生命周期的温室气体排放或清除，导致核算结果在超过三个月的时间内变化5%或以上，应重新核算该产品生命周期相关的温室气体排放和清除。</w:t>
      </w:r>
    </w:p>
    <w:p>
      <w:pPr>
        <w:spacing w:line="380" w:lineRule="exact"/>
        <w:ind w:firstLine="420" w:firstLineChars="200"/>
      </w:pPr>
      <w:r>
        <w:rPr>
          <w:rFonts w:hint="eastAsia"/>
        </w:rPr>
        <w:t>除非正在评估温室气体排放的产品的生命周期发生变化，否则不需要重新评估产品的碳足迹核算结果。</w:t>
      </w:r>
    </w:p>
    <w:p>
      <w:pPr>
        <w:pStyle w:val="28"/>
        <w:spacing w:before="120" w:after="120" w:line="380" w:lineRule="exact"/>
        <w:ind w:firstLine="0" w:firstLineChars="0"/>
      </w:pPr>
      <w:r>
        <w:rPr>
          <w:rFonts w:ascii="Times New Roman"/>
        </w:rPr>
        <w:t xml:space="preserve">4.6.8 </w:t>
      </w:r>
      <w:r>
        <w:rPr>
          <w:rFonts w:hint="eastAsia" w:ascii="Times New Roman"/>
        </w:rPr>
        <w:t>数据库选择</w:t>
      </w:r>
    </w:p>
    <w:p>
      <w:pPr>
        <w:spacing w:before="120" w:beforeLines="50" w:after="120" w:afterLines="50" w:line="380" w:lineRule="exact"/>
      </w:pPr>
      <w:r>
        <w:rPr>
          <w:rFonts w:hint="eastAsia"/>
        </w:rPr>
        <w:t>4.6.8.1 数据库选择的步骤</w:t>
      </w:r>
    </w:p>
    <w:p>
      <w:pPr>
        <w:spacing w:line="380" w:lineRule="exact"/>
        <w:ind w:firstLine="420" w:firstLineChars="200"/>
      </w:pPr>
      <w:r>
        <w:rPr>
          <w:rFonts w:hint="eastAsia"/>
        </w:rPr>
        <w:t>基于对数据质量和工作效率两方面的考虑，数据库选择的具体步骤如下：</w:t>
      </w:r>
    </w:p>
    <w:p>
      <w:pPr>
        <w:spacing w:line="380" w:lineRule="exact"/>
        <w:ind w:firstLine="420" w:firstLineChars="200"/>
      </w:pPr>
      <w:r>
        <w:rPr>
          <w:rFonts w:hint="eastAsia"/>
        </w:rPr>
        <w:t>a）从数据库中寻找与目标产品的物耗、能耗最类似的排放数据；</w:t>
      </w:r>
    </w:p>
    <w:p>
      <w:pPr>
        <w:spacing w:line="380" w:lineRule="exact"/>
        <w:ind w:firstLine="420" w:firstLineChars="200"/>
      </w:pPr>
      <w:r>
        <w:rPr>
          <w:rFonts w:hint="eastAsia"/>
        </w:rPr>
        <w:t>b）根据核算结果，分析其对目标产品全生命周期的贡献比例；</w:t>
      </w:r>
    </w:p>
    <w:p>
      <w:pPr>
        <w:spacing w:line="380" w:lineRule="exact"/>
        <w:ind w:firstLine="420" w:firstLineChars="200"/>
      </w:pPr>
      <w:r>
        <w:rPr>
          <w:rFonts w:hint="eastAsia"/>
        </w:rPr>
        <w:t>c）根据排放贡献率，按照数据质量要求，对一级供应商的生产过程进行初级数据收集，并鼓励对多级供应链进行现场数据收集，而不使用数据库数据。</w:t>
      </w:r>
    </w:p>
    <w:p>
      <w:pPr>
        <w:spacing w:before="120" w:beforeLines="50" w:after="120" w:afterLines="50" w:line="380" w:lineRule="exact"/>
      </w:pPr>
      <w:r>
        <w:rPr>
          <w:rFonts w:hint="eastAsia"/>
        </w:rPr>
        <w:t>4.6.8.2 数据库选择的原则</w:t>
      </w:r>
    </w:p>
    <w:p>
      <w:pPr>
        <w:spacing w:line="380" w:lineRule="exact"/>
        <w:ind w:firstLine="420" w:firstLineChars="200"/>
      </w:pPr>
      <w:r>
        <w:rPr>
          <w:rFonts w:hint="eastAsia"/>
        </w:rPr>
        <w:t>1）完整性</w:t>
      </w:r>
    </w:p>
    <w:p>
      <w:pPr>
        <w:spacing w:line="380" w:lineRule="exact"/>
        <w:ind w:firstLine="420" w:firstLineChars="200"/>
      </w:pPr>
      <w:r>
        <w:rPr>
          <w:rFonts w:hint="eastAsia"/>
        </w:rPr>
        <w:t>数据库应该涵盖本文件规定的所有温室气体种类；数据库所提供的数据应具有完整的核算范围，应该是从资源开采到物料、能源出厂为止的生命周期汇总过程数据。</w:t>
      </w:r>
    </w:p>
    <w:p>
      <w:pPr>
        <w:spacing w:line="380" w:lineRule="exact"/>
        <w:ind w:firstLine="420" w:firstLineChars="200"/>
      </w:pPr>
      <w:r>
        <w:rPr>
          <w:rFonts w:hint="eastAsia"/>
        </w:rPr>
        <w:t>2）一致性</w:t>
      </w:r>
    </w:p>
    <w:p>
      <w:pPr>
        <w:spacing w:line="380" w:lineRule="exact"/>
        <w:ind w:firstLine="420" w:firstLineChars="200"/>
      </w:pPr>
      <w:r>
        <w:rPr>
          <w:rFonts w:hint="eastAsia"/>
        </w:rPr>
        <w:t>应尽量采用同一数据库的数据，保证背景数据的一致性。</w:t>
      </w:r>
    </w:p>
    <w:p>
      <w:pPr>
        <w:spacing w:line="380" w:lineRule="exact"/>
        <w:ind w:firstLine="420" w:firstLineChars="200"/>
      </w:pPr>
      <w:r>
        <w:rPr>
          <w:rFonts w:hint="eastAsia"/>
        </w:rPr>
        <w:t>3）公开性</w:t>
      </w:r>
    </w:p>
    <w:p>
      <w:pPr>
        <w:spacing w:line="380" w:lineRule="exact"/>
        <w:ind w:firstLine="420" w:firstLineChars="200"/>
      </w:pPr>
      <w:r>
        <w:rPr>
          <w:rFonts w:hint="eastAsia"/>
        </w:rPr>
        <w:t>数据库应有公开的数据库指南，用于说明数据库开发的方法。此外，数据库中的每个数据集应有完整的文档，包括模型完整性和数据代表性、数据来源说明和同行评审意见。</w:t>
      </w:r>
    </w:p>
    <w:p>
      <w:pPr>
        <w:pStyle w:val="138"/>
        <w:spacing w:before="240" w:after="240" w:line="380" w:lineRule="exact"/>
        <w:outlineLvl w:val="0"/>
        <w:rPr>
          <w:rFonts w:ascii="Times New Roman" w:eastAsia="宋体"/>
          <w:b/>
          <w:szCs w:val="21"/>
        </w:rPr>
      </w:pPr>
      <w:bookmarkStart w:id="71" w:name="_Toc3370"/>
      <w:r>
        <w:rPr>
          <w:rFonts w:hint="eastAsia" w:ascii="Times New Roman" w:eastAsia="宋体"/>
          <w:b/>
          <w:szCs w:val="21"/>
        </w:rPr>
        <w:t>清单分析</w:t>
      </w:r>
    </w:p>
    <w:p>
      <w:pPr>
        <w:pStyle w:val="138"/>
        <w:numPr>
          <w:ilvl w:val="1"/>
          <w:numId w:val="2"/>
        </w:numPr>
        <w:spacing w:before="240" w:after="240" w:line="380" w:lineRule="exact"/>
        <w:rPr>
          <w:rFonts w:ascii="Times New Roman" w:eastAsia="宋体"/>
          <w:szCs w:val="22"/>
        </w:rPr>
      </w:pPr>
      <w:r>
        <w:rPr>
          <w:rFonts w:hint="eastAsia" w:ascii="Times New Roman" w:eastAsia="宋体"/>
          <w:szCs w:val="22"/>
        </w:rPr>
        <w:t>数据收集</w:t>
      </w:r>
      <w:bookmarkEnd w:id="71"/>
    </w:p>
    <w:p>
      <w:pPr>
        <w:pStyle w:val="12"/>
        <w:spacing w:before="240" w:line="380" w:lineRule="exact"/>
        <w:ind w:firstLine="0" w:firstLineChars="0"/>
      </w:pPr>
      <w:r>
        <w:t xml:space="preserve">5.1.1 </w:t>
      </w:r>
      <w:r>
        <w:rPr>
          <w:rFonts w:hint="eastAsia"/>
        </w:rPr>
        <w:t>收集范围</w:t>
      </w:r>
    </w:p>
    <w:p>
      <w:pPr>
        <w:pStyle w:val="28"/>
        <w:spacing w:line="380" w:lineRule="exact"/>
        <w:rPr>
          <w:rFonts w:ascii="Times New Roman"/>
        </w:rPr>
      </w:pPr>
      <w:r>
        <w:rPr>
          <w:rFonts w:ascii="Times New Roman"/>
        </w:rPr>
        <w:t>数据收集范围应涵盖系统边界中的每一个单元过程，数据来源应注明出处。数据收集包括表2活动数据和表3排放因子：</w:t>
      </w:r>
    </w:p>
    <w:p>
      <w:pPr>
        <w:numPr>
          <w:ilvl w:val="0"/>
          <w:numId w:val="19"/>
        </w:numPr>
        <w:spacing w:line="380" w:lineRule="exact"/>
        <w:ind w:left="777" w:hanging="357"/>
        <w:rPr>
          <w:szCs w:val="21"/>
        </w:rPr>
      </w:pPr>
      <w:r>
        <w:rPr>
          <w:szCs w:val="21"/>
        </w:rPr>
        <w:t>活动数据包括原辅料消耗及运输（运输形式、运输距离和运输量等）、</w:t>
      </w:r>
      <w:r>
        <w:rPr>
          <w:rFonts w:hint="eastAsia"/>
          <w:szCs w:val="21"/>
        </w:rPr>
        <w:t>燃料</w:t>
      </w:r>
      <w:r>
        <w:rPr>
          <w:szCs w:val="21"/>
        </w:rPr>
        <w:t>消耗及运输</w:t>
      </w:r>
      <w:r>
        <w:rPr>
          <w:rFonts w:hint="eastAsia"/>
          <w:szCs w:val="21"/>
        </w:rPr>
        <w:t>、电力消耗、水消耗</w:t>
      </w:r>
      <w:r>
        <w:rPr>
          <w:szCs w:val="21"/>
        </w:rPr>
        <w:t>等清单数据，对数据的获得方式和来源等均应予以说明。</w:t>
      </w:r>
    </w:p>
    <w:p>
      <w:pPr>
        <w:numPr>
          <w:ilvl w:val="0"/>
          <w:numId w:val="19"/>
        </w:numPr>
        <w:spacing w:line="380" w:lineRule="exact"/>
        <w:ind w:left="777" w:hanging="357"/>
        <w:rPr>
          <w:szCs w:val="21"/>
        </w:rPr>
      </w:pPr>
      <w:r>
        <w:rPr>
          <w:szCs w:val="21"/>
        </w:rPr>
        <w:t>排放因子包括原辅料</w:t>
      </w:r>
      <w:r>
        <w:rPr>
          <w:rFonts w:hint="eastAsia"/>
          <w:szCs w:val="21"/>
        </w:rPr>
        <w:t>消耗</w:t>
      </w:r>
      <w:r>
        <w:rPr>
          <w:szCs w:val="21"/>
        </w:rPr>
        <w:t>及运输的温室气体排放因子、</w:t>
      </w:r>
      <w:r>
        <w:rPr>
          <w:rFonts w:hint="eastAsia"/>
          <w:szCs w:val="21"/>
        </w:rPr>
        <w:t>燃料</w:t>
      </w:r>
      <w:r>
        <w:rPr>
          <w:szCs w:val="21"/>
        </w:rPr>
        <w:t>消耗及运输的温室气体排放因子</w:t>
      </w:r>
      <w:r>
        <w:rPr>
          <w:rFonts w:hint="eastAsia"/>
          <w:szCs w:val="21"/>
        </w:rPr>
        <w:t>、电力消耗、水消耗的温室气体排放因子</w:t>
      </w:r>
      <w:r>
        <w:rPr>
          <w:szCs w:val="21"/>
        </w:rPr>
        <w:t>。所有数据应予以详细说明，包括所用的数据库和出版物（或参考书目）的相关信息等。</w:t>
      </w:r>
    </w:p>
    <w:p>
      <w:pPr>
        <w:spacing w:before="120" w:after="120" w:line="380" w:lineRule="exact"/>
        <w:jc w:val="center"/>
        <w:rPr>
          <w:szCs w:val="21"/>
        </w:rPr>
      </w:pPr>
      <w:bookmarkStart w:id="72" w:name="_Hlk173504084"/>
      <w:r>
        <w:rPr>
          <w:szCs w:val="21"/>
        </w:rPr>
        <w:t>表2 活动数据收集表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024"/>
        <w:gridCol w:w="3869"/>
        <w:gridCol w:w="1230"/>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序号</w:t>
            </w:r>
          </w:p>
        </w:tc>
        <w:tc>
          <w:tcPr>
            <w:tcW w:w="585"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项目</w:t>
            </w: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物质</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单位</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收集数据类型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restart"/>
            <w:tcBorders>
              <w:top w:val="single" w:color="auto" w:sz="4" w:space="0"/>
              <w:left w:val="single" w:color="auto" w:sz="4" w:space="0"/>
              <w:right w:val="single" w:color="auto" w:sz="4" w:space="0"/>
            </w:tcBorders>
            <w:vAlign w:val="center"/>
          </w:tcPr>
          <w:p>
            <w:pPr>
              <w:spacing w:before="240" w:line="380" w:lineRule="exact"/>
              <w:jc w:val="center"/>
              <w:rPr>
                <w:sz w:val="18"/>
                <w:szCs w:val="18"/>
              </w:rPr>
            </w:pPr>
            <w:r>
              <w:rPr>
                <w:sz w:val="18"/>
                <w:szCs w:val="18"/>
              </w:rPr>
              <w:t>1</w:t>
            </w:r>
          </w:p>
        </w:tc>
        <w:tc>
          <w:tcPr>
            <w:tcW w:w="585" w:type="pct"/>
            <w:vMerge w:val="restart"/>
            <w:tcBorders>
              <w:top w:val="single" w:color="auto" w:sz="4" w:space="0"/>
              <w:left w:val="single" w:color="auto" w:sz="4" w:space="0"/>
              <w:right w:val="single" w:color="auto" w:sz="4" w:space="0"/>
            </w:tcBorders>
            <w:vAlign w:val="center"/>
          </w:tcPr>
          <w:p>
            <w:pPr>
              <w:spacing w:before="240" w:line="380" w:lineRule="exact"/>
              <w:jc w:val="center"/>
              <w:rPr>
                <w:sz w:val="18"/>
                <w:szCs w:val="18"/>
              </w:rPr>
            </w:pPr>
            <w:r>
              <w:rPr>
                <w:rFonts w:hint="eastAsia"/>
                <w:sz w:val="18"/>
                <w:szCs w:val="18"/>
              </w:rPr>
              <w:t>原辅料消耗及运输</w:t>
            </w: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平板玻璃（原材料）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边部密封材料（硅酮胶、丁基胶、聚硫胶等）（辅料）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间隔材料（辅料）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干燥剂（辅料）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中间层（PVB、EVA、SGP等）（辅料）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塑料（辅料）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镀膜材料（辅料）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釉料（辅料）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ind w:left="181" w:leftChars="86"/>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木箱、集装箱、集装架（包装材料）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before="240" w:line="380" w:lineRule="exact"/>
              <w:ind w:left="181" w:leftChars="86"/>
              <w:jc w:val="center"/>
              <w:rPr>
                <w:sz w:val="18"/>
                <w:szCs w:val="18"/>
              </w:rPr>
            </w:pPr>
          </w:p>
        </w:tc>
        <w:tc>
          <w:tcPr>
            <w:tcW w:w="585" w:type="pct"/>
            <w:vMerge w:val="continue"/>
            <w:tcBorders>
              <w:left w:val="single" w:color="auto" w:sz="4" w:space="0"/>
              <w:right w:val="single" w:color="auto" w:sz="4" w:space="0"/>
            </w:tcBorders>
            <w:vAlign w:val="center"/>
          </w:tcPr>
          <w:p>
            <w:pPr>
              <w:spacing w:before="240" w:line="380" w:lineRule="exact"/>
              <w:ind w:left="181" w:leftChars="86"/>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塑料膜（包装材料）</w:t>
            </w:r>
          </w:p>
        </w:tc>
        <w:tc>
          <w:tcPr>
            <w:tcW w:w="55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585"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软材料（包装材料）</w:t>
            </w:r>
          </w:p>
        </w:tc>
        <w:tc>
          <w:tcPr>
            <w:tcW w:w="55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585"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垫块（附件）</w:t>
            </w:r>
          </w:p>
        </w:tc>
        <w:tc>
          <w:tcPr>
            <w:tcW w:w="55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585"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包边条（附件）</w:t>
            </w:r>
          </w:p>
        </w:tc>
        <w:tc>
          <w:tcPr>
            <w:tcW w:w="55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585" w:type="pct"/>
            <w:vMerge w:val="continue"/>
            <w:tcBorders>
              <w:left w:val="single" w:color="auto" w:sz="4" w:space="0"/>
              <w:right w:val="single" w:color="auto" w:sz="4" w:space="0"/>
            </w:tcBorders>
            <w:vAlign w:val="center"/>
          </w:tcPr>
          <w:p>
            <w:pPr>
              <w:spacing w:line="380" w:lineRule="exact"/>
              <w:ind w:left="181" w:leftChars="86"/>
              <w:jc w:val="center"/>
              <w:rPr>
                <w:sz w:val="18"/>
                <w:szCs w:val="18"/>
              </w:rPr>
            </w:pP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钉柱（附件）</w:t>
            </w:r>
          </w:p>
        </w:tc>
        <w:tc>
          <w:tcPr>
            <w:tcW w:w="553"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9" w:type="pct"/>
            <w:tcBorders>
              <w:left w:val="single" w:color="auto" w:sz="4" w:space="0"/>
              <w:right w:val="single" w:color="auto" w:sz="4" w:space="0"/>
            </w:tcBorders>
            <w:vAlign w:val="center"/>
          </w:tcPr>
          <w:p>
            <w:pPr>
              <w:spacing w:line="380" w:lineRule="exact"/>
              <w:jc w:val="center"/>
              <w:rPr>
                <w:sz w:val="18"/>
                <w:szCs w:val="18"/>
              </w:rPr>
            </w:pPr>
            <w:r>
              <w:rPr>
                <w:sz w:val="18"/>
                <w:szCs w:val="18"/>
              </w:rPr>
              <w:t>2</w:t>
            </w:r>
          </w:p>
        </w:tc>
        <w:tc>
          <w:tcPr>
            <w:tcW w:w="585" w:type="pct"/>
            <w:tcBorders>
              <w:left w:val="single" w:color="auto" w:sz="4" w:space="0"/>
              <w:right w:val="single" w:color="auto" w:sz="4" w:space="0"/>
            </w:tcBorders>
            <w:vAlign w:val="center"/>
          </w:tcPr>
          <w:p>
            <w:pPr>
              <w:spacing w:line="380" w:lineRule="exact"/>
              <w:jc w:val="center"/>
              <w:rPr>
                <w:sz w:val="18"/>
                <w:szCs w:val="18"/>
              </w:rPr>
            </w:pPr>
            <w:r>
              <w:rPr>
                <w:rFonts w:hint="eastAsia"/>
                <w:sz w:val="18"/>
                <w:szCs w:val="18"/>
              </w:rPr>
              <w:t>燃料消耗及运输</w:t>
            </w: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柴油、汽油、天然气或其他燃料</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t/m</w:t>
            </w:r>
            <w:r>
              <w:rPr>
                <w:sz w:val="18"/>
                <w:szCs w:val="18"/>
                <w:vertAlign w:val="superscript"/>
              </w:rPr>
              <w:t>2</w:t>
            </w:r>
            <w:r>
              <w:rPr>
                <w:rFonts w:hint="eastAsia"/>
                <w:sz w:val="18"/>
                <w:szCs w:val="18"/>
              </w:rPr>
              <w:t>、</w:t>
            </w:r>
            <w:r>
              <w:rPr>
                <w:sz w:val="18"/>
                <w:szCs w:val="18"/>
                <w:lang w:bidi="ar"/>
              </w:rPr>
              <w:t>10</w:t>
            </w:r>
            <w:r>
              <w:rPr>
                <w:sz w:val="18"/>
                <w:szCs w:val="18"/>
                <w:vertAlign w:val="superscript"/>
                <w:lang w:bidi="ar"/>
              </w:rPr>
              <w:t>4</w:t>
            </w:r>
            <w:r>
              <w:rPr>
                <w:sz w:val="18"/>
                <w:szCs w:val="18"/>
                <w:lang w:bidi="ar"/>
              </w:rPr>
              <w:t>Nm</w:t>
            </w:r>
            <w:r>
              <w:rPr>
                <w:sz w:val="18"/>
                <w:szCs w:val="18"/>
                <w:vertAlign w:val="superscript"/>
                <w:lang w:bidi="ar"/>
              </w:rPr>
              <w:t>3</w:t>
            </w:r>
            <w:r>
              <w:rPr>
                <w:sz w:val="18"/>
                <w:szCs w:val="18"/>
              </w:rPr>
              <w:t>/m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消耗量、运输方式及距离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39" w:type="pct"/>
            <w:tcBorders>
              <w:left w:val="single" w:color="auto" w:sz="4" w:space="0"/>
              <w:right w:val="single" w:color="auto" w:sz="4" w:space="0"/>
            </w:tcBorders>
            <w:vAlign w:val="center"/>
          </w:tcPr>
          <w:p>
            <w:pPr>
              <w:spacing w:line="380" w:lineRule="exact"/>
              <w:jc w:val="center"/>
              <w:rPr>
                <w:sz w:val="18"/>
                <w:szCs w:val="18"/>
              </w:rPr>
            </w:pPr>
            <w:r>
              <w:rPr>
                <w:sz w:val="18"/>
                <w:szCs w:val="18"/>
              </w:rPr>
              <w:t>3</w:t>
            </w:r>
          </w:p>
        </w:tc>
        <w:tc>
          <w:tcPr>
            <w:tcW w:w="585" w:type="pct"/>
            <w:tcBorders>
              <w:left w:val="single" w:color="auto" w:sz="4" w:space="0"/>
              <w:right w:val="single" w:color="auto" w:sz="4" w:space="0"/>
            </w:tcBorders>
            <w:vAlign w:val="center"/>
          </w:tcPr>
          <w:p>
            <w:pPr>
              <w:spacing w:line="380" w:lineRule="exact"/>
              <w:jc w:val="center"/>
              <w:rPr>
                <w:sz w:val="18"/>
                <w:szCs w:val="18"/>
              </w:rPr>
            </w:pPr>
            <w:r>
              <w:rPr>
                <w:rFonts w:hint="eastAsia"/>
                <w:sz w:val="18"/>
                <w:szCs w:val="18"/>
              </w:rPr>
              <w:t>电力消耗</w:t>
            </w: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外购电力</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sz w:val="18"/>
                <w:szCs w:val="18"/>
              </w:rPr>
              <w:t>kW·h/m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39" w:type="pct"/>
            <w:tcBorders>
              <w:left w:val="single" w:color="auto" w:sz="4" w:space="0"/>
              <w:right w:val="single" w:color="auto" w:sz="4" w:space="0"/>
            </w:tcBorders>
            <w:vAlign w:val="center"/>
          </w:tcPr>
          <w:p>
            <w:pPr>
              <w:spacing w:line="380" w:lineRule="exact"/>
              <w:jc w:val="center"/>
              <w:rPr>
                <w:sz w:val="18"/>
                <w:szCs w:val="18"/>
              </w:rPr>
            </w:pPr>
            <w:r>
              <w:rPr>
                <w:sz w:val="18"/>
                <w:szCs w:val="18"/>
              </w:rPr>
              <w:t>4</w:t>
            </w:r>
          </w:p>
        </w:tc>
        <w:tc>
          <w:tcPr>
            <w:tcW w:w="585" w:type="pct"/>
            <w:tcBorders>
              <w:left w:val="single" w:color="auto" w:sz="4" w:space="0"/>
              <w:right w:val="single" w:color="auto" w:sz="4" w:space="0"/>
            </w:tcBorders>
            <w:vAlign w:val="center"/>
          </w:tcPr>
          <w:p>
            <w:pPr>
              <w:spacing w:line="380" w:lineRule="exact"/>
              <w:jc w:val="center"/>
              <w:rPr>
                <w:sz w:val="18"/>
                <w:szCs w:val="18"/>
              </w:rPr>
            </w:pPr>
            <w:r>
              <w:rPr>
                <w:rFonts w:hint="eastAsia"/>
                <w:sz w:val="18"/>
                <w:szCs w:val="18"/>
              </w:rPr>
              <w:t>水消耗</w:t>
            </w:r>
          </w:p>
        </w:tc>
        <w:tc>
          <w:tcPr>
            <w:tcW w:w="2130"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水</w:t>
            </w:r>
          </w:p>
        </w:tc>
        <w:tc>
          <w:tcPr>
            <w:tcW w:w="553"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sz w:val="18"/>
                <w:szCs w:val="18"/>
              </w:rPr>
              <w:t>kg/m</w:t>
            </w:r>
            <w:r>
              <w:rPr>
                <w:sz w:val="18"/>
                <w:szCs w:val="18"/>
                <w:vertAlign w:val="superscript"/>
              </w:rPr>
              <w:t>2</w:t>
            </w:r>
          </w:p>
        </w:tc>
        <w:tc>
          <w:tcPr>
            <w:tcW w:w="1293" w:type="pct"/>
            <w:tcBorders>
              <w:top w:val="single" w:color="auto" w:sz="4" w:space="0"/>
              <w:left w:val="single" w:color="auto" w:sz="4" w:space="0"/>
              <w:bottom w:val="single" w:color="auto" w:sz="4" w:space="0"/>
              <w:right w:val="single" w:color="auto" w:sz="4" w:space="0"/>
            </w:tcBorders>
            <w:vAlign w:val="center"/>
          </w:tcPr>
          <w:p>
            <w:pPr>
              <w:spacing w:line="380" w:lineRule="exact"/>
              <w:ind w:left="181" w:leftChars="86"/>
              <w:jc w:val="center"/>
              <w:rPr>
                <w:sz w:val="18"/>
                <w:szCs w:val="18"/>
              </w:rPr>
            </w:pPr>
            <w:r>
              <w:rPr>
                <w:rFonts w:hint="eastAsia"/>
                <w:sz w:val="18"/>
                <w:szCs w:val="18"/>
              </w:rPr>
              <w:t>消耗量</w:t>
            </w:r>
          </w:p>
        </w:tc>
      </w:tr>
    </w:tbl>
    <w:p>
      <w:pPr>
        <w:spacing w:before="120" w:after="120" w:line="380" w:lineRule="exact"/>
        <w:jc w:val="center"/>
        <w:rPr>
          <w:szCs w:val="21"/>
        </w:rPr>
      </w:pPr>
    </w:p>
    <w:p>
      <w:pPr>
        <w:spacing w:before="120" w:after="120" w:line="380" w:lineRule="exact"/>
        <w:jc w:val="center"/>
        <w:rPr>
          <w:szCs w:val="21"/>
        </w:rPr>
      </w:pPr>
    </w:p>
    <w:p>
      <w:pPr>
        <w:spacing w:before="240" w:after="120" w:line="380" w:lineRule="exact"/>
        <w:jc w:val="center"/>
        <w:rPr>
          <w:szCs w:val="21"/>
        </w:rPr>
      </w:pPr>
      <w:r>
        <w:rPr>
          <w:szCs w:val="21"/>
        </w:rPr>
        <w:t>表3 排放因子收集表</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9"/>
        <w:gridCol w:w="6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序号</w:t>
            </w:r>
          </w:p>
        </w:tc>
        <w:tc>
          <w:tcPr>
            <w:tcW w:w="3594"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1</w:t>
            </w:r>
          </w:p>
        </w:tc>
        <w:tc>
          <w:tcPr>
            <w:tcW w:w="3594"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平板玻璃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2</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边部密封材料（硅酮胶、丁基胶、聚硫胶等）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3</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间隔材料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4</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干燥剂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5</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中间层（PVB、EVA、SGP等）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6</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塑料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7</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镀膜材料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8</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釉料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9</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pacing w:val="-1"/>
                <w:sz w:val="18"/>
                <w:szCs w:val="18"/>
              </w:rPr>
            </w:pPr>
            <w:r>
              <w:rPr>
                <w:rFonts w:hint="eastAsia"/>
                <w:sz w:val="18"/>
                <w:szCs w:val="18"/>
              </w:rPr>
              <w:t>木箱、集装箱、集装架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10</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pacing w:val="-1"/>
                <w:sz w:val="18"/>
                <w:szCs w:val="18"/>
              </w:rPr>
            </w:pPr>
            <w:r>
              <w:rPr>
                <w:rFonts w:hint="eastAsia"/>
                <w:sz w:val="18"/>
                <w:szCs w:val="18"/>
              </w:rPr>
              <w:t>塑料膜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11</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软材料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1</w:t>
            </w:r>
            <w:r>
              <w:rPr>
                <w:rFonts w:hint="eastAsia"/>
                <w:sz w:val="18"/>
                <w:szCs w:val="18"/>
              </w:rPr>
              <w:t>2</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rFonts w:hint="eastAsia"/>
                <w:sz w:val="18"/>
                <w:szCs w:val="18"/>
              </w:rPr>
              <w:t>垫块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1</w:t>
            </w:r>
            <w:r>
              <w:rPr>
                <w:rFonts w:hint="eastAsia"/>
                <w:sz w:val="18"/>
                <w:szCs w:val="18"/>
              </w:rPr>
              <w:t>3</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pacing w:val="-1"/>
                <w:sz w:val="18"/>
                <w:szCs w:val="18"/>
              </w:rPr>
            </w:pPr>
            <w:r>
              <w:rPr>
                <w:rFonts w:hint="eastAsia"/>
                <w:sz w:val="18"/>
                <w:szCs w:val="18"/>
              </w:rPr>
              <w:t>包边条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1</w:t>
            </w:r>
            <w:r>
              <w:rPr>
                <w:rFonts w:hint="eastAsia"/>
                <w:sz w:val="18"/>
                <w:szCs w:val="18"/>
              </w:rPr>
              <w:t>4</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pacing w:val="-1"/>
                <w:sz w:val="18"/>
                <w:szCs w:val="18"/>
              </w:rPr>
            </w:pPr>
            <w:r>
              <w:rPr>
                <w:rFonts w:hint="eastAsia"/>
                <w:sz w:val="18"/>
                <w:szCs w:val="18"/>
              </w:rPr>
              <w:t>钉柱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15</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16</w:t>
            </w:r>
          </w:p>
        </w:tc>
        <w:tc>
          <w:tcPr>
            <w:tcW w:w="3594" w:type="pct"/>
            <w:tcBorders>
              <w:top w:val="single" w:color="auto" w:sz="4" w:space="0"/>
              <w:left w:val="single" w:color="auto" w:sz="4" w:space="0"/>
              <w:bottom w:val="single" w:color="auto" w:sz="4" w:space="0"/>
              <w:right w:val="single" w:color="auto" w:sz="4" w:space="0"/>
            </w:tcBorders>
          </w:tcPr>
          <w:p>
            <w:pPr>
              <w:spacing w:line="380" w:lineRule="exact"/>
              <w:jc w:val="center"/>
              <w:rPr>
                <w:sz w:val="18"/>
                <w:szCs w:val="18"/>
              </w:rPr>
            </w:pPr>
            <w:r>
              <w:rPr>
                <w:sz w:val="18"/>
                <w:szCs w:val="18"/>
              </w:rPr>
              <w:t>柴油、汽油</w:t>
            </w:r>
            <w:r>
              <w:rPr>
                <w:rFonts w:hint="eastAsia"/>
                <w:sz w:val="18"/>
                <w:szCs w:val="18"/>
              </w:rPr>
              <w:t>、天然气</w:t>
            </w:r>
            <w:r>
              <w:rPr>
                <w:sz w:val="18"/>
                <w:szCs w:val="18"/>
              </w:rPr>
              <w:t>或其他燃料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sz w:val="18"/>
                <w:szCs w:val="18"/>
              </w:rPr>
              <w:t>1</w:t>
            </w:r>
            <w:r>
              <w:rPr>
                <w:rFonts w:hint="eastAsia"/>
                <w:sz w:val="18"/>
                <w:szCs w:val="18"/>
              </w:rPr>
              <w:t>7</w:t>
            </w:r>
          </w:p>
        </w:tc>
        <w:tc>
          <w:tcPr>
            <w:tcW w:w="3594"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外购电力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06"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18</w:t>
            </w:r>
          </w:p>
        </w:tc>
        <w:tc>
          <w:tcPr>
            <w:tcW w:w="3594"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水</w:t>
            </w:r>
          </w:p>
        </w:tc>
      </w:tr>
      <w:bookmarkEnd w:id="72"/>
    </w:tbl>
    <w:p>
      <w:pPr>
        <w:pStyle w:val="12"/>
        <w:spacing w:before="240" w:line="380" w:lineRule="exact"/>
        <w:ind w:firstLine="0" w:firstLineChars="0"/>
      </w:pPr>
      <w:bookmarkStart w:id="73" w:name="_Hlk173312773"/>
      <w:r>
        <w:t>5.</w:t>
      </w:r>
      <w:r>
        <w:rPr>
          <w:rFonts w:hint="eastAsia"/>
        </w:rPr>
        <w:t>1</w:t>
      </w:r>
      <w:r>
        <w:t xml:space="preserve">.2 </w:t>
      </w:r>
      <w:r>
        <w:rPr>
          <w:rFonts w:hint="eastAsia"/>
        </w:rPr>
        <w:t>收集步骤</w:t>
      </w:r>
    </w:p>
    <w:bookmarkEnd w:id="73"/>
    <w:p>
      <w:pPr>
        <w:numPr>
          <w:ilvl w:val="0"/>
          <w:numId w:val="20"/>
        </w:numPr>
        <w:spacing w:line="380" w:lineRule="exact"/>
        <w:ind w:left="777" w:hanging="357"/>
        <w:rPr>
          <w:szCs w:val="21"/>
        </w:rPr>
      </w:pPr>
      <w:r>
        <w:rPr>
          <w:szCs w:val="21"/>
        </w:rPr>
        <w:t>绘制单元过程的输入输出流程图；</w:t>
      </w:r>
    </w:p>
    <w:p>
      <w:pPr>
        <w:numPr>
          <w:ilvl w:val="0"/>
          <w:numId w:val="20"/>
        </w:numPr>
        <w:spacing w:line="380" w:lineRule="exact"/>
        <w:ind w:left="777" w:hanging="357"/>
        <w:rPr>
          <w:szCs w:val="21"/>
        </w:rPr>
      </w:pPr>
      <w:r>
        <w:t>设计统计单元过程输入输出的活动数据收集表和排放因子收集表；</w:t>
      </w:r>
    </w:p>
    <w:p>
      <w:pPr>
        <w:numPr>
          <w:ilvl w:val="0"/>
          <w:numId w:val="20"/>
        </w:numPr>
        <w:spacing w:line="380" w:lineRule="exact"/>
        <w:ind w:left="777" w:hanging="357"/>
        <w:rPr>
          <w:szCs w:val="21"/>
        </w:rPr>
      </w:pPr>
      <w:r>
        <w:t>对数据收集技术和要求做出表述；</w:t>
      </w:r>
    </w:p>
    <w:p>
      <w:pPr>
        <w:numPr>
          <w:ilvl w:val="0"/>
          <w:numId w:val="20"/>
        </w:numPr>
        <w:spacing w:line="380" w:lineRule="exact"/>
        <w:ind w:left="777" w:hanging="357"/>
        <w:rPr>
          <w:szCs w:val="21"/>
        </w:rPr>
      </w:pPr>
      <w:r>
        <w:t>对报送数据的特殊情况、异常点和其它问题进行明确说明；</w:t>
      </w:r>
    </w:p>
    <w:p>
      <w:pPr>
        <w:numPr>
          <w:ilvl w:val="0"/>
          <w:numId w:val="20"/>
        </w:numPr>
        <w:spacing w:line="380" w:lineRule="exact"/>
        <w:ind w:left="777" w:hanging="357"/>
        <w:rPr>
          <w:szCs w:val="21"/>
        </w:rPr>
      </w:pPr>
      <w:r>
        <w:t>技术人员完成数据收集工作。</w:t>
      </w:r>
    </w:p>
    <w:p>
      <w:pPr>
        <w:pStyle w:val="138"/>
        <w:numPr>
          <w:ilvl w:val="1"/>
          <w:numId w:val="2"/>
        </w:numPr>
        <w:spacing w:before="240" w:after="240" w:line="380" w:lineRule="exact"/>
        <w:rPr>
          <w:rFonts w:ascii="Times New Roman" w:eastAsia="宋体"/>
          <w:szCs w:val="22"/>
        </w:rPr>
      </w:pPr>
      <w:bookmarkStart w:id="74" w:name="_Toc5463"/>
      <w:r>
        <w:rPr>
          <w:rFonts w:ascii="Times New Roman" w:eastAsia="宋体"/>
          <w:szCs w:val="22"/>
        </w:rPr>
        <w:t>数据</w:t>
      </w:r>
      <w:r>
        <w:rPr>
          <w:rFonts w:hint="eastAsia" w:ascii="Times New Roman" w:eastAsia="宋体"/>
          <w:szCs w:val="22"/>
        </w:rPr>
        <w:t>审定</w:t>
      </w:r>
      <w:bookmarkEnd w:id="74"/>
    </w:p>
    <w:p>
      <w:pPr>
        <w:pStyle w:val="28"/>
        <w:spacing w:line="380" w:lineRule="exact"/>
        <w:rPr>
          <w:rFonts w:ascii="Times New Roman"/>
        </w:rPr>
      </w:pPr>
      <w:r>
        <w:rPr>
          <w:rFonts w:ascii="Times New Roman"/>
        </w:rPr>
        <w:t>在数据收集过程中应对数据的有效性进行检查，以确认并提供证据证明</w:t>
      </w:r>
      <w:r>
        <w:rPr>
          <w:rFonts w:hint="eastAsia" w:ascii="Times New Roman"/>
        </w:rPr>
        <w:t>其</w:t>
      </w:r>
      <w:r>
        <w:rPr>
          <w:rFonts w:ascii="Times New Roman"/>
        </w:rPr>
        <w:t>符合</w:t>
      </w:r>
      <w:r>
        <w:rPr>
          <w:rFonts w:hint="eastAsia" w:ascii="Times New Roman"/>
        </w:rPr>
        <w:t>5.1规定的数据质量要求</w:t>
      </w:r>
      <w:r>
        <w:rPr>
          <w:rFonts w:ascii="Times New Roman"/>
        </w:rPr>
        <w:t>。</w:t>
      </w:r>
    </w:p>
    <w:p>
      <w:pPr>
        <w:pStyle w:val="28"/>
        <w:spacing w:line="380" w:lineRule="exact"/>
        <w:rPr>
          <w:rFonts w:ascii="Times New Roman"/>
        </w:rPr>
      </w:pPr>
      <w:r>
        <w:rPr>
          <w:rFonts w:ascii="Times New Roman"/>
        </w:rPr>
        <w:t>数据</w:t>
      </w:r>
      <w:r>
        <w:rPr>
          <w:rFonts w:hint="eastAsia" w:ascii="Times New Roman"/>
        </w:rPr>
        <w:t>审定宜</w:t>
      </w:r>
      <w:r>
        <w:rPr>
          <w:rFonts w:ascii="Times New Roman"/>
        </w:rPr>
        <w:t>通过建立质量平衡、能量平衡和排放因子的比较分析或其他适当的方法。由于每个单元过程都遵守物质和能量守恒定律，因此物质和能量的平衡</w:t>
      </w:r>
      <w:r>
        <w:rPr>
          <w:rFonts w:hint="eastAsia" w:ascii="Times New Roman"/>
        </w:rPr>
        <w:t>可</w:t>
      </w:r>
      <w:r>
        <w:rPr>
          <w:rFonts w:ascii="Times New Roman"/>
        </w:rPr>
        <w:t>为单元过程描述的准确性提供有效的检查。</w:t>
      </w:r>
    </w:p>
    <w:p>
      <w:pPr>
        <w:pStyle w:val="28"/>
        <w:spacing w:line="380" w:lineRule="exact"/>
        <w:rPr>
          <w:rFonts w:ascii="Times New Roman"/>
        </w:rPr>
      </w:pPr>
      <w:r>
        <w:rPr>
          <w:rFonts w:ascii="Times New Roman"/>
        </w:rPr>
        <w:t>对每种数据类型的数据如发现缺失，对缺失的数据要进行断档处理，代之以合理的</w:t>
      </w:r>
      <w:r>
        <w:rPr>
          <w:rFonts w:hint="eastAsia" w:ascii="Times New Roman"/>
        </w:rPr>
        <w:t>“</w:t>
      </w:r>
      <w:r>
        <w:rPr>
          <w:rFonts w:ascii="Times New Roman"/>
        </w:rPr>
        <w:t>非零</w:t>
      </w:r>
      <w:r>
        <w:rPr>
          <w:rFonts w:hint="eastAsia" w:ascii="Times New Roman"/>
        </w:rPr>
        <w:t>”</w:t>
      </w:r>
      <w:r>
        <w:rPr>
          <w:rFonts w:ascii="Times New Roman"/>
        </w:rPr>
        <w:t>数据、合理的</w:t>
      </w:r>
      <w:r>
        <w:rPr>
          <w:rFonts w:hint="eastAsia" w:ascii="Times New Roman"/>
        </w:rPr>
        <w:t>“</w:t>
      </w:r>
      <w:r>
        <w:rPr>
          <w:rFonts w:ascii="Times New Roman"/>
        </w:rPr>
        <w:t>零</w:t>
      </w:r>
      <w:r>
        <w:rPr>
          <w:rFonts w:hint="eastAsia" w:ascii="Times New Roman"/>
        </w:rPr>
        <w:t>”</w:t>
      </w:r>
      <w:r>
        <w:rPr>
          <w:rFonts w:ascii="Times New Roman"/>
        </w:rPr>
        <w:t>数据或采用同类技术单元过程报送的数据计算出来的数值。</w:t>
      </w:r>
    </w:p>
    <w:p>
      <w:pPr>
        <w:pStyle w:val="138"/>
        <w:numPr>
          <w:ilvl w:val="1"/>
          <w:numId w:val="2"/>
        </w:numPr>
        <w:spacing w:before="240" w:after="240" w:line="380" w:lineRule="exact"/>
        <w:rPr>
          <w:rFonts w:ascii="Times New Roman" w:eastAsia="宋体"/>
          <w:szCs w:val="22"/>
        </w:rPr>
      </w:pPr>
      <w:bookmarkStart w:id="75" w:name="_Toc30760"/>
      <w:r>
        <w:rPr>
          <w:rFonts w:ascii="Times New Roman" w:eastAsia="宋体"/>
          <w:szCs w:val="22"/>
        </w:rPr>
        <w:t>数据与单元过程的关联</w:t>
      </w:r>
      <w:bookmarkEnd w:id="75"/>
    </w:p>
    <w:p>
      <w:pPr>
        <w:pStyle w:val="28"/>
        <w:spacing w:line="380" w:lineRule="exact"/>
        <w:rPr>
          <w:rFonts w:ascii="Times New Roman"/>
        </w:rPr>
      </w:pPr>
      <w:r>
        <w:rPr>
          <w:rFonts w:ascii="Times New Roman"/>
        </w:rPr>
        <w:t>生产工序有多个单元过程，对每一个单元过程确定适宜的基准流，如1 m</w:t>
      </w:r>
      <w:r>
        <w:rPr>
          <w:rFonts w:ascii="Times New Roman"/>
          <w:vertAlign w:val="superscript"/>
        </w:rPr>
        <w:t>2</w:t>
      </w:r>
      <w:r>
        <w:rPr>
          <w:rFonts w:ascii="Times New Roman"/>
        </w:rPr>
        <w:t>玻璃产品，并计算单元过程的定量输入和输出数据。生产工序有多种产品时，单元过程数据应进行分配。</w:t>
      </w:r>
    </w:p>
    <w:p>
      <w:pPr>
        <w:pStyle w:val="138"/>
        <w:numPr>
          <w:ilvl w:val="1"/>
          <w:numId w:val="2"/>
        </w:numPr>
        <w:spacing w:before="240" w:after="240" w:line="380" w:lineRule="exact"/>
        <w:rPr>
          <w:rFonts w:ascii="Times New Roman" w:eastAsia="宋体"/>
          <w:szCs w:val="22"/>
        </w:rPr>
      </w:pPr>
      <w:bookmarkStart w:id="76" w:name="_Toc2399"/>
      <w:r>
        <w:rPr>
          <w:rFonts w:ascii="Times New Roman" w:eastAsia="宋体"/>
          <w:szCs w:val="22"/>
        </w:rPr>
        <w:t>数据与</w:t>
      </w:r>
      <w:r>
        <w:rPr>
          <w:rFonts w:hint="eastAsia" w:ascii="Times New Roman" w:eastAsia="宋体"/>
          <w:szCs w:val="22"/>
        </w:rPr>
        <w:t>声明</w:t>
      </w:r>
      <w:r>
        <w:rPr>
          <w:rFonts w:ascii="Times New Roman" w:eastAsia="宋体"/>
          <w:szCs w:val="22"/>
        </w:rPr>
        <w:t>单位的关联</w:t>
      </w:r>
      <w:bookmarkEnd w:id="76"/>
    </w:p>
    <w:p>
      <w:pPr>
        <w:pStyle w:val="28"/>
        <w:spacing w:line="380" w:lineRule="exact"/>
        <w:rPr>
          <w:rFonts w:ascii="Times New Roman"/>
        </w:rPr>
      </w:pPr>
      <w:r>
        <w:rPr>
          <w:rFonts w:ascii="Times New Roman"/>
        </w:rPr>
        <w:t>计算方法是将各个工序或单元过程的投入产出数据除以产品的产量，即得到</w:t>
      </w:r>
      <w:r>
        <w:rPr>
          <w:rFonts w:hint="eastAsia" w:ascii="Times New Roman"/>
        </w:rPr>
        <w:t>声明</w:t>
      </w:r>
      <w:r>
        <w:rPr>
          <w:rFonts w:ascii="Times New Roman"/>
        </w:rPr>
        <w:t>单位的原辅料消耗和能源消耗。</w:t>
      </w:r>
    </w:p>
    <w:p>
      <w:pPr>
        <w:pStyle w:val="138"/>
        <w:numPr>
          <w:ilvl w:val="1"/>
          <w:numId w:val="2"/>
        </w:numPr>
        <w:spacing w:before="240" w:after="240" w:line="380" w:lineRule="exact"/>
        <w:rPr>
          <w:rFonts w:ascii="Times New Roman"/>
          <w:szCs w:val="22"/>
        </w:rPr>
      </w:pPr>
      <w:r>
        <w:rPr>
          <w:rFonts w:hint="eastAsia" w:ascii="Times New Roman" w:eastAsia="宋体"/>
          <w:szCs w:val="22"/>
        </w:rPr>
        <w:t>调整系统边界</w:t>
      </w:r>
    </w:p>
    <w:p>
      <w:pPr>
        <w:pStyle w:val="28"/>
        <w:spacing w:line="380" w:lineRule="exact"/>
        <w:rPr>
          <w:rFonts w:ascii="Times New Roman"/>
        </w:rPr>
      </w:pPr>
      <w:r>
        <w:rPr>
          <w:rFonts w:hint="eastAsia" w:ascii="Times New Roman"/>
        </w:rPr>
        <w:t>初始系统边界应根据目的和范围确定阶段所规定的取舍准则进行调整。</w:t>
      </w:r>
    </w:p>
    <w:p>
      <w:pPr>
        <w:pStyle w:val="138"/>
        <w:numPr>
          <w:ilvl w:val="1"/>
          <w:numId w:val="2"/>
        </w:numPr>
        <w:spacing w:before="240" w:after="240" w:line="380" w:lineRule="exact"/>
        <w:rPr>
          <w:rFonts w:ascii="Times New Roman" w:eastAsia="宋体"/>
          <w:szCs w:val="22"/>
        </w:rPr>
      </w:pPr>
      <w:bookmarkStart w:id="77" w:name="_Toc26026"/>
      <w:r>
        <w:rPr>
          <w:rFonts w:ascii="Times New Roman" w:eastAsia="宋体"/>
          <w:szCs w:val="22"/>
        </w:rPr>
        <w:t>数据合并</w:t>
      </w:r>
      <w:bookmarkEnd w:id="77"/>
    </w:p>
    <w:p>
      <w:pPr>
        <w:pStyle w:val="28"/>
        <w:spacing w:line="380" w:lineRule="exact"/>
        <w:rPr>
          <w:rFonts w:ascii="Times New Roman"/>
        </w:rPr>
      </w:pPr>
      <w:r>
        <w:rPr>
          <w:rFonts w:ascii="Times New Roman"/>
        </w:rPr>
        <w:t>仅当数据类型是设计等价物质并具有类似的环境影响时才允许进行数据合并。同一工序的不同生产设备，若其生产技术水平相当，输入输出种类基本相同，则可采取数据合并。</w:t>
      </w:r>
    </w:p>
    <w:p>
      <w:pPr>
        <w:pStyle w:val="138"/>
        <w:numPr>
          <w:ilvl w:val="1"/>
          <w:numId w:val="2"/>
        </w:numPr>
        <w:spacing w:before="240" w:after="240" w:line="380" w:lineRule="exact"/>
        <w:rPr>
          <w:rFonts w:ascii="Times New Roman" w:eastAsia="宋体"/>
          <w:szCs w:val="22"/>
        </w:rPr>
      </w:pPr>
      <w:bookmarkStart w:id="78" w:name="_Toc10792"/>
      <w:r>
        <w:rPr>
          <w:rFonts w:hint="eastAsia" w:ascii="Times New Roman" w:eastAsia="宋体"/>
          <w:szCs w:val="22"/>
        </w:rPr>
        <w:t>数据分配</w:t>
      </w:r>
      <w:bookmarkEnd w:id="78"/>
    </w:p>
    <w:p>
      <w:pPr>
        <w:pStyle w:val="28"/>
        <w:spacing w:line="380" w:lineRule="exact"/>
        <w:rPr>
          <w:rFonts w:ascii="Times New Roman"/>
          <w:b/>
        </w:rPr>
      </w:pPr>
      <w:r>
        <w:rPr>
          <w:rFonts w:ascii="Times New Roman"/>
        </w:rPr>
        <w:t>生产工序有多种产品时，应按照以下步骤对单元过程数据进行分配。</w:t>
      </w:r>
    </w:p>
    <w:p>
      <w:pPr>
        <w:numPr>
          <w:ilvl w:val="0"/>
          <w:numId w:val="21"/>
        </w:numPr>
        <w:spacing w:line="380" w:lineRule="exact"/>
        <w:ind w:left="777" w:hanging="357"/>
        <w:rPr>
          <w:szCs w:val="21"/>
        </w:rPr>
      </w:pPr>
      <w:r>
        <w:rPr>
          <w:szCs w:val="21"/>
        </w:rPr>
        <w:t>宜通过单元过程细分等手段避免分配的发生</w:t>
      </w:r>
      <w:r>
        <w:rPr>
          <w:rFonts w:hint="eastAsia"/>
          <w:szCs w:val="21"/>
        </w:rPr>
        <w:t>。</w:t>
      </w:r>
      <w:r>
        <w:rPr>
          <w:szCs w:val="21"/>
        </w:rPr>
        <w:t>例如，企业同时生产两种或两种以上玻璃产品时，应对不同玻璃产品生产线进行能耗分项计量；如有条件，应对每一个工艺单元进行能耗分项计量。</w:t>
      </w:r>
    </w:p>
    <w:p>
      <w:pPr>
        <w:numPr>
          <w:ilvl w:val="0"/>
          <w:numId w:val="21"/>
        </w:numPr>
        <w:spacing w:line="380" w:lineRule="exact"/>
        <w:ind w:left="777" w:hanging="357"/>
        <w:rPr>
          <w:szCs w:val="21"/>
        </w:rPr>
      </w:pPr>
      <w:r>
        <w:rPr>
          <w:rFonts w:hint="eastAsia"/>
          <w:szCs w:val="21"/>
        </w:rPr>
        <w:t>若无法避免分配，宜以能反映它们之间潜在物理关系的方式，将系统的输入和输出数据分配到不同产品。针对能源消耗数据分配的举例见附录A。</w:t>
      </w:r>
    </w:p>
    <w:p>
      <w:pPr>
        <w:numPr>
          <w:ilvl w:val="0"/>
          <w:numId w:val="21"/>
        </w:numPr>
        <w:spacing w:line="380" w:lineRule="exact"/>
        <w:ind w:left="777" w:hanging="357"/>
        <w:rPr>
          <w:szCs w:val="21"/>
        </w:rPr>
      </w:pPr>
      <w:r>
        <w:rPr>
          <w:rFonts w:hint="eastAsia"/>
          <w:szCs w:val="21"/>
        </w:rPr>
        <w:t>当物理关系无法建立或无法用来作为分配基础时，宜以能反映它们之间非物理关系的方式将输入和输出数据在产品之间进行分配，例如可以根据产品的经济价值按比例进行分配。</w:t>
      </w:r>
    </w:p>
    <w:p>
      <w:pPr>
        <w:pStyle w:val="138"/>
        <w:spacing w:before="240" w:after="240" w:line="380" w:lineRule="exact"/>
        <w:outlineLvl w:val="0"/>
        <w:rPr>
          <w:rFonts w:ascii="Times New Roman" w:eastAsia="宋体"/>
          <w:b/>
        </w:rPr>
      </w:pPr>
      <w:r>
        <w:rPr>
          <w:rFonts w:hint="eastAsia" w:ascii="Times New Roman" w:eastAsia="宋体"/>
          <w:b/>
        </w:rPr>
        <w:t>影响评价</w:t>
      </w:r>
    </w:p>
    <w:p>
      <w:pPr>
        <w:pStyle w:val="138"/>
        <w:numPr>
          <w:ilvl w:val="1"/>
          <w:numId w:val="2"/>
        </w:numPr>
        <w:spacing w:before="240" w:after="240" w:line="380" w:lineRule="exact"/>
        <w:rPr>
          <w:rFonts w:ascii="Times New Roman" w:eastAsia="宋体"/>
          <w:szCs w:val="22"/>
        </w:rPr>
      </w:pPr>
      <w:bookmarkStart w:id="79" w:name="_Toc7717"/>
      <w:r>
        <w:rPr>
          <w:rFonts w:ascii="Times New Roman" w:eastAsia="宋体"/>
          <w:szCs w:val="22"/>
        </w:rPr>
        <w:t>概述</w:t>
      </w:r>
      <w:bookmarkEnd w:id="79"/>
    </w:p>
    <w:p>
      <w:pPr>
        <w:pStyle w:val="28"/>
        <w:spacing w:line="380" w:lineRule="exact"/>
        <w:rPr>
          <w:rFonts w:ascii="Times New Roman"/>
        </w:rPr>
      </w:pPr>
      <w:r>
        <w:rPr>
          <w:rFonts w:ascii="Times New Roman"/>
        </w:rPr>
        <w:t>应通过排放或清除的温室气体的质量乘以政府间气候变化专门委员会（IPCC）给出的100年全球变暖潜势（GWP），来计算产品系统每种温室气体排放和清除的潜在气候变化影响，单位为每千克排放量的千克二氧化碳当量。产品碳足迹为所有温室气体潜在气候变化影响的总和。</w:t>
      </w:r>
    </w:p>
    <w:p>
      <w:pPr>
        <w:pStyle w:val="28"/>
        <w:spacing w:line="380" w:lineRule="exact"/>
        <w:rPr>
          <w:rFonts w:ascii="Times New Roman"/>
        </w:rPr>
      </w:pPr>
      <w:r>
        <w:rPr>
          <w:rFonts w:hint="eastAsia" w:ascii="Times New Roman"/>
        </w:rPr>
        <w:t>可参考附录B进行取值，</w:t>
      </w:r>
      <w:r>
        <w:rPr>
          <w:rFonts w:ascii="Times New Roman"/>
        </w:rPr>
        <w:t>若IPCC修订了全球变暖潜势值（GWP），应使用最新数值，否则应在报告中说明</w:t>
      </w:r>
      <w:r>
        <w:rPr>
          <w:rFonts w:hint="eastAsia" w:ascii="Times New Roman"/>
        </w:rPr>
        <w:t>。</w:t>
      </w:r>
    </w:p>
    <w:p>
      <w:pPr>
        <w:pStyle w:val="138"/>
        <w:numPr>
          <w:ilvl w:val="1"/>
          <w:numId w:val="2"/>
        </w:numPr>
        <w:spacing w:before="240" w:after="240" w:line="380" w:lineRule="exact"/>
        <w:rPr>
          <w:rFonts w:ascii="Times New Roman" w:eastAsia="宋体"/>
          <w:szCs w:val="22"/>
        </w:rPr>
      </w:pPr>
      <w:bookmarkStart w:id="80" w:name="_Toc19863"/>
      <w:r>
        <w:rPr>
          <w:rFonts w:ascii="Times New Roman" w:eastAsia="宋体"/>
          <w:szCs w:val="22"/>
        </w:rPr>
        <w:t>产品碳足迹计算</w:t>
      </w:r>
      <w:bookmarkEnd w:id="80"/>
    </w:p>
    <w:p>
      <w:pPr>
        <w:pStyle w:val="28"/>
        <w:spacing w:line="380" w:lineRule="exact"/>
        <w:rPr>
          <w:rFonts w:ascii="Times New Roman"/>
        </w:rPr>
      </w:pPr>
      <w:r>
        <w:rPr>
          <w:rFonts w:ascii="Times New Roman"/>
        </w:rPr>
        <w:t>产品碳足迹计算方法见公式（</w:t>
      </w:r>
      <w:r>
        <w:rPr>
          <w:rFonts w:hint="eastAsia" w:ascii="Times New Roman"/>
        </w:rPr>
        <w:t>1</w:t>
      </w:r>
      <w:r>
        <w:rPr>
          <w:rFonts w:ascii="Times New Roman"/>
        </w:rPr>
        <w:t>）</w:t>
      </w:r>
      <w:r>
        <w:rPr>
          <w:rFonts w:hint="eastAsia" w:ascii="Times New Roman"/>
        </w:rPr>
        <w:t>。</w:t>
      </w:r>
    </w:p>
    <w:p>
      <w:pPr>
        <w:pStyle w:val="28"/>
        <w:spacing w:line="380" w:lineRule="exact"/>
        <w:jc w:val="center"/>
        <w:rPr>
          <w:rFonts w:ascii="Times New Roman"/>
        </w:rPr>
      </w:pPr>
      <w:r>
        <w:rPr>
          <w:rFonts w:ascii="Times New Roman"/>
        </w:rPr>
        <w:t>E</w:t>
      </w:r>
      <w:r>
        <w:rPr>
          <w:rFonts w:hint="eastAsia" w:ascii="Times New Roman"/>
          <w:vertAlign w:val="subscript"/>
        </w:rPr>
        <w:t>产品碳足迹</w:t>
      </w:r>
      <w:r>
        <w:rPr>
          <w:rFonts w:ascii="Times New Roman"/>
        </w:rPr>
        <w:t>=E</w:t>
      </w:r>
      <w:r>
        <w:rPr>
          <w:rFonts w:ascii="Times New Roman"/>
          <w:vertAlign w:val="subscript"/>
        </w:rPr>
        <w:t>原</w:t>
      </w:r>
      <w:r>
        <w:rPr>
          <w:rFonts w:hint="eastAsia" w:ascii="Times New Roman"/>
          <w:vertAlign w:val="subscript"/>
        </w:rPr>
        <w:t>辅</w:t>
      </w:r>
      <w:r>
        <w:rPr>
          <w:rFonts w:ascii="Times New Roman"/>
          <w:vertAlign w:val="subscript"/>
        </w:rPr>
        <w:t>料</w:t>
      </w:r>
      <w:r>
        <w:rPr>
          <w:rFonts w:ascii="Times New Roman"/>
        </w:rPr>
        <w:t>+</w:t>
      </w:r>
      <w:r>
        <w:rPr>
          <w:rFonts w:hint="eastAsia" w:ascii="Times New Roman"/>
        </w:rPr>
        <w:t>E</w:t>
      </w:r>
      <w:r>
        <w:rPr>
          <w:rFonts w:hint="eastAsia" w:ascii="Times New Roman"/>
          <w:vertAlign w:val="subscript"/>
        </w:rPr>
        <w:t>运输</w:t>
      </w:r>
      <w:r>
        <w:rPr>
          <w:rFonts w:ascii="Times New Roman"/>
        </w:rPr>
        <w:t>+E</w:t>
      </w:r>
      <w:r>
        <w:rPr>
          <w:rFonts w:hint="eastAsia" w:ascii="Times New Roman"/>
          <w:vertAlign w:val="subscript"/>
        </w:rPr>
        <w:t>加工制造</w:t>
      </w:r>
      <w:r>
        <w:rPr>
          <w:rFonts w:ascii="Times New Roman"/>
        </w:rPr>
        <w:t>--------（</w:t>
      </w:r>
      <w:r>
        <w:rPr>
          <w:rFonts w:hint="eastAsia" w:ascii="Times New Roman"/>
        </w:rPr>
        <w:t>1</w:t>
      </w:r>
      <w:r>
        <w:rPr>
          <w:rFonts w:ascii="Times New Roman"/>
        </w:rPr>
        <w:t>）</w:t>
      </w:r>
    </w:p>
    <w:p>
      <w:pPr>
        <w:pStyle w:val="28"/>
        <w:spacing w:line="380" w:lineRule="exact"/>
        <w:rPr>
          <w:rFonts w:ascii="Times New Roman"/>
        </w:rPr>
      </w:pPr>
      <w:r>
        <w:rPr>
          <w:rFonts w:ascii="Times New Roman"/>
        </w:rPr>
        <w:t>式中：</w:t>
      </w:r>
    </w:p>
    <w:p>
      <w:pPr>
        <w:pStyle w:val="28"/>
        <w:spacing w:line="380" w:lineRule="exact"/>
        <w:rPr>
          <w:rFonts w:ascii="Times New Roman"/>
        </w:rPr>
      </w:pPr>
      <w:r>
        <w:rPr>
          <w:rFonts w:ascii="Times New Roman"/>
        </w:rPr>
        <w:t>E</w:t>
      </w:r>
      <w:r>
        <w:rPr>
          <w:rFonts w:hint="eastAsia" w:ascii="Times New Roman"/>
          <w:vertAlign w:val="subscript"/>
        </w:rPr>
        <w:t>产品碳足迹</w:t>
      </w:r>
      <w:r>
        <w:rPr>
          <w:rFonts w:ascii="Times New Roman"/>
        </w:rPr>
        <w:t>——</w:t>
      </w:r>
      <w:r>
        <w:rPr>
          <w:rFonts w:hint="eastAsia" w:ascii="Times New Roman"/>
        </w:rPr>
        <w:t>声明单位玻璃</w:t>
      </w:r>
      <w:r>
        <w:rPr>
          <w:rFonts w:ascii="Times New Roman"/>
        </w:rPr>
        <w:t>产品</w:t>
      </w:r>
      <w:r>
        <w:rPr>
          <w:rFonts w:hint="eastAsia" w:ascii="Times New Roman"/>
        </w:rPr>
        <w:t>温室气体排放量</w:t>
      </w:r>
      <w:r>
        <w:rPr>
          <w:rFonts w:ascii="Times New Roman"/>
        </w:rPr>
        <w:t>，单位为千克二氧化碳当量/平方米</w:t>
      </w:r>
      <w:r>
        <w:rPr>
          <w:rFonts w:hint="eastAsia" w:ascii="Times New Roman"/>
        </w:rPr>
        <w:t xml:space="preserve"> (</w:t>
      </w:r>
      <w:r>
        <w:rPr>
          <w:rFonts w:ascii="Times New Roman"/>
        </w:rPr>
        <w:t>kgCO</w:t>
      </w:r>
      <w:r>
        <w:rPr>
          <w:rFonts w:ascii="Times New Roman"/>
          <w:vertAlign w:val="subscript"/>
        </w:rPr>
        <w:t>2</w:t>
      </w:r>
      <w:r>
        <w:rPr>
          <w:rFonts w:ascii="Times New Roman"/>
        </w:rPr>
        <w:t>e/m</w:t>
      </w:r>
      <w:r>
        <w:rPr>
          <w:rFonts w:ascii="Times New Roman"/>
          <w:vertAlign w:val="superscript"/>
        </w:rPr>
        <w:t>2</w:t>
      </w:r>
      <w:r>
        <w:rPr>
          <w:rFonts w:hint="eastAsia" w:ascii="Times New Roman"/>
        </w:rPr>
        <w:t>)</w:t>
      </w:r>
      <w:r>
        <w:rPr>
          <w:rFonts w:ascii="Times New Roman"/>
        </w:rPr>
        <w:t>；</w:t>
      </w:r>
    </w:p>
    <w:p>
      <w:pPr>
        <w:pStyle w:val="28"/>
        <w:spacing w:line="380" w:lineRule="exact"/>
        <w:rPr>
          <w:rFonts w:ascii="Times New Roman"/>
        </w:rPr>
      </w:pPr>
      <w:r>
        <w:rPr>
          <w:rFonts w:ascii="Times New Roman"/>
        </w:rPr>
        <w:t>E</w:t>
      </w:r>
      <w:r>
        <w:rPr>
          <w:rFonts w:ascii="Times New Roman"/>
          <w:vertAlign w:val="subscript"/>
        </w:rPr>
        <w:t>原</w:t>
      </w:r>
      <w:r>
        <w:rPr>
          <w:rFonts w:hint="eastAsia" w:ascii="Times New Roman"/>
          <w:vertAlign w:val="subscript"/>
        </w:rPr>
        <w:t>辅</w:t>
      </w:r>
      <w:r>
        <w:rPr>
          <w:rFonts w:ascii="Times New Roman"/>
          <w:vertAlign w:val="subscript"/>
        </w:rPr>
        <w:t>料</w:t>
      </w:r>
      <w:r>
        <w:rPr>
          <w:rFonts w:ascii="Times New Roman"/>
          <w:color w:val="000000"/>
          <w:lang w:bidi="ar"/>
        </w:rPr>
        <w:t>——</w:t>
      </w:r>
      <w:r>
        <w:rPr>
          <w:rFonts w:hint="eastAsia" w:ascii="Times New Roman"/>
          <w:color w:val="000000"/>
          <w:lang w:bidi="ar"/>
        </w:rPr>
        <w:t>统计期内</w:t>
      </w:r>
      <w:r>
        <w:rPr>
          <w:rFonts w:hint="eastAsia" w:ascii="Times New Roman"/>
        </w:rPr>
        <w:t>声明</w:t>
      </w:r>
      <w:r>
        <w:rPr>
          <w:rFonts w:hint="eastAsia" w:ascii="Times New Roman"/>
          <w:color w:val="000000"/>
          <w:lang w:bidi="ar"/>
        </w:rPr>
        <w:t>单位玻璃产品</w:t>
      </w:r>
      <w:r>
        <w:rPr>
          <w:rFonts w:ascii="Times New Roman"/>
        </w:rPr>
        <w:t>原</w:t>
      </w:r>
      <w:r>
        <w:rPr>
          <w:rFonts w:hint="eastAsia" w:ascii="Times New Roman"/>
        </w:rPr>
        <w:t>辅</w:t>
      </w:r>
      <w:r>
        <w:rPr>
          <w:rFonts w:ascii="Times New Roman"/>
        </w:rPr>
        <w:t>料温室气体排放量，单位为千克二氧化碳当量/平方米</w:t>
      </w:r>
      <w:r>
        <w:rPr>
          <w:rFonts w:hint="eastAsia" w:ascii="Times New Roman"/>
        </w:rPr>
        <w:t xml:space="preserve"> </w:t>
      </w:r>
      <w:r>
        <w:rPr>
          <w:rFonts w:ascii="Times New Roman"/>
        </w:rPr>
        <w:t>(kgCO</w:t>
      </w:r>
      <w:r>
        <w:rPr>
          <w:rFonts w:ascii="Times New Roman"/>
          <w:vertAlign w:val="subscript"/>
        </w:rPr>
        <w:t>2</w:t>
      </w:r>
      <w:r>
        <w:rPr>
          <w:rFonts w:ascii="Times New Roman"/>
        </w:rPr>
        <w:t>e/m</w:t>
      </w:r>
      <w:r>
        <w:rPr>
          <w:rFonts w:ascii="Times New Roman"/>
          <w:vertAlign w:val="superscript"/>
        </w:rPr>
        <w:t>2</w:t>
      </w:r>
      <w:r>
        <w:rPr>
          <w:rFonts w:hint="eastAsia" w:ascii="Times New Roman"/>
        </w:rPr>
        <w:t>)</w:t>
      </w:r>
      <w:r>
        <w:rPr>
          <w:rFonts w:ascii="Times New Roman"/>
        </w:rPr>
        <w:t>；</w:t>
      </w:r>
    </w:p>
    <w:p>
      <w:pPr>
        <w:pStyle w:val="28"/>
        <w:spacing w:line="380" w:lineRule="exact"/>
        <w:rPr>
          <w:rFonts w:ascii="Times New Roman"/>
        </w:rPr>
      </w:pPr>
      <w:r>
        <w:rPr>
          <w:rFonts w:hint="eastAsia" w:ascii="Times New Roman"/>
        </w:rPr>
        <w:t>E</w:t>
      </w:r>
      <w:r>
        <w:rPr>
          <w:rFonts w:hint="eastAsia" w:ascii="Times New Roman"/>
          <w:vertAlign w:val="subscript"/>
        </w:rPr>
        <w:t>运输</w:t>
      </w:r>
      <w:r>
        <w:rPr>
          <w:rFonts w:ascii="Times New Roman"/>
        </w:rPr>
        <w:t>——</w:t>
      </w:r>
      <w:r>
        <w:rPr>
          <w:rFonts w:hint="eastAsia" w:ascii="Times New Roman"/>
        </w:rPr>
        <w:t>统计期内声明单位玻璃产品原辅料和燃料运输过程温室气体排放量，单位为</w:t>
      </w:r>
      <w:r>
        <w:rPr>
          <w:rFonts w:ascii="Times New Roman"/>
        </w:rPr>
        <w:t>千克二氧化碳当量/平方米</w:t>
      </w:r>
      <w:r>
        <w:rPr>
          <w:rFonts w:hint="eastAsia" w:ascii="Times New Roman"/>
        </w:rPr>
        <w:t xml:space="preserve"> </w:t>
      </w:r>
      <w:r>
        <w:rPr>
          <w:rFonts w:ascii="Times New Roman"/>
        </w:rPr>
        <w:t>(kgCO</w:t>
      </w:r>
      <w:r>
        <w:rPr>
          <w:rFonts w:ascii="Times New Roman"/>
          <w:vertAlign w:val="subscript"/>
        </w:rPr>
        <w:t>2</w:t>
      </w:r>
      <w:r>
        <w:rPr>
          <w:rFonts w:ascii="Times New Roman"/>
        </w:rPr>
        <w:t>e/m</w:t>
      </w:r>
      <w:r>
        <w:rPr>
          <w:rFonts w:ascii="Times New Roman"/>
          <w:vertAlign w:val="superscript"/>
        </w:rPr>
        <w:t>2</w:t>
      </w:r>
      <w:r>
        <w:rPr>
          <w:rFonts w:hint="eastAsia" w:ascii="Times New Roman"/>
        </w:rPr>
        <w:t>)</w:t>
      </w:r>
      <w:r>
        <w:rPr>
          <w:rFonts w:ascii="Times New Roman"/>
        </w:rPr>
        <w:t>；</w:t>
      </w:r>
    </w:p>
    <w:p>
      <w:pPr>
        <w:widowControl/>
        <w:tabs>
          <w:tab w:val="center" w:pos="4201"/>
          <w:tab w:val="right" w:leader="dot" w:pos="9298"/>
        </w:tabs>
        <w:autoSpaceDE w:val="0"/>
        <w:autoSpaceDN w:val="0"/>
        <w:spacing w:line="380" w:lineRule="exact"/>
        <w:ind w:firstLine="420" w:firstLineChars="200"/>
      </w:pPr>
      <w:r>
        <w:t>E</w:t>
      </w:r>
      <w:r>
        <w:rPr>
          <w:rFonts w:hint="eastAsia"/>
          <w:vertAlign w:val="subscript"/>
        </w:rPr>
        <w:t>加工制造</w:t>
      </w:r>
      <w:r>
        <w:rPr>
          <w:color w:val="000000"/>
          <w:lang w:bidi="ar"/>
        </w:rPr>
        <w:t>——</w:t>
      </w:r>
      <w:r>
        <w:rPr>
          <w:rFonts w:hint="eastAsia"/>
        </w:rPr>
        <w:t>统计期内声明单位玻璃产品加工制造过程温室气体排放量</w:t>
      </w:r>
      <w:r>
        <w:t>，单位为千克二氧化碳当量/平方米</w:t>
      </w:r>
      <w:r>
        <w:rPr>
          <w:rFonts w:hint="eastAsia"/>
        </w:rPr>
        <w:t xml:space="preserve"> </w:t>
      </w:r>
      <w:r>
        <w:t>(kgCO</w:t>
      </w:r>
      <w:r>
        <w:rPr>
          <w:vertAlign w:val="subscript"/>
        </w:rPr>
        <w:t>2</w:t>
      </w:r>
      <w:r>
        <w:t>e/m</w:t>
      </w:r>
      <w:r>
        <w:rPr>
          <w:vertAlign w:val="superscript"/>
        </w:rPr>
        <w:t>2</w:t>
      </w:r>
      <w:r>
        <w:rPr>
          <w:rFonts w:hint="eastAsia"/>
        </w:rPr>
        <w:t>)。</w:t>
      </w:r>
    </w:p>
    <w:p>
      <w:pPr>
        <w:pStyle w:val="138"/>
        <w:numPr>
          <w:ilvl w:val="1"/>
          <w:numId w:val="2"/>
        </w:numPr>
        <w:spacing w:before="240" w:after="240" w:line="380" w:lineRule="exact"/>
        <w:rPr>
          <w:rFonts w:ascii="Times New Roman" w:eastAsia="宋体"/>
          <w:szCs w:val="22"/>
        </w:rPr>
      </w:pPr>
      <w:bookmarkStart w:id="81" w:name="_Toc9949"/>
      <w:r>
        <w:rPr>
          <w:rFonts w:ascii="Times New Roman" w:eastAsia="宋体"/>
          <w:szCs w:val="22"/>
        </w:rPr>
        <w:t>原</w:t>
      </w:r>
      <w:r>
        <w:rPr>
          <w:rFonts w:hint="eastAsia" w:ascii="Times New Roman" w:eastAsia="宋体"/>
          <w:szCs w:val="22"/>
        </w:rPr>
        <w:t>辅</w:t>
      </w:r>
      <w:r>
        <w:rPr>
          <w:rFonts w:ascii="Times New Roman" w:eastAsia="宋体"/>
          <w:szCs w:val="22"/>
        </w:rPr>
        <w:t>料温室气体排放量</w:t>
      </w:r>
      <w:bookmarkEnd w:id="81"/>
    </w:p>
    <w:p>
      <w:pPr>
        <w:pStyle w:val="28"/>
        <w:spacing w:line="380" w:lineRule="exact"/>
        <w:rPr>
          <w:rFonts w:ascii="Times New Roman"/>
        </w:rPr>
      </w:pPr>
      <w:r>
        <w:rPr>
          <w:rFonts w:ascii="Times New Roman"/>
        </w:rPr>
        <w:t>原辅料</w:t>
      </w:r>
      <w:r>
        <w:rPr>
          <w:rFonts w:hint="eastAsia" w:ascii="Times New Roman"/>
        </w:rPr>
        <w:t>获取阶段温室气体排放量按公式</w:t>
      </w:r>
      <w:r>
        <w:rPr>
          <w:rFonts w:ascii="Times New Roman"/>
        </w:rPr>
        <w:t>（</w:t>
      </w:r>
      <w:r>
        <w:rPr>
          <w:rFonts w:hint="eastAsia" w:ascii="Times New Roman"/>
        </w:rPr>
        <w:t>2</w:t>
      </w:r>
      <w:r>
        <w:rPr>
          <w:rFonts w:ascii="Times New Roman"/>
        </w:rPr>
        <w:t>）</w:t>
      </w:r>
      <w:r>
        <w:rPr>
          <w:rFonts w:hint="eastAsia" w:ascii="Times New Roman"/>
        </w:rPr>
        <w:t>计算：</w:t>
      </w:r>
    </w:p>
    <w:p>
      <w:pPr>
        <w:pStyle w:val="28"/>
        <w:spacing w:line="380" w:lineRule="exact"/>
        <w:jc w:val="center"/>
        <w:rPr>
          <w:rFonts w:ascii="Times New Roman"/>
        </w:rPr>
      </w:pPr>
      <w:r>
        <w:rPr>
          <w:rFonts w:ascii="Times New Roman"/>
        </w:rPr>
        <w:t>E</w:t>
      </w:r>
      <w:r>
        <w:rPr>
          <w:rFonts w:hint="eastAsia" w:ascii="Times New Roman"/>
          <w:vertAlign w:val="subscript"/>
        </w:rPr>
        <w:t>原辅料</w:t>
      </w:r>
      <w:r>
        <w:rPr>
          <w:rFonts w:ascii="Times New Roman"/>
        </w:rPr>
        <w:t>=</w:t>
      </w:r>
      <w:r>
        <w:rPr>
          <w:rFonts w:ascii="Times New Roman"/>
          <w:lang w:bidi="ar"/>
        </w:rPr>
        <w:t>∑</w:t>
      </w:r>
      <w:r>
        <w:rPr>
          <w:rFonts w:ascii="Times New Roman"/>
        </w:rPr>
        <w:t>（A</w:t>
      </w:r>
      <w:r>
        <w:rPr>
          <w:rFonts w:hint="eastAsia" w:ascii="Times New Roman"/>
        </w:rPr>
        <w:t>C</w:t>
      </w:r>
      <w:r>
        <w:rPr>
          <w:rFonts w:hint="eastAsia" w:ascii="Times New Roman"/>
          <w:vertAlign w:val="subscript"/>
        </w:rPr>
        <w:t xml:space="preserve">i原辅料 </w:t>
      </w:r>
      <w:r>
        <w:rPr>
          <w:rFonts w:ascii="Times New Roman"/>
        </w:rPr>
        <w:t>×</w:t>
      </w:r>
      <w:r>
        <w:rPr>
          <w:rFonts w:hint="eastAsia" w:ascii="Times New Roman"/>
        </w:rPr>
        <w:t xml:space="preserve"> </w:t>
      </w:r>
      <w:r>
        <w:rPr>
          <w:rFonts w:ascii="Times New Roman"/>
        </w:rPr>
        <w:t>EF</w:t>
      </w:r>
      <w:r>
        <w:rPr>
          <w:rFonts w:hint="eastAsia" w:ascii="Times New Roman"/>
          <w:vertAlign w:val="subscript"/>
        </w:rPr>
        <w:t>i原辅料</w:t>
      </w:r>
      <w:r>
        <w:rPr>
          <w:rFonts w:ascii="Times New Roman"/>
        </w:rPr>
        <w:t>）--------（</w:t>
      </w:r>
      <w:r>
        <w:rPr>
          <w:rFonts w:hint="eastAsia" w:ascii="Times New Roman"/>
        </w:rPr>
        <w:t>2</w:t>
      </w:r>
      <w:r>
        <w:rPr>
          <w:rFonts w:ascii="Times New Roman"/>
        </w:rPr>
        <w:t>）</w:t>
      </w:r>
    </w:p>
    <w:p>
      <w:pPr>
        <w:pStyle w:val="28"/>
        <w:spacing w:line="380" w:lineRule="exact"/>
        <w:rPr>
          <w:rFonts w:ascii="Times New Roman"/>
        </w:rPr>
      </w:pPr>
      <w:r>
        <w:rPr>
          <w:rFonts w:ascii="Times New Roman"/>
        </w:rPr>
        <w:t>式中：</w:t>
      </w:r>
    </w:p>
    <w:p>
      <w:pPr>
        <w:widowControl/>
        <w:tabs>
          <w:tab w:val="center" w:pos="4201"/>
          <w:tab w:val="right" w:leader="dot" w:pos="9298"/>
        </w:tabs>
        <w:autoSpaceDE w:val="0"/>
        <w:autoSpaceDN w:val="0"/>
        <w:spacing w:line="380" w:lineRule="exact"/>
        <w:ind w:firstLine="420" w:firstLineChars="200"/>
      </w:pPr>
      <w:r>
        <w:rPr>
          <w:rFonts w:hint="eastAsia"/>
          <w:kern w:val="0"/>
          <w:szCs w:val="20"/>
        </w:rPr>
        <w:t>i</w:t>
      </w:r>
      <w:r>
        <w:rPr>
          <w:color w:val="000000"/>
          <w:lang w:bidi="ar"/>
        </w:rPr>
        <w:t>——</w:t>
      </w:r>
      <w:r>
        <w:rPr>
          <w:rFonts w:hint="eastAsia"/>
          <w:kern w:val="0"/>
          <w:szCs w:val="20"/>
        </w:rPr>
        <w:t>不同原辅料类型；</w:t>
      </w:r>
    </w:p>
    <w:p>
      <w:pPr>
        <w:pStyle w:val="28"/>
        <w:spacing w:line="380" w:lineRule="exact"/>
        <w:rPr>
          <w:rFonts w:ascii="Times New Roman"/>
        </w:rPr>
      </w:pPr>
      <w:r>
        <w:rPr>
          <w:rFonts w:ascii="Times New Roman"/>
        </w:rPr>
        <w:t>A</w:t>
      </w:r>
      <w:r>
        <w:rPr>
          <w:rFonts w:hint="eastAsia" w:ascii="Times New Roman"/>
        </w:rPr>
        <w:t>C</w:t>
      </w:r>
      <w:r>
        <w:rPr>
          <w:rFonts w:hint="eastAsia" w:ascii="Times New Roman"/>
          <w:vertAlign w:val="subscript"/>
        </w:rPr>
        <w:t>i原辅料</w:t>
      </w:r>
      <w:r>
        <w:rPr>
          <w:rFonts w:ascii="Times New Roman"/>
        </w:rPr>
        <w:t>——</w:t>
      </w:r>
      <w:r>
        <w:rPr>
          <w:rFonts w:hint="eastAsia" w:ascii="Times New Roman"/>
        </w:rPr>
        <w:t>统计期内生产声明单位玻璃产品</w:t>
      </w:r>
      <w:r>
        <w:rPr>
          <w:rFonts w:ascii="Times New Roman"/>
        </w:rPr>
        <w:t>第</w:t>
      </w:r>
      <w:r>
        <w:rPr>
          <w:rFonts w:hint="eastAsia" w:ascii="Times New Roman"/>
        </w:rPr>
        <w:t>i</w:t>
      </w:r>
      <w:r>
        <w:rPr>
          <w:rFonts w:ascii="Times New Roman"/>
        </w:rPr>
        <w:t>种原辅料的消耗量，单位</w:t>
      </w:r>
      <w:r>
        <w:rPr>
          <w:rFonts w:hint="eastAsia" w:ascii="Times New Roman"/>
        </w:rPr>
        <w:t>为千克/平方米 (kg/</w:t>
      </w:r>
      <w:r>
        <w:rPr>
          <w:rFonts w:ascii="Times New Roman"/>
        </w:rPr>
        <w:t>m</w:t>
      </w:r>
      <w:r>
        <w:rPr>
          <w:rFonts w:ascii="Times New Roman"/>
          <w:vertAlign w:val="superscript"/>
        </w:rPr>
        <w:t>2</w:t>
      </w:r>
      <w:r>
        <w:rPr>
          <w:rFonts w:hint="eastAsia" w:ascii="Times New Roman"/>
        </w:rPr>
        <w:t>)；</w:t>
      </w:r>
    </w:p>
    <w:p>
      <w:pPr>
        <w:pStyle w:val="28"/>
        <w:spacing w:line="380" w:lineRule="exact"/>
        <w:rPr>
          <w:rFonts w:ascii="Times New Roman"/>
        </w:rPr>
      </w:pPr>
      <w:r>
        <w:rPr>
          <w:rFonts w:ascii="Times New Roman"/>
        </w:rPr>
        <w:t>EF</w:t>
      </w:r>
      <w:r>
        <w:rPr>
          <w:rFonts w:hint="eastAsia" w:ascii="Times New Roman"/>
          <w:vertAlign w:val="subscript"/>
        </w:rPr>
        <w:t>i原辅料</w:t>
      </w:r>
      <w:r>
        <w:rPr>
          <w:rFonts w:ascii="Times New Roman"/>
        </w:rPr>
        <w:t>——第</w:t>
      </w:r>
      <w:r>
        <w:rPr>
          <w:rFonts w:hint="eastAsia" w:ascii="Times New Roman"/>
        </w:rPr>
        <w:t>i</w:t>
      </w:r>
      <w:r>
        <w:rPr>
          <w:rFonts w:ascii="Times New Roman"/>
        </w:rPr>
        <w:t>种原辅料的温室气体排放因子，单位</w:t>
      </w:r>
      <w:r>
        <w:rPr>
          <w:rFonts w:hint="eastAsia" w:ascii="Times New Roman"/>
        </w:rPr>
        <w:t>为</w:t>
      </w:r>
      <w:r>
        <w:rPr>
          <w:rFonts w:ascii="Times New Roman"/>
        </w:rPr>
        <w:t>千克二氧化碳当量/</w:t>
      </w:r>
      <w:r>
        <w:rPr>
          <w:rFonts w:hint="eastAsia" w:ascii="Times New Roman"/>
        </w:rPr>
        <w:t xml:space="preserve">千克 </w:t>
      </w:r>
      <w:r>
        <w:rPr>
          <w:rFonts w:ascii="Times New Roman"/>
        </w:rPr>
        <w:t>(kgCO</w:t>
      </w:r>
      <w:r>
        <w:rPr>
          <w:rFonts w:ascii="Times New Roman"/>
          <w:vertAlign w:val="subscript"/>
        </w:rPr>
        <w:t>2</w:t>
      </w:r>
      <w:r>
        <w:rPr>
          <w:rFonts w:ascii="Times New Roman"/>
        </w:rPr>
        <w:t>e/</w:t>
      </w:r>
      <w:r>
        <w:rPr>
          <w:rFonts w:hint="eastAsia" w:ascii="Times New Roman"/>
        </w:rPr>
        <w:t>kg)，</w:t>
      </w:r>
      <w:r>
        <w:rPr>
          <w:rFonts w:hint="eastAsia"/>
        </w:rPr>
        <w:t>应优先选取原辅料供应商提供的符合相关</w:t>
      </w:r>
      <w:r>
        <w:rPr>
          <w:rFonts w:ascii="Times New Roman"/>
        </w:rPr>
        <w:t>LCA</w:t>
      </w:r>
      <w:r>
        <w:rPr>
          <w:rFonts w:hint="eastAsia"/>
        </w:rPr>
        <w:t>标准要求的、经第三方独立验证的数据，其中平板玻璃若未获得上游供应商数据，可参考附录</w:t>
      </w:r>
      <w:r>
        <w:rPr>
          <w:rFonts w:hint="eastAsia" w:ascii="Times New Roman"/>
        </w:rPr>
        <w:t>C</w:t>
      </w:r>
      <w:r>
        <w:rPr>
          <w:rFonts w:hint="eastAsia"/>
        </w:rPr>
        <w:t>的排放因子数值。</w:t>
      </w:r>
    </w:p>
    <w:p>
      <w:pPr>
        <w:pStyle w:val="138"/>
        <w:numPr>
          <w:ilvl w:val="1"/>
          <w:numId w:val="2"/>
        </w:numPr>
        <w:spacing w:before="240" w:after="240" w:line="380" w:lineRule="exact"/>
        <w:rPr>
          <w:rFonts w:ascii="Times New Roman"/>
          <w:szCs w:val="22"/>
        </w:rPr>
      </w:pPr>
      <w:r>
        <w:rPr>
          <w:rFonts w:hint="eastAsia" w:ascii="Times New Roman" w:eastAsia="宋体"/>
          <w:szCs w:val="22"/>
        </w:rPr>
        <w:t>运输</w:t>
      </w:r>
      <w:r>
        <w:rPr>
          <w:rFonts w:ascii="Times New Roman" w:eastAsia="宋体"/>
          <w:szCs w:val="22"/>
        </w:rPr>
        <w:t>过程温室气体排放量</w:t>
      </w:r>
    </w:p>
    <w:p>
      <w:pPr>
        <w:pStyle w:val="28"/>
        <w:ind w:left="181" w:leftChars="86"/>
      </w:pPr>
      <w:r>
        <w:rPr>
          <w:rFonts w:hint="eastAsia"/>
        </w:rPr>
        <w:t>运输过程温室气体排放量按公式（</w:t>
      </w:r>
      <w:r>
        <w:rPr>
          <w:rFonts w:hint="eastAsia" w:ascii="Times New Roman"/>
        </w:rPr>
        <w:t>3</w:t>
      </w:r>
      <w:r>
        <w:rPr>
          <w:rFonts w:hint="eastAsia"/>
        </w:rPr>
        <w:t>）计算：</w:t>
      </w:r>
    </w:p>
    <w:p>
      <w:pPr>
        <w:pStyle w:val="28"/>
        <w:spacing w:line="380" w:lineRule="exact"/>
        <w:ind w:firstLine="0" w:firstLineChars="0"/>
        <w:jc w:val="center"/>
      </w:pPr>
      <w:r>
        <w:rPr>
          <w:rFonts w:hint="eastAsia" w:ascii="Times New Roman"/>
        </w:rPr>
        <w:t>E</w:t>
      </w:r>
      <w:r>
        <w:rPr>
          <w:rFonts w:hint="eastAsia" w:ascii="Times New Roman"/>
          <w:vertAlign w:val="subscript"/>
        </w:rPr>
        <w:t>运输</w:t>
      </w:r>
      <w:r>
        <w:rPr>
          <w:rFonts w:hint="eastAsia" w:ascii="Times New Roman"/>
        </w:rPr>
        <w:t>=E</w:t>
      </w:r>
      <w:r>
        <w:rPr>
          <w:vertAlign w:val="subscript"/>
        </w:rPr>
        <w:t>i</w:t>
      </w:r>
      <w:r>
        <w:rPr>
          <w:rFonts w:hint="eastAsia" w:ascii="Times New Roman"/>
          <w:vertAlign w:val="subscript"/>
        </w:rPr>
        <w:t xml:space="preserve">运输 </w:t>
      </w:r>
      <w:r>
        <w:rPr>
          <w:rFonts w:hint="eastAsia" w:ascii="Times New Roman"/>
        </w:rPr>
        <w:t>+ E</w:t>
      </w:r>
      <w:r>
        <w:rPr>
          <w:rFonts w:hint="eastAsia" w:ascii="Times New Roman"/>
          <w:vertAlign w:val="subscript"/>
        </w:rPr>
        <w:t>j运输</w:t>
      </w:r>
      <w:r>
        <w:rPr>
          <w:rFonts w:ascii="Times New Roman"/>
        </w:rPr>
        <w:t>--------（</w:t>
      </w:r>
      <w:r>
        <w:rPr>
          <w:rFonts w:hint="eastAsia" w:ascii="Times New Roman"/>
        </w:rPr>
        <w:t>3</w:t>
      </w:r>
      <w:r>
        <w:rPr>
          <w:rFonts w:ascii="Times New Roman"/>
        </w:rPr>
        <w:t>）</w:t>
      </w:r>
    </w:p>
    <w:p>
      <w:pPr>
        <w:widowControl/>
        <w:tabs>
          <w:tab w:val="center" w:pos="4201"/>
          <w:tab w:val="right" w:leader="dot" w:pos="9298"/>
        </w:tabs>
        <w:autoSpaceDE w:val="0"/>
        <w:autoSpaceDN w:val="0"/>
        <w:spacing w:line="380" w:lineRule="exact"/>
        <w:ind w:firstLine="420" w:firstLineChars="200"/>
        <w:rPr>
          <w:kern w:val="0"/>
          <w:szCs w:val="20"/>
        </w:rPr>
      </w:pPr>
      <w:r>
        <w:rPr>
          <w:rFonts w:hint="eastAsia"/>
          <w:kern w:val="0"/>
          <w:szCs w:val="20"/>
        </w:rPr>
        <w:t>E</w:t>
      </w:r>
      <w:r>
        <w:rPr>
          <w:rFonts w:hint="eastAsia"/>
          <w:kern w:val="0"/>
          <w:szCs w:val="20"/>
          <w:vertAlign w:val="subscript"/>
        </w:rPr>
        <w:t>i运输</w:t>
      </w:r>
      <w:r>
        <w:rPr>
          <w:color w:val="000000"/>
          <w:lang w:bidi="ar"/>
        </w:rPr>
        <w:t>——</w:t>
      </w:r>
      <w:r>
        <w:rPr>
          <w:rFonts w:hint="eastAsia"/>
        </w:rPr>
        <w:t>声明</w:t>
      </w:r>
      <w:r>
        <w:rPr>
          <w:rFonts w:hint="eastAsia"/>
          <w:kern w:val="0"/>
          <w:szCs w:val="20"/>
        </w:rPr>
        <w:t>单位玻璃产品第i种原辅料运输产生的温室气体排放量，</w:t>
      </w:r>
      <w:r>
        <w:rPr>
          <w:kern w:val="0"/>
          <w:szCs w:val="20"/>
        </w:rPr>
        <w:t>单位为千克二氧化碳当量/平方米</w:t>
      </w:r>
      <w:r>
        <w:rPr>
          <w:rFonts w:hint="eastAsia"/>
          <w:kern w:val="0"/>
          <w:szCs w:val="20"/>
        </w:rPr>
        <w:t xml:space="preserve"> </w:t>
      </w:r>
      <w:r>
        <w:rPr>
          <w:kern w:val="0"/>
          <w:szCs w:val="20"/>
        </w:rPr>
        <w:t>(kgCO</w:t>
      </w:r>
      <w:r>
        <w:rPr>
          <w:kern w:val="0"/>
          <w:szCs w:val="20"/>
          <w:vertAlign w:val="subscript"/>
        </w:rPr>
        <w:t>2</w:t>
      </w:r>
      <w:r>
        <w:rPr>
          <w:kern w:val="0"/>
          <w:szCs w:val="20"/>
        </w:rPr>
        <w:t>e/</w:t>
      </w:r>
      <w:bookmarkStart w:id="82" w:name="_Hlk174653287"/>
      <w:r>
        <w:rPr>
          <w:kern w:val="0"/>
          <w:szCs w:val="20"/>
        </w:rPr>
        <w:t>m</w:t>
      </w:r>
      <w:r>
        <w:rPr>
          <w:kern w:val="0"/>
          <w:szCs w:val="20"/>
          <w:vertAlign w:val="superscript"/>
        </w:rPr>
        <w:t>2</w:t>
      </w:r>
      <w:bookmarkEnd w:id="82"/>
      <w:r>
        <w:rPr>
          <w:rFonts w:hint="eastAsia"/>
          <w:kern w:val="0"/>
          <w:szCs w:val="20"/>
        </w:rPr>
        <w:t>)；</w:t>
      </w:r>
    </w:p>
    <w:p>
      <w:pPr>
        <w:pStyle w:val="28"/>
        <w:spacing w:line="380" w:lineRule="exact"/>
      </w:pPr>
      <w:r>
        <w:rPr>
          <w:rFonts w:hint="eastAsia" w:ascii="Times New Roman"/>
          <w:lang w:bidi="ar"/>
        </w:rPr>
        <w:t>j</w:t>
      </w:r>
      <w:r>
        <w:rPr>
          <w:rFonts w:ascii="Times New Roman"/>
          <w:lang w:bidi="ar"/>
        </w:rPr>
        <w:t>——</w:t>
      </w:r>
      <w:r>
        <w:rPr>
          <w:rFonts w:hint="eastAsia" w:ascii="Times New Roman"/>
          <w:lang w:bidi="ar"/>
        </w:rPr>
        <w:t>不同</w:t>
      </w:r>
      <w:r>
        <w:rPr>
          <w:rFonts w:ascii="Times New Roman"/>
          <w:lang w:bidi="ar"/>
        </w:rPr>
        <w:t>燃料类型</w:t>
      </w:r>
      <w:r>
        <w:rPr>
          <w:rFonts w:hint="eastAsia" w:ascii="Times New Roman"/>
          <w:lang w:bidi="ar"/>
        </w:rPr>
        <w:t>；</w:t>
      </w:r>
    </w:p>
    <w:p>
      <w:pPr>
        <w:widowControl/>
        <w:tabs>
          <w:tab w:val="center" w:pos="4201"/>
          <w:tab w:val="right" w:leader="dot" w:pos="9298"/>
        </w:tabs>
        <w:autoSpaceDE w:val="0"/>
        <w:autoSpaceDN w:val="0"/>
        <w:spacing w:line="380" w:lineRule="exact"/>
        <w:ind w:firstLine="420" w:firstLineChars="200"/>
        <w:rPr>
          <w:kern w:val="0"/>
          <w:szCs w:val="20"/>
        </w:rPr>
      </w:pPr>
      <w:r>
        <w:rPr>
          <w:rFonts w:hint="eastAsia"/>
          <w:kern w:val="0"/>
          <w:szCs w:val="20"/>
        </w:rPr>
        <w:t>E</w:t>
      </w:r>
      <w:r>
        <w:rPr>
          <w:rFonts w:hint="eastAsia"/>
          <w:kern w:val="0"/>
          <w:szCs w:val="20"/>
          <w:vertAlign w:val="subscript"/>
        </w:rPr>
        <w:t>j运输</w:t>
      </w:r>
      <w:r>
        <w:rPr>
          <w:color w:val="000000"/>
          <w:lang w:bidi="ar"/>
        </w:rPr>
        <w:t>——</w:t>
      </w:r>
      <w:r>
        <w:rPr>
          <w:rFonts w:hint="eastAsia"/>
        </w:rPr>
        <w:t>声明</w:t>
      </w:r>
      <w:r>
        <w:rPr>
          <w:rFonts w:hint="eastAsia"/>
          <w:kern w:val="0"/>
          <w:szCs w:val="20"/>
        </w:rPr>
        <w:t>单位玻璃产品第j种燃料运输产生的温室气体排放量，</w:t>
      </w:r>
      <w:r>
        <w:rPr>
          <w:kern w:val="0"/>
          <w:szCs w:val="20"/>
        </w:rPr>
        <w:t>单位为千克二氧化碳当量/平方米</w:t>
      </w:r>
      <w:r>
        <w:rPr>
          <w:rFonts w:hint="eastAsia"/>
          <w:kern w:val="0"/>
          <w:szCs w:val="20"/>
        </w:rPr>
        <w:t xml:space="preserve"> </w:t>
      </w:r>
      <w:bookmarkStart w:id="83" w:name="_Hlk174652605"/>
      <w:r>
        <w:rPr>
          <w:kern w:val="0"/>
          <w:szCs w:val="20"/>
        </w:rPr>
        <w:t>(kgCO</w:t>
      </w:r>
      <w:r>
        <w:rPr>
          <w:kern w:val="0"/>
          <w:szCs w:val="20"/>
          <w:vertAlign w:val="subscript"/>
        </w:rPr>
        <w:t>2</w:t>
      </w:r>
      <w:r>
        <w:rPr>
          <w:kern w:val="0"/>
          <w:szCs w:val="20"/>
        </w:rPr>
        <w:t>e/m</w:t>
      </w:r>
      <w:r>
        <w:rPr>
          <w:kern w:val="0"/>
          <w:szCs w:val="20"/>
          <w:vertAlign w:val="superscript"/>
        </w:rPr>
        <w:t>2</w:t>
      </w:r>
      <w:r>
        <w:rPr>
          <w:rFonts w:hint="eastAsia"/>
          <w:kern w:val="0"/>
          <w:szCs w:val="20"/>
        </w:rPr>
        <w:t>)</w:t>
      </w:r>
      <w:bookmarkEnd w:id="83"/>
      <w:r>
        <w:rPr>
          <w:rFonts w:hint="eastAsia"/>
          <w:kern w:val="0"/>
          <w:szCs w:val="20"/>
        </w:rPr>
        <w:t>。</w:t>
      </w:r>
    </w:p>
    <w:p>
      <w:pPr>
        <w:pStyle w:val="28"/>
        <w:ind w:firstLine="0" w:firstLineChars="0"/>
      </w:pPr>
    </w:p>
    <w:p>
      <w:pPr>
        <w:pStyle w:val="28"/>
      </w:pPr>
      <w:r>
        <w:rPr>
          <w:rFonts w:hint="eastAsia"/>
        </w:rPr>
        <w:t>原辅料运输阶段温室气体排放量按公式（</w:t>
      </w:r>
      <w:r>
        <w:rPr>
          <w:rFonts w:hint="eastAsia" w:ascii="Times New Roman"/>
        </w:rPr>
        <w:t>4</w:t>
      </w:r>
      <w:r>
        <w:rPr>
          <w:rFonts w:hint="eastAsia"/>
        </w:rPr>
        <w:t>）计算：</w:t>
      </w:r>
    </w:p>
    <w:p>
      <w:pPr>
        <w:pStyle w:val="28"/>
        <w:spacing w:line="380" w:lineRule="exact"/>
        <w:jc w:val="center"/>
        <w:rPr>
          <w:rFonts w:ascii="Times New Roman"/>
        </w:rPr>
      </w:pPr>
      <w:r>
        <w:rPr>
          <w:rFonts w:ascii="Times New Roman"/>
          <w:lang w:bidi="ar"/>
        </w:rPr>
        <w:t>E</w:t>
      </w:r>
      <w:r>
        <w:rPr>
          <w:rFonts w:hint="eastAsia" w:ascii="Times New Roman"/>
          <w:vertAlign w:val="subscript"/>
          <w:lang w:bidi="ar"/>
        </w:rPr>
        <w:t>i</w:t>
      </w:r>
      <w:r>
        <w:rPr>
          <w:rFonts w:hint="eastAsia" w:ascii="Times New Roman"/>
          <w:vertAlign w:val="subscript"/>
        </w:rPr>
        <w:t>运输</w:t>
      </w:r>
      <w:r>
        <w:rPr>
          <w:rFonts w:ascii="Times New Roman"/>
          <w:lang w:bidi="ar"/>
        </w:rPr>
        <w:t xml:space="preserve"> = ∑（</w:t>
      </w:r>
      <w:r>
        <w:rPr>
          <w:rFonts w:hint="eastAsia" w:ascii="Times New Roman"/>
          <w:lang w:bidi="ar"/>
        </w:rPr>
        <w:t>S</w:t>
      </w:r>
      <w:r>
        <w:rPr>
          <w:rFonts w:hint="eastAsia" w:ascii="Times New Roman"/>
          <w:vertAlign w:val="subscript"/>
          <w:lang w:bidi="ar"/>
        </w:rPr>
        <w:t>i运输</w:t>
      </w:r>
      <w:r>
        <w:rPr>
          <w:rFonts w:ascii="Times New Roman"/>
          <w:lang w:bidi="ar"/>
        </w:rPr>
        <w:t xml:space="preserve"> </w:t>
      </w:r>
      <w:r>
        <w:rPr>
          <w:rFonts w:ascii="Times New Roman"/>
        </w:rPr>
        <w:t>×</w:t>
      </w:r>
      <w:r>
        <w:rPr>
          <w:rFonts w:ascii="Times New Roman"/>
          <w:lang w:bidi="ar"/>
        </w:rPr>
        <w:t xml:space="preserve"> </w:t>
      </w:r>
      <w:r>
        <w:rPr>
          <w:rFonts w:hint="eastAsia" w:ascii="Times New Roman"/>
          <w:lang w:bidi="ar"/>
        </w:rPr>
        <w:t>M</w:t>
      </w:r>
      <w:r>
        <w:rPr>
          <w:rFonts w:hint="eastAsia" w:ascii="Times New Roman"/>
          <w:vertAlign w:val="subscript"/>
          <w:lang w:bidi="ar"/>
        </w:rPr>
        <w:t>i运输</w:t>
      </w:r>
      <w:r>
        <w:rPr>
          <w:rFonts w:ascii="Times New Roman"/>
          <w:lang w:bidi="ar"/>
        </w:rPr>
        <w:t xml:space="preserve"> </w:t>
      </w:r>
      <w:r>
        <w:rPr>
          <w:rFonts w:ascii="Times New Roman"/>
        </w:rPr>
        <w:t>×</w:t>
      </w:r>
      <w:r>
        <w:rPr>
          <w:rFonts w:hint="eastAsia" w:ascii="Times New Roman"/>
        </w:rPr>
        <w:t xml:space="preserve"> EF</w:t>
      </w:r>
      <w:r>
        <w:rPr>
          <w:rFonts w:hint="eastAsia" w:ascii="Times New Roman"/>
          <w:vertAlign w:val="subscript"/>
          <w:lang w:bidi="ar"/>
        </w:rPr>
        <w:t>i</w:t>
      </w:r>
      <w:r>
        <w:rPr>
          <w:rFonts w:hint="eastAsia" w:ascii="Times New Roman"/>
          <w:vertAlign w:val="subscript"/>
        </w:rPr>
        <w:t>运输</w:t>
      </w:r>
      <w:r>
        <w:rPr>
          <w:rFonts w:ascii="Times New Roman"/>
        </w:rPr>
        <w:t>）--------（</w:t>
      </w:r>
      <w:r>
        <w:rPr>
          <w:rFonts w:hint="eastAsia" w:ascii="Times New Roman"/>
        </w:rPr>
        <w:t>4</w:t>
      </w:r>
      <w:r>
        <w:rPr>
          <w:rFonts w:ascii="Times New Roman"/>
        </w:rPr>
        <w:t>）</w:t>
      </w:r>
    </w:p>
    <w:p>
      <w:pPr>
        <w:pStyle w:val="28"/>
        <w:jc w:val="left"/>
        <w:rPr>
          <w:rFonts w:ascii="Times New Roman"/>
        </w:rPr>
      </w:pPr>
      <w:r>
        <w:rPr>
          <w:rFonts w:hint="eastAsia" w:ascii="Times New Roman"/>
        </w:rPr>
        <w:t>式中：</w:t>
      </w:r>
    </w:p>
    <w:p>
      <w:pPr>
        <w:pStyle w:val="28"/>
        <w:spacing w:line="380" w:lineRule="exact"/>
        <w:rPr>
          <w:rFonts w:ascii="Times New Roman"/>
        </w:rPr>
      </w:pPr>
      <w:r>
        <w:rPr>
          <w:rFonts w:hint="eastAsia" w:ascii="Times New Roman"/>
        </w:rPr>
        <w:t>S</w:t>
      </w:r>
      <w:r>
        <w:rPr>
          <w:rFonts w:hint="eastAsia" w:ascii="Times New Roman"/>
          <w:vertAlign w:val="subscript"/>
          <w:lang w:bidi="ar"/>
        </w:rPr>
        <w:t>i</w:t>
      </w:r>
      <w:r>
        <w:rPr>
          <w:rFonts w:hint="eastAsia" w:ascii="Times New Roman"/>
          <w:vertAlign w:val="subscript"/>
        </w:rPr>
        <w:t>运输</w:t>
      </w:r>
      <w:r>
        <w:rPr>
          <w:rFonts w:ascii="Times New Roman"/>
        </w:rPr>
        <w:t>——</w:t>
      </w:r>
      <w:r>
        <w:rPr>
          <w:rFonts w:hint="eastAsia" w:ascii="Times New Roman"/>
        </w:rPr>
        <w:t xml:space="preserve">统计期内生产玻璃产品第i种原辅料运输距离，单位为千米 </w:t>
      </w:r>
      <w:r>
        <w:rPr>
          <w:rFonts w:ascii="Times New Roman"/>
        </w:rPr>
        <w:t>(k</w:t>
      </w:r>
      <w:r>
        <w:rPr>
          <w:rFonts w:hint="eastAsia" w:ascii="Times New Roman"/>
        </w:rPr>
        <w:t>m)；</w:t>
      </w:r>
    </w:p>
    <w:p>
      <w:pPr>
        <w:pStyle w:val="28"/>
        <w:spacing w:line="380" w:lineRule="exact"/>
        <w:rPr>
          <w:rFonts w:ascii="Times New Roman"/>
        </w:rPr>
      </w:pPr>
      <w:r>
        <w:rPr>
          <w:rFonts w:hint="eastAsia" w:ascii="Times New Roman"/>
        </w:rPr>
        <w:t>M</w:t>
      </w:r>
      <w:r>
        <w:rPr>
          <w:rFonts w:hint="eastAsia" w:ascii="Times New Roman"/>
          <w:vertAlign w:val="subscript"/>
          <w:lang w:bidi="ar"/>
        </w:rPr>
        <w:t>i</w:t>
      </w:r>
      <w:r>
        <w:rPr>
          <w:rFonts w:hint="eastAsia" w:ascii="Times New Roman"/>
          <w:vertAlign w:val="subscript"/>
        </w:rPr>
        <w:t>运输</w:t>
      </w:r>
      <w:r>
        <w:rPr>
          <w:rFonts w:ascii="Times New Roman"/>
        </w:rPr>
        <w:t>——</w:t>
      </w:r>
      <w:r>
        <w:rPr>
          <w:rFonts w:hint="eastAsia" w:ascii="Times New Roman"/>
        </w:rPr>
        <w:t xml:space="preserve">统计期运输声明单位玻璃产品原辅料的重量，单位为千克/平方米 </w:t>
      </w:r>
      <w:r>
        <w:rPr>
          <w:rFonts w:ascii="Times New Roman"/>
        </w:rPr>
        <w:t>(</w:t>
      </w:r>
      <w:r>
        <w:rPr>
          <w:rFonts w:hint="eastAsia" w:ascii="Times New Roman"/>
        </w:rPr>
        <w:t>kg/</w:t>
      </w:r>
      <w:r>
        <w:rPr>
          <w:rFonts w:ascii="Times New Roman"/>
        </w:rPr>
        <w:t>m</w:t>
      </w:r>
      <w:r>
        <w:rPr>
          <w:rFonts w:ascii="Times New Roman"/>
          <w:vertAlign w:val="superscript"/>
        </w:rPr>
        <w:t>2</w:t>
      </w:r>
      <w:r>
        <w:rPr>
          <w:rFonts w:hint="eastAsia" w:ascii="Times New Roman"/>
        </w:rPr>
        <w:t>)；</w:t>
      </w:r>
    </w:p>
    <w:p>
      <w:pPr>
        <w:pStyle w:val="28"/>
        <w:spacing w:line="380" w:lineRule="exact"/>
        <w:rPr>
          <w:rFonts w:ascii="Times New Roman"/>
        </w:rPr>
      </w:pPr>
      <w:r>
        <w:rPr>
          <w:rFonts w:ascii="Times New Roman"/>
        </w:rPr>
        <w:t>EF</w:t>
      </w:r>
      <w:r>
        <w:rPr>
          <w:rFonts w:hint="eastAsia" w:ascii="Times New Roman"/>
          <w:vertAlign w:val="subscript"/>
          <w:lang w:bidi="ar"/>
        </w:rPr>
        <w:t>i</w:t>
      </w:r>
      <w:r>
        <w:rPr>
          <w:rFonts w:hint="eastAsia" w:ascii="Times New Roman"/>
          <w:vertAlign w:val="subscript"/>
        </w:rPr>
        <w:t>运输</w:t>
      </w:r>
      <w:r>
        <w:rPr>
          <w:rFonts w:ascii="Times New Roman"/>
        </w:rPr>
        <w:t>——</w:t>
      </w:r>
      <w:r>
        <w:rPr>
          <w:rFonts w:hint="eastAsia" w:ascii="Times New Roman"/>
        </w:rPr>
        <w:t>运输排放因子，无法获得物流商提供的经验证的生命周期排放因子时，可采用地方或者国家发布的排放因子，运输碳排放因子的参考值见附录C。</w:t>
      </w:r>
    </w:p>
    <w:p>
      <w:pPr>
        <w:pStyle w:val="28"/>
        <w:spacing w:line="380" w:lineRule="exact"/>
        <w:rPr>
          <w:rFonts w:ascii="Times New Roman"/>
        </w:rPr>
      </w:pPr>
    </w:p>
    <w:p>
      <w:pPr>
        <w:pStyle w:val="28"/>
        <w:spacing w:line="380" w:lineRule="exact"/>
        <w:rPr>
          <w:rFonts w:ascii="Times New Roman"/>
        </w:rPr>
      </w:pPr>
      <w:r>
        <w:rPr>
          <w:rFonts w:hint="eastAsia" w:ascii="Times New Roman"/>
        </w:rPr>
        <w:t>燃料运输阶段温室气体排放量按公式（5）计算：</w:t>
      </w:r>
    </w:p>
    <w:p>
      <w:pPr>
        <w:pStyle w:val="28"/>
        <w:spacing w:line="380" w:lineRule="exact"/>
        <w:jc w:val="center"/>
        <w:rPr>
          <w:rFonts w:ascii="Times New Roman"/>
        </w:rPr>
      </w:pPr>
      <w:r>
        <w:rPr>
          <w:rFonts w:ascii="Times New Roman"/>
          <w:lang w:bidi="ar"/>
        </w:rPr>
        <w:t>E</w:t>
      </w:r>
      <w:r>
        <w:rPr>
          <w:rFonts w:hint="eastAsia" w:ascii="Times New Roman"/>
          <w:vertAlign w:val="subscript"/>
          <w:lang w:bidi="ar"/>
        </w:rPr>
        <w:t>j</w:t>
      </w:r>
      <w:r>
        <w:rPr>
          <w:rFonts w:hint="eastAsia" w:ascii="Times New Roman"/>
          <w:vertAlign w:val="subscript"/>
        </w:rPr>
        <w:t>运输</w:t>
      </w:r>
      <w:r>
        <w:rPr>
          <w:rFonts w:ascii="Times New Roman"/>
          <w:lang w:bidi="ar"/>
        </w:rPr>
        <w:t xml:space="preserve"> = ∑（</w:t>
      </w:r>
      <w:r>
        <w:rPr>
          <w:rFonts w:hint="eastAsia" w:ascii="Times New Roman"/>
          <w:lang w:bidi="ar"/>
        </w:rPr>
        <w:t>S</w:t>
      </w:r>
      <w:r>
        <w:rPr>
          <w:rFonts w:hint="eastAsia" w:ascii="Times New Roman"/>
          <w:vertAlign w:val="subscript"/>
          <w:lang w:bidi="ar"/>
        </w:rPr>
        <w:t>j运输</w:t>
      </w:r>
      <w:r>
        <w:rPr>
          <w:rFonts w:ascii="Times New Roman"/>
          <w:lang w:bidi="ar"/>
        </w:rPr>
        <w:t xml:space="preserve"> </w:t>
      </w:r>
      <w:r>
        <w:rPr>
          <w:rFonts w:ascii="Times New Roman"/>
        </w:rPr>
        <w:t>×</w:t>
      </w:r>
      <w:r>
        <w:rPr>
          <w:rFonts w:ascii="Times New Roman"/>
          <w:lang w:bidi="ar"/>
        </w:rPr>
        <w:t xml:space="preserve"> </w:t>
      </w:r>
      <w:r>
        <w:rPr>
          <w:rFonts w:hint="eastAsia" w:ascii="Times New Roman"/>
          <w:lang w:bidi="ar"/>
        </w:rPr>
        <w:t>M</w:t>
      </w:r>
      <w:r>
        <w:rPr>
          <w:rFonts w:hint="eastAsia" w:ascii="Times New Roman"/>
          <w:vertAlign w:val="subscript"/>
          <w:lang w:bidi="ar"/>
        </w:rPr>
        <w:t>j运输</w:t>
      </w:r>
      <w:r>
        <w:rPr>
          <w:rFonts w:ascii="Times New Roman"/>
          <w:lang w:bidi="ar"/>
        </w:rPr>
        <w:t xml:space="preserve"> </w:t>
      </w:r>
      <w:r>
        <w:rPr>
          <w:rFonts w:ascii="Times New Roman"/>
        </w:rPr>
        <w:t>×</w:t>
      </w:r>
      <w:r>
        <w:rPr>
          <w:rFonts w:hint="eastAsia" w:ascii="Times New Roman"/>
        </w:rPr>
        <w:t xml:space="preserve"> EF</w:t>
      </w:r>
      <w:r>
        <w:rPr>
          <w:rFonts w:hint="eastAsia" w:ascii="Times New Roman"/>
          <w:vertAlign w:val="subscript"/>
          <w:lang w:bidi="ar"/>
        </w:rPr>
        <w:t>j</w:t>
      </w:r>
      <w:r>
        <w:rPr>
          <w:rFonts w:hint="eastAsia" w:ascii="Times New Roman"/>
          <w:vertAlign w:val="subscript"/>
        </w:rPr>
        <w:t>运输</w:t>
      </w:r>
      <w:r>
        <w:rPr>
          <w:rFonts w:ascii="Times New Roman"/>
        </w:rPr>
        <w:t>）--------（</w:t>
      </w:r>
      <w:r>
        <w:rPr>
          <w:rFonts w:hint="eastAsia" w:ascii="Times New Roman"/>
        </w:rPr>
        <w:t>5</w:t>
      </w:r>
      <w:r>
        <w:rPr>
          <w:rFonts w:ascii="Times New Roman"/>
        </w:rPr>
        <w:t>）</w:t>
      </w:r>
    </w:p>
    <w:p>
      <w:pPr>
        <w:pStyle w:val="28"/>
        <w:jc w:val="left"/>
        <w:rPr>
          <w:rFonts w:ascii="Times New Roman"/>
        </w:rPr>
      </w:pPr>
      <w:r>
        <w:rPr>
          <w:rFonts w:hint="eastAsia" w:ascii="Times New Roman"/>
        </w:rPr>
        <w:t>式中：</w:t>
      </w:r>
    </w:p>
    <w:p>
      <w:pPr>
        <w:pStyle w:val="28"/>
        <w:spacing w:line="380" w:lineRule="exact"/>
        <w:rPr>
          <w:rFonts w:ascii="Times New Roman"/>
        </w:rPr>
      </w:pPr>
      <w:r>
        <w:rPr>
          <w:rFonts w:hint="eastAsia" w:ascii="Times New Roman"/>
        </w:rPr>
        <w:t>S</w:t>
      </w:r>
      <w:r>
        <w:rPr>
          <w:rFonts w:hint="eastAsia" w:ascii="Times New Roman"/>
          <w:vertAlign w:val="subscript"/>
          <w:lang w:bidi="ar"/>
        </w:rPr>
        <w:t>j</w:t>
      </w:r>
      <w:r>
        <w:rPr>
          <w:rFonts w:hint="eastAsia" w:ascii="Times New Roman"/>
          <w:vertAlign w:val="subscript"/>
        </w:rPr>
        <w:t>运输</w:t>
      </w:r>
      <w:r>
        <w:rPr>
          <w:rFonts w:ascii="Times New Roman"/>
        </w:rPr>
        <w:t>——</w:t>
      </w:r>
      <w:r>
        <w:rPr>
          <w:rFonts w:hint="eastAsia" w:ascii="Times New Roman"/>
        </w:rPr>
        <w:t xml:space="preserve">统计期内第j种燃料的运输距离，单位为千米 </w:t>
      </w:r>
      <w:r>
        <w:rPr>
          <w:rFonts w:ascii="Times New Roman"/>
        </w:rPr>
        <w:t>(k</w:t>
      </w:r>
      <w:r>
        <w:rPr>
          <w:rFonts w:hint="eastAsia" w:ascii="Times New Roman"/>
        </w:rPr>
        <w:t>m)；</w:t>
      </w:r>
    </w:p>
    <w:p>
      <w:pPr>
        <w:pStyle w:val="28"/>
        <w:spacing w:line="380" w:lineRule="exact"/>
        <w:rPr>
          <w:rFonts w:ascii="Times New Roman"/>
        </w:rPr>
      </w:pPr>
      <w:r>
        <w:rPr>
          <w:rFonts w:hint="eastAsia" w:ascii="Times New Roman"/>
        </w:rPr>
        <w:t>M</w:t>
      </w:r>
      <w:r>
        <w:rPr>
          <w:rFonts w:hint="eastAsia" w:ascii="Times New Roman"/>
          <w:vertAlign w:val="subscript"/>
          <w:lang w:bidi="ar"/>
        </w:rPr>
        <w:t>j</w:t>
      </w:r>
      <w:r>
        <w:rPr>
          <w:rFonts w:hint="eastAsia" w:ascii="Times New Roman"/>
          <w:vertAlign w:val="subscript"/>
        </w:rPr>
        <w:t>运输</w:t>
      </w:r>
      <w:r>
        <w:rPr>
          <w:rFonts w:ascii="Times New Roman"/>
        </w:rPr>
        <w:t>——</w:t>
      </w:r>
      <w:r>
        <w:rPr>
          <w:rFonts w:hint="eastAsia" w:ascii="Times New Roman"/>
        </w:rPr>
        <w:t>统计期运输声明单位玻璃产品燃料的重量，</w:t>
      </w:r>
      <w:r>
        <w:rPr>
          <w:rFonts w:ascii="Times New Roman"/>
          <w:lang w:bidi="ar"/>
        </w:rPr>
        <w:t>固体和液体燃料的单位为</w:t>
      </w:r>
      <w:r>
        <w:rPr>
          <w:rFonts w:hint="eastAsia" w:ascii="Times New Roman"/>
          <w:lang w:bidi="ar"/>
        </w:rPr>
        <w:t xml:space="preserve">吨/平方米 </w:t>
      </w:r>
      <w:r>
        <w:rPr>
          <w:rFonts w:ascii="Times New Roman"/>
        </w:rPr>
        <w:t>(</w:t>
      </w:r>
      <w:r>
        <w:rPr>
          <w:rFonts w:hint="eastAsia" w:ascii="Times New Roman"/>
        </w:rPr>
        <w:t>t/</w:t>
      </w:r>
      <w:r>
        <w:rPr>
          <w:rFonts w:ascii="Times New Roman"/>
        </w:rPr>
        <w:t>m</w:t>
      </w:r>
      <w:r>
        <w:rPr>
          <w:rFonts w:ascii="Times New Roman"/>
          <w:vertAlign w:val="superscript"/>
        </w:rPr>
        <w:t>2</w:t>
      </w:r>
      <w:r>
        <w:rPr>
          <w:rFonts w:hint="eastAsia" w:ascii="Times New Roman"/>
        </w:rPr>
        <w:t>)</w:t>
      </w:r>
      <w:r>
        <w:rPr>
          <w:rFonts w:ascii="Times New Roman"/>
          <w:lang w:bidi="ar"/>
        </w:rPr>
        <w:t>，气体燃料的单位为万标准立方米</w:t>
      </w:r>
      <w:r>
        <w:rPr>
          <w:rFonts w:hint="eastAsia" w:ascii="Times New Roman"/>
          <w:lang w:bidi="ar"/>
        </w:rPr>
        <w:t>/平方米 (</w:t>
      </w:r>
      <w:r>
        <w:rPr>
          <w:rFonts w:ascii="Times New Roman"/>
          <w:lang w:bidi="ar"/>
        </w:rPr>
        <w:t>10</w:t>
      </w:r>
      <w:r>
        <w:rPr>
          <w:rFonts w:ascii="Times New Roman"/>
          <w:vertAlign w:val="superscript"/>
          <w:lang w:bidi="ar"/>
        </w:rPr>
        <w:t>4</w:t>
      </w:r>
      <w:r>
        <w:rPr>
          <w:rFonts w:ascii="Times New Roman"/>
          <w:lang w:bidi="ar"/>
        </w:rPr>
        <w:t xml:space="preserve"> Nm</w:t>
      </w:r>
      <w:r>
        <w:rPr>
          <w:rFonts w:ascii="Times New Roman"/>
          <w:vertAlign w:val="superscript"/>
          <w:lang w:bidi="ar"/>
        </w:rPr>
        <w:t>3</w:t>
      </w:r>
      <w:r>
        <w:rPr>
          <w:rFonts w:hint="eastAsia" w:ascii="Times New Roman"/>
          <w:lang w:bidi="ar"/>
        </w:rPr>
        <w:t>/</w:t>
      </w:r>
      <w:r>
        <w:rPr>
          <w:rFonts w:ascii="Times New Roman"/>
        </w:rPr>
        <w:t>m</w:t>
      </w:r>
      <w:r>
        <w:rPr>
          <w:rFonts w:ascii="Times New Roman"/>
          <w:vertAlign w:val="superscript"/>
        </w:rPr>
        <w:t>2</w:t>
      </w:r>
      <w:r>
        <w:rPr>
          <w:rFonts w:hint="eastAsia" w:ascii="Times New Roman"/>
          <w:lang w:bidi="ar"/>
        </w:rPr>
        <w:t>)</w:t>
      </w:r>
      <w:r>
        <w:rPr>
          <w:rFonts w:hint="eastAsia" w:ascii="Times New Roman"/>
        </w:rPr>
        <w:t>；</w:t>
      </w:r>
    </w:p>
    <w:p>
      <w:pPr>
        <w:pStyle w:val="28"/>
        <w:spacing w:line="380" w:lineRule="exact"/>
        <w:rPr>
          <w:rFonts w:ascii="Times New Roman"/>
        </w:rPr>
      </w:pPr>
      <w:r>
        <w:rPr>
          <w:rFonts w:ascii="Times New Roman"/>
        </w:rPr>
        <w:t>EF</w:t>
      </w:r>
      <w:r>
        <w:rPr>
          <w:rFonts w:hint="eastAsia" w:ascii="Times New Roman"/>
          <w:vertAlign w:val="subscript"/>
          <w:lang w:bidi="ar"/>
        </w:rPr>
        <w:t>j</w:t>
      </w:r>
      <w:r>
        <w:rPr>
          <w:rFonts w:hint="eastAsia" w:ascii="Times New Roman"/>
          <w:vertAlign w:val="subscript"/>
        </w:rPr>
        <w:t>运输</w:t>
      </w:r>
      <w:r>
        <w:rPr>
          <w:rFonts w:ascii="Times New Roman"/>
        </w:rPr>
        <w:t>——</w:t>
      </w:r>
      <w:r>
        <w:rPr>
          <w:rFonts w:hint="eastAsia" w:ascii="Times New Roman"/>
        </w:rPr>
        <w:t>运输排放因子，无法获得物流商提供的经验证的生命周期排放因子时，可采用地方或者国家发布的排放因子，运输碳排放因子的参考值见附录C。</w:t>
      </w:r>
    </w:p>
    <w:p>
      <w:pPr>
        <w:pStyle w:val="138"/>
        <w:numPr>
          <w:ilvl w:val="1"/>
          <w:numId w:val="2"/>
        </w:numPr>
        <w:spacing w:before="240" w:after="240" w:line="380" w:lineRule="exact"/>
        <w:rPr>
          <w:rFonts w:ascii="Times New Roman" w:eastAsia="宋体"/>
          <w:szCs w:val="22"/>
        </w:rPr>
      </w:pPr>
      <w:bookmarkStart w:id="84" w:name="_Toc27561"/>
      <w:r>
        <w:rPr>
          <w:rFonts w:hint="eastAsia" w:ascii="Times New Roman" w:eastAsia="宋体"/>
          <w:szCs w:val="22"/>
        </w:rPr>
        <w:t>加工制造</w:t>
      </w:r>
      <w:r>
        <w:rPr>
          <w:rFonts w:ascii="Times New Roman" w:eastAsia="宋体"/>
          <w:szCs w:val="22"/>
        </w:rPr>
        <w:t>过程温室气体排放量</w:t>
      </w:r>
      <w:bookmarkEnd w:id="84"/>
    </w:p>
    <w:p>
      <w:pPr>
        <w:pStyle w:val="28"/>
        <w:spacing w:line="380" w:lineRule="exact"/>
        <w:rPr>
          <w:rFonts w:ascii="Times New Roman"/>
        </w:rPr>
      </w:pPr>
      <w:r>
        <w:rPr>
          <w:rFonts w:hint="eastAsia" w:ascii="Times New Roman"/>
        </w:rPr>
        <w:t>加工制造过程温室气体排放量按公式（6）计算：</w:t>
      </w:r>
    </w:p>
    <w:p>
      <w:pPr>
        <w:spacing w:line="380" w:lineRule="exact"/>
        <w:jc w:val="center"/>
      </w:pPr>
      <w:r>
        <w:t>E</w:t>
      </w:r>
      <w:r>
        <w:rPr>
          <w:rFonts w:hint="eastAsia"/>
          <w:vertAlign w:val="subscript"/>
        </w:rPr>
        <w:t>加工制造</w:t>
      </w:r>
      <w:r>
        <w:rPr>
          <w:rFonts w:hint="eastAsia"/>
        </w:rPr>
        <w:t>= E</w:t>
      </w:r>
      <w:r>
        <w:rPr>
          <w:rFonts w:hint="eastAsia"/>
          <w:vertAlign w:val="subscript"/>
        </w:rPr>
        <w:t xml:space="preserve">燃料 </w:t>
      </w:r>
      <w:r>
        <w:rPr>
          <w:rFonts w:hint="eastAsia"/>
        </w:rPr>
        <w:t>+ E</w:t>
      </w:r>
      <w:r>
        <w:rPr>
          <w:rFonts w:hint="eastAsia"/>
          <w:vertAlign w:val="subscript"/>
        </w:rPr>
        <w:t>电力</w:t>
      </w:r>
      <w:r>
        <w:rPr>
          <w:rFonts w:hint="eastAsia"/>
        </w:rPr>
        <w:t>+ E</w:t>
      </w:r>
      <w:r>
        <w:rPr>
          <w:rFonts w:hint="eastAsia"/>
          <w:vertAlign w:val="subscript"/>
        </w:rPr>
        <w:t>水</w:t>
      </w:r>
      <w:bookmarkStart w:id="85" w:name="_Hlk175906671"/>
      <w:r>
        <w:t>--------</w:t>
      </w:r>
      <w:bookmarkEnd w:id="85"/>
      <w:r>
        <w:t>（</w:t>
      </w:r>
      <w:r>
        <w:rPr>
          <w:rFonts w:hint="eastAsia"/>
        </w:rPr>
        <w:t>6</w:t>
      </w:r>
      <w:r>
        <w:t>）</w:t>
      </w:r>
    </w:p>
    <w:p>
      <w:pPr>
        <w:spacing w:line="380" w:lineRule="exact"/>
        <w:ind w:firstLine="420" w:firstLineChars="200"/>
      </w:pPr>
      <w:r>
        <w:rPr>
          <w:rFonts w:hint="eastAsia"/>
        </w:rPr>
        <w:t>式中：</w:t>
      </w:r>
    </w:p>
    <w:p>
      <w:pPr>
        <w:widowControl/>
        <w:tabs>
          <w:tab w:val="center" w:pos="4201"/>
          <w:tab w:val="right" w:leader="dot" w:pos="9298"/>
        </w:tabs>
        <w:autoSpaceDE w:val="0"/>
        <w:autoSpaceDN w:val="0"/>
        <w:spacing w:line="380" w:lineRule="exact"/>
        <w:ind w:firstLine="420" w:firstLineChars="200"/>
        <w:rPr>
          <w:kern w:val="0"/>
          <w:szCs w:val="20"/>
        </w:rPr>
      </w:pPr>
      <w:r>
        <w:rPr>
          <w:kern w:val="0"/>
          <w:szCs w:val="20"/>
        </w:rPr>
        <w:t>E</w:t>
      </w:r>
      <w:r>
        <w:rPr>
          <w:rFonts w:hint="eastAsia" w:ascii="宋体"/>
          <w:kern w:val="0"/>
          <w:szCs w:val="20"/>
          <w:vertAlign w:val="subscript"/>
        </w:rPr>
        <w:t>燃料</w:t>
      </w:r>
      <w:r>
        <w:rPr>
          <w:kern w:val="0"/>
          <w:szCs w:val="20"/>
          <w:lang w:bidi="ar"/>
        </w:rPr>
        <w:t>——</w:t>
      </w:r>
      <w:r>
        <w:rPr>
          <w:rFonts w:hint="eastAsia"/>
          <w:kern w:val="0"/>
          <w:szCs w:val="20"/>
          <w:lang w:bidi="ar"/>
        </w:rPr>
        <w:t>统计期内</w:t>
      </w:r>
      <w:r>
        <w:rPr>
          <w:rFonts w:hint="eastAsia"/>
        </w:rPr>
        <w:t>声明</w:t>
      </w:r>
      <w:r>
        <w:rPr>
          <w:rFonts w:hint="eastAsia"/>
          <w:kern w:val="0"/>
          <w:szCs w:val="20"/>
          <w:lang w:bidi="ar"/>
        </w:rPr>
        <w:t>单位玻璃产品燃料产生的温室气体排放量，</w:t>
      </w:r>
      <w:r>
        <w:rPr>
          <w:kern w:val="0"/>
          <w:szCs w:val="20"/>
        </w:rPr>
        <w:t>单位为千克二氧化碳当量/平方米</w:t>
      </w:r>
      <w:r>
        <w:rPr>
          <w:rFonts w:hint="eastAsia"/>
          <w:kern w:val="0"/>
          <w:szCs w:val="20"/>
        </w:rPr>
        <w:t xml:space="preserve"> </w:t>
      </w:r>
      <w:r>
        <w:rPr>
          <w:kern w:val="0"/>
          <w:szCs w:val="20"/>
        </w:rPr>
        <w:t>(kgCO</w:t>
      </w:r>
      <w:r>
        <w:rPr>
          <w:kern w:val="0"/>
          <w:szCs w:val="20"/>
          <w:vertAlign w:val="subscript"/>
        </w:rPr>
        <w:t>2</w:t>
      </w:r>
      <w:r>
        <w:rPr>
          <w:kern w:val="0"/>
          <w:szCs w:val="20"/>
        </w:rPr>
        <w:t>e/m</w:t>
      </w:r>
      <w:r>
        <w:rPr>
          <w:kern w:val="0"/>
          <w:szCs w:val="20"/>
          <w:vertAlign w:val="superscript"/>
        </w:rPr>
        <w:t>2</w:t>
      </w:r>
      <w:r>
        <w:rPr>
          <w:rFonts w:hint="eastAsia"/>
          <w:kern w:val="0"/>
          <w:szCs w:val="20"/>
        </w:rPr>
        <w:t>)；</w:t>
      </w:r>
    </w:p>
    <w:p>
      <w:pPr>
        <w:widowControl/>
        <w:tabs>
          <w:tab w:val="center" w:pos="4201"/>
          <w:tab w:val="right" w:leader="dot" w:pos="9298"/>
        </w:tabs>
        <w:autoSpaceDE w:val="0"/>
        <w:autoSpaceDN w:val="0"/>
        <w:spacing w:line="380" w:lineRule="exact"/>
        <w:ind w:firstLine="420" w:firstLineChars="200"/>
      </w:pPr>
      <w:r>
        <w:rPr>
          <w:kern w:val="0"/>
          <w:szCs w:val="20"/>
        </w:rPr>
        <w:t>E</w:t>
      </w:r>
      <w:r>
        <w:rPr>
          <w:rFonts w:hint="eastAsia" w:ascii="宋体"/>
          <w:kern w:val="0"/>
          <w:szCs w:val="20"/>
          <w:vertAlign w:val="subscript"/>
        </w:rPr>
        <w:t>电力</w:t>
      </w:r>
      <w:r>
        <w:rPr>
          <w:kern w:val="0"/>
          <w:szCs w:val="20"/>
          <w:lang w:bidi="ar"/>
        </w:rPr>
        <w:t>——</w:t>
      </w:r>
      <w:r>
        <w:rPr>
          <w:rFonts w:hint="eastAsia"/>
          <w:kern w:val="0"/>
          <w:szCs w:val="20"/>
          <w:lang w:bidi="ar"/>
        </w:rPr>
        <w:t>统计期内</w:t>
      </w:r>
      <w:r>
        <w:rPr>
          <w:rFonts w:hint="eastAsia"/>
        </w:rPr>
        <w:t>声明</w:t>
      </w:r>
      <w:r>
        <w:rPr>
          <w:rFonts w:hint="eastAsia"/>
          <w:kern w:val="0"/>
          <w:szCs w:val="20"/>
          <w:lang w:bidi="ar"/>
        </w:rPr>
        <w:t>单位玻璃产品使用外购电力产生的温室气体排放量</w:t>
      </w:r>
      <w:r>
        <w:rPr>
          <w:rFonts w:hint="eastAsia"/>
          <w:lang w:bidi="ar"/>
        </w:rPr>
        <w:t>，</w:t>
      </w:r>
      <w:r>
        <w:rPr>
          <w:kern w:val="0"/>
          <w:szCs w:val="20"/>
        </w:rPr>
        <w:t>单位为千克二氧化碳当量/平方米</w:t>
      </w:r>
      <w:r>
        <w:rPr>
          <w:rFonts w:hint="eastAsia"/>
          <w:kern w:val="0"/>
          <w:szCs w:val="20"/>
        </w:rPr>
        <w:t xml:space="preserve"> </w:t>
      </w:r>
      <w:r>
        <w:rPr>
          <w:kern w:val="0"/>
          <w:szCs w:val="20"/>
        </w:rPr>
        <w:t>(kgCO</w:t>
      </w:r>
      <w:r>
        <w:rPr>
          <w:kern w:val="0"/>
          <w:szCs w:val="20"/>
          <w:vertAlign w:val="subscript"/>
        </w:rPr>
        <w:t>2</w:t>
      </w:r>
      <w:r>
        <w:rPr>
          <w:kern w:val="0"/>
          <w:szCs w:val="20"/>
        </w:rPr>
        <w:t>e/m</w:t>
      </w:r>
      <w:r>
        <w:rPr>
          <w:kern w:val="0"/>
          <w:szCs w:val="20"/>
          <w:vertAlign w:val="superscript"/>
        </w:rPr>
        <w:t>2</w:t>
      </w:r>
      <w:r>
        <w:rPr>
          <w:rFonts w:hint="eastAsia"/>
          <w:kern w:val="0"/>
          <w:szCs w:val="20"/>
        </w:rPr>
        <w:t>)；</w:t>
      </w:r>
    </w:p>
    <w:p>
      <w:pPr>
        <w:widowControl/>
        <w:tabs>
          <w:tab w:val="center" w:pos="4201"/>
          <w:tab w:val="right" w:leader="dot" w:pos="9298"/>
        </w:tabs>
        <w:autoSpaceDE w:val="0"/>
        <w:autoSpaceDN w:val="0"/>
        <w:spacing w:line="380" w:lineRule="exact"/>
        <w:ind w:firstLine="420" w:firstLineChars="200"/>
      </w:pPr>
      <w:r>
        <w:rPr>
          <w:kern w:val="0"/>
          <w:szCs w:val="20"/>
        </w:rPr>
        <w:t>E</w:t>
      </w:r>
      <w:r>
        <w:rPr>
          <w:rFonts w:hint="eastAsia"/>
          <w:vertAlign w:val="subscript"/>
        </w:rPr>
        <w:t>水</w:t>
      </w:r>
      <w:r>
        <w:rPr>
          <w:kern w:val="0"/>
          <w:szCs w:val="20"/>
          <w:lang w:bidi="ar"/>
        </w:rPr>
        <w:t>——</w:t>
      </w:r>
      <w:r>
        <w:rPr>
          <w:rFonts w:hint="eastAsia"/>
          <w:kern w:val="0"/>
          <w:szCs w:val="20"/>
          <w:lang w:bidi="ar"/>
        </w:rPr>
        <w:t>统计期内</w:t>
      </w:r>
      <w:r>
        <w:rPr>
          <w:rFonts w:hint="eastAsia"/>
        </w:rPr>
        <w:t>声明</w:t>
      </w:r>
      <w:r>
        <w:rPr>
          <w:rFonts w:hint="eastAsia"/>
          <w:kern w:val="0"/>
          <w:szCs w:val="20"/>
          <w:lang w:bidi="ar"/>
        </w:rPr>
        <w:t>单位玻璃产品使用</w:t>
      </w:r>
      <w:r>
        <w:rPr>
          <w:rFonts w:hint="eastAsia"/>
          <w:lang w:bidi="ar"/>
        </w:rPr>
        <w:t>水</w:t>
      </w:r>
      <w:r>
        <w:rPr>
          <w:rFonts w:hint="eastAsia"/>
          <w:kern w:val="0"/>
          <w:szCs w:val="20"/>
          <w:lang w:bidi="ar"/>
        </w:rPr>
        <w:t>产生的温室气体排放量</w:t>
      </w:r>
      <w:r>
        <w:rPr>
          <w:rFonts w:hint="eastAsia"/>
          <w:lang w:bidi="ar"/>
        </w:rPr>
        <w:t>，</w:t>
      </w:r>
      <w:r>
        <w:rPr>
          <w:kern w:val="0"/>
          <w:szCs w:val="20"/>
        </w:rPr>
        <w:t>单位为千克二氧化碳当量/平方米</w:t>
      </w:r>
      <w:r>
        <w:rPr>
          <w:rFonts w:hint="eastAsia"/>
          <w:kern w:val="0"/>
          <w:szCs w:val="20"/>
        </w:rPr>
        <w:t xml:space="preserve"> </w:t>
      </w:r>
      <w:r>
        <w:rPr>
          <w:kern w:val="0"/>
          <w:szCs w:val="20"/>
        </w:rPr>
        <w:t>(kgCO</w:t>
      </w:r>
      <w:r>
        <w:rPr>
          <w:kern w:val="0"/>
          <w:szCs w:val="20"/>
          <w:vertAlign w:val="subscript"/>
        </w:rPr>
        <w:t>2</w:t>
      </w:r>
      <w:r>
        <w:rPr>
          <w:kern w:val="0"/>
          <w:szCs w:val="20"/>
        </w:rPr>
        <w:t>e/m</w:t>
      </w:r>
      <w:r>
        <w:rPr>
          <w:kern w:val="0"/>
          <w:szCs w:val="20"/>
          <w:vertAlign w:val="superscript"/>
        </w:rPr>
        <w:t>2</w:t>
      </w:r>
      <w:r>
        <w:rPr>
          <w:rFonts w:hint="eastAsia"/>
          <w:kern w:val="0"/>
          <w:szCs w:val="20"/>
        </w:rPr>
        <w:t>)。</w:t>
      </w:r>
    </w:p>
    <w:p>
      <w:pPr>
        <w:pStyle w:val="28"/>
        <w:spacing w:line="380" w:lineRule="exact"/>
        <w:ind w:firstLine="0" w:firstLineChars="0"/>
        <w:rPr>
          <w:rFonts w:ascii="Times New Roman"/>
        </w:rPr>
      </w:pPr>
    </w:p>
    <w:p>
      <w:pPr>
        <w:pStyle w:val="28"/>
        <w:spacing w:line="380" w:lineRule="exact"/>
        <w:rPr>
          <w:rFonts w:ascii="Times New Roman"/>
        </w:rPr>
      </w:pPr>
      <w:r>
        <w:rPr>
          <w:rFonts w:hint="eastAsia" w:ascii="Times New Roman"/>
        </w:rPr>
        <w:t>燃料产生的温室气体排放量按公式（7）计算：</w:t>
      </w:r>
    </w:p>
    <w:p>
      <w:pPr>
        <w:pStyle w:val="28"/>
        <w:spacing w:line="380" w:lineRule="exact"/>
        <w:ind w:firstLine="0" w:firstLineChars="0"/>
        <w:jc w:val="center"/>
        <w:rPr>
          <w:rFonts w:ascii="Times New Roman"/>
        </w:rPr>
      </w:pPr>
      <w:r>
        <w:rPr>
          <w:rFonts w:ascii="Times New Roman"/>
          <w:lang w:bidi="ar"/>
        </w:rPr>
        <w:t>E</w:t>
      </w:r>
      <w:r>
        <w:rPr>
          <w:rFonts w:hint="eastAsia" w:ascii="Times New Roman"/>
          <w:vertAlign w:val="subscript"/>
          <w:lang w:bidi="ar"/>
        </w:rPr>
        <w:t>燃料</w:t>
      </w:r>
      <w:r>
        <w:rPr>
          <w:rFonts w:ascii="Times New Roman"/>
          <w:lang w:bidi="ar"/>
        </w:rPr>
        <w:t xml:space="preserve"> = ∑（</w:t>
      </w:r>
      <w:r>
        <w:rPr>
          <w:rFonts w:hint="eastAsia" w:ascii="Times New Roman"/>
          <w:lang w:bidi="ar"/>
        </w:rPr>
        <w:t>消耗量</w:t>
      </w:r>
      <w:r>
        <w:rPr>
          <w:rFonts w:hint="eastAsia" w:ascii="Times New Roman"/>
          <w:vertAlign w:val="subscript"/>
          <w:lang w:bidi="ar"/>
        </w:rPr>
        <w:t>j</w:t>
      </w:r>
      <w:r>
        <w:rPr>
          <w:rFonts w:ascii="Times New Roman"/>
          <w:lang w:bidi="ar"/>
        </w:rPr>
        <w:t xml:space="preserve"> </w:t>
      </w:r>
      <w:r>
        <w:rPr>
          <w:rFonts w:ascii="Times New Roman"/>
        </w:rPr>
        <w:t>×</w:t>
      </w:r>
      <w:r>
        <w:rPr>
          <w:rFonts w:ascii="Times New Roman"/>
          <w:lang w:bidi="ar"/>
        </w:rPr>
        <w:t xml:space="preserve"> </w:t>
      </w:r>
      <w:r>
        <w:rPr>
          <w:rFonts w:hint="eastAsia" w:ascii="Times New Roman"/>
          <w:lang w:bidi="ar"/>
        </w:rPr>
        <w:t>低位热值</w:t>
      </w:r>
      <w:r>
        <w:rPr>
          <w:rFonts w:hint="eastAsia" w:ascii="Times New Roman"/>
          <w:vertAlign w:val="subscript"/>
          <w:lang w:bidi="ar"/>
        </w:rPr>
        <w:t>j</w:t>
      </w:r>
      <w:r>
        <w:rPr>
          <w:rFonts w:ascii="Times New Roman"/>
          <w:lang w:bidi="ar"/>
        </w:rPr>
        <w:t xml:space="preserve"> </w:t>
      </w:r>
      <w:r>
        <w:rPr>
          <w:rFonts w:ascii="Times New Roman"/>
        </w:rPr>
        <w:t>×</w:t>
      </w:r>
      <w:r>
        <w:rPr>
          <w:rFonts w:hint="eastAsia" w:ascii="Times New Roman"/>
        </w:rPr>
        <w:t xml:space="preserve"> 单位热值含碳量</w:t>
      </w:r>
      <w:r>
        <w:rPr>
          <w:rFonts w:hint="eastAsia" w:ascii="Times New Roman"/>
          <w:vertAlign w:val="subscript"/>
        </w:rPr>
        <w:t xml:space="preserve">j </w:t>
      </w:r>
      <w:r>
        <w:rPr>
          <w:rFonts w:ascii="Times New Roman"/>
        </w:rPr>
        <w:t>×</w:t>
      </w:r>
      <w:r>
        <w:rPr>
          <w:rFonts w:hint="eastAsia" w:ascii="Times New Roman"/>
        </w:rPr>
        <w:t xml:space="preserve"> 氧化率</w:t>
      </w:r>
      <w:r>
        <w:rPr>
          <w:rFonts w:hint="eastAsia" w:ascii="Times New Roman"/>
          <w:vertAlign w:val="subscript"/>
        </w:rPr>
        <w:t>j</w:t>
      </w:r>
      <w:r>
        <w:rPr>
          <w:rFonts w:hint="eastAsia" w:ascii="Times New Roman"/>
        </w:rPr>
        <w:t xml:space="preserve"> </w:t>
      </w:r>
      <w:r>
        <w:rPr>
          <w:rFonts w:ascii="Times New Roman"/>
        </w:rPr>
        <w:t>×</w:t>
      </w:r>
      <w:r>
        <w:rPr>
          <w:rFonts w:hint="eastAsia" w:ascii="Times New Roman"/>
        </w:rPr>
        <w:t xml:space="preserve"> 44/12 </w:t>
      </w:r>
      <w:r>
        <w:rPr>
          <w:rFonts w:ascii="Times New Roman"/>
        </w:rPr>
        <w:t>×</w:t>
      </w:r>
      <w:r>
        <w:rPr>
          <w:rFonts w:hint="eastAsia" w:ascii="Times New Roman"/>
        </w:rPr>
        <w:t xml:space="preserve"> 1000</w:t>
      </w:r>
    </w:p>
    <w:p>
      <w:pPr>
        <w:pStyle w:val="28"/>
        <w:spacing w:line="380" w:lineRule="exact"/>
        <w:ind w:firstLine="0" w:firstLineChars="0"/>
        <w:jc w:val="center"/>
        <w:rPr>
          <w:rFonts w:ascii="Times New Roman"/>
        </w:rPr>
      </w:pPr>
      <w:r>
        <w:rPr>
          <w:rFonts w:hint="eastAsia" w:ascii="Times New Roman"/>
          <w:lang w:bidi="ar"/>
        </w:rPr>
        <w:t xml:space="preserve">+ </w:t>
      </w:r>
      <w:r>
        <w:rPr>
          <w:rFonts w:hint="eastAsia" w:ascii="Times New Roman"/>
        </w:rPr>
        <w:t>消耗量</w:t>
      </w:r>
      <w:r>
        <w:rPr>
          <w:rFonts w:hint="eastAsia" w:ascii="Times New Roman"/>
          <w:vertAlign w:val="subscript"/>
        </w:rPr>
        <w:t xml:space="preserve">j </w:t>
      </w:r>
      <w:r>
        <w:rPr>
          <w:rFonts w:ascii="Times New Roman"/>
        </w:rPr>
        <w:t>×</w:t>
      </w:r>
      <w:r>
        <w:rPr>
          <w:rFonts w:hint="eastAsia" w:ascii="Times New Roman"/>
        </w:rPr>
        <w:t xml:space="preserve"> 排放因子</w:t>
      </w:r>
      <w:r>
        <w:rPr>
          <w:rFonts w:hint="eastAsia" w:ascii="Times New Roman"/>
          <w:vertAlign w:val="subscript"/>
        </w:rPr>
        <w:t>j</w:t>
      </w:r>
      <w:r>
        <w:rPr>
          <w:rFonts w:ascii="Times New Roman"/>
        </w:rPr>
        <w:t>）--------（</w:t>
      </w:r>
      <w:r>
        <w:rPr>
          <w:rFonts w:hint="eastAsia" w:ascii="Times New Roman"/>
        </w:rPr>
        <w:t>7</w:t>
      </w:r>
      <w:r>
        <w:rPr>
          <w:rFonts w:ascii="Times New Roman"/>
        </w:rPr>
        <w:t>）</w:t>
      </w:r>
    </w:p>
    <w:p>
      <w:pPr>
        <w:pStyle w:val="28"/>
        <w:spacing w:line="380" w:lineRule="exact"/>
        <w:rPr>
          <w:rFonts w:ascii="Times New Roman"/>
        </w:rPr>
      </w:pPr>
      <w:r>
        <w:rPr>
          <w:rFonts w:ascii="Times New Roman"/>
          <w:lang w:bidi="ar"/>
        </w:rPr>
        <w:t>式中：</w:t>
      </w:r>
    </w:p>
    <w:p>
      <w:pPr>
        <w:pStyle w:val="28"/>
        <w:spacing w:line="380" w:lineRule="exact"/>
        <w:rPr>
          <w:rFonts w:ascii="Times New Roman"/>
          <w:lang w:bidi="ar"/>
        </w:rPr>
      </w:pPr>
      <w:r>
        <w:rPr>
          <w:rFonts w:hint="eastAsia" w:ascii="Times New Roman"/>
          <w:lang w:bidi="ar"/>
        </w:rPr>
        <w:t>消耗量</w:t>
      </w:r>
      <w:r>
        <w:rPr>
          <w:rFonts w:hint="eastAsia" w:ascii="Times New Roman"/>
          <w:vertAlign w:val="subscript"/>
          <w:lang w:bidi="ar"/>
        </w:rPr>
        <w:t>j</w:t>
      </w:r>
      <w:r>
        <w:rPr>
          <w:rFonts w:ascii="Times New Roman"/>
          <w:lang w:bidi="ar"/>
        </w:rPr>
        <w:t>——</w:t>
      </w:r>
      <w:r>
        <w:rPr>
          <w:rFonts w:hint="eastAsia" w:ascii="Times New Roman"/>
        </w:rPr>
        <w:t>声明</w:t>
      </w:r>
      <w:r>
        <w:rPr>
          <w:rFonts w:hint="eastAsia" w:ascii="Times New Roman"/>
          <w:lang w:bidi="ar"/>
        </w:rPr>
        <w:t>单位玻璃产品第j种</w:t>
      </w:r>
      <w:r>
        <w:rPr>
          <w:rFonts w:ascii="Times New Roman"/>
          <w:lang w:bidi="ar"/>
        </w:rPr>
        <w:t>燃料的消耗量，固体和液体燃料的单位为吨</w:t>
      </w:r>
      <w:r>
        <w:rPr>
          <w:rFonts w:ascii="Times New Roman"/>
        </w:rPr>
        <w:t>/平方米</w:t>
      </w:r>
      <w:r>
        <w:rPr>
          <w:rFonts w:hint="eastAsia" w:ascii="Times New Roman"/>
          <w:lang w:bidi="ar"/>
        </w:rPr>
        <w:t xml:space="preserve"> </w:t>
      </w:r>
      <w:r>
        <w:rPr>
          <w:rFonts w:ascii="Times New Roman"/>
          <w:lang w:bidi="ar"/>
        </w:rPr>
        <w:t>(t</w:t>
      </w:r>
      <w:r>
        <w:rPr>
          <w:rFonts w:ascii="Times New Roman"/>
        </w:rPr>
        <w:t>/m</w:t>
      </w:r>
      <w:r>
        <w:rPr>
          <w:rFonts w:ascii="Times New Roman"/>
          <w:vertAlign w:val="superscript"/>
        </w:rPr>
        <w:t>2</w:t>
      </w:r>
      <w:r>
        <w:rPr>
          <w:rFonts w:ascii="Times New Roman"/>
          <w:lang w:bidi="ar"/>
        </w:rPr>
        <w:t>)，气体燃料的单位为万标准立方米</w:t>
      </w:r>
      <w:r>
        <w:rPr>
          <w:rFonts w:ascii="Times New Roman"/>
        </w:rPr>
        <w:t>/平方米</w:t>
      </w:r>
      <w:r>
        <w:rPr>
          <w:rFonts w:ascii="Times New Roman"/>
          <w:lang w:bidi="ar"/>
        </w:rPr>
        <w:t xml:space="preserve"> (10</w:t>
      </w:r>
      <w:r>
        <w:rPr>
          <w:rFonts w:ascii="Times New Roman"/>
          <w:vertAlign w:val="superscript"/>
          <w:lang w:bidi="ar"/>
        </w:rPr>
        <w:t>4</w:t>
      </w:r>
      <w:r>
        <w:rPr>
          <w:rFonts w:ascii="Times New Roman"/>
          <w:lang w:bidi="ar"/>
        </w:rPr>
        <w:t xml:space="preserve"> Nm</w:t>
      </w:r>
      <w:r>
        <w:rPr>
          <w:rFonts w:ascii="Times New Roman"/>
          <w:vertAlign w:val="superscript"/>
          <w:lang w:bidi="ar"/>
        </w:rPr>
        <w:t>3</w:t>
      </w:r>
      <w:r>
        <w:rPr>
          <w:rFonts w:ascii="Times New Roman"/>
        </w:rPr>
        <w:t>/m</w:t>
      </w:r>
      <w:r>
        <w:rPr>
          <w:rFonts w:ascii="Times New Roman"/>
          <w:vertAlign w:val="superscript"/>
        </w:rPr>
        <w:t>2</w:t>
      </w:r>
      <w:r>
        <w:rPr>
          <w:rFonts w:ascii="Times New Roman"/>
          <w:lang w:bidi="ar"/>
        </w:rPr>
        <w:t>)；</w:t>
      </w:r>
    </w:p>
    <w:p>
      <w:pPr>
        <w:pStyle w:val="28"/>
        <w:spacing w:line="380" w:lineRule="exact"/>
        <w:rPr>
          <w:rFonts w:ascii="Times New Roman"/>
        </w:rPr>
      </w:pPr>
      <w:r>
        <w:rPr>
          <w:rFonts w:hint="eastAsia" w:ascii="Times New Roman"/>
          <w:lang w:bidi="ar"/>
        </w:rPr>
        <w:t>低位热值</w:t>
      </w:r>
      <w:r>
        <w:rPr>
          <w:rFonts w:hint="eastAsia" w:ascii="Times New Roman"/>
          <w:vertAlign w:val="subscript"/>
          <w:lang w:bidi="ar"/>
        </w:rPr>
        <w:t>j</w:t>
      </w:r>
      <w:r>
        <w:rPr>
          <w:rFonts w:ascii="Times New Roman"/>
          <w:lang w:bidi="ar"/>
        </w:rPr>
        <w:t>——</w:t>
      </w:r>
      <w:r>
        <w:rPr>
          <w:rFonts w:hint="eastAsia" w:ascii="Times New Roman"/>
          <w:lang w:bidi="ar"/>
        </w:rPr>
        <w:t>第j种</w:t>
      </w:r>
      <w:r>
        <w:rPr>
          <w:rFonts w:ascii="Times New Roman"/>
          <w:lang w:bidi="ar"/>
        </w:rPr>
        <w:t>燃料的低位热值，固体和液体燃料的单位为吉焦/吨</w:t>
      </w:r>
      <w:r>
        <w:rPr>
          <w:rFonts w:hint="eastAsia" w:ascii="Times New Roman"/>
          <w:lang w:bidi="ar"/>
        </w:rPr>
        <w:t xml:space="preserve"> </w:t>
      </w:r>
      <w:r>
        <w:rPr>
          <w:rFonts w:ascii="Times New Roman"/>
          <w:lang w:bidi="ar"/>
        </w:rPr>
        <w:t>(GJ/t)，气体燃料的单位为吉焦/万标准立方米</w:t>
      </w:r>
      <w:r>
        <w:rPr>
          <w:rFonts w:hint="eastAsia" w:ascii="Times New Roman"/>
          <w:lang w:bidi="ar"/>
        </w:rPr>
        <w:t xml:space="preserve"> </w:t>
      </w:r>
      <w:r>
        <w:rPr>
          <w:rFonts w:ascii="Times New Roman"/>
          <w:lang w:bidi="ar"/>
        </w:rPr>
        <w:t>(GJ/10</w:t>
      </w:r>
      <w:r>
        <w:rPr>
          <w:rFonts w:ascii="Times New Roman"/>
          <w:vertAlign w:val="superscript"/>
          <w:lang w:bidi="ar"/>
        </w:rPr>
        <w:t>4</w:t>
      </w:r>
      <w:r>
        <w:rPr>
          <w:rFonts w:ascii="Times New Roman"/>
          <w:lang w:bidi="ar"/>
        </w:rPr>
        <w:t xml:space="preserve"> Nm</w:t>
      </w:r>
      <w:r>
        <w:rPr>
          <w:rFonts w:ascii="Times New Roman"/>
          <w:vertAlign w:val="superscript"/>
          <w:lang w:bidi="ar"/>
        </w:rPr>
        <w:t>3</w:t>
      </w:r>
      <w:r>
        <w:rPr>
          <w:rFonts w:ascii="Times New Roman"/>
          <w:lang w:bidi="ar"/>
        </w:rPr>
        <w:t>)</w:t>
      </w:r>
      <w:r>
        <w:rPr>
          <w:rFonts w:hint="eastAsia" w:ascii="Times New Roman"/>
          <w:lang w:bidi="ar"/>
        </w:rPr>
        <w:t>，数值可参考附录C；</w:t>
      </w:r>
    </w:p>
    <w:p>
      <w:pPr>
        <w:pStyle w:val="28"/>
        <w:spacing w:line="380" w:lineRule="exact"/>
        <w:rPr>
          <w:rFonts w:ascii="Times New Roman"/>
        </w:rPr>
      </w:pPr>
      <w:r>
        <w:rPr>
          <w:rFonts w:ascii="Times New Roman"/>
          <w:lang w:bidi="ar"/>
        </w:rPr>
        <w:t>单位热值含碳量</w:t>
      </w:r>
      <w:r>
        <w:rPr>
          <w:rFonts w:hint="eastAsia" w:ascii="Times New Roman"/>
          <w:vertAlign w:val="subscript"/>
          <w:lang w:bidi="ar"/>
        </w:rPr>
        <w:t>j</w:t>
      </w:r>
      <w:r>
        <w:rPr>
          <w:rFonts w:ascii="Times New Roman"/>
          <w:lang w:bidi="ar"/>
        </w:rPr>
        <w:t>——</w:t>
      </w:r>
      <w:r>
        <w:rPr>
          <w:rFonts w:hint="eastAsia" w:ascii="Times New Roman"/>
          <w:lang w:bidi="ar"/>
        </w:rPr>
        <w:t>第j种</w:t>
      </w:r>
      <w:r>
        <w:rPr>
          <w:rFonts w:ascii="Times New Roman"/>
          <w:lang w:bidi="ar"/>
        </w:rPr>
        <w:t>燃料的单位热值含碳量，单位为吨碳/吉焦</w:t>
      </w:r>
      <w:r>
        <w:rPr>
          <w:rFonts w:hint="eastAsia" w:ascii="Times New Roman"/>
          <w:lang w:bidi="ar"/>
        </w:rPr>
        <w:t xml:space="preserve"> </w:t>
      </w:r>
      <w:r>
        <w:rPr>
          <w:rFonts w:ascii="Times New Roman"/>
          <w:lang w:bidi="ar"/>
        </w:rPr>
        <w:t>(tC/GJ</w:t>
      </w:r>
      <w:r>
        <w:rPr>
          <w:rFonts w:hint="eastAsia" w:ascii="Times New Roman"/>
          <w:lang w:bidi="ar"/>
        </w:rPr>
        <w:t>)，数值可参考附录C；</w:t>
      </w:r>
    </w:p>
    <w:p>
      <w:pPr>
        <w:pStyle w:val="28"/>
        <w:spacing w:line="380" w:lineRule="exact"/>
        <w:rPr>
          <w:rFonts w:ascii="Times New Roman"/>
        </w:rPr>
      </w:pPr>
      <w:r>
        <w:rPr>
          <w:rFonts w:hint="eastAsia" w:ascii="Times New Roman"/>
        </w:rPr>
        <w:t>氧化率</w:t>
      </w:r>
      <w:r>
        <w:rPr>
          <w:rFonts w:hint="eastAsia" w:ascii="Times New Roman"/>
          <w:vertAlign w:val="subscript"/>
        </w:rPr>
        <w:t>j</w:t>
      </w:r>
      <w:r>
        <w:rPr>
          <w:rFonts w:ascii="Times New Roman"/>
          <w:lang w:bidi="ar"/>
        </w:rPr>
        <w:t>——</w:t>
      </w:r>
      <w:r>
        <w:rPr>
          <w:rFonts w:hint="eastAsia" w:ascii="Times New Roman"/>
          <w:lang w:bidi="ar"/>
        </w:rPr>
        <w:t>第j种</w:t>
      </w:r>
      <w:r>
        <w:rPr>
          <w:rFonts w:ascii="Times New Roman"/>
          <w:lang w:bidi="ar"/>
        </w:rPr>
        <w:t>燃料的碳氧化率</w:t>
      </w:r>
      <w:r>
        <w:rPr>
          <w:rFonts w:hint="eastAsia" w:ascii="Times New Roman"/>
          <w:lang w:bidi="ar"/>
        </w:rPr>
        <w:t>，以分数形式表示，%，数值可参考附录C；</w:t>
      </w:r>
    </w:p>
    <w:p>
      <w:pPr>
        <w:pStyle w:val="28"/>
        <w:spacing w:line="380" w:lineRule="exact"/>
        <w:rPr>
          <w:rFonts w:ascii="Times New Roman"/>
        </w:rPr>
      </w:pPr>
      <w:r>
        <w:rPr>
          <w:rFonts w:hint="eastAsia" w:ascii="Times New Roman"/>
        </w:rPr>
        <w:t>排放因子</w:t>
      </w:r>
      <w:r>
        <w:rPr>
          <w:rFonts w:hint="eastAsia" w:ascii="Times New Roman"/>
          <w:vertAlign w:val="subscript"/>
        </w:rPr>
        <w:t>j</w:t>
      </w:r>
      <w:r>
        <w:rPr>
          <w:rFonts w:ascii="Times New Roman"/>
        </w:rPr>
        <w:t>——第</w:t>
      </w:r>
      <w:r>
        <w:rPr>
          <w:rFonts w:hint="eastAsia" w:ascii="Times New Roman"/>
        </w:rPr>
        <w:t>j</w:t>
      </w:r>
      <w:r>
        <w:rPr>
          <w:rFonts w:ascii="Times New Roman"/>
        </w:rPr>
        <w:t>种</w:t>
      </w:r>
      <w:r>
        <w:rPr>
          <w:rFonts w:hint="eastAsia" w:ascii="Times New Roman"/>
        </w:rPr>
        <w:t>燃料</w:t>
      </w:r>
      <w:r>
        <w:rPr>
          <w:rFonts w:ascii="Times New Roman"/>
        </w:rPr>
        <w:t>的温室气体排放因子，单位</w:t>
      </w:r>
      <w:r>
        <w:rPr>
          <w:rFonts w:hint="eastAsia" w:ascii="Times New Roman"/>
        </w:rPr>
        <w:t>为</w:t>
      </w:r>
      <w:r>
        <w:rPr>
          <w:rFonts w:ascii="Times New Roman"/>
        </w:rPr>
        <w:t>千克二氧化碳当量/</w:t>
      </w:r>
      <w:r>
        <w:rPr>
          <w:rFonts w:hint="eastAsia" w:ascii="Times New Roman"/>
        </w:rPr>
        <w:t xml:space="preserve">千克 </w:t>
      </w:r>
      <w:r>
        <w:rPr>
          <w:rFonts w:ascii="Times New Roman"/>
        </w:rPr>
        <w:t>(kgCO</w:t>
      </w:r>
      <w:r>
        <w:rPr>
          <w:rFonts w:ascii="Times New Roman"/>
          <w:vertAlign w:val="subscript"/>
        </w:rPr>
        <w:t>2</w:t>
      </w:r>
      <w:r>
        <w:rPr>
          <w:rFonts w:ascii="Times New Roman"/>
        </w:rPr>
        <w:t>e/</w:t>
      </w:r>
      <w:r>
        <w:rPr>
          <w:rFonts w:hint="eastAsia" w:ascii="Times New Roman"/>
        </w:rPr>
        <w:t>kg)。。</w:t>
      </w:r>
    </w:p>
    <w:p>
      <w:pPr>
        <w:pStyle w:val="28"/>
        <w:spacing w:line="380" w:lineRule="exact"/>
        <w:ind w:firstLine="0" w:firstLineChars="0"/>
        <w:rPr>
          <w:rFonts w:ascii="Times New Roman"/>
        </w:rPr>
      </w:pPr>
    </w:p>
    <w:p>
      <w:pPr>
        <w:pStyle w:val="28"/>
        <w:spacing w:line="380" w:lineRule="exact"/>
        <w:rPr>
          <w:rFonts w:ascii="Times New Roman"/>
        </w:rPr>
      </w:pPr>
      <w:r>
        <w:rPr>
          <w:rFonts w:ascii="Times New Roman"/>
        </w:rPr>
        <w:t>使用</w:t>
      </w:r>
      <w:r>
        <w:rPr>
          <w:rFonts w:hint="eastAsia" w:ascii="Times New Roman"/>
        </w:rPr>
        <w:t>外购电力</w:t>
      </w:r>
      <w:r>
        <w:rPr>
          <w:rFonts w:ascii="Times New Roman"/>
        </w:rPr>
        <w:t>产生的温室气体排放</w:t>
      </w:r>
      <w:r>
        <w:rPr>
          <w:rFonts w:hint="eastAsia" w:ascii="Times New Roman"/>
        </w:rPr>
        <w:t>量按</w:t>
      </w:r>
      <w:r>
        <w:rPr>
          <w:rFonts w:ascii="Times New Roman"/>
        </w:rPr>
        <w:t>公式（</w:t>
      </w:r>
      <w:r>
        <w:rPr>
          <w:rFonts w:hint="eastAsia" w:ascii="Times New Roman"/>
        </w:rPr>
        <w:t>8</w:t>
      </w:r>
      <w:r>
        <w:rPr>
          <w:rFonts w:ascii="Times New Roman"/>
        </w:rPr>
        <w:t>）</w:t>
      </w:r>
      <w:r>
        <w:rPr>
          <w:rFonts w:hint="eastAsia" w:ascii="Times New Roman"/>
        </w:rPr>
        <w:t>计算。如企业使用可再生能源电力，且可精确计量时，该部分电量应使用特定能源温室气体排放因子。</w:t>
      </w:r>
    </w:p>
    <w:p>
      <w:pPr>
        <w:pStyle w:val="28"/>
        <w:spacing w:line="380" w:lineRule="exact"/>
        <w:jc w:val="center"/>
        <w:rPr>
          <w:rFonts w:ascii="Times New Roman"/>
        </w:rPr>
      </w:pPr>
      <w:r>
        <w:rPr>
          <w:rFonts w:ascii="Times New Roman"/>
        </w:rPr>
        <w:t>E</w:t>
      </w:r>
      <w:r>
        <w:rPr>
          <w:rFonts w:hint="eastAsia" w:ascii="Times New Roman"/>
          <w:vertAlign w:val="subscript"/>
        </w:rPr>
        <w:t>电力</w:t>
      </w:r>
      <w:r>
        <w:rPr>
          <w:rFonts w:ascii="Times New Roman"/>
        </w:rPr>
        <w:t xml:space="preserve"> = A</w:t>
      </w:r>
      <w:r>
        <w:rPr>
          <w:rFonts w:hint="eastAsia" w:ascii="Times New Roman"/>
        </w:rPr>
        <w:t>C</w:t>
      </w:r>
      <w:r>
        <w:rPr>
          <w:rFonts w:ascii="Times New Roman"/>
          <w:vertAlign w:val="subscript"/>
        </w:rPr>
        <w:t>电力</w:t>
      </w:r>
      <w:r>
        <w:rPr>
          <w:rFonts w:ascii="Times New Roman"/>
        </w:rPr>
        <w:t>× EF</w:t>
      </w:r>
      <w:r>
        <w:rPr>
          <w:rFonts w:ascii="Times New Roman"/>
          <w:vertAlign w:val="subscript"/>
        </w:rPr>
        <w:t>电力</w:t>
      </w:r>
      <w:r>
        <w:rPr>
          <w:rFonts w:ascii="Times New Roman"/>
        </w:rPr>
        <w:t>--------（</w:t>
      </w:r>
      <w:r>
        <w:rPr>
          <w:rFonts w:hint="eastAsia" w:ascii="Times New Roman"/>
        </w:rPr>
        <w:t>8</w:t>
      </w:r>
      <w:r>
        <w:rPr>
          <w:rFonts w:ascii="Times New Roman"/>
        </w:rPr>
        <w:t>）</w:t>
      </w:r>
    </w:p>
    <w:p>
      <w:pPr>
        <w:pStyle w:val="28"/>
        <w:spacing w:line="380" w:lineRule="exact"/>
        <w:rPr>
          <w:rFonts w:ascii="Times New Roman"/>
        </w:rPr>
      </w:pPr>
      <w:r>
        <w:rPr>
          <w:rFonts w:ascii="Times New Roman"/>
        </w:rPr>
        <w:t>式中：</w:t>
      </w:r>
    </w:p>
    <w:p>
      <w:pPr>
        <w:pStyle w:val="28"/>
        <w:spacing w:line="380" w:lineRule="exact"/>
        <w:rPr>
          <w:rFonts w:ascii="Times New Roman"/>
        </w:rPr>
      </w:pPr>
      <w:r>
        <w:rPr>
          <w:rFonts w:ascii="Times New Roman"/>
        </w:rPr>
        <w:t>A</w:t>
      </w:r>
      <w:r>
        <w:rPr>
          <w:rFonts w:hint="eastAsia" w:ascii="Times New Roman"/>
        </w:rPr>
        <w:t>C</w:t>
      </w:r>
      <w:r>
        <w:rPr>
          <w:rFonts w:ascii="Times New Roman"/>
          <w:vertAlign w:val="subscript"/>
        </w:rPr>
        <w:t>电力</w:t>
      </w:r>
      <w:r>
        <w:rPr>
          <w:rFonts w:ascii="Times New Roman"/>
          <w:color w:val="000000"/>
          <w:lang w:bidi="ar"/>
        </w:rPr>
        <w:t>——</w:t>
      </w:r>
      <w:r>
        <w:rPr>
          <w:rFonts w:hint="eastAsia" w:ascii="Times New Roman"/>
        </w:rPr>
        <w:t>声明</w:t>
      </w:r>
      <w:r>
        <w:rPr>
          <w:rFonts w:hint="eastAsia" w:ascii="Times New Roman"/>
          <w:color w:val="000000"/>
          <w:lang w:bidi="ar"/>
        </w:rPr>
        <w:t>单位玻璃产品的</w:t>
      </w:r>
      <w:r>
        <w:rPr>
          <w:rFonts w:ascii="Times New Roman"/>
        </w:rPr>
        <w:t>电力消耗量，单位为千瓦时</w:t>
      </w:r>
      <w:r>
        <w:rPr>
          <w:rFonts w:hint="eastAsia" w:ascii="Times New Roman"/>
        </w:rPr>
        <w:t xml:space="preserve">/平方米 </w:t>
      </w:r>
      <w:r>
        <w:rPr>
          <w:rFonts w:ascii="Times New Roman"/>
        </w:rPr>
        <w:t>(kW·h</w:t>
      </w:r>
      <w:r>
        <w:rPr>
          <w:rFonts w:hint="eastAsia" w:ascii="Times New Roman"/>
        </w:rPr>
        <w:t>/</w:t>
      </w:r>
      <w:r>
        <w:rPr>
          <w:rFonts w:ascii="Times New Roman"/>
        </w:rPr>
        <w:t>m</w:t>
      </w:r>
      <w:r>
        <w:rPr>
          <w:rFonts w:ascii="Times New Roman"/>
          <w:vertAlign w:val="superscript"/>
        </w:rPr>
        <w:t>2</w:t>
      </w:r>
      <w:r>
        <w:rPr>
          <w:rFonts w:hint="eastAsia" w:ascii="Times New Roman"/>
        </w:rPr>
        <w:t>)</w:t>
      </w:r>
      <w:r>
        <w:rPr>
          <w:rFonts w:ascii="Times New Roman"/>
        </w:rPr>
        <w:t>；</w:t>
      </w:r>
    </w:p>
    <w:p>
      <w:pPr>
        <w:pStyle w:val="28"/>
        <w:spacing w:line="380" w:lineRule="exact"/>
        <w:rPr>
          <w:rFonts w:ascii="Times New Roman"/>
        </w:rPr>
      </w:pPr>
      <w:r>
        <w:rPr>
          <w:rFonts w:ascii="Times New Roman"/>
        </w:rPr>
        <w:t>EF</w:t>
      </w:r>
      <w:r>
        <w:rPr>
          <w:rFonts w:ascii="Times New Roman"/>
          <w:vertAlign w:val="subscript"/>
        </w:rPr>
        <w:t>电力</w:t>
      </w:r>
      <w:r>
        <w:rPr>
          <w:rFonts w:ascii="Times New Roman"/>
          <w:color w:val="000000"/>
          <w:lang w:bidi="ar"/>
        </w:rPr>
        <w:t>——</w:t>
      </w:r>
      <w:r>
        <w:rPr>
          <w:rFonts w:ascii="Times New Roman"/>
        </w:rPr>
        <w:t>电力排放因子，单位为千克二氧化碳当量/千瓦时</w:t>
      </w:r>
      <w:r>
        <w:rPr>
          <w:rFonts w:hint="eastAsia" w:ascii="Times New Roman"/>
        </w:rPr>
        <w:t xml:space="preserve"> </w:t>
      </w:r>
      <w:r>
        <w:rPr>
          <w:rFonts w:ascii="Times New Roman"/>
        </w:rPr>
        <w:t>(kgCO</w:t>
      </w:r>
      <w:r>
        <w:rPr>
          <w:rFonts w:ascii="Times New Roman"/>
          <w:vertAlign w:val="subscript"/>
        </w:rPr>
        <w:t>2</w:t>
      </w:r>
      <w:r>
        <w:rPr>
          <w:rFonts w:ascii="Times New Roman"/>
        </w:rPr>
        <w:t>e/kW·h</w:t>
      </w:r>
      <w:r>
        <w:rPr>
          <w:rFonts w:hint="eastAsia" w:ascii="Times New Roman"/>
        </w:rPr>
        <w:t>)。</w:t>
      </w:r>
    </w:p>
    <w:p>
      <w:pPr>
        <w:pStyle w:val="28"/>
        <w:spacing w:line="380" w:lineRule="exact"/>
        <w:rPr>
          <w:rFonts w:ascii="Times New Roman"/>
        </w:rPr>
      </w:pPr>
    </w:p>
    <w:p>
      <w:pPr>
        <w:pStyle w:val="28"/>
        <w:spacing w:line="380" w:lineRule="exact"/>
        <w:rPr>
          <w:rFonts w:ascii="Times New Roman"/>
        </w:rPr>
      </w:pPr>
      <w:r>
        <w:rPr>
          <w:rFonts w:ascii="Times New Roman"/>
        </w:rPr>
        <w:t>使用</w:t>
      </w:r>
      <w:r>
        <w:rPr>
          <w:rFonts w:hint="eastAsia" w:ascii="Times New Roman"/>
        </w:rPr>
        <w:t>水</w:t>
      </w:r>
      <w:r>
        <w:rPr>
          <w:rFonts w:ascii="Times New Roman"/>
        </w:rPr>
        <w:t>产生的温室气体排放</w:t>
      </w:r>
      <w:r>
        <w:rPr>
          <w:rFonts w:hint="eastAsia" w:ascii="Times New Roman"/>
        </w:rPr>
        <w:t>量按</w:t>
      </w:r>
      <w:r>
        <w:rPr>
          <w:rFonts w:ascii="Times New Roman"/>
        </w:rPr>
        <w:t>公式（</w:t>
      </w:r>
      <w:r>
        <w:rPr>
          <w:rFonts w:hint="eastAsia" w:ascii="Times New Roman"/>
        </w:rPr>
        <w:t>9</w:t>
      </w:r>
      <w:r>
        <w:rPr>
          <w:rFonts w:ascii="Times New Roman"/>
        </w:rPr>
        <w:t>）</w:t>
      </w:r>
      <w:r>
        <w:rPr>
          <w:rFonts w:hint="eastAsia" w:ascii="Times New Roman"/>
        </w:rPr>
        <w:t>计算。</w:t>
      </w:r>
    </w:p>
    <w:p>
      <w:pPr>
        <w:pStyle w:val="28"/>
        <w:spacing w:line="380" w:lineRule="exact"/>
        <w:jc w:val="center"/>
        <w:rPr>
          <w:rFonts w:ascii="Times New Roman"/>
        </w:rPr>
      </w:pPr>
      <w:r>
        <w:rPr>
          <w:rFonts w:ascii="Times New Roman"/>
        </w:rPr>
        <w:t>E</w:t>
      </w:r>
      <w:r>
        <w:rPr>
          <w:rFonts w:hint="eastAsia" w:ascii="Times New Roman"/>
          <w:vertAlign w:val="subscript"/>
        </w:rPr>
        <w:t>水</w:t>
      </w:r>
      <w:r>
        <w:rPr>
          <w:rFonts w:ascii="Times New Roman"/>
        </w:rPr>
        <w:t xml:space="preserve"> = A</w:t>
      </w:r>
      <w:r>
        <w:rPr>
          <w:rFonts w:hint="eastAsia" w:ascii="Times New Roman"/>
        </w:rPr>
        <w:t>C</w:t>
      </w:r>
      <w:r>
        <w:rPr>
          <w:rFonts w:hint="eastAsia" w:ascii="Times New Roman"/>
          <w:vertAlign w:val="subscript"/>
        </w:rPr>
        <w:t>水</w:t>
      </w:r>
      <w:r>
        <w:rPr>
          <w:rFonts w:ascii="Times New Roman"/>
        </w:rPr>
        <w:t>× EF</w:t>
      </w:r>
      <w:r>
        <w:rPr>
          <w:rFonts w:hint="eastAsia" w:ascii="Times New Roman"/>
          <w:vertAlign w:val="subscript"/>
        </w:rPr>
        <w:t>水</w:t>
      </w:r>
      <w:r>
        <w:rPr>
          <w:rFonts w:ascii="Times New Roman"/>
        </w:rPr>
        <w:t>--------（</w:t>
      </w:r>
      <w:r>
        <w:rPr>
          <w:rFonts w:hint="eastAsia" w:ascii="Times New Roman"/>
        </w:rPr>
        <w:t>9</w:t>
      </w:r>
      <w:r>
        <w:rPr>
          <w:rFonts w:ascii="Times New Roman"/>
        </w:rPr>
        <w:t>）</w:t>
      </w:r>
    </w:p>
    <w:p>
      <w:pPr>
        <w:pStyle w:val="28"/>
        <w:spacing w:line="380" w:lineRule="exact"/>
        <w:rPr>
          <w:rFonts w:ascii="Times New Roman"/>
        </w:rPr>
      </w:pPr>
      <w:r>
        <w:rPr>
          <w:rFonts w:ascii="Times New Roman"/>
        </w:rPr>
        <w:t>式中：</w:t>
      </w:r>
    </w:p>
    <w:p>
      <w:pPr>
        <w:pStyle w:val="28"/>
        <w:spacing w:line="380" w:lineRule="exact"/>
        <w:rPr>
          <w:rFonts w:ascii="Times New Roman"/>
        </w:rPr>
      </w:pPr>
      <w:r>
        <w:rPr>
          <w:rFonts w:ascii="Times New Roman"/>
        </w:rPr>
        <w:t>A</w:t>
      </w:r>
      <w:r>
        <w:rPr>
          <w:rFonts w:hint="eastAsia" w:ascii="Times New Roman"/>
        </w:rPr>
        <w:t>C</w:t>
      </w:r>
      <w:r>
        <w:rPr>
          <w:rFonts w:hint="eastAsia" w:ascii="Times New Roman"/>
          <w:vertAlign w:val="subscript"/>
        </w:rPr>
        <w:t>水</w:t>
      </w:r>
      <w:r>
        <w:rPr>
          <w:rFonts w:ascii="Times New Roman"/>
          <w:color w:val="000000"/>
          <w:lang w:bidi="ar"/>
        </w:rPr>
        <w:t>——</w:t>
      </w:r>
      <w:r>
        <w:rPr>
          <w:rFonts w:hint="eastAsia" w:ascii="Times New Roman"/>
        </w:rPr>
        <w:t>声明</w:t>
      </w:r>
      <w:r>
        <w:rPr>
          <w:rFonts w:hint="eastAsia" w:ascii="Times New Roman"/>
          <w:color w:val="000000"/>
          <w:lang w:bidi="ar"/>
        </w:rPr>
        <w:t>单位玻璃产品的</w:t>
      </w:r>
      <w:r>
        <w:rPr>
          <w:rFonts w:hint="eastAsia" w:ascii="Times New Roman"/>
        </w:rPr>
        <w:t>水</w:t>
      </w:r>
      <w:r>
        <w:rPr>
          <w:rFonts w:ascii="Times New Roman"/>
        </w:rPr>
        <w:t>消耗量，单位为</w:t>
      </w:r>
      <w:r>
        <w:rPr>
          <w:rFonts w:hint="eastAsia" w:ascii="Times New Roman"/>
        </w:rPr>
        <w:t xml:space="preserve">千克/平方米 </w:t>
      </w:r>
      <w:r>
        <w:rPr>
          <w:rFonts w:ascii="Times New Roman"/>
        </w:rPr>
        <w:t>(</w:t>
      </w:r>
      <w:r>
        <w:rPr>
          <w:rFonts w:hint="eastAsia" w:ascii="Times New Roman"/>
        </w:rPr>
        <w:t>kg/</w:t>
      </w:r>
      <w:r>
        <w:rPr>
          <w:rFonts w:ascii="Times New Roman"/>
        </w:rPr>
        <w:t>m</w:t>
      </w:r>
      <w:r>
        <w:rPr>
          <w:rFonts w:ascii="Times New Roman"/>
          <w:vertAlign w:val="superscript"/>
        </w:rPr>
        <w:t>2</w:t>
      </w:r>
      <w:r>
        <w:rPr>
          <w:rFonts w:hint="eastAsia" w:ascii="Times New Roman"/>
        </w:rPr>
        <w:t>)</w:t>
      </w:r>
      <w:r>
        <w:rPr>
          <w:rFonts w:ascii="Times New Roman"/>
        </w:rPr>
        <w:t>；</w:t>
      </w:r>
    </w:p>
    <w:p>
      <w:pPr>
        <w:pStyle w:val="28"/>
        <w:spacing w:line="380" w:lineRule="exact"/>
        <w:rPr>
          <w:rFonts w:ascii="Times New Roman"/>
        </w:rPr>
      </w:pPr>
      <w:r>
        <w:rPr>
          <w:rFonts w:ascii="Times New Roman"/>
        </w:rPr>
        <w:t>EF</w:t>
      </w:r>
      <w:r>
        <w:rPr>
          <w:rFonts w:hint="eastAsia" w:ascii="Times New Roman"/>
          <w:vertAlign w:val="subscript"/>
        </w:rPr>
        <w:t>水</w:t>
      </w:r>
      <w:r>
        <w:rPr>
          <w:rFonts w:ascii="Times New Roman"/>
          <w:color w:val="000000"/>
          <w:lang w:bidi="ar"/>
        </w:rPr>
        <w:t>——</w:t>
      </w:r>
      <w:r>
        <w:rPr>
          <w:rFonts w:hint="eastAsia" w:ascii="Times New Roman"/>
        </w:rPr>
        <w:t>水的</w:t>
      </w:r>
      <w:r>
        <w:rPr>
          <w:rFonts w:ascii="Times New Roman"/>
        </w:rPr>
        <w:t>排放因子，单位为千克二氧化碳当量/</w:t>
      </w:r>
      <w:r>
        <w:rPr>
          <w:rFonts w:hint="eastAsia" w:ascii="Times New Roman"/>
        </w:rPr>
        <w:t xml:space="preserve">千克 </w:t>
      </w:r>
      <w:r>
        <w:rPr>
          <w:rFonts w:ascii="Times New Roman"/>
        </w:rPr>
        <w:t>(kgCO</w:t>
      </w:r>
      <w:r>
        <w:rPr>
          <w:rFonts w:ascii="Times New Roman"/>
          <w:vertAlign w:val="subscript"/>
        </w:rPr>
        <w:t>2</w:t>
      </w:r>
      <w:r>
        <w:rPr>
          <w:rFonts w:ascii="Times New Roman"/>
        </w:rPr>
        <w:t>e/</w:t>
      </w:r>
      <w:r>
        <w:rPr>
          <w:rFonts w:hint="eastAsia" w:ascii="Times New Roman"/>
        </w:rPr>
        <w:t>kg)，排放因子的参考值见附录C。</w:t>
      </w:r>
    </w:p>
    <w:p>
      <w:pPr>
        <w:pStyle w:val="138"/>
        <w:spacing w:before="240" w:after="240" w:line="380" w:lineRule="exact"/>
        <w:outlineLvl w:val="0"/>
        <w:rPr>
          <w:rFonts w:ascii="Times New Roman" w:eastAsia="宋体"/>
          <w:b/>
        </w:rPr>
      </w:pPr>
      <w:bookmarkStart w:id="86" w:name="_Toc13011"/>
      <w:bookmarkStart w:id="87" w:name="_Toc4423"/>
      <w:r>
        <w:rPr>
          <w:rFonts w:hint="eastAsia" w:ascii="Times New Roman" w:eastAsia="宋体"/>
          <w:b/>
        </w:rPr>
        <w:t>结果解释</w:t>
      </w:r>
      <w:bookmarkEnd w:id="86"/>
      <w:bookmarkEnd w:id="87"/>
    </w:p>
    <w:p>
      <w:pPr>
        <w:pStyle w:val="28"/>
        <w:spacing w:line="380" w:lineRule="exact"/>
        <w:rPr>
          <w:rFonts w:ascii="Times New Roman"/>
        </w:rPr>
      </w:pPr>
      <w:r>
        <w:rPr>
          <w:rFonts w:ascii="Times New Roman"/>
        </w:rPr>
        <w:t>产品碳足迹的生命周期解释应包括以下内容：</w:t>
      </w:r>
    </w:p>
    <w:p>
      <w:pPr>
        <w:pStyle w:val="146"/>
        <w:numPr>
          <w:ilvl w:val="0"/>
          <w:numId w:val="22"/>
        </w:numPr>
        <w:spacing w:line="380" w:lineRule="exact"/>
        <w:rPr>
          <w:szCs w:val="21"/>
        </w:rPr>
      </w:pPr>
      <w:r>
        <w:rPr>
          <w:rFonts w:hint="eastAsia"/>
          <w:szCs w:val="21"/>
        </w:rPr>
        <w:t>根据生命周期清单分析和生命周期影响评价的产品碳足迹的量化结果，识别显著环节</w:t>
      </w:r>
      <w:r>
        <w:rPr>
          <w:szCs w:val="21"/>
        </w:rPr>
        <w:t>；</w:t>
      </w:r>
    </w:p>
    <w:p>
      <w:pPr>
        <w:pStyle w:val="146"/>
        <w:numPr>
          <w:ilvl w:val="0"/>
          <w:numId w:val="22"/>
        </w:numPr>
        <w:spacing w:line="380" w:lineRule="exact"/>
        <w:rPr>
          <w:szCs w:val="21"/>
        </w:rPr>
      </w:pPr>
      <w:r>
        <w:rPr>
          <w:szCs w:val="21"/>
        </w:rPr>
        <w:t>完整性</w:t>
      </w:r>
      <w:r>
        <w:rPr>
          <w:rFonts w:hint="eastAsia"/>
          <w:szCs w:val="21"/>
        </w:rPr>
        <w:t>、</w:t>
      </w:r>
      <w:r>
        <w:rPr>
          <w:szCs w:val="21"/>
        </w:rPr>
        <w:t>一致性</w:t>
      </w:r>
      <w:r>
        <w:rPr>
          <w:rFonts w:hint="eastAsia"/>
          <w:szCs w:val="21"/>
        </w:rPr>
        <w:t>和敏感性分析</w:t>
      </w:r>
      <w:r>
        <w:rPr>
          <w:szCs w:val="21"/>
        </w:rPr>
        <w:t>的</w:t>
      </w:r>
      <w:r>
        <w:rPr>
          <w:rFonts w:hint="eastAsia"/>
          <w:szCs w:val="21"/>
        </w:rPr>
        <w:t>评估</w:t>
      </w:r>
      <w:r>
        <w:rPr>
          <w:szCs w:val="21"/>
        </w:rPr>
        <w:t>；</w:t>
      </w:r>
    </w:p>
    <w:p>
      <w:pPr>
        <w:spacing w:line="380" w:lineRule="exact"/>
        <w:ind w:firstLine="420" w:firstLineChars="200"/>
        <w:rPr>
          <w:szCs w:val="21"/>
        </w:rPr>
      </w:pPr>
      <w:bookmarkStart w:id="88" w:name="_Hlk173439334"/>
      <w:r>
        <w:rPr>
          <w:rFonts w:hint="eastAsia"/>
          <w:szCs w:val="21"/>
        </w:rPr>
        <w:t>c）</w:t>
      </w:r>
      <w:r>
        <w:rPr>
          <w:szCs w:val="21"/>
        </w:rPr>
        <w:t>结论、局限性和建议。</w:t>
      </w:r>
      <w:bookmarkEnd w:id="88"/>
    </w:p>
    <w:bookmarkEnd w:id="59"/>
    <w:bookmarkEnd w:id="60"/>
    <w:bookmarkEnd w:id="61"/>
    <w:p>
      <w:pPr>
        <w:pStyle w:val="138"/>
        <w:spacing w:before="240" w:after="240" w:line="380" w:lineRule="exact"/>
        <w:outlineLvl w:val="0"/>
        <w:rPr>
          <w:rFonts w:ascii="Times New Roman" w:eastAsia="宋体"/>
          <w:b/>
        </w:rPr>
      </w:pPr>
      <w:bookmarkStart w:id="89" w:name="_Toc22653"/>
      <w:bookmarkStart w:id="90" w:name="_Toc32078"/>
      <w:bookmarkStart w:id="91" w:name="_Toc13748295"/>
      <w:r>
        <w:rPr>
          <w:rFonts w:hint="eastAsia" w:ascii="Times New Roman" w:eastAsia="宋体"/>
          <w:b/>
        </w:rPr>
        <w:t>产品碳足迹报告</w:t>
      </w:r>
      <w:bookmarkEnd w:id="89"/>
      <w:bookmarkEnd w:id="90"/>
    </w:p>
    <w:p>
      <w:pPr>
        <w:pStyle w:val="28"/>
        <w:spacing w:line="380" w:lineRule="exact"/>
        <w:rPr>
          <w:rFonts w:ascii="Times New Roman"/>
        </w:rPr>
      </w:pPr>
      <w:r>
        <w:rPr>
          <w:rFonts w:ascii="Times New Roman"/>
        </w:rPr>
        <w:t>应将以下信息（包括但不限于）纳入产品碳足迹报告（参考格式见附录</w:t>
      </w:r>
      <w:r>
        <w:rPr>
          <w:rFonts w:hint="eastAsia" w:ascii="Times New Roman"/>
        </w:rPr>
        <w:t>D</w:t>
      </w:r>
      <w:r>
        <w:rPr>
          <w:rFonts w:ascii="Times New Roman"/>
        </w:rPr>
        <w:t>）：</w:t>
      </w:r>
    </w:p>
    <w:p>
      <w:pPr>
        <w:numPr>
          <w:ilvl w:val="0"/>
          <w:numId w:val="9"/>
        </w:numPr>
        <w:spacing w:line="380" w:lineRule="exact"/>
        <w:ind w:left="777" w:hanging="357"/>
        <w:rPr>
          <w:szCs w:val="21"/>
        </w:rPr>
      </w:pPr>
      <w:r>
        <w:t>基本情况：</w:t>
      </w:r>
    </w:p>
    <w:p>
      <w:pPr>
        <w:pStyle w:val="146"/>
        <w:numPr>
          <w:ilvl w:val="1"/>
          <w:numId w:val="23"/>
        </w:numPr>
        <w:spacing w:line="380" w:lineRule="exact"/>
        <w:ind w:left="1293" w:hanging="442"/>
        <w:rPr>
          <w:rFonts w:ascii="Times New Roman" w:hAnsi="Times New Roman"/>
        </w:rPr>
      </w:pPr>
      <w:r>
        <w:rPr>
          <w:rFonts w:ascii="Times New Roman" w:hAnsi="Times New Roman"/>
        </w:rPr>
        <w:t>委托方和评价方信息；</w:t>
      </w:r>
    </w:p>
    <w:p>
      <w:pPr>
        <w:pStyle w:val="146"/>
        <w:numPr>
          <w:ilvl w:val="1"/>
          <w:numId w:val="23"/>
        </w:numPr>
        <w:spacing w:line="380" w:lineRule="exact"/>
        <w:ind w:left="1293" w:hanging="442"/>
        <w:rPr>
          <w:rFonts w:ascii="Times New Roman" w:hAnsi="Times New Roman"/>
        </w:rPr>
      </w:pPr>
      <w:r>
        <w:rPr>
          <w:rFonts w:ascii="Times New Roman" w:hAnsi="Times New Roman"/>
        </w:rPr>
        <w:t>报告信息；</w:t>
      </w:r>
    </w:p>
    <w:p>
      <w:pPr>
        <w:pStyle w:val="146"/>
        <w:numPr>
          <w:ilvl w:val="1"/>
          <w:numId w:val="23"/>
        </w:numPr>
        <w:spacing w:line="380" w:lineRule="exact"/>
        <w:ind w:left="1293" w:hanging="442"/>
        <w:rPr>
          <w:rFonts w:ascii="Times New Roman" w:hAnsi="Times New Roman"/>
        </w:rPr>
      </w:pPr>
      <w:r>
        <w:rPr>
          <w:rFonts w:ascii="Times New Roman" w:hAnsi="Times New Roman"/>
        </w:rPr>
        <w:t>依据的标准；</w:t>
      </w:r>
    </w:p>
    <w:p>
      <w:pPr>
        <w:pStyle w:val="146"/>
        <w:numPr>
          <w:ilvl w:val="1"/>
          <w:numId w:val="23"/>
        </w:numPr>
        <w:spacing w:line="380" w:lineRule="exact"/>
        <w:ind w:left="1293" w:hanging="442"/>
        <w:rPr>
          <w:rFonts w:ascii="Times New Roman" w:hAnsi="Times New Roman"/>
        </w:rPr>
      </w:pPr>
      <w:r>
        <w:rPr>
          <w:rFonts w:ascii="Times New Roman" w:hAnsi="Times New Roman"/>
        </w:rPr>
        <w:t>使用的产品种类规则或其他补充要求的参考资料（如有）。</w:t>
      </w:r>
    </w:p>
    <w:p>
      <w:pPr>
        <w:numPr>
          <w:ilvl w:val="0"/>
          <w:numId w:val="9"/>
        </w:numPr>
        <w:spacing w:line="380" w:lineRule="exact"/>
        <w:ind w:left="777" w:hanging="357"/>
        <w:rPr>
          <w:szCs w:val="21"/>
        </w:rPr>
      </w:pPr>
      <w:r>
        <w:rPr>
          <w:szCs w:val="21"/>
        </w:rPr>
        <w:t>目的</w:t>
      </w:r>
      <w:r>
        <w:rPr>
          <w:rFonts w:hint="eastAsia"/>
          <w:szCs w:val="21"/>
        </w:rPr>
        <w:t>：</w:t>
      </w:r>
    </w:p>
    <w:p>
      <w:pPr>
        <w:pStyle w:val="146"/>
        <w:numPr>
          <w:ilvl w:val="1"/>
          <w:numId w:val="24"/>
        </w:numPr>
        <w:spacing w:line="380" w:lineRule="exact"/>
        <w:ind w:left="1293" w:hanging="442"/>
        <w:rPr>
          <w:rFonts w:ascii="Times New Roman" w:hAnsi="Times New Roman"/>
        </w:rPr>
      </w:pPr>
      <w:r>
        <w:rPr>
          <w:rFonts w:ascii="Times New Roman" w:hAnsi="Times New Roman"/>
        </w:rPr>
        <w:t>开展研究的目的；</w:t>
      </w:r>
    </w:p>
    <w:p>
      <w:pPr>
        <w:pStyle w:val="146"/>
        <w:spacing w:line="380" w:lineRule="exact"/>
        <w:ind w:left="1293" w:hanging="442"/>
        <w:rPr>
          <w:rFonts w:ascii="Times New Roman" w:hAnsi="Times New Roman"/>
        </w:rPr>
      </w:pPr>
      <w:r>
        <w:rPr>
          <w:rFonts w:ascii="Times New Roman" w:hAnsi="Times New Roman"/>
        </w:rPr>
        <w:t>预期用途。</w:t>
      </w:r>
    </w:p>
    <w:p>
      <w:pPr>
        <w:numPr>
          <w:ilvl w:val="0"/>
          <w:numId w:val="9"/>
        </w:numPr>
        <w:spacing w:line="380" w:lineRule="exact"/>
        <w:ind w:left="777" w:hanging="357"/>
        <w:rPr>
          <w:szCs w:val="21"/>
        </w:rPr>
      </w:pPr>
      <w:r>
        <w:rPr>
          <w:szCs w:val="21"/>
        </w:rPr>
        <w:t>范围：</w:t>
      </w:r>
    </w:p>
    <w:p>
      <w:pPr>
        <w:pStyle w:val="146"/>
        <w:numPr>
          <w:ilvl w:val="1"/>
          <w:numId w:val="25"/>
        </w:numPr>
        <w:spacing w:line="380" w:lineRule="exact"/>
        <w:ind w:left="1293" w:hanging="442"/>
        <w:rPr>
          <w:rFonts w:ascii="Times New Roman" w:hAnsi="Times New Roman"/>
        </w:rPr>
      </w:pPr>
      <w:r>
        <w:rPr>
          <w:rFonts w:ascii="Times New Roman" w:hAnsi="Times New Roman"/>
        </w:rPr>
        <w:t>产品说明，包括功能和技术参数；</w:t>
      </w:r>
    </w:p>
    <w:p>
      <w:pPr>
        <w:pStyle w:val="146"/>
        <w:spacing w:line="380" w:lineRule="exact"/>
        <w:ind w:left="1293" w:hanging="442"/>
        <w:rPr>
          <w:rFonts w:ascii="Times New Roman" w:hAnsi="Times New Roman"/>
        </w:rPr>
      </w:pPr>
      <w:r>
        <w:rPr>
          <w:rFonts w:hint="eastAsia" w:ascii="Times New Roman"/>
        </w:rPr>
        <w:t>声明</w:t>
      </w:r>
      <w:r>
        <w:rPr>
          <w:rFonts w:ascii="Times New Roman" w:hAnsi="Times New Roman"/>
        </w:rPr>
        <w:t>单位以及基准流；</w:t>
      </w:r>
    </w:p>
    <w:p>
      <w:pPr>
        <w:pStyle w:val="146"/>
        <w:spacing w:line="380" w:lineRule="exact"/>
        <w:ind w:left="1293" w:hanging="442"/>
        <w:rPr>
          <w:rFonts w:ascii="Times New Roman" w:hAnsi="Times New Roman"/>
        </w:rPr>
      </w:pPr>
      <w:r>
        <w:rPr>
          <w:rFonts w:ascii="Times New Roman" w:hAnsi="Times New Roman"/>
        </w:rPr>
        <w:t>系统边界，包括：</w:t>
      </w:r>
    </w:p>
    <w:p>
      <w:pPr>
        <w:spacing w:line="380" w:lineRule="exact"/>
        <w:ind w:left="1293" w:hanging="442"/>
      </w:pPr>
      <w:r>
        <w:t>——作为基本流中的系统输入和输出类型；</w:t>
      </w:r>
    </w:p>
    <w:p>
      <w:pPr>
        <w:spacing w:line="380" w:lineRule="exact"/>
        <w:ind w:left="1293" w:hanging="442"/>
      </w:pPr>
      <w:r>
        <w:t>——有关单元过程处理的决策准则（考虑其对产品碳足迹研究结论的重要性）；</w:t>
      </w:r>
    </w:p>
    <w:p>
      <w:pPr>
        <w:pStyle w:val="146"/>
        <w:spacing w:line="380" w:lineRule="exact"/>
        <w:ind w:left="1293" w:hanging="442"/>
        <w:rPr>
          <w:rFonts w:ascii="Times New Roman" w:hAnsi="Times New Roman"/>
        </w:rPr>
      </w:pPr>
      <w:r>
        <w:rPr>
          <w:rFonts w:ascii="Times New Roman" w:hAnsi="Times New Roman"/>
        </w:rPr>
        <w:t>取舍准则；</w:t>
      </w:r>
    </w:p>
    <w:p>
      <w:pPr>
        <w:pStyle w:val="146"/>
        <w:spacing w:line="380" w:lineRule="exact"/>
        <w:ind w:left="1293" w:hanging="442"/>
        <w:rPr>
          <w:rFonts w:ascii="Times New Roman" w:hAnsi="Times New Roman"/>
        </w:rPr>
      </w:pPr>
      <w:r>
        <w:rPr>
          <w:rFonts w:ascii="Times New Roman" w:hAnsi="Times New Roman"/>
        </w:rPr>
        <w:t>生命周期各阶段的描述。</w:t>
      </w:r>
    </w:p>
    <w:p>
      <w:pPr>
        <w:numPr>
          <w:ilvl w:val="0"/>
          <w:numId w:val="9"/>
        </w:numPr>
        <w:spacing w:line="380" w:lineRule="exact"/>
        <w:ind w:left="777" w:hanging="357"/>
        <w:rPr>
          <w:szCs w:val="21"/>
        </w:rPr>
      </w:pPr>
      <w:r>
        <w:t>清单分析：</w:t>
      </w:r>
    </w:p>
    <w:p>
      <w:pPr>
        <w:pStyle w:val="146"/>
        <w:numPr>
          <w:ilvl w:val="1"/>
          <w:numId w:val="26"/>
        </w:numPr>
        <w:spacing w:line="380" w:lineRule="exact"/>
        <w:ind w:left="1293" w:hanging="442"/>
        <w:rPr>
          <w:rFonts w:ascii="Times New Roman" w:hAnsi="Times New Roman"/>
        </w:rPr>
      </w:pPr>
      <w:r>
        <w:rPr>
          <w:rFonts w:ascii="Times New Roman" w:hAnsi="Times New Roman"/>
        </w:rPr>
        <w:t>数据收集信息，包括数据来源；</w:t>
      </w:r>
    </w:p>
    <w:p>
      <w:pPr>
        <w:pStyle w:val="146"/>
        <w:numPr>
          <w:ilvl w:val="1"/>
          <w:numId w:val="26"/>
        </w:numPr>
        <w:spacing w:line="380" w:lineRule="exact"/>
        <w:ind w:left="1293" w:hanging="442"/>
        <w:rPr>
          <w:rFonts w:ascii="Times New Roman" w:hAnsi="Times New Roman"/>
        </w:rPr>
      </w:pPr>
      <w:r>
        <w:rPr>
          <w:rFonts w:hint="eastAsia" w:ascii="Times New Roman" w:hAnsi="Times New Roman"/>
        </w:rPr>
        <w:t>重要的单元过程清单；</w:t>
      </w:r>
    </w:p>
    <w:p>
      <w:pPr>
        <w:pStyle w:val="146"/>
        <w:numPr>
          <w:ilvl w:val="1"/>
          <w:numId w:val="26"/>
        </w:numPr>
        <w:spacing w:line="380" w:lineRule="exact"/>
        <w:ind w:left="1293" w:hanging="442"/>
        <w:rPr>
          <w:rFonts w:ascii="Times New Roman" w:hAnsi="Times New Roman"/>
        </w:rPr>
      </w:pPr>
      <w:r>
        <w:rPr>
          <w:rFonts w:hint="eastAsia" w:ascii="Times New Roman" w:hAnsi="Times New Roman"/>
        </w:rPr>
        <w:t>纳入考虑范围的温室气体清单；</w:t>
      </w:r>
    </w:p>
    <w:p>
      <w:pPr>
        <w:pStyle w:val="146"/>
        <w:spacing w:line="380" w:lineRule="exact"/>
        <w:ind w:left="1293" w:hanging="442"/>
        <w:rPr>
          <w:rFonts w:ascii="Times New Roman" w:hAnsi="Times New Roman"/>
        </w:rPr>
      </w:pPr>
      <w:r>
        <w:rPr>
          <w:rFonts w:ascii="Times New Roman" w:hAnsi="Times New Roman"/>
        </w:rPr>
        <w:t>温室气体排放时间</w:t>
      </w:r>
      <w:r>
        <w:rPr>
          <w:rFonts w:hint="eastAsia" w:ascii="Times New Roman" w:hAnsi="Times New Roman"/>
        </w:rPr>
        <w:t>；</w:t>
      </w:r>
    </w:p>
    <w:p>
      <w:pPr>
        <w:pStyle w:val="146"/>
        <w:spacing w:line="380" w:lineRule="exact"/>
        <w:ind w:left="1293" w:hanging="442"/>
        <w:rPr>
          <w:rFonts w:ascii="Times New Roman" w:hAnsi="Times New Roman"/>
        </w:rPr>
      </w:pPr>
      <w:r>
        <w:rPr>
          <w:rFonts w:ascii="Times New Roman" w:hAnsi="Times New Roman"/>
        </w:rPr>
        <w:t>代表性的时间</w:t>
      </w:r>
      <w:r>
        <w:rPr>
          <w:rFonts w:hint="eastAsia" w:ascii="Times New Roman" w:hAnsi="Times New Roman"/>
        </w:rPr>
        <w:t>边界和地理边界</w:t>
      </w:r>
      <w:r>
        <w:rPr>
          <w:rFonts w:ascii="Times New Roman" w:hAnsi="Times New Roman"/>
        </w:rPr>
        <w:t>；</w:t>
      </w:r>
    </w:p>
    <w:p>
      <w:pPr>
        <w:pStyle w:val="146"/>
        <w:spacing w:line="380" w:lineRule="exact"/>
        <w:ind w:left="1293" w:hanging="442"/>
        <w:rPr>
          <w:rFonts w:ascii="Times New Roman" w:hAnsi="Times New Roman"/>
        </w:rPr>
      </w:pPr>
      <w:r>
        <w:rPr>
          <w:rFonts w:ascii="Times New Roman" w:hAnsi="Times New Roman"/>
        </w:rPr>
        <w:t>分配原则与程序；</w:t>
      </w:r>
    </w:p>
    <w:p>
      <w:pPr>
        <w:pStyle w:val="146"/>
        <w:spacing w:line="380" w:lineRule="exact"/>
        <w:ind w:left="1293" w:hanging="442"/>
        <w:rPr>
          <w:rFonts w:ascii="Times New Roman" w:hAnsi="Times New Roman"/>
        </w:rPr>
      </w:pPr>
      <w:r>
        <w:rPr>
          <w:rFonts w:ascii="Times New Roman" w:hAnsi="Times New Roman"/>
        </w:rPr>
        <w:t>数据说明，包括有关数据的决定和数据质量评价。</w:t>
      </w:r>
    </w:p>
    <w:p>
      <w:pPr>
        <w:numPr>
          <w:ilvl w:val="0"/>
          <w:numId w:val="9"/>
        </w:numPr>
        <w:spacing w:line="380" w:lineRule="exact"/>
        <w:ind w:left="777" w:hanging="357"/>
        <w:rPr>
          <w:szCs w:val="21"/>
        </w:rPr>
      </w:pPr>
      <w:r>
        <w:rPr>
          <w:rFonts w:hint="eastAsia"/>
        </w:rPr>
        <w:t>影响评价</w:t>
      </w:r>
      <w:r>
        <w:t>：</w:t>
      </w:r>
    </w:p>
    <w:p>
      <w:pPr>
        <w:pStyle w:val="146"/>
        <w:numPr>
          <w:ilvl w:val="1"/>
          <w:numId w:val="27"/>
        </w:numPr>
        <w:spacing w:line="380" w:lineRule="exact"/>
        <w:ind w:left="1293" w:hanging="442"/>
        <w:rPr>
          <w:rFonts w:ascii="Times New Roman" w:hAnsi="Times New Roman"/>
        </w:rPr>
      </w:pPr>
      <w:r>
        <w:rPr>
          <w:rFonts w:ascii="Times New Roman" w:hAnsi="Times New Roman"/>
        </w:rPr>
        <w:t>碳足迹核算方法；</w:t>
      </w:r>
    </w:p>
    <w:p>
      <w:pPr>
        <w:pStyle w:val="146"/>
        <w:numPr>
          <w:ilvl w:val="1"/>
          <w:numId w:val="27"/>
        </w:numPr>
        <w:spacing w:line="380" w:lineRule="exact"/>
        <w:ind w:left="1293" w:hanging="442"/>
        <w:rPr>
          <w:rFonts w:ascii="Times New Roman" w:hAnsi="Times New Roman"/>
        </w:rPr>
      </w:pPr>
      <w:r>
        <w:rPr>
          <w:rFonts w:hint="eastAsia" w:ascii="Times New Roman" w:hAnsi="Times New Roman"/>
        </w:rPr>
        <w:t>特征化因子；</w:t>
      </w:r>
    </w:p>
    <w:p>
      <w:pPr>
        <w:pStyle w:val="146"/>
        <w:spacing w:line="380" w:lineRule="exact"/>
        <w:ind w:left="1293" w:hanging="442"/>
        <w:rPr>
          <w:rFonts w:ascii="Times New Roman" w:hAnsi="Times New Roman"/>
        </w:rPr>
      </w:pPr>
      <w:r>
        <w:rPr>
          <w:rFonts w:ascii="Times New Roman" w:hAnsi="Times New Roman"/>
        </w:rPr>
        <w:t>清单结果与计算；</w:t>
      </w:r>
    </w:p>
    <w:p>
      <w:pPr>
        <w:pStyle w:val="146"/>
        <w:spacing w:line="380" w:lineRule="exact"/>
        <w:ind w:left="1293" w:hanging="442"/>
        <w:rPr>
          <w:rFonts w:ascii="Times New Roman" w:hAnsi="Times New Roman"/>
        </w:rPr>
      </w:pPr>
      <w:r>
        <w:rPr>
          <w:rFonts w:ascii="Times New Roman" w:hAnsi="Times New Roman"/>
        </w:rPr>
        <w:t>结果的图示（可选）。</w:t>
      </w:r>
    </w:p>
    <w:p>
      <w:pPr>
        <w:pStyle w:val="146"/>
        <w:numPr>
          <w:ilvl w:val="0"/>
          <w:numId w:val="9"/>
        </w:numPr>
        <w:spacing w:line="380" w:lineRule="exact"/>
        <w:ind w:left="777" w:hanging="357"/>
        <w:rPr>
          <w:rFonts w:ascii="Times New Roman" w:hAnsi="Times New Roman"/>
          <w:szCs w:val="24"/>
        </w:rPr>
      </w:pPr>
      <w:r>
        <w:rPr>
          <w:rFonts w:ascii="Times New Roman" w:hAnsi="Times New Roman"/>
          <w:szCs w:val="24"/>
        </w:rPr>
        <w:t>结果解释</w:t>
      </w:r>
      <w:r>
        <w:rPr>
          <w:rFonts w:ascii="Times New Roman" w:hAnsi="Times New Roman"/>
        </w:rPr>
        <w:t>：</w:t>
      </w:r>
    </w:p>
    <w:p>
      <w:pPr>
        <w:pStyle w:val="146"/>
        <w:numPr>
          <w:ilvl w:val="1"/>
          <w:numId w:val="28"/>
        </w:numPr>
        <w:spacing w:line="380" w:lineRule="exact"/>
        <w:ind w:left="1293" w:hanging="442"/>
        <w:rPr>
          <w:rFonts w:ascii="Times New Roman" w:hAnsi="Times New Roman"/>
        </w:rPr>
      </w:pPr>
      <w:r>
        <w:rPr>
          <w:rFonts w:hint="eastAsia" w:ascii="Times New Roman" w:hAnsi="Times New Roman"/>
        </w:rPr>
        <w:t>结论和局限性；</w:t>
      </w:r>
    </w:p>
    <w:p>
      <w:pPr>
        <w:pStyle w:val="146"/>
        <w:numPr>
          <w:ilvl w:val="1"/>
          <w:numId w:val="28"/>
        </w:numPr>
        <w:spacing w:line="380" w:lineRule="exact"/>
        <w:ind w:left="1293" w:hanging="442"/>
        <w:rPr>
          <w:rFonts w:ascii="Times New Roman" w:hAnsi="Times New Roman"/>
        </w:rPr>
      </w:pPr>
      <w:r>
        <w:rPr>
          <w:rFonts w:hint="eastAsia" w:ascii="Times New Roman" w:hAnsi="Times New Roman"/>
        </w:rPr>
        <w:t>敏感性分析和不确定性分析的结果；</w:t>
      </w:r>
    </w:p>
    <w:p>
      <w:pPr>
        <w:pStyle w:val="146"/>
        <w:numPr>
          <w:ilvl w:val="1"/>
          <w:numId w:val="28"/>
        </w:numPr>
        <w:spacing w:line="380" w:lineRule="exact"/>
        <w:ind w:left="1293" w:hanging="442"/>
        <w:rPr>
          <w:rFonts w:ascii="Times New Roman" w:hAnsi="Times New Roman"/>
        </w:rPr>
      </w:pPr>
      <w:bookmarkStart w:id="92" w:name="_Hlk173488139"/>
      <w:r>
        <w:rPr>
          <w:rFonts w:hint="eastAsia" w:ascii="Times New Roman" w:hAnsi="Times New Roman"/>
          <w:szCs w:val="21"/>
        </w:rPr>
        <w:t>电力处理，宜包括关于电网排放因子计算和相关电网的特殊局限信息</w:t>
      </w:r>
      <w:bookmarkEnd w:id="92"/>
      <w:r>
        <w:rPr>
          <w:rFonts w:hint="eastAsia" w:ascii="Times New Roman" w:hAnsi="Times New Roman"/>
        </w:rPr>
        <w:t>；</w:t>
      </w:r>
    </w:p>
    <w:p>
      <w:pPr>
        <w:pStyle w:val="146"/>
        <w:spacing w:line="380" w:lineRule="exact"/>
        <w:ind w:left="1293" w:hanging="442"/>
        <w:rPr>
          <w:rFonts w:ascii="Times New Roman" w:hAnsi="Times New Roman"/>
        </w:rPr>
      </w:pPr>
      <w:r>
        <w:rPr>
          <w:rFonts w:hint="eastAsia" w:ascii="Times New Roman" w:hAnsi="Times New Roman"/>
        </w:rPr>
        <w:t>在产品碳足迹研究中披露和证明相关信息项的选择并说明理由；</w:t>
      </w:r>
    </w:p>
    <w:p>
      <w:pPr>
        <w:pStyle w:val="146"/>
        <w:spacing w:line="380" w:lineRule="exact"/>
        <w:ind w:left="1293" w:hanging="442"/>
        <w:rPr>
          <w:rFonts w:ascii="Times New Roman" w:hAnsi="Times New Roman"/>
        </w:rPr>
      </w:pPr>
      <w:r>
        <w:rPr>
          <w:rFonts w:hint="eastAsia" w:ascii="Times New Roman" w:hAnsi="Times New Roman"/>
          <w:kern w:val="0"/>
        </w:rPr>
        <w:t>范围和修改后的范围（如适用），并说明理由和排除的情况。</w:t>
      </w:r>
    </w:p>
    <w:p>
      <w:pPr>
        <w:numPr>
          <w:ilvl w:val="0"/>
          <w:numId w:val="9"/>
        </w:numPr>
        <w:spacing w:line="380" w:lineRule="exact"/>
        <w:ind w:left="777" w:hanging="357"/>
        <w:rPr>
          <w:szCs w:val="21"/>
        </w:rPr>
      </w:pPr>
      <w:r>
        <w:t>研究中使用的参考资料。</w:t>
      </w:r>
    </w:p>
    <w:p>
      <w:pPr>
        <w:numPr>
          <w:ilvl w:val="0"/>
          <w:numId w:val="9"/>
        </w:numPr>
        <w:spacing w:line="380" w:lineRule="exact"/>
        <w:ind w:left="777" w:hanging="357"/>
        <w:rPr>
          <w:szCs w:val="21"/>
        </w:rPr>
      </w:pPr>
      <w:r>
        <w:rPr>
          <w:rFonts w:hint="eastAsia"/>
          <w:kern w:val="0"/>
        </w:rPr>
        <w:t>绩效追踪说明（如适用）。</w:t>
      </w:r>
    </w:p>
    <w:p>
      <w:pPr>
        <w:pStyle w:val="138"/>
        <w:spacing w:before="240" w:after="240" w:line="380" w:lineRule="exact"/>
        <w:outlineLvl w:val="0"/>
        <w:rPr>
          <w:rFonts w:ascii="Times New Roman" w:eastAsia="宋体"/>
          <w:b/>
          <w:sz w:val="24"/>
          <w:szCs w:val="24"/>
        </w:rPr>
      </w:pPr>
      <w:bookmarkStart w:id="93" w:name="_Toc8369"/>
      <w:bookmarkStart w:id="94" w:name="_Toc26127"/>
      <w:r>
        <w:rPr>
          <w:rFonts w:hint="eastAsia" w:ascii="Times New Roman" w:eastAsia="宋体"/>
          <w:b/>
          <w:sz w:val="24"/>
          <w:szCs w:val="24"/>
        </w:rPr>
        <w:t>鉴定性评审</w:t>
      </w:r>
      <w:bookmarkEnd w:id="93"/>
      <w:bookmarkEnd w:id="94"/>
    </w:p>
    <w:p>
      <w:pPr>
        <w:pStyle w:val="28"/>
        <w:tabs>
          <w:tab w:val="left" w:pos="1513"/>
          <w:tab w:val="center" w:pos="4887"/>
          <w:tab w:val="clear" w:pos="4201"/>
          <w:tab w:val="clear" w:pos="9298"/>
        </w:tabs>
        <w:spacing w:line="380" w:lineRule="exact"/>
        <w:ind w:firstLine="210" w:firstLineChars="100"/>
        <w:outlineLvl w:val="0"/>
        <w:rPr>
          <w:rFonts w:ascii="Times New Roman"/>
          <w:spacing w:val="52"/>
        </w:rPr>
      </w:pPr>
      <w:r>
        <w:rPr>
          <w:rFonts w:hint="eastAsia" w:ascii="Times New Roman"/>
        </w:rPr>
        <w:t>建议</w:t>
      </w:r>
      <w:r>
        <w:rPr>
          <w:rFonts w:ascii="Times New Roman"/>
        </w:rPr>
        <w:t>提出产品碳足迹报告的组织得到第三方独立</w:t>
      </w:r>
      <w:r>
        <w:rPr>
          <w:rFonts w:hint="eastAsia" w:ascii="Times New Roman"/>
        </w:rPr>
        <w:t>的鉴定性评审</w:t>
      </w:r>
      <w:r>
        <w:rPr>
          <w:rFonts w:ascii="Times New Roman"/>
        </w:rPr>
        <w:t>，</w:t>
      </w:r>
      <w:r>
        <w:rPr>
          <w:rFonts w:hint="eastAsia" w:ascii="Times New Roman"/>
        </w:rPr>
        <w:t>评审</w:t>
      </w:r>
      <w:r>
        <w:rPr>
          <w:rFonts w:ascii="Times New Roman"/>
        </w:rPr>
        <w:t>信息应包含生产企业和第三方</w:t>
      </w:r>
      <w:r>
        <w:rPr>
          <w:rFonts w:hint="eastAsia" w:ascii="Times New Roman"/>
        </w:rPr>
        <w:t>评审</w:t>
      </w:r>
      <w:r>
        <w:rPr>
          <w:rFonts w:ascii="Times New Roman"/>
        </w:rPr>
        <w:t>机构的相关信息。</w:t>
      </w:r>
      <w:bookmarkEnd w:id="62"/>
      <w:bookmarkEnd w:id="91"/>
      <w:r>
        <w:rPr>
          <w:rFonts w:ascii="Times New Roman"/>
          <w:spacing w:val="52"/>
        </w:rPr>
        <w:br w:type="page"/>
      </w:r>
      <w:bookmarkStart w:id="95" w:name="_Toc2389"/>
      <w:bookmarkStart w:id="96" w:name="_Toc7769"/>
    </w:p>
    <w:p>
      <w:pPr>
        <w:widowControl/>
        <w:tabs>
          <w:tab w:val="left" w:pos="1513"/>
          <w:tab w:val="center" w:pos="4887"/>
        </w:tabs>
        <w:autoSpaceDE w:val="0"/>
        <w:autoSpaceDN w:val="0"/>
        <w:spacing w:line="380" w:lineRule="exact"/>
        <w:jc w:val="center"/>
        <w:outlineLvl w:val="0"/>
        <w:rPr>
          <w:b/>
          <w:bCs/>
          <w:szCs w:val="22"/>
        </w:rPr>
      </w:pPr>
      <w:r>
        <w:rPr>
          <w:rFonts w:hint="eastAsia"/>
          <w:b/>
          <w:bCs/>
          <w:kern w:val="0"/>
          <w:szCs w:val="22"/>
        </w:rPr>
        <w:t>附录A</w:t>
      </w:r>
    </w:p>
    <w:p>
      <w:pPr>
        <w:widowControl/>
        <w:tabs>
          <w:tab w:val="left" w:pos="1513"/>
          <w:tab w:val="center" w:pos="4887"/>
        </w:tabs>
        <w:autoSpaceDE w:val="0"/>
        <w:autoSpaceDN w:val="0"/>
        <w:spacing w:line="380" w:lineRule="exact"/>
        <w:jc w:val="center"/>
        <w:outlineLvl w:val="0"/>
        <w:rPr>
          <w:b/>
          <w:bCs/>
          <w:kern w:val="0"/>
          <w:szCs w:val="22"/>
        </w:rPr>
      </w:pPr>
      <w:r>
        <w:rPr>
          <w:b/>
          <w:bCs/>
          <w:kern w:val="0"/>
          <w:szCs w:val="22"/>
        </w:rPr>
        <w:t>（资料性）</w:t>
      </w:r>
    </w:p>
    <w:p>
      <w:pPr>
        <w:widowControl/>
        <w:tabs>
          <w:tab w:val="left" w:pos="1513"/>
          <w:tab w:val="center" w:pos="4887"/>
        </w:tabs>
        <w:autoSpaceDE w:val="0"/>
        <w:autoSpaceDN w:val="0"/>
        <w:spacing w:line="380" w:lineRule="exact"/>
        <w:jc w:val="center"/>
        <w:outlineLvl w:val="0"/>
        <w:rPr>
          <w:b/>
          <w:bCs/>
          <w:kern w:val="0"/>
          <w:szCs w:val="22"/>
        </w:rPr>
      </w:pPr>
      <w:r>
        <w:rPr>
          <w:rFonts w:hint="eastAsia"/>
          <w:b/>
          <w:bCs/>
          <w:kern w:val="0"/>
          <w:szCs w:val="22"/>
        </w:rPr>
        <w:t>能源消耗数据分配方法</w:t>
      </w:r>
    </w:p>
    <w:p>
      <w:pPr>
        <w:spacing w:line="380" w:lineRule="exact"/>
        <w:rPr>
          <w:color w:val="000000"/>
          <w:kern w:val="0"/>
          <w:szCs w:val="21"/>
          <w:lang w:bidi="ar"/>
        </w:rPr>
      </w:pPr>
    </w:p>
    <w:p>
      <w:pPr>
        <w:spacing w:line="380" w:lineRule="exact"/>
        <w:ind w:firstLine="420" w:firstLineChars="200"/>
        <w:rPr>
          <w:szCs w:val="21"/>
        </w:rPr>
      </w:pPr>
      <w:r>
        <w:rPr>
          <w:rFonts w:hint="eastAsia"/>
          <w:szCs w:val="21"/>
        </w:rPr>
        <w:t>针对能源消耗，当</w:t>
      </w:r>
      <w:r>
        <w:rPr>
          <w:szCs w:val="21"/>
        </w:rPr>
        <w:t>企业</w:t>
      </w:r>
      <w:r>
        <w:rPr>
          <w:rFonts w:hint="eastAsia"/>
          <w:szCs w:val="21"/>
        </w:rPr>
        <w:t>同时生产两种或两种以上玻璃产品时，可根据产量比例分配能耗（公式（A.1））；同时生产不同类型钢化玻璃时，可</w:t>
      </w:r>
      <w:r>
        <w:rPr>
          <w:szCs w:val="21"/>
        </w:rPr>
        <w:t>通过折算系数</w:t>
      </w:r>
      <w:r>
        <w:rPr>
          <w:rFonts w:hint="eastAsia"/>
          <w:szCs w:val="21"/>
        </w:rPr>
        <w:t>（表A.1）和公式（A.2）进行可比产量换算后</w:t>
      </w:r>
      <w:r>
        <w:rPr>
          <w:szCs w:val="21"/>
        </w:rPr>
        <w:t>再</w:t>
      </w:r>
      <w:r>
        <w:rPr>
          <w:rFonts w:hint="eastAsia"/>
          <w:szCs w:val="21"/>
        </w:rPr>
        <w:t>根据可比产量</w:t>
      </w:r>
      <w:r>
        <w:rPr>
          <w:szCs w:val="21"/>
        </w:rPr>
        <w:t>进行分配</w:t>
      </w:r>
      <w:r>
        <w:rPr>
          <w:rFonts w:hint="eastAsia"/>
          <w:szCs w:val="21"/>
        </w:rPr>
        <w:t>；同时生产平面和曲面夹层玻璃时，可按照公式（A.3）进行曲面夹层玻璃可比产量换算后再根据可比产量进行分配。</w:t>
      </w:r>
    </w:p>
    <w:p>
      <w:pPr>
        <w:spacing w:line="380" w:lineRule="exact"/>
        <w:ind w:left="181"/>
        <w:jc w:val="center"/>
      </w:pPr>
      <w:r>
        <w:rPr>
          <w:rFonts w:hint="eastAsia"/>
          <w:lang w:bidi="ar"/>
        </w:rPr>
        <w:t>Q</w:t>
      </w:r>
      <w:r>
        <w:rPr>
          <w:rFonts w:hint="eastAsia"/>
          <w:vertAlign w:val="subscript"/>
          <w:lang w:bidi="ar"/>
        </w:rPr>
        <w:t>m</w:t>
      </w:r>
      <w:r>
        <w:rPr>
          <w:lang w:bidi="ar"/>
        </w:rPr>
        <w:t xml:space="preserve"> = P</w:t>
      </w:r>
      <w:r>
        <w:rPr>
          <w:rFonts w:hint="eastAsia"/>
          <w:vertAlign w:val="subscript"/>
          <w:lang w:bidi="ar"/>
        </w:rPr>
        <w:t>m</w:t>
      </w:r>
      <w:r>
        <w:rPr>
          <w:lang w:bidi="ar"/>
        </w:rPr>
        <w:t xml:space="preserve"> × Q</w:t>
      </w:r>
      <w:r>
        <w:rPr>
          <w:rFonts w:hint="eastAsia"/>
          <w:vertAlign w:val="subscript"/>
          <w:lang w:bidi="ar"/>
        </w:rPr>
        <w:t>总</w:t>
      </w:r>
      <w:r>
        <w:rPr>
          <w:lang w:bidi="ar"/>
        </w:rPr>
        <w:t xml:space="preserve"> / P</w:t>
      </w:r>
      <w:r>
        <w:rPr>
          <w:rFonts w:hint="eastAsia"/>
          <w:vertAlign w:val="subscript"/>
          <w:lang w:bidi="ar"/>
        </w:rPr>
        <w:t>总</w:t>
      </w:r>
      <w:r>
        <w:t>--------（</w:t>
      </w:r>
      <w:r>
        <w:rPr>
          <w:rFonts w:hint="eastAsia"/>
        </w:rPr>
        <w:t>A.</w:t>
      </w:r>
      <w:r>
        <w:t>1）</w:t>
      </w:r>
    </w:p>
    <w:p>
      <w:pPr>
        <w:spacing w:line="380" w:lineRule="exact"/>
        <w:ind w:firstLine="420" w:firstLineChars="200"/>
        <w:rPr>
          <w:szCs w:val="21"/>
        </w:rPr>
      </w:pPr>
      <w:r>
        <w:rPr>
          <w:szCs w:val="21"/>
        </w:rPr>
        <w:t>式中：</w:t>
      </w:r>
    </w:p>
    <w:p>
      <w:pPr>
        <w:spacing w:line="380" w:lineRule="exact"/>
        <w:ind w:firstLine="420" w:firstLineChars="200"/>
        <w:rPr>
          <w:szCs w:val="21"/>
        </w:rPr>
      </w:pPr>
      <w:r>
        <w:rPr>
          <w:rFonts w:hint="eastAsia"/>
          <w:lang w:bidi="ar"/>
        </w:rPr>
        <w:t>m</w:t>
      </w:r>
      <w:r>
        <w:rPr>
          <w:szCs w:val="21"/>
        </w:rPr>
        <w:t>——</w:t>
      </w:r>
      <w:r>
        <w:rPr>
          <w:rFonts w:hint="eastAsia"/>
          <w:szCs w:val="21"/>
        </w:rPr>
        <w:t>玻璃种类，如钢化玻璃、中空玻璃、夹层玻璃、光伏玻璃；</w:t>
      </w:r>
    </w:p>
    <w:p>
      <w:pPr>
        <w:spacing w:line="380" w:lineRule="exact"/>
        <w:ind w:firstLine="420" w:firstLineChars="200"/>
        <w:rPr>
          <w:szCs w:val="21"/>
        </w:rPr>
      </w:pPr>
      <w:r>
        <w:rPr>
          <w:rFonts w:hint="eastAsia"/>
          <w:lang w:bidi="ar"/>
        </w:rPr>
        <w:t>Q</w:t>
      </w:r>
      <w:r>
        <w:rPr>
          <w:rFonts w:hint="eastAsia"/>
          <w:vertAlign w:val="subscript"/>
          <w:lang w:bidi="ar"/>
        </w:rPr>
        <w:t>m</w:t>
      </w:r>
      <w:r>
        <w:rPr>
          <w:szCs w:val="21"/>
        </w:rPr>
        <w:t>——</w:t>
      </w:r>
      <w:r>
        <w:rPr>
          <w:rFonts w:hint="eastAsia"/>
          <w:szCs w:val="21"/>
        </w:rPr>
        <w:t>第m种玻璃能耗，单位为</w:t>
      </w:r>
      <w:r>
        <w:t>千瓦时</w:t>
      </w:r>
      <w:r>
        <w:rPr>
          <w:rFonts w:hint="eastAsia"/>
        </w:rPr>
        <w:t xml:space="preserve"> (</w:t>
      </w:r>
      <w:r>
        <w:t>kW·h</w:t>
      </w:r>
      <w:r>
        <w:rPr>
          <w:rFonts w:hint="eastAsia"/>
        </w:rPr>
        <w:t>)</w:t>
      </w:r>
      <w:r>
        <w:rPr>
          <w:szCs w:val="21"/>
        </w:rPr>
        <w:t>；</w:t>
      </w:r>
    </w:p>
    <w:p>
      <w:pPr>
        <w:spacing w:line="380" w:lineRule="exact"/>
        <w:ind w:firstLine="420" w:firstLineChars="200"/>
        <w:rPr>
          <w:szCs w:val="21"/>
        </w:rPr>
      </w:pPr>
      <w:r>
        <w:rPr>
          <w:rFonts w:hint="eastAsia"/>
          <w:lang w:bidi="ar"/>
        </w:rPr>
        <w:t>P</w:t>
      </w:r>
      <w:r>
        <w:rPr>
          <w:rFonts w:hint="eastAsia"/>
          <w:vertAlign w:val="subscript"/>
          <w:lang w:bidi="ar"/>
        </w:rPr>
        <w:t>m</w:t>
      </w:r>
      <w:r>
        <w:rPr>
          <w:szCs w:val="21"/>
        </w:rPr>
        <w:t>——</w:t>
      </w:r>
      <w:r>
        <w:rPr>
          <w:rFonts w:hint="eastAsia"/>
          <w:szCs w:val="21"/>
        </w:rPr>
        <w:t>第m种玻璃产量，单位为平方米 (</w:t>
      </w:r>
      <w:r>
        <w:rPr>
          <w:szCs w:val="21"/>
        </w:rPr>
        <w:t>m</w:t>
      </w:r>
      <w:r>
        <w:rPr>
          <w:szCs w:val="21"/>
          <w:vertAlign w:val="superscript"/>
        </w:rPr>
        <w:t>2</w:t>
      </w:r>
      <w:r>
        <w:rPr>
          <w:szCs w:val="21"/>
        </w:rPr>
        <w:t>)；</w:t>
      </w:r>
    </w:p>
    <w:p>
      <w:pPr>
        <w:spacing w:line="380" w:lineRule="exact"/>
        <w:ind w:firstLine="420" w:firstLineChars="200"/>
        <w:rPr>
          <w:szCs w:val="21"/>
        </w:rPr>
      </w:pPr>
      <w:r>
        <w:rPr>
          <w:rFonts w:hint="eastAsia"/>
          <w:lang w:bidi="ar"/>
        </w:rPr>
        <w:t>Q</w:t>
      </w:r>
      <w:r>
        <w:rPr>
          <w:rFonts w:hint="eastAsia"/>
          <w:vertAlign w:val="subscript"/>
          <w:lang w:bidi="ar"/>
        </w:rPr>
        <w:t>总</w:t>
      </w:r>
      <w:r>
        <w:rPr>
          <w:szCs w:val="21"/>
        </w:rPr>
        <w:t>——</w:t>
      </w:r>
      <w:r>
        <w:rPr>
          <w:rFonts w:hint="eastAsia"/>
          <w:szCs w:val="21"/>
        </w:rPr>
        <w:t>企业生产总能耗，单位为</w:t>
      </w:r>
      <w:r>
        <w:t>千瓦时</w:t>
      </w:r>
      <w:r>
        <w:rPr>
          <w:rFonts w:hint="eastAsia"/>
        </w:rPr>
        <w:t xml:space="preserve"> (</w:t>
      </w:r>
      <w:r>
        <w:t>kW·h</w:t>
      </w:r>
      <w:r>
        <w:rPr>
          <w:rFonts w:hint="eastAsia"/>
        </w:rPr>
        <w:t>)</w:t>
      </w:r>
      <w:r>
        <w:rPr>
          <w:szCs w:val="21"/>
        </w:rPr>
        <w:t>；</w:t>
      </w:r>
    </w:p>
    <w:p>
      <w:pPr>
        <w:spacing w:line="380" w:lineRule="exact"/>
        <w:ind w:firstLine="420" w:firstLineChars="200"/>
        <w:rPr>
          <w:szCs w:val="21"/>
        </w:rPr>
      </w:pPr>
      <w:r>
        <w:rPr>
          <w:rFonts w:hint="eastAsia"/>
          <w:lang w:bidi="ar"/>
        </w:rPr>
        <w:t>P</w:t>
      </w:r>
      <w:r>
        <w:rPr>
          <w:rFonts w:hint="eastAsia"/>
          <w:vertAlign w:val="subscript"/>
          <w:lang w:bidi="ar"/>
        </w:rPr>
        <w:t>总</w:t>
      </w:r>
      <w:r>
        <w:rPr>
          <w:szCs w:val="21"/>
        </w:rPr>
        <w:t>——</w:t>
      </w:r>
      <w:r>
        <w:rPr>
          <w:rFonts w:hint="eastAsia"/>
          <w:szCs w:val="21"/>
        </w:rPr>
        <w:t>企业玻璃总产量，单位为平方米 (</w:t>
      </w:r>
      <w:r>
        <w:rPr>
          <w:szCs w:val="21"/>
        </w:rPr>
        <w:t>m</w:t>
      </w:r>
      <w:r>
        <w:rPr>
          <w:szCs w:val="21"/>
          <w:vertAlign w:val="superscript"/>
        </w:rPr>
        <w:t>2</w:t>
      </w:r>
      <w:r>
        <w:rPr>
          <w:szCs w:val="21"/>
        </w:rPr>
        <w:t>)</w:t>
      </w:r>
      <w:r>
        <w:rPr>
          <w:rFonts w:hint="eastAsia"/>
          <w:szCs w:val="21"/>
        </w:rPr>
        <w:t>。</w:t>
      </w:r>
    </w:p>
    <w:p>
      <w:pPr>
        <w:spacing w:before="240" w:after="120" w:line="380" w:lineRule="exact"/>
        <w:jc w:val="center"/>
        <w:rPr>
          <w:szCs w:val="21"/>
        </w:rPr>
      </w:pPr>
      <w:r>
        <w:rPr>
          <w:szCs w:val="21"/>
        </w:rPr>
        <w:t>表</w:t>
      </w:r>
      <w:r>
        <w:rPr>
          <w:rFonts w:hint="eastAsia"/>
          <w:szCs w:val="21"/>
        </w:rPr>
        <w:t>A.1</w:t>
      </w:r>
      <w:r>
        <w:rPr>
          <w:szCs w:val="21"/>
        </w:rPr>
        <w:t xml:space="preserve"> 不同类型钢化玻璃折算系数</w:t>
      </w:r>
    </w:p>
    <w:tbl>
      <w:tblPr>
        <w:tblStyle w:val="38"/>
        <w:tblW w:w="42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9"/>
        <w:gridCol w:w="1569"/>
        <w:gridCol w:w="1569"/>
        <w:gridCol w:w="157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类型</w:t>
            </w:r>
          </w:p>
        </w:tc>
        <w:tc>
          <w:tcPr>
            <w:tcW w:w="100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平面透明钢化玻璃</w:t>
            </w:r>
          </w:p>
        </w:tc>
        <w:tc>
          <w:tcPr>
            <w:tcW w:w="100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平面低辐射镀膜钢化玻璃</w:t>
            </w:r>
          </w:p>
        </w:tc>
        <w:tc>
          <w:tcPr>
            <w:tcW w:w="100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曲面透明钢化玻璃</w:t>
            </w:r>
          </w:p>
        </w:tc>
        <w:tc>
          <w:tcPr>
            <w:tcW w:w="1000" w:type="pct"/>
            <w:tcBorders>
              <w:top w:val="single" w:color="auto" w:sz="4" w:space="0"/>
              <w:left w:val="single" w:color="auto" w:sz="4" w:space="0"/>
              <w:bottom w:val="single" w:color="auto" w:sz="4" w:space="0"/>
              <w:right w:val="single" w:color="auto" w:sz="4" w:space="0"/>
            </w:tcBorders>
            <w:vAlign w:val="center"/>
          </w:tcPr>
          <w:p>
            <w:pPr>
              <w:spacing w:line="380" w:lineRule="exact"/>
              <w:jc w:val="center"/>
              <w:rPr>
                <w:sz w:val="18"/>
                <w:szCs w:val="18"/>
              </w:rPr>
            </w:pPr>
            <w:r>
              <w:rPr>
                <w:rFonts w:hint="eastAsia"/>
                <w:sz w:val="18"/>
                <w:szCs w:val="18"/>
              </w:rPr>
              <w:t>曲面低辐射镀膜钢化玻璃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00" w:type="pct"/>
            <w:tcBorders>
              <w:top w:val="single" w:color="auto" w:sz="4" w:space="0"/>
              <w:left w:val="single" w:color="auto" w:sz="4" w:space="0"/>
              <w:right w:val="single" w:color="auto" w:sz="4" w:space="0"/>
            </w:tcBorders>
            <w:vAlign w:val="center"/>
          </w:tcPr>
          <w:p>
            <w:pPr>
              <w:spacing w:line="380" w:lineRule="exact"/>
              <w:jc w:val="center"/>
              <w:rPr>
                <w:sz w:val="18"/>
                <w:szCs w:val="18"/>
              </w:rPr>
            </w:pPr>
            <w:r>
              <w:rPr>
                <w:rFonts w:hint="eastAsia"/>
                <w:sz w:val="18"/>
                <w:szCs w:val="18"/>
              </w:rPr>
              <w:t>折算系数</w:t>
            </w:r>
            <w:r>
              <w:rPr>
                <w:sz w:val="18"/>
                <w:szCs w:val="18"/>
              </w:rPr>
              <w:t>k</w:t>
            </w:r>
            <w:r>
              <w:rPr>
                <w:rFonts w:hint="eastAsia"/>
                <w:sz w:val="18"/>
                <w:szCs w:val="18"/>
                <w:vertAlign w:val="subscript"/>
              </w:rPr>
              <w:t>n</w:t>
            </w:r>
          </w:p>
        </w:tc>
        <w:tc>
          <w:tcPr>
            <w:tcW w:w="1000" w:type="pct"/>
            <w:tcBorders>
              <w:top w:val="single" w:color="auto" w:sz="4" w:space="0"/>
              <w:left w:val="single" w:color="auto" w:sz="4" w:space="0"/>
              <w:right w:val="single" w:color="auto" w:sz="4" w:space="0"/>
            </w:tcBorders>
            <w:vAlign w:val="center"/>
          </w:tcPr>
          <w:p>
            <w:pPr>
              <w:spacing w:line="380" w:lineRule="exact"/>
              <w:jc w:val="center"/>
              <w:rPr>
                <w:sz w:val="18"/>
                <w:szCs w:val="18"/>
              </w:rPr>
            </w:pPr>
            <w:r>
              <w:rPr>
                <w:sz w:val="18"/>
                <w:szCs w:val="18"/>
              </w:rPr>
              <w:t>1</w:t>
            </w:r>
          </w:p>
        </w:tc>
        <w:tc>
          <w:tcPr>
            <w:tcW w:w="1000" w:type="pct"/>
            <w:tcBorders>
              <w:top w:val="single" w:color="auto" w:sz="4" w:space="0"/>
              <w:left w:val="single" w:color="auto" w:sz="4" w:space="0"/>
              <w:right w:val="single" w:color="auto" w:sz="4" w:space="0"/>
            </w:tcBorders>
            <w:vAlign w:val="center"/>
          </w:tcPr>
          <w:p>
            <w:pPr>
              <w:spacing w:line="380" w:lineRule="exact"/>
              <w:jc w:val="center"/>
              <w:rPr>
                <w:sz w:val="18"/>
                <w:szCs w:val="18"/>
              </w:rPr>
            </w:pPr>
            <w:r>
              <w:rPr>
                <w:sz w:val="18"/>
                <w:szCs w:val="18"/>
              </w:rPr>
              <w:t>1.3</w:t>
            </w:r>
          </w:p>
        </w:tc>
        <w:tc>
          <w:tcPr>
            <w:tcW w:w="1000" w:type="pct"/>
            <w:tcBorders>
              <w:top w:val="single" w:color="auto" w:sz="4" w:space="0"/>
              <w:left w:val="single" w:color="auto" w:sz="4" w:space="0"/>
              <w:right w:val="single" w:color="auto" w:sz="4" w:space="0"/>
            </w:tcBorders>
            <w:vAlign w:val="center"/>
          </w:tcPr>
          <w:p>
            <w:pPr>
              <w:spacing w:line="380" w:lineRule="exact"/>
              <w:jc w:val="center"/>
              <w:rPr>
                <w:sz w:val="18"/>
                <w:szCs w:val="18"/>
              </w:rPr>
            </w:pPr>
            <w:r>
              <w:rPr>
                <w:sz w:val="18"/>
                <w:szCs w:val="18"/>
              </w:rPr>
              <w:t>1.2</w:t>
            </w:r>
          </w:p>
        </w:tc>
        <w:tc>
          <w:tcPr>
            <w:tcW w:w="1000" w:type="pct"/>
            <w:tcBorders>
              <w:top w:val="single" w:color="auto" w:sz="4" w:space="0"/>
              <w:left w:val="single" w:color="auto" w:sz="4" w:space="0"/>
              <w:right w:val="single" w:color="auto" w:sz="4" w:space="0"/>
            </w:tcBorders>
            <w:vAlign w:val="center"/>
          </w:tcPr>
          <w:p>
            <w:pPr>
              <w:spacing w:line="380" w:lineRule="exact"/>
              <w:jc w:val="center"/>
              <w:rPr>
                <w:sz w:val="18"/>
                <w:szCs w:val="18"/>
              </w:rPr>
            </w:pPr>
            <w:r>
              <w:rPr>
                <w:sz w:val="18"/>
                <w:szCs w:val="18"/>
              </w:rPr>
              <w:t>1.4</w:t>
            </w:r>
          </w:p>
        </w:tc>
      </w:tr>
    </w:tbl>
    <w:p>
      <w:pPr>
        <w:spacing w:line="380" w:lineRule="exact"/>
        <w:ind w:left="181"/>
        <w:rPr>
          <w:lang w:bidi="ar"/>
        </w:rPr>
      </w:pPr>
    </w:p>
    <w:p>
      <w:pPr>
        <w:spacing w:line="380" w:lineRule="exact"/>
        <w:ind w:left="181"/>
        <w:jc w:val="center"/>
      </w:pPr>
      <w:r>
        <w:rPr>
          <w:rFonts w:hint="eastAsia"/>
          <w:lang w:bidi="ar"/>
        </w:rPr>
        <w:t>P</w:t>
      </w:r>
      <w:r>
        <w:rPr>
          <w:rFonts w:hint="eastAsia"/>
          <w:vertAlign w:val="subscript"/>
          <w:lang w:bidi="ar"/>
        </w:rPr>
        <w:t>n</w:t>
      </w:r>
      <w:r>
        <w:rPr>
          <w:vertAlign w:val="subscript"/>
          <w:lang w:bidi="ar"/>
        </w:rPr>
        <w:t>,</w:t>
      </w:r>
      <w:r>
        <w:rPr>
          <w:rFonts w:hint="eastAsia"/>
          <w:vertAlign w:val="subscript"/>
          <w:lang w:bidi="ar"/>
        </w:rPr>
        <w:t>可比</w:t>
      </w:r>
      <w:r>
        <w:rPr>
          <w:lang w:bidi="ar"/>
        </w:rPr>
        <w:t xml:space="preserve"> = P</w:t>
      </w:r>
      <w:r>
        <w:rPr>
          <w:rFonts w:hint="eastAsia"/>
          <w:vertAlign w:val="subscript"/>
          <w:lang w:bidi="ar"/>
        </w:rPr>
        <w:t>n</w:t>
      </w:r>
      <w:r>
        <w:rPr>
          <w:lang w:bidi="ar"/>
        </w:rPr>
        <w:t xml:space="preserve"> × 80 × k</w:t>
      </w:r>
      <w:r>
        <w:rPr>
          <w:rFonts w:hint="eastAsia"/>
          <w:vertAlign w:val="subscript"/>
          <w:lang w:bidi="ar"/>
        </w:rPr>
        <w:t>n</w:t>
      </w:r>
      <w:r>
        <w:t>--------（</w:t>
      </w:r>
      <w:r>
        <w:rPr>
          <w:rFonts w:hint="eastAsia"/>
        </w:rPr>
        <w:t>A.</w:t>
      </w:r>
      <w:r>
        <w:t>2）</w:t>
      </w:r>
    </w:p>
    <w:p>
      <w:pPr>
        <w:spacing w:line="380" w:lineRule="exact"/>
        <w:ind w:firstLine="420" w:firstLineChars="200"/>
        <w:rPr>
          <w:szCs w:val="21"/>
        </w:rPr>
      </w:pPr>
      <w:r>
        <w:rPr>
          <w:szCs w:val="21"/>
        </w:rPr>
        <w:t>式中：</w:t>
      </w:r>
    </w:p>
    <w:p>
      <w:pPr>
        <w:spacing w:line="380" w:lineRule="exact"/>
        <w:ind w:firstLine="420" w:firstLineChars="200"/>
        <w:rPr>
          <w:lang w:bidi="ar"/>
        </w:rPr>
      </w:pPr>
      <w:r>
        <w:rPr>
          <w:szCs w:val="21"/>
        </w:rPr>
        <w:t>n——</w:t>
      </w:r>
      <w:r>
        <w:rPr>
          <w:rFonts w:hint="eastAsia"/>
          <w:szCs w:val="21"/>
        </w:rPr>
        <w:t>钢化玻璃种类，如平面透明钢化玻璃、</w:t>
      </w:r>
      <w:r>
        <w:rPr>
          <w:szCs w:val="21"/>
        </w:rPr>
        <w:t>平面低辐射镀膜钢化玻璃</w:t>
      </w:r>
      <w:r>
        <w:rPr>
          <w:rFonts w:hint="eastAsia"/>
          <w:szCs w:val="21"/>
        </w:rPr>
        <w:t>、</w:t>
      </w:r>
      <w:r>
        <w:rPr>
          <w:szCs w:val="21"/>
        </w:rPr>
        <w:t>曲面透明钢化玻璃</w:t>
      </w:r>
      <w:r>
        <w:rPr>
          <w:rFonts w:hint="eastAsia"/>
          <w:szCs w:val="21"/>
        </w:rPr>
        <w:t>、</w:t>
      </w:r>
      <w:r>
        <w:rPr>
          <w:szCs w:val="21"/>
        </w:rPr>
        <w:t>曲面低辐射镀膜钢化玻璃</w:t>
      </w:r>
      <w:r>
        <w:rPr>
          <w:rFonts w:hint="eastAsia"/>
          <w:szCs w:val="21"/>
        </w:rPr>
        <w:t>；</w:t>
      </w:r>
    </w:p>
    <w:p>
      <w:pPr>
        <w:spacing w:line="380" w:lineRule="exact"/>
        <w:ind w:firstLine="420" w:firstLineChars="200"/>
        <w:rPr>
          <w:szCs w:val="21"/>
        </w:rPr>
      </w:pPr>
      <w:r>
        <w:rPr>
          <w:rFonts w:hint="eastAsia"/>
          <w:lang w:bidi="ar"/>
        </w:rPr>
        <w:t>P</w:t>
      </w:r>
      <w:r>
        <w:rPr>
          <w:rFonts w:hint="eastAsia"/>
          <w:vertAlign w:val="subscript"/>
          <w:lang w:bidi="ar"/>
        </w:rPr>
        <w:t>n,可比</w:t>
      </w:r>
      <w:r>
        <w:rPr>
          <w:szCs w:val="21"/>
        </w:rPr>
        <w:t>——</w:t>
      </w:r>
      <w:r>
        <w:rPr>
          <w:rFonts w:hint="eastAsia"/>
          <w:szCs w:val="21"/>
        </w:rPr>
        <w:t>第n种钢化玻璃可比产量，单位为平方米 (</w:t>
      </w:r>
      <w:r>
        <w:rPr>
          <w:szCs w:val="21"/>
        </w:rPr>
        <w:t>m</w:t>
      </w:r>
      <w:r>
        <w:rPr>
          <w:szCs w:val="21"/>
          <w:vertAlign w:val="superscript"/>
        </w:rPr>
        <w:t>2</w:t>
      </w:r>
      <w:r>
        <w:rPr>
          <w:szCs w:val="21"/>
        </w:rPr>
        <w:t>)；</w:t>
      </w:r>
    </w:p>
    <w:p>
      <w:pPr>
        <w:spacing w:line="380" w:lineRule="exact"/>
        <w:ind w:firstLine="420" w:firstLineChars="200"/>
        <w:rPr>
          <w:szCs w:val="21"/>
        </w:rPr>
      </w:pPr>
      <w:r>
        <w:rPr>
          <w:rFonts w:hint="eastAsia"/>
          <w:lang w:bidi="ar"/>
        </w:rPr>
        <w:t>P</w:t>
      </w:r>
      <w:r>
        <w:rPr>
          <w:rFonts w:hint="eastAsia"/>
          <w:vertAlign w:val="subscript"/>
          <w:lang w:bidi="ar"/>
        </w:rPr>
        <w:t>n</w:t>
      </w:r>
      <w:r>
        <w:rPr>
          <w:szCs w:val="21"/>
        </w:rPr>
        <w:t>——</w:t>
      </w:r>
      <w:r>
        <w:rPr>
          <w:rFonts w:hint="eastAsia"/>
          <w:szCs w:val="21"/>
        </w:rPr>
        <w:t>第n种钢化玻璃产量，单位为吨 (t</w:t>
      </w:r>
      <w:r>
        <w:rPr>
          <w:szCs w:val="21"/>
        </w:rPr>
        <w:t>)；</w:t>
      </w:r>
    </w:p>
    <w:p>
      <w:pPr>
        <w:spacing w:line="380" w:lineRule="exact"/>
        <w:ind w:firstLine="420" w:firstLineChars="200"/>
        <w:rPr>
          <w:szCs w:val="21"/>
        </w:rPr>
      </w:pPr>
      <w:r>
        <w:rPr>
          <w:lang w:bidi="ar"/>
        </w:rPr>
        <w:t>80</w:t>
      </w:r>
      <w:r>
        <w:rPr>
          <w:szCs w:val="21"/>
        </w:rPr>
        <w:t>——</w:t>
      </w:r>
      <w:r>
        <w:rPr>
          <w:rFonts w:hint="eastAsia"/>
          <w:szCs w:val="21"/>
        </w:rPr>
        <w:t>折算成5mm标准厚度平面透明钢化玻璃的系数，单位为平方米/吨 (</w:t>
      </w:r>
      <w:r>
        <w:rPr>
          <w:szCs w:val="21"/>
        </w:rPr>
        <w:t>m</w:t>
      </w:r>
      <w:r>
        <w:rPr>
          <w:szCs w:val="21"/>
          <w:vertAlign w:val="superscript"/>
        </w:rPr>
        <w:t>2</w:t>
      </w:r>
      <w:r>
        <w:rPr>
          <w:szCs w:val="21"/>
        </w:rPr>
        <w:t>/</w:t>
      </w:r>
      <w:r>
        <w:rPr>
          <w:rFonts w:hint="eastAsia"/>
          <w:szCs w:val="21"/>
        </w:rPr>
        <w:t>t</w:t>
      </w:r>
      <w:r>
        <w:rPr>
          <w:szCs w:val="21"/>
        </w:rPr>
        <w:t>)</w:t>
      </w:r>
      <w:r>
        <w:rPr>
          <w:rFonts w:hint="eastAsia"/>
          <w:szCs w:val="21"/>
        </w:rPr>
        <w:t>；</w:t>
      </w:r>
    </w:p>
    <w:p>
      <w:pPr>
        <w:spacing w:line="380" w:lineRule="exact"/>
        <w:ind w:firstLine="420" w:firstLineChars="200"/>
        <w:rPr>
          <w:szCs w:val="21"/>
        </w:rPr>
      </w:pPr>
      <w:r>
        <w:rPr>
          <w:lang w:bidi="ar"/>
        </w:rPr>
        <w:t>k</w:t>
      </w:r>
      <w:r>
        <w:rPr>
          <w:rFonts w:hint="eastAsia"/>
          <w:vertAlign w:val="subscript"/>
          <w:lang w:bidi="ar"/>
        </w:rPr>
        <w:t>n</w:t>
      </w:r>
      <w:r>
        <w:rPr>
          <w:szCs w:val="21"/>
        </w:rPr>
        <w:t>——</w:t>
      </w:r>
      <w:r>
        <w:rPr>
          <w:rFonts w:hint="eastAsia"/>
          <w:szCs w:val="21"/>
        </w:rPr>
        <w:t>第n种钢化玻璃折算成5mm标准厚度平面透明钢化玻璃的折算系数。</w:t>
      </w:r>
    </w:p>
    <w:p>
      <w:pPr>
        <w:spacing w:line="380" w:lineRule="exact"/>
        <w:ind w:left="181"/>
        <w:rPr>
          <w:szCs w:val="21"/>
        </w:rPr>
      </w:pPr>
    </w:p>
    <w:p>
      <w:pPr>
        <w:spacing w:line="380" w:lineRule="exact"/>
        <w:ind w:left="181"/>
        <w:jc w:val="center"/>
      </w:pPr>
      <w:r>
        <w:rPr>
          <w:rFonts w:hint="eastAsia"/>
          <w:lang w:bidi="ar"/>
        </w:rPr>
        <w:t>P</w:t>
      </w:r>
      <w:r>
        <w:rPr>
          <w:rFonts w:hint="eastAsia"/>
          <w:vertAlign w:val="subscript"/>
          <w:lang w:bidi="ar"/>
        </w:rPr>
        <w:t>曲面夹层，可比</w:t>
      </w:r>
      <w:r>
        <w:rPr>
          <w:lang w:bidi="ar"/>
        </w:rPr>
        <w:t xml:space="preserve"> = P</w:t>
      </w:r>
      <w:r>
        <w:rPr>
          <w:rFonts w:hint="eastAsia"/>
          <w:vertAlign w:val="subscript"/>
          <w:lang w:bidi="ar"/>
        </w:rPr>
        <w:t>总，夹层玻璃</w:t>
      </w:r>
      <w:r>
        <w:rPr>
          <w:lang w:bidi="ar"/>
        </w:rPr>
        <w:t xml:space="preserve"> × </w:t>
      </w:r>
      <w:r>
        <w:rPr>
          <w:rFonts w:hint="eastAsia"/>
          <w:lang w:bidi="ar"/>
        </w:rPr>
        <w:t>(</w:t>
      </w:r>
      <w:r>
        <w:rPr>
          <w:lang w:bidi="ar"/>
        </w:rPr>
        <w:t xml:space="preserve">1 + 0.5 × A) – </w:t>
      </w:r>
      <w:r>
        <w:rPr>
          <w:rFonts w:hint="eastAsia"/>
          <w:lang w:bidi="ar"/>
        </w:rPr>
        <w:t>P</w:t>
      </w:r>
      <w:r>
        <w:rPr>
          <w:rFonts w:hint="eastAsia"/>
          <w:vertAlign w:val="subscript"/>
          <w:lang w:bidi="ar"/>
        </w:rPr>
        <w:t>平面夹层</w:t>
      </w:r>
      <w:r>
        <w:t>--------（</w:t>
      </w:r>
      <w:r>
        <w:rPr>
          <w:rFonts w:hint="eastAsia"/>
        </w:rPr>
        <w:t>A.</w:t>
      </w:r>
      <w:r>
        <w:t>3）</w:t>
      </w:r>
    </w:p>
    <w:p>
      <w:pPr>
        <w:spacing w:line="380" w:lineRule="exact"/>
        <w:ind w:firstLine="420" w:firstLineChars="200"/>
        <w:rPr>
          <w:szCs w:val="21"/>
        </w:rPr>
      </w:pPr>
      <w:r>
        <w:rPr>
          <w:szCs w:val="21"/>
        </w:rPr>
        <w:t>式中：</w:t>
      </w:r>
    </w:p>
    <w:p>
      <w:pPr>
        <w:spacing w:line="380" w:lineRule="exact"/>
        <w:ind w:firstLine="420" w:firstLineChars="200"/>
        <w:rPr>
          <w:szCs w:val="21"/>
        </w:rPr>
      </w:pPr>
      <w:r>
        <w:rPr>
          <w:rFonts w:hint="eastAsia"/>
          <w:lang w:bidi="ar"/>
        </w:rPr>
        <w:t>P</w:t>
      </w:r>
      <w:r>
        <w:rPr>
          <w:rFonts w:hint="eastAsia"/>
          <w:vertAlign w:val="subscript"/>
          <w:lang w:bidi="ar"/>
        </w:rPr>
        <w:t>曲面夹层，可比</w:t>
      </w:r>
      <w:r>
        <w:rPr>
          <w:szCs w:val="21"/>
        </w:rPr>
        <w:t>——</w:t>
      </w:r>
      <w:r>
        <w:rPr>
          <w:rFonts w:hint="eastAsia"/>
          <w:szCs w:val="21"/>
        </w:rPr>
        <w:t>曲面夹层玻璃可比产量，单位为平方米 (</w:t>
      </w:r>
      <w:r>
        <w:rPr>
          <w:szCs w:val="21"/>
        </w:rPr>
        <w:t>m</w:t>
      </w:r>
      <w:r>
        <w:rPr>
          <w:szCs w:val="21"/>
          <w:vertAlign w:val="superscript"/>
        </w:rPr>
        <w:t>2</w:t>
      </w:r>
      <w:r>
        <w:rPr>
          <w:szCs w:val="21"/>
        </w:rPr>
        <w:t>)；</w:t>
      </w:r>
    </w:p>
    <w:p>
      <w:pPr>
        <w:spacing w:line="380" w:lineRule="exact"/>
        <w:ind w:firstLine="420" w:firstLineChars="200"/>
        <w:rPr>
          <w:szCs w:val="21"/>
        </w:rPr>
      </w:pPr>
      <w:r>
        <w:rPr>
          <w:lang w:bidi="ar"/>
        </w:rPr>
        <w:t>P</w:t>
      </w:r>
      <w:r>
        <w:rPr>
          <w:rFonts w:hint="eastAsia"/>
          <w:vertAlign w:val="subscript"/>
          <w:lang w:bidi="ar"/>
        </w:rPr>
        <w:t>总，夹层玻璃</w:t>
      </w:r>
      <w:r>
        <w:rPr>
          <w:szCs w:val="21"/>
        </w:rPr>
        <w:t>——</w:t>
      </w:r>
      <w:r>
        <w:rPr>
          <w:rFonts w:hint="eastAsia"/>
          <w:szCs w:val="21"/>
        </w:rPr>
        <w:t>夹层玻璃总产量，单位为平方米 (</w:t>
      </w:r>
      <w:r>
        <w:rPr>
          <w:szCs w:val="21"/>
        </w:rPr>
        <w:t>m</w:t>
      </w:r>
      <w:r>
        <w:rPr>
          <w:szCs w:val="21"/>
          <w:vertAlign w:val="superscript"/>
        </w:rPr>
        <w:t>2</w:t>
      </w:r>
      <w:r>
        <w:rPr>
          <w:szCs w:val="21"/>
        </w:rPr>
        <w:t>)；</w:t>
      </w:r>
    </w:p>
    <w:p>
      <w:pPr>
        <w:spacing w:line="380" w:lineRule="exact"/>
        <w:ind w:firstLine="420" w:firstLineChars="200"/>
        <w:rPr>
          <w:szCs w:val="21"/>
        </w:rPr>
      </w:pPr>
      <w:r>
        <w:rPr>
          <w:rFonts w:hint="eastAsia"/>
          <w:szCs w:val="21"/>
        </w:rPr>
        <w:t>A</w:t>
      </w:r>
      <w:r>
        <w:rPr>
          <w:szCs w:val="21"/>
        </w:rPr>
        <w:t>——</w:t>
      </w:r>
      <w:r>
        <w:rPr>
          <w:rFonts w:hint="eastAsia"/>
          <w:szCs w:val="21"/>
        </w:rPr>
        <w:t>曲面夹层玻璃重量占混合产品总重量的重量比；</w:t>
      </w:r>
    </w:p>
    <w:p>
      <w:pPr>
        <w:spacing w:line="380" w:lineRule="exact"/>
        <w:ind w:firstLine="420" w:firstLineChars="200"/>
        <w:rPr>
          <w:szCs w:val="21"/>
        </w:rPr>
      </w:pPr>
      <w:r>
        <w:rPr>
          <w:rFonts w:hint="eastAsia"/>
          <w:lang w:bidi="ar"/>
        </w:rPr>
        <w:t>P</w:t>
      </w:r>
      <w:r>
        <w:rPr>
          <w:rFonts w:hint="eastAsia"/>
          <w:vertAlign w:val="subscript"/>
          <w:lang w:bidi="ar"/>
        </w:rPr>
        <w:t>平面夹层</w:t>
      </w:r>
      <w:r>
        <w:rPr>
          <w:szCs w:val="21"/>
        </w:rPr>
        <w:t>——</w:t>
      </w:r>
      <w:r>
        <w:rPr>
          <w:rFonts w:hint="eastAsia"/>
          <w:szCs w:val="21"/>
        </w:rPr>
        <w:t>平面夹层玻璃产量，单位为平方米 (</w:t>
      </w:r>
      <w:r>
        <w:rPr>
          <w:szCs w:val="21"/>
        </w:rPr>
        <w:t>m</w:t>
      </w:r>
      <w:r>
        <w:rPr>
          <w:szCs w:val="21"/>
          <w:vertAlign w:val="superscript"/>
        </w:rPr>
        <w:t>2</w:t>
      </w:r>
      <w:r>
        <w:rPr>
          <w:szCs w:val="21"/>
        </w:rPr>
        <w:t>)</w:t>
      </w:r>
      <w:r>
        <w:rPr>
          <w:rFonts w:hint="eastAsia"/>
          <w:szCs w:val="21"/>
        </w:rPr>
        <w:t>。</w:t>
      </w:r>
    </w:p>
    <w:p>
      <w:pPr>
        <w:pStyle w:val="28"/>
        <w:tabs>
          <w:tab w:val="left" w:pos="1513"/>
          <w:tab w:val="center" w:pos="4887"/>
          <w:tab w:val="clear" w:pos="4201"/>
          <w:tab w:val="clear" w:pos="9298"/>
        </w:tabs>
        <w:spacing w:line="380" w:lineRule="exact"/>
        <w:ind w:firstLine="0" w:firstLineChars="0"/>
        <w:jc w:val="center"/>
        <w:outlineLvl w:val="0"/>
        <w:rPr>
          <w:color w:val="000000"/>
          <w:szCs w:val="21"/>
          <w:lang w:bidi="ar"/>
        </w:rPr>
      </w:pPr>
      <w:r>
        <w:rPr>
          <w:color w:val="000000"/>
          <w:szCs w:val="21"/>
          <w:lang w:bidi="ar"/>
        </w:rPr>
        <w:br w:type="page"/>
      </w:r>
    </w:p>
    <w:p>
      <w:pPr>
        <w:widowControl/>
        <w:tabs>
          <w:tab w:val="left" w:pos="1513"/>
          <w:tab w:val="center" w:pos="4887"/>
        </w:tabs>
        <w:autoSpaceDE w:val="0"/>
        <w:autoSpaceDN w:val="0"/>
        <w:spacing w:line="380" w:lineRule="exact"/>
        <w:jc w:val="center"/>
        <w:outlineLvl w:val="0"/>
        <w:rPr>
          <w:b/>
          <w:bCs/>
          <w:szCs w:val="22"/>
        </w:rPr>
      </w:pPr>
      <w:r>
        <w:rPr>
          <w:b/>
          <w:bCs/>
          <w:szCs w:val="22"/>
        </w:rPr>
        <w:t>附录</w:t>
      </w:r>
      <w:r>
        <w:rPr>
          <w:rFonts w:hint="eastAsia"/>
          <w:b/>
          <w:bCs/>
          <w:szCs w:val="22"/>
        </w:rPr>
        <w:t>B</w:t>
      </w:r>
    </w:p>
    <w:p>
      <w:pPr>
        <w:widowControl/>
        <w:tabs>
          <w:tab w:val="left" w:pos="1513"/>
          <w:tab w:val="center" w:pos="4887"/>
        </w:tabs>
        <w:autoSpaceDE w:val="0"/>
        <w:autoSpaceDN w:val="0"/>
        <w:spacing w:line="380" w:lineRule="exact"/>
        <w:jc w:val="center"/>
        <w:outlineLvl w:val="0"/>
        <w:rPr>
          <w:b/>
          <w:bCs/>
          <w:kern w:val="0"/>
          <w:szCs w:val="22"/>
        </w:rPr>
      </w:pPr>
      <w:r>
        <w:rPr>
          <w:b/>
          <w:bCs/>
          <w:kern w:val="0"/>
          <w:szCs w:val="22"/>
        </w:rPr>
        <w:t>（资料性）</w:t>
      </w:r>
    </w:p>
    <w:p>
      <w:pPr>
        <w:widowControl/>
        <w:tabs>
          <w:tab w:val="left" w:pos="1513"/>
          <w:tab w:val="center" w:pos="4887"/>
        </w:tabs>
        <w:autoSpaceDE w:val="0"/>
        <w:autoSpaceDN w:val="0"/>
        <w:spacing w:line="380" w:lineRule="exact"/>
        <w:jc w:val="center"/>
        <w:outlineLvl w:val="0"/>
        <w:rPr>
          <w:b/>
          <w:bCs/>
          <w:kern w:val="0"/>
          <w:szCs w:val="22"/>
        </w:rPr>
      </w:pPr>
      <w:r>
        <w:rPr>
          <w:rFonts w:hint="eastAsia"/>
          <w:b/>
          <w:bCs/>
          <w:kern w:val="0"/>
          <w:szCs w:val="22"/>
        </w:rPr>
        <w:t>GWP参考值</w:t>
      </w:r>
    </w:p>
    <w:p>
      <w:pPr>
        <w:spacing w:line="380" w:lineRule="exact"/>
        <w:ind w:left="420"/>
        <w:rPr>
          <w:szCs w:val="21"/>
        </w:rPr>
      </w:pPr>
    </w:p>
    <w:p>
      <w:pPr>
        <w:spacing w:line="380" w:lineRule="exact"/>
        <w:ind w:left="420"/>
        <w:rPr>
          <w:szCs w:val="21"/>
        </w:rPr>
      </w:pPr>
      <w:r>
        <w:rPr>
          <w:rFonts w:hint="eastAsia"/>
          <w:szCs w:val="21"/>
        </w:rPr>
        <w:t>部分温室气体的GWP100参考值见表B.1。</w:t>
      </w:r>
    </w:p>
    <w:p>
      <w:pPr>
        <w:pStyle w:val="7"/>
      </w:pPr>
      <w:r>
        <w:rPr>
          <w:rFonts w:hint="eastAsia"/>
        </w:rPr>
        <w:t>表B.1 原辅料的碳排放因子</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2"/>
        <w:gridCol w:w="2571"/>
        <w:gridCol w:w="3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气体名称</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化学分子式</w:t>
            </w:r>
          </w:p>
        </w:tc>
        <w:tc>
          <w:tcPr>
            <w:tcW w:w="343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GWP100（截至出版时）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二氧化碳</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CO</w:t>
            </w:r>
            <w:r>
              <w:rPr>
                <w:rFonts w:ascii="宋体"/>
                <w:kern w:val="0"/>
                <w:sz w:val="18"/>
                <w:szCs w:val="18"/>
                <w:vertAlign w:val="subscript"/>
              </w:rPr>
              <w:t>2</w:t>
            </w:r>
          </w:p>
        </w:tc>
        <w:tc>
          <w:tcPr>
            <w:tcW w:w="343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甲烷</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4</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27.9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氧化亚氮</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N</w:t>
            </w:r>
            <w:r>
              <w:rPr>
                <w:rFonts w:ascii="宋体"/>
                <w:kern w:val="0"/>
                <w:sz w:val="18"/>
                <w:szCs w:val="18"/>
                <w:vertAlign w:val="subscript"/>
              </w:rPr>
              <w:t>2</w:t>
            </w:r>
            <w:r>
              <w:rPr>
                <w:rFonts w:ascii="宋体"/>
                <w:kern w:val="0"/>
                <w:sz w:val="18"/>
                <w:szCs w:val="18"/>
              </w:rPr>
              <w:t>O</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273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三氟化氮</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NF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17400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六氟化硫</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SF</w:t>
            </w:r>
            <w:r>
              <w:rPr>
                <w:rFonts w:ascii="宋体"/>
                <w:kern w:val="0"/>
                <w:sz w:val="18"/>
                <w:szCs w:val="18"/>
                <w:vertAlign w:val="subscript"/>
              </w:rPr>
              <w:t>6</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25200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980" w:type="dxa"/>
            <w:gridSpan w:val="3"/>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氢氟碳化物（HFCs）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HFC-23</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14600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HFC-32</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2</w:t>
            </w:r>
            <w:r>
              <w:rPr>
                <w:rFonts w:ascii="宋体"/>
                <w:kern w:val="0"/>
                <w:sz w:val="18"/>
                <w:szCs w:val="18"/>
              </w:rPr>
              <w:t>F</w:t>
            </w:r>
            <w:r>
              <w:rPr>
                <w:rFonts w:ascii="宋体"/>
                <w:kern w:val="0"/>
                <w:sz w:val="18"/>
                <w:szCs w:val="18"/>
                <w:vertAlign w:val="subscript"/>
              </w:rPr>
              <w:t>2</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771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HFC-41</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3</w:t>
            </w:r>
            <w:r>
              <w:rPr>
                <w:rFonts w:ascii="宋体"/>
                <w:kern w:val="0"/>
                <w:sz w:val="18"/>
                <w:szCs w:val="18"/>
              </w:rPr>
              <w:t>F</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HFC-125</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CHF</w:t>
            </w:r>
            <w:r>
              <w:rPr>
                <w:rFonts w:ascii="宋体"/>
                <w:kern w:val="0"/>
                <w:sz w:val="18"/>
                <w:szCs w:val="18"/>
                <w:vertAlign w:val="subscript"/>
              </w:rPr>
              <w:t>2</w:t>
            </w:r>
            <w:r>
              <w:rPr>
                <w:rFonts w:ascii="宋体"/>
                <w:kern w:val="0"/>
                <w:sz w:val="18"/>
                <w:szCs w:val="18"/>
              </w:rPr>
              <w:t>CF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3740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HFC-134</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CHF</w:t>
            </w:r>
            <w:r>
              <w:rPr>
                <w:rFonts w:ascii="宋体"/>
                <w:kern w:val="0"/>
                <w:sz w:val="18"/>
                <w:szCs w:val="18"/>
                <w:vertAlign w:val="subscript"/>
              </w:rPr>
              <w:t>2</w:t>
            </w:r>
            <w:r>
              <w:rPr>
                <w:rFonts w:ascii="宋体"/>
                <w:kern w:val="0"/>
                <w:sz w:val="18"/>
                <w:szCs w:val="18"/>
              </w:rPr>
              <w:t>CHF</w:t>
            </w:r>
            <w:r>
              <w:rPr>
                <w:rFonts w:ascii="宋体"/>
                <w:kern w:val="0"/>
                <w:sz w:val="18"/>
                <w:szCs w:val="18"/>
                <w:vertAlign w:val="subscript"/>
              </w:rPr>
              <w:t>2</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1260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HFC-134a</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2</w:t>
            </w:r>
            <w:r>
              <w:rPr>
                <w:rFonts w:ascii="宋体"/>
                <w:kern w:val="0"/>
                <w:sz w:val="18"/>
                <w:szCs w:val="18"/>
              </w:rPr>
              <w:t>FCF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1530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HFC-143</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2</w:t>
            </w:r>
            <w:r>
              <w:rPr>
                <w:rFonts w:ascii="宋体"/>
                <w:kern w:val="0"/>
                <w:sz w:val="18"/>
                <w:szCs w:val="18"/>
              </w:rPr>
              <w:t>FCHF</w:t>
            </w:r>
            <w:r>
              <w:rPr>
                <w:rFonts w:ascii="宋体"/>
                <w:kern w:val="0"/>
                <w:sz w:val="18"/>
                <w:szCs w:val="18"/>
                <w:vertAlign w:val="subscript"/>
              </w:rPr>
              <w:t>2</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364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HFC-143a</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3</w:t>
            </w:r>
            <w:r>
              <w:rPr>
                <w:rFonts w:ascii="宋体"/>
                <w:kern w:val="0"/>
                <w:sz w:val="18"/>
                <w:szCs w:val="18"/>
              </w:rPr>
              <w:t>CF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5810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HFC-152a</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CH</w:t>
            </w:r>
            <w:r>
              <w:rPr>
                <w:rFonts w:ascii="宋体"/>
                <w:kern w:val="0"/>
                <w:sz w:val="18"/>
                <w:szCs w:val="18"/>
                <w:vertAlign w:val="subscript"/>
              </w:rPr>
              <w:t>3</w:t>
            </w:r>
            <w:r>
              <w:rPr>
                <w:rFonts w:ascii="宋体"/>
                <w:kern w:val="0"/>
                <w:sz w:val="18"/>
                <w:szCs w:val="18"/>
              </w:rPr>
              <w:t>CHF</w:t>
            </w:r>
            <w:r>
              <w:rPr>
                <w:rFonts w:ascii="宋体"/>
                <w:kern w:val="0"/>
                <w:sz w:val="18"/>
                <w:szCs w:val="18"/>
                <w:vertAlign w:val="subscript"/>
              </w:rPr>
              <w:t>2</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HFC-227ea</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CF</w:t>
            </w:r>
            <w:r>
              <w:rPr>
                <w:rFonts w:ascii="宋体"/>
                <w:kern w:val="0"/>
                <w:sz w:val="18"/>
                <w:szCs w:val="18"/>
                <w:vertAlign w:val="subscript"/>
              </w:rPr>
              <w:t>3</w:t>
            </w:r>
            <w:r>
              <w:rPr>
                <w:rFonts w:ascii="宋体"/>
                <w:kern w:val="0"/>
                <w:sz w:val="18"/>
                <w:szCs w:val="18"/>
              </w:rPr>
              <w:t>CHFCF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3600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HFC-236fa</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CF</w:t>
            </w:r>
            <w:r>
              <w:rPr>
                <w:rFonts w:ascii="宋体"/>
                <w:kern w:val="0"/>
                <w:sz w:val="18"/>
                <w:szCs w:val="18"/>
                <w:vertAlign w:val="subscript"/>
              </w:rPr>
              <w:t>3</w:t>
            </w:r>
            <w:r>
              <w:rPr>
                <w:rFonts w:ascii="宋体"/>
                <w:kern w:val="0"/>
                <w:sz w:val="18"/>
                <w:szCs w:val="18"/>
              </w:rPr>
              <w:t>CH</w:t>
            </w:r>
            <w:r>
              <w:rPr>
                <w:rFonts w:ascii="宋体"/>
                <w:kern w:val="0"/>
                <w:sz w:val="18"/>
                <w:szCs w:val="18"/>
                <w:vertAlign w:val="subscript"/>
              </w:rPr>
              <w:t>2</w:t>
            </w:r>
            <w:r>
              <w:rPr>
                <w:rFonts w:ascii="宋体"/>
                <w:kern w:val="0"/>
                <w:sz w:val="18"/>
                <w:szCs w:val="18"/>
              </w:rPr>
              <w:t>CF</w:t>
            </w:r>
            <w:r>
              <w:rPr>
                <w:rFonts w:ascii="宋体"/>
                <w:kern w:val="0"/>
                <w:sz w:val="18"/>
                <w:szCs w:val="18"/>
                <w:vertAlign w:val="subscript"/>
              </w:rPr>
              <w:t>3</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8690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980" w:type="dxa"/>
            <w:gridSpan w:val="3"/>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全氟碳化物（PFCs）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PFC-14</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CF</w:t>
            </w:r>
            <w:r>
              <w:rPr>
                <w:rFonts w:ascii="宋体"/>
                <w:kern w:val="0"/>
                <w:sz w:val="18"/>
                <w:szCs w:val="18"/>
                <w:vertAlign w:val="subscript"/>
              </w:rPr>
              <w:t>4</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7380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PFC-116</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w:t>
            </w:r>
            <w:r>
              <w:rPr>
                <w:rFonts w:ascii="宋体"/>
                <w:kern w:val="0"/>
                <w:sz w:val="18"/>
                <w:szCs w:val="18"/>
                <w:vertAlign w:val="subscript"/>
              </w:rPr>
              <w:t>2</w:t>
            </w:r>
            <w:r>
              <w:rPr>
                <w:rFonts w:ascii="宋体"/>
                <w:kern w:val="0"/>
                <w:sz w:val="18"/>
                <w:szCs w:val="18"/>
              </w:rPr>
              <w:t>F</w:t>
            </w:r>
            <w:r>
              <w:rPr>
                <w:rFonts w:ascii="宋体"/>
                <w:kern w:val="0"/>
                <w:sz w:val="18"/>
                <w:szCs w:val="18"/>
                <w:vertAlign w:val="subscript"/>
              </w:rPr>
              <w:t>6</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12400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2972"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PFC-218</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C</w:t>
            </w:r>
            <w:r>
              <w:rPr>
                <w:rFonts w:ascii="宋体"/>
                <w:kern w:val="0"/>
                <w:sz w:val="18"/>
                <w:szCs w:val="18"/>
                <w:vertAlign w:val="subscript"/>
              </w:rPr>
              <w:t>3</w:t>
            </w:r>
            <w:r>
              <w:rPr>
                <w:rFonts w:ascii="宋体"/>
                <w:kern w:val="0"/>
                <w:sz w:val="18"/>
                <w:szCs w:val="18"/>
              </w:rPr>
              <w:t>F</w:t>
            </w:r>
            <w:r>
              <w:rPr>
                <w:rFonts w:ascii="宋体"/>
                <w:kern w:val="0"/>
                <w:sz w:val="18"/>
                <w:szCs w:val="18"/>
                <w:vertAlign w:val="subscript"/>
              </w:rPr>
              <w:t>8</w:t>
            </w:r>
          </w:p>
        </w:tc>
        <w:tc>
          <w:tcPr>
            <w:tcW w:w="343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9290</w:t>
            </w:r>
          </w:p>
        </w:tc>
      </w:tr>
    </w:tbl>
    <w:p>
      <w:pPr>
        <w:spacing w:line="380" w:lineRule="exact"/>
        <w:rPr>
          <w:sz w:val="18"/>
          <w:szCs w:val="18"/>
        </w:rPr>
      </w:pPr>
      <w:r>
        <w:rPr>
          <w:rFonts w:hint="eastAsia"/>
          <w:sz w:val="18"/>
          <w:szCs w:val="18"/>
        </w:rPr>
        <w:t>注：</w:t>
      </w:r>
      <w:r>
        <w:rPr>
          <w:sz w:val="18"/>
          <w:szCs w:val="18"/>
        </w:rPr>
        <w:t>GWP</w:t>
      </w:r>
      <w:r>
        <w:rPr>
          <w:rFonts w:hint="eastAsia"/>
          <w:sz w:val="18"/>
          <w:szCs w:val="18"/>
        </w:rPr>
        <w:t>数值来源于</w:t>
      </w:r>
      <w:r>
        <w:rPr>
          <w:sz w:val="18"/>
          <w:szCs w:val="18"/>
        </w:rPr>
        <w:t>IPCC</w:t>
      </w:r>
      <w:r>
        <w:rPr>
          <w:rFonts w:hint="eastAsia"/>
          <w:sz w:val="18"/>
          <w:szCs w:val="18"/>
        </w:rPr>
        <w:t>《气候变化报告</w:t>
      </w:r>
      <w:r>
        <w:rPr>
          <w:sz w:val="18"/>
          <w:szCs w:val="18"/>
        </w:rPr>
        <w:t>2021</w:t>
      </w:r>
      <w:r>
        <w:rPr>
          <w:rFonts w:hint="eastAsia"/>
          <w:sz w:val="18"/>
          <w:szCs w:val="18"/>
        </w:rPr>
        <w:t>：自然科学基础</w:t>
      </w:r>
      <w:r>
        <w:rPr>
          <w:sz w:val="18"/>
          <w:szCs w:val="18"/>
        </w:rPr>
        <w:t xml:space="preserve"> </w:t>
      </w:r>
      <w:r>
        <w:rPr>
          <w:rFonts w:hint="eastAsia"/>
          <w:sz w:val="18"/>
          <w:szCs w:val="18"/>
        </w:rPr>
        <w:t>第一工作组对</w:t>
      </w:r>
      <w:r>
        <w:rPr>
          <w:sz w:val="18"/>
          <w:szCs w:val="18"/>
        </w:rPr>
        <w:t>IPCC</w:t>
      </w:r>
      <w:r>
        <w:rPr>
          <w:rFonts w:hint="eastAsia"/>
          <w:sz w:val="18"/>
          <w:szCs w:val="18"/>
        </w:rPr>
        <w:t>第六次评估报告的贡献》。</w:t>
      </w:r>
    </w:p>
    <w:p>
      <w:pPr>
        <w:spacing w:line="380" w:lineRule="exact"/>
        <w:rPr>
          <w:sz w:val="18"/>
          <w:szCs w:val="18"/>
        </w:rPr>
      </w:pPr>
      <w:r>
        <w:rPr>
          <w:sz w:val="18"/>
          <w:szCs w:val="18"/>
        </w:rPr>
        <w:br w:type="page"/>
      </w:r>
    </w:p>
    <w:p>
      <w:pPr>
        <w:pStyle w:val="28"/>
        <w:tabs>
          <w:tab w:val="left" w:pos="1513"/>
          <w:tab w:val="center" w:pos="4887"/>
          <w:tab w:val="clear" w:pos="4201"/>
          <w:tab w:val="clear" w:pos="9298"/>
        </w:tabs>
        <w:spacing w:line="380" w:lineRule="exact"/>
        <w:ind w:firstLine="0" w:firstLineChars="0"/>
        <w:jc w:val="center"/>
        <w:outlineLvl w:val="0"/>
        <w:rPr>
          <w:rFonts w:ascii="Times New Roman"/>
          <w:b/>
          <w:bCs/>
          <w:szCs w:val="22"/>
        </w:rPr>
      </w:pPr>
      <w:r>
        <w:rPr>
          <w:rFonts w:hint="eastAsia" w:ascii="Times New Roman"/>
          <w:b/>
          <w:bCs/>
          <w:szCs w:val="22"/>
        </w:rPr>
        <w:t>附录</w:t>
      </w:r>
      <w:r>
        <w:rPr>
          <w:rFonts w:ascii="Times New Roman"/>
          <w:b/>
          <w:bCs/>
          <w:szCs w:val="22"/>
        </w:rPr>
        <w:t>C</w:t>
      </w:r>
    </w:p>
    <w:p>
      <w:pPr>
        <w:widowControl/>
        <w:tabs>
          <w:tab w:val="left" w:pos="1513"/>
          <w:tab w:val="center" w:pos="4887"/>
        </w:tabs>
        <w:autoSpaceDE w:val="0"/>
        <w:autoSpaceDN w:val="0"/>
        <w:spacing w:line="380" w:lineRule="exact"/>
        <w:jc w:val="center"/>
        <w:outlineLvl w:val="0"/>
        <w:rPr>
          <w:b/>
          <w:bCs/>
          <w:kern w:val="0"/>
          <w:szCs w:val="22"/>
        </w:rPr>
      </w:pPr>
      <w:r>
        <w:rPr>
          <w:rFonts w:hint="eastAsia"/>
          <w:b/>
          <w:bCs/>
          <w:kern w:val="0"/>
          <w:szCs w:val="22"/>
        </w:rPr>
        <w:t>（资料性）</w:t>
      </w:r>
    </w:p>
    <w:p>
      <w:pPr>
        <w:widowControl/>
        <w:tabs>
          <w:tab w:val="left" w:pos="1513"/>
          <w:tab w:val="center" w:pos="4887"/>
        </w:tabs>
        <w:autoSpaceDE w:val="0"/>
        <w:autoSpaceDN w:val="0"/>
        <w:spacing w:line="380" w:lineRule="exact"/>
        <w:jc w:val="center"/>
        <w:outlineLvl w:val="0"/>
        <w:rPr>
          <w:b/>
          <w:bCs/>
          <w:kern w:val="0"/>
          <w:szCs w:val="22"/>
        </w:rPr>
      </w:pPr>
      <w:r>
        <w:rPr>
          <w:rFonts w:hint="eastAsia"/>
          <w:b/>
          <w:bCs/>
          <w:kern w:val="0"/>
          <w:szCs w:val="22"/>
        </w:rPr>
        <w:t>碳排放因子</w:t>
      </w:r>
    </w:p>
    <w:p/>
    <w:p>
      <w:pPr>
        <w:spacing w:line="380" w:lineRule="exact"/>
        <w:ind w:left="420"/>
        <w:rPr>
          <w:szCs w:val="21"/>
        </w:rPr>
      </w:pPr>
      <w:r>
        <w:rPr>
          <w:rFonts w:hint="eastAsia"/>
          <w:szCs w:val="21"/>
        </w:rPr>
        <w:t>原辅料碳排放因子的参考值见表C.1。</w:t>
      </w:r>
    </w:p>
    <w:p>
      <w:pPr>
        <w:pStyle w:val="7"/>
      </w:pPr>
      <w:r>
        <w:rPr>
          <w:rFonts w:hint="eastAsia"/>
        </w:rPr>
        <w:t>表C.1 原辅料的碳排放因子</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72"/>
        <w:gridCol w:w="2571"/>
        <w:gridCol w:w="34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原辅料</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碳排放因子（kgCO</w:t>
            </w:r>
            <w:r>
              <w:rPr>
                <w:rFonts w:ascii="宋体"/>
                <w:kern w:val="0"/>
                <w:sz w:val="18"/>
                <w:szCs w:val="18"/>
                <w:vertAlign w:val="subscript"/>
              </w:rPr>
              <w:t>2</w:t>
            </w:r>
            <w:r>
              <w:rPr>
                <w:rFonts w:ascii="宋体"/>
                <w:kern w:val="0"/>
                <w:sz w:val="18"/>
                <w:szCs w:val="18"/>
              </w:rPr>
              <w:t>e/kg）</w:t>
            </w:r>
          </w:p>
        </w:tc>
        <w:tc>
          <w:tcPr>
            <w:tcW w:w="343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碳排放因子来源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平板玻璃</w:t>
            </w:r>
          </w:p>
        </w:tc>
        <w:tc>
          <w:tcPr>
            <w:tcW w:w="257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1.13</w:t>
            </w:r>
          </w:p>
        </w:tc>
        <w:tc>
          <w:tcPr>
            <w:tcW w:w="343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w:t>
            </w:r>
            <w:r>
              <w:rPr>
                <w:rFonts w:ascii="宋体"/>
              </w:rPr>
              <w:t>—</w:t>
            </w:r>
            <w:r>
              <w:rPr>
                <w:rFonts w:ascii="宋体"/>
                <w:kern w:val="0"/>
                <w:sz w:val="18"/>
                <w:szCs w:val="18"/>
              </w:rPr>
              <w:t>2019</w:t>
            </w:r>
          </w:p>
        </w:tc>
      </w:tr>
    </w:tbl>
    <w:p>
      <w:pPr>
        <w:spacing w:line="380" w:lineRule="exact"/>
        <w:rPr>
          <w:sz w:val="18"/>
          <w:szCs w:val="18"/>
        </w:rPr>
      </w:pPr>
      <w:r>
        <w:rPr>
          <w:rFonts w:hint="eastAsia"/>
          <w:sz w:val="18"/>
          <w:szCs w:val="18"/>
        </w:rPr>
        <w:t>注：平板玻璃的碳排放因子应优先选取供应商提供的符合相关</w:t>
      </w:r>
      <w:r>
        <w:rPr>
          <w:sz w:val="18"/>
          <w:szCs w:val="18"/>
        </w:rPr>
        <w:t>LCA</w:t>
      </w:r>
      <w:r>
        <w:rPr>
          <w:rFonts w:hint="eastAsia"/>
          <w:sz w:val="18"/>
          <w:szCs w:val="18"/>
        </w:rPr>
        <w:t>标准要求的、经第三方独立验证的数据。若未获得上游供应商数据，可参考表C</w:t>
      </w:r>
      <w:r>
        <w:rPr>
          <w:sz w:val="18"/>
          <w:szCs w:val="18"/>
        </w:rPr>
        <w:t>.1</w:t>
      </w:r>
      <w:r>
        <w:rPr>
          <w:rFonts w:hint="eastAsia"/>
          <w:sz w:val="18"/>
          <w:szCs w:val="18"/>
        </w:rPr>
        <w:t>中的碳排放因子数值；平板玻璃的碳排放因子应根据最新公布的因子进行更新。</w:t>
      </w:r>
    </w:p>
    <w:p>
      <w:pPr>
        <w:spacing w:line="380" w:lineRule="exact"/>
        <w:rPr>
          <w:szCs w:val="21"/>
        </w:rPr>
      </w:pPr>
    </w:p>
    <w:p>
      <w:pPr>
        <w:spacing w:line="380" w:lineRule="exact"/>
        <w:ind w:firstLine="420" w:firstLineChars="200"/>
      </w:pPr>
      <w:r>
        <w:rPr>
          <w:rFonts w:hint="eastAsia"/>
          <w:szCs w:val="21"/>
        </w:rPr>
        <w:t>运输方式的碳排放因子参考值见表C.2。</w:t>
      </w:r>
    </w:p>
    <w:p>
      <w:pPr>
        <w:pStyle w:val="7"/>
      </w:pPr>
      <w:r>
        <w:rPr>
          <w:rFonts w:hint="eastAsia"/>
        </w:rPr>
        <w:t>表C.2 各类运输方式的碳排放因子[kgCO</w:t>
      </w:r>
      <w:r>
        <w:rPr>
          <w:vertAlign w:val="subscript"/>
        </w:rPr>
        <w:t>2</w:t>
      </w:r>
      <w:r>
        <w:rPr>
          <w:rFonts w:hint="eastAsia"/>
        </w:rPr>
        <w:t>e/(t</w:t>
      </w:r>
      <w:r>
        <w:rPr>
          <w:rFonts w:cs="Times New Roman"/>
        </w:rPr>
        <w:t>·</w:t>
      </w:r>
      <w:r>
        <w:rPr>
          <w:rFonts w:hint="eastAsia"/>
        </w:rPr>
        <w:t>km)]</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97"/>
        <w:gridCol w:w="2552"/>
        <w:gridCol w:w="30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运输方式类别</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碳排放因子</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碳排放因子来源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轻型汽油货车运输（载重2t）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0.334</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中型汽油货车运输（载重8t）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0.115</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重型汽油货车运输（载重10t）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0.104</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重型汽油货车运输（载重18t）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0.104</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轻型柴油货车运输（载重2t）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0.286</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中型柴油货车运输（载重8t）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0.179</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重型柴油货车运输（载重10t）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0.162</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重型柴油货车运输（载重18t）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0.129</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重型柴油货车运输（载重30t）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0.078</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重型柴油货车运输（载重46t）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0.057</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电力机车运输</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0.010</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内燃机车运输</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0.011</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铁路运输（中国市场平均）</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0.010</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液货船运输（载重2000t）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0.019</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干散货船运输（载重2500t）</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0.015</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集装箱船运输（载重200TEU）</w:t>
            </w:r>
          </w:p>
        </w:tc>
        <w:tc>
          <w:tcPr>
            <w:tcW w:w="2552"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0.012</w:t>
            </w:r>
          </w:p>
        </w:tc>
        <w:tc>
          <w:tcPr>
            <w:tcW w:w="3031"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bl>
    <w:p>
      <w:pPr>
        <w:spacing w:line="380" w:lineRule="exact"/>
        <w:rPr>
          <w:sz w:val="18"/>
          <w:szCs w:val="18"/>
        </w:rPr>
      </w:pPr>
      <w:r>
        <w:rPr>
          <w:rFonts w:hint="eastAsia"/>
          <w:sz w:val="18"/>
          <w:szCs w:val="18"/>
        </w:rPr>
        <w:t>注：运输方式的碳排放因子应根据最新公布的因子进行更新。</w:t>
      </w:r>
    </w:p>
    <w:p>
      <w:pPr>
        <w:spacing w:line="380" w:lineRule="exact"/>
        <w:rPr>
          <w:szCs w:val="21"/>
        </w:rPr>
      </w:pPr>
    </w:p>
    <w:p>
      <w:pPr>
        <w:spacing w:line="380" w:lineRule="exact"/>
        <w:rPr>
          <w:szCs w:val="21"/>
        </w:rPr>
      </w:pPr>
    </w:p>
    <w:p>
      <w:pPr>
        <w:spacing w:line="380" w:lineRule="exact"/>
        <w:rPr>
          <w:szCs w:val="21"/>
        </w:rPr>
      </w:pPr>
    </w:p>
    <w:p>
      <w:pPr>
        <w:ind w:firstLine="420" w:firstLineChars="200"/>
      </w:pPr>
      <w:r>
        <w:rPr>
          <w:rFonts w:hint="eastAsia"/>
          <w:szCs w:val="21"/>
        </w:rPr>
        <w:t>化石燃料的单位热值含碳量、氧化率、低位热值的参考值见表C.3。</w:t>
      </w:r>
    </w:p>
    <w:p>
      <w:pPr>
        <w:pStyle w:val="7"/>
      </w:pPr>
      <w:r>
        <w:rPr>
          <w:rFonts w:hint="eastAsia"/>
        </w:rPr>
        <w:t>表C.3 化石燃料的单位热值含碳量、氧化率、低位热值</w:t>
      </w:r>
    </w:p>
    <w:tbl>
      <w:tblPr>
        <w:tblStyle w:val="3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8"/>
        <w:gridCol w:w="1559"/>
        <w:gridCol w:w="850"/>
        <w:gridCol w:w="1701"/>
        <w:gridCol w:w="38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燃料类别</w:t>
            </w:r>
          </w:p>
        </w:tc>
        <w:tc>
          <w:tcPr>
            <w:tcW w:w="1559"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单位热值含碳量（tC/TJ）</w:t>
            </w:r>
          </w:p>
        </w:tc>
        <w:tc>
          <w:tcPr>
            <w:tcW w:w="850"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氧化率（%）</w:t>
            </w:r>
          </w:p>
        </w:tc>
        <w:tc>
          <w:tcPr>
            <w:tcW w:w="1701"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低位热值</w:t>
            </w:r>
          </w:p>
        </w:tc>
        <w:tc>
          <w:tcPr>
            <w:tcW w:w="3830"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汽油</w:t>
            </w:r>
          </w:p>
        </w:tc>
        <w:tc>
          <w:tcPr>
            <w:tcW w:w="1559"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0.0189</w:t>
            </w:r>
          </w:p>
        </w:tc>
        <w:tc>
          <w:tcPr>
            <w:tcW w:w="850"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98</w:t>
            </w:r>
          </w:p>
        </w:tc>
        <w:tc>
          <w:tcPr>
            <w:tcW w:w="1701"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44.80 GJ/t</w:t>
            </w:r>
          </w:p>
        </w:tc>
        <w:tc>
          <w:tcPr>
            <w:tcW w:w="3830"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51366—2019、《工业其他行业企业温室气体排放核算方法与报告指南（试行）》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8"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柴油</w:t>
            </w:r>
          </w:p>
        </w:tc>
        <w:tc>
          <w:tcPr>
            <w:tcW w:w="1559"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0.0202</w:t>
            </w:r>
          </w:p>
        </w:tc>
        <w:tc>
          <w:tcPr>
            <w:tcW w:w="850"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98</w:t>
            </w:r>
          </w:p>
        </w:tc>
        <w:tc>
          <w:tcPr>
            <w:tcW w:w="1701"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44.33 GJ/t</w:t>
            </w:r>
          </w:p>
        </w:tc>
        <w:tc>
          <w:tcPr>
            <w:tcW w:w="3830"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51366—2019、《工业其他行业企业温室气体排放核算方法与报告指南（试行）》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88"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天然气</w:t>
            </w:r>
          </w:p>
        </w:tc>
        <w:tc>
          <w:tcPr>
            <w:tcW w:w="1559"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0.0153</w:t>
            </w:r>
          </w:p>
        </w:tc>
        <w:tc>
          <w:tcPr>
            <w:tcW w:w="850"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99</w:t>
            </w:r>
          </w:p>
        </w:tc>
        <w:tc>
          <w:tcPr>
            <w:tcW w:w="1701"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389.31 GJ/10</w:t>
            </w:r>
            <w:r>
              <w:rPr>
                <w:rFonts w:ascii="宋体"/>
                <w:kern w:val="0"/>
                <w:sz w:val="18"/>
                <w:szCs w:val="18"/>
                <w:vertAlign w:val="superscript"/>
              </w:rPr>
              <w:t>4</w:t>
            </w:r>
            <w:r>
              <w:rPr>
                <w:rFonts w:ascii="宋体"/>
                <w:kern w:val="0"/>
                <w:sz w:val="18"/>
                <w:szCs w:val="18"/>
              </w:rPr>
              <w:t>Nm</w:t>
            </w:r>
            <w:r>
              <w:rPr>
                <w:rFonts w:ascii="宋体"/>
                <w:kern w:val="0"/>
                <w:sz w:val="18"/>
                <w:szCs w:val="18"/>
                <w:vertAlign w:val="superscript"/>
              </w:rPr>
              <w:t>3</w:t>
            </w:r>
          </w:p>
        </w:tc>
        <w:tc>
          <w:tcPr>
            <w:tcW w:w="3830"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51366—2019、《工业其他行业企业温室气体排放核算方法与报告指南（试行）》</w:t>
            </w:r>
          </w:p>
        </w:tc>
      </w:tr>
    </w:tbl>
    <w:p>
      <w:pPr>
        <w:spacing w:line="380" w:lineRule="exact"/>
        <w:rPr>
          <w:sz w:val="18"/>
          <w:szCs w:val="18"/>
        </w:rPr>
      </w:pPr>
      <w:r>
        <w:rPr>
          <w:rFonts w:hint="eastAsia"/>
          <w:sz w:val="18"/>
          <w:szCs w:val="18"/>
        </w:rPr>
        <w:t>注：燃料单位热值含碳量、氧化率、低位热值应根据最新公布的数据进行更新。</w:t>
      </w:r>
    </w:p>
    <w:p>
      <w:pPr>
        <w:spacing w:line="380" w:lineRule="exact"/>
        <w:rPr>
          <w:color w:val="000000"/>
          <w:szCs w:val="21"/>
        </w:rPr>
      </w:pPr>
    </w:p>
    <w:p>
      <w:pPr>
        <w:spacing w:line="380" w:lineRule="exact"/>
        <w:ind w:firstLine="420" w:firstLineChars="200"/>
        <w:rPr>
          <w:color w:val="000000"/>
          <w:szCs w:val="21"/>
        </w:rPr>
      </w:pPr>
      <w:r>
        <w:rPr>
          <w:rFonts w:hint="eastAsia"/>
          <w:szCs w:val="21"/>
        </w:rPr>
        <w:t>电力、自来水的碳排放因子参考值见表C.4。</w:t>
      </w:r>
    </w:p>
    <w:p>
      <w:pPr>
        <w:pStyle w:val="7"/>
      </w:pPr>
      <w:r>
        <w:rPr>
          <w:rFonts w:hint="eastAsia"/>
        </w:rPr>
        <w:t>表C.4 电力、自来水的碳排放因子</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15"/>
        <w:gridCol w:w="3767"/>
        <w:gridCol w:w="35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615"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类别</w:t>
            </w:r>
          </w:p>
        </w:tc>
        <w:tc>
          <w:tcPr>
            <w:tcW w:w="376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碳排放因子</w:t>
            </w:r>
          </w:p>
        </w:tc>
        <w:tc>
          <w:tcPr>
            <w:tcW w:w="3544"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碳排放因子来源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1615"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电力</w:t>
            </w:r>
          </w:p>
        </w:tc>
        <w:tc>
          <w:tcPr>
            <w:tcW w:w="7311" w:type="dxa"/>
            <w:gridSpan w:val="2"/>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hint="eastAsia" w:ascii="宋体"/>
                <w:kern w:val="0"/>
                <w:sz w:val="18"/>
                <w:szCs w:val="18"/>
              </w:rPr>
              <w:t>采用最新公布的电网碳排放因子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1615"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自来水</w:t>
            </w:r>
            <w:r>
              <w:rPr>
                <w:rFonts w:ascii="宋体"/>
                <w:kern w:val="0"/>
                <w:sz w:val="18"/>
                <w:szCs w:val="18"/>
                <w:vertAlign w:val="superscript"/>
              </w:rPr>
              <w:t>a</w:t>
            </w:r>
          </w:p>
        </w:tc>
        <w:tc>
          <w:tcPr>
            <w:tcW w:w="3767" w:type="dxa"/>
            <w:vAlign w:val="center"/>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0.168 kgCO</w:t>
            </w:r>
            <w:r>
              <w:rPr>
                <w:rFonts w:ascii="宋体"/>
                <w:kern w:val="0"/>
                <w:sz w:val="18"/>
                <w:szCs w:val="18"/>
                <w:vertAlign w:val="subscript"/>
              </w:rPr>
              <w:t>2</w:t>
            </w:r>
            <w:r>
              <w:rPr>
                <w:rFonts w:ascii="宋体"/>
                <w:kern w:val="0"/>
                <w:sz w:val="18"/>
                <w:szCs w:val="18"/>
              </w:rPr>
              <w:t>e/t</w:t>
            </w:r>
          </w:p>
        </w:tc>
        <w:tc>
          <w:tcPr>
            <w:tcW w:w="3544" w:type="dxa"/>
          </w:tcPr>
          <w:p>
            <w:pPr>
              <w:widowControl/>
              <w:tabs>
                <w:tab w:val="left" w:pos="1513"/>
                <w:tab w:val="center" w:pos="4887"/>
              </w:tabs>
              <w:autoSpaceDE w:val="0"/>
              <w:autoSpaceDN w:val="0"/>
              <w:spacing w:line="380" w:lineRule="exact"/>
              <w:jc w:val="center"/>
              <w:outlineLvl w:val="0"/>
              <w:rPr>
                <w:rFonts w:ascii="宋体"/>
                <w:kern w:val="0"/>
                <w:sz w:val="18"/>
                <w:szCs w:val="18"/>
              </w:rPr>
            </w:pPr>
            <w:r>
              <w:rPr>
                <w:rFonts w:ascii="宋体"/>
                <w:kern w:val="0"/>
                <w:sz w:val="18"/>
                <w:szCs w:val="18"/>
              </w:rPr>
              <w:t>GB/T 51366—2019</w:t>
            </w:r>
          </w:p>
        </w:tc>
      </w:tr>
    </w:tbl>
    <w:p>
      <w:pPr>
        <w:spacing w:line="380" w:lineRule="exact"/>
        <w:rPr>
          <w:color w:val="000000"/>
          <w:sz w:val="18"/>
          <w:szCs w:val="18"/>
        </w:rPr>
      </w:pPr>
      <w:r>
        <w:rPr>
          <w:rFonts w:hint="eastAsia"/>
          <w:color w:val="000000"/>
          <w:sz w:val="18"/>
          <w:szCs w:val="18"/>
        </w:rPr>
        <w:t>注：</w:t>
      </w:r>
      <w:r>
        <w:rPr>
          <w:kern w:val="0"/>
          <w:sz w:val="18"/>
          <w:szCs w:val="18"/>
          <w:vertAlign w:val="superscript"/>
        </w:rPr>
        <w:t>a</w:t>
      </w:r>
      <w:r>
        <w:rPr>
          <w:rFonts w:hint="eastAsia"/>
          <w:color w:val="000000"/>
          <w:sz w:val="18"/>
          <w:szCs w:val="18"/>
          <w:vertAlign w:val="superscript"/>
        </w:rPr>
        <w:t xml:space="preserve"> </w:t>
      </w:r>
      <w:r>
        <w:rPr>
          <w:rFonts w:hint="eastAsia"/>
          <w:sz w:val="18"/>
          <w:szCs w:val="18"/>
        </w:rPr>
        <w:t>自来水的碳排放因子应根据最新公布的碳排放因子进行更新。</w:t>
      </w:r>
    </w:p>
    <w:p>
      <w:pPr>
        <w:spacing w:line="380" w:lineRule="exact"/>
        <w:rPr>
          <w:color w:val="000000"/>
          <w:sz w:val="18"/>
          <w:szCs w:val="18"/>
        </w:rPr>
      </w:pPr>
      <w:r>
        <w:rPr>
          <w:color w:val="000000"/>
          <w:sz w:val="18"/>
          <w:szCs w:val="18"/>
        </w:rPr>
        <w:br w:type="page"/>
      </w:r>
    </w:p>
    <w:p>
      <w:pPr>
        <w:pStyle w:val="28"/>
        <w:tabs>
          <w:tab w:val="left" w:pos="1513"/>
          <w:tab w:val="center" w:pos="4887"/>
          <w:tab w:val="clear" w:pos="4201"/>
          <w:tab w:val="clear" w:pos="9298"/>
        </w:tabs>
        <w:spacing w:line="380" w:lineRule="exact"/>
        <w:ind w:firstLine="0" w:firstLineChars="0"/>
        <w:jc w:val="center"/>
        <w:outlineLvl w:val="0"/>
        <w:rPr>
          <w:rFonts w:ascii="Times New Roman"/>
          <w:b/>
          <w:bCs/>
          <w:szCs w:val="22"/>
        </w:rPr>
      </w:pPr>
      <w:r>
        <w:rPr>
          <w:rFonts w:ascii="Times New Roman"/>
          <w:b/>
          <w:bCs/>
          <w:szCs w:val="22"/>
        </w:rPr>
        <w:t>附录</w:t>
      </w:r>
      <w:r>
        <w:rPr>
          <w:rFonts w:hint="eastAsia" w:ascii="Times New Roman"/>
          <w:b/>
          <w:bCs/>
          <w:szCs w:val="22"/>
        </w:rPr>
        <w:t>D</w:t>
      </w:r>
      <w:bookmarkEnd w:id="95"/>
      <w:bookmarkEnd w:id="96"/>
    </w:p>
    <w:p>
      <w:pPr>
        <w:widowControl/>
        <w:tabs>
          <w:tab w:val="left" w:pos="1513"/>
          <w:tab w:val="center" w:pos="4887"/>
        </w:tabs>
        <w:autoSpaceDE w:val="0"/>
        <w:autoSpaceDN w:val="0"/>
        <w:spacing w:line="380" w:lineRule="exact"/>
        <w:jc w:val="center"/>
        <w:outlineLvl w:val="0"/>
        <w:rPr>
          <w:b/>
          <w:bCs/>
          <w:kern w:val="0"/>
          <w:szCs w:val="22"/>
        </w:rPr>
      </w:pPr>
      <w:bookmarkStart w:id="97" w:name="_Toc173330996"/>
      <w:bookmarkStart w:id="98" w:name="_Toc2194"/>
      <w:bookmarkStart w:id="99" w:name="_Toc31845"/>
      <w:r>
        <w:rPr>
          <w:b/>
          <w:bCs/>
          <w:kern w:val="0"/>
          <w:szCs w:val="22"/>
        </w:rPr>
        <w:t>（资料性）</w:t>
      </w:r>
      <w:bookmarkEnd w:id="97"/>
      <w:bookmarkEnd w:id="98"/>
      <w:bookmarkEnd w:id="99"/>
    </w:p>
    <w:p>
      <w:pPr>
        <w:widowControl/>
        <w:tabs>
          <w:tab w:val="left" w:pos="1513"/>
          <w:tab w:val="center" w:pos="4887"/>
        </w:tabs>
        <w:autoSpaceDE w:val="0"/>
        <w:autoSpaceDN w:val="0"/>
        <w:spacing w:line="380" w:lineRule="exact"/>
        <w:jc w:val="center"/>
        <w:outlineLvl w:val="0"/>
        <w:rPr>
          <w:b/>
          <w:bCs/>
          <w:kern w:val="0"/>
          <w:szCs w:val="22"/>
        </w:rPr>
      </w:pPr>
      <w:bookmarkStart w:id="100" w:name="_Toc3603"/>
      <w:bookmarkStart w:id="101" w:name="_Toc4017"/>
      <w:bookmarkStart w:id="102" w:name="_Toc173330997"/>
      <w:r>
        <w:rPr>
          <w:b/>
          <w:bCs/>
          <w:kern w:val="0"/>
          <w:szCs w:val="22"/>
        </w:rPr>
        <w:t>玻璃产品碳足迹报告</w:t>
      </w:r>
      <w:r>
        <w:rPr>
          <w:rFonts w:hint="eastAsia"/>
          <w:b/>
          <w:bCs/>
          <w:kern w:val="0"/>
          <w:szCs w:val="22"/>
        </w:rPr>
        <w:t>（</w:t>
      </w:r>
      <w:r>
        <w:rPr>
          <w:b/>
          <w:bCs/>
          <w:kern w:val="0"/>
          <w:szCs w:val="22"/>
        </w:rPr>
        <w:t>模板</w:t>
      </w:r>
      <w:bookmarkEnd w:id="100"/>
      <w:bookmarkEnd w:id="101"/>
      <w:bookmarkEnd w:id="102"/>
      <w:r>
        <w:rPr>
          <w:rFonts w:hint="eastAsia"/>
          <w:b/>
          <w:bCs/>
          <w:kern w:val="0"/>
          <w:szCs w:val="22"/>
        </w:rPr>
        <w:t>）</w:t>
      </w:r>
    </w:p>
    <w:p>
      <w:pPr>
        <w:spacing w:after="120" w:line="380" w:lineRule="exact"/>
        <w:rPr>
          <w:sz w:val="20"/>
        </w:rPr>
      </w:pPr>
    </w:p>
    <w:p>
      <w:pPr>
        <w:spacing w:after="120" w:line="380" w:lineRule="exact"/>
        <w:rPr>
          <w:sz w:val="20"/>
        </w:rPr>
      </w:pPr>
      <w:r>
        <w:rPr>
          <w:rFonts w:hint="eastAsia"/>
          <w:sz w:val="20"/>
        </w:rPr>
        <w:t>玻璃产品碳足迹报告格式模板如下。</w:t>
      </w:r>
    </w:p>
    <w:p>
      <w:pPr>
        <w:tabs>
          <w:tab w:val="left" w:pos="4255"/>
        </w:tabs>
        <w:spacing w:line="380" w:lineRule="exact"/>
      </w:pPr>
    </w:p>
    <w:p>
      <w:pPr>
        <w:tabs>
          <w:tab w:val="left" w:pos="4255"/>
        </w:tabs>
        <w:spacing w:line="380" w:lineRule="exact"/>
      </w:pPr>
    </w:p>
    <w:p>
      <w:pPr>
        <w:tabs>
          <w:tab w:val="left" w:pos="4255"/>
        </w:tabs>
        <w:spacing w:line="380" w:lineRule="exact"/>
      </w:pPr>
    </w:p>
    <w:p>
      <w:pPr>
        <w:tabs>
          <w:tab w:val="left" w:pos="4255"/>
        </w:tabs>
        <w:spacing w:line="380" w:lineRule="exact"/>
      </w:pPr>
    </w:p>
    <w:p>
      <w:pPr>
        <w:tabs>
          <w:tab w:val="left" w:pos="4255"/>
        </w:tabs>
        <w:spacing w:line="380" w:lineRule="exact"/>
      </w:pPr>
    </w:p>
    <w:p>
      <w:pPr>
        <w:tabs>
          <w:tab w:val="left" w:pos="4255"/>
        </w:tabs>
        <w:spacing w:line="380" w:lineRule="exact"/>
        <w:jc w:val="center"/>
        <w:rPr>
          <w:sz w:val="36"/>
          <w:szCs w:val="36"/>
        </w:rPr>
      </w:pPr>
      <w:r>
        <w:rPr>
          <w:rFonts w:hint="eastAsia"/>
          <w:sz w:val="36"/>
          <w:szCs w:val="36"/>
        </w:rPr>
        <w:t>玻璃产品碳足迹报告（模板）</w:t>
      </w:r>
    </w:p>
    <w:p>
      <w:pPr>
        <w:tabs>
          <w:tab w:val="left" w:pos="4255"/>
        </w:tabs>
        <w:spacing w:line="380" w:lineRule="exact"/>
      </w:pPr>
    </w:p>
    <w:p>
      <w:pPr>
        <w:tabs>
          <w:tab w:val="left" w:pos="4255"/>
        </w:tabs>
        <w:spacing w:line="380" w:lineRule="exact"/>
      </w:pPr>
    </w:p>
    <w:p>
      <w:pPr>
        <w:tabs>
          <w:tab w:val="left" w:pos="4255"/>
        </w:tabs>
        <w:spacing w:line="380" w:lineRule="exact"/>
      </w:pPr>
    </w:p>
    <w:p>
      <w:pPr>
        <w:tabs>
          <w:tab w:val="left" w:pos="6780"/>
        </w:tabs>
        <w:spacing w:line="380" w:lineRule="exact"/>
        <w:ind w:firstLine="1890" w:firstLineChars="900"/>
        <w:rPr>
          <w:u w:val="single"/>
        </w:rPr>
      </w:pPr>
      <w:r>
        <w:t>产品名称：</w:t>
      </w:r>
      <w:r>
        <w:rPr>
          <w:u w:val="single"/>
        </w:rPr>
        <w:t xml:space="preserve"> </w:t>
      </w:r>
      <w:r>
        <w:rPr>
          <w:u w:val="single"/>
        </w:rPr>
        <w:tab/>
      </w:r>
    </w:p>
    <w:p>
      <w:pPr>
        <w:spacing w:line="380" w:lineRule="exact"/>
        <w:ind w:firstLine="202"/>
        <w:rPr>
          <w:sz w:val="10"/>
        </w:rPr>
      </w:pPr>
    </w:p>
    <w:p>
      <w:pPr>
        <w:tabs>
          <w:tab w:val="left" w:pos="6780"/>
        </w:tabs>
        <w:spacing w:line="380" w:lineRule="exact"/>
        <w:ind w:firstLine="1890" w:firstLineChars="900"/>
      </w:pPr>
      <w:r>
        <w:rPr>
          <w:rFonts w:hint="eastAsia"/>
        </w:rPr>
        <w:t>产品</w:t>
      </w:r>
      <w:r>
        <w:t>规格型号：</w:t>
      </w:r>
      <w:r>
        <w:rPr>
          <w:u w:val="single"/>
        </w:rPr>
        <w:t xml:space="preserve"> </w:t>
      </w:r>
      <w:r>
        <w:rPr>
          <w:u w:val="single"/>
        </w:rPr>
        <w:tab/>
      </w:r>
    </w:p>
    <w:p>
      <w:pPr>
        <w:spacing w:line="380" w:lineRule="exact"/>
        <w:ind w:firstLine="202"/>
        <w:rPr>
          <w:sz w:val="10"/>
        </w:rPr>
      </w:pPr>
    </w:p>
    <w:p>
      <w:pPr>
        <w:tabs>
          <w:tab w:val="left" w:pos="6778"/>
        </w:tabs>
        <w:spacing w:line="380" w:lineRule="exact"/>
        <w:ind w:firstLine="1872" w:firstLineChars="900"/>
      </w:pPr>
      <w:r>
        <w:rPr>
          <w:spacing w:val="-1"/>
        </w:rPr>
        <w:t>委</w:t>
      </w:r>
      <w:r>
        <w:t>托单位名称：</w:t>
      </w:r>
      <w:r>
        <w:rPr>
          <w:u w:val="single"/>
        </w:rPr>
        <w:t xml:space="preserve"> </w:t>
      </w:r>
      <w:r>
        <w:rPr>
          <w:u w:val="single"/>
        </w:rPr>
        <w:tab/>
      </w:r>
    </w:p>
    <w:p>
      <w:pPr>
        <w:spacing w:line="380" w:lineRule="exact"/>
        <w:ind w:firstLine="202"/>
        <w:rPr>
          <w:sz w:val="10"/>
        </w:rPr>
      </w:pPr>
    </w:p>
    <w:p>
      <w:pPr>
        <w:tabs>
          <w:tab w:val="left" w:pos="6780"/>
        </w:tabs>
        <w:spacing w:line="380" w:lineRule="exact"/>
        <w:ind w:firstLine="1890" w:firstLineChars="900"/>
      </w:pPr>
      <w:r>
        <w:t>报告编号：</w:t>
      </w:r>
      <w:r>
        <w:rPr>
          <w:u w:val="single"/>
        </w:rPr>
        <w:t xml:space="preserve"> </w:t>
      </w:r>
      <w:r>
        <w:rPr>
          <w:u w:val="single"/>
        </w:rPr>
        <w:tab/>
      </w:r>
    </w:p>
    <w:p>
      <w:pPr>
        <w:tabs>
          <w:tab w:val="left" w:pos="2863"/>
        </w:tabs>
        <w:spacing w:line="380" w:lineRule="exact"/>
        <w:ind w:firstLine="202"/>
        <w:rPr>
          <w:sz w:val="10"/>
        </w:rPr>
      </w:pPr>
      <w:r>
        <w:rPr>
          <w:sz w:val="10"/>
        </w:rPr>
        <w:tab/>
      </w:r>
    </w:p>
    <w:p>
      <w:pPr>
        <w:spacing w:line="380" w:lineRule="exact"/>
        <w:ind w:firstLine="404"/>
        <w:rPr>
          <w:sz w:val="20"/>
        </w:rPr>
      </w:pPr>
    </w:p>
    <w:p>
      <w:pPr>
        <w:spacing w:line="380" w:lineRule="exact"/>
        <w:ind w:firstLine="404"/>
        <w:rPr>
          <w:sz w:val="20"/>
        </w:rPr>
      </w:pPr>
    </w:p>
    <w:p>
      <w:pPr>
        <w:spacing w:line="380" w:lineRule="exact"/>
        <w:ind w:firstLine="404"/>
        <w:rPr>
          <w:sz w:val="20"/>
        </w:rPr>
      </w:pPr>
    </w:p>
    <w:p>
      <w:pPr>
        <w:spacing w:line="380" w:lineRule="exact"/>
        <w:ind w:firstLine="404"/>
        <w:rPr>
          <w:sz w:val="20"/>
        </w:rPr>
      </w:pPr>
    </w:p>
    <w:p>
      <w:pPr>
        <w:spacing w:line="380" w:lineRule="exact"/>
        <w:ind w:firstLine="404"/>
        <w:rPr>
          <w:sz w:val="20"/>
        </w:rPr>
      </w:pPr>
    </w:p>
    <w:p>
      <w:pPr>
        <w:spacing w:line="380" w:lineRule="exact"/>
        <w:rPr>
          <w:sz w:val="20"/>
        </w:rPr>
      </w:pPr>
    </w:p>
    <w:p>
      <w:pPr>
        <w:spacing w:line="380" w:lineRule="exact"/>
        <w:ind w:firstLine="566"/>
        <w:rPr>
          <w:sz w:val="28"/>
        </w:rPr>
      </w:pPr>
    </w:p>
    <w:p>
      <w:pPr>
        <w:spacing w:line="380" w:lineRule="exact"/>
        <w:ind w:firstLine="182"/>
        <w:rPr>
          <w:sz w:val="9"/>
        </w:rPr>
      </w:pPr>
    </w:p>
    <w:p>
      <w:pPr>
        <w:tabs>
          <w:tab w:val="left" w:pos="3267"/>
        </w:tabs>
        <w:spacing w:line="380" w:lineRule="exact"/>
        <w:jc w:val="right"/>
      </w:pPr>
      <w:r>
        <w:rPr>
          <w:rFonts w:hint="eastAsia"/>
        </w:rPr>
        <w:t>出具</w:t>
      </w:r>
      <w:r>
        <w:t>报告机构</w:t>
      </w:r>
      <w:r>
        <w:rPr>
          <w:rFonts w:hint="eastAsia"/>
        </w:rPr>
        <w:t>：(若有)</w:t>
      </w:r>
      <w:r>
        <w:rPr>
          <w:u w:val="single"/>
        </w:rPr>
        <w:tab/>
      </w:r>
      <w:r>
        <w:rPr>
          <w:spacing w:val="-1"/>
        </w:rPr>
        <w:t>（盖</w:t>
      </w:r>
      <w:r>
        <w:t>章）</w:t>
      </w:r>
    </w:p>
    <w:p>
      <w:pPr>
        <w:spacing w:line="380" w:lineRule="exact"/>
        <w:ind w:firstLine="182"/>
        <w:rPr>
          <w:sz w:val="9"/>
        </w:rPr>
      </w:pPr>
    </w:p>
    <w:p>
      <w:pPr>
        <w:tabs>
          <w:tab w:val="left" w:pos="1900"/>
          <w:tab w:val="left" w:pos="3056"/>
          <w:tab w:val="left" w:pos="4000"/>
        </w:tabs>
        <w:spacing w:line="380" w:lineRule="exact"/>
        <w:jc w:val="right"/>
      </w:pPr>
      <w:r>
        <w:t>日期：</w:t>
      </w:r>
      <w:r>
        <w:rPr>
          <w:u w:val="single"/>
        </w:rPr>
        <w:tab/>
      </w:r>
      <w:r>
        <w:t>年</w:t>
      </w:r>
      <w:r>
        <w:rPr>
          <w:u w:val="single"/>
        </w:rPr>
        <w:tab/>
      </w:r>
      <w:r>
        <w:t>月</w:t>
      </w:r>
      <w:r>
        <w:rPr>
          <w:u w:val="single"/>
        </w:rPr>
        <w:tab/>
      </w:r>
      <w:r>
        <w:t>日</w:t>
      </w:r>
    </w:p>
    <w:p>
      <w:pPr>
        <w:spacing w:line="380" w:lineRule="exact"/>
      </w:pPr>
    </w:p>
    <w:p>
      <w:pPr>
        <w:spacing w:line="380" w:lineRule="exact"/>
        <w:sectPr>
          <w:footerReference r:id="rId8" w:type="default"/>
          <w:footerReference r:id="rId9" w:type="even"/>
          <w:pgSz w:w="11910" w:h="16840"/>
          <w:pgMar w:top="1503" w:right="1242" w:bottom="510" w:left="1678" w:header="1441" w:footer="1141" w:gutter="0"/>
          <w:pgNumType w:start="1"/>
          <w:cols w:space="720" w:num="1"/>
          <w:docGrid w:linePitch="286" w:charSpace="0"/>
        </w:sectPr>
      </w:pPr>
    </w:p>
    <w:p>
      <w:pPr>
        <w:pStyle w:val="146"/>
        <w:keepNext/>
        <w:keepLines/>
        <w:numPr>
          <w:ilvl w:val="0"/>
          <w:numId w:val="29"/>
        </w:numPr>
        <w:tabs>
          <w:tab w:val="left" w:pos="504"/>
          <w:tab w:val="left" w:pos="632"/>
        </w:tabs>
        <w:spacing w:line="380" w:lineRule="exact"/>
        <w:ind w:left="442" w:hanging="442"/>
        <w:rPr>
          <w:b/>
          <w:bCs/>
          <w:szCs w:val="21"/>
        </w:rPr>
      </w:pPr>
      <w:bookmarkStart w:id="103" w:name="_Toc173330998"/>
      <w:bookmarkStart w:id="104" w:name="_Toc18159"/>
      <w:bookmarkStart w:id="105" w:name="_Toc17492"/>
      <w:r>
        <w:rPr>
          <w:rFonts w:hint="eastAsia"/>
          <w:b/>
          <w:bCs/>
          <w:szCs w:val="21"/>
        </w:rPr>
        <w:t>概况</w:t>
      </w:r>
      <w:bookmarkEnd w:id="103"/>
      <w:bookmarkEnd w:id="104"/>
      <w:bookmarkEnd w:id="105"/>
    </w:p>
    <w:p>
      <w:pPr>
        <w:tabs>
          <w:tab w:val="left" w:pos="872"/>
        </w:tabs>
        <w:autoSpaceDE w:val="0"/>
        <w:autoSpaceDN w:val="0"/>
        <w:spacing w:line="380" w:lineRule="exact"/>
        <w:jc w:val="left"/>
        <w:rPr>
          <w:b/>
          <w:bCs/>
          <w:szCs w:val="21"/>
        </w:rPr>
      </w:pPr>
      <w:r>
        <w:rPr>
          <w:b/>
          <w:bCs/>
          <w:szCs w:val="21"/>
        </w:rPr>
        <w:t>1. 委托单位</w:t>
      </w:r>
      <w:r>
        <w:rPr>
          <w:rFonts w:hint="eastAsia"/>
          <w:b/>
          <w:bCs/>
          <w:szCs w:val="21"/>
        </w:rPr>
        <w:t>信息</w:t>
      </w:r>
    </w:p>
    <w:p>
      <w:pPr>
        <w:tabs>
          <w:tab w:val="left" w:pos="2786"/>
          <w:tab w:val="left" w:pos="2995"/>
        </w:tabs>
        <w:spacing w:line="380" w:lineRule="exact"/>
        <w:rPr>
          <w:szCs w:val="21"/>
          <w:u w:val="single"/>
        </w:rPr>
      </w:pPr>
      <w:r>
        <w:rPr>
          <w:szCs w:val="21"/>
        </w:rPr>
        <w:t>委托单位</w:t>
      </w:r>
      <w:r>
        <w:rPr>
          <w:rFonts w:hint="eastAsia"/>
          <w:szCs w:val="21"/>
        </w:rPr>
        <w:t>名称</w:t>
      </w:r>
      <w:r>
        <w:rPr>
          <w:szCs w:val="21"/>
        </w:rPr>
        <w:t>：</w:t>
      </w:r>
      <w:r>
        <w:rPr>
          <w:szCs w:val="21"/>
          <w:u w:val="single"/>
        </w:rPr>
        <w:t xml:space="preserve"> </w:t>
      </w:r>
      <w:r>
        <w:rPr>
          <w:szCs w:val="21"/>
          <w:u w:val="single"/>
        </w:rPr>
        <w:tab/>
      </w:r>
    </w:p>
    <w:p>
      <w:pPr>
        <w:tabs>
          <w:tab w:val="left" w:pos="2786"/>
          <w:tab w:val="left" w:pos="2995"/>
        </w:tabs>
        <w:spacing w:line="380" w:lineRule="exact"/>
        <w:rPr>
          <w:szCs w:val="21"/>
          <w:u w:val="single"/>
        </w:rPr>
      </w:pPr>
      <w:r>
        <w:rPr>
          <w:szCs w:val="21"/>
        </w:rPr>
        <w:t>单位地址：</w:t>
      </w:r>
      <w:r>
        <w:rPr>
          <w:szCs w:val="21"/>
          <w:u w:val="single"/>
        </w:rPr>
        <w:t xml:space="preserve"> </w:t>
      </w:r>
      <w:r>
        <w:rPr>
          <w:szCs w:val="21"/>
          <w:u w:val="single"/>
        </w:rPr>
        <w:tab/>
      </w:r>
    </w:p>
    <w:p>
      <w:pPr>
        <w:tabs>
          <w:tab w:val="left" w:pos="2786"/>
        </w:tabs>
        <w:spacing w:line="380" w:lineRule="exact"/>
        <w:rPr>
          <w:szCs w:val="21"/>
        </w:rPr>
      </w:pPr>
      <w:r>
        <w:rPr>
          <w:szCs w:val="21"/>
        </w:rPr>
        <w:t>法定代表人：</w:t>
      </w:r>
      <w:r>
        <w:rPr>
          <w:szCs w:val="21"/>
          <w:u w:val="single"/>
        </w:rPr>
        <w:t xml:space="preserve"> </w:t>
      </w:r>
      <w:r>
        <w:rPr>
          <w:szCs w:val="21"/>
          <w:u w:val="single"/>
        </w:rPr>
        <w:tab/>
      </w:r>
    </w:p>
    <w:p>
      <w:pPr>
        <w:tabs>
          <w:tab w:val="left" w:pos="2786"/>
          <w:tab w:val="left" w:pos="3521"/>
        </w:tabs>
        <w:spacing w:line="380" w:lineRule="exact"/>
        <w:ind w:left="1260" w:hanging="1260" w:hangingChars="600"/>
        <w:rPr>
          <w:spacing w:val="-1"/>
          <w:szCs w:val="21"/>
          <w:u w:val="single"/>
        </w:rPr>
      </w:pPr>
      <w:r>
        <w:rPr>
          <w:szCs w:val="21"/>
        </w:rPr>
        <w:t>授权</w:t>
      </w:r>
      <w:r>
        <w:rPr>
          <w:spacing w:val="-3"/>
          <w:szCs w:val="21"/>
        </w:rPr>
        <w:t>人</w:t>
      </w:r>
      <w:r>
        <w:rPr>
          <w:szCs w:val="21"/>
        </w:rPr>
        <w:t>（</w:t>
      </w:r>
      <w:r>
        <w:rPr>
          <w:spacing w:val="-3"/>
          <w:szCs w:val="21"/>
        </w:rPr>
        <w:t>联</w:t>
      </w:r>
      <w:r>
        <w:rPr>
          <w:szCs w:val="21"/>
        </w:rPr>
        <w:t>系</w:t>
      </w:r>
      <w:r>
        <w:rPr>
          <w:spacing w:val="-3"/>
          <w:szCs w:val="21"/>
        </w:rPr>
        <w:t>人</w:t>
      </w:r>
      <w:r>
        <w:rPr>
          <w:spacing w:val="-106"/>
          <w:szCs w:val="21"/>
        </w:rPr>
        <w:t>）</w:t>
      </w:r>
      <w:r>
        <w:rPr>
          <w:spacing w:val="-1"/>
          <w:szCs w:val="21"/>
        </w:rPr>
        <w:t xml:space="preserve"> </w:t>
      </w:r>
      <w:r>
        <w:rPr>
          <w:szCs w:val="21"/>
        </w:rPr>
        <w:t>：</w:t>
      </w:r>
      <w:r>
        <w:rPr>
          <w:spacing w:val="-1"/>
          <w:szCs w:val="21"/>
          <w:u w:val="single"/>
        </w:rPr>
        <w:t xml:space="preserve">          </w:t>
      </w:r>
    </w:p>
    <w:p>
      <w:pPr>
        <w:tabs>
          <w:tab w:val="left" w:pos="2786"/>
          <w:tab w:val="left" w:pos="3521"/>
        </w:tabs>
        <w:spacing w:line="380" w:lineRule="exact"/>
        <w:ind w:left="1260" w:hanging="1260" w:hangingChars="600"/>
        <w:rPr>
          <w:szCs w:val="21"/>
          <w:u w:val="single"/>
        </w:rPr>
      </w:pPr>
      <w:bookmarkStart w:id="106" w:name="_Hlk177548416"/>
      <w:r>
        <w:rPr>
          <w:szCs w:val="21"/>
        </w:rPr>
        <w:t>联系电话：</w:t>
      </w:r>
      <w:r>
        <w:rPr>
          <w:szCs w:val="21"/>
          <w:u w:val="single"/>
        </w:rPr>
        <w:t xml:space="preserve">  </w:t>
      </w:r>
      <w:r>
        <w:rPr>
          <w:szCs w:val="21"/>
          <w:u w:val="single"/>
        </w:rPr>
        <w:tab/>
      </w:r>
    </w:p>
    <w:bookmarkEnd w:id="106"/>
    <w:p>
      <w:pPr>
        <w:tabs>
          <w:tab w:val="left" w:pos="2786"/>
          <w:tab w:val="left" w:pos="3521"/>
        </w:tabs>
        <w:spacing w:line="380" w:lineRule="exact"/>
        <w:ind w:left="1260" w:hanging="1260" w:hangingChars="600"/>
        <w:rPr>
          <w:szCs w:val="21"/>
          <w:u w:val="single"/>
        </w:rPr>
      </w:pPr>
      <w:r>
        <w:rPr>
          <w:rFonts w:hint="eastAsia"/>
          <w:szCs w:val="21"/>
        </w:rPr>
        <w:t>企业概况</w:t>
      </w:r>
      <w:r>
        <w:rPr>
          <w:szCs w:val="21"/>
        </w:rPr>
        <w:t>：</w:t>
      </w:r>
      <w:r>
        <w:rPr>
          <w:szCs w:val="21"/>
          <w:u w:val="single"/>
        </w:rPr>
        <w:t xml:space="preserve">  </w:t>
      </w:r>
      <w:r>
        <w:rPr>
          <w:szCs w:val="21"/>
          <w:u w:val="single"/>
        </w:rPr>
        <w:tab/>
      </w:r>
    </w:p>
    <w:p>
      <w:pPr>
        <w:tabs>
          <w:tab w:val="left" w:pos="2786"/>
          <w:tab w:val="left" w:pos="3521"/>
        </w:tabs>
        <w:spacing w:line="380" w:lineRule="exact"/>
        <w:ind w:left="1260" w:hanging="1260" w:hangingChars="600"/>
        <w:rPr>
          <w:szCs w:val="21"/>
          <w:u w:val="single"/>
        </w:rPr>
      </w:pPr>
    </w:p>
    <w:p>
      <w:pPr>
        <w:keepNext/>
        <w:keepLines/>
        <w:tabs>
          <w:tab w:val="left" w:pos="532"/>
          <w:tab w:val="left" w:pos="872"/>
        </w:tabs>
        <w:spacing w:line="380" w:lineRule="exact"/>
        <w:rPr>
          <w:b/>
          <w:bCs/>
          <w:szCs w:val="21"/>
        </w:rPr>
      </w:pPr>
      <w:bookmarkStart w:id="107" w:name="_Toc7158"/>
      <w:bookmarkStart w:id="108" w:name="_Toc173330999"/>
      <w:bookmarkStart w:id="109" w:name="_Toc8577"/>
      <w:r>
        <w:rPr>
          <w:rFonts w:hint="eastAsia"/>
          <w:b/>
          <w:bCs/>
          <w:szCs w:val="21"/>
        </w:rPr>
        <w:t xml:space="preserve">2. </w:t>
      </w:r>
      <w:r>
        <w:rPr>
          <w:b/>
          <w:bCs/>
          <w:szCs w:val="21"/>
        </w:rPr>
        <w:t>产品信息</w:t>
      </w:r>
      <w:bookmarkEnd w:id="107"/>
      <w:bookmarkEnd w:id="108"/>
      <w:bookmarkEnd w:id="109"/>
    </w:p>
    <w:p>
      <w:pPr>
        <w:tabs>
          <w:tab w:val="left" w:pos="2786"/>
        </w:tabs>
        <w:spacing w:line="380" w:lineRule="exact"/>
        <w:rPr>
          <w:szCs w:val="21"/>
          <w:u w:val="single"/>
        </w:rPr>
      </w:pPr>
      <w:r>
        <w:rPr>
          <w:szCs w:val="21"/>
        </w:rPr>
        <w:t>产品名称：</w:t>
      </w:r>
      <w:r>
        <w:rPr>
          <w:szCs w:val="21"/>
          <w:u w:val="single"/>
        </w:rPr>
        <w:t xml:space="preserve"> </w:t>
      </w:r>
      <w:r>
        <w:rPr>
          <w:szCs w:val="21"/>
          <w:u w:val="single"/>
        </w:rPr>
        <w:tab/>
      </w:r>
    </w:p>
    <w:p>
      <w:pPr>
        <w:tabs>
          <w:tab w:val="left" w:pos="2786"/>
        </w:tabs>
        <w:spacing w:line="380" w:lineRule="exact"/>
        <w:rPr>
          <w:szCs w:val="21"/>
          <w:u w:val="single"/>
        </w:rPr>
      </w:pPr>
      <w:r>
        <w:rPr>
          <w:rFonts w:hint="eastAsia"/>
          <w:szCs w:val="21"/>
        </w:rPr>
        <w:t>产品</w:t>
      </w:r>
      <w:r>
        <w:rPr>
          <w:szCs w:val="21"/>
        </w:rPr>
        <w:t>功能：</w:t>
      </w:r>
      <w:r>
        <w:rPr>
          <w:szCs w:val="21"/>
          <w:u w:val="single"/>
        </w:rPr>
        <w:t xml:space="preserve"> </w:t>
      </w:r>
      <w:r>
        <w:rPr>
          <w:szCs w:val="21"/>
          <w:u w:val="single"/>
        </w:rPr>
        <w:tab/>
      </w:r>
    </w:p>
    <w:p>
      <w:pPr>
        <w:tabs>
          <w:tab w:val="left" w:pos="2786"/>
        </w:tabs>
        <w:spacing w:line="380" w:lineRule="exact"/>
        <w:rPr>
          <w:szCs w:val="21"/>
        </w:rPr>
      </w:pPr>
      <w:r>
        <w:rPr>
          <w:szCs w:val="21"/>
        </w:rPr>
        <w:t>产品介绍：</w:t>
      </w:r>
      <w:r>
        <w:rPr>
          <w:szCs w:val="21"/>
          <w:u w:val="single"/>
        </w:rPr>
        <w:t xml:space="preserve"> </w:t>
      </w:r>
      <w:r>
        <w:rPr>
          <w:szCs w:val="21"/>
          <w:u w:val="single"/>
        </w:rPr>
        <w:tab/>
      </w:r>
    </w:p>
    <w:p>
      <w:pPr>
        <w:spacing w:line="380" w:lineRule="exact"/>
        <w:rPr>
          <w:szCs w:val="21"/>
        </w:rPr>
      </w:pPr>
      <w:r>
        <w:rPr>
          <w:szCs w:val="21"/>
        </w:rPr>
        <w:t>产品图片：</w:t>
      </w:r>
    </w:p>
    <w:p>
      <w:pPr>
        <w:spacing w:line="380" w:lineRule="exact"/>
        <w:ind w:left="181" w:leftChars="86"/>
        <w:rPr>
          <w:szCs w:val="21"/>
        </w:rPr>
      </w:pPr>
    </w:p>
    <w:p>
      <w:pPr>
        <w:keepNext/>
        <w:keepLines/>
        <w:tabs>
          <w:tab w:val="left" w:pos="532"/>
          <w:tab w:val="left" w:pos="872"/>
        </w:tabs>
        <w:spacing w:line="380" w:lineRule="exact"/>
        <w:rPr>
          <w:b/>
          <w:bCs/>
          <w:szCs w:val="21"/>
        </w:rPr>
      </w:pPr>
      <w:r>
        <w:rPr>
          <w:rFonts w:hint="eastAsia"/>
          <w:b/>
          <w:bCs/>
          <w:szCs w:val="21"/>
        </w:rPr>
        <w:t>3. 量化方法</w:t>
      </w:r>
    </w:p>
    <w:p>
      <w:pPr>
        <w:tabs>
          <w:tab w:val="left" w:pos="2786"/>
        </w:tabs>
        <w:spacing w:line="380" w:lineRule="exact"/>
        <w:ind w:left="181" w:leftChars="86"/>
        <w:rPr>
          <w:szCs w:val="21"/>
        </w:rPr>
      </w:pPr>
      <w:r>
        <w:rPr>
          <w:rFonts w:hint="eastAsia"/>
          <w:szCs w:val="21"/>
        </w:rPr>
        <w:t>依据标准</w:t>
      </w:r>
      <w:r>
        <w:rPr>
          <w:szCs w:val="21"/>
        </w:rPr>
        <w:t>：</w:t>
      </w:r>
      <w:r>
        <w:rPr>
          <w:szCs w:val="21"/>
          <w:u w:val="single"/>
        </w:rPr>
        <w:t xml:space="preserve"> </w:t>
      </w:r>
      <w:r>
        <w:rPr>
          <w:szCs w:val="21"/>
          <w:u w:val="single"/>
        </w:rPr>
        <w:tab/>
      </w:r>
    </w:p>
    <w:p>
      <w:pPr>
        <w:spacing w:line="380" w:lineRule="exact"/>
        <w:rPr>
          <w:szCs w:val="21"/>
        </w:rPr>
      </w:pPr>
    </w:p>
    <w:p>
      <w:pPr>
        <w:pStyle w:val="146"/>
        <w:keepNext/>
        <w:keepLines/>
        <w:numPr>
          <w:ilvl w:val="0"/>
          <w:numId w:val="29"/>
        </w:numPr>
        <w:tabs>
          <w:tab w:val="left" w:pos="504"/>
          <w:tab w:val="left" w:pos="632"/>
        </w:tabs>
        <w:spacing w:line="380" w:lineRule="exact"/>
        <w:ind w:left="442" w:hanging="442"/>
        <w:rPr>
          <w:b/>
          <w:bCs/>
          <w:szCs w:val="21"/>
        </w:rPr>
      </w:pPr>
      <w:bookmarkStart w:id="110" w:name="_Toc31185"/>
      <w:bookmarkStart w:id="111" w:name="_Toc21975"/>
      <w:bookmarkStart w:id="112" w:name="_Toc173331000"/>
      <w:r>
        <w:rPr>
          <w:rFonts w:hint="eastAsia"/>
          <w:b/>
          <w:bCs/>
          <w:szCs w:val="21"/>
        </w:rPr>
        <w:t>量化目的</w:t>
      </w:r>
      <w:bookmarkEnd w:id="110"/>
      <w:bookmarkEnd w:id="111"/>
      <w:bookmarkEnd w:id="112"/>
    </w:p>
    <w:p>
      <w:pPr>
        <w:spacing w:line="380" w:lineRule="exact"/>
        <w:ind w:firstLine="404" w:firstLineChars="200"/>
        <w:rPr>
          <w:szCs w:val="21"/>
        </w:rPr>
      </w:pPr>
      <w:r>
        <w:rPr>
          <w:spacing w:val="-4"/>
          <w:szCs w:val="21"/>
        </w:rPr>
        <w:t>披露产品生命周期碳足迹对于产品生产企业的发展而言具有重要意义。企业对产品生命周期温室气</w:t>
      </w:r>
      <w:r>
        <w:rPr>
          <w:spacing w:val="-7"/>
          <w:szCs w:val="21"/>
        </w:rPr>
        <w:t>体排放进行评价后，可根据评价结果采取有效可行的措施来减少供应链中的碳排放，这样不仅可降低企</w:t>
      </w:r>
      <w:r>
        <w:rPr>
          <w:szCs w:val="21"/>
        </w:rPr>
        <w:t>业能耗，还可节约生产成本并提高企业效益。</w:t>
      </w:r>
    </w:p>
    <w:p>
      <w:pPr>
        <w:spacing w:line="380" w:lineRule="exact"/>
        <w:ind w:firstLine="408" w:firstLineChars="200"/>
        <w:rPr>
          <w:szCs w:val="21"/>
        </w:rPr>
      </w:pPr>
      <w:r>
        <w:rPr>
          <w:spacing w:val="-3"/>
          <w:szCs w:val="21"/>
        </w:rPr>
        <w:t>披露碳足迹，对消费者而言可使其掌握产品的温室气体排放数据，了解其做出的购买决定对温室气</w:t>
      </w:r>
      <w:r>
        <w:rPr>
          <w:szCs w:val="21"/>
        </w:rPr>
        <w:t>体排放产生的影响。</w:t>
      </w:r>
    </w:p>
    <w:p>
      <w:pPr>
        <w:spacing w:line="380" w:lineRule="exact"/>
        <w:ind w:firstLine="424"/>
        <w:rPr>
          <w:szCs w:val="21"/>
        </w:rPr>
      </w:pPr>
    </w:p>
    <w:p>
      <w:pPr>
        <w:pStyle w:val="146"/>
        <w:keepNext/>
        <w:keepLines/>
        <w:numPr>
          <w:ilvl w:val="0"/>
          <w:numId w:val="29"/>
        </w:numPr>
        <w:tabs>
          <w:tab w:val="left" w:pos="504"/>
          <w:tab w:val="left" w:pos="632"/>
        </w:tabs>
        <w:spacing w:line="380" w:lineRule="exact"/>
        <w:ind w:left="442" w:hanging="442"/>
        <w:rPr>
          <w:b/>
          <w:bCs/>
          <w:szCs w:val="21"/>
        </w:rPr>
      </w:pPr>
      <w:bookmarkStart w:id="113" w:name="_Toc24037"/>
      <w:bookmarkStart w:id="114" w:name="_Toc30247"/>
      <w:bookmarkStart w:id="115" w:name="_Toc173331001"/>
      <w:r>
        <w:rPr>
          <w:rFonts w:hint="eastAsia"/>
          <w:b/>
          <w:bCs/>
          <w:szCs w:val="21"/>
        </w:rPr>
        <w:t>量化范围</w:t>
      </w:r>
      <w:bookmarkEnd w:id="113"/>
      <w:bookmarkEnd w:id="114"/>
      <w:bookmarkEnd w:id="115"/>
    </w:p>
    <w:p>
      <w:pPr>
        <w:tabs>
          <w:tab w:val="left" w:pos="567"/>
        </w:tabs>
        <w:autoSpaceDE w:val="0"/>
        <w:autoSpaceDN w:val="0"/>
        <w:spacing w:line="380" w:lineRule="exact"/>
        <w:jc w:val="left"/>
        <w:rPr>
          <w:b/>
          <w:bCs/>
          <w:szCs w:val="21"/>
        </w:rPr>
      </w:pPr>
      <w:r>
        <w:rPr>
          <w:rFonts w:hint="eastAsia"/>
          <w:b/>
          <w:bCs/>
          <w:szCs w:val="21"/>
        </w:rPr>
        <w:t>1. 声明</w:t>
      </w:r>
      <w:r>
        <w:rPr>
          <w:b/>
          <w:bCs/>
          <w:szCs w:val="21"/>
        </w:rPr>
        <w:t>单位</w:t>
      </w:r>
    </w:p>
    <w:p>
      <w:pPr>
        <w:tabs>
          <w:tab w:val="left" w:pos="3116"/>
        </w:tabs>
        <w:spacing w:line="380" w:lineRule="exact"/>
        <w:ind w:firstLine="420" w:firstLineChars="200"/>
        <w:rPr>
          <w:szCs w:val="21"/>
        </w:rPr>
      </w:pPr>
      <w:r>
        <w:rPr>
          <w:szCs w:val="21"/>
        </w:rPr>
        <w:t>以1 m</w:t>
      </w:r>
      <w:r>
        <w:rPr>
          <w:szCs w:val="21"/>
          <w:vertAlign w:val="superscript"/>
        </w:rPr>
        <w:t>2</w:t>
      </w:r>
      <w:r>
        <w:rPr>
          <w:rFonts w:hint="eastAsia"/>
          <w:szCs w:val="21"/>
        </w:rPr>
        <w:t>钢化</w:t>
      </w:r>
      <w:r>
        <w:rPr>
          <w:szCs w:val="21"/>
        </w:rPr>
        <w:t>玻璃产品</w:t>
      </w:r>
      <w:r>
        <w:rPr>
          <w:rFonts w:hint="eastAsia"/>
          <w:szCs w:val="21"/>
        </w:rPr>
        <w:t>/</w:t>
      </w:r>
      <w:r>
        <w:rPr>
          <w:szCs w:val="21"/>
        </w:rPr>
        <w:t>1 m</w:t>
      </w:r>
      <w:r>
        <w:rPr>
          <w:szCs w:val="21"/>
          <w:vertAlign w:val="superscript"/>
        </w:rPr>
        <w:t>2</w:t>
      </w:r>
      <w:r>
        <w:rPr>
          <w:rFonts w:hint="eastAsia"/>
          <w:szCs w:val="21"/>
        </w:rPr>
        <w:t>夹层玻璃产品/</w:t>
      </w:r>
      <w:r>
        <w:rPr>
          <w:szCs w:val="21"/>
        </w:rPr>
        <w:t>1 m</w:t>
      </w:r>
      <w:r>
        <w:rPr>
          <w:szCs w:val="21"/>
          <w:vertAlign w:val="superscript"/>
        </w:rPr>
        <w:t>2</w:t>
      </w:r>
      <w:r>
        <w:rPr>
          <w:rFonts w:hint="eastAsia"/>
          <w:szCs w:val="21"/>
        </w:rPr>
        <w:t>中空玻璃产品/</w:t>
      </w:r>
      <w:r>
        <w:rPr>
          <w:szCs w:val="21"/>
        </w:rPr>
        <w:t>1 m</w:t>
      </w:r>
      <w:r>
        <w:rPr>
          <w:szCs w:val="21"/>
          <w:vertAlign w:val="superscript"/>
        </w:rPr>
        <w:t>2</w:t>
      </w:r>
      <w:r>
        <w:rPr>
          <w:rFonts w:hint="eastAsia"/>
          <w:szCs w:val="21"/>
        </w:rPr>
        <w:t>光伏玻璃产品</w:t>
      </w:r>
      <w:r>
        <w:rPr>
          <w:szCs w:val="21"/>
        </w:rPr>
        <w:t>为</w:t>
      </w:r>
      <w:r>
        <w:rPr>
          <w:rFonts w:hint="eastAsia"/>
        </w:rPr>
        <w:t>声明</w:t>
      </w:r>
      <w:r>
        <w:rPr>
          <w:szCs w:val="21"/>
        </w:rPr>
        <w:t>单位。</w:t>
      </w:r>
    </w:p>
    <w:p>
      <w:pPr>
        <w:spacing w:line="380" w:lineRule="exact"/>
        <w:ind w:firstLine="424"/>
        <w:rPr>
          <w:szCs w:val="21"/>
        </w:rPr>
      </w:pPr>
    </w:p>
    <w:p>
      <w:pPr>
        <w:keepNext/>
        <w:keepLines/>
        <w:tabs>
          <w:tab w:val="left" w:pos="532"/>
          <w:tab w:val="left" w:pos="872"/>
        </w:tabs>
        <w:spacing w:line="380" w:lineRule="exact"/>
        <w:rPr>
          <w:b/>
          <w:bCs/>
          <w:szCs w:val="21"/>
        </w:rPr>
      </w:pPr>
      <w:bookmarkStart w:id="116" w:name="_Toc173331002"/>
      <w:bookmarkStart w:id="117" w:name="_Toc17145"/>
      <w:bookmarkStart w:id="118" w:name="_Toc13027"/>
      <w:r>
        <w:rPr>
          <w:rFonts w:hint="eastAsia"/>
          <w:b/>
          <w:bCs/>
          <w:szCs w:val="21"/>
        </w:rPr>
        <w:t xml:space="preserve">2. </w:t>
      </w:r>
      <w:r>
        <w:rPr>
          <w:b/>
          <w:bCs/>
          <w:szCs w:val="21"/>
        </w:rPr>
        <w:t>系统边界</w:t>
      </w:r>
      <w:bookmarkEnd w:id="116"/>
      <w:bookmarkEnd w:id="117"/>
      <w:bookmarkEnd w:id="118"/>
    </w:p>
    <w:p>
      <w:pPr>
        <w:tabs>
          <w:tab w:val="left" w:pos="1800"/>
          <w:tab w:val="left" w:pos="3890"/>
          <w:tab w:val="left" w:pos="4944"/>
          <w:tab w:val="left" w:pos="6802"/>
        </w:tabs>
        <w:spacing w:line="380" w:lineRule="exact"/>
        <w:ind w:firstLine="420" w:firstLineChars="200"/>
        <w:rPr>
          <w:szCs w:val="21"/>
        </w:rPr>
      </w:pPr>
      <w:r>
        <w:rPr>
          <w:szCs w:val="21"/>
        </w:rPr>
        <w:t>对</w:t>
      </w:r>
      <w:r>
        <w:rPr>
          <w:szCs w:val="21"/>
          <w:u w:val="single"/>
        </w:rPr>
        <w:tab/>
      </w:r>
      <w:r>
        <w:rPr>
          <w:szCs w:val="21"/>
        </w:rPr>
        <w:t>碳足迹的计算涵盖了从原</w:t>
      </w:r>
      <w:r>
        <w:rPr>
          <w:rFonts w:hint="eastAsia"/>
          <w:szCs w:val="21"/>
        </w:rPr>
        <w:t>辅</w:t>
      </w:r>
      <w:r>
        <w:rPr>
          <w:szCs w:val="21"/>
        </w:rPr>
        <w:t>料获取到</w:t>
      </w:r>
      <w:r>
        <w:rPr>
          <w:rFonts w:hint="eastAsia"/>
          <w:szCs w:val="21"/>
        </w:rPr>
        <w:t>加工制造</w:t>
      </w:r>
      <w:r>
        <w:rPr>
          <w:szCs w:val="21"/>
        </w:rPr>
        <w:t>出厂此生命周期的各个阶段，属于从摇篮到大门模式，确定生命周期包括以下</w:t>
      </w:r>
      <w:r>
        <w:rPr>
          <w:szCs w:val="21"/>
          <w:u w:val="single"/>
        </w:rPr>
        <w:tab/>
      </w:r>
      <w:r>
        <w:rPr>
          <w:szCs w:val="21"/>
        </w:rPr>
        <w:t>个阶段：</w:t>
      </w:r>
    </w:p>
    <w:p>
      <w:pPr>
        <w:spacing w:line="380" w:lineRule="exact"/>
        <w:ind w:firstLine="424"/>
        <w:rPr>
          <w:szCs w:val="21"/>
        </w:rPr>
      </w:pPr>
      <w:r>
        <w:rPr>
          <w:szCs w:val="21"/>
        </w:rPr>
        <w:t>——原</w:t>
      </w:r>
      <w:r>
        <w:rPr>
          <w:rFonts w:hint="eastAsia"/>
          <w:szCs w:val="21"/>
        </w:rPr>
        <w:t>辅</w:t>
      </w:r>
      <w:r>
        <w:rPr>
          <w:szCs w:val="21"/>
        </w:rPr>
        <w:t>料获取</w:t>
      </w:r>
    </w:p>
    <w:p>
      <w:pPr>
        <w:spacing w:line="380" w:lineRule="exact"/>
        <w:ind w:firstLine="420"/>
        <w:rPr>
          <w:szCs w:val="21"/>
        </w:rPr>
      </w:pPr>
      <w:r>
        <w:rPr>
          <w:spacing w:val="-1"/>
          <w:szCs w:val="21"/>
        </w:rPr>
        <w:t>——原</w:t>
      </w:r>
      <w:r>
        <w:rPr>
          <w:rFonts w:hint="eastAsia"/>
          <w:spacing w:val="-1"/>
          <w:szCs w:val="21"/>
        </w:rPr>
        <w:t>辅</w:t>
      </w:r>
      <w:r>
        <w:rPr>
          <w:spacing w:val="-1"/>
          <w:szCs w:val="21"/>
        </w:rPr>
        <w:t>料</w:t>
      </w:r>
      <w:r>
        <w:rPr>
          <w:rFonts w:hint="eastAsia"/>
          <w:spacing w:val="-1"/>
          <w:szCs w:val="21"/>
        </w:rPr>
        <w:t>与能源</w:t>
      </w:r>
      <w:r>
        <w:rPr>
          <w:spacing w:val="-1"/>
          <w:szCs w:val="21"/>
        </w:rPr>
        <w:t>运输</w:t>
      </w:r>
    </w:p>
    <w:p>
      <w:pPr>
        <w:spacing w:line="380" w:lineRule="exact"/>
        <w:ind w:firstLine="420"/>
        <w:rPr>
          <w:szCs w:val="21"/>
        </w:rPr>
      </w:pPr>
      <w:r>
        <w:rPr>
          <w:spacing w:val="-1"/>
          <w:szCs w:val="21"/>
        </w:rPr>
        <w:t>——</w:t>
      </w:r>
      <w:r>
        <w:rPr>
          <w:rFonts w:hint="eastAsia"/>
          <w:spacing w:val="-1"/>
          <w:szCs w:val="21"/>
        </w:rPr>
        <w:t>加工制造</w:t>
      </w:r>
    </w:p>
    <w:p>
      <w:pPr>
        <w:tabs>
          <w:tab w:val="left" w:pos="2109"/>
        </w:tabs>
        <w:spacing w:line="380" w:lineRule="exact"/>
        <w:ind w:firstLine="424"/>
        <w:rPr>
          <w:szCs w:val="21"/>
        </w:rPr>
      </w:pPr>
      <w:r>
        <w:rPr>
          <w:szCs w:val="21"/>
        </w:rPr>
        <w:t>据此建立</w:t>
      </w:r>
      <w:r>
        <w:rPr>
          <w:szCs w:val="21"/>
          <w:u w:val="single"/>
        </w:rPr>
        <w:tab/>
      </w:r>
      <w:r>
        <w:rPr>
          <w:szCs w:val="21"/>
        </w:rPr>
        <w:t>系统边界图，如</w:t>
      </w:r>
      <w:r>
        <w:rPr>
          <w:spacing w:val="50"/>
          <w:szCs w:val="21"/>
        </w:rPr>
        <w:t>图</w:t>
      </w:r>
      <w:r>
        <w:rPr>
          <w:rFonts w:hint="eastAsia"/>
          <w:szCs w:val="21"/>
        </w:rPr>
        <w:t>D</w:t>
      </w:r>
      <w:r>
        <w:rPr>
          <w:szCs w:val="21"/>
        </w:rPr>
        <w:t>.1：</w:t>
      </w:r>
    </w:p>
    <w:p>
      <w:pPr>
        <w:spacing w:line="380" w:lineRule="exact"/>
        <w:rPr>
          <w:szCs w:val="21"/>
        </w:rPr>
      </w:pPr>
    </w:p>
    <w:p>
      <w:pPr>
        <w:tabs>
          <w:tab w:val="left" w:pos="835"/>
          <w:tab w:val="left" w:pos="1572"/>
        </w:tabs>
        <w:spacing w:line="380" w:lineRule="exact"/>
        <w:ind w:firstLine="424"/>
        <w:jc w:val="center"/>
        <w:rPr>
          <w:szCs w:val="21"/>
        </w:rPr>
      </w:pPr>
      <w:r>
        <w:rPr>
          <w:szCs w:val="21"/>
        </w:rPr>
        <w:t>图</w:t>
      </w:r>
      <w:r>
        <w:rPr>
          <w:rFonts w:hint="eastAsia"/>
          <w:szCs w:val="21"/>
        </w:rPr>
        <w:t>D</w:t>
      </w:r>
      <w:r>
        <w:rPr>
          <w:szCs w:val="21"/>
        </w:rPr>
        <w:t>.1</w:t>
      </w:r>
      <w:r>
        <w:rPr>
          <w:rFonts w:hint="eastAsia"/>
          <w:szCs w:val="21"/>
        </w:rPr>
        <w:t xml:space="preserve"> 产品碳足迹量化</w:t>
      </w:r>
      <w:r>
        <w:rPr>
          <w:szCs w:val="21"/>
        </w:rPr>
        <w:t>系统边界图</w:t>
      </w:r>
    </w:p>
    <w:p>
      <w:pPr>
        <w:tabs>
          <w:tab w:val="left" w:pos="835"/>
          <w:tab w:val="left" w:pos="1572"/>
        </w:tabs>
        <w:spacing w:line="380" w:lineRule="exact"/>
        <w:ind w:firstLine="424"/>
        <w:jc w:val="center"/>
        <w:rPr>
          <w:szCs w:val="21"/>
        </w:rPr>
      </w:pPr>
    </w:p>
    <w:p>
      <w:pPr>
        <w:keepNext/>
        <w:keepLines/>
        <w:tabs>
          <w:tab w:val="left" w:pos="532"/>
          <w:tab w:val="left" w:pos="872"/>
        </w:tabs>
        <w:spacing w:line="380" w:lineRule="exact"/>
        <w:rPr>
          <w:b/>
          <w:bCs/>
          <w:szCs w:val="21"/>
        </w:rPr>
      </w:pPr>
      <w:bookmarkStart w:id="119" w:name="_Toc5810"/>
      <w:bookmarkStart w:id="120" w:name="_Toc173331003"/>
      <w:bookmarkStart w:id="121" w:name="_Toc19751"/>
      <w:r>
        <w:rPr>
          <w:rFonts w:hint="eastAsia"/>
          <w:b/>
          <w:bCs/>
          <w:szCs w:val="21"/>
        </w:rPr>
        <w:t xml:space="preserve">3. </w:t>
      </w:r>
      <w:r>
        <w:rPr>
          <w:b/>
          <w:bCs/>
          <w:szCs w:val="21"/>
        </w:rPr>
        <w:t>取舍准则</w:t>
      </w:r>
      <w:bookmarkEnd w:id="119"/>
      <w:bookmarkEnd w:id="120"/>
      <w:bookmarkEnd w:id="121"/>
    </w:p>
    <w:p>
      <w:pPr>
        <w:tabs>
          <w:tab w:val="left" w:pos="5151"/>
        </w:tabs>
        <w:spacing w:line="380" w:lineRule="exact"/>
        <w:ind w:firstLine="420" w:firstLineChars="200"/>
        <w:rPr>
          <w:szCs w:val="21"/>
        </w:rPr>
      </w:pPr>
      <w:r>
        <w:rPr>
          <w:szCs w:val="21"/>
        </w:rPr>
        <w:t>采用的取舍准则以</w:t>
      </w:r>
      <w:r>
        <w:rPr>
          <w:szCs w:val="21"/>
          <w:u w:val="single"/>
        </w:rPr>
        <w:t xml:space="preserve"> </w:t>
      </w:r>
      <w:r>
        <w:rPr>
          <w:spacing w:val="-1"/>
          <w:szCs w:val="21"/>
          <w:u w:val="single"/>
        </w:rPr>
        <w:t xml:space="preserve">           </w:t>
      </w:r>
      <w:r>
        <w:rPr>
          <w:spacing w:val="-1"/>
          <w:szCs w:val="21"/>
        </w:rPr>
        <w:t>为依</w:t>
      </w:r>
      <w:r>
        <w:rPr>
          <w:szCs w:val="21"/>
        </w:rPr>
        <w:t>据，具体规则如下：</w:t>
      </w:r>
    </w:p>
    <w:p>
      <w:pPr>
        <w:tabs>
          <w:tab w:val="left" w:pos="5151"/>
        </w:tabs>
        <w:spacing w:line="380" w:lineRule="exact"/>
        <w:ind w:firstLine="420" w:firstLineChars="200"/>
        <w:rPr>
          <w:szCs w:val="21"/>
        </w:rPr>
      </w:pPr>
    </w:p>
    <w:p>
      <w:pPr>
        <w:keepNext/>
        <w:keepLines/>
        <w:tabs>
          <w:tab w:val="left" w:pos="532"/>
          <w:tab w:val="left" w:pos="872"/>
        </w:tabs>
        <w:spacing w:line="380" w:lineRule="exact"/>
        <w:rPr>
          <w:b/>
          <w:bCs/>
          <w:szCs w:val="21"/>
        </w:rPr>
      </w:pPr>
      <w:bookmarkStart w:id="122" w:name="_Toc173331004"/>
      <w:bookmarkStart w:id="123" w:name="_Toc25244"/>
      <w:bookmarkStart w:id="124" w:name="_Toc7140"/>
      <w:r>
        <w:rPr>
          <w:rFonts w:hint="eastAsia"/>
          <w:b/>
          <w:bCs/>
          <w:szCs w:val="21"/>
        </w:rPr>
        <w:t xml:space="preserve">4. </w:t>
      </w:r>
      <w:r>
        <w:rPr>
          <w:b/>
          <w:bCs/>
          <w:szCs w:val="21"/>
        </w:rPr>
        <w:t>时间范围</w:t>
      </w:r>
      <w:bookmarkEnd w:id="122"/>
      <w:bookmarkEnd w:id="123"/>
      <w:bookmarkEnd w:id="124"/>
    </w:p>
    <w:p>
      <w:pPr>
        <w:spacing w:line="380" w:lineRule="exact"/>
        <w:ind w:firstLine="630" w:firstLineChars="300"/>
        <w:rPr>
          <w:szCs w:val="21"/>
        </w:rPr>
      </w:pPr>
      <w:r>
        <w:rPr>
          <w:szCs w:val="21"/>
          <w:u w:val="single"/>
        </w:rPr>
        <w:t xml:space="preserve"> </w:t>
      </w:r>
      <w:r>
        <w:rPr>
          <w:spacing w:val="-1"/>
          <w:szCs w:val="21"/>
          <w:u w:val="single"/>
        </w:rPr>
        <w:t xml:space="preserve">           </w:t>
      </w:r>
      <w:r>
        <w:rPr>
          <w:szCs w:val="21"/>
        </w:rPr>
        <w:t>年度</w:t>
      </w:r>
      <w:r>
        <w:rPr>
          <w:rFonts w:hint="eastAsia"/>
          <w:szCs w:val="21"/>
        </w:rPr>
        <w:t>。</w:t>
      </w:r>
    </w:p>
    <w:p>
      <w:pPr>
        <w:spacing w:line="380" w:lineRule="exact"/>
        <w:ind w:firstLine="630" w:firstLineChars="300"/>
        <w:rPr>
          <w:szCs w:val="21"/>
        </w:rPr>
      </w:pPr>
    </w:p>
    <w:p>
      <w:pPr>
        <w:pStyle w:val="146"/>
        <w:keepNext/>
        <w:keepLines/>
        <w:numPr>
          <w:ilvl w:val="0"/>
          <w:numId w:val="29"/>
        </w:numPr>
        <w:tabs>
          <w:tab w:val="left" w:pos="504"/>
          <w:tab w:val="left" w:pos="632"/>
        </w:tabs>
        <w:spacing w:line="380" w:lineRule="exact"/>
        <w:ind w:left="442" w:hanging="442"/>
        <w:rPr>
          <w:b/>
          <w:bCs/>
          <w:szCs w:val="21"/>
        </w:rPr>
      </w:pPr>
      <w:bookmarkStart w:id="125" w:name="_Toc27198"/>
      <w:bookmarkStart w:id="126" w:name="_Toc173331005"/>
      <w:bookmarkStart w:id="127" w:name="_Toc31179"/>
      <w:r>
        <w:rPr>
          <w:rFonts w:hint="eastAsia"/>
          <w:b/>
          <w:bCs/>
          <w:szCs w:val="21"/>
        </w:rPr>
        <w:t>清单分析</w:t>
      </w:r>
      <w:bookmarkEnd w:id="125"/>
      <w:bookmarkEnd w:id="126"/>
      <w:bookmarkEnd w:id="127"/>
    </w:p>
    <w:p>
      <w:pPr>
        <w:tabs>
          <w:tab w:val="left" w:pos="872"/>
        </w:tabs>
        <w:autoSpaceDE w:val="0"/>
        <w:autoSpaceDN w:val="0"/>
        <w:spacing w:line="380" w:lineRule="exact"/>
        <w:jc w:val="left"/>
        <w:rPr>
          <w:b/>
          <w:bCs/>
          <w:szCs w:val="21"/>
        </w:rPr>
      </w:pPr>
      <w:r>
        <w:rPr>
          <w:b/>
          <w:bCs/>
          <w:szCs w:val="21"/>
        </w:rPr>
        <w:t xml:space="preserve">1. </w:t>
      </w:r>
      <w:r>
        <w:rPr>
          <w:rFonts w:hint="eastAsia"/>
          <w:b/>
          <w:bCs/>
          <w:szCs w:val="21"/>
        </w:rPr>
        <w:t>数据来源说明</w:t>
      </w:r>
    </w:p>
    <w:p>
      <w:pPr>
        <w:tabs>
          <w:tab w:val="left" w:pos="2220"/>
        </w:tabs>
        <w:spacing w:line="380" w:lineRule="exact"/>
        <w:rPr>
          <w:spacing w:val="-3"/>
          <w:szCs w:val="21"/>
        </w:rPr>
      </w:pPr>
      <w:r>
        <w:rPr>
          <w:szCs w:val="21"/>
        </w:rPr>
        <w:t>清单</w:t>
      </w:r>
      <w:r>
        <w:rPr>
          <w:spacing w:val="-3"/>
          <w:szCs w:val="21"/>
        </w:rPr>
        <w:t>数</w:t>
      </w:r>
      <w:r>
        <w:rPr>
          <w:szCs w:val="21"/>
        </w:rPr>
        <w:t>据：</w:t>
      </w:r>
      <w:r>
        <w:rPr>
          <w:szCs w:val="21"/>
          <w:u w:val="single"/>
        </w:rPr>
        <w:tab/>
      </w:r>
      <w:r>
        <w:rPr>
          <w:szCs w:val="21"/>
        </w:rPr>
        <w:t>；</w:t>
      </w:r>
      <w:r>
        <w:rPr>
          <w:spacing w:val="-3"/>
          <w:szCs w:val="21"/>
        </w:rPr>
        <w:t>（</w:t>
      </w:r>
      <w:r>
        <w:rPr>
          <w:szCs w:val="21"/>
        </w:rPr>
        <w:t>具体</w:t>
      </w:r>
      <w:r>
        <w:rPr>
          <w:spacing w:val="-3"/>
          <w:szCs w:val="21"/>
        </w:rPr>
        <w:t>数</w:t>
      </w:r>
      <w:r>
        <w:rPr>
          <w:szCs w:val="21"/>
        </w:rPr>
        <w:t>据</w:t>
      </w:r>
      <w:r>
        <w:rPr>
          <w:spacing w:val="-3"/>
          <w:szCs w:val="21"/>
        </w:rPr>
        <w:t>情</w:t>
      </w:r>
      <w:r>
        <w:rPr>
          <w:szCs w:val="21"/>
        </w:rPr>
        <w:t>况</w:t>
      </w:r>
      <w:r>
        <w:rPr>
          <w:spacing w:val="-3"/>
          <w:szCs w:val="21"/>
        </w:rPr>
        <w:t>见</w:t>
      </w:r>
      <w:r>
        <w:rPr>
          <w:rFonts w:hint="eastAsia"/>
          <w:spacing w:val="-3"/>
          <w:szCs w:val="21"/>
        </w:rPr>
        <w:t>表D.1）</w:t>
      </w:r>
    </w:p>
    <w:p>
      <w:pPr>
        <w:tabs>
          <w:tab w:val="left" w:pos="2636"/>
        </w:tabs>
        <w:spacing w:line="380" w:lineRule="exact"/>
        <w:rPr>
          <w:szCs w:val="21"/>
        </w:rPr>
      </w:pPr>
      <w:r>
        <w:rPr>
          <w:szCs w:val="21"/>
        </w:rPr>
        <w:t>排放因子：</w:t>
      </w:r>
      <w:r>
        <w:rPr>
          <w:szCs w:val="21"/>
          <w:u w:val="single"/>
        </w:rPr>
        <w:tab/>
      </w:r>
      <w:r>
        <w:rPr>
          <w:szCs w:val="21"/>
        </w:rPr>
        <w:t>；</w:t>
      </w:r>
    </w:p>
    <w:p>
      <w:pPr>
        <w:tabs>
          <w:tab w:val="left" w:pos="3053"/>
        </w:tabs>
        <w:spacing w:line="380" w:lineRule="exact"/>
        <w:rPr>
          <w:szCs w:val="21"/>
        </w:rPr>
      </w:pPr>
      <w:r>
        <w:rPr>
          <w:szCs w:val="21"/>
        </w:rPr>
        <w:t>软件与数据库：</w:t>
      </w:r>
      <w:r>
        <w:rPr>
          <w:szCs w:val="21"/>
          <w:u w:val="single"/>
        </w:rPr>
        <w:tab/>
      </w:r>
      <w:r>
        <w:rPr>
          <w:szCs w:val="21"/>
        </w:rPr>
        <w:t>；</w:t>
      </w:r>
    </w:p>
    <w:p>
      <w:pPr>
        <w:tabs>
          <w:tab w:val="left" w:pos="835"/>
          <w:tab w:val="left" w:pos="1466"/>
        </w:tabs>
        <w:spacing w:line="380" w:lineRule="exact"/>
        <w:jc w:val="center"/>
        <w:rPr>
          <w:szCs w:val="21"/>
        </w:rPr>
      </w:pPr>
      <w:r>
        <w:rPr>
          <w:szCs w:val="21"/>
        </w:rPr>
        <w:t>表</w:t>
      </w:r>
      <w:r>
        <w:rPr>
          <w:rFonts w:hint="eastAsia"/>
          <w:szCs w:val="21"/>
        </w:rPr>
        <w:t>D</w:t>
      </w:r>
      <w:r>
        <w:rPr>
          <w:szCs w:val="21"/>
        </w:rPr>
        <w:t>.1</w:t>
      </w:r>
      <w:r>
        <w:rPr>
          <w:szCs w:val="21"/>
        </w:rPr>
        <w:tab/>
      </w:r>
      <w:r>
        <w:rPr>
          <w:szCs w:val="21"/>
          <w:u w:val="single"/>
        </w:rPr>
        <w:t xml:space="preserve"> </w:t>
      </w:r>
      <w:r>
        <w:rPr>
          <w:szCs w:val="21"/>
          <w:u w:val="single"/>
        </w:rPr>
        <w:tab/>
      </w:r>
      <w:r>
        <w:rPr>
          <w:szCs w:val="21"/>
        </w:rPr>
        <w:t>生命周期碳排放清单数据表</w:t>
      </w:r>
    </w:p>
    <w:tbl>
      <w:tblPr>
        <w:tblStyle w:val="38"/>
        <w:tblW w:w="500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00"/>
        <w:gridCol w:w="1624"/>
        <w:gridCol w:w="1563"/>
        <w:gridCol w:w="1421"/>
        <w:gridCol w:w="1401"/>
        <w:gridCol w:w="1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832"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清单数据名称</w:t>
            </w:r>
          </w:p>
        </w:tc>
        <w:tc>
          <w:tcPr>
            <w:tcW w:w="901"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数量</w:t>
            </w:r>
          </w:p>
        </w:tc>
        <w:tc>
          <w:tcPr>
            <w:tcW w:w="867"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单位</w:t>
            </w:r>
          </w:p>
        </w:tc>
        <w:tc>
          <w:tcPr>
            <w:tcW w:w="788"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排放/清除原因</w:t>
            </w:r>
          </w:p>
        </w:tc>
        <w:tc>
          <w:tcPr>
            <w:tcW w:w="777"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数据类型</w:t>
            </w:r>
          </w:p>
        </w:tc>
        <w:tc>
          <w:tcPr>
            <w:tcW w:w="832"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数据来源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832" w:type="pct"/>
            <w:shd w:val="clear" w:color="auto" w:fill="auto"/>
            <w:vAlign w:val="center"/>
          </w:tcPr>
          <w:p>
            <w:pPr>
              <w:autoSpaceDE w:val="0"/>
              <w:autoSpaceDN w:val="0"/>
              <w:spacing w:line="380" w:lineRule="exact"/>
              <w:jc w:val="center"/>
              <w:rPr>
                <w:kern w:val="0"/>
                <w:szCs w:val="21"/>
                <w:lang w:val="ca-ES" w:eastAsia="en-US"/>
              </w:rPr>
            </w:pPr>
          </w:p>
        </w:tc>
        <w:tc>
          <w:tcPr>
            <w:tcW w:w="901" w:type="pct"/>
            <w:shd w:val="clear" w:color="auto" w:fill="auto"/>
            <w:vAlign w:val="center"/>
          </w:tcPr>
          <w:p>
            <w:pPr>
              <w:autoSpaceDE w:val="0"/>
              <w:autoSpaceDN w:val="0"/>
              <w:spacing w:line="380" w:lineRule="exact"/>
              <w:jc w:val="center"/>
              <w:rPr>
                <w:kern w:val="0"/>
                <w:szCs w:val="21"/>
                <w:lang w:val="ca-ES" w:eastAsia="en-US"/>
              </w:rPr>
            </w:pPr>
          </w:p>
        </w:tc>
        <w:tc>
          <w:tcPr>
            <w:tcW w:w="867" w:type="pct"/>
            <w:shd w:val="clear" w:color="auto" w:fill="auto"/>
            <w:vAlign w:val="center"/>
          </w:tcPr>
          <w:p>
            <w:pPr>
              <w:autoSpaceDE w:val="0"/>
              <w:autoSpaceDN w:val="0"/>
              <w:spacing w:line="380" w:lineRule="exact"/>
              <w:jc w:val="center"/>
              <w:rPr>
                <w:kern w:val="0"/>
                <w:szCs w:val="21"/>
                <w:lang w:val="ca-ES" w:eastAsia="en-US"/>
              </w:rPr>
            </w:pPr>
          </w:p>
        </w:tc>
        <w:tc>
          <w:tcPr>
            <w:tcW w:w="788" w:type="pct"/>
            <w:shd w:val="clear" w:color="auto" w:fill="auto"/>
            <w:vAlign w:val="center"/>
          </w:tcPr>
          <w:p>
            <w:pPr>
              <w:autoSpaceDE w:val="0"/>
              <w:autoSpaceDN w:val="0"/>
              <w:spacing w:line="380" w:lineRule="exact"/>
              <w:jc w:val="center"/>
              <w:rPr>
                <w:kern w:val="0"/>
                <w:szCs w:val="21"/>
                <w:lang w:val="ca-ES" w:eastAsia="en-US"/>
              </w:rPr>
            </w:pPr>
          </w:p>
        </w:tc>
        <w:tc>
          <w:tcPr>
            <w:tcW w:w="777" w:type="pct"/>
            <w:shd w:val="clear" w:color="auto" w:fill="auto"/>
            <w:vAlign w:val="center"/>
          </w:tcPr>
          <w:p>
            <w:pPr>
              <w:autoSpaceDE w:val="0"/>
              <w:autoSpaceDN w:val="0"/>
              <w:spacing w:line="380" w:lineRule="exact"/>
              <w:jc w:val="center"/>
              <w:rPr>
                <w:kern w:val="0"/>
                <w:szCs w:val="21"/>
                <w:lang w:val="ca-ES" w:eastAsia="en-US"/>
              </w:rPr>
            </w:pPr>
          </w:p>
        </w:tc>
        <w:tc>
          <w:tcPr>
            <w:tcW w:w="832"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832" w:type="pct"/>
            <w:shd w:val="clear" w:color="auto" w:fill="auto"/>
            <w:vAlign w:val="center"/>
          </w:tcPr>
          <w:p>
            <w:pPr>
              <w:autoSpaceDE w:val="0"/>
              <w:autoSpaceDN w:val="0"/>
              <w:spacing w:line="380" w:lineRule="exact"/>
              <w:jc w:val="center"/>
              <w:rPr>
                <w:kern w:val="0"/>
                <w:szCs w:val="21"/>
                <w:lang w:val="ca-ES" w:eastAsia="en-US"/>
              </w:rPr>
            </w:pPr>
          </w:p>
        </w:tc>
        <w:tc>
          <w:tcPr>
            <w:tcW w:w="901" w:type="pct"/>
            <w:shd w:val="clear" w:color="auto" w:fill="auto"/>
            <w:vAlign w:val="center"/>
          </w:tcPr>
          <w:p>
            <w:pPr>
              <w:autoSpaceDE w:val="0"/>
              <w:autoSpaceDN w:val="0"/>
              <w:spacing w:line="380" w:lineRule="exact"/>
              <w:jc w:val="center"/>
              <w:rPr>
                <w:kern w:val="0"/>
                <w:szCs w:val="21"/>
                <w:lang w:val="ca-ES" w:eastAsia="en-US"/>
              </w:rPr>
            </w:pPr>
          </w:p>
        </w:tc>
        <w:tc>
          <w:tcPr>
            <w:tcW w:w="867" w:type="pct"/>
            <w:shd w:val="clear" w:color="auto" w:fill="auto"/>
            <w:vAlign w:val="center"/>
          </w:tcPr>
          <w:p>
            <w:pPr>
              <w:autoSpaceDE w:val="0"/>
              <w:autoSpaceDN w:val="0"/>
              <w:spacing w:line="380" w:lineRule="exact"/>
              <w:jc w:val="center"/>
              <w:rPr>
                <w:kern w:val="0"/>
                <w:szCs w:val="21"/>
                <w:lang w:val="ca-ES" w:eastAsia="en-US"/>
              </w:rPr>
            </w:pPr>
          </w:p>
        </w:tc>
        <w:tc>
          <w:tcPr>
            <w:tcW w:w="788" w:type="pct"/>
            <w:shd w:val="clear" w:color="auto" w:fill="auto"/>
            <w:vAlign w:val="center"/>
          </w:tcPr>
          <w:p>
            <w:pPr>
              <w:autoSpaceDE w:val="0"/>
              <w:autoSpaceDN w:val="0"/>
              <w:spacing w:line="380" w:lineRule="exact"/>
              <w:jc w:val="center"/>
              <w:rPr>
                <w:kern w:val="0"/>
                <w:szCs w:val="21"/>
                <w:lang w:val="ca-ES" w:eastAsia="en-US"/>
              </w:rPr>
            </w:pPr>
          </w:p>
        </w:tc>
        <w:tc>
          <w:tcPr>
            <w:tcW w:w="777" w:type="pct"/>
            <w:shd w:val="clear" w:color="auto" w:fill="auto"/>
            <w:vAlign w:val="center"/>
          </w:tcPr>
          <w:p>
            <w:pPr>
              <w:autoSpaceDE w:val="0"/>
              <w:autoSpaceDN w:val="0"/>
              <w:spacing w:line="380" w:lineRule="exact"/>
              <w:jc w:val="center"/>
              <w:rPr>
                <w:kern w:val="0"/>
                <w:szCs w:val="21"/>
                <w:lang w:val="ca-ES" w:eastAsia="en-US"/>
              </w:rPr>
            </w:pPr>
          </w:p>
        </w:tc>
        <w:tc>
          <w:tcPr>
            <w:tcW w:w="832" w:type="pct"/>
            <w:shd w:val="clear" w:color="auto" w:fill="auto"/>
            <w:vAlign w:val="center"/>
          </w:tcPr>
          <w:p>
            <w:pPr>
              <w:autoSpaceDE w:val="0"/>
              <w:autoSpaceDN w:val="0"/>
              <w:spacing w:line="380" w:lineRule="exact"/>
              <w:jc w:val="center"/>
              <w:rPr>
                <w:kern w:val="0"/>
                <w:szCs w:val="21"/>
                <w:lang w:val="ca-ES" w:eastAsia="en-US"/>
              </w:rPr>
            </w:pPr>
          </w:p>
        </w:tc>
      </w:tr>
    </w:tbl>
    <w:p>
      <w:pPr>
        <w:spacing w:line="380" w:lineRule="exact"/>
        <w:ind w:firstLine="426"/>
        <w:rPr>
          <w:b/>
          <w:bCs/>
          <w:szCs w:val="21"/>
        </w:rPr>
      </w:pPr>
    </w:p>
    <w:p>
      <w:pPr>
        <w:tabs>
          <w:tab w:val="left" w:pos="872"/>
        </w:tabs>
        <w:autoSpaceDE w:val="0"/>
        <w:autoSpaceDN w:val="0"/>
        <w:spacing w:line="380" w:lineRule="exact"/>
        <w:jc w:val="left"/>
        <w:rPr>
          <w:b/>
          <w:bCs/>
          <w:szCs w:val="21"/>
        </w:rPr>
      </w:pPr>
      <w:r>
        <w:rPr>
          <w:rFonts w:hint="eastAsia"/>
          <w:b/>
          <w:bCs/>
          <w:szCs w:val="21"/>
        </w:rPr>
        <w:t>2. 分配原则与程序</w:t>
      </w:r>
    </w:p>
    <w:p>
      <w:pPr>
        <w:tabs>
          <w:tab w:val="left" w:pos="872"/>
          <w:tab w:val="left" w:pos="2636"/>
        </w:tabs>
        <w:autoSpaceDE w:val="0"/>
        <w:autoSpaceDN w:val="0"/>
        <w:spacing w:line="380" w:lineRule="exact"/>
        <w:jc w:val="left"/>
        <w:rPr>
          <w:spacing w:val="-1"/>
          <w:szCs w:val="21"/>
        </w:rPr>
      </w:pPr>
      <w:r>
        <w:rPr>
          <w:szCs w:val="21"/>
        </w:rPr>
        <w:t>分配依据：</w:t>
      </w:r>
      <w:r>
        <w:rPr>
          <w:szCs w:val="21"/>
          <w:u w:val="single"/>
        </w:rPr>
        <w:tab/>
      </w:r>
      <w:r>
        <w:rPr>
          <w:spacing w:val="-1"/>
          <w:szCs w:val="21"/>
        </w:rPr>
        <w:t>；</w:t>
      </w:r>
    </w:p>
    <w:p>
      <w:pPr>
        <w:tabs>
          <w:tab w:val="left" w:pos="872"/>
          <w:tab w:val="left" w:pos="2636"/>
        </w:tabs>
        <w:autoSpaceDE w:val="0"/>
        <w:autoSpaceDN w:val="0"/>
        <w:spacing w:line="380" w:lineRule="exact"/>
        <w:jc w:val="left"/>
        <w:rPr>
          <w:spacing w:val="-102"/>
          <w:szCs w:val="21"/>
        </w:rPr>
      </w:pPr>
      <w:r>
        <w:rPr>
          <w:spacing w:val="-102"/>
          <w:szCs w:val="21"/>
        </w:rPr>
        <w:t xml:space="preserve"> </w:t>
      </w:r>
      <w:r>
        <w:rPr>
          <w:szCs w:val="21"/>
        </w:rPr>
        <w:t>分配程序：</w:t>
      </w:r>
      <w:r>
        <w:rPr>
          <w:szCs w:val="21"/>
          <w:u w:val="single"/>
        </w:rPr>
        <w:tab/>
      </w:r>
      <w:r>
        <w:rPr>
          <w:spacing w:val="-1"/>
          <w:szCs w:val="21"/>
        </w:rPr>
        <w:t>；</w:t>
      </w:r>
      <w:r>
        <w:rPr>
          <w:spacing w:val="-102"/>
          <w:szCs w:val="21"/>
        </w:rPr>
        <w:t xml:space="preserve"> </w:t>
      </w:r>
    </w:p>
    <w:p>
      <w:pPr>
        <w:tabs>
          <w:tab w:val="left" w:pos="872"/>
          <w:tab w:val="left" w:pos="2636"/>
        </w:tabs>
        <w:autoSpaceDE w:val="0"/>
        <w:autoSpaceDN w:val="0"/>
        <w:spacing w:line="380" w:lineRule="exact"/>
        <w:ind w:firstLine="420" w:firstLineChars="200"/>
        <w:jc w:val="left"/>
        <w:rPr>
          <w:szCs w:val="21"/>
        </w:rPr>
      </w:pPr>
      <w:r>
        <w:rPr>
          <w:szCs w:val="21"/>
        </w:rPr>
        <w:t>具体分配情况如下：</w:t>
      </w:r>
    </w:p>
    <w:p>
      <w:pPr>
        <w:tabs>
          <w:tab w:val="left" w:pos="872"/>
          <w:tab w:val="left" w:pos="2636"/>
        </w:tabs>
        <w:autoSpaceDE w:val="0"/>
        <w:autoSpaceDN w:val="0"/>
        <w:spacing w:line="380" w:lineRule="exact"/>
        <w:jc w:val="left"/>
        <w:rPr>
          <w:szCs w:val="21"/>
        </w:rPr>
      </w:pPr>
    </w:p>
    <w:p>
      <w:pPr>
        <w:keepNext/>
        <w:keepLines/>
        <w:spacing w:line="380" w:lineRule="exact"/>
        <w:rPr>
          <w:b/>
          <w:bCs/>
          <w:szCs w:val="21"/>
        </w:rPr>
      </w:pPr>
      <w:r>
        <w:rPr>
          <w:rFonts w:hint="eastAsia"/>
          <w:b/>
          <w:bCs/>
          <w:szCs w:val="21"/>
        </w:rPr>
        <w:t xml:space="preserve">3. </w:t>
      </w:r>
      <w:r>
        <w:rPr>
          <w:b/>
          <w:bCs/>
          <w:szCs w:val="21"/>
        </w:rPr>
        <w:t>清单</w:t>
      </w:r>
      <w:r>
        <w:rPr>
          <w:rFonts w:hint="eastAsia"/>
          <w:b/>
          <w:bCs/>
          <w:szCs w:val="21"/>
        </w:rPr>
        <w:t>结果</w:t>
      </w:r>
      <w:r>
        <w:rPr>
          <w:b/>
          <w:bCs/>
          <w:szCs w:val="21"/>
        </w:rPr>
        <w:t>及计算</w:t>
      </w:r>
    </w:p>
    <w:p>
      <w:pPr>
        <w:spacing w:line="380" w:lineRule="exact"/>
        <w:ind w:firstLine="432"/>
        <w:rPr>
          <w:szCs w:val="21"/>
        </w:rPr>
      </w:pPr>
      <w:r>
        <w:rPr>
          <w:spacing w:val="2"/>
          <w:szCs w:val="21"/>
        </w:rPr>
        <w:t>生命周期各个阶段碳排放计算说明见表</w:t>
      </w:r>
      <w:r>
        <w:rPr>
          <w:rFonts w:hint="eastAsia"/>
          <w:szCs w:val="21"/>
        </w:rPr>
        <w:t>D</w:t>
      </w:r>
      <w:r>
        <w:rPr>
          <w:szCs w:val="21"/>
        </w:rPr>
        <w:t>.2。</w:t>
      </w:r>
    </w:p>
    <w:p>
      <w:pPr>
        <w:tabs>
          <w:tab w:val="left" w:pos="835"/>
          <w:tab w:val="left" w:pos="1466"/>
        </w:tabs>
        <w:spacing w:line="380" w:lineRule="exact"/>
        <w:jc w:val="center"/>
        <w:rPr>
          <w:szCs w:val="21"/>
        </w:rPr>
      </w:pPr>
      <w:r>
        <w:rPr>
          <w:szCs w:val="21"/>
        </w:rPr>
        <w:t>表</w:t>
      </w:r>
      <w:r>
        <w:rPr>
          <w:rFonts w:hint="eastAsia"/>
          <w:szCs w:val="21"/>
        </w:rPr>
        <w:t>D</w:t>
      </w:r>
      <w:r>
        <w:rPr>
          <w:szCs w:val="21"/>
        </w:rPr>
        <w:t>.2</w:t>
      </w:r>
      <w:r>
        <w:rPr>
          <w:szCs w:val="21"/>
        </w:rPr>
        <w:tab/>
      </w:r>
      <w:r>
        <w:rPr>
          <w:szCs w:val="21"/>
        </w:rPr>
        <w:t>生命周期碳排放清单说明</w:t>
      </w:r>
    </w:p>
    <w:tbl>
      <w:tblPr>
        <w:tblStyle w:val="38"/>
        <w:tblW w:w="501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1"/>
        <w:gridCol w:w="2868"/>
        <w:gridCol w:w="2420"/>
        <w:gridCol w:w="2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26"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生命周期阶段</w:t>
            </w:r>
          </w:p>
        </w:tc>
        <w:tc>
          <w:tcPr>
            <w:tcW w:w="1590"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活动数据</w:t>
            </w:r>
          </w:p>
        </w:tc>
        <w:tc>
          <w:tcPr>
            <w:tcW w:w="1342"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排放因子</w:t>
            </w:r>
          </w:p>
        </w:tc>
        <w:tc>
          <w:tcPr>
            <w:tcW w:w="1341" w:type="pct"/>
            <w:shd w:val="clear" w:color="auto" w:fill="auto"/>
            <w:vAlign w:val="center"/>
          </w:tcPr>
          <w:p>
            <w:pPr>
              <w:autoSpaceDE w:val="0"/>
              <w:autoSpaceDN w:val="0"/>
              <w:spacing w:line="380" w:lineRule="exact"/>
              <w:jc w:val="center"/>
              <w:rPr>
                <w:kern w:val="0"/>
                <w:szCs w:val="21"/>
                <w:lang w:val="ca-ES"/>
              </w:rPr>
            </w:pPr>
            <w:r>
              <w:rPr>
                <w:rFonts w:hint="eastAsia"/>
                <w:kern w:val="0"/>
                <w:szCs w:val="21"/>
                <w:lang w:val="ca-ES"/>
              </w:rPr>
              <w:t>温室气体量</w:t>
            </w:r>
          </w:p>
          <w:p>
            <w:pPr>
              <w:autoSpaceDE w:val="0"/>
              <w:autoSpaceDN w:val="0"/>
              <w:spacing w:line="380" w:lineRule="exact"/>
              <w:jc w:val="center"/>
              <w:rPr>
                <w:kern w:val="0"/>
                <w:szCs w:val="21"/>
                <w:lang w:val="ca-ES" w:eastAsia="en-US"/>
              </w:rPr>
            </w:pPr>
            <w:r>
              <w:rPr>
                <w:kern w:val="0"/>
                <w:szCs w:val="21"/>
                <w:lang w:val="ca-ES" w:eastAsia="en-US"/>
              </w:rPr>
              <w:t>（kg</w:t>
            </w:r>
            <w:r>
              <w:rPr>
                <w:spacing w:val="-3"/>
                <w:kern w:val="0"/>
                <w:szCs w:val="21"/>
                <w:lang w:val="ca-ES" w:eastAsia="en-US"/>
              </w:rPr>
              <w:t xml:space="preserve"> </w:t>
            </w:r>
            <w:r>
              <w:rPr>
                <w:kern w:val="0"/>
                <w:szCs w:val="21"/>
                <w:lang w:val="ca-ES" w:eastAsia="en-US"/>
              </w:rPr>
              <w:t>CO</w:t>
            </w:r>
            <w:r>
              <w:rPr>
                <w:kern w:val="0"/>
                <w:szCs w:val="21"/>
                <w:vertAlign w:val="subscript"/>
                <w:lang w:val="ca-ES" w:eastAsia="en-US"/>
              </w:rPr>
              <w:t>2</w:t>
            </w:r>
            <w:r>
              <w:rPr>
                <w:kern w:val="0"/>
                <w:szCs w:val="21"/>
                <w:lang w:val="ca-ES" w:eastAsia="en-US"/>
              </w:rPr>
              <w:t>e/</w:t>
            </w:r>
            <w:r>
              <w:rPr>
                <w:kern w:val="0"/>
                <w:szCs w:val="21"/>
              </w:rPr>
              <w:t>m</w:t>
            </w:r>
            <w:r>
              <w:rPr>
                <w:kern w:val="0"/>
                <w:szCs w:val="21"/>
                <w:vertAlign w:val="superscript"/>
              </w:rPr>
              <w:t>2</w:t>
            </w:r>
            <w:r>
              <w:rPr>
                <w:kern w:val="0"/>
                <w:szCs w:val="21"/>
                <w:lang w:val="ca-ES"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726" w:type="pct"/>
            <w:vMerge w:val="restart"/>
            <w:shd w:val="clear" w:color="auto" w:fill="auto"/>
            <w:vAlign w:val="center"/>
          </w:tcPr>
          <w:p>
            <w:pPr>
              <w:autoSpaceDE w:val="0"/>
              <w:autoSpaceDN w:val="0"/>
              <w:spacing w:line="380" w:lineRule="exact"/>
              <w:jc w:val="center"/>
              <w:rPr>
                <w:szCs w:val="21"/>
                <w:lang w:val="ca-ES"/>
              </w:rPr>
            </w:pPr>
            <w:r>
              <w:rPr>
                <w:kern w:val="0"/>
                <w:szCs w:val="21"/>
                <w:lang w:val="ca-ES" w:eastAsia="en-US"/>
              </w:rPr>
              <w:t>原</w:t>
            </w:r>
            <w:r>
              <w:rPr>
                <w:rFonts w:hint="eastAsia"/>
                <w:kern w:val="0"/>
                <w:szCs w:val="21"/>
                <w:lang w:val="ca-ES"/>
              </w:rPr>
              <w:t>辅</w:t>
            </w:r>
            <w:r>
              <w:rPr>
                <w:kern w:val="0"/>
                <w:szCs w:val="21"/>
                <w:lang w:val="ca-ES" w:eastAsia="en-US"/>
              </w:rPr>
              <w:t>料获取</w:t>
            </w: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jc w:val="center"/>
        </w:trPr>
        <w:tc>
          <w:tcPr>
            <w:tcW w:w="726" w:type="pct"/>
            <w:vMerge w:val="continue"/>
            <w:shd w:val="clear" w:color="auto" w:fill="auto"/>
            <w:vAlign w:val="center"/>
          </w:tcPr>
          <w:p>
            <w:pPr>
              <w:autoSpaceDE w:val="0"/>
              <w:autoSpaceDN w:val="0"/>
              <w:spacing w:line="380" w:lineRule="exact"/>
              <w:jc w:val="center"/>
              <w:rPr>
                <w:szCs w:val="21"/>
                <w:lang w:eastAsia="en-US"/>
              </w:rPr>
            </w:pP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726" w:type="pct"/>
            <w:vMerge w:val="continue"/>
            <w:shd w:val="clear" w:color="auto" w:fill="auto"/>
            <w:vAlign w:val="center"/>
          </w:tcPr>
          <w:p>
            <w:pPr>
              <w:autoSpaceDE w:val="0"/>
              <w:autoSpaceDN w:val="0"/>
              <w:spacing w:line="380" w:lineRule="exact"/>
              <w:jc w:val="center"/>
              <w:rPr>
                <w:szCs w:val="21"/>
                <w:lang w:eastAsia="en-US"/>
              </w:rPr>
            </w:pP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726" w:type="pct"/>
            <w:vMerge w:val="continue"/>
            <w:tcBorders>
              <w:bottom w:val="single" w:color="auto" w:sz="4" w:space="0"/>
            </w:tcBorders>
            <w:shd w:val="clear" w:color="auto" w:fill="auto"/>
            <w:vAlign w:val="center"/>
          </w:tcPr>
          <w:p>
            <w:pPr>
              <w:autoSpaceDE w:val="0"/>
              <w:autoSpaceDN w:val="0"/>
              <w:spacing w:line="380" w:lineRule="exact"/>
              <w:jc w:val="center"/>
              <w:rPr>
                <w:szCs w:val="21"/>
                <w:lang w:eastAsia="en-US"/>
              </w:rPr>
            </w:pP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726" w:type="pct"/>
            <w:vMerge w:val="restart"/>
            <w:tcBorders>
              <w:top w:val="single" w:color="auto" w:sz="4" w:space="0"/>
            </w:tcBorders>
            <w:shd w:val="clear" w:color="auto" w:fill="auto"/>
            <w:vAlign w:val="center"/>
          </w:tcPr>
          <w:p>
            <w:pPr>
              <w:autoSpaceDE w:val="0"/>
              <w:autoSpaceDN w:val="0"/>
              <w:spacing w:line="380" w:lineRule="exact"/>
              <w:jc w:val="center"/>
              <w:rPr>
                <w:kern w:val="0"/>
                <w:szCs w:val="21"/>
                <w:lang w:val="ca-ES"/>
              </w:rPr>
            </w:pPr>
            <w:r>
              <w:rPr>
                <w:kern w:val="0"/>
                <w:szCs w:val="21"/>
                <w:lang w:val="ca-ES" w:eastAsia="en-US"/>
              </w:rPr>
              <w:t>原</w:t>
            </w:r>
            <w:r>
              <w:rPr>
                <w:rFonts w:hint="eastAsia"/>
                <w:kern w:val="0"/>
                <w:szCs w:val="21"/>
                <w:lang w:val="ca-ES"/>
              </w:rPr>
              <w:t>辅</w:t>
            </w:r>
            <w:r>
              <w:rPr>
                <w:kern w:val="0"/>
                <w:szCs w:val="21"/>
                <w:lang w:val="ca-ES" w:eastAsia="en-US"/>
              </w:rPr>
              <w:t>料</w:t>
            </w:r>
            <w:r>
              <w:rPr>
                <w:rFonts w:hint="eastAsia"/>
                <w:kern w:val="0"/>
                <w:szCs w:val="21"/>
                <w:lang w:val="ca-ES"/>
              </w:rPr>
              <w:t>与能源</w:t>
            </w:r>
          </w:p>
          <w:p>
            <w:pPr>
              <w:autoSpaceDE w:val="0"/>
              <w:autoSpaceDN w:val="0"/>
              <w:spacing w:line="380" w:lineRule="exact"/>
              <w:jc w:val="center"/>
              <w:rPr>
                <w:kern w:val="0"/>
                <w:szCs w:val="21"/>
                <w:lang w:val="ca-ES" w:eastAsia="en-US"/>
              </w:rPr>
            </w:pPr>
            <w:r>
              <w:rPr>
                <w:kern w:val="0"/>
                <w:szCs w:val="21"/>
                <w:lang w:val="ca-ES" w:eastAsia="en-US"/>
              </w:rPr>
              <w:t>运输</w:t>
            </w: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726" w:type="pct"/>
            <w:vMerge w:val="continue"/>
            <w:shd w:val="clear" w:color="auto" w:fill="auto"/>
            <w:vAlign w:val="center"/>
          </w:tcPr>
          <w:p>
            <w:pPr>
              <w:autoSpaceDE w:val="0"/>
              <w:autoSpaceDN w:val="0"/>
              <w:spacing w:line="380" w:lineRule="exact"/>
              <w:jc w:val="center"/>
              <w:rPr>
                <w:kern w:val="0"/>
                <w:szCs w:val="21"/>
                <w:lang w:val="ca-ES" w:eastAsia="en-US"/>
              </w:rPr>
            </w:pP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726" w:type="pct"/>
            <w:vMerge w:val="continue"/>
            <w:shd w:val="clear" w:color="auto" w:fill="auto"/>
            <w:vAlign w:val="center"/>
          </w:tcPr>
          <w:p>
            <w:pPr>
              <w:autoSpaceDE w:val="0"/>
              <w:autoSpaceDN w:val="0"/>
              <w:spacing w:line="380" w:lineRule="exact"/>
              <w:jc w:val="center"/>
              <w:rPr>
                <w:kern w:val="0"/>
                <w:szCs w:val="21"/>
                <w:lang w:val="ca-ES" w:eastAsia="en-US"/>
              </w:rPr>
            </w:pP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726" w:type="pct"/>
            <w:vMerge w:val="restart"/>
            <w:shd w:val="clear" w:color="auto" w:fill="auto"/>
            <w:vAlign w:val="center"/>
          </w:tcPr>
          <w:p>
            <w:pPr>
              <w:autoSpaceDE w:val="0"/>
              <w:autoSpaceDN w:val="0"/>
              <w:spacing w:line="380" w:lineRule="exact"/>
              <w:jc w:val="center"/>
              <w:rPr>
                <w:kern w:val="0"/>
                <w:szCs w:val="21"/>
                <w:lang w:val="ca-ES"/>
              </w:rPr>
            </w:pPr>
            <w:r>
              <w:rPr>
                <w:rFonts w:hint="eastAsia"/>
                <w:kern w:val="0"/>
                <w:szCs w:val="21"/>
                <w:lang w:val="ca-ES"/>
              </w:rPr>
              <w:t>加工制造</w:t>
            </w: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jc w:val="center"/>
        </w:trPr>
        <w:tc>
          <w:tcPr>
            <w:tcW w:w="726" w:type="pct"/>
            <w:vMerge w:val="continue"/>
            <w:tcBorders>
              <w:top w:val="nil"/>
            </w:tcBorders>
            <w:shd w:val="clear" w:color="auto" w:fill="auto"/>
            <w:vAlign w:val="center"/>
          </w:tcPr>
          <w:p>
            <w:pPr>
              <w:autoSpaceDE w:val="0"/>
              <w:autoSpaceDN w:val="0"/>
              <w:spacing w:line="380" w:lineRule="exact"/>
              <w:jc w:val="center"/>
              <w:rPr>
                <w:szCs w:val="21"/>
                <w:lang w:eastAsia="en-US"/>
              </w:rPr>
            </w:pPr>
          </w:p>
        </w:tc>
        <w:tc>
          <w:tcPr>
            <w:tcW w:w="1590" w:type="pct"/>
            <w:shd w:val="clear" w:color="auto" w:fill="auto"/>
            <w:vAlign w:val="center"/>
          </w:tcPr>
          <w:p>
            <w:pPr>
              <w:autoSpaceDE w:val="0"/>
              <w:autoSpaceDN w:val="0"/>
              <w:spacing w:line="380" w:lineRule="exact"/>
              <w:jc w:val="center"/>
              <w:rPr>
                <w:kern w:val="0"/>
                <w:szCs w:val="21"/>
                <w:lang w:val="ca-ES" w:eastAsia="en-US"/>
              </w:rPr>
            </w:pPr>
          </w:p>
        </w:tc>
        <w:tc>
          <w:tcPr>
            <w:tcW w:w="1342" w:type="pct"/>
            <w:shd w:val="clear" w:color="auto" w:fill="auto"/>
            <w:vAlign w:val="center"/>
          </w:tcPr>
          <w:p>
            <w:pPr>
              <w:autoSpaceDE w:val="0"/>
              <w:autoSpaceDN w:val="0"/>
              <w:spacing w:line="380" w:lineRule="exact"/>
              <w:jc w:val="center"/>
              <w:rPr>
                <w:kern w:val="0"/>
                <w:szCs w:val="21"/>
                <w:lang w:val="ca-ES" w:eastAsia="en-US"/>
              </w:rPr>
            </w:pPr>
          </w:p>
        </w:tc>
        <w:tc>
          <w:tcPr>
            <w:tcW w:w="1341" w:type="pct"/>
            <w:shd w:val="clear" w:color="auto" w:fill="auto"/>
            <w:vAlign w:val="center"/>
          </w:tcPr>
          <w:p>
            <w:pPr>
              <w:autoSpaceDE w:val="0"/>
              <w:autoSpaceDN w:val="0"/>
              <w:spacing w:line="380" w:lineRule="exact"/>
              <w:jc w:val="center"/>
              <w:rPr>
                <w:kern w:val="0"/>
                <w:szCs w:val="21"/>
                <w:lang w:val="ca-ES" w:eastAsia="en-US"/>
              </w:rPr>
            </w:pPr>
          </w:p>
        </w:tc>
      </w:tr>
    </w:tbl>
    <w:p>
      <w:pPr>
        <w:tabs>
          <w:tab w:val="left" w:pos="872"/>
          <w:tab w:val="left" w:pos="2636"/>
        </w:tabs>
        <w:autoSpaceDE w:val="0"/>
        <w:autoSpaceDN w:val="0"/>
        <w:spacing w:line="380" w:lineRule="exact"/>
        <w:jc w:val="left"/>
        <w:rPr>
          <w:szCs w:val="21"/>
        </w:rPr>
      </w:pPr>
    </w:p>
    <w:p>
      <w:pPr>
        <w:keepNext/>
        <w:keepLines/>
        <w:tabs>
          <w:tab w:val="left" w:pos="532"/>
          <w:tab w:val="left" w:pos="872"/>
        </w:tabs>
        <w:spacing w:before="240" w:beforeLines="100" w:line="380" w:lineRule="exact"/>
        <w:rPr>
          <w:b/>
          <w:bCs/>
          <w:szCs w:val="21"/>
        </w:rPr>
      </w:pPr>
      <w:bookmarkStart w:id="128" w:name="_Toc173331007"/>
      <w:bookmarkStart w:id="129" w:name="_Toc15162"/>
      <w:bookmarkStart w:id="130" w:name="_Toc32069"/>
      <w:r>
        <w:rPr>
          <w:rFonts w:hint="eastAsia"/>
          <w:b/>
          <w:bCs/>
          <w:szCs w:val="21"/>
        </w:rPr>
        <w:t xml:space="preserve">4. </w:t>
      </w:r>
      <w:r>
        <w:rPr>
          <w:b/>
          <w:bCs/>
          <w:szCs w:val="21"/>
        </w:rPr>
        <w:t>数据质量评价及缺失数据处理</w:t>
      </w:r>
      <w:bookmarkEnd w:id="128"/>
      <w:bookmarkEnd w:id="129"/>
      <w:bookmarkEnd w:id="130"/>
    </w:p>
    <w:p>
      <w:pPr>
        <w:spacing w:line="380" w:lineRule="exact"/>
        <w:ind w:firstLine="408" w:firstLineChars="200"/>
        <w:rPr>
          <w:szCs w:val="21"/>
        </w:rPr>
      </w:pPr>
      <w:r>
        <w:rPr>
          <w:spacing w:val="-3"/>
          <w:szCs w:val="21"/>
        </w:rPr>
        <w:t>数据质量</w:t>
      </w:r>
      <w:r>
        <w:rPr>
          <w:rFonts w:hint="eastAsia"/>
          <w:spacing w:val="-3"/>
          <w:szCs w:val="21"/>
        </w:rPr>
        <w:t>评价</w:t>
      </w:r>
      <w:r>
        <w:rPr>
          <w:spacing w:val="-3"/>
          <w:szCs w:val="21"/>
        </w:rPr>
        <w:t>的目的是判断计算结果和结论的可信度，并指出提高数据质量的关键因素。数据质量可从定性和定量两个方面进行管控和评</w:t>
      </w:r>
      <w:r>
        <w:rPr>
          <w:rFonts w:hint="eastAsia"/>
          <w:spacing w:val="-3"/>
          <w:szCs w:val="21"/>
        </w:rPr>
        <w:t>价</w:t>
      </w:r>
      <w:r>
        <w:rPr>
          <w:spacing w:val="-3"/>
          <w:szCs w:val="21"/>
        </w:rPr>
        <w:t>，具体评价内容包括：时间覆盖面、地理覆盖面、技术</w:t>
      </w:r>
      <w:r>
        <w:rPr>
          <w:szCs w:val="21"/>
        </w:rPr>
        <w:t>覆盖面、准确</w:t>
      </w:r>
      <w:r>
        <w:rPr>
          <w:rFonts w:hint="eastAsia"/>
          <w:szCs w:val="21"/>
        </w:rPr>
        <w:t>性</w:t>
      </w:r>
      <w:r>
        <w:rPr>
          <w:szCs w:val="21"/>
        </w:rPr>
        <w:t>、精</w:t>
      </w:r>
      <w:r>
        <w:rPr>
          <w:rFonts w:hint="eastAsia"/>
          <w:szCs w:val="21"/>
        </w:rPr>
        <w:t>度</w:t>
      </w:r>
      <w:r>
        <w:rPr>
          <w:szCs w:val="21"/>
        </w:rPr>
        <w:t>、完整性（说明缺失数据处理方案</w:t>
      </w:r>
      <w:r>
        <w:rPr>
          <w:rFonts w:hint="eastAsia"/>
          <w:szCs w:val="21"/>
        </w:rPr>
        <w:t>）、</w:t>
      </w:r>
      <w:r>
        <w:rPr>
          <w:szCs w:val="21"/>
        </w:rPr>
        <w:t>代表性、一致性、可再现性、数据来源及不确定性。</w:t>
      </w:r>
    </w:p>
    <w:p>
      <w:pPr>
        <w:spacing w:line="380" w:lineRule="exact"/>
        <w:ind w:firstLine="420" w:firstLineChars="200"/>
        <w:rPr>
          <w:szCs w:val="21"/>
        </w:rPr>
      </w:pPr>
    </w:p>
    <w:p>
      <w:pPr>
        <w:pStyle w:val="146"/>
        <w:keepNext/>
        <w:keepLines/>
        <w:numPr>
          <w:ilvl w:val="0"/>
          <w:numId w:val="29"/>
        </w:numPr>
        <w:tabs>
          <w:tab w:val="left" w:pos="504"/>
          <w:tab w:val="left" w:pos="632"/>
        </w:tabs>
        <w:spacing w:line="380" w:lineRule="exact"/>
        <w:ind w:left="442" w:hanging="442"/>
        <w:rPr>
          <w:b/>
          <w:bCs/>
          <w:szCs w:val="21"/>
        </w:rPr>
      </w:pPr>
      <w:r>
        <w:rPr>
          <w:rFonts w:hint="eastAsia"/>
          <w:b/>
          <w:bCs/>
          <w:szCs w:val="21"/>
        </w:rPr>
        <w:t>影响评价</w:t>
      </w:r>
    </w:p>
    <w:p>
      <w:pPr>
        <w:keepNext/>
        <w:keepLines/>
        <w:tabs>
          <w:tab w:val="left" w:pos="532"/>
          <w:tab w:val="left" w:pos="872"/>
        </w:tabs>
        <w:spacing w:line="380" w:lineRule="exact"/>
        <w:rPr>
          <w:b/>
          <w:bCs/>
          <w:szCs w:val="21"/>
        </w:rPr>
      </w:pPr>
      <w:r>
        <w:rPr>
          <w:b/>
          <w:bCs/>
          <w:szCs w:val="21"/>
        </w:rPr>
        <w:t xml:space="preserve">1. </w:t>
      </w:r>
      <w:r>
        <w:rPr>
          <w:rFonts w:hint="eastAsia"/>
          <w:b/>
          <w:bCs/>
          <w:szCs w:val="21"/>
        </w:rPr>
        <w:t>影响类型和特征化因子选择</w:t>
      </w:r>
    </w:p>
    <w:p>
      <w:pPr>
        <w:spacing w:line="380" w:lineRule="exact"/>
        <w:ind w:firstLine="420" w:firstLineChars="200"/>
        <w:rPr>
          <w:szCs w:val="21"/>
        </w:rPr>
      </w:pPr>
      <w:r>
        <w:rPr>
          <w:rFonts w:hint="eastAsia"/>
          <w:szCs w:val="21"/>
        </w:rPr>
        <w:t>一般选择政府间气候变化专门委员会（IPCC）给出的100年全球变暖潜势（GWP）。</w:t>
      </w:r>
    </w:p>
    <w:p>
      <w:pPr>
        <w:spacing w:line="380" w:lineRule="exact"/>
        <w:rPr>
          <w:szCs w:val="21"/>
        </w:rPr>
      </w:pPr>
    </w:p>
    <w:p>
      <w:pPr>
        <w:keepNext/>
        <w:keepLines/>
        <w:tabs>
          <w:tab w:val="left" w:pos="532"/>
          <w:tab w:val="left" w:pos="872"/>
        </w:tabs>
        <w:spacing w:line="380" w:lineRule="exact"/>
        <w:rPr>
          <w:szCs w:val="21"/>
        </w:rPr>
      </w:pPr>
      <w:r>
        <w:rPr>
          <w:rFonts w:hint="eastAsia"/>
          <w:b/>
          <w:bCs/>
          <w:szCs w:val="21"/>
        </w:rPr>
        <w:t>2. 产品碳足迹结果计算</w:t>
      </w:r>
    </w:p>
    <w:p>
      <w:pPr>
        <w:spacing w:line="380" w:lineRule="exact"/>
        <w:rPr>
          <w:szCs w:val="21"/>
        </w:rPr>
      </w:pPr>
    </w:p>
    <w:p>
      <w:pPr>
        <w:pStyle w:val="146"/>
        <w:keepNext/>
        <w:keepLines/>
        <w:numPr>
          <w:ilvl w:val="0"/>
          <w:numId w:val="29"/>
        </w:numPr>
        <w:tabs>
          <w:tab w:val="left" w:pos="504"/>
          <w:tab w:val="left" w:pos="632"/>
        </w:tabs>
        <w:spacing w:line="380" w:lineRule="exact"/>
        <w:ind w:left="442" w:hanging="442"/>
        <w:rPr>
          <w:b/>
          <w:bCs/>
          <w:szCs w:val="21"/>
        </w:rPr>
      </w:pPr>
      <w:bookmarkStart w:id="131" w:name="_Toc26620"/>
      <w:bookmarkStart w:id="132" w:name="_Toc19492"/>
      <w:bookmarkStart w:id="133" w:name="_Toc173331008"/>
      <w:r>
        <w:rPr>
          <w:rFonts w:hint="eastAsia"/>
          <w:b/>
          <w:bCs/>
          <w:szCs w:val="21"/>
        </w:rPr>
        <w:t>结果解释</w:t>
      </w:r>
      <w:bookmarkEnd w:id="131"/>
      <w:bookmarkEnd w:id="132"/>
      <w:bookmarkEnd w:id="133"/>
    </w:p>
    <w:p>
      <w:pPr>
        <w:tabs>
          <w:tab w:val="left" w:pos="872"/>
        </w:tabs>
        <w:autoSpaceDE w:val="0"/>
        <w:autoSpaceDN w:val="0"/>
        <w:spacing w:line="380" w:lineRule="exact"/>
        <w:jc w:val="left"/>
        <w:rPr>
          <w:b/>
          <w:bCs/>
          <w:szCs w:val="21"/>
        </w:rPr>
      </w:pPr>
      <w:r>
        <w:rPr>
          <w:rFonts w:hint="eastAsia"/>
          <w:b/>
          <w:bCs/>
          <w:szCs w:val="21"/>
        </w:rPr>
        <w:t xml:space="preserve">1. </w:t>
      </w:r>
      <w:r>
        <w:rPr>
          <w:b/>
          <w:bCs/>
          <w:szCs w:val="21"/>
        </w:rPr>
        <w:t>结果说明</w:t>
      </w:r>
    </w:p>
    <w:p>
      <w:pPr>
        <w:tabs>
          <w:tab w:val="left" w:pos="1269"/>
          <w:tab w:val="left" w:pos="2426"/>
          <w:tab w:val="left" w:pos="3953"/>
          <w:tab w:val="left" w:pos="7371"/>
        </w:tabs>
        <w:spacing w:line="380" w:lineRule="exact"/>
        <w:ind w:firstLine="420" w:firstLineChars="200"/>
        <w:rPr>
          <w:szCs w:val="21"/>
        </w:rPr>
      </w:pPr>
      <w:r>
        <w:rPr>
          <w:szCs w:val="21"/>
          <w:u w:val="single"/>
        </w:rPr>
        <w:t xml:space="preserve"> </w:t>
      </w:r>
      <w:r>
        <w:rPr>
          <w:szCs w:val="21"/>
          <w:u w:val="single"/>
        </w:rPr>
        <w:tab/>
      </w:r>
      <w:r>
        <w:rPr>
          <w:szCs w:val="21"/>
        </w:rPr>
        <w:t>（每</w:t>
      </w:r>
      <w:r>
        <w:rPr>
          <w:rFonts w:hint="eastAsia"/>
          <w:szCs w:val="21"/>
        </w:rPr>
        <w:t>声明</w:t>
      </w:r>
      <w:r>
        <w:rPr>
          <w:szCs w:val="21"/>
        </w:rPr>
        <w:t>单位的产品）从摇篮到大门</w:t>
      </w:r>
      <w:r>
        <w:rPr>
          <w:rFonts w:hint="eastAsia"/>
          <w:szCs w:val="21"/>
        </w:rPr>
        <w:t>的</w:t>
      </w:r>
      <w:r>
        <w:rPr>
          <w:rFonts w:hint="eastAsia"/>
          <w:position w:val="2"/>
          <w:szCs w:val="21"/>
        </w:rPr>
        <w:t>生</w:t>
      </w:r>
      <w:r>
        <w:rPr>
          <w:position w:val="2"/>
          <w:szCs w:val="21"/>
        </w:rPr>
        <w:t>命周期碳足迹为</w:t>
      </w:r>
      <w:r>
        <w:rPr>
          <w:position w:val="2"/>
          <w:szCs w:val="21"/>
          <w:u w:val="single"/>
        </w:rPr>
        <w:tab/>
      </w:r>
      <w:r>
        <w:rPr>
          <w:position w:val="2"/>
          <w:szCs w:val="21"/>
        </w:rPr>
        <w:t>kgCO</w:t>
      </w:r>
      <w:r>
        <w:rPr>
          <w:szCs w:val="21"/>
          <w:vertAlign w:val="subscript"/>
        </w:rPr>
        <w:t>2</w:t>
      </w:r>
      <w:r>
        <w:rPr>
          <w:position w:val="2"/>
          <w:szCs w:val="21"/>
        </w:rPr>
        <w:t>e。各生命周期阶段的温室气体排放情况</w:t>
      </w:r>
      <w:r>
        <w:rPr>
          <w:rFonts w:hint="eastAsia"/>
          <w:position w:val="2"/>
          <w:szCs w:val="21"/>
        </w:rPr>
        <w:t>如表D.3</w:t>
      </w:r>
      <w:r>
        <w:rPr>
          <w:position w:val="2"/>
          <w:szCs w:val="21"/>
        </w:rPr>
        <w:t>所示。</w:t>
      </w:r>
    </w:p>
    <w:p>
      <w:pPr>
        <w:tabs>
          <w:tab w:val="left" w:pos="835"/>
          <w:tab w:val="left" w:pos="1360"/>
        </w:tabs>
        <w:spacing w:line="380" w:lineRule="exact"/>
        <w:jc w:val="center"/>
        <w:rPr>
          <w:szCs w:val="21"/>
        </w:rPr>
      </w:pPr>
      <w:r>
        <w:rPr>
          <w:szCs w:val="21"/>
        </w:rPr>
        <w:t>表</w:t>
      </w:r>
      <w:r>
        <w:rPr>
          <w:rFonts w:hint="eastAsia"/>
          <w:szCs w:val="21"/>
        </w:rPr>
        <w:t>D</w:t>
      </w:r>
      <w:r>
        <w:rPr>
          <w:szCs w:val="21"/>
        </w:rPr>
        <w:t>.3</w:t>
      </w:r>
      <w:r>
        <w:rPr>
          <w:szCs w:val="21"/>
        </w:rPr>
        <w:tab/>
      </w:r>
      <w:r>
        <w:rPr>
          <w:szCs w:val="21"/>
          <w:u w:val="single"/>
        </w:rPr>
        <w:t xml:space="preserve"> </w:t>
      </w:r>
      <w:r>
        <w:rPr>
          <w:szCs w:val="21"/>
          <w:u w:val="single"/>
        </w:rPr>
        <w:tab/>
      </w:r>
      <w:r>
        <w:rPr>
          <w:szCs w:val="21"/>
        </w:rPr>
        <w:t>生命周期各阶段碳排放情况</w:t>
      </w:r>
    </w:p>
    <w:tbl>
      <w:tblPr>
        <w:tblStyle w:val="38"/>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70"/>
        <w:gridCol w:w="4032"/>
        <w:gridCol w:w="2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1428"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生命周期阶段</w:t>
            </w:r>
          </w:p>
        </w:tc>
        <w:tc>
          <w:tcPr>
            <w:tcW w:w="2240" w:type="pct"/>
            <w:shd w:val="clear" w:color="auto" w:fill="auto"/>
            <w:vAlign w:val="center"/>
          </w:tcPr>
          <w:p>
            <w:pPr>
              <w:autoSpaceDE w:val="0"/>
              <w:autoSpaceDN w:val="0"/>
              <w:spacing w:line="380" w:lineRule="exact"/>
              <w:jc w:val="center"/>
              <w:rPr>
                <w:kern w:val="0"/>
                <w:szCs w:val="21"/>
                <w:lang w:val="ca-ES" w:eastAsia="en-US"/>
              </w:rPr>
            </w:pPr>
            <w:r>
              <w:rPr>
                <w:kern w:val="0"/>
                <w:position w:val="1"/>
                <w:szCs w:val="21"/>
                <w:lang w:val="ca-ES" w:eastAsia="en-US"/>
              </w:rPr>
              <w:t>碳足迹（kg</w:t>
            </w:r>
            <w:r>
              <w:rPr>
                <w:spacing w:val="-6"/>
                <w:kern w:val="0"/>
                <w:position w:val="1"/>
                <w:szCs w:val="21"/>
                <w:lang w:val="ca-ES" w:eastAsia="en-US"/>
              </w:rPr>
              <w:t xml:space="preserve"> </w:t>
            </w:r>
            <w:r>
              <w:rPr>
                <w:kern w:val="0"/>
                <w:position w:val="1"/>
                <w:szCs w:val="21"/>
                <w:lang w:val="ca-ES" w:eastAsia="en-US"/>
              </w:rPr>
              <w:t>CO</w:t>
            </w:r>
            <w:r>
              <w:rPr>
                <w:kern w:val="0"/>
                <w:szCs w:val="21"/>
                <w:vertAlign w:val="subscript"/>
                <w:lang w:val="ca-ES" w:eastAsia="en-US"/>
              </w:rPr>
              <w:t>2</w:t>
            </w:r>
            <w:r>
              <w:rPr>
                <w:kern w:val="0"/>
                <w:position w:val="1"/>
                <w:szCs w:val="21"/>
                <w:lang w:val="ca-ES" w:eastAsia="en-US"/>
              </w:rPr>
              <w:t>e/</w:t>
            </w:r>
            <w:r>
              <w:t>m</w:t>
            </w:r>
            <w:r>
              <w:rPr>
                <w:vertAlign w:val="superscript"/>
              </w:rPr>
              <w:t>2</w:t>
            </w:r>
            <w:r>
              <w:rPr>
                <w:kern w:val="0"/>
                <w:position w:val="1"/>
                <w:szCs w:val="21"/>
                <w:lang w:val="ca-ES" w:eastAsia="en-US"/>
              </w:rPr>
              <w:t>）</w:t>
            </w:r>
          </w:p>
        </w:tc>
        <w:tc>
          <w:tcPr>
            <w:tcW w:w="1332" w:type="pct"/>
            <w:shd w:val="clear" w:color="auto" w:fill="auto"/>
            <w:vAlign w:val="center"/>
          </w:tcPr>
          <w:p>
            <w:pPr>
              <w:autoSpaceDE w:val="0"/>
              <w:autoSpaceDN w:val="0"/>
              <w:spacing w:line="380" w:lineRule="exact"/>
              <w:jc w:val="center"/>
              <w:rPr>
                <w:kern w:val="0"/>
                <w:szCs w:val="21"/>
                <w:lang w:val="ca-ES" w:eastAsia="en-US"/>
              </w:rPr>
            </w:pPr>
            <w:r>
              <w:rPr>
                <w:spacing w:val="-1"/>
                <w:kern w:val="0"/>
                <w:szCs w:val="21"/>
                <w:lang w:val="ca-ES" w:eastAsia="en-US"/>
              </w:rPr>
              <w:t>百分比</w:t>
            </w:r>
            <w:r>
              <w:rPr>
                <w:kern w:val="0"/>
                <w:szCs w:val="21"/>
                <w:lang w:val="ca-ES" w:eastAsia="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428"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eastAsia="en-US"/>
              </w:rPr>
              <w:t>原</w:t>
            </w:r>
            <w:r>
              <w:rPr>
                <w:rFonts w:hint="eastAsia"/>
                <w:kern w:val="0"/>
                <w:szCs w:val="21"/>
                <w:lang w:val="ca-ES"/>
              </w:rPr>
              <w:t>辅</w:t>
            </w:r>
            <w:r>
              <w:rPr>
                <w:kern w:val="0"/>
                <w:szCs w:val="21"/>
                <w:lang w:val="ca-ES" w:eastAsia="en-US"/>
              </w:rPr>
              <w:t>料</w:t>
            </w:r>
            <w:r>
              <w:rPr>
                <w:rFonts w:hint="eastAsia"/>
                <w:kern w:val="0"/>
                <w:szCs w:val="21"/>
                <w:lang w:val="ca-ES"/>
              </w:rPr>
              <w:t>获取</w:t>
            </w:r>
          </w:p>
        </w:tc>
        <w:tc>
          <w:tcPr>
            <w:tcW w:w="2240" w:type="pct"/>
            <w:shd w:val="clear" w:color="auto" w:fill="auto"/>
            <w:vAlign w:val="center"/>
          </w:tcPr>
          <w:p>
            <w:pPr>
              <w:autoSpaceDE w:val="0"/>
              <w:autoSpaceDN w:val="0"/>
              <w:spacing w:line="380" w:lineRule="exact"/>
              <w:jc w:val="center"/>
              <w:rPr>
                <w:kern w:val="0"/>
                <w:szCs w:val="21"/>
                <w:lang w:val="ca-ES" w:eastAsia="en-US"/>
              </w:rPr>
            </w:pPr>
          </w:p>
        </w:tc>
        <w:tc>
          <w:tcPr>
            <w:tcW w:w="1332"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428" w:type="pct"/>
            <w:shd w:val="clear" w:color="auto" w:fill="auto"/>
            <w:vAlign w:val="center"/>
          </w:tcPr>
          <w:p>
            <w:pPr>
              <w:autoSpaceDE w:val="0"/>
              <w:autoSpaceDN w:val="0"/>
              <w:spacing w:line="380" w:lineRule="exact"/>
              <w:jc w:val="center"/>
              <w:rPr>
                <w:kern w:val="0"/>
                <w:szCs w:val="21"/>
                <w:lang w:val="ca-ES" w:eastAsia="en-US"/>
              </w:rPr>
            </w:pPr>
            <w:r>
              <w:rPr>
                <w:kern w:val="0"/>
                <w:szCs w:val="21"/>
                <w:lang w:val="ca-ES"/>
              </w:rPr>
              <w:t>原</w:t>
            </w:r>
            <w:r>
              <w:rPr>
                <w:rFonts w:hint="eastAsia"/>
                <w:kern w:val="0"/>
                <w:szCs w:val="21"/>
                <w:lang w:val="ca-ES"/>
              </w:rPr>
              <w:t>辅</w:t>
            </w:r>
            <w:r>
              <w:rPr>
                <w:kern w:val="0"/>
                <w:szCs w:val="21"/>
                <w:lang w:val="ca-ES"/>
              </w:rPr>
              <w:t>料</w:t>
            </w:r>
            <w:r>
              <w:rPr>
                <w:rFonts w:hint="eastAsia"/>
                <w:kern w:val="0"/>
                <w:szCs w:val="21"/>
                <w:lang w:val="ca-ES"/>
              </w:rPr>
              <w:t>与能源</w:t>
            </w:r>
            <w:r>
              <w:rPr>
                <w:kern w:val="0"/>
                <w:szCs w:val="21"/>
                <w:lang w:val="ca-ES"/>
              </w:rPr>
              <w:t>运输</w:t>
            </w:r>
          </w:p>
        </w:tc>
        <w:tc>
          <w:tcPr>
            <w:tcW w:w="2240" w:type="pct"/>
            <w:shd w:val="clear" w:color="auto" w:fill="auto"/>
            <w:vAlign w:val="center"/>
          </w:tcPr>
          <w:p>
            <w:pPr>
              <w:autoSpaceDE w:val="0"/>
              <w:autoSpaceDN w:val="0"/>
              <w:spacing w:line="380" w:lineRule="exact"/>
              <w:jc w:val="center"/>
              <w:rPr>
                <w:kern w:val="0"/>
                <w:szCs w:val="21"/>
                <w:lang w:val="ca-ES" w:eastAsia="en-US"/>
              </w:rPr>
            </w:pPr>
          </w:p>
        </w:tc>
        <w:tc>
          <w:tcPr>
            <w:tcW w:w="1332" w:type="pct"/>
            <w:shd w:val="clear" w:color="auto" w:fill="auto"/>
            <w:vAlign w:val="center"/>
          </w:tcPr>
          <w:p>
            <w:pPr>
              <w:autoSpaceDE w:val="0"/>
              <w:autoSpaceDN w:val="0"/>
              <w:spacing w:line="380" w:lineRule="exact"/>
              <w:jc w:val="center"/>
              <w:rPr>
                <w:kern w:val="0"/>
                <w:szCs w:val="21"/>
                <w:lang w:val="ca-ES"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jc w:val="center"/>
        </w:trPr>
        <w:tc>
          <w:tcPr>
            <w:tcW w:w="1428" w:type="pct"/>
            <w:shd w:val="clear" w:color="auto" w:fill="auto"/>
            <w:vAlign w:val="center"/>
          </w:tcPr>
          <w:p>
            <w:pPr>
              <w:autoSpaceDE w:val="0"/>
              <w:autoSpaceDN w:val="0"/>
              <w:spacing w:line="380" w:lineRule="exact"/>
              <w:jc w:val="center"/>
              <w:rPr>
                <w:kern w:val="0"/>
                <w:szCs w:val="21"/>
                <w:lang w:val="ca-ES"/>
              </w:rPr>
            </w:pPr>
            <w:r>
              <w:rPr>
                <w:rFonts w:hint="eastAsia"/>
                <w:kern w:val="0"/>
                <w:szCs w:val="21"/>
                <w:lang w:val="ca-ES"/>
              </w:rPr>
              <w:t>加工制造</w:t>
            </w:r>
          </w:p>
        </w:tc>
        <w:tc>
          <w:tcPr>
            <w:tcW w:w="2240" w:type="pct"/>
            <w:shd w:val="clear" w:color="auto" w:fill="auto"/>
            <w:vAlign w:val="center"/>
          </w:tcPr>
          <w:p>
            <w:pPr>
              <w:autoSpaceDE w:val="0"/>
              <w:autoSpaceDN w:val="0"/>
              <w:spacing w:line="380" w:lineRule="exact"/>
              <w:jc w:val="center"/>
              <w:rPr>
                <w:kern w:val="0"/>
                <w:szCs w:val="21"/>
                <w:lang w:val="ca-ES" w:eastAsia="en-US"/>
              </w:rPr>
            </w:pPr>
          </w:p>
        </w:tc>
        <w:tc>
          <w:tcPr>
            <w:tcW w:w="1332" w:type="pct"/>
            <w:shd w:val="clear" w:color="auto" w:fill="auto"/>
            <w:vAlign w:val="center"/>
          </w:tcPr>
          <w:p>
            <w:pPr>
              <w:autoSpaceDE w:val="0"/>
              <w:autoSpaceDN w:val="0"/>
              <w:spacing w:line="380" w:lineRule="exact"/>
              <w:jc w:val="center"/>
              <w:rPr>
                <w:kern w:val="0"/>
                <w:szCs w:val="21"/>
                <w:lang w:val="ca-ES" w:eastAsia="en-US"/>
              </w:rPr>
            </w:pPr>
          </w:p>
        </w:tc>
      </w:tr>
    </w:tbl>
    <w:p>
      <w:pPr>
        <w:spacing w:line="380" w:lineRule="exact"/>
      </w:pPr>
    </w:p>
    <w:p>
      <w:pPr>
        <w:keepNext/>
        <w:keepLines/>
        <w:tabs>
          <w:tab w:val="left" w:pos="532"/>
          <w:tab w:val="left" w:pos="812"/>
        </w:tabs>
        <w:spacing w:line="380" w:lineRule="exact"/>
        <w:rPr>
          <w:b/>
          <w:bCs/>
          <w:szCs w:val="21"/>
        </w:rPr>
      </w:pPr>
      <w:bookmarkStart w:id="134" w:name="_Toc26968"/>
      <w:bookmarkStart w:id="135" w:name="_Toc2462"/>
      <w:r>
        <w:rPr>
          <w:rFonts w:hint="eastAsia"/>
          <w:b/>
          <w:szCs w:val="21"/>
        </w:rPr>
        <w:t>2. 假设和局限性说明（可选项）</w:t>
      </w:r>
      <w:bookmarkEnd w:id="134"/>
      <w:bookmarkEnd w:id="135"/>
    </w:p>
    <w:p>
      <w:pPr>
        <w:spacing w:line="380" w:lineRule="exact"/>
        <w:ind w:firstLine="420" w:firstLineChars="200"/>
        <w:rPr>
          <w:color w:val="000000"/>
          <w:kern w:val="0"/>
          <w:szCs w:val="21"/>
          <w:lang w:bidi="ar"/>
        </w:rPr>
      </w:pPr>
      <w:r>
        <w:rPr>
          <w:rFonts w:hint="eastAsia"/>
          <w:color w:val="000000"/>
          <w:kern w:val="0"/>
          <w:szCs w:val="21"/>
          <w:lang w:bidi="ar"/>
        </w:rPr>
        <w:t>结</w:t>
      </w:r>
      <w:r>
        <w:rPr>
          <w:color w:val="000000"/>
          <w:kern w:val="0"/>
          <w:szCs w:val="21"/>
          <w:lang w:bidi="ar"/>
        </w:rPr>
        <w:t>合核算情况，对范围、数据选择等相关的假设和局限进行说明。</w:t>
      </w:r>
    </w:p>
    <w:p>
      <w:pPr>
        <w:spacing w:line="380" w:lineRule="exact"/>
        <w:ind w:firstLine="420" w:firstLineChars="200"/>
      </w:pPr>
    </w:p>
    <w:p>
      <w:pPr>
        <w:keepNext/>
        <w:keepLines/>
        <w:tabs>
          <w:tab w:val="left" w:pos="532"/>
          <w:tab w:val="left" w:pos="812"/>
        </w:tabs>
        <w:spacing w:line="380" w:lineRule="exact"/>
        <w:rPr>
          <w:b/>
          <w:bCs/>
          <w:szCs w:val="21"/>
        </w:rPr>
      </w:pPr>
      <w:bookmarkStart w:id="136" w:name="_bookmark9"/>
      <w:bookmarkEnd w:id="136"/>
      <w:bookmarkStart w:id="137" w:name="_Toc11091"/>
      <w:bookmarkStart w:id="138" w:name="_Toc8663"/>
      <w:r>
        <w:rPr>
          <w:rFonts w:hint="eastAsia"/>
          <w:b/>
          <w:bCs/>
          <w:szCs w:val="21"/>
        </w:rPr>
        <w:t>3. 改进建议</w:t>
      </w:r>
      <w:bookmarkEnd w:id="137"/>
      <w:bookmarkEnd w:id="138"/>
    </w:p>
    <w:p>
      <w:pPr>
        <w:spacing w:line="380" w:lineRule="exact"/>
        <w:ind w:firstLine="420" w:firstLineChars="200"/>
        <w:rPr>
          <w:color w:val="000000"/>
          <w:kern w:val="0"/>
          <w:szCs w:val="21"/>
          <w:lang w:bidi="ar"/>
        </w:rPr>
      </w:pPr>
      <w:r>
        <w:rPr>
          <w:color w:val="000000"/>
          <w:kern w:val="0"/>
          <w:szCs w:val="21"/>
          <w:lang w:bidi="ar"/>
        </w:rPr>
        <w:br w:type="page"/>
      </w:r>
    </w:p>
    <w:p>
      <w:pPr>
        <w:widowControl/>
        <w:tabs>
          <w:tab w:val="left" w:pos="1513"/>
          <w:tab w:val="center" w:pos="4887"/>
        </w:tabs>
        <w:autoSpaceDE w:val="0"/>
        <w:autoSpaceDN w:val="0"/>
        <w:spacing w:line="380" w:lineRule="exact"/>
        <w:jc w:val="center"/>
        <w:outlineLvl w:val="0"/>
        <w:rPr>
          <w:b/>
          <w:bCs/>
          <w:kern w:val="0"/>
          <w:szCs w:val="22"/>
        </w:rPr>
      </w:pPr>
      <w:r>
        <w:rPr>
          <w:rFonts w:hint="eastAsia"/>
          <w:b/>
          <w:bCs/>
          <w:kern w:val="0"/>
          <w:szCs w:val="22"/>
        </w:rPr>
        <w:t>参考文献</w:t>
      </w:r>
    </w:p>
    <w:p>
      <w:pPr>
        <w:widowControl/>
        <w:tabs>
          <w:tab w:val="left" w:pos="1513"/>
          <w:tab w:val="center" w:pos="4887"/>
        </w:tabs>
        <w:autoSpaceDE w:val="0"/>
        <w:autoSpaceDN w:val="0"/>
        <w:spacing w:before="240" w:beforeLines="100" w:line="380" w:lineRule="exact"/>
        <w:ind w:firstLine="420" w:firstLineChars="200"/>
        <w:outlineLvl w:val="0"/>
        <w:rPr>
          <w:kern w:val="0"/>
          <w:szCs w:val="22"/>
        </w:rPr>
      </w:pPr>
      <w:r>
        <w:rPr>
          <w:rFonts w:hint="eastAsia"/>
          <w:kern w:val="0"/>
          <w:szCs w:val="22"/>
        </w:rPr>
        <w:t xml:space="preserve">[1] </w:t>
      </w:r>
      <w:r>
        <w:rPr>
          <w:kern w:val="0"/>
          <w:szCs w:val="22"/>
        </w:rPr>
        <w:t>IPCC. Climate Change 2021: The Physical Science Basis. Working Group I contribution</w:t>
      </w:r>
      <w:r>
        <w:rPr>
          <w:rFonts w:hint="eastAsia"/>
          <w:kern w:val="0"/>
          <w:szCs w:val="22"/>
        </w:rPr>
        <w:t xml:space="preserve"> </w:t>
      </w:r>
      <w:r>
        <w:rPr>
          <w:kern w:val="0"/>
          <w:szCs w:val="22"/>
        </w:rPr>
        <w:t>to the Sixth Assessment Report of the Intergovernmental Panel on Climate Change. Richard P.Allan., Paola A. Arias., Sophie Berger., Josep G. Canadell., Christophe Cassou., Deliang Chen.,</w:t>
      </w:r>
      <w:r>
        <w:rPr>
          <w:rFonts w:hint="eastAsia"/>
          <w:kern w:val="0"/>
          <w:szCs w:val="22"/>
        </w:rPr>
        <w:t xml:space="preserve"> </w:t>
      </w:r>
      <w:r>
        <w:rPr>
          <w:kern w:val="0"/>
          <w:szCs w:val="22"/>
        </w:rPr>
        <w:t>Annalisa Cherchi., Sarah L. Connors., Erika Coppola., Faye Abigail Cruz., et al, Cambridge</w:t>
      </w:r>
      <w:r>
        <w:rPr>
          <w:rFonts w:hint="eastAsia"/>
          <w:kern w:val="0"/>
          <w:szCs w:val="22"/>
        </w:rPr>
        <w:t xml:space="preserve"> </w:t>
      </w:r>
      <w:r>
        <w:rPr>
          <w:kern w:val="0"/>
          <w:szCs w:val="22"/>
        </w:rPr>
        <w:t>University Press 2021, pp 7SM24-35</w:t>
      </w:r>
    </w:p>
    <w:p>
      <w:pPr>
        <w:widowControl/>
        <w:tabs>
          <w:tab w:val="left" w:pos="1513"/>
          <w:tab w:val="center" w:pos="4887"/>
        </w:tabs>
        <w:autoSpaceDE w:val="0"/>
        <w:autoSpaceDN w:val="0"/>
        <w:spacing w:line="380" w:lineRule="exact"/>
        <w:ind w:firstLine="420" w:firstLineChars="200"/>
        <w:outlineLvl w:val="0"/>
        <w:rPr>
          <w:kern w:val="0"/>
          <w:szCs w:val="22"/>
        </w:rPr>
      </w:pPr>
      <w:r>
        <w:rPr>
          <w:rFonts w:hint="eastAsia"/>
          <w:kern w:val="0"/>
          <w:szCs w:val="22"/>
        </w:rPr>
        <w:t>[2]</w:t>
      </w:r>
      <w:r>
        <w:rPr>
          <w:rFonts w:hint="eastAsia"/>
          <w:kern w:val="0"/>
          <w:szCs w:val="21"/>
        </w:rPr>
        <w:t>《工业其他行业企业温室气体排放核算方法与报告指南（试行）》 2015年7月</w:t>
      </w:r>
    </w:p>
    <w:sectPr>
      <w:headerReference r:id="rId10" w:type="default"/>
      <w:footerReference r:id="rId11" w:type="default"/>
      <w:footerReference r:id="rId12" w:type="even"/>
      <w:pgSz w:w="11910" w:h="16840"/>
      <w:pgMar w:top="1503" w:right="1242" w:bottom="510" w:left="1678" w:header="1441" w:footer="1141" w:gutter="0"/>
      <w:cols w:space="720" w:num="1"/>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Light">
    <w:altName w:val="汉仪中圆B5"/>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MS Gothic">
    <w:altName w:val="方正书宋_GBK"/>
    <w:panose1 w:val="020B0609070205080204"/>
    <w:charset w:val="80"/>
    <w:family w:val="modern"/>
    <w:pitch w:val="default"/>
    <w:sig w:usb0="00000000" w:usb1="00000000" w:usb2="08000012" w:usb3="00000000" w:csb0="0002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 w:name="䡡湄楮札䍓ⵆ潮瑳">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1"/>
    </w:pP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2186501"/>
    </w:sdtPr>
    <w:sdtContent>
      <w:p>
        <w:pPr>
          <w:pStyle w:val="22"/>
        </w:pPr>
        <w:r>
          <w:fldChar w:fldCharType="begin"/>
        </w:r>
        <w:r>
          <w:instrText xml:space="preserve">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0"/>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1"/>
    </w:pPr>
    <w:r>
      <w:fldChar w:fldCharType="begin"/>
    </w:r>
    <w:r>
      <w:instrText xml:space="preserve"> PAGE  \* MERGEFORMAT </w:instrText>
    </w:r>
    <w:r>
      <w:fldChar w:fldCharType="separate"/>
    </w:r>
    <w: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0"/>
    </w:pPr>
    <w:r>
      <w:fldChar w:fldCharType="begin"/>
    </w:r>
    <w:r>
      <w:instrText xml:space="preserve"> PAGE  \* MERGEFORMAT </w:instrText>
    </w:r>
    <w:r>
      <w:fldChar w:fldCharType="separate"/>
    </w:r>
    <w:r>
      <w:t>I</w:t>
    </w:r>
    <w:r>
      <w:fldChar w:fldCharType="end"/>
    </w: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ascii="宋体" w:hAnsi="宋体"/>
        <w:sz w:val="18"/>
        <w:szCs w:val="18"/>
      </w:rPr>
    </w:pPr>
    <w:r>
      <w:rPr>
        <w:rFonts w:ascii="宋体" w:hAnsi="宋体"/>
        <w:kern w:val="0"/>
        <w:sz w:val="18"/>
        <w:szCs w:val="18"/>
      </w:rPr>
      <w:fldChar w:fldCharType="begin"/>
    </w:r>
    <w:r>
      <w:rPr>
        <w:rFonts w:ascii="宋体" w:hAnsi="宋体"/>
        <w:sz w:val="18"/>
        <w:szCs w:val="18"/>
      </w:rPr>
      <w:instrText xml:space="preserve"> PAGE  \* MERGEFORMAT </w:instrText>
    </w:r>
    <w:r>
      <w:rPr>
        <w:rFonts w:ascii="宋体" w:hAnsi="宋体"/>
        <w:kern w:val="0"/>
        <w:sz w:val="18"/>
        <w:szCs w:val="18"/>
      </w:rPr>
      <w:fldChar w:fldCharType="separate"/>
    </w:r>
    <w:r>
      <w:rPr>
        <w:rFonts w:ascii="宋体" w:hAnsi="宋体"/>
        <w:sz w:val="18"/>
        <w:szCs w:val="18"/>
      </w:rPr>
      <w:t>4</w:t>
    </w:r>
    <w:r>
      <w:rPr>
        <w:rFonts w:ascii="宋体" w:hAnsi="宋体"/>
        <w:kern w:val="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9"/>
    </w:pPr>
    <w:r>
      <w:rPr>
        <w:rFonts w:hint="eastAsia" w:ascii="Times New Roman"/>
        <w:b/>
      </w:rPr>
      <w:t>DB31/T</w:t>
    </w:r>
    <w:r>
      <w:rPr>
        <w:b/>
      </w:rPr>
      <w:t xml:space="preserve"> </w:t>
    </w:r>
    <w:r>
      <w:rPr>
        <w:rFonts w:hint="eastAsia"/>
      </w:rPr>
      <w:t>XXXX</w:t>
    </w:r>
    <w:r>
      <w:t>—20</w:t>
    </w:r>
    <w:r>
      <w:rPr>
        <w:rFonts w:hint="eastAsia"/>
      </w:rPr>
      <w:t>2</w:t>
    </w:r>
    <w: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0"/>
      <w:ind w:right="211"/>
    </w:pPr>
    <w:r>
      <w:rPr>
        <w:rFonts w:hint="eastAsia" w:ascii="Times New Roman"/>
        <w:b/>
      </w:rPr>
      <w:t>DB31/T</w:t>
    </w:r>
    <w:r>
      <w:rPr>
        <w:b/>
      </w:rPr>
      <w:t xml:space="preserve"> </w:t>
    </w:r>
    <w:r>
      <w:t>XXX</w:t>
    </w:r>
    <w:r>
      <w:rPr>
        <w:rFonts w:hint="eastAsia"/>
      </w:rPr>
      <w:t>X</w:t>
    </w:r>
    <w:r>
      <w:t>—20</w:t>
    </w:r>
    <w:r>
      <w:rPr>
        <w:rFonts w:hint="eastAsia"/>
      </w:rPr>
      <w:t>2</w:t>
    </w:r>
    <w: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0"/>
      <w:ind w:right="211"/>
    </w:pPr>
    <w:r>
      <w:rPr>
        <w:rFonts w:hint="eastAsia" w:ascii="Times New Roman"/>
        <w:b/>
      </w:rPr>
      <w:t>DB31/T</w:t>
    </w:r>
    <w:r>
      <w:rPr>
        <w:b/>
      </w:rPr>
      <w:t xml:space="preserve"> </w:t>
    </w:r>
    <w:r>
      <w:t>XX</w:t>
    </w:r>
    <w:r>
      <w:rPr>
        <w:rFonts w:hint="eastAsia"/>
      </w:rPr>
      <w:t>X</w:t>
    </w:r>
    <w:r>
      <w:t>X—20</w:t>
    </w:r>
    <w:r>
      <w:rPr>
        <w:rFonts w:hint="eastAsia"/>
      </w:rPr>
      <w:t>2</w:t>
    </w:r>
    <w: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67857"/>
    <w:multiLevelType w:val="multilevel"/>
    <w:tmpl w:val="07B67857"/>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
    <w:nsid w:val="0CE6768A"/>
    <w:multiLevelType w:val="multilevel"/>
    <w:tmpl w:val="0CE6768A"/>
    <w:lvl w:ilvl="0" w:tentative="0">
      <w:start w:val="1"/>
      <w:numFmt w:val="japaneseCounting"/>
      <w:lvlText w:val="%1、"/>
      <w:lvlJc w:val="left"/>
      <w:pPr>
        <w:ind w:left="621" w:hanging="440"/>
      </w:pPr>
      <w:rPr>
        <w:rFonts w:hint="default"/>
      </w:rPr>
    </w:lvl>
    <w:lvl w:ilvl="1" w:tentative="0">
      <w:start w:val="1"/>
      <w:numFmt w:val="lowerLetter"/>
      <w:lvlText w:val="%2)"/>
      <w:lvlJc w:val="left"/>
      <w:pPr>
        <w:ind w:left="1061" w:hanging="440"/>
      </w:pPr>
    </w:lvl>
    <w:lvl w:ilvl="2" w:tentative="0">
      <w:start w:val="1"/>
      <w:numFmt w:val="lowerRoman"/>
      <w:lvlText w:val="%3."/>
      <w:lvlJc w:val="right"/>
      <w:pPr>
        <w:ind w:left="1501" w:hanging="440"/>
      </w:pPr>
    </w:lvl>
    <w:lvl w:ilvl="3" w:tentative="0">
      <w:start w:val="1"/>
      <w:numFmt w:val="decimal"/>
      <w:lvlText w:val="%4."/>
      <w:lvlJc w:val="left"/>
      <w:pPr>
        <w:ind w:left="1941" w:hanging="440"/>
      </w:pPr>
    </w:lvl>
    <w:lvl w:ilvl="4" w:tentative="0">
      <w:start w:val="1"/>
      <w:numFmt w:val="lowerLetter"/>
      <w:lvlText w:val="%5)"/>
      <w:lvlJc w:val="left"/>
      <w:pPr>
        <w:ind w:left="2381" w:hanging="440"/>
      </w:pPr>
    </w:lvl>
    <w:lvl w:ilvl="5" w:tentative="0">
      <w:start w:val="1"/>
      <w:numFmt w:val="lowerRoman"/>
      <w:lvlText w:val="%6."/>
      <w:lvlJc w:val="right"/>
      <w:pPr>
        <w:ind w:left="2821" w:hanging="440"/>
      </w:pPr>
    </w:lvl>
    <w:lvl w:ilvl="6" w:tentative="0">
      <w:start w:val="1"/>
      <w:numFmt w:val="decimal"/>
      <w:lvlText w:val="%7."/>
      <w:lvlJc w:val="left"/>
      <w:pPr>
        <w:ind w:left="3261" w:hanging="440"/>
      </w:pPr>
    </w:lvl>
    <w:lvl w:ilvl="7" w:tentative="0">
      <w:start w:val="1"/>
      <w:numFmt w:val="lowerLetter"/>
      <w:lvlText w:val="%8)"/>
      <w:lvlJc w:val="left"/>
      <w:pPr>
        <w:ind w:left="3701" w:hanging="440"/>
      </w:pPr>
    </w:lvl>
    <w:lvl w:ilvl="8" w:tentative="0">
      <w:start w:val="1"/>
      <w:numFmt w:val="lowerRoman"/>
      <w:lvlText w:val="%9."/>
      <w:lvlJc w:val="right"/>
      <w:pPr>
        <w:ind w:left="4141" w:hanging="440"/>
      </w:pPr>
    </w:lvl>
  </w:abstractNum>
  <w:abstractNum w:abstractNumId="2">
    <w:nsid w:val="0E2569F8"/>
    <w:multiLevelType w:val="multilevel"/>
    <w:tmpl w:val="0E2569F8"/>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
    <w:nsid w:val="1DBF583A"/>
    <w:multiLevelType w:val="multilevel"/>
    <w:tmpl w:val="1DBF583A"/>
    <w:lvl w:ilvl="0" w:tentative="0">
      <w:start w:val="1"/>
      <w:numFmt w:val="decimal"/>
      <w:pStyle w:val="155"/>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4">
    <w:nsid w:val="1FC91163"/>
    <w:multiLevelType w:val="multilevel"/>
    <w:tmpl w:val="1FC91163"/>
    <w:lvl w:ilvl="0" w:tentative="0">
      <w:start w:val="1"/>
      <w:numFmt w:val="decimal"/>
      <w:pStyle w:val="138"/>
      <w:suff w:val="nothing"/>
      <w:lvlText w:val="%1　"/>
      <w:lvlJc w:val="left"/>
      <w:rPr>
        <w:rFonts w:hint="default" w:ascii="黑体" w:hAnsi="Times New Roman" w:eastAsia="黑体" w:cs="Times New Roman"/>
        <w:b w:val="0"/>
        <w:i w:val="0"/>
        <w:sz w:val="21"/>
        <w:szCs w:val="21"/>
      </w:rPr>
    </w:lvl>
    <w:lvl w:ilvl="1" w:tentative="0">
      <w:start w:val="1"/>
      <w:numFmt w:val="decimal"/>
      <w:pStyle w:val="58"/>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4"/>
        <w:u w:val="none"/>
        <w:vertAlign w:val="baseline"/>
      </w:rPr>
    </w:lvl>
    <w:lvl w:ilvl="2" w:tentative="0">
      <w:start w:val="1"/>
      <w:numFmt w:val="decimal"/>
      <w:suff w:val="nothing"/>
      <w:lvlText w:val="%1.%2.%3　"/>
      <w:lvlJc w:val="left"/>
      <w:pPr>
        <w:ind w:left="993"/>
      </w:pPr>
      <w:rPr>
        <w:rFonts w:hint="eastAsia" w:ascii="黑体" w:hAnsi="Times New Roman" w:eastAsia="黑体" w:cs="Times New Roman"/>
        <w:b w:val="0"/>
        <w:i w:val="0"/>
        <w:sz w:val="24"/>
        <w:szCs w:val="24"/>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5">
    <w:nsid w:val="20982E62"/>
    <w:multiLevelType w:val="multilevel"/>
    <w:tmpl w:val="20982E62"/>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6">
    <w:nsid w:val="2A8F7113"/>
    <w:multiLevelType w:val="multilevel"/>
    <w:tmpl w:val="2A8F7113"/>
    <w:lvl w:ilvl="0" w:tentative="0">
      <w:start w:val="1"/>
      <w:numFmt w:val="upperLetter"/>
      <w:pStyle w:val="142"/>
      <w:suff w:val="space"/>
      <w:lvlText w:val="%1"/>
      <w:lvlJc w:val="left"/>
      <w:pPr>
        <w:ind w:left="623" w:hanging="425"/>
      </w:pPr>
      <w:rPr>
        <w:rFonts w:hint="eastAsia" w:cs="Times New Roman"/>
      </w:rPr>
    </w:lvl>
    <w:lvl w:ilvl="1" w:tentative="0">
      <w:start w:val="1"/>
      <w:numFmt w:val="decimal"/>
      <w:pStyle w:val="112"/>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7">
    <w:nsid w:val="2C5917C3"/>
    <w:multiLevelType w:val="multilevel"/>
    <w:tmpl w:val="2C5917C3"/>
    <w:lvl w:ilvl="0" w:tentative="0">
      <w:start w:val="1"/>
      <w:numFmt w:val="none"/>
      <w:pStyle w:val="76"/>
      <w:suff w:val="nothing"/>
      <w:lvlText w:val="%1——"/>
      <w:lvlJc w:val="left"/>
      <w:pPr>
        <w:ind w:left="834" w:hanging="408"/>
      </w:pPr>
      <w:rPr>
        <w:rFonts w:hint="eastAsia" w:cs="Times New Roman"/>
      </w:rPr>
    </w:lvl>
    <w:lvl w:ilvl="1" w:tentative="0">
      <w:start w:val="1"/>
      <w:numFmt w:val="bullet"/>
      <w:pStyle w:val="118"/>
      <w:lvlText w:val=""/>
      <w:lvlJc w:val="left"/>
      <w:pPr>
        <w:tabs>
          <w:tab w:val="left" w:pos="761"/>
        </w:tabs>
        <w:ind w:left="1265" w:hanging="413"/>
      </w:pPr>
      <w:rPr>
        <w:rFonts w:hint="default" w:ascii="Symbol" w:hAnsi="Symbol"/>
        <w:color w:val="auto"/>
      </w:rPr>
    </w:lvl>
    <w:lvl w:ilvl="2" w:tentative="0">
      <w:start w:val="1"/>
      <w:numFmt w:val="bullet"/>
      <w:pStyle w:val="143"/>
      <w:lvlText w:val=""/>
      <w:lvlJc w:val="left"/>
      <w:pPr>
        <w:tabs>
          <w:tab w:val="left" w:pos="1679"/>
        </w:tabs>
        <w:ind w:left="1679" w:hanging="414"/>
      </w:pPr>
      <w:rPr>
        <w:rFonts w:hint="default" w:ascii="Symbol" w:hAnsi="Symbol"/>
        <w:color w:val="auto"/>
      </w:rPr>
    </w:lvl>
    <w:lvl w:ilvl="3" w:tentative="0">
      <w:start w:val="1"/>
      <w:numFmt w:val="decimal"/>
      <w:lvlText w:val="%4."/>
      <w:lvlJc w:val="left"/>
      <w:pPr>
        <w:tabs>
          <w:tab w:val="left" w:pos="2072"/>
        </w:tabs>
        <w:ind w:left="1885" w:hanging="528"/>
      </w:pPr>
      <w:rPr>
        <w:rFonts w:hint="eastAsia" w:cs="Times New Roman"/>
      </w:rPr>
    </w:lvl>
    <w:lvl w:ilvl="4" w:tentative="0">
      <w:start w:val="1"/>
      <w:numFmt w:val="lowerLetter"/>
      <w:lvlText w:val="%5)"/>
      <w:lvlJc w:val="left"/>
      <w:pPr>
        <w:tabs>
          <w:tab w:val="left" w:pos="2384"/>
        </w:tabs>
        <w:ind w:left="2197" w:hanging="528"/>
      </w:pPr>
      <w:rPr>
        <w:rFonts w:hint="eastAsia" w:cs="Times New Roman"/>
      </w:rPr>
    </w:lvl>
    <w:lvl w:ilvl="5" w:tentative="0">
      <w:start w:val="1"/>
      <w:numFmt w:val="lowerRoman"/>
      <w:lvlText w:val="%6."/>
      <w:lvlJc w:val="right"/>
      <w:pPr>
        <w:tabs>
          <w:tab w:val="left" w:pos="2696"/>
        </w:tabs>
        <w:ind w:left="2509" w:hanging="528"/>
      </w:pPr>
      <w:rPr>
        <w:rFonts w:hint="eastAsia" w:cs="Times New Roman"/>
      </w:rPr>
    </w:lvl>
    <w:lvl w:ilvl="6" w:tentative="0">
      <w:start w:val="1"/>
      <w:numFmt w:val="decimal"/>
      <w:lvlText w:val="%7."/>
      <w:lvlJc w:val="left"/>
      <w:pPr>
        <w:tabs>
          <w:tab w:val="left" w:pos="3008"/>
        </w:tabs>
        <w:ind w:left="2821" w:hanging="528"/>
      </w:pPr>
      <w:rPr>
        <w:rFonts w:hint="eastAsia" w:cs="Times New Roman"/>
      </w:rPr>
    </w:lvl>
    <w:lvl w:ilvl="7" w:tentative="0">
      <w:start w:val="1"/>
      <w:numFmt w:val="lowerLetter"/>
      <w:lvlText w:val="%8)"/>
      <w:lvlJc w:val="left"/>
      <w:pPr>
        <w:tabs>
          <w:tab w:val="left" w:pos="3320"/>
        </w:tabs>
        <w:ind w:left="3133" w:hanging="528"/>
      </w:pPr>
      <w:rPr>
        <w:rFonts w:hint="eastAsia" w:cs="Times New Roman"/>
      </w:rPr>
    </w:lvl>
    <w:lvl w:ilvl="8" w:tentative="0">
      <w:start w:val="1"/>
      <w:numFmt w:val="lowerRoman"/>
      <w:lvlText w:val="%9."/>
      <w:lvlJc w:val="right"/>
      <w:pPr>
        <w:tabs>
          <w:tab w:val="left" w:pos="3632"/>
        </w:tabs>
        <w:ind w:left="3445" w:hanging="528"/>
      </w:pPr>
      <w:rPr>
        <w:rFonts w:hint="eastAsia" w:cs="Times New Roman"/>
      </w:rPr>
    </w:lvl>
  </w:abstractNum>
  <w:abstractNum w:abstractNumId="8">
    <w:nsid w:val="2E955045"/>
    <w:multiLevelType w:val="multilevel"/>
    <w:tmpl w:val="2E955045"/>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9">
    <w:nsid w:val="3968110F"/>
    <w:multiLevelType w:val="multilevel"/>
    <w:tmpl w:val="3968110F"/>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0">
    <w:nsid w:val="3B4E4C7E"/>
    <w:multiLevelType w:val="multilevel"/>
    <w:tmpl w:val="3B4E4C7E"/>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11">
    <w:nsid w:val="3D733618"/>
    <w:multiLevelType w:val="multilevel"/>
    <w:tmpl w:val="3D733618"/>
    <w:lvl w:ilvl="0" w:tentative="0">
      <w:start w:val="1"/>
      <w:numFmt w:val="decimal"/>
      <w:pStyle w:val="29"/>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2">
    <w:nsid w:val="432D6655"/>
    <w:multiLevelType w:val="multilevel"/>
    <w:tmpl w:val="432D6655"/>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13">
    <w:nsid w:val="436131FF"/>
    <w:multiLevelType w:val="multilevel"/>
    <w:tmpl w:val="436131FF"/>
    <w:lvl w:ilvl="0" w:tentative="0">
      <w:start w:val="1"/>
      <w:numFmt w:val="lowerLetter"/>
      <w:lvlText w:val="%1）"/>
      <w:lvlJc w:val="left"/>
      <w:pPr>
        <w:ind w:left="780" w:hanging="360"/>
      </w:pPr>
      <w:rPr>
        <w:rFonts w:hint="default"/>
      </w:rPr>
    </w:lvl>
    <w:lvl w:ilvl="1" w:tentative="0">
      <w:start w:val="4"/>
      <w:numFmt w:val="decimal"/>
      <w:pStyle w:val="146"/>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14">
    <w:nsid w:val="44C50F90"/>
    <w:multiLevelType w:val="multilevel"/>
    <w:tmpl w:val="44C50F90"/>
    <w:lvl w:ilvl="0" w:tentative="0">
      <w:start w:val="1"/>
      <w:numFmt w:val="lowerLetter"/>
      <w:pStyle w:val="101"/>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122"/>
      <w:lvlText w:val="%2)"/>
      <w:lvlJc w:val="left"/>
      <w:pPr>
        <w:tabs>
          <w:tab w:val="left" w:pos="1260"/>
        </w:tabs>
        <w:ind w:left="1259" w:hanging="419"/>
      </w:pPr>
      <w:rPr>
        <w:rFonts w:hint="eastAsia" w:cs="Times New Roman"/>
      </w:rPr>
    </w:lvl>
    <w:lvl w:ilvl="2" w:tentative="0">
      <w:start w:val="1"/>
      <w:numFmt w:val="decimal"/>
      <w:pStyle w:val="147"/>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5">
    <w:nsid w:val="48F47396"/>
    <w:multiLevelType w:val="multilevel"/>
    <w:tmpl w:val="48F47396"/>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16">
    <w:nsid w:val="5A2764F0"/>
    <w:multiLevelType w:val="multilevel"/>
    <w:tmpl w:val="5A2764F0"/>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17">
    <w:nsid w:val="60B55DC2"/>
    <w:multiLevelType w:val="multilevel"/>
    <w:tmpl w:val="60B55DC2"/>
    <w:lvl w:ilvl="0" w:tentative="0">
      <w:start w:val="1"/>
      <w:numFmt w:val="upperLetter"/>
      <w:pStyle w:val="78"/>
      <w:lvlText w:val="%1"/>
      <w:lvlJc w:val="left"/>
      <w:pPr>
        <w:tabs>
          <w:tab w:val="left" w:pos="0"/>
        </w:tabs>
        <w:ind w:hanging="425"/>
      </w:pPr>
      <w:rPr>
        <w:rFonts w:hint="eastAsia" w:cs="Times New Roman"/>
      </w:rPr>
    </w:lvl>
    <w:lvl w:ilvl="1" w:tentative="0">
      <w:start w:val="1"/>
      <w:numFmt w:val="decimal"/>
      <w:pStyle w:val="158"/>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8">
    <w:nsid w:val="646260FA"/>
    <w:multiLevelType w:val="multilevel"/>
    <w:tmpl w:val="646260FA"/>
    <w:lvl w:ilvl="0" w:tentative="0">
      <w:start w:val="1"/>
      <w:numFmt w:val="decimal"/>
      <w:pStyle w:val="149"/>
      <w:suff w:val="nothing"/>
      <w:lvlText w:val="表%1　"/>
      <w:lvlJc w:val="left"/>
      <w:rPr>
        <w:rFonts w:hint="eastAsia" w:ascii="黑体" w:hAnsi="Times New Roman" w:eastAsia="黑体" w:cs="Times New Roman"/>
        <w:b w:val="0"/>
        <w:i w:val="0"/>
        <w:sz w:val="21"/>
        <w:lang w:val="en-US"/>
      </w:rPr>
    </w:lvl>
    <w:lvl w:ilvl="1" w:tentative="0">
      <w:start w:val="1"/>
      <w:numFmt w:val="decimal"/>
      <w:lvlText w:val="%1.%2"/>
      <w:lvlJc w:val="left"/>
      <w:pPr>
        <w:tabs>
          <w:tab w:val="left" w:pos="5245"/>
        </w:tabs>
        <w:ind w:left="5245" w:hanging="567"/>
      </w:pPr>
      <w:rPr>
        <w:rFonts w:hint="eastAsia" w:cs="Times New Roman"/>
      </w:rPr>
    </w:lvl>
    <w:lvl w:ilvl="2" w:tentative="0">
      <w:start w:val="1"/>
      <w:numFmt w:val="decimal"/>
      <w:lvlText w:val="%1.%2.%3"/>
      <w:lvlJc w:val="left"/>
      <w:pPr>
        <w:tabs>
          <w:tab w:val="left" w:pos="5671"/>
        </w:tabs>
        <w:ind w:left="5671" w:hanging="567"/>
      </w:pPr>
      <w:rPr>
        <w:rFonts w:hint="eastAsia" w:cs="Times New Roman"/>
      </w:rPr>
    </w:lvl>
    <w:lvl w:ilvl="3" w:tentative="0">
      <w:start w:val="1"/>
      <w:numFmt w:val="decimal"/>
      <w:lvlText w:val="%1.%2.%3.%4"/>
      <w:lvlJc w:val="left"/>
      <w:pPr>
        <w:tabs>
          <w:tab w:val="left" w:pos="6237"/>
        </w:tabs>
        <w:ind w:left="6237" w:hanging="708"/>
      </w:pPr>
      <w:rPr>
        <w:rFonts w:hint="eastAsia" w:cs="Times New Roman"/>
      </w:rPr>
    </w:lvl>
    <w:lvl w:ilvl="4" w:tentative="0">
      <w:start w:val="1"/>
      <w:numFmt w:val="decimal"/>
      <w:lvlText w:val="%1.%2.%3.%4.%5"/>
      <w:lvlJc w:val="left"/>
      <w:pPr>
        <w:tabs>
          <w:tab w:val="left" w:pos="6804"/>
        </w:tabs>
        <w:ind w:left="6804" w:hanging="850"/>
      </w:pPr>
      <w:rPr>
        <w:rFonts w:hint="eastAsia" w:cs="Times New Roman"/>
      </w:rPr>
    </w:lvl>
    <w:lvl w:ilvl="5" w:tentative="0">
      <w:start w:val="1"/>
      <w:numFmt w:val="decimal"/>
      <w:lvlText w:val="%1.%2.%3.%4.%5.%6"/>
      <w:lvlJc w:val="left"/>
      <w:pPr>
        <w:tabs>
          <w:tab w:val="left" w:pos="7513"/>
        </w:tabs>
        <w:ind w:left="7513" w:hanging="1134"/>
      </w:pPr>
      <w:rPr>
        <w:rFonts w:hint="eastAsia" w:cs="Times New Roman"/>
      </w:rPr>
    </w:lvl>
    <w:lvl w:ilvl="6" w:tentative="0">
      <w:start w:val="1"/>
      <w:numFmt w:val="decimal"/>
      <w:lvlText w:val="%1.%2.%3.%4.%5.%6.%7"/>
      <w:lvlJc w:val="left"/>
      <w:pPr>
        <w:tabs>
          <w:tab w:val="left" w:pos="8080"/>
        </w:tabs>
        <w:ind w:left="8080" w:hanging="1276"/>
      </w:pPr>
      <w:rPr>
        <w:rFonts w:hint="eastAsia" w:cs="Times New Roman"/>
      </w:rPr>
    </w:lvl>
    <w:lvl w:ilvl="7" w:tentative="0">
      <w:start w:val="1"/>
      <w:numFmt w:val="decimal"/>
      <w:lvlText w:val="%1.%2.%3.%4.%5.%6.%7.%8"/>
      <w:lvlJc w:val="left"/>
      <w:pPr>
        <w:tabs>
          <w:tab w:val="left" w:pos="8647"/>
        </w:tabs>
        <w:ind w:left="8647" w:hanging="1418"/>
      </w:pPr>
      <w:rPr>
        <w:rFonts w:hint="eastAsia" w:cs="Times New Roman"/>
      </w:rPr>
    </w:lvl>
    <w:lvl w:ilvl="8" w:tentative="0">
      <w:start w:val="1"/>
      <w:numFmt w:val="decimal"/>
      <w:lvlText w:val="%1.%2.%3.%4.%5.%6.%7.%8.%9"/>
      <w:lvlJc w:val="left"/>
      <w:pPr>
        <w:tabs>
          <w:tab w:val="left" w:pos="9355"/>
        </w:tabs>
        <w:ind w:left="9355" w:hanging="1700"/>
      </w:pPr>
      <w:rPr>
        <w:rFonts w:hint="eastAsia" w:cs="Times New Roman"/>
      </w:rPr>
    </w:lvl>
  </w:abstractNum>
  <w:abstractNum w:abstractNumId="19">
    <w:nsid w:val="657D3FBC"/>
    <w:multiLevelType w:val="multilevel"/>
    <w:tmpl w:val="657D3FBC"/>
    <w:lvl w:ilvl="0" w:tentative="0">
      <w:start w:val="1"/>
      <w:numFmt w:val="upperLetter"/>
      <w:pStyle w:val="72"/>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86"/>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85"/>
      <w:suff w:val="nothing"/>
      <w:lvlText w:val="%1.%2.%3　"/>
      <w:lvlJc w:val="left"/>
      <w:rPr>
        <w:rFonts w:hint="eastAsia" w:ascii="黑体" w:hAnsi="Times New Roman" w:eastAsia="黑体" w:cs="Times New Roman"/>
        <w:b w:val="0"/>
        <w:i w:val="0"/>
        <w:sz w:val="21"/>
      </w:rPr>
    </w:lvl>
    <w:lvl w:ilvl="3" w:tentative="0">
      <w:start w:val="1"/>
      <w:numFmt w:val="decimal"/>
      <w:pStyle w:val="92"/>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0">
    <w:nsid w:val="6D6C07CD"/>
    <w:multiLevelType w:val="multilevel"/>
    <w:tmpl w:val="6D6C07CD"/>
    <w:lvl w:ilvl="0" w:tentative="0">
      <w:start w:val="1"/>
      <w:numFmt w:val="lowerLetter"/>
      <w:pStyle w:val="136"/>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94"/>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1">
    <w:nsid w:val="7944065B"/>
    <w:multiLevelType w:val="multilevel"/>
    <w:tmpl w:val="7944065B"/>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abstractNum w:abstractNumId="22">
    <w:nsid w:val="79E63FFF"/>
    <w:multiLevelType w:val="multilevel"/>
    <w:tmpl w:val="79E63FFF"/>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rPr>
        <w:rFonts w:hint="eastAsia"/>
      </w:rPr>
    </w:lvl>
    <w:lvl w:ilvl="2" w:tentative="0">
      <w:start w:val="1"/>
      <w:numFmt w:val="lowerRoman"/>
      <w:lvlText w:val="%3."/>
      <w:lvlJc w:val="right"/>
      <w:pPr>
        <w:ind w:left="1740" w:hanging="440"/>
      </w:pPr>
      <w:rPr>
        <w:rFonts w:hint="eastAsia"/>
      </w:rPr>
    </w:lvl>
    <w:lvl w:ilvl="3" w:tentative="0">
      <w:start w:val="1"/>
      <w:numFmt w:val="decimal"/>
      <w:lvlText w:val="%4."/>
      <w:lvlJc w:val="left"/>
      <w:pPr>
        <w:ind w:left="2180" w:hanging="440"/>
      </w:pPr>
      <w:rPr>
        <w:rFonts w:hint="eastAsia"/>
      </w:rPr>
    </w:lvl>
    <w:lvl w:ilvl="4" w:tentative="0">
      <w:start w:val="1"/>
      <w:numFmt w:val="lowerLetter"/>
      <w:lvlText w:val="%5)"/>
      <w:lvlJc w:val="left"/>
      <w:pPr>
        <w:ind w:left="2620" w:hanging="440"/>
      </w:pPr>
      <w:rPr>
        <w:rFonts w:hint="eastAsia"/>
      </w:rPr>
    </w:lvl>
    <w:lvl w:ilvl="5" w:tentative="0">
      <w:start w:val="1"/>
      <w:numFmt w:val="lowerRoman"/>
      <w:lvlText w:val="%6."/>
      <w:lvlJc w:val="right"/>
      <w:pPr>
        <w:ind w:left="3060" w:hanging="440"/>
      </w:pPr>
      <w:rPr>
        <w:rFonts w:hint="eastAsia"/>
      </w:rPr>
    </w:lvl>
    <w:lvl w:ilvl="6" w:tentative="0">
      <w:start w:val="1"/>
      <w:numFmt w:val="decimal"/>
      <w:lvlText w:val="%7."/>
      <w:lvlJc w:val="left"/>
      <w:pPr>
        <w:ind w:left="3500" w:hanging="440"/>
      </w:pPr>
      <w:rPr>
        <w:rFonts w:hint="eastAsia"/>
      </w:rPr>
    </w:lvl>
    <w:lvl w:ilvl="7" w:tentative="0">
      <w:start w:val="1"/>
      <w:numFmt w:val="lowerLetter"/>
      <w:lvlText w:val="%8)"/>
      <w:lvlJc w:val="left"/>
      <w:pPr>
        <w:ind w:left="3940" w:hanging="440"/>
      </w:pPr>
      <w:rPr>
        <w:rFonts w:hint="eastAsia"/>
      </w:rPr>
    </w:lvl>
    <w:lvl w:ilvl="8" w:tentative="0">
      <w:start w:val="1"/>
      <w:numFmt w:val="lowerRoman"/>
      <w:lvlText w:val="%9."/>
      <w:lvlJc w:val="right"/>
      <w:pPr>
        <w:ind w:left="4380" w:hanging="440"/>
      </w:pPr>
      <w:rPr>
        <w:rFonts w:hint="eastAsia"/>
      </w:rPr>
    </w:lvl>
  </w:abstractNum>
  <w:num w:numId="1">
    <w:abstractNumId w:val="11"/>
  </w:num>
  <w:num w:numId="2">
    <w:abstractNumId w:val="4"/>
  </w:num>
  <w:num w:numId="3">
    <w:abstractNumId w:val="19"/>
  </w:num>
  <w:num w:numId="4">
    <w:abstractNumId w:val="7"/>
  </w:num>
  <w:num w:numId="5">
    <w:abstractNumId w:val="17"/>
  </w:num>
  <w:num w:numId="6">
    <w:abstractNumId w:val="20"/>
  </w:num>
  <w:num w:numId="7">
    <w:abstractNumId w:val="14"/>
  </w:num>
  <w:num w:numId="8">
    <w:abstractNumId w:val="6"/>
  </w:num>
  <w:num w:numId="9">
    <w:abstractNumId w:val="13"/>
  </w:num>
  <w:num w:numId="10">
    <w:abstractNumId w:val="18"/>
  </w:num>
  <w:num w:numId="11">
    <w:abstractNumId w:val="3"/>
  </w:num>
  <w:num w:numId="12">
    <w:abstractNumId w:val="0"/>
  </w:num>
  <w:num w:numId="13">
    <w:abstractNumId w:val="21"/>
  </w:num>
  <w:num w:numId="14">
    <w:abstractNumId w:val="15"/>
  </w:num>
  <w:num w:numId="15">
    <w:abstractNumId w:val="10"/>
  </w:num>
  <w:num w:numId="16">
    <w:abstractNumId w:val="8"/>
  </w:num>
  <w:num w:numId="17">
    <w:abstractNumId w:val="22"/>
  </w:num>
  <w:num w:numId="18">
    <w:abstractNumId w:val="2"/>
  </w:num>
  <w:num w:numId="19">
    <w:abstractNumId w:val="16"/>
  </w:num>
  <w:num w:numId="20">
    <w:abstractNumId w:val="12"/>
  </w:num>
  <w:num w:numId="21">
    <w:abstractNumId w:val="5"/>
  </w:num>
  <w:num w:numId="22">
    <w:abstractNumId w:val="9"/>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evenAndOddHeaders w:val="true"/>
  <w:drawingGridHorizontalSpacing w:val="105"/>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FjMjFkOWI2YTc3ODFlMzI0ZDM1YmQyMzMxNWJjZDgifQ=="/>
  </w:docVars>
  <w:rsids>
    <w:rsidRoot w:val="00346872"/>
    <w:rsid w:val="00000244"/>
    <w:rsid w:val="0000050A"/>
    <w:rsid w:val="000005BE"/>
    <w:rsid w:val="000007B0"/>
    <w:rsid w:val="000008B5"/>
    <w:rsid w:val="00000E6E"/>
    <w:rsid w:val="00000FC2"/>
    <w:rsid w:val="00001162"/>
    <w:rsid w:val="000011FE"/>
    <w:rsid w:val="000014BF"/>
    <w:rsid w:val="000015D7"/>
    <w:rsid w:val="0000185F"/>
    <w:rsid w:val="00001CEF"/>
    <w:rsid w:val="00001F5F"/>
    <w:rsid w:val="00001F85"/>
    <w:rsid w:val="000020D7"/>
    <w:rsid w:val="00002599"/>
    <w:rsid w:val="00002AA3"/>
    <w:rsid w:val="00002C09"/>
    <w:rsid w:val="00002CAA"/>
    <w:rsid w:val="00002E43"/>
    <w:rsid w:val="0000445F"/>
    <w:rsid w:val="0000486E"/>
    <w:rsid w:val="00005079"/>
    <w:rsid w:val="00005808"/>
    <w:rsid w:val="0000586F"/>
    <w:rsid w:val="0000595E"/>
    <w:rsid w:val="000069F5"/>
    <w:rsid w:val="00006D9F"/>
    <w:rsid w:val="00006E3C"/>
    <w:rsid w:val="00007757"/>
    <w:rsid w:val="0000795C"/>
    <w:rsid w:val="00007BFF"/>
    <w:rsid w:val="00007EA0"/>
    <w:rsid w:val="00007F77"/>
    <w:rsid w:val="00010173"/>
    <w:rsid w:val="00010317"/>
    <w:rsid w:val="00010AAF"/>
    <w:rsid w:val="0001101D"/>
    <w:rsid w:val="00012018"/>
    <w:rsid w:val="00012425"/>
    <w:rsid w:val="000125F7"/>
    <w:rsid w:val="00012F4D"/>
    <w:rsid w:val="00013D86"/>
    <w:rsid w:val="00013E02"/>
    <w:rsid w:val="00013E43"/>
    <w:rsid w:val="0001497E"/>
    <w:rsid w:val="00015DC9"/>
    <w:rsid w:val="000160C5"/>
    <w:rsid w:val="000161AA"/>
    <w:rsid w:val="000168A8"/>
    <w:rsid w:val="00016EEC"/>
    <w:rsid w:val="00016F3A"/>
    <w:rsid w:val="00017758"/>
    <w:rsid w:val="00017F15"/>
    <w:rsid w:val="000200D7"/>
    <w:rsid w:val="000203F6"/>
    <w:rsid w:val="0002143C"/>
    <w:rsid w:val="000217F7"/>
    <w:rsid w:val="00021FEF"/>
    <w:rsid w:val="00023027"/>
    <w:rsid w:val="00023319"/>
    <w:rsid w:val="0002343E"/>
    <w:rsid w:val="00023444"/>
    <w:rsid w:val="000235A4"/>
    <w:rsid w:val="00023693"/>
    <w:rsid w:val="00023A68"/>
    <w:rsid w:val="000246D5"/>
    <w:rsid w:val="00025270"/>
    <w:rsid w:val="00025A65"/>
    <w:rsid w:val="00025E21"/>
    <w:rsid w:val="00026307"/>
    <w:rsid w:val="000266E4"/>
    <w:rsid w:val="00026C31"/>
    <w:rsid w:val="00027280"/>
    <w:rsid w:val="00030918"/>
    <w:rsid w:val="00031102"/>
    <w:rsid w:val="000319D6"/>
    <w:rsid w:val="00031A15"/>
    <w:rsid w:val="00032081"/>
    <w:rsid w:val="000320A7"/>
    <w:rsid w:val="00032188"/>
    <w:rsid w:val="000326DC"/>
    <w:rsid w:val="00032A27"/>
    <w:rsid w:val="00032C02"/>
    <w:rsid w:val="00032C3F"/>
    <w:rsid w:val="00033247"/>
    <w:rsid w:val="00033545"/>
    <w:rsid w:val="000335EB"/>
    <w:rsid w:val="00033B25"/>
    <w:rsid w:val="00034775"/>
    <w:rsid w:val="00034CA5"/>
    <w:rsid w:val="0003591A"/>
    <w:rsid w:val="00035925"/>
    <w:rsid w:val="000359FA"/>
    <w:rsid w:val="00035C5E"/>
    <w:rsid w:val="0003627D"/>
    <w:rsid w:val="00036CEB"/>
    <w:rsid w:val="00036D26"/>
    <w:rsid w:val="00036F60"/>
    <w:rsid w:val="00037376"/>
    <w:rsid w:val="00037E57"/>
    <w:rsid w:val="00040A68"/>
    <w:rsid w:val="00040AE7"/>
    <w:rsid w:val="00040B7C"/>
    <w:rsid w:val="00040F28"/>
    <w:rsid w:val="00040F55"/>
    <w:rsid w:val="0004118D"/>
    <w:rsid w:val="00041A99"/>
    <w:rsid w:val="00042059"/>
    <w:rsid w:val="00042A90"/>
    <w:rsid w:val="00042BC8"/>
    <w:rsid w:val="00042E12"/>
    <w:rsid w:val="00043042"/>
    <w:rsid w:val="00043274"/>
    <w:rsid w:val="00043A72"/>
    <w:rsid w:val="00043C34"/>
    <w:rsid w:val="000468A8"/>
    <w:rsid w:val="000473C1"/>
    <w:rsid w:val="0004798B"/>
    <w:rsid w:val="00047CB9"/>
    <w:rsid w:val="00050634"/>
    <w:rsid w:val="00050839"/>
    <w:rsid w:val="00050D75"/>
    <w:rsid w:val="000516C0"/>
    <w:rsid w:val="000516DE"/>
    <w:rsid w:val="00051D7B"/>
    <w:rsid w:val="000522DB"/>
    <w:rsid w:val="0005244B"/>
    <w:rsid w:val="00052C18"/>
    <w:rsid w:val="00053250"/>
    <w:rsid w:val="00053DB4"/>
    <w:rsid w:val="0005410B"/>
    <w:rsid w:val="00054127"/>
    <w:rsid w:val="000552DE"/>
    <w:rsid w:val="0005530E"/>
    <w:rsid w:val="00055335"/>
    <w:rsid w:val="00055B4C"/>
    <w:rsid w:val="00055BAA"/>
    <w:rsid w:val="00056002"/>
    <w:rsid w:val="0005785A"/>
    <w:rsid w:val="000578D7"/>
    <w:rsid w:val="0006047F"/>
    <w:rsid w:val="0006097A"/>
    <w:rsid w:val="00060DD9"/>
    <w:rsid w:val="00060E73"/>
    <w:rsid w:val="00060EEE"/>
    <w:rsid w:val="000612C2"/>
    <w:rsid w:val="0006165D"/>
    <w:rsid w:val="00061CC1"/>
    <w:rsid w:val="000622A2"/>
    <w:rsid w:val="000638B0"/>
    <w:rsid w:val="00063C02"/>
    <w:rsid w:val="00066E67"/>
    <w:rsid w:val="0006793A"/>
    <w:rsid w:val="00067BC0"/>
    <w:rsid w:val="00067C57"/>
    <w:rsid w:val="00067CDF"/>
    <w:rsid w:val="00070022"/>
    <w:rsid w:val="00070860"/>
    <w:rsid w:val="000708BB"/>
    <w:rsid w:val="00071247"/>
    <w:rsid w:val="000713C4"/>
    <w:rsid w:val="0007173E"/>
    <w:rsid w:val="00071C71"/>
    <w:rsid w:val="000720DC"/>
    <w:rsid w:val="0007219F"/>
    <w:rsid w:val="0007284F"/>
    <w:rsid w:val="00072FDD"/>
    <w:rsid w:val="0007324D"/>
    <w:rsid w:val="00073EC7"/>
    <w:rsid w:val="00074FBE"/>
    <w:rsid w:val="00075184"/>
    <w:rsid w:val="000756B3"/>
    <w:rsid w:val="00076071"/>
    <w:rsid w:val="00076382"/>
    <w:rsid w:val="000768BE"/>
    <w:rsid w:val="00076F5C"/>
    <w:rsid w:val="00077DBF"/>
    <w:rsid w:val="000814F0"/>
    <w:rsid w:val="00081F91"/>
    <w:rsid w:val="000826E0"/>
    <w:rsid w:val="000830EE"/>
    <w:rsid w:val="000831B0"/>
    <w:rsid w:val="000833E3"/>
    <w:rsid w:val="00083A09"/>
    <w:rsid w:val="00083ADB"/>
    <w:rsid w:val="00084479"/>
    <w:rsid w:val="000845E1"/>
    <w:rsid w:val="000847D8"/>
    <w:rsid w:val="00085696"/>
    <w:rsid w:val="00086A95"/>
    <w:rsid w:val="00086AEE"/>
    <w:rsid w:val="000874A0"/>
    <w:rsid w:val="00087E86"/>
    <w:rsid w:val="0009005E"/>
    <w:rsid w:val="000905EA"/>
    <w:rsid w:val="000906FE"/>
    <w:rsid w:val="00091939"/>
    <w:rsid w:val="00091CF1"/>
    <w:rsid w:val="00091D60"/>
    <w:rsid w:val="000923D3"/>
    <w:rsid w:val="00092427"/>
    <w:rsid w:val="0009263C"/>
    <w:rsid w:val="00092857"/>
    <w:rsid w:val="00092BEB"/>
    <w:rsid w:val="00092E76"/>
    <w:rsid w:val="00092FE9"/>
    <w:rsid w:val="00093672"/>
    <w:rsid w:val="00093E07"/>
    <w:rsid w:val="00095561"/>
    <w:rsid w:val="00095B3F"/>
    <w:rsid w:val="00095EA8"/>
    <w:rsid w:val="00096441"/>
    <w:rsid w:val="00096D15"/>
    <w:rsid w:val="00096F70"/>
    <w:rsid w:val="000974F7"/>
    <w:rsid w:val="00097755"/>
    <w:rsid w:val="0009798B"/>
    <w:rsid w:val="00097B71"/>
    <w:rsid w:val="00097BCD"/>
    <w:rsid w:val="00097D01"/>
    <w:rsid w:val="00097D71"/>
    <w:rsid w:val="000A02DD"/>
    <w:rsid w:val="000A1013"/>
    <w:rsid w:val="000A11E9"/>
    <w:rsid w:val="000A124F"/>
    <w:rsid w:val="000A1617"/>
    <w:rsid w:val="000A1951"/>
    <w:rsid w:val="000A1C8B"/>
    <w:rsid w:val="000A1CE6"/>
    <w:rsid w:val="000A20A9"/>
    <w:rsid w:val="000A2794"/>
    <w:rsid w:val="000A2F94"/>
    <w:rsid w:val="000A36EC"/>
    <w:rsid w:val="000A39B7"/>
    <w:rsid w:val="000A48B1"/>
    <w:rsid w:val="000A4A6F"/>
    <w:rsid w:val="000A5211"/>
    <w:rsid w:val="000A59C8"/>
    <w:rsid w:val="000A5D21"/>
    <w:rsid w:val="000A5D23"/>
    <w:rsid w:val="000A63A7"/>
    <w:rsid w:val="000A65AB"/>
    <w:rsid w:val="000A6B97"/>
    <w:rsid w:val="000A6BE9"/>
    <w:rsid w:val="000A7307"/>
    <w:rsid w:val="000A7D12"/>
    <w:rsid w:val="000B01AA"/>
    <w:rsid w:val="000B136F"/>
    <w:rsid w:val="000B1969"/>
    <w:rsid w:val="000B21A2"/>
    <w:rsid w:val="000B26C1"/>
    <w:rsid w:val="000B2D38"/>
    <w:rsid w:val="000B3143"/>
    <w:rsid w:val="000B355B"/>
    <w:rsid w:val="000B3848"/>
    <w:rsid w:val="000B38BD"/>
    <w:rsid w:val="000B417E"/>
    <w:rsid w:val="000B4CA8"/>
    <w:rsid w:val="000B4D65"/>
    <w:rsid w:val="000B4EFF"/>
    <w:rsid w:val="000B52A1"/>
    <w:rsid w:val="000B5D39"/>
    <w:rsid w:val="000B7085"/>
    <w:rsid w:val="000B79A7"/>
    <w:rsid w:val="000B7A86"/>
    <w:rsid w:val="000B7F45"/>
    <w:rsid w:val="000C006F"/>
    <w:rsid w:val="000C00D2"/>
    <w:rsid w:val="000C052D"/>
    <w:rsid w:val="000C0D43"/>
    <w:rsid w:val="000C139B"/>
    <w:rsid w:val="000C13DF"/>
    <w:rsid w:val="000C1708"/>
    <w:rsid w:val="000C194F"/>
    <w:rsid w:val="000C251A"/>
    <w:rsid w:val="000C3492"/>
    <w:rsid w:val="000C3BA9"/>
    <w:rsid w:val="000C4458"/>
    <w:rsid w:val="000C4590"/>
    <w:rsid w:val="000C4B72"/>
    <w:rsid w:val="000C4ED7"/>
    <w:rsid w:val="000C5037"/>
    <w:rsid w:val="000C5C44"/>
    <w:rsid w:val="000C62B9"/>
    <w:rsid w:val="000C678E"/>
    <w:rsid w:val="000C6B05"/>
    <w:rsid w:val="000C6D47"/>
    <w:rsid w:val="000C6DD6"/>
    <w:rsid w:val="000C7009"/>
    <w:rsid w:val="000C7307"/>
    <w:rsid w:val="000C73D4"/>
    <w:rsid w:val="000C74D8"/>
    <w:rsid w:val="000C7E78"/>
    <w:rsid w:val="000D02C9"/>
    <w:rsid w:val="000D05F6"/>
    <w:rsid w:val="000D066E"/>
    <w:rsid w:val="000D06E9"/>
    <w:rsid w:val="000D0931"/>
    <w:rsid w:val="000D1099"/>
    <w:rsid w:val="000D10DA"/>
    <w:rsid w:val="000D1247"/>
    <w:rsid w:val="000D14FC"/>
    <w:rsid w:val="000D1892"/>
    <w:rsid w:val="000D1C2C"/>
    <w:rsid w:val="000D20C8"/>
    <w:rsid w:val="000D238C"/>
    <w:rsid w:val="000D386B"/>
    <w:rsid w:val="000D3D4C"/>
    <w:rsid w:val="000D3EAE"/>
    <w:rsid w:val="000D3F30"/>
    <w:rsid w:val="000D498A"/>
    <w:rsid w:val="000D4F51"/>
    <w:rsid w:val="000D52A2"/>
    <w:rsid w:val="000D572F"/>
    <w:rsid w:val="000D5E03"/>
    <w:rsid w:val="000D657C"/>
    <w:rsid w:val="000D6766"/>
    <w:rsid w:val="000D69C5"/>
    <w:rsid w:val="000D718B"/>
    <w:rsid w:val="000D741F"/>
    <w:rsid w:val="000E0421"/>
    <w:rsid w:val="000E0C46"/>
    <w:rsid w:val="000E11A1"/>
    <w:rsid w:val="000E2ABB"/>
    <w:rsid w:val="000E3007"/>
    <w:rsid w:val="000E3691"/>
    <w:rsid w:val="000E3868"/>
    <w:rsid w:val="000E3E53"/>
    <w:rsid w:val="000E4460"/>
    <w:rsid w:val="000E4D43"/>
    <w:rsid w:val="000E5AAB"/>
    <w:rsid w:val="000E64D7"/>
    <w:rsid w:val="000E6D85"/>
    <w:rsid w:val="000E6EE8"/>
    <w:rsid w:val="000E7D4C"/>
    <w:rsid w:val="000E7E22"/>
    <w:rsid w:val="000F0086"/>
    <w:rsid w:val="000F0199"/>
    <w:rsid w:val="000F030C"/>
    <w:rsid w:val="000F038E"/>
    <w:rsid w:val="000F0E05"/>
    <w:rsid w:val="000F1267"/>
    <w:rsid w:val="000F129C"/>
    <w:rsid w:val="000F1596"/>
    <w:rsid w:val="000F162A"/>
    <w:rsid w:val="000F1ACA"/>
    <w:rsid w:val="000F2482"/>
    <w:rsid w:val="000F25BE"/>
    <w:rsid w:val="000F2FE9"/>
    <w:rsid w:val="000F3505"/>
    <w:rsid w:val="000F3A52"/>
    <w:rsid w:val="000F3C11"/>
    <w:rsid w:val="000F3D08"/>
    <w:rsid w:val="000F43BF"/>
    <w:rsid w:val="000F4633"/>
    <w:rsid w:val="000F4D22"/>
    <w:rsid w:val="000F5B0D"/>
    <w:rsid w:val="000F61F4"/>
    <w:rsid w:val="000F6310"/>
    <w:rsid w:val="000F690F"/>
    <w:rsid w:val="000F6916"/>
    <w:rsid w:val="000F6B0C"/>
    <w:rsid w:val="000F6FC3"/>
    <w:rsid w:val="000F734E"/>
    <w:rsid w:val="000F7625"/>
    <w:rsid w:val="00100059"/>
    <w:rsid w:val="0010010F"/>
    <w:rsid w:val="00100682"/>
    <w:rsid w:val="00100F11"/>
    <w:rsid w:val="001012DD"/>
    <w:rsid w:val="00101596"/>
    <w:rsid w:val="00101F9C"/>
    <w:rsid w:val="0010271F"/>
    <w:rsid w:val="0010293E"/>
    <w:rsid w:val="00102CCD"/>
    <w:rsid w:val="00102F10"/>
    <w:rsid w:val="00103146"/>
    <w:rsid w:val="00103337"/>
    <w:rsid w:val="00103460"/>
    <w:rsid w:val="00103A59"/>
    <w:rsid w:val="00103ABA"/>
    <w:rsid w:val="00103BB0"/>
    <w:rsid w:val="00104502"/>
    <w:rsid w:val="0010487B"/>
    <w:rsid w:val="00105028"/>
    <w:rsid w:val="0010539D"/>
    <w:rsid w:val="00105547"/>
    <w:rsid w:val="001056DE"/>
    <w:rsid w:val="001058E5"/>
    <w:rsid w:val="0010692A"/>
    <w:rsid w:val="00106F4D"/>
    <w:rsid w:val="001073EA"/>
    <w:rsid w:val="00107EDF"/>
    <w:rsid w:val="00110134"/>
    <w:rsid w:val="00110A83"/>
    <w:rsid w:val="00110DDB"/>
    <w:rsid w:val="00111D80"/>
    <w:rsid w:val="001124C0"/>
    <w:rsid w:val="0011383C"/>
    <w:rsid w:val="00113F56"/>
    <w:rsid w:val="0011462A"/>
    <w:rsid w:val="001151CD"/>
    <w:rsid w:val="0011616A"/>
    <w:rsid w:val="0011678D"/>
    <w:rsid w:val="001168A2"/>
    <w:rsid w:val="00116A9F"/>
    <w:rsid w:val="00117847"/>
    <w:rsid w:val="00117865"/>
    <w:rsid w:val="00117C05"/>
    <w:rsid w:val="00117DDC"/>
    <w:rsid w:val="001203FF"/>
    <w:rsid w:val="0012108E"/>
    <w:rsid w:val="0012221A"/>
    <w:rsid w:val="0012297B"/>
    <w:rsid w:val="00123686"/>
    <w:rsid w:val="00123D9B"/>
    <w:rsid w:val="00123E3B"/>
    <w:rsid w:val="00124061"/>
    <w:rsid w:val="00124206"/>
    <w:rsid w:val="00124523"/>
    <w:rsid w:val="00124AEB"/>
    <w:rsid w:val="00124B3F"/>
    <w:rsid w:val="0012556D"/>
    <w:rsid w:val="001268DA"/>
    <w:rsid w:val="00126993"/>
    <w:rsid w:val="00126CE0"/>
    <w:rsid w:val="001276FF"/>
    <w:rsid w:val="00127CF9"/>
    <w:rsid w:val="00127DCA"/>
    <w:rsid w:val="00127F8C"/>
    <w:rsid w:val="00130AC4"/>
    <w:rsid w:val="00131268"/>
    <w:rsid w:val="0013145F"/>
    <w:rsid w:val="0013175F"/>
    <w:rsid w:val="00131E1B"/>
    <w:rsid w:val="00132030"/>
    <w:rsid w:val="001321C4"/>
    <w:rsid w:val="00132291"/>
    <w:rsid w:val="001326E6"/>
    <w:rsid w:val="00132AD9"/>
    <w:rsid w:val="00133C65"/>
    <w:rsid w:val="00133CA9"/>
    <w:rsid w:val="0013410E"/>
    <w:rsid w:val="001344F5"/>
    <w:rsid w:val="00134609"/>
    <w:rsid w:val="0013489E"/>
    <w:rsid w:val="0013716C"/>
    <w:rsid w:val="00137596"/>
    <w:rsid w:val="00137904"/>
    <w:rsid w:val="00140234"/>
    <w:rsid w:val="00140513"/>
    <w:rsid w:val="00141025"/>
    <w:rsid w:val="001410A4"/>
    <w:rsid w:val="001410F0"/>
    <w:rsid w:val="00141954"/>
    <w:rsid w:val="00141D3C"/>
    <w:rsid w:val="00141F7A"/>
    <w:rsid w:val="00142038"/>
    <w:rsid w:val="00142F3E"/>
    <w:rsid w:val="00143010"/>
    <w:rsid w:val="00143852"/>
    <w:rsid w:val="0014385E"/>
    <w:rsid w:val="00143C05"/>
    <w:rsid w:val="001442F1"/>
    <w:rsid w:val="00144476"/>
    <w:rsid w:val="001444E6"/>
    <w:rsid w:val="0014500D"/>
    <w:rsid w:val="00145ABC"/>
    <w:rsid w:val="00146473"/>
    <w:rsid w:val="00146683"/>
    <w:rsid w:val="00146A8C"/>
    <w:rsid w:val="00147460"/>
    <w:rsid w:val="00147563"/>
    <w:rsid w:val="001477C2"/>
    <w:rsid w:val="001478EE"/>
    <w:rsid w:val="001479DD"/>
    <w:rsid w:val="00147DEB"/>
    <w:rsid w:val="001504EF"/>
    <w:rsid w:val="00150577"/>
    <w:rsid w:val="00150615"/>
    <w:rsid w:val="00150DFA"/>
    <w:rsid w:val="00151001"/>
    <w:rsid w:val="001511DD"/>
    <w:rsid w:val="001512B4"/>
    <w:rsid w:val="00151360"/>
    <w:rsid w:val="00151E80"/>
    <w:rsid w:val="00151EB7"/>
    <w:rsid w:val="00151FAD"/>
    <w:rsid w:val="001529C1"/>
    <w:rsid w:val="00152C4C"/>
    <w:rsid w:val="00152CBF"/>
    <w:rsid w:val="00154000"/>
    <w:rsid w:val="0015401B"/>
    <w:rsid w:val="001541C5"/>
    <w:rsid w:val="0015494A"/>
    <w:rsid w:val="00154E8E"/>
    <w:rsid w:val="001550A0"/>
    <w:rsid w:val="0015548B"/>
    <w:rsid w:val="0015565A"/>
    <w:rsid w:val="00155E52"/>
    <w:rsid w:val="001568A8"/>
    <w:rsid w:val="00157397"/>
    <w:rsid w:val="001576BB"/>
    <w:rsid w:val="00157981"/>
    <w:rsid w:val="001601A0"/>
    <w:rsid w:val="001603E1"/>
    <w:rsid w:val="00161923"/>
    <w:rsid w:val="00161B2B"/>
    <w:rsid w:val="00161D4D"/>
    <w:rsid w:val="00161E73"/>
    <w:rsid w:val="001620A5"/>
    <w:rsid w:val="001625C3"/>
    <w:rsid w:val="00162714"/>
    <w:rsid w:val="001630C5"/>
    <w:rsid w:val="0016319D"/>
    <w:rsid w:val="00163A08"/>
    <w:rsid w:val="00164E53"/>
    <w:rsid w:val="00165D6E"/>
    <w:rsid w:val="00165E11"/>
    <w:rsid w:val="0016699D"/>
    <w:rsid w:val="00167785"/>
    <w:rsid w:val="0016798E"/>
    <w:rsid w:val="00167D14"/>
    <w:rsid w:val="00167E7A"/>
    <w:rsid w:val="001705BB"/>
    <w:rsid w:val="00171194"/>
    <w:rsid w:val="001726AB"/>
    <w:rsid w:val="001727FD"/>
    <w:rsid w:val="00172A07"/>
    <w:rsid w:val="00172B51"/>
    <w:rsid w:val="00174673"/>
    <w:rsid w:val="00174D1B"/>
    <w:rsid w:val="00175159"/>
    <w:rsid w:val="0017595D"/>
    <w:rsid w:val="00176208"/>
    <w:rsid w:val="001773DC"/>
    <w:rsid w:val="001802C3"/>
    <w:rsid w:val="001803DB"/>
    <w:rsid w:val="00180A2F"/>
    <w:rsid w:val="00180D08"/>
    <w:rsid w:val="001810CF"/>
    <w:rsid w:val="0018211B"/>
    <w:rsid w:val="0018224F"/>
    <w:rsid w:val="0018343E"/>
    <w:rsid w:val="0018395B"/>
    <w:rsid w:val="001840D3"/>
    <w:rsid w:val="001844CF"/>
    <w:rsid w:val="001845A0"/>
    <w:rsid w:val="001845B0"/>
    <w:rsid w:val="0018462F"/>
    <w:rsid w:val="001857D7"/>
    <w:rsid w:val="00185889"/>
    <w:rsid w:val="00185925"/>
    <w:rsid w:val="00185A24"/>
    <w:rsid w:val="00186352"/>
    <w:rsid w:val="00186395"/>
    <w:rsid w:val="001865AA"/>
    <w:rsid w:val="001866E4"/>
    <w:rsid w:val="00186B8A"/>
    <w:rsid w:val="001871E6"/>
    <w:rsid w:val="001876C7"/>
    <w:rsid w:val="001900F8"/>
    <w:rsid w:val="0019037F"/>
    <w:rsid w:val="00190B07"/>
    <w:rsid w:val="00191258"/>
    <w:rsid w:val="001917FC"/>
    <w:rsid w:val="00191AA1"/>
    <w:rsid w:val="00191B88"/>
    <w:rsid w:val="00191C7E"/>
    <w:rsid w:val="0019240A"/>
    <w:rsid w:val="00192680"/>
    <w:rsid w:val="00192D63"/>
    <w:rsid w:val="00193037"/>
    <w:rsid w:val="0019369A"/>
    <w:rsid w:val="0019385B"/>
    <w:rsid w:val="00193A2C"/>
    <w:rsid w:val="001954AD"/>
    <w:rsid w:val="0019611C"/>
    <w:rsid w:val="0019644D"/>
    <w:rsid w:val="0019648C"/>
    <w:rsid w:val="0019685C"/>
    <w:rsid w:val="00196904"/>
    <w:rsid w:val="00196D73"/>
    <w:rsid w:val="0019742D"/>
    <w:rsid w:val="001975F8"/>
    <w:rsid w:val="001978DC"/>
    <w:rsid w:val="00197D47"/>
    <w:rsid w:val="001A0264"/>
    <w:rsid w:val="001A04F8"/>
    <w:rsid w:val="001A1747"/>
    <w:rsid w:val="001A1A9D"/>
    <w:rsid w:val="001A1B3F"/>
    <w:rsid w:val="001A1FCD"/>
    <w:rsid w:val="001A1FF9"/>
    <w:rsid w:val="001A2009"/>
    <w:rsid w:val="001A288E"/>
    <w:rsid w:val="001A2BFF"/>
    <w:rsid w:val="001A32B0"/>
    <w:rsid w:val="001A341F"/>
    <w:rsid w:val="001A3B1E"/>
    <w:rsid w:val="001A3D2F"/>
    <w:rsid w:val="001A467A"/>
    <w:rsid w:val="001A4839"/>
    <w:rsid w:val="001A49AC"/>
    <w:rsid w:val="001A5844"/>
    <w:rsid w:val="001A58C8"/>
    <w:rsid w:val="001A679F"/>
    <w:rsid w:val="001A692D"/>
    <w:rsid w:val="001A7C25"/>
    <w:rsid w:val="001B01C1"/>
    <w:rsid w:val="001B0492"/>
    <w:rsid w:val="001B0B4E"/>
    <w:rsid w:val="001B0F37"/>
    <w:rsid w:val="001B16C1"/>
    <w:rsid w:val="001B1A8A"/>
    <w:rsid w:val="001B21C6"/>
    <w:rsid w:val="001B2250"/>
    <w:rsid w:val="001B2DB6"/>
    <w:rsid w:val="001B2FFD"/>
    <w:rsid w:val="001B3025"/>
    <w:rsid w:val="001B3346"/>
    <w:rsid w:val="001B335F"/>
    <w:rsid w:val="001B3FA7"/>
    <w:rsid w:val="001B44E5"/>
    <w:rsid w:val="001B49D6"/>
    <w:rsid w:val="001B5554"/>
    <w:rsid w:val="001B5992"/>
    <w:rsid w:val="001B59B0"/>
    <w:rsid w:val="001B5F75"/>
    <w:rsid w:val="001B66B8"/>
    <w:rsid w:val="001B67C9"/>
    <w:rsid w:val="001B6DC2"/>
    <w:rsid w:val="001B6DE5"/>
    <w:rsid w:val="001B6F8A"/>
    <w:rsid w:val="001B79E6"/>
    <w:rsid w:val="001C0E07"/>
    <w:rsid w:val="001C10BE"/>
    <w:rsid w:val="001C119D"/>
    <w:rsid w:val="001C149C"/>
    <w:rsid w:val="001C15F4"/>
    <w:rsid w:val="001C1C84"/>
    <w:rsid w:val="001C1D69"/>
    <w:rsid w:val="001C1E39"/>
    <w:rsid w:val="001C20F7"/>
    <w:rsid w:val="001C21AC"/>
    <w:rsid w:val="001C2263"/>
    <w:rsid w:val="001C23F4"/>
    <w:rsid w:val="001C290A"/>
    <w:rsid w:val="001C3AB8"/>
    <w:rsid w:val="001C3C87"/>
    <w:rsid w:val="001C4325"/>
    <w:rsid w:val="001C47BA"/>
    <w:rsid w:val="001C48C5"/>
    <w:rsid w:val="001C59EA"/>
    <w:rsid w:val="001C5B25"/>
    <w:rsid w:val="001C62A3"/>
    <w:rsid w:val="001C6447"/>
    <w:rsid w:val="001C698E"/>
    <w:rsid w:val="001C716E"/>
    <w:rsid w:val="001C763C"/>
    <w:rsid w:val="001C7853"/>
    <w:rsid w:val="001D0CD1"/>
    <w:rsid w:val="001D114D"/>
    <w:rsid w:val="001D1464"/>
    <w:rsid w:val="001D1DD4"/>
    <w:rsid w:val="001D28EE"/>
    <w:rsid w:val="001D352E"/>
    <w:rsid w:val="001D3974"/>
    <w:rsid w:val="001D39EA"/>
    <w:rsid w:val="001D406C"/>
    <w:rsid w:val="001D41EE"/>
    <w:rsid w:val="001D4279"/>
    <w:rsid w:val="001D4552"/>
    <w:rsid w:val="001D489A"/>
    <w:rsid w:val="001D5F95"/>
    <w:rsid w:val="001D62CB"/>
    <w:rsid w:val="001D72F1"/>
    <w:rsid w:val="001D764F"/>
    <w:rsid w:val="001E0380"/>
    <w:rsid w:val="001E119F"/>
    <w:rsid w:val="001E1258"/>
    <w:rsid w:val="001E1388"/>
    <w:rsid w:val="001E138D"/>
    <w:rsid w:val="001E13B1"/>
    <w:rsid w:val="001E2223"/>
    <w:rsid w:val="001E3D72"/>
    <w:rsid w:val="001E3FFA"/>
    <w:rsid w:val="001E4241"/>
    <w:rsid w:val="001E42E2"/>
    <w:rsid w:val="001E44DE"/>
    <w:rsid w:val="001E459A"/>
    <w:rsid w:val="001E4673"/>
    <w:rsid w:val="001E486D"/>
    <w:rsid w:val="001E5B08"/>
    <w:rsid w:val="001E5FF0"/>
    <w:rsid w:val="001E65E9"/>
    <w:rsid w:val="001E6730"/>
    <w:rsid w:val="001E733F"/>
    <w:rsid w:val="001E7F62"/>
    <w:rsid w:val="001F077A"/>
    <w:rsid w:val="001F1DF2"/>
    <w:rsid w:val="001F21F7"/>
    <w:rsid w:val="001F2C61"/>
    <w:rsid w:val="001F2D12"/>
    <w:rsid w:val="001F30DF"/>
    <w:rsid w:val="001F3A19"/>
    <w:rsid w:val="001F41AE"/>
    <w:rsid w:val="001F54BE"/>
    <w:rsid w:val="001F5905"/>
    <w:rsid w:val="001F5E28"/>
    <w:rsid w:val="001F6478"/>
    <w:rsid w:val="001F6997"/>
    <w:rsid w:val="001F7B2A"/>
    <w:rsid w:val="001F7EF2"/>
    <w:rsid w:val="0020032B"/>
    <w:rsid w:val="00200E3C"/>
    <w:rsid w:val="00200F79"/>
    <w:rsid w:val="002010F9"/>
    <w:rsid w:val="00201B27"/>
    <w:rsid w:val="00201FF5"/>
    <w:rsid w:val="002022B1"/>
    <w:rsid w:val="0020241D"/>
    <w:rsid w:val="00202806"/>
    <w:rsid w:val="0020302A"/>
    <w:rsid w:val="0020360B"/>
    <w:rsid w:val="00203939"/>
    <w:rsid w:val="002049F0"/>
    <w:rsid w:val="00204F63"/>
    <w:rsid w:val="00205642"/>
    <w:rsid w:val="00205AE8"/>
    <w:rsid w:val="0020652A"/>
    <w:rsid w:val="0020660E"/>
    <w:rsid w:val="00207CB3"/>
    <w:rsid w:val="00210531"/>
    <w:rsid w:val="00211671"/>
    <w:rsid w:val="00212CD3"/>
    <w:rsid w:val="0021303D"/>
    <w:rsid w:val="0021313D"/>
    <w:rsid w:val="00213DB2"/>
    <w:rsid w:val="002140C5"/>
    <w:rsid w:val="002143B9"/>
    <w:rsid w:val="00215E7E"/>
    <w:rsid w:val="00216A7C"/>
    <w:rsid w:val="00216B12"/>
    <w:rsid w:val="00216C50"/>
    <w:rsid w:val="002170FD"/>
    <w:rsid w:val="002177F5"/>
    <w:rsid w:val="00217D8A"/>
    <w:rsid w:val="00217E79"/>
    <w:rsid w:val="00220456"/>
    <w:rsid w:val="0022108B"/>
    <w:rsid w:val="002212B0"/>
    <w:rsid w:val="00221A1D"/>
    <w:rsid w:val="00221BE8"/>
    <w:rsid w:val="00222A9A"/>
    <w:rsid w:val="00222D4F"/>
    <w:rsid w:val="00222FF7"/>
    <w:rsid w:val="002230D1"/>
    <w:rsid w:val="002232CA"/>
    <w:rsid w:val="0022343A"/>
    <w:rsid w:val="00223A62"/>
    <w:rsid w:val="00223B70"/>
    <w:rsid w:val="002241CF"/>
    <w:rsid w:val="00224FF9"/>
    <w:rsid w:val="00225875"/>
    <w:rsid w:val="00226604"/>
    <w:rsid w:val="00227192"/>
    <w:rsid w:val="00227E1F"/>
    <w:rsid w:val="00230645"/>
    <w:rsid w:val="00230665"/>
    <w:rsid w:val="002310A5"/>
    <w:rsid w:val="002312A1"/>
    <w:rsid w:val="002312ED"/>
    <w:rsid w:val="00232295"/>
    <w:rsid w:val="0023282F"/>
    <w:rsid w:val="00232B8B"/>
    <w:rsid w:val="00232D4C"/>
    <w:rsid w:val="00232DA8"/>
    <w:rsid w:val="00233071"/>
    <w:rsid w:val="00233199"/>
    <w:rsid w:val="00233208"/>
    <w:rsid w:val="0023331F"/>
    <w:rsid w:val="00233651"/>
    <w:rsid w:val="00233C5B"/>
    <w:rsid w:val="0023420F"/>
    <w:rsid w:val="00234467"/>
    <w:rsid w:val="00234877"/>
    <w:rsid w:val="00234A38"/>
    <w:rsid w:val="00234F4E"/>
    <w:rsid w:val="002351B8"/>
    <w:rsid w:val="002353A7"/>
    <w:rsid w:val="00235E13"/>
    <w:rsid w:val="00236298"/>
    <w:rsid w:val="00236833"/>
    <w:rsid w:val="00236898"/>
    <w:rsid w:val="00236B92"/>
    <w:rsid w:val="00236F40"/>
    <w:rsid w:val="002374E1"/>
    <w:rsid w:val="002378A3"/>
    <w:rsid w:val="00237964"/>
    <w:rsid w:val="00237D8D"/>
    <w:rsid w:val="00237EDB"/>
    <w:rsid w:val="00240149"/>
    <w:rsid w:val="002401BD"/>
    <w:rsid w:val="0024161D"/>
    <w:rsid w:val="002416BE"/>
    <w:rsid w:val="002418DB"/>
    <w:rsid w:val="00241DA2"/>
    <w:rsid w:val="00241F81"/>
    <w:rsid w:val="00242910"/>
    <w:rsid w:val="0024299B"/>
    <w:rsid w:val="002434D4"/>
    <w:rsid w:val="002440C7"/>
    <w:rsid w:val="00244A2F"/>
    <w:rsid w:val="00244CC2"/>
    <w:rsid w:val="00244D80"/>
    <w:rsid w:val="002452DC"/>
    <w:rsid w:val="0024536C"/>
    <w:rsid w:val="00245554"/>
    <w:rsid w:val="00245824"/>
    <w:rsid w:val="0024590D"/>
    <w:rsid w:val="00246099"/>
    <w:rsid w:val="00246178"/>
    <w:rsid w:val="00246A7A"/>
    <w:rsid w:val="00247FEE"/>
    <w:rsid w:val="002507BC"/>
    <w:rsid w:val="00250E7D"/>
    <w:rsid w:val="00250FAB"/>
    <w:rsid w:val="002510BC"/>
    <w:rsid w:val="002519DD"/>
    <w:rsid w:val="00252305"/>
    <w:rsid w:val="002523A5"/>
    <w:rsid w:val="002524F2"/>
    <w:rsid w:val="00252827"/>
    <w:rsid w:val="00252C47"/>
    <w:rsid w:val="00252F40"/>
    <w:rsid w:val="00252FCE"/>
    <w:rsid w:val="00253EF5"/>
    <w:rsid w:val="00254188"/>
    <w:rsid w:val="00254267"/>
    <w:rsid w:val="00254960"/>
    <w:rsid w:val="00254DDD"/>
    <w:rsid w:val="00254E72"/>
    <w:rsid w:val="00254EDA"/>
    <w:rsid w:val="00255327"/>
    <w:rsid w:val="002558A0"/>
    <w:rsid w:val="00255A8E"/>
    <w:rsid w:val="00255A9A"/>
    <w:rsid w:val="00255E20"/>
    <w:rsid w:val="00256385"/>
    <w:rsid w:val="002565D5"/>
    <w:rsid w:val="002565ED"/>
    <w:rsid w:val="0025667E"/>
    <w:rsid w:val="00256F51"/>
    <w:rsid w:val="00257738"/>
    <w:rsid w:val="002602CD"/>
    <w:rsid w:val="002604B9"/>
    <w:rsid w:val="00260545"/>
    <w:rsid w:val="00260BDE"/>
    <w:rsid w:val="00260D7D"/>
    <w:rsid w:val="00260F28"/>
    <w:rsid w:val="00260FB6"/>
    <w:rsid w:val="002610AF"/>
    <w:rsid w:val="002616BD"/>
    <w:rsid w:val="002617B2"/>
    <w:rsid w:val="00261C5A"/>
    <w:rsid w:val="002622C0"/>
    <w:rsid w:val="002622E8"/>
    <w:rsid w:val="00262DBE"/>
    <w:rsid w:val="002631ED"/>
    <w:rsid w:val="0026353D"/>
    <w:rsid w:val="00263B94"/>
    <w:rsid w:val="00264098"/>
    <w:rsid w:val="002648CF"/>
    <w:rsid w:val="00266334"/>
    <w:rsid w:val="00267638"/>
    <w:rsid w:val="00267CDB"/>
    <w:rsid w:val="00267D7A"/>
    <w:rsid w:val="002700DC"/>
    <w:rsid w:val="00270F70"/>
    <w:rsid w:val="00271564"/>
    <w:rsid w:val="002715A9"/>
    <w:rsid w:val="00271981"/>
    <w:rsid w:val="00272448"/>
    <w:rsid w:val="0027251F"/>
    <w:rsid w:val="002727EE"/>
    <w:rsid w:val="00272A35"/>
    <w:rsid w:val="002731CB"/>
    <w:rsid w:val="00273443"/>
    <w:rsid w:val="002738F2"/>
    <w:rsid w:val="00274222"/>
    <w:rsid w:val="00274270"/>
    <w:rsid w:val="00274277"/>
    <w:rsid w:val="00274DC2"/>
    <w:rsid w:val="00275222"/>
    <w:rsid w:val="00275307"/>
    <w:rsid w:val="002755B8"/>
    <w:rsid w:val="0027656D"/>
    <w:rsid w:val="0027661E"/>
    <w:rsid w:val="0027686E"/>
    <w:rsid w:val="00276A0E"/>
    <w:rsid w:val="002778AE"/>
    <w:rsid w:val="0028052F"/>
    <w:rsid w:val="00281D76"/>
    <w:rsid w:val="002821A9"/>
    <w:rsid w:val="0028269A"/>
    <w:rsid w:val="002829C2"/>
    <w:rsid w:val="00283011"/>
    <w:rsid w:val="002831C9"/>
    <w:rsid w:val="002833C1"/>
    <w:rsid w:val="00283590"/>
    <w:rsid w:val="00283732"/>
    <w:rsid w:val="00283EB9"/>
    <w:rsid w:val="00283FBD"/>
    <w:rsid w:val="00284273"/>
    <w:rsid w:val="00284512"/>
    <w:rsid w:val="0028540D"/>
    <w:rsid w:val="0028560D"/>
    <w:rsid w:val="0028575D"/>
    <w:rsid w:val="00285CA2"/>
    <w:rsid w:val="00285E03"/>
    <w:rsid w:val="00286553"/>
    <w:rsid w:val="00286973"/>
    <w:rsid w:val="002869AF"/>
    <w:rsid w:val="00286A34"/>
    <w:rsid w:val="00286BE7"/>
    <w:rsid w:val="00287249"/>
    <w:rsid w:val="00287AC2"/>
    <w:rsid w:val="00287BE4"/>
    <w:rsid w:val="00287D79"/>
    <w:rsid w:val="00290740"/>
    <w:rsid w:val="00291823"/>
    <w:rsid w:val="00291994"/>
    <w:rsid w:val="0029203F"/>
    <w:rsid w:val="00292B0F"/>
    <w:rsid w:val="00293597"/>
    <w:rsid w:val="0029370A"/>
    <w:rsid w:val="00293A00"/>
    <w:rsid w:val="00293E7E"/>
    <w:rsid w:val="002940BC"/>
    <w:rsid w:val="002940D3"/>
    <w:rsid w:val="00294E70"/>
    <w:rsid w:val="00295249"/>
    <w:rsid w:val="0029579C"/>
    <w:rsid w:val="00295AA6"/>
    <w:rsid w:val="00295CC2"/>
    <w:rsid w:val="002967C5"/>
    <w:rsid w:val="00296B0E"/>
    <w:rsid w:val="00296CE1"/>
    <w:rsid w:val="002972ED"/>
    <w:rsid w:val="00297547"/>
    <w:rsid w:val="00297D55"/>
    <w:rsid w:val="00297ECC"/>
    <w:rsid w:val="002A007B"/>
    <w:rsid w:val="002A0A95"/>
    <w:rsid w:val="002A0ADA"/>
    <w:rsid w:val="002A1451"/>
    <w:rsid w:val="002A1498"/>
    <w:rsid w:val="002A183B"/>
    <w:rsid w:val="002A18ED"/>
    <w:rsid w:val="002A1924"/>
    <w:rsid w:val="002A1DA1"/>
    <w:rsid w:val="002A22D8"/>
    <w:rsid w:val="002A258D"/>
    <w:rsid w:val="002A26AA"/>
    <w:rsid w:val="002A27FF"/>
    <w:rsid w:val="002A283B"/>
    <w:rsid w:val="002A3161"/>
    <w:rsid w:val="002A3D57"/>
    <w:rsid w:val="002A3F5D"/>
    <w:rsid w:val="002A5031"/>
    <w:rsid w:val="002A560A"/>
    <w:rsid w:val="002A5671"/>
    <w:rsid w:val="002A6638"/>
    <w:rsid w:val="002A6659"/>
    <w:rsid w:val="002A7420"/>
    <w:rsid w:val="002A7A25"/>
    <w:rsid w:val="002B02A9"/>
    <w:rsid w:val="002B0940"/>
    <w:rsid w:val="002B0A28"/>
    <w:rsid w:val="002B0C73"/>
    <w:rsid w:val="002B0F12"/>
    <w:rsid w:val="002B1308"/>
    <w:rsid w:val="002B13F8"/>
    <w:rsid w:val="002B1427"/>
    <w:rsid w:val="002B1F7C"/>
    <w:rsid w:val="002B23D9"/>
    <w:rsid w:val="002B28D9"/>
    <w:rsid w:val="002B31A3"/>
    <w:rsid w:val="002B3758"/>
    <w:rsid w:val="002B385F"/>
    <w:rsid w:val="002B39A7"/>
    <w:rsid w:val="002B40CF"/>
    <w:rsid w:val="002B42A3"/>
    <w:rsid w:val="002B42AF"/>
    <w:rsid w:val="002B4554"/>
    <w:rsid w:val="002B45D8"/>
    <w:rsid w:val="002B4C52"/>
    <w:rsid w:val="002B4E70"/>
    <w:rsid w:val="002B5574"/>
    <w:rsid w:val="002B6193"/>
    <w:rsid w:val="002B63C8"/>
    <w:rsid w:val="002B6485"/>
    <w:rsid w:val="002B6BB3"/>
    <w:rsid w:val="002B7030"/>
    <w:rsid w:val="002B7C98"/>
    <w:rsid w:val="002B7CA5"/>
    <w:rsid w:val="002C0665"/>
    <w:rsid w:val="002C08D3"/>
    <w:rsid w:val="002C1A4D"/>
    <w:rsid w:val="002C2116"/>
    <w:rsid w:val="002C2D5E"/>
    <w:rsid w:val="002C30B9"/>
    <w:rsid w:val="002C3901"/>
    <w:rsid w:val="002C425C"/>
    <w:rsid w:val="002C4BE1"/>
    <w:rsid w:val="002C4E52"/>
    <w:rsid w:val="002C51AC"/>
    <w:rsid w:val="002C55A4"/>
    <w:rsid w:val="002C60DB"/>
    <w:rsid w:val="002C63A2"/>
    <w:rsid w:val="002C67C0"/>
    <w:rsid w:val="002C6B31"/>
    <w:rsid w:val="002C6BD1"/>
    <w:rsid w:val="002C6CCD"/>
    <w:rsid w:val="002C72D8"/>
    <w:rsid w:val="002C77CB"/>
    <w:rsid w:val="002C7ABC"/>
    <w:rsid w:val="002C7BCC"/>
    <w:rsid w:val="002D104A"/>
    <w:rsid w:val="002D11E8"/>
    <w:rsid w:val="002D11FA"/>
    <w:rsid w:val="002D12F9"/>
    <w:rsid w:val="002D17FD"/>
    <w:rsid w:val="002D1C3D"/>
    <w:rsid w:val="002D1DF2"/>
    <w:rsid w:val="002D2089"/>
    <w:rsid w:val="002D222D"/>
    <w:rsid w:val="002D2382"/>
    <w:rsid w:val="002D2AEA"/>
    <w:rsid w:val="002D2D32"/>
    <w:rsid w:val="002D2F68"/>
    <w:rsid w:val="002D34C4"/>
    <w:rsid w:val="002D36C9"/>
    <w:rsid w:val="002D3FFD"/>
    <w:rsid w:val="002D4672"/>
    <w:rsid w:val="002D46CF"/>
    <w:rsid w:val="002D4B62"/>
    <w:rsid w:val="002D52A8"/>
    <w:rsid w:val="002D54A2"/>
    <w:rsid w:val="002D596A"/>
    <w:rsid w:val="002D60FE"/>
    <w:rsid w:val="002D674D"/>
    <w:rsid w:val="002D6A54"/>
    <w:rsid w:val="002D6EF4"/>
    <w:rsid w:val="002D7028"/>
    <w:rsid w:val="002D79FE"/>
    <w:rsid w:val="002D7FF8"/>
    <w:rsid w:val="002E0CD5"/>
    <w:rsid w:val="002E0DDF"/>
    <w:rsid w:val="002E0FA0"/>
    <w:rsid w:val="002E1EC6"/>
    <w:rsid w:val="002E1FF7"/>
    <w:rsid w:val="002E2906"/>
    <w:rsid w:val="002E2AD3"/>
    <w:rsid w:val="002E31A2"/>
    <w:rsid w:val="002E3890"/>
    <w:rsid w:val="002E3998"/>
    <w:rsid w:val="002E44E7"/>
    <w:rsid w:val="002E4C37"/>
    <w:rsid w:val="002E50F6"/>
    <w:rsid w:val="002E522A"/>
    <w:rsid w:val="002E5635"/>
    <w:rsid w:val="002E59D7"/>
    <w:rsid w:val="002E6303"/>
    <w:rsid w:val="002E64C3"/>
    <w:rsid w:val="002E6A2C"/>
    <w:rsid w:val="002E6B3E"/>
    <w:rsid w:val="002E6CF3"/>
    <w:rsid w:val="002E6F0C"/>
    <w:rsid w:val="002E7E49"/>
    <w:rsid w:val="002F012C"/>
    <w:rsid w:val="002F076D"/>
    <w:rsid w:val="002F0B10"/>
    <w:rsid w:val="002F0B26"/>
    <w:rsid w:val="002F165B"/>
    <w:rsid w:val="002F1A3D"/>
    <w:rsid w:val="002F1D8C"/>
    <w:rsid w:val="002F21DA"/>
    <w:rsid w:val="002F312A"/>
    <w:rsid w:val="002F4061"/>
    <w:rsid w:val="002F41E0"/>
    <w:rsid w:val="002F497F"/>
    <w:rsid w:val="002F4D6C"/>
    <w:rsid w:val="002F54F2"/>
    <w:rsid w:val="002F5804"/>
    <w:rsid w:val="002F5B0E"/>
    <w:rsid w:val="002F5FC8"/>
    <w:rsid w:val="002F61DA"/>
    <w:rsid w:val="002F6698"/>
    <w:rsid w:val="002F6771"/>
    <w:rsid w:val="002F67A9"/>
    <w:rsid w:val="002F6C93"/>
    <w:rsid w:val="002F70C6"/>
    <w:rsid w:val="002F7635"/>
    <w:rsid w:val="002F79AB"/>
    <w:rsid w:val="002F7D6A"/>
    <w:rsid w:val="002F7E45"/>
    <w:rsid w:val="00300189"/>
    <w:rsid w:val="003002CA"/>
    <w:rsid w:val="00300AC1"/>
    <w:rsid w:val="00301F39"/>
    <w:rsid w:val="003028A8"/>
    <w:rsid w:val="003039E6"/>
    <w:rsid w:val="003040F1"/>
    <w:rsid w:val="0030420F"/>
    <w:rsid w:val="003042AD"/>
    <w:rsid w:val="003042C8"/>
    <w:rsid w:val="00304433"/>
    <w:rsid w:val="00304C9A"/>
    <w:rsid w:val="00305775"/>
    <w:rsid w:val="00305906"/>
    <w:rsid w:val="003069A8"/>
    <w:rsid w:val="00306D89"/>
    <w:rsid w:val="00306DC3"/>
    <w:rsid w:val="0030763A"/>
    <w:rsid w:val="00307A75"/>
    <w:rsid w:val="00310847"/>
    <w:rsid w:val="0031096F"/>
    <w:rsid w:val="003109B2"/>
    <w:rsid w:val="00310B25"/>
    <w:rsid w:val="00310BFD"/>
    <w:rsid w:val="00310EDB"/>
    <w:rsid w:val="00310F40"/>
    <w:rsid w:val="003110B4"/>
    <w:rsid w:val="00311693"/>
    <w:rsid w:val="00311966"/>
    <w:rsid w:val="00311F67"/>
    <w:rsid w:val="0031238D"/>
    <w:rsid w:val="00312549"/>
    <w:rsid w:val="0031273E"/>
    <w:rsid w:val="003128FC"/>
    <w:rsid w:val="003129F9"/>
    <w:rsid w:val="00313F29"/>
    <w:rsid w:val="0031473D"/>
    <w:rsid w:val="00314CDF"/>
    <w:rsid w:val="00314DB1"/>
    <w:rsid w:val="00314F49"/>
    <w:rsid w:val="003166C0"/>
    <w:rsid w:val="00317678"/>
    <w:rsid w:val="00317C0C"/>
    <w:rsid w:val="00317D27"/>
    <w:rsid w:val="00317EB0"/>
    <w:rsid w:val="003201C4"/>
    <w:rsid w:val="00320318"/>
    <w:rsid w:val="003203FE"/>
    <w:rsid w:val="00320B23"/>
    <w:rsid w:val="0032114F"/>
    <w:rsid w:val="003212C6"/>
    <w:rsid w:val="003218EE"/>
    <w:rsid w:val="00322D69"/>
    <w:rsid w:val="00323AB7"/>
    <w:rsid w:val="00323F0F"/>
    <w:rsid w:val="00324088"/>
    <w:rsid w:val="003241F4"/>
    <w:rsid w:val="00324511"/>
    <w:rsid w:val="003246AB"/>
    <w:rsid w:val="00324F70"/>
    <w:rsid w:val="00325926"/>
    <w:rsid w:val="00325CC7"/>
    <w:rsid w:val="00327669"/>
    <w:rsid w:val="003279A8"/>
    <w:rsid w:val="00327A8A"/>
    <w:rsid w:val="00327B71"/>
    <w:rsid w:val="00327CFA"/>
    <w:rsid w:val="0033068F"/>
    <w:rsid w:val="00330693"/>
    <w:rsid w:val="003308FB"/>
    <w:rsid w:val="00330CC1"/>
    <w:rsid w:val="00330CEC"/>
    <w:rsid w:val="003315BC"/>
    <w:rsid w:val="0033231F"/>
    <w:rsid w:val="00332F1C"/>
    <w:rsid w:val="00334386"/>
    <w:rsid w:val="003343D3"/>
    <w:rsid w:val="00334699"/>
    <w:rsid w:val="003357E4"/>
    <w:rsid w:val="003360B4"/>
    <w:rsid w:val="00336145"/>
    <w:rsid w:val="00336610"/>
    <w:rsid w:val="00336CBA"/>
    <w:rsid w:val="00337E95"/>
    <w:rsid w:val="003407C6"/>
    <w:rsid w:val="00340D0F"/>
    <w:rsid w:val="00340D43"/>
    <w:rsid w:val="00340DE8"/>
    <w:rsid w:val="00340FA5"/>
    <w:rsid w:val="00341C03"/>
    <w:rsid w:val="0034215C"/>
    <w:rsid w:val="00342628"/>
    <w:rsid w:val="00342D77"/>
    <w:rsid w:val="00343696"/>
    <w:rsid w:val="00343DE0"/>
    <w:rsid w:val="00343F73"/>
    <w:rsid w:val="00343F99"/>
    <w:rsid w:val="003441ED"/>
    <w:rsid w:val="003442B9"/>
    <w:rsid w:val="0034431B"/>
    <w:rsid w:val="00344EEF"/>
    <w:rsid w:val="00345060"/>
    <w:rsid w:val="003466E9"/>
    <w:rsid w:val="00346702"/>
    <w:rsid w:val="00346872"/>
    <w:rsid w:val="0034746C"/>
    <w:rsid w:val="00347A46"/>
    <w:rsid w:val="00347AA1"/>
    <w:rsid w:val="00347EF8"/>
    <w:rsid w:val="003502F3"/>
    <w:rsid w:val="00350C10"/>
    <w:rsid w:val="00350F9B"/>
    <w:rsid w:val="00350FAA"/>
    <w:rsid w:val="003510E3"/>
    <w:rsid w:val="003512D8"/>
    <w:rsid w:val="003514AF"/>
    <w:rsid w:val="0035156D"/>
    <w:rsid w:val="003516F8"/>
    <w:rsid w:val="0035213E"/>
    <w:rsid w:val="003522DB"/>
    <w:rsid w:val="00352C38"/>
    <w:rsid w:val="00352E69"/>
    <w:rsid w:val="0035323B"/>
    <w:rsid w:val="003532F9"/>
    <w:rsid w:val="0035392B"/>
    <w:rsid w:val="00354428"/>
    <w:rsid w:val="003549F2"/>
    <w:rsid w:val="00355292"/>
    <w:rsid w:val="00355B47"/>
    <w:rsid w:val="00355C84"/>
    <w:rsid w:val="00355FCD"/>
    <w:rsid w:val="00356413"/>
    <w:rsid w:val="0036031D"/>
    <w:rsid w:val="00360950"/>
    <w:rsid w:val="003609D2"/>
    <w:rsid w:val="00360AC3"/>
    <w:rsid w:val="0036112C"/>
    <w:rsid w:val="00362203"/>
    <w:rsid w:val="0036246F"/>
    <w:rsid w:val="00362B17"/>
    <w:rsid w:val="0036332C"/>
    <w:rsid w:val="003636E0"/>
    <w:rsid w:val="00363735"/>
    <w:rsid w:val="00363F22"/>
    <w:rsid w:val="00364139"/>
    <w:rsid w:val="0036450D"/>
    <w:rsid w:val="00364953"/>
    <w:rsid w:val="0036504A"/>
    <w:rsid w:val="003658C3"/>
    <w:rsid w:val="00365BCF"/>
    <w:rsid w:val="00366312"/>
    <w:rsid w:val="00366B0D"/>
    <w:rsid w:val="00366B2B"/>
    <w:rsid w:val="003672CC"/>
    <w:rsid w:val="0037158B"/>
    <w:rsid w:val="00371AFF"/>
    <w:rsid w:val="003725DF"/>
    <w:rsid w:val="0037279C"/>
    <w:rsid w:val="003727E2"/>
    <w:rsid w:val="00372A5D"/>
    <w:rsid w:val="00372EF6"/>
    <w:rsid w:val="00373294"/>
    <w:rsid w:val="003732F0"/>
    <w:rsid w:val="0037350A"/>
    <w:rsid w:val="00373AA2"/>
    <w:rsid w:val="00374FF1"/>
    <w:rsid w:val="00375564"/>
    <w:rsid w:val="0037580F"/>
    <w:rsid w:val="003759CA"/>
    <w:rsid w:val="00375ADC"/>
    <w:rsid w:val="00375D81"/>
    <w:rsid w:val="003760AA"/>
    <w:rsid w:val="003767A7"/>
    <w:rsid w:val="003767BB"/>
    <w:rsid w:val="00376B82"/>
    <w:rsid w:val="00376F9D"/>
    <w:rsid w:val="00377CA6"/>
    <w:rsid w:val="003805E3"/>
    <w:rsid w:val="00380B9B"/>
    <w:rsid w:val="0038295F"/>
    <w:rsid w:val="003829E8"/>
    <w:rsid w:val="00383191"/>
    <w:rsid w:val="003831A1"/>
    <w:rsid w:val="00383603"/>
    <w:rsid w:val="00383F8A"/>
    <w:rsid w:val="003842BF"/>
    <w:rsid w:val="0038438A"/>
    <w:rsid w:val="003844E1"/>
    <w:rsid w:val="00384D05"/>
    <w:rsid w:val="003852A7"/>
    <w:rsid w:val="00385645"/>
    <w:rsid w:val="00385A85"/>
    <w:rsid w:val="00385FE7"/>
    <w:rsid w:val="00386142"/>
    <w:rsid w:val="0038661C"/>
    <w:rsid w:val="00386631"/>
    <w:rsid w:val="00386A72"/>
    <w:rsid w:val="00386DED"/>
    <w:rsid w:val="00387AED"/>
    <w:rsid w:val="003900B3"/>
    <w:rsid w:val="00390A59"/>
    <w:rsid w:val="00390BDE"/>
    <w:rsid w:val="00390D07"/>
    <w:rsid w:val="00390D4F"/>
    <w:rsid w:val="00390EB4"/>
    <w:rsid w:val="00390F74"/>
    <w:rsid w:val="003912E7"/>
    <w:rsid w:val="00391560"/>
    <w:rsid w:val="0039195B"/>
    <w:rsid w:val="00391B33"/>
    <w:rsid w:val="003929AB"/>
    <w:rsid w:val="00393024"/>
    <w:rsid w:val="0039321A"/>
    <w:rsid w:val="00393498"/>
    <w:rsid w:val="00393947"/>
    <w:rsid w:val="00394402"/>
    <w:rsid w:val="00394C9F"/>
    <w:rsid w:val="00395B64"/>
    <w:rsid w:val="00395C13"/>
    <w:rsid w:val="00395F44"/>
    <w:rsid w:val="003969B9"/>
    <w:rsid w:val="00397802"/>
    <w:rsid w:val="00397AE6"/>
    <w:rsid w:val="00397FCD"/>
    <w:rsid w:val="003A00D9"/>
    <w:rsid w:val="003A012B"/>
    <w:rsid w:val="003A040B"/>
    <w:rsid w:val="003A0615"/>
    <w:rsid w:val="003A0D8D"/>
    <w:rsid w:val="003A0E94"/>
    <w:rsid w:val="003A2275"/>
    <w:rsid w:val="003A24AA"/>
    <w:rsid w:val="003A2699"/>
    <w:rsid w:val="003A2B95"/>
    <w:rsid w:val="003A3C66"/>
    <w:rsid w:val="003A4339"/>
    <w:rsid w:val="003A47ED"/>
    <w:rsid w:val="003A49B3"/>
    <w:rsid w:val="003A4F98"/>
    <w:rsid w:val="003A563C"/>
    <w:rsid w:val="003A590C"/>
    <w:rsid w:val="003A5BD2"/>
    <w:rsid w:val="003A5D1C"/>
    <w:rsid w:val="003A5E07"/>
    <w:rsid w:val="003A6A4F"/>
    <w:rsid w:val="003A6CEE"/>
    <w:rsid w:val="003A7088"/>
    <w:rsid w:val="003A7201"/>
    <w:rsid w:val="003A78EC"/>
    <w:rsid w:val="003A7C3C"/>
    <w:rsid w:val="003B00DF"/>
    <w:rsid w:val="003B0B16"/>
    <w:rsid w:val="003B0ED9"/>
    <w:rsid w:val="003B1275"/>
    <w:rsid w:val="003B15D6"/>
    <w:rsid w:val="003B1778"/>
    <w:rsid w:val="003B1B94"/>
    <w:rsid w:val="003B20EF"/>
    <w:rsid w:val="003B2860"/>
    <w:rsid w:val="003B31B2"/>
    <w:rsid w:val="003B3319"/>
    <w:rsid w:val="003B37D9"/>
    <w:rsid w:val="003B3C80"/>
    <w:rsid w:val="003B3F69"/>
    <w:rsid w:val="003B400C"/>
    <w:rsid w:val="003B44D8"/>
    <w:rsid w:val="003B4A5E"/>
    <w:rsid w:val="003B4C73"/>
    <w:rsid w:val="003B5580"/>
    <w:rsid w:val="003B577A"/>
    <w:rsid w:val="003B58DB"/>
    <w:rsid w:val="003B6384"/>
    <w:rsid w:val="003B66EB"/>
    <w:rsid w:val="003B7140"/>
    <w:rsid w:val="003B7365"/>
    <w:rsid w:val="003B7486"/>
    <w:rsid w:val="003B74AF"/>
    <w:rsid w:val="003B7A42"/>
    <w:rsid w:val="003B7C7B"/>
    <w:rsid w:val="003C010F"/>
    <w:rsid w:val="003C02AC"/>
    <w:rsid w:val="003C0536"/>
    <w:rsid w:val="003C0666"/>
    <w:rsid w:val="003C0F91"/>
    <w:rsid w:val="003C11CB"/>
    <w:rsid w:val="003C138A"/>
    <w:rsid w:val="003C142E"/>
    <w:rsid w:val="003C1523"/>
    <w:rsid w:val="003C1FE6"/>
    <w:rsid w:val="003C2EF0"/>
    <w:rsid w:val="003C2FE6"/>
    <w:rsid w:val="003C3B55"/>
    <w:rsid w:val="003C4676"/>
    <w:rsid w:val="003C476C"/>
    <w:rsid w:val="003C4A49"/>
    <w:rsid w:val="003C4B1E"/>
    <w:rsid w:val="003C5B91"/>
    <w:rsid w:val="003C6170"/>
    <w:rsid w:val="003C618B"/>
    <w:rsid w:val="003C6A87"/>
    <w:rsid w:val="003C75F3"/>
    <w:rsid w:val="003C78A3"/>
    <w:rsid w:val="003C78FB"/>
    <w:rsid w:val="003C7B70"/>
    <w:rsid w:val="003C7D3E"/>
    <w:rsid w:val="003D04D8"/>
    <w:rsid w:val="003D1122"/>
    <w:rsid w:val="003D1436"/>
    <w:rsid w:val="003D1CA3"/>
    <w:rsid w:val="003D31BE"/>
    <w:rsid w:val="003D32BE"/>
    <w:rsid w:val="003D33BD"/>
    <w:rsid w:val="003D5893"/>
    <w:rsid w:val="003D5B46"/>
    <w:rsid w:val="003D603A"/>
    <w:rsid w:val="003D67F6"/>
    <w:rsid w:val="003D6E8E"/>
    <w:rsid w:val="003D7B86"/>
    <w:rsid w:val="003D7C3A"/>
    <w:rsid w:val="003E02F6"/>
    <w:rsid w:val="003E078E"/>
    <w:rsid w:val="003E0D4C"/>
    <w:rsid w:val="003E125F"/>
    <w:rsid w:val="003E12A4"/>
    <w:rsid w:val="003E1617"/>
    <w:rsid w:val="003E1867"/>
    <w:rsid w:val="003E24C3"/>
    <w:rsid w:val="003E2D36"/>
    <w:rsid w:val="003E2F64"/>
    <w:rsid w:val="003E375C"/>
    <w:rsid w:val="003E3886"/>
    <w:rsid w:val="003E3A7F"/>
    <w:rsid w:val="003E4BF4"/>
    <w:rsid w:val="003E4FB0"/>
    <w:rsid w:val="003E5729"/>
    <w:rsid w:val="003E5A21"/>
    <w:rsid w:val="003E5B72"/>
    <w:rsid w:val="003E64EB"/>
    <w:rsid w:val="003E6AA3"/>
    <w:rsid w:val="003E6C47"/>
    <w:rsid w:val="003E6F6F"/>
    <w:rsid w:val="003F007A"/>
    <w:rsid w:val="003F04A8"/>
    <w:rsid w:val="003F0A81"/>
    <w:rsid w:val="003F1408"/>
    <w:rsid w:val="003F147D"/>
    <w:rsid w:val="003F1548"/>
    <w:rsid w:val="003F2182"/>
    <w:rsid w:val="003F2483"/>
    <w:rsid w:val="003F253E"/>
    <w:rsid w:val="003F272C"/>
    <w:rsid w:val="003F2796"/>
    <w:rsid w:val="003F2986"/>
    <w:rsid w:val="003F2ED9"/>
    <w:rsid w:val="003F384A"/>
    <w:rsid w:val="003F3908"/>
    <w:rsid w:val="003F3CE6"/>
    <w:rsid w:val="003F40E2"/>
    <w:rsid w:val="003F42E9"/>
    <w:rsid w:val="003F430F"/>
    <w:rsid w:val="003F4313"/>
    <w:rsid w:val="003F49B7"/>
    <w:rsid w:val="003F4EE0"/>
    <w:rsid w:val="003F5ABD"/>
    <w:rsid w:val="003F6054"/>
    <w:rsid w:val="003F6926"/>
    <w:rsid w:val="003F6D28"/>
    <w:rsid w:val="004003D7"/>
    <w:rsid w:val="00400652"/>
    <w:rsid w:val="0040087C"/>
    <w:rsid w:val="00401061"/>
    <w:rsid w:val="0040168D"/>
    <w:rsid w:val="00401946"/>
    <w:rsid w:val="00401CFA"/>
    <w:rsid w:val="00402153"/>
    <w:rsid w:val="004022E4"/>
    <w:rsid w:val="004024D9"/>
    <w:rsid w:val="004026BC"/>
    <w:rsid w:val="0040295D"/>
    <w:rsid w:val="00402CB5"/>
    <w:rsid w:val="00402F69"/>
    <w:rsid w:val="00402FC1"/>
    <w:rsid w:val="0040366E"/>
    <w:rsid w:val="004044A7"/>
    <w:rsid w:val="00404595"/>
    <w:rsid w:val="00404655"/>
    <w:rsid w:val="00404825"/>
    <w:rsid w:val="00404C4A"/>
    <w:rsid w:val="00404E71"/>
    <w:rsid w:val="00405466"/>
    <w:rsid w:val="0040559D"/>
    <w:rsid w:val="0040564E"/>
    <w:rsid w:val="00405A27"/>
    <w:rsid w:val="0040622C"/>
    <w:rsid w:val="00406295"/>
    <w:rsid w:val="004065E4"/>
    <w:rsid w:val="004066C7"/>
    <w:rsid w:val="0040681F"/>
    <w:rsid w:val="00406A04"/>
    <w:rsid w:val="00407092"/>
    <w:rsid w:val="004070DC"/>
    <w:rsid w:val="0040753E"/>
    <w:rsid w:val="0040761C"/>
    <w:rsid w:val="00407679"/>
    <w:rsid w:val="00407FD5"/>
    <w:rsid w:val="0041073B"/>
    <w:rsid w:val="004108C4"/>
    <w:rsid w:val="00410BAC"/>
    <w:rsid w:val="00411025"/>
    <w:rsid w:val="00411864"/>
    <w:rsid w:val="004125FB"/>
    <w:rsid w:val="004131A2"/>
    <w:rsid w:val="004136D5"/>
    <w:rsid w:val="00413775"/>
    <w:rsid w:val="00414958"/>
    <w:rsid w:val="00414DAA"/>
    <w:rsid w:val="00414FA0"/>
    <w:rsid w:val="00415304"/>
    <w:rsid w:val="00415A42"/>
    <w:rsid w:val="00415E2F"/>
    <w:rsid w:val="004174FA"/>
    <w:rsid w:val="00417611"/>
    <w:rsid w:val="004177CB"/>
    <w:rsid w:val="0041787B"/>
    <w:rsid w:val="00417A8E"/>
    <w:rsid w:val="00420B3A"/>
    <w:rsid w:val="00420F58"/>
    <w:rsid w:val="0042122A"/>
    <w:rsid w:val="00421694"/>
    <w:rsid w:val="004216EC"/>
    <w:rsid w:val="00421715"/>
    <w:rsid w:val="00421D61"/>
    <w:rsid w:val="00422BA7"/>
    <w:rsid w:val="00422F9E"/>
    <w:rsid w:val="00423722"/>
    <w:rsid w:val="004249D7"/>
    <w:rsid w:val="00424A9B"/>
    <w:rsid w:val="00424F4C"/>
    <w:rsid w:val="00425045"/>
    <w:rsid w:val="00425082"/>
    <w:rsid w:val="00425744"/>
    <w:rsid w:val="0042586C"/>
    <w:rsid w:val="004267B2"/>
    <w:rsid w:val="00426899"/>
    <w:rsid w:val="00427120"/>
    <w:rsid w:val="0042726C"/>
    <w:rsid w:val="004273BF"/>
    <w:rsid w:val="00427B37"/>
    <w:rsid w:val="00430383"/>
    <w:rsid w:val="004305EE"/>
    <w:rsid w:val="0043062C"/>
    <w:rsid w:val="0043195F"/>
    <w:rsid w:val="00431DEB"/>
    <w:rsid w:val="004320A1"/>
    <w:rsid w:val="00432419"/>
    <w:rsid w:val="00433114"/>
    <w:rsid w:val="00433B07"/>
    <w:rsid w:val="00433D4B"/>
    <w:rsid w:val="00434D04"/>
    <w:rsid w:val="00434E7E"/>
    <w:rsid w:val="00435084"/>
    <w:rsid w:val="00435698"/>
    <w:rsid w:val="00435951"/>
    <w:rsid w:val="00435975"/>
    <w:rsid w:val="00435F77"/>
    <w:rsid w:val="00436539"/>
    <w:rsid w:val="00436681"/>
    <w:rsid w:val="004403D9"/>
    <w:rsid w:val="00443C6F"/>
    <w:rsid w:val="00444F3C"/>
    <w:rsid w:val="004454DC"/>
    <w:rsid w:val="00445B62"/>
    <w:rsid w:val="00445DE0"/>
    <w:rsid w:val="00446278"/>
    <w:rsid w:val="00446B29"/>
    <w:rsid w:val="00446F26"/>
    <w:rsid w:val="0044705E"/>
    <w:rsid w:val="00447455"/>
    <w:rsid w:val="004477C1"/>
    <w:rsid w:val="004510C6"/>
    <w:rsid w:val="004510DD"/>
    <w:rsid w:val="004518C9"/>
    <w:rsid w:val="00451A44"/>
    <w:rsid w:val="00451B27"/>
    <w:rsid w:val="0045270A"/>
    <w:rsid w:val="004527D6"/>
    <w:rsid w:val="004534D2"/>
    <w:rsid w:val="00453978"/>
    <w:rsid w:val="00453B3D"/>
    <w:rsid w:val="00453EE5"/>
    <w:rsid w:val="00453F9A"/>
    <w:rsid w:val="00454451"/>
    <w:rsid w:val="004547E6"/>
    <w:rsid w:val="00454C29"/>
    <w:rsid w:val="00454D1B"/>
    <w:rsid w:val="00455029"/>
    <w:rsid w:val="004554CE"/>
    <w:rsid w:val="004556F4"/>
    <w:rsid w:val="004559C2"/>
    <w:rsid w:val="004569F9"/>
    <w:rsid w:val="00456A0A"/>
    <w:rsid w:val="00456AD5"/>
    <w:rsid w:val="004574D6"/>
    <w:rsid w:val="00457A94"/>
    <w:rsid w:val="00460177"/>
    <w:rsid w:val="00460B3A"/>
    <w:rsid w:val="00460E62"/>
    <w:rsid w:val="00461788"/>
    <w:rsid w:val="00461C69"/>
    <w:rsid w:val="00462F8F"/>
    <w:rsid w:val="004633E2"/>
    <w:rsid w:val="00463876"/>
    <w:rsid w:val="004639FC"/>
    <w:rsid w:val="00463DBA"/>
    <w:rsid w:val="0046482C"/>
    <w:rsid w:val="00464AD0"/>
    <w:rsid w:val="00464C0E"/>
    <w:rsid w:val="004653E2"/>
    <w:rsid w:val="004669EA"/>
    <w:rsid w:val="00466C62"/>
    <w:rsid w:val="0046752B"/>
    <w:rsid w:val="004704C0"/>
    <w:rsid w:val="004709F0"/>
    <w:rsid w:val="004715AA"/>
    <w:rsid w:val="00471E91"/>
    <w:rsid w:val="004722E5"/>
    <w:rsid w:val="00472DB5"/>
    <w:rsid w:val="00472DB8"/>
    <w:rsid w:val="00472E3A"/>
    <w:rsid w:val="00473861"/>
    <w:rsid w:val="0047449A"/>
    <w:rsid w:val="00474675"/>
    <w:rsid w:val="0047470C"/>
    <w:rsid w:val="00474DF5"/>
    <w:rsid w:val="004753EE"/>
    <w:rsid w:val="004755C8"/>
    <w:rsid w:val="0047590F"/>
    <w:rsid w:val="00476390"/>
    <w:rsid w:val="004764CA"/>
    <w:rsid w:val="00476509"/>
    <w:rsid w:val="004768DA"/>
    <w:rsid w:val="00476C57"/>
    <w:rsid w:val="00476F7E"/>
    <w:rsid w:val="00477191"/>
    <w:rsid w:val="0047733C"/>
    <w:rsid w:val="00477B94"/>
    <w:rsid w:val="00480699"/>
    <w:rsid w:val="00481790"/>
    <w:rsid w:val="0048215A"/>
    <w:rsid w:val="00482AFF"/>
    <w:rsid w:val="0048339E"/>
    <w:rsid w:val="0048393F"/>
    <w:rsid w:val="00483CE7"/>
    <w:rsid w:val="00484386"/>
    <w:rsid w:val="00484686"/>
    <w:rsid w:val="00484753"/>
    <w:rsid w:val="00484840"/>
    <w:rsid w:val="00484E53"/>
    <w:rsid w:val="00485AF6"/>
    <w:rsid w:val="00485B95"/>
    <w:rsid w:val="00486568"/>
    <w:rsid w:val="00486C22"/>
    <w:rsid w:val="00490B2F"/>
    <w:rsid w:val="00491005"/>
    <w:rsid w:val="00491418"/>
    <w:rsid w:val="004917B8"/>
    <w:rsid w:val="004917EE"/>
    <w:rsid w:val="0049240A"/>
    <w:rsid w:val="00492446"/>
    <w:rsid w:val="00492840"/>
    <w:rsid w:val="00493A99"/>
    <w:rsid w:val="00495BA6"/>
    <w:rsid w:val="00496DEB"/>
    <w:rsid w:val="0049745D"/>
    <w:rsid w:val="0049753A"/>
    <w:rsid w:val="00497AD2"/>
    <w:rsid w:val="00497E19"/>
    <w:rsid w:val="004A0D8D"/>
    <w:rsid w:val="004A0DD3"/>
    <w:rsid w:val="004A0F41"/>
    <w:rsid w:val="004A0FCA"/>
    <w:rsid w:val="004A1224"/>
    <w:rsid w:val="004A12DD"/>
    <w:rsid w:val="004A2555"/>
    <w:rsid w:val="004A3130"/>
    <w:rsid w:val="004A3335"/>
    <w:rsid w:val="004A3540"/>
    <w:rsid w:val="004A35F9"/>
    <w:rsid w:val="004A398F"/>
    <w:rsid w:val="004A3DF0"/>
    <w:rsid w:val="004A4055"/>
    <w:rsid w:val="004A47B2"/>
    <w:rsid w:val="004A4F93"/>
    <w:rsid w:val="004A52D6"/>
    <w:rsid w:val="004A5F16"/>
    <w:rsid w:val="004A5FDF"/>
    <w:rsid w:val="004A6300"/>
    <w:rsid w:val="004A6A18"/>
    <w:rsid w:val="004A76A1"/>
    <w:rsid w:val="004A7BEE"/>
    <w:rsid w:val="004A7FC2"/>
    <w:rsid w:val="004B0527"/>
    <w:rsid w:val="004B0A32"/>
    <w:rsid w:val="004B105B"/>
    <w:rsid w:val="004B1B89"/>
    <w:rsid w:val="004B1B94"/>
    <w:rsid w:val="004B24C1"/>
    <w:rsid w:val="004B27D4"/>
    <w:rsid w:val="004B2D53"/>
    <w:rsid w:val="004B2EE5"/>
    <w:rsid w:val="004B2F9F"/>
    <w:rsid w:val="004B34EA"/>
    <w:rsid w:val="004B3E36"/>
    <w:rsid w:val="004B4F8D"/>
    <w:rsid w:val="004B5B1E"/>
    <w:rsid w:val="004B5B2D"/>
    <w:rsid w:val="004B677B"/>
    <w:rsid w:val="004B6E5A"/>
    <w:rsid w:val="004B71EF"/>
    <w:rsid w:val="004B7287"/>
    <w:rsid w:val="004B7B27"/>
    <w:rsid w:val="004B7B42"/>
    <w:rsid w:val="004B7D29"/>
    <w:rsid w:val="004C00A6"/>
    <w:rsid w:val="004C0D51"/>
    <w:rsid w:val="004C0F5F"/>
    <w:rsid w:val="004C13E7"/>
    <w:rsid w:val="004C18C6"/>
    <w:rsid w:val="004C1F84"/>
    <w:rsid w:val="004C2681"/>
    <w:rsid w:val="004C277A"/>
    <w:rsid w:val="004C292F"/>
    <w:rsid w:val="004C3155"/>
    <w:rsid w:val="004C33F8"/>
    <w:rsid w:val="004C415B"/>
    <w:rsid w:val="004C4542"/>
    <w:rsid w:val="004C4604"/>
    <w:rsid w:val="004C59C7"/>
    <w:rsid w:val="004C5BCE"/>
    <w:rsid w:val="004C62BD"/>
    <w:rsid w:val="004C62C3"/>
    <w:rsid w:val="004C66D0"/>
    <w:rsid w:val="004C6E21"/>
    <w:rsid w:val="004C7194"/>
    <w:rsid w:val="004C7F1D"/>
    <w:rsid w:val="004C7F98"/>
    <w:rsid w:val="004D06A6"/>
    <w:rsid w:val="004D08D0"/>
    <w:rsid w:val="004D0D86"/>
    <w:rsid w:val="004D1975"/>
    <w:rsid w:val="004D1B09"/>
    <w:rsid w:val="004D1C50"/>
    <w:rsid w:val="004D29F5"/>
    <w:rsid w:val="004D2FB3"/>
    <w:rsid w:val="004D304D"/>
    <w:rsid w:val="004D43FC"/>
    <w:rsid w:val="004D4CFE"/>
    <w:rsid w:val="004D4DB9"/>
    <w:rsid w:val="004D4E70"/>
    <w:rsid w:val="004D587E"/>
    <w:rsid w:val="004D6686"/>
    <w:rsid w:val="004D6868"/>
    <w:rsid w:val="004D6B0D"/>
    <w:rsid w:val="004D7351"/>
    <w:rsid w:val="004D7422"/>
    <w:rsid w:val="004D797D"/>
    <w:rsid w:val="004D7A28"/>
    <w:rsid w:val="004D7A8F"/>
    <w:rsid w:val="004D7FBE"/>
    <w:rsid w:val="004E0097"/>
    <w:rsid w:val="004E023A"/>
    <w:rsid w:val="004E0289"/>
    <w:rsid w:val="004E09D9"/>
    <w:rsid w:val="004E0FA3"/>
    <w:rsid w:val="004E1B28"/>
    <w:rsid w:val="004E1FF5"/>
    <w:rsid w:val="004E2061"/>
    <w:rsid w:val="004E24DD"/>
    <w:rsid w:val="004E2B71"/>
    <w:rsid w:val="004E3E41"/>
    <w:rsid w:val="004E5299"/>
    <w:rsid w:val="004E56A7"/>
    <w:rsid w:val="004E662C"/>
    <w:rsid w:val="004E6703"/>
    <w:rsid w:val="004E6A55"/>
    <w:rsid w:val="004E6AAE"/>
    <w:rsid w:val="004E6E55"/>
    <w:rsid w:val="004E7B2C"/>
    <w:rsid w:val="004E7D49"/>
    <w:rsid w:val="004F0322"/>
    <w:rsid w:val="004F0BA1"/>
    <w:rsid w:val="004F195C"/>
    <w:rsid w:val="004F1977"/>
    <w:rsid w:val="004F2473"/>
    <w:rsid w:val="004F28D7"/>
    <w:rsid w:val="004F40CA"/>
    <w:rsid w:val="004F4188"/>
    <w:rsid w:val="004F50DB"/>
    <w:rsid w:val="004F54EB"/>
    <w:rsid w:val="004F5934"/>
    <w:rsid w:val="004F6937"/>
    <w:rsid w:val="004F6B95"/>
    <w:rsid w:val="005000E4"/>
    <w:rsid w:val="005003E9"/>
    <w:rsid w:val="00500E12"/>
    <w:rsid w:val="00500F0F"/>
    <w:rsid w:val="0050121B"/>
    <w:rsid w:val="005014A4"/>
    <w:rsid w:val="005014B7"/>
    <w:rsid w:val="0050156B"/>
    <w:rsid w:val="00501BB8"/>
    <w:rsid w:val="00501EE3"/>
    <w:rsid w:val="0050299C"/>
    <w:rsid w:val="00502A8D"/>
    <w:rsid w:val="0050336F"/>
    <w:rsid w:val="00503D14"/>
    <w:rsid w:val="00503E7F"/>
    <w:rsid w:val="005043A0"/>
    <w:rsid w:val="00504550"/>
    <w:rsid w:val="00504735"/>
    <w:rsid w:val="00505715"/>
    <w:rsid w:val="00505EBF"/>
    <w:rsid w:val="0050608E"/>
    <w:rsid w:val="005072E2"/>
    <w:rsid w:val="0050778B"/>
    <w:rsid w:val="00507805"/>
    <w:rsid w:val="00507A04"/>
    <w:rsid w:val="00507C1C"/>
    <w:rsid w:val="00507EF2"/>
    <w:rsid w:val="00507F47"/>
    <w:rsid w:val="00510280"/>
    <w:rsid w:val="00510582"/>
    <w:rsid w:val="005106FD"/>
    <w:rsid w:val="0051081C"/>
    <w:rsid w:val="005113FE"/>
    <w:rsid w:val="00511506"/>
    <w:rsid w:val="0051212D"/>
    <w:rsid w:val="005122BE"/>
    <w:rsid w:val="00512A00"/>
    <w:rsid w:val="005131B8"/>
    <w:rsid w:val="00513323"/>
    <w:rsid w:val="00513354"/>
    <w:rsid w:val="00513958"/>
    <w:rsid w:val="00513D73"/>
    <w:rsid w:val="00514751"/>
    <w:rsid w:val="005147F8"/>
    <w:rsid w:val="00514A43"/>
    <w:rsid w:val="005151CF"/>
    <w:rsid w:val="00515A63"/>
    <w:rsid w:val="00515C23"/>
    <w:rsid w:val="005161AC"/>
    <w:rsid w:val="00516A64"/>
    <w:rsid w:val="0051734F"/>
    <w:rsid w:val="005174E5"/>
    <w:rsid w:val="0051777F"/>
    <w:rsid w:val="005216D5"/>
    <w:rsid w:val="00521973"/>
    <w:rsid w:val="00522132"/>
    <w:rsid w:val="00522393"/>
    <w:rsid w:val="00522620"/>
    <w:rsid w:val="005226BE"/>
    <w:rsid w:val="00522700"/>
    <w:rsid w:val="005228D0"/>
    <w:rsid w:val="00522A6F"/>
    <w:rsid w:val="00522A91"/>
    <w:rsid w:val="00523253"/>
    <w:rsid w:val="0052357A"/>
    <w:rsid w:val="00523680"/>
    <w:rsid w:val="00523856"/>
    <w:rsid w:val="00523A64"/>
    <w:rsid w:val="00525656"/>
    <w:rsid w:val="0052586A"/>
    <w:rsid w:val="00525B4C"/>
    <w:rsid w:val="0052606C"/>
    <w:rsid w:val="005260F1"/>
    <w:rsid w:val="00526233"/>
    <w:rsid w:val="00526514"/>
    <w:rsid w:val="00526643"/>
    <w:rsid w:val="00526719"/>
    <w:rsid w:val="00526815"/>
    <w:rsid w:val="00526870"/>
    <w:rsid w:val="005269B6"/>
    <w:rsid w:val="00526C1F"/>
    <w:rsid w:val="00526F2D"/>
    <w:rsid w:val="00527139"/>
    <w:rsid w:val="0053048E"/>
    <w:rsid w:val="00530868"/>
    <w:rsid w:val="00530B99"/>
    <w:rsid w:val="00531130"/>
    <w:rsid w:val="00531DB9"/>
    <w:rsid w:val="00531FF1"/>
    <w:rsid w:val="00532C33"/>
    <w:rsid w:val="005331C7"/>
    <w:rsid w:val="005334A5"/>
    <w:rsid w:val="00533BCF"/>
    <w:rsid w:val="00534529"/>
    <w:rsid w:val="00534C02"/>
    <w:rsid w:val="0053539D"/>
    <w:rsid w:val="00535625"/>
    <w:rsid w:val="00535901"/>
    <w:rsid w:val="00535E27"/>
    <w:rsid w:val="00536879"/>
    <w:rsid w:val="00536C4D"/>
    <w:rsid w:val="005372CF"/>
    <w:rsid w:val="00537385"/>
    <w:rsid w:val="00537500"/>
    <w:rsid w:val="0053756C"/>
    <w:rsid w:val="005376B5"/>
    <w:rsid w:val="00537AF3"/>
    <w:rsid w:val="00537B2D"/>
    <w:rsid w:val="005408C6"/>
    <w:rsid w:val="00540A8D"/>
    <w:rsid w:val="00541D1B"/>
    <w:rsid w:val="005425A6"/>
    <w:rsid w:val="0054264B"/>
    <w:rsid w:val="00542840"/>
    <w:rsid w:val="005431DF"/>
    <w:rsid w:val="00543786"/>
    <w:rsid w:val="005445CE"/>
    <w:rsid w:val="00544C27"/>
    <w:rsid w:val="005450B5"/>
    <w:rsid w:val="0054540E"/>
    <w:rsid w:val="00545437"/>
    <w:rsid w:val="005455F4"/>
    <w:rsid w:val="00545689"/>
    <w:rsid w:val="00545908"/>
    <w:rsid w:val="0054615D"/>
    <w:rsid w:val="005465B7"/>
    <w:rsid w:val="0054663A"/>
    <w:rsid w:val="0054717B"/>
    <w:rsid w:val="005472BF"/>
    <w:rsid w:val="005500D8"/>
    <w:rsid w:val="0055037E"/>
    <w:rsid w:val="00550652"/>
    <w:rsid w:val="00550E40"/>
    <w:rsid w:val="00550FF9"/>
    <w:rsid w:val="0055155E"/>
    <w:rsid w:val="0055181D"/>
    <w:rsid w:val="0055239A"/>
    <w:rsid w:val="0055266D"/>
    <w:rsid w:val="00552850"/>
    <w:rsid w:val="00552D3C"/>
    <w:rsid w:val="00552DC4"/>
    <w:rsid w:val="005533D7"/>
    <w:rsid w:val="00553E10"/>
    <w:rsid w:val="0055433B"/>
    <w:rsid w:val="0055456E"/>
    <w:rsid w:val="00554BC0"/>
    <w:rsid w:val="00554CC8"/>
    <w:rsid w:val="00555031"/>
    <w:rsid w:val="005553ED"/>
    <w:rsid w:val="00555601"/>
    <w:rsid w:val="00555FEC"/>
    <w:rsid w:val="00556A9C"/>
    <w:rsid w:val="00556CA9"/>
    <w:rsid w:val="00556E47"/>
    <w:rsid w:val="00557735"/>
    <w:rsid w:val="005577E3"/>
    <w:rsid w:val="00557E0D"/>
    <w:rsid w:val="00560103"/>
    <w:rsid w:val="005604F0"/>
    <w:rsid w:val="00560704"/>
    <w:rsid w:val="0056105F"/>
    <w:rsid w:val="005619F4"/>
    <w:rsid w:val="00561A9E"/>
    <w:rsid w:val="005621D3"/>
    <w:rsid w:val="005623F2"/>
    <w:rsid w:val="00562620"/>
    <w:rsid w:val="005628BC"/>
    <w:rsid w:val="005636D0"/>
    <w:rsid w:val="005639D6"/>
    <w:rsid w:val="00563AE2"/>
    <w:rsid w:val="00563EA5"/>
    <w:rsid w:val="00564C75"/>
    <w:rsid w:val="00565678"/>
    <w:rsid w:val="005656A3"/>
    <w:rsid w:val="00565877"/>
    <w:rsid w:val="00565A94"/>
    <w:rsid w:val="00565EF6"/>
    <w:rsid w:val="0056611A"/>
    <w:rsid w:val="005668C3"/>
    <w:rsid w:val="00566C4F"/>
    <w:rsid w:val="00567781"/>
    <w:rsid w:val="00567DE8"/>
    <w:rsid w:val="005702AD"/>
    <w:rsid w:val="005703DE"/>
    <w:rsid w:val="0057110B"/>
    <w:rsid w:val="005712D4"/>
    <w:rsid w:val="00571632"/>
    <w:rsid w:val="00571926"/>
    <w:rsid w:val="00571F05"/>
    <w:rsid w:val="005721BE"/>
    <w:rsid w:val="0057268E"/>
    <w:rsid w:val="00573FBB"/>
    <w:rsid w:val="00574625"/>
    <w:rsid w:val="005747E2"/>
    <w:rsid w:val="00574895"/>
    <w:rsid w:val="00574E70"/>
    <w:rsid w:val="00575552"/>
    <w:rsid w:val="00575B3D"/>
    <w:rsid w:val="00575D4A"/>
    <w:rsid w:val="00576524"/>
    <w:rsid w:val="00577E3C"/>
    <w:rsid w:val="0058094F"/>
    <w:rsid w:val="00580966"/>
    <w:rsid w:val="005821B1"/>
    <w:rsid w:val="0058232E"/>
    <w:rsid w:val="00582B87"/>
    <w:rsid w:val="00583080"/>
    <w:rsid w:val="00583169"/>
    <w:rsid w:val="005831DC"/>
    <w:rsid w:val="00583815"/>
    <w:rsid w:val="00583CE9"/>
    <w:rsid w:val="0058464E"/>
    <w:rsid w:val="00584ACD"/>
    <w:rsid w:val="005852B4"/>
    <w:rsid w:val="005860AE"/>
    <w:rsid w:val="005866CA"/>
    <w:rsid w:val="00587506"/>
    <w:rsid w:val="00587916"/>
    <w:rsid w:val="00587B7D"/>
    <w:rsid w:val="005908CE"/>
    <w:rsid w:val="005912D4"/>
    <w:rsid w:val="005915E8"/>
    <w:rsid w:val="00591E2E"/>
    <w:rsid w:val="00591F5B"/>
    <w:rsid w:val="00592FA2"/>
    <w:rsid w:val="00592FFE"/>
    <w:rsid w:val="00593C99"/>
    <w:rsid w:val="00594694"/>
    <w:rsid w:val="0059486B"/>
    <w:rsid w:val="005948C4"/>
    <w:rsid w:val="00594A7E"/>
    <w:rsid w:val="00594F9C"/>
    <w:rsid w:val="00594FAC"/>
    <w:rsid w:val="00594FB0"/>
    <w:rsid w:val="0059598D"/>
    <w:rsid w:val="0059674A"/>
    <w:rsid w:val="00596ED0"/>
    <w:rsid w:val="0059752C"/>
    <w:rsid w:val="00597FDD"/>
    <w:rsid w:val="005A01CB"/>
    <w:rsid w:val="005A08B0"/>
    <w:rsid w:val="005A0A0E"/>
    <w:rsid w:val="005A1185"/>
    <w:rsid w:val="005A1A20"/>
    <w:rsid w:val="005A2349"/>
    <w:rsid w:val="005A2A2C"/>
    <w:rsid w:val="005A2C97"/>
    <w:rsid w:val="005A2E12"/>
    <w:rsid w:val="005A2E3A"/>
    <w:rsid w:val="005A2E58"/>
    <w:rsid w:val="005A3531"/>
    <w:rsid w:val="005A3965"/>
    <w:rsid w:val="005A3ACD"/>
    <w:rsid w:val="005A3B2E"/>
    <w:rsid w:val="005A3F97"/>
    <w:rsid w:val="005A404D"/>
    <w:rsid w:val="005A4966"/>
    <w:rsid w:val="005A50A2"/>
    <w:rsid w:val="005A566B"/>
    <w:rsid w:val="005A58FF"/>
    <w:rsid w:val="005A5C20"/>
    <w:rsid w:val="005A5EAF"/>
    <w:rsid w:val="005A64C0"/>
    <w:rsid w:val="005A6EEA"/>
    <w:rsid w:val="005A761A"/>
    <w:rsid w:val="005A7AD6"/>
    <w:rsid w:val="005A7CE1"/>
    <w:rsid w:val="005B15CB"/>
    <w:rsid w:val="005B1ED5"/>
    <w:rsid w:val="005B323E"/>
    <w:rsid w:val="005B3422"/>
    <w:rsid w:val="005B3A63"/>
    <w:rsid w:val="005B3C11"/>
    <w:rsid w:val="005B4025"/>
    <w:rsid w:val="005B477D"/>
    <w:rsid w:val="005B4C6E"/>
    <w:rsid w:val="005B4F77"/>
    <w:rsid w:val="005B60AF"/>
    <w:rsid w:val="005B64DC"/>
    <w:rsid w:val="005B6F56"/>
    <w:rsid w:val="005B711D"/>
    <w:rsid w:val="005B71B0"/>
    <w:rsid w:val="005B7261"/>
    <w:rsid w:val="005B749F"/>
    <w:rsid w:val="005B7A64"/>
    <w:rsid w:val="005B7AB9"/>
    <w:rsid w:val="005B7ED1"/>
    <w:rsid w:val="005C00BA"/>
    <w:rsid w:val="005C0408"/>
    <w:rsid w:val="005C040D"/>
    <w:rsid w:val="005C0449"/>
    <w:rsid w:val="005C046D"/>
    <w:rsid w:val="005C0E5C"/>
    <w:rsid w:val="005C0E7A"/>
    <w:rsid w:val="005C0FBE"/>
    <w:rsid w:val="005C174B"/>
    <w:rsid w:val="005C1761"/>
    <w:rsid w:val="005C1C28"/>
    <w:rsid w:val="005C2376"/>
    <w:rsid w:val="005C2DD2"/>
    <w:rsid w:val="005C36F3"/>
    <w:rsid w:val="005C374E"/>
    <w:rsid w:val="005C38DE"/>
    <w:rsid w:val="005C3CDF"/>
    <w:rsid w:val="005C3CE3"/>
    <w:rsid w:val="005C45DE"/>
    <w:rsid w:val="005C477D"/>
    <w:rsid w:val="005C4804"/>
    <w:rsid w:val="005C49CA"/>
    <w:rsid w:val="005C4B15"/>
    <w:rsid w:val="005C4D1C"/>
    <w:rsid w:val="005C535C"/>
    <w:rsid w:val="005C5455"/>
    <w:rsid w:val="005C5ADE"/>
    <w:rsid w:val="005C630E"/>
    <w:rsid w:val="005C648D"/>
    <w:rsid w:val="005C6DB5"/>
    <w:rsid w:val="005D0272"/>
    <w:rsid w:val="005D0B60"/>
    <w:rsid w:val="005D0F89"/>
    <w:rsid w:val="005D10CA"/>
    <w:rsid w:val="005D196A"/>
    <w:rsid w:val="005D199E"/>
    <w:rsid w:val="005D1DD4"/>
    <w:rsid w:val="005D2215"/>
    <w:rsid w:val="005D3270"/>
    <w:rsid w:val="005D3435"/>
    <w:rsid w:val="005D3F2F"/>
    <w:rsid w:val="005D40F7"/>
    <w:rsid w:val="005D43BB"/>
    <w:rsid w:val="005D45DA"/>
    <w:rsid w:val="005D474C"/>
    <w:rsid w:val="005D5987"/>
    <w:rsid w:val="005D5C65"/>
    <w:rsid w:val="005D60F5"/>
    <w:rsid w:val="005D621D"/>
    <w:rsid w:val="005D62D3"/>
    <w:rsid w:val="005D63D4"/>
    <w:rsid w:val="005D65AB"/>
    <w:rsid w:val="005D6661"/>
    <w:rsid w:val="005D6B12"/>
    <w:rsid w:val="005D7B26"/>
    <w:rsid w:val="005E060D"/>
    <w:rsid w:val="005E08D8"/>
    <w:rsid w:val="005E090D"/>
    <w:rsid w:val="005E192C"/>
    <w:rsid w:val="005E19E7"/>
    <w:rsid w:val="005E246E"/>
    <w:rsid w:val="005E34AA"/>
    <w:rsid w:val="005E3B18"/>
    <w:rsid w:val="005E3DB2"/>
    <w:rsid w:val="005E3DD5"/>
    <w:rsid w:val="005E4D61"/>
    <w:rsid w:val="005E4E57"/>
    <w:rsid w:val="005E5051"/>
    <w:rsid w:val="005E5090"/>
    <w:rsid w:val="005E5421"/>
    <w:rsid w:val="005E5639"/>
    <w:rsid w:val="005E5A39"/>
    <w:rsid w:val="005E67AB"/>
    <w:rsid w:val="005E6B95"/>
    <w:rsid w:val="005E70B1"/>
    <w:rsid w:val="005E715C"/>
    <w:rsid w:val="005E7385"/>
    <w:rsid w:val="005E7E58"/>
    <w:rsid w:val="005F0330"/>
    <w:rsid w:val="005F1E1E"/>
    <w:rsid w:val="005F364A"/>
    <w:rsid w:val="005F3DA3"/>
    <w:rsid w:val="005F3E62"/>
    <w:rsid w:val="005F43C6"/>
    <w:rsid w:val="005F4C00"/>
    <w:rsid w:val="005F4CB5"/>
    <w:rsid w:val="005F509B"/>
    <w:rsid w:val="005F5557"/>
    <w:rsid w:val="005F55B2"/>
    <w:rsid w:val="005F6618"/>
    <w:rsid w:val="005F6D76"/>
    <w:rsid w:val="005F7607"/>
    <w:rsid w:val="005F766D"/>
    <w:rsid w:val="005F76DC"/>
    <w:rsid w:val="005F7CB1"/>
    <w:rsid w:val="005F7EFC"/>
    <w:rsid w:val="006007B0"/>
    <w:rsid w:val="00601277"/>
    <w:rsid w:val="00601B15"/>
    <w:rsid w:val="006033FD"/>
    <w:rsid w:val="006036D6"/>
    <w:rsid w:val="00603875"/>
    <w:rsid w:val="0060464A"/>
    <w:rsid w:val="00604B0E"/>
    <w:rsid w:val="00605444"/>
    <w:rsid w:val="00605FFA"/>
    <w:rsid w:val="00606527"/>
    <w:rsid w:val="00606B51"/>
    <w:rsid w:val="00606C30"/>
    <w:rsid w:val="00607433"/>
    <w:rsid w:val="006107F6"/>
    <w:rsid w:val="00610EBC"/>
    <w:rsid w:val="0061129C"/>
    <w:rsid w:val="0061133F"/>
    <w:rsid w:val="00611C93"/>
    <w:rsid w:val="006126E9"/>
    <w:rsid w:val="006138E4"/>
    <w:rsid w:val="00613E7A"/>
    <w:rsid w:val="00614053"/>
    <w:rsid w:val="00615C50"/>
    <w:rsid w:val="00617042"/>
    <w:rsid w:val="006170F6"/>
    <w:rsid w:val="0061716C"/>
    <w:rsid w:val="00617297"/>
    <w:rsid w:val="0061782E"/>
    <w:rsid w:val="00621114"/>
    <w:rsid w:val="0062135B"/>
    <w:rsid w:val="006227D1"/>
    <w:rsid w:val="00622DBD"/>
    <w:rsid w:val="00622E9F"/>
    <w:rsid w:val="00623260"/>
    <w:rsid w:val="00623666"/>
    <w:rsid w:val="0062385A"/>
    <w:rsid w:val="00623F52"/>
    <w:rsid w:val="006243A1"/>
    <w:rsid w:val="006245B1"/>
    <w:rsid w:val="0062487D"/>
    <w:rsid w:val="00624EB7"/>
    <w:rsid w:val="00624FBD"/>
    <w:rsid w:val="006252E8"/>
    <w:rsid w:val="00625E77"/>
    <w:rsid w:val="006260E0"/>
    <w:rsid w:val="0062632B"/>
    <w:rsid w:val="00626632"/>
    <w:rsid w:val="006272F9"/>
    <w:rsid w:val="00627505"/>
    <w:rsid w:val="00627C5A"/>
    <w:rsid w:val="006300A3"/>
    <w:rsid w:val="00630C1B"/>
    <w:rsid w:val="00630EB5"/>
    <w:rsid w:val="00630EDF"/>
    <w:rsid w:val="006311D6"/>
    <w:rsid w:val="00631797"/>
    <w:rsid w:val="0063195F"/>
    <w:rsid w:val="00631F54"/>
    <w:rsid w:val="00632076"/>
    <w:rsid w:val="00632B8F"/>
    <w:rsid w:val="00632E56"/>
    <w:rsid w:val="0063353D"/>
    <w:rsid w:val="00633AB1"/>
    <w:rsid w:val="00634454"/>
    <w:rsid w:val="0063467C"/>
    <w:rsid w:val="00634707"/>
    <w:rsid w:val="0063479A"/>
    <w:rsid w:val="00635CBA"/>
    <w:rsid w:val="00635CDD"/>
    <w:rsid w:val="0063696A"/>
    <w:rsid w:val="00636A9F"/>
    <w:rsid w:val="00636C14"/>
    <w:rsid w:val="0064005A"/>
    <w:rsid w:val="006400FA"/>
    <w:rsid w:val="00640C4B"/>
    <w:rsid w:val="00640E20"/>
    <w:rsid w:val="00641675"/>
    <w:rsid w:val="00641E4A"/>
    <w:rsid w:val="00642840"/>
    <w:rsid w:val="00642EA6"/>
    <w:rsid w:val="0064338B"/>
    <w:rsid w:val="00644441"/>
    <w:rsid w:val="006447DB"/>
    <w:rsid w:val="00644D58"/>
    <w:rsid w:val="006451E3"/>
    <w:rsid w:val="006453C4"/>
    <w:rsid w:val="0064586F"/>
    <w:rsid w:val="0064598A"/>
    <w:rsid w:val="00645B13"/>
    <w:rsid w:val="00646200"/>
    <w:rsid w:val="006464F8"/>
    <w:rsid w:val="00646542"/>
    <w:rsid w:val="0064660F"/>
    <w:rsid w:val="0064773F"/>
    <w:rsid w:val="006477A0"/>
    <w:rsid w:val="00647C0F"/>
    <w:rsid w:val="00647D17"/>
    <w:rsid w:val="00647D5F"/>
    <w:rsid w:val="00647DA2"/>
    <w:rsid w:val="00650305"/>
    <w:rsid w:val="006504F4"/>
    <w:rsid w:val="0065084A"/>
    <w:rsid w:val="006510B1"/>
    <w:rsid w:val="00651275"/>
    <w:rsid w:val="0065180C"/>
    <w:rsid w:val="00652FFC"/>
    <w:rsid w:val="00653283"/>
    <w:rsid w:val="0065335D"/>
    <w:rsid w:val="006537E6"/>
    <w:rsid w:val="00653CE6"/>
    <w:rsid w:val="006540F8"/>
    <w:rsid w:val="00654114"/>
    <w:rsid w:val="00654687"/>
    <w:rsid w:val="006547DE"/>
    <w:rsid w:val="00654AD5"/>
    <w:rsid w:val="00654BC9"/>
    <w:rsid w:val="00654D69"/>
    <w:rsid w:val="00654EC4"/>
    <w:rsid w:val="006552FD"/>
    <w:rsid w:val="00655357"/>
    <w:rsid w:val="00655512"/>
    <w:rsid w:val="00655621"/>
    <w:rsid w:val="00655788"/>
    <w:rsid w:val="00655CF2"/>
    <w:rsid w:val="00655FF1"/>
    <w:rsid w:val="0065763A"/>
    <w:rsid w:val="006577CB"/>
    <w:rsid w:val="006602F5"/>
    <w:rsid w:val="006604E5"/>
    <w:rsid w:val="00660686"/>
    <w:rsid w:val="006612F2"/>
    <w:rsid w:val="0066146F"/>
    <w:rsid w:val="00661720"/>
    <w:rsid w:val="006624B5"/>
    <w:rsid w:val="00663626"/>
    <w:rsid w:val="00663AF3"/>
    <w:rsid w:val="00663B32"/>
    <w:rsid w:val="00664F1C"/>
    <w:rsid w:val="00665275"/>
    <w:rsid w:val="0066557F"/>
    <w:rsid w:val="00665929"/>
    <w:rsid w:val="0066683D"/>
    <w:rsid w:val="0066684A"/>
    <w:rsid w:val="006668EB"/>
    <w:rsid w:val="00666B6C"/>
    <w:rsid w:val="00666CA4"/>
    <w:rsid w:val="006672A1"/>
    <w:rsid w:val="00667405"/>
    <w:rsid w:val="0066746B"/>
    <w:rsid w:val="00667594"/>
    <w:rsid w:val="00667705"/>
    <w:rsid w:val="00670202"/>
    <w:rsid w:val="00670409"/>
    <w:rsid w:val="006704B3"/>
    <w:rsid w:val="00670857"/>
    <w:rsid w:val="0067103A"/>
    <w:rsid w:val="0067131D"/>
    <w:rsid w:val="0067157A"/>
    <w:rsid w:val="006717E8"/>
    <w:rsid w:val="0067199E"/>
    <w:rsid w:val="00671C5C"/>
    <w:rsid w:val="00671CEA"/>
    <w:rsid w:val="00671D27"/>
    <w:rsid w:val="00672789"/>
    <w:rsid w:val="00672A37"/>
    <w:rsid w:val="006736A9"/>
    <w:rsid w:val="00673B0D"/>
    <w:rsid w:val="00673D5C"/>
    <w:rsid w:val="0067516A"/>
    <w:rsid w:val="00675D6C"/>
    <w:rsid w:val="0067609A"/>
    <w:rsid w:val="00676649"/>
    <w:rsid w:val="00676717"/>
    <w:rsid w:val="00677286"/>
    <w:rsid w:val="0067775E"/>
    <w:rsid w:val="006803F3"/>
    <w:rsid w:val="00680545"/>
    <w:rsid w:val="00680A02"/>
    <w:rsid w:val="00680A8B"/>
    <w:rsid w:val="00681366"/>
    <w:rsid w:val="006823B5"/>
    <w:rsid w:val="00682682"/>
    <w:rsid w:val="00682702"/>
    <w:rsid w:val="00682F1E"/>
    <w:rsid w:val="006831D8"/>
    <w:rsid w:val="0068329F"/>
    <w:rsid w:val="00683A86"/>
    <w:rsid w:val="00683BF1"/>
    <w:rsid w:val="00684589"/>
    <w:rsid w:val="006846AA"/>
    <w:rsid w:val="00684C5F"/>
    <w:rsid w:val="00685F22"/>
    <w:rsid w:val="00686841"/>
    <w:rsid w:val="006871F7"/>
    <w:rsid w:val="00687664"/>
    <w:rsid w:val="006879BB"/>
    <w:rsid w:val="00687F39"/>
    <w:rsid w:val="00690135"/>
    <w:rsid w:val="00690160"/>
    <w:rsid w:val="00690432"/>
    <w:rsid w:val="00690683"/>
    <w:rsid w:val="0069079C"/>
    <w:rsid w:val="006913C5"/>
    <w:rsid w:val="00691458"/>
    <w:rsid w:val="0069201D"/>
    <w:rsid w:val="00692368"/>
    <w:rsid w:val="00692859"/>
    <w:rsid w:val="006929F1"/>
    <w:rsid w:val="00692BFC"/>
    <w:rsid w:val="00692C5C"/>
    <w:rsid w:val="00693339"/>
    <w:rsid w:val="00693A0E"/>
    <w:rsid w:val="00693E5B"/>
    <w:rsid w:val="006943CA"/>
    <w:rsid w:val="0069500D"/>
    <w:rsid w:val="006951C8"/>
    <w:rsid w:val="00695A17"/>
    <w:rsid w:val="00695A74"/>
    <w:rsid w:val="00696CF7"/>
    <w:rsid w:val="006971AC"/>
    <w:rsid w:val="00697341"/>
    <w:rsid w:val="00697C2F"/>
    <w:rsid w:val="006A05F9"/>
    <w:rsid w:val="006A0BAC"/>
    <w:rsid w:val="006A1CD4"/>
    <w:rsid w:val="006A1F3B"/>
    <w:rsid w:val="006A2271"/>
    <w:rsid w:val="006A27B4"/>
    <w:rsid w:val="006A2A94"/>
    <w:rsid w:val="006A2EBC"/>
    <w:rsid w:val="006A31EE"/>
    <w:rsid w:val="006A3E85"/>
    <w:rsid w:val="006A42F3"/>
    <w:rsid w:val="006A4322"/>
    <w:rsid w:val="006A4C51"/>
    <w:rsid w:val="006A4D26"/>
    <w:rsid w:val="006A4E8A"/>
    <w:rsid w:val="006A557A"/>
    <w:rsid w:val="006A557F"/>
    <w:rsid w:val="006A58B6"/>
    <w:rsid w:val="006A5CC5"/>
    <w:rsid w:val="006A5EA0"/>
    <w:rsid w:val="006A613D"/>
    <w:rsid w:val="006A676B"/>
    <w:rsid w:val="006A6781"/>
    <w:rsid w:val="006A783B"/>
    <w:rsid w:val="006A7B33"/>
    <w:rsid w:val="006B0706"/>
    <w:rsid w:val="006B0E5F"/>
    <w:rsid w:val="006B0F70"/>
    <w:rsid w:val="006B0FD0"/>
    <w:rsid w:val="006B1174"/>
    <w:rsid w:val="006B13A9"/>
    <w:rsid w:val="006B14EA"/>
    <w:rsid w:val="006B171D"/>
    <w:rsid w:val="006B18D6"/>
    <w:rsid w:val="006B1E9E"/>
    <w:rsid w:val="006B205F"/>
    <w:rsid w:val="006B2700"/>
    <w:rsid w:val="006B31D9"/>
    <w:rsid w:val="006B3F3B"/>
    <w:rsid w:val="006B409B"/>
    <w:rsid w:val="006B4493"/>
    <w:rsid w:val="006B4D07"/>
    <w:rsid w:val="006B4E13"/>
    <w:rsid w:val="006B4E8D"/>
    <w:rsid w:val="006B4F71"/>
    <w:rsid w:val="006B5C32"/>
    <w:rsid w:val="006B66E7"/>
    <w:rsid w:val="006B6DC8"/>
    <w:rsid w:val="006B71BB"/>
    <w:rsid w:val="006B75DD"/>
    <w:rsid w:val="006B7CEA"/>
    <w:rsid w:val="006C02C0"/>
    <w:rsid w:val="006C0333"/>
    <w:rsid w:val="006C0749"/>
    <w:rsid w:val="006C20FA"/>
    <w:rsid w:val="006C2323"/>
    <w:rsid w:val="006C2CEC"/>
    <w:rsid w:val="006C2FE5"/>
    <w:rsid w:val="006C30A1"/>
    <w:rsid w:val="006C344C"/>
    <w:rsid w:val="006C35EF"/>
    <w:rsid w:val="006C3CEF"/>
    <w:rsid w:val="006C45D7"/>
    <w:rsid w:val="006C5314"/>
    <w:rsid w:val="006C56D3"/>
    <w:rsid w:val="006C598D"/>
    <w:rsid w:val="006C5F10"/>
    <w:rsid w:val="006C6753"/>
    <w:rsid w:val="006C67E0"/>
    <w:rsid w:val="006C6832"/>
    <w:rsid w:val="006C68BE"/>
    <w:rsid w:val="006C70F9"/>
    <w:rsid w:val="006C748F"/>
    <w:rsid w:val="006C7ABA"/>
    <w:rsid w:val="006D0D60"/>
    <w:rsid w:val="006D0F7E"/>
    <w:rsid w:val="006D10D0"/>
    <w:rsid w:val="006D1122"/>
    <w:rsid w:val="006D166C"/>
    <w:rsid w:val="006D1FD9"/>
    <w:rsid w:val="006D2BDB"/>
    <w:rsid w:val="006D3265"/>
    <w:rsid w:val="006D3359"/>
    <w:rsid w:val="006D36DB"/>
    <w:rsid w:val="006D36F8"/>
    <w:rsid w:val="006D3C00"/>
    <w:rsid w:val="006D3DB8"/>
    <w:rsid w:val="006D43F3"/>
    <w:rsid w:val="006D45D0"/>
    <w:rsid w:val="006D470C"/>
    <w:rsid w:val="006D4F2A"/>
    <w:rsid w:val="006D5D70"/>
    <w:rsid w:val="006D6156"/>
    <w:rsid w:val="006D62A1"/>
    <w:rsid w:val="006D6CFE"/>
    <w:rsid w:val="006D7965"/>
    <w:rsid w:val="006D7C56"/>
    <w:rsid w:val="006E04DE"/>
    <w:rsid w:val="006E10EE"/>
    <w:rsid w:val="006E19DD"/>
    <w:rsid w:val="006E1A72"/>
    <w:rsid w:val="006E209A"/>
    <w:rsid w:val="006E3013"/>
    <w:rsid w:val="006E33BE"/>
    <w:rsid w:val="006E3675"/>
    <w:rsid w:val="006E3708"/>
    <w:rsid w:val="006E391B"/>
    <w:rsid w:val="006E400C"/>
    <w:rsid w:val="006E4795"/>
    <w:rsid w:val="006E4797"/>
    <w:rsid w:val="006E48C9"/>
    <w:rsid w:val="006E4A7F"/>
    <w:rsid w:val="006E50C7"/>
    <w:rsid w:val="006E59D3"/>
    <w:rsid w:val="006E61ED"/>
    <w:rsid w:val="006E6C2C"/>
    <w:rsid w:val="006E754B"/>
    <w:rsid w:val="006F0488"/>
    <w:rsid w:val="006F06A1"/>
    <w:rsid w:val="006F1073"/>
    <w:rsid w:val="006F2079"/>
    <w:rsid w:val="006F2535"/>
    <w:rsid w:val="006F27E2"/>
    <w:rsid w:val="006F3809"/>
    <w:rsid w:val="006F3B7E"/>
    <w:rsid w:val="006F3D5F"/>
    <w:rsid w:val="006F3E33"/>
    <w:rsid w:val="006F3EAA"/>
    <w:rsid w:val="006F442C"/>
    <w:rsid w:val="006F4938"/>
    <w:rsid w:val="006F4BE8"/>
    <w:rsid w:val="006F4F12"/>
    <w:rsid w:val="006F4F73"/>
    <w:rsid w:val="006F5158"/>
    <w:rsid w:val="006F5701"/>
    <w:rsid w:val="006F5BFD"/>
    <w:rsid w:val="006F6703"/>
    <w:rsid w:val="006F7819"/>
    <w:rsid w:val="007009BB"/>
    <w:rsid w:val="00700C86"/>
    <w:rsid w:val="00700DF1"/>
    <w:rsid w:val="00702235"/>
    <w:rsid w:val="007023F9"/>
    <w:rsid w:val="00702A6F"/>
    <w:rsid w:val="00702E39"/>
    <w:rsid w:val="007030DC"/>
    <w:rsid w:val="00704204"/>
    <w:rsid w:val="007042B3"/>
    <w:rsid w:val="00704DF6"/>
    <w:rsid w:val="00705818"/>
    <w:rsid w:val="00705AEB"/>
    <w:rsid w:val="0070651C"/>
    <w:rsid w:val="00706C57"/>
    <w:rsid w:val="00707048"/>
    <w:rsid w:val="0071181C"/>
    <w:rsid w:val="00711E5C"/>
    <w:rsid w:val="00711E5D"/>
    <w:rsid w:val="00712415"/>
    <w:rsid w:val="0071298A"/>
    <w:rsid w:val="00712EE2"/>
    <w:rsid w:val="007132A3"/>
    <w:rsid w:val="00713CF5"/>
    <w:rsid w:val="00716409"/>
    <w:rsid w:val="00716421"/>
    <w:rsid w:val="0071706A"/>
    <w:rsid w:val="0071778B"/>
    <w:rsid w:val="00717DD1"/>
    <w:rsid w:val="00717E68"/>
    <w:rsid w:val="00717F28"/>
    <w:rsid w:val="00721501"/>
    <w:rsid w:val="00721C13"/>
    <w:rsid w:val="00721D78"/>
    <w:rsid w:val="007222A8"/>
    <w:rsid w:val="0072276E"/>
    <w:rsid w:val="007229D2"/>
    <w:rsid w:val="00722A9E"/>
    <w:rsid w:val="00722EFB"/>
    <w:rsid w:val="00722F80"/>
    <w:rsid w:val="0072331B"/>
    <w:rsid w:val="007233E7"/>
    <w:rsid w:val="00723529"/>
    <w:rsid w:val="0072391E"/>
    <w:rsid w:val="00723FAC"/>
    <w:rsid w:val="0072472E"/>
    <w:rsid w:val="007248E1"/>
    <w:rsid w:val="00724D1B"/>
    <w:rsid w:val="00724EFB"/>
    <w:rsid w:val="007259B3"/>
    <w:rsid w:val="0072633D"/>
    <w:rsid w:val="0072678E"/>
    <w:rsid w:val="007272CE"/>
    <w:rsid w:val="007273A3"/>
    <w:rsid w:val="007274B1"/>
    <w:rsid w:val="00727894"/>
    <w:rsid w:val="0073097F"/>
    <w:rsid w:val="00730D97"/>
    <w:rsid w:val="007312B8"/>
    <w:rsid w:val="007312D1"/>
    <w:rsid w:val="00731CE2"/>
    <w:rsid w:val="00731D17"/>
    <w:rsid w:val="0073230F"/>
    <w:rsid w:val="0073245C"/>
    <w:rsid w:val="00732669"/>
    <w:rsid w:val="0073268D"/>
    <w:rsid w:val="00733313"/>
    <w:rsid w:val="007344CA"/>
    <w:rsid w:val="00734509"/>
    <w:rsid w:val="0073485E"/>
    <w:rsid w:val="00734AD0"/>
    <w:rsid w:val="00734F41"/>
    <w:rsid w:val="0073505F"/>
    <w:rsid w:val="00735198"/>
    <w:rsid w:val="007355B3"/>
    <w:rsid w:val="00735E95"/>
    <w:rsid w:val="00736232"/>
    <w:rsid w:val="00736365"/>
    <w:rsid w:val="00736CBA"/>
    <w:rsid w:val="00737002"/>
    <w:rsid w:val="00737231"/>
    <w:rsid w:val="007376AC"/>
    <w:rsid w:val="0074137C"/>
    <w:rsid w:val="007415A7"/>
    <w:rsid w:val="007419C3"/>
    <w:rsid w:val="00741A56"/>
    <w:rsid w:val="00741DC8"/>
    <w:rsid w:val="007423B9"/>
    <w:rsid w:val="007429A5"/>
    <w:rsid w:val="00742F0A"/>
    <w:rsid w:val="0074360A"/>
    <w:rsid w:val="00744446"/>
    <w:rsid w:val="00744878"/>
    <w:rsid w:val="00744920"/>
    <w:rsid w:val="00744A65"/>
    <w:rsid w:val="00744AA1"/>
    <w:rsid w:val="00744E7E"/>
    <w:rsid w:val="00745D27"/>
    <w:rsid w:val="007467A7"/>
    <w:rsid w:val="007469DD"/>
    <w:rsid w:val="00746FF7"/>
    <w:rsid w:val="0074741B"/>
    <w:rsid w:val="0074759E"/>
    <w:rsid w:val="007478EA"/>
    <w:rsid w:val="007500AF"/>
    <w:rsid w:val="007500EE"/>
    <w:rsid w:val="00750712"/>
    <w:rsid w:val="007517F5"/>
    <w:rsid w:val="0075184C"/>
    <w:rsid w:val="00752ADD"/>
    <w:rsid w:val="007537AC"/>
    <w:rsid w:val="00753E40"/>
    <w:rsid w:val="00753F87"/>
    <w:rsid w:val="007540BB"/>
    <w:rsid w:val="0075415C"/>
    <w:rsid w:val="00754209"/>
    <w:rsid w:val="00754D21"/>
    <w:rsid w:val="0075570A"/>
    <w:rsid w:val="00755788"/>
    <w:rsid w:val="00755F1B"/>
    <w:rsid w:val="00756859"/>
    <w:rsid w:val="00756A1C"/>
    <w:rsid w:val="00756D5B"/>
    <w:rsid w:val="007573F1"/>
    <w:rsid w:val="007575E5"/>
    <w:rsid w:val="00757C93"/>
    <w:rsid w:val="00757FBC"/>
    <w:rsid w:val="0076044E"/>
    <w:rsid w:val="00760523"/>
    <w:rsid w:val="00760AD0"/>
    <w:rsid w:val="007617EF"/>
    <w:rsid w:val="00761F39"/>
    <w:rsid w:val="0076218C"/>
    <w:rsid w:val="00762538"/>
    <w:rsid w:val="0076313A"/>
    <w:rsid w:val="00763233"/>
    <w:rsid w:val="007633A3"/>
    <w:rsid w:val="00763502"/>
    <w:rsid w:val="0076391F"/>
    <w:rsid w:val="007643BA"/>
    <w:rsid w:val="00764777"/>
    <w:rsid w:val="00764780"/>
    <w:rsid w:val="00764C1B"/>
    <w:rsid w:val="00764D71"/>
    <w:rsid w:val="007650C3"/>
    <w:rsid w:val="0076578A"/>
    <w:rsid w:val="00765906"/>
    <w:rsid w:val="00765979"/>
    <w:rsid w:val="007660CA"/>
    <w:rsid w:val="00766597"/>
    <w:rsid w:val="00766F3E"/>
    <w:rsid w:val="00767586"/>
    <w:rsid w:val="007676E2"/>
    <w:rsid w:val="00767CD2"/>
    <w:rsid w:val="00767DB1"/>
    <w:rsid w:val="00770937"/>
    <w:rsid w:val="00770B89"/>
    <w:rsid w:val="007713A4"/>
    <w:rsid w:val="00771472"/>
    <w:rsid w:val="007715E6"/>
    <w:rsid w:val="00771CA9"/>
    <w:rsid w:val="007726CE"/>
    <w:rsid w:val="007747FD"/>
    <w:rsid w:val="00775097"/>
    <w:rsid w:val="007752D1"/>
    <w:rsid w:val="00775E6B"/>
    <w:rsid w:val="00776424"/>
    <w:rsid w:val="007770AD"/>
    <w:rsid w:val="0077725F"/>
    <w:rsid w:val="00777E0B"/>
    <w:rsid w:val="00781328"/>
    <w:rsid w:val="00781356"/>
    <w:rsid w:val="0078165D"/>
    <w:rsid w:val="007816E2"/>
    <w:rsid w:val="00781950"/>
    <w:rsid w:val="00781CD2"/>
    <w:rsid w:val="00781D42"/>
    <w:rsid w:val="0078252B"/>
    <w:rsid w:val="0078301F"/>
    <w:rsid w:val="0078304A"/>
    <w:rsid w:val="0078447C"/>
    <w:rsid w:val="0078497D"/>
    <w:rsid w:val="00784EE3"/>
    <w:rsid w:val="00785052"/>
    <w:rsid w:val="00785123"/>
    <w:rsid w:val="007853B8"/>
    <w:rsid w:val="00786906"/>
    <w:rsid w:val="00786D0F"/>
    <w:rsid w:val="00787AE6"/>
    <w:rsid w:val="007900D2"/>
    <w:rsid w:val="007904E4"/>
    <w:rsid w:val="00790C97"/>
    <w:rsid w:val="00790E4E"/>
    <w:rsid w:val="007913AB"/>
    <w:rsid w:val="007913F1"/>
    <w:rsid w:val="007914F7"/>
    <w:rsid w:val="00792137"/>
    <w:rsid w:val="00792517"/>
    <w:rsid w:val="00792DBF"/>
    <w:rsid w:val="00793E55"/>
    <w:rsid w:val="00794623"/>
    <w:rsid w:val="00794C32"/>
    <w:rsid w:val="00794D1F"/>
    <w:rsid w:val="00794F5C"/>
    <w:rsid w:val="007950FB"/>
    <w:rsid w:val="00795D14"/>
    <w:rsid w:val="00796D0F"/>
    <w:rsid w:val="0079737B"/>
    <w:rsid w:val="0079741E"/>
    <w:rsid w:val="007A0893"/>
    <w:rsid w:val="007A09C8"/>
    <w:rsid w:val="007A0A4A"/>
    <w:rsid w:val="007A10D0"/>
    <w:rsid w:val="007A11BA"/>
    <w:rsid w:val="007A1BDD"/>
    <w:rsid w:val="007A20B9"/>
    <w:rsid w:val="007A2798"/>
    <w:rsid w:val="007A29EC"/>
    <w:rsid w:val="007A33C3"/>
    <w:rsid w:val="007A38C8"/>
    <w:rsid w:val="007A39F8"/>
    <w:rsid w:val="007A3DD6"/>
    <w:rsid w:val="007A4054"/>
    <w:rsid w:val="007A49A7"/>
    <w:rsid w:val="007A5390"/>
    <w:rsid w:val="007A5650"/>
    <w:rsid w:val="007A5E66"/>
    <w:rsid w:val="007A64EA"/>
    <w:rsid w:val="007A656A"/>
    <w:rsid w:val="007A7285"/>
    <w:rsid w:val="007A7593"/>
    <w:rsid w:val="007B039C"/>
    <w:rsid w:val="007B0517"/>
    <w:rsid w:val="007B06DC"/>
    <w:rsid w:val="007B0AA3"/>
    <w:rsid w:val="007B0E34"/>
    <w:rsid w:val="007B1297"/>
    <w:rsid w:val="007B1625"/>
    <w:rsid w:val="007B1CAB"/>
    <w:rsid w:val="007B44FB"/>
    <w:rsid w:val="007B4502"/>
    <w:rsid w:val="007B45A5"/>
    <w:rsid w:val="007B5DEE"/>
    <w:rsid w:val="007B706E"/>
    <w:rsid w:val="007B71EB"/>
    <w:rsid w:val="007B7608"/>
    <w:rsid w:val="007B7609"/>
    <w:rsid w:val="007B79AB"/>
    <w:rsid w:val="007B7F07"/>
    <w:rsid w:val="007C023C"/>
    <w:rsid w:val="007C0A94"/>
    <w:rsid w:val="007C0AC8"/>
    <w:rsid w:val="007C0B1D"/>
    <w:rsid w:val="007C20AD"/>
    <w:rsid w:val="007C3B2F"/>
    <w:rsid w:val="007C443C"/>
    <w:rsid w:val="007C47BF"/>
    <w:rsid w:val="007C5141"/>
    <w:rsid w:val="007C561A"/>
    <w:rsid w:val="007C591E"/>
    <w:rsid w:val="007C60C7"/>
    <w:rsid w:val="007C6205"/>
    <w:rsid w:val="007C63F9"/>
    <w:rsid w:val="007C686A"/>
    <w:rsid w:val="007C6DE4"/>
    <w:rsid w:val="007C728E"/>
    <w:rsid w:val="007D0A38"/>
    <w:rsid w:val="007D0EE4"/>
    <w:rsid w:val="007D1E81"/>
    <w:rsid w:val="007D2240"/>
    <w:rsid w:val="007D254F"/>
    <w:rsid w:val="007D2C53"/>
    <w:rsid w:val="007D30DF"/>
    <w:rsid w:val="007D33F6"/>
    <w:rsid w:val="007D3465"/>
    <w:rsid w:val="007D3ADB"/>
    <w:rsid w:val="007D3CB8"/>
    <w:rsid w:val="007D3D60"/>
    <w:rsid w:val="007D3F07"/>
    <w:rsid w:val="007D4050"/>
    <w:rsid w:val="007D4275"/>
    <w:rsid w:val="007D4464"/>
    <w:rsid w:val="007D4694"/>
    <w:rsid w:val="007D57C5"/>
    <w:rsid w:val="007D63B3"/>
    <w:rsid w:val="007D6DFD"/>
    <w:rsid w:val="007D7788"/>
    <w:rsid w:val="007D7D4C"/>
    <w:rsid w:val="007D7FA6"/>
    <w:rsid w:val="007E0E9F"/>
    <w:rsid w:val="007E1149"/>
    <w:rsid w:val="007E1980"/>
    <w:rsid w:val="007E1FD9"/>
    <w:rsid w:val="007E2BB1"/>
    <w:rsid w:val="007E3298"/>
    <w:rsid w:val="007E3A09"/>
    <w:rsid w:val="007E406B"/>
    <w:rsid w:val="007E4322"/>
    <w:rsid w:val="007E44E8"/>
    <w:rsid w:val="007E4692"/>
    <w:rsid w:val="007E49F3"/>
    <w:rsid w:val="007E4B76"/>
    <w:rsid w:val="007E4F00"/>
    <w:rsid w:val="007E56A3"/>
    <w:rsid w:val="007E571A"/>
    <w:rsid w:val="007E5EA8"/>
    <w:rsid w:val="007E6092"/>
    <w:rsid w:val="007E60A1"/>
    <w:rsid w:val="007E7162"/>
    <w:rsid w:val="007E7637"/>
    <w:rsid w:val="007F0644"/>
    <w:rsid w:val="007F06B9"/>
    <w:rsid w:val="007F0CF1"/>
    <w:rsid w:val="007F0D27"/>
    <w:rsid w:val="007F12A5"/>
    <w:rsid w:val="007F1555"/>
    <w:rsid w:val="007F1B1A"/>
    <w:rsid w:val="007F1CB2"/>
    <w:rsid w:val="007F1D63"/>
    <w:rsid w:val="007F208B"/>
    <w:rsid w:val="007F2C12"/>
    <w:rsid w:val="007F2E1F"/>
    <w:rsid w:val="007F3790"/>
    <w:rsid w:val="007F429F"/>
    <w:rsid w:val="007F44DE"/>
    <w:rsid w:val="007F47EA"/>
    <w:rsid w:val="007F4CF1"/>
    <w:rsid w:val="007F4E2A"/>
    <w:rsid w:val="007F50E1"/>
    <w:rsid w:val="007F5379"/>
    <w:rsid w:val="007F5B33"/>
    <w:rsid w:val="007F6101"/>
    <w:rsid w:val="007F6F40"/>
    <w:rsid w:val="007F73E3"/>
    <w:rsid w:val="007F758D"/>
    <w:rsid w:val="007F7A24"/>
    <w:rsid w:val="007F7D52"/>
    <w:rsid w:val="007F7EE9"/>
    <w:rsid w:val="00801343"/>
    <w:rsid w:val="008015B7"/>
    <w:rsid w:val="008021F1"/>
    <w:rsid w:val="008027F3"/>
    <w:rsid w:val="008029D7"/>
    <w:rsid w:val="00802AED"/>
    <w:rsid w:val="008030B3"/>
    <w:rsid w:val="00803575"/>
    <w:rsid w:val="00803659"/>
    <w:rsid w:val="00803B36"/>
    <w:rsid w:val="00803D18"/>
    <w:rsid w:val="00803FCC"/>
    <w:rsid w:val="00804E65"/>
    <w:rsid w:val="0080569F"/>
    <w:rsid w:val="00805799"/>
    <w:rsid w:val="00805E05"/>
    <w:rsid w:val="0080654C"/>
    <w:rsid w:val="00806641"/>
    <w:rsid w:val="008068CD"/>
    <w:rsid w:val="00806ACC"/>
    <w:rsid w:val="008071C6"/>
    <w:rsid w:val="0080738E"/>
    <w:rsid w:val="008079C7"/>
    <w:rsid w:val="00807CF5"/>
    <w:rsid w:val="00807EF8"/>
    <w:rsid w:val="00810527"/>
    <w:rsid w:val="008105C4"/>
    <w:rsid w:val="008109A6"/>
    <w:rsid w:val="008116C6"/>
    <w:rsid w:val="008117FF"/>
    <w:rsid w:val="00811CFE"/>
    <w:rsid w:val="008138AA"/>
    <w:rsid w:val="00813A4C"/>
    <w:rsid w:val="00813A6C"/>
    <w:rsid w:val="00813FAC"/>
    <w:rsid w:val="00814CDA"/>
    <w:rsid w:val="00814D89"/>
    <w:rsid w:val="00815B29"/>
    <w:rsid w:val="00816C6A"/>
    <w:rsid w:val="00816ECF"/>
    <w:rsid w:val="00817315"/>
    <w:rsid w:val="00817A00"/>
    <w:rsid w:val="00817DF2"/>
    <w:rsid w:val="00817ED6"/>
    <w:rsid w:val="00820726"/>
    <w:rsid w:val="008209F3"/>
    <w:rsid w:val="00820B44"/>
    <w:rsid w:val="008214D2"/>
    <w:rsid w:val="0082156D"/>
    <w:rsid w:val="00821A85"/>
    <w:rsid w:val="00821EF5"/>
    <w:rsid w:val="00822174"/>
    <w:rsid w:val="008225AD"/>
    <w:rsid w:val="008227B7"/>
    <w:rsid w:val="008228F9"/>
    <w:rsid w:val="00823521"/>
    <w:rsid w:val="008235B6"/>
    <w:rsid w:val="00823718"/>
    <w:rsid w:val="00823781"/>
    <w:rsid w:val="00823840"/>
    <w:rsid w:val="00823FAD"/>
    <w:rsid w:val="00824A66"/>
    <w:rsid w:val="00824D8F"/>
    <w:rsid w:val="0082589A"/>
    <w:rsid w:val="00825B49"/>
    <w:rsid w:val="00825F3E"/>
    <w:rsid w:val="00826239"/>
    <w:rsid w:val="00826440"/>
    <w:rsid w:val="008265F2"/>
    <w:rsid w:val="00826B63"/>
    <w:rsid w:val="0082704F"/>
    <w:rsid w:val="0082723A"/>
    <w:rsid w:val="00827E35"/>
    <w:rsid w:val="0083064B"/>
    <w:rsid w:val="008306D4"/>
    <w:rsid w:val="008313F1"/>
    <w:rsid w:val="00831C7A"/>
    <w:rsid w:val="00831F48"/>
    <w:rsid w:val="0083247D"/>
    <w:rsid w:val="00832487"/>
    <w:rsid w:val="008331B7"/>
    <w:rsid w:val="008332D6"/>
    <w:rsid w:val="00833359"/>
    <w:rsid w:val="00833A21"/>
    <w:rsid w:val="00833DC2"/>
    <w:rsid w:val="008340B3"/>
    <w:rsid w:val="008342A8"/>
    <w:rsid w:val="0083497A"/>
    <w:rsid w:val="00834AAC"/>
    <w:rsid w:val="00834B2E"/>
    <w:rsid w:val="008355B0"/>
    <w:rsid w:val="00835DB3"/>
    <w:rsid w:val="0083617B"/>
    <w:rsid w:val="00836595"/>
    <w:rsid w:val="00836875"/>
    <w:rsid w:val="00836CE4"/>
    <w:rsid w:val="0083714F"/>
    <w:rsid w:val="008371BD"/>
    <w:rsid w:val="008374E2"/>
    <w:rsid w:val="0083798F"/>
    <w:rsid w:val="008403AB"/>
    <w:rsid w:val="008408DC"/>
    <w:rsid w:val="00840E66"/>
    <w:rsid w:val="008411CC"/>
    <w:rsid w:val="00841892"/>
    <w:rsid w:val="0084259F"/>
    <w:rsid w:val="00842D7F"/>
    <w:rsid w:val="00842DAB"/>
    <w:rsid w:val="008439E5"/>
    <w:rsid w:val="00843A36"/>
    <w:rsid w:val="00843D20"/>
    <w:rsid w:val="00844178"/>
    <w:rsid w:val="008447C9"/>
    <w:rsid w:val="00844C7E"/>
    <w:rsid w:val="008455EE"/>
    <w:rsid w:val="00845F53"/>
    <w:rsid w:val="00846707"/>
    <w:rsid w:val="00846E22"/>
    <w:rsid w:val="00847225"/>
    <w:rsid w:val="008504A8"/>
    <w:rsid w:val="00850ACA"/>
    <w:rsid w:val="00850AD7"/>
    <w:rsid w:val="008513B6"/>
    <w:rsid w:val="008521DB"/>
    <w:rsid w:val="0085237A"/>
    <w:rsid w:val="0085282E"/>
    <w:rsid w:val="00853527"/>
    <w:rsid w:val="008535C6"/>
    <w:rsid w:val="008535C9"/>
    <w:rsid w:val="008539D3"/>
    <w:rsid w:val="00853B16"/>
    <w:rsid w:val="00853EF4"/>
    <w:rsid w:val="008544B1"/>
    <w:rsid w:val="00855771"/>
    <w:rsid w:val="008558D2"/>
    <w:rsid w:val="00855C44"/>
    <w:rsid w:val="00855FB4"/>
    <w:rsid w:val="008575F4"/>
    <w:rsid w:val="00857BA3"/>
    <w:rsid w:val="008601C5"/>
    <w:rsid w:val="008604CA"/>
    <w:rsid w:val="00862824"/>
    <w:rsid w:val="00862D79"/>
    <w:rsid w:val="00863587"/>
    <w:rsid w:val="00863DBA"/>
    <w:rsid w:val="0086492F"/>
    <w:rsid w:val="008650AC"/>
    <w:rsid w:val="0086511D"/>
    <w:rsid w:val="0086521E"/>
    <w:rsid w:val="0086554F"/>
    <w:rsid w:val="00865633"/>
    <w:rsid w:val="0086678F"/>
    <w:rsid w:val="008667C8"/>
    <w:rsid w:val="008669FC"/>
    <w:rsid w:val="0086722A"/>
    <w:rsid w:val="00867706"/>
    <w:rsid w:val="00867F7C"/>
    <w:rsid w:val="00870A88"/>
    <w:rsid w:val="0087172B"/>
    <w:rsid w:val="0087198C"/>
    <w:rsid w:val="00872294"/>
    <w:rsid w:val="008723E9"/>
    <w:rsid w:val="00872C1F"/>
    <w:rsid w:val="00873529"/>
    <w:rsid w:val="00873B42"/>
    <w:rsid w:val="00873DC2"/>
    <w:rsid w:val="008742F1"/>
    <w:rsid w:val="008743D5"/>
    <w:rsid w:val="008744A7"/>
    <w:rsid w:val="00874E5C"/>
    <w:rsid w:val="008752E4"/>
    <w:rsid w:val="00875B0C"/>
    <w:rsid w:val="00875B30"/>
    <w:rsid w:val="00875E4B"/>
    <w:rsid w:val="0087642B"/>
    <w:rsid w:val="008764F7"/>
    <w:rsid w:val="00876DB4"/>
    <w:rsid w:val="008803C0"/>
    <w:rsid w:val="0088093A"/>
    <w:rsid w:val="008815F2"/>
    <w:rsid w:val="008816BE"/>
    <w:rsid w:val="00881707"/>
    <w:rsid w:val="00881ABF"/>
    <w:rsid w:val="00881BC5"/>
    <w:rsid w:val="00881D17"/>
    <w:rsid w:val="008826EA"/>
    <w:rsid w:val="00882857"/>
    <w:rsid w:val="00882F81"/>
    <w:rsid w:val="008833B3"/>
    <w:rsid w:val="00883C2D"/>
    <w:rsid w:val="00883D57"/>
    <w:rsid w:val="00883EFB"/>
    <w:rsid w:val="00884756"/>
    <w:rsid w:val="008856D8"/>
    <w:rsid w:val="00885877"/>
    <w:rsid w:val="0088631F"/>
    <w:rsid w:val="008864C6"/>
    <w:rsid w:val="00886610"/>
    <w:rsid w:val="00890423"/>
    <w:rsid w:val="0089083D"/>
    <w:rsid w:val="00890859"/>
    <w:rsid w:val="008910AE"/>
    <w:rsid w:val="008917A3"/>
    <w:rsid w:val="008922FB"/>
    <w:rsid w:val="0089254F"/>
    <w:rsid w:val="00892E82"/>
    <w:rsid w:val="00893E21"/>
    <w:rsid w:val="00894062"/>
    <w:rsid w:val="00894AF1"/>
    <w:rsid w:val="00894BA5"/>
    <w:rsid w:val="00894F1C"/>
    <w:rsid w:val="00894FEA"/>
    <w:rsid w:val="0089503B"/>
    <w:rsid w:val="00895466"/>
    <w:rsid w:val="0089548A"/>
    <w:rsid w:val="00895A7F"/>
    <w:rsid w:val="00895F4E"/>
    <w:rsid w:val="008964EC"/>
    <w:rsid w:val="0089684E"/>
    <w:rsid w:val="008971A5"/>
    <w:rsid w:val="008972D3"/>
    <w:rsid w:val="00897537"/>
    <w:rsid w:val="00897B6E"/>
    <w:rsid w:val="008A0B58"/>
    <w:rsid w:val="008A1870"/>
    <w:rsid w:val="008A1A3D"/>
    <w:rsid w:val="008A20D5"/>
    <w:rsid w:val="008A286E"/>
    <w:rsid w:val="008A28C0"/>
    <w:rsid w:val="008A2A01"/>
    <w:rsid w:val="008A2C58"/>
    <w:rsid w:val="008A3037"/>
    <w:rsid w:val="008A398B"/>
    <w:rsid w:val="008A4861"/>
    <w:rsid w:val="008A4B80"/>
    <w:rsid w:val="008A4C3D"/>
    <w:rsid w:val="008A4EB7"/>
    <w:rsid w:val="008A596D"/>
    <w:rsid w:val="008A5D87"/>
    <w:rsid w:val="008A6821"/>
    <w:rsid w:val="008A6862"/>
    <w:rsid w:val="008A69D4"/>
    <w:rsid w:val="008A6C94"/>
    <w:rsid w:val="008A6D9B"/>
    <w:rsid w:val="008A748F"/>
    <w:rsid w:val="008A751A"/>
    <w:rsid w:val="008A7682"/>
    <w:rsid w:val="008A7A65"/>
    <w:rsid w:val="008B0C8F"/>
    <w:rsid w:val="008B1D49"/>
    <w:rsid w:val="008B1E2E"/>
    <w:rsid w:val="008B2955"/>
    <w:rsid w:val="008B4C82"/>
    <w:rsid w:val="008B5268"/>
    <w:rsid w:val="008B5E21"/>
    <w:rsid w:val="008B6A42"/>
    <w:rsid w:val="008B6CAE"/>
    <w:rsid w:val="008B6D40"/>
    <w:rsid w:val="008B7AF6"/>
    <w:rsid w:val="008B7F68"/>
    <w:rsid w:val="008C0A70"/>
    <w:rsid w:val="008C0D82"/>
    <w:rsid w:val="008C11CE"/>
    <w:rsid w:val="008C16FC"/>
    <w:rsid w:val="008C177F"/>
    <w:rsid w:val="008C1B58"/>
    <w:rsid w:val="008C1C16"/>
    <w:rsid w:val="008C2DD6"/>
    <w:rsid w:val="008C36DE"/>
    <w:rsid w:val="008C39AE"/>
    <w:rsid w:val="008C3B21"/>
    <w:rsid w:val="008C3E04"/>
    <w:rsid w:val="008C3E54"/>
    <w:rsid w:val="008C57FA"/>
    <w:rsid w:val="008C590D"/>
    <w:rsid w:val="008C6B04"/>
    <w:rsid w:val="008C6E5F"/>
    <w:rsid w:val="008C70CE"/>
    <w:rsid w:val="008C78AB"/>
    <w:rsid w:val="008C7935"/>
    <w:rsid w:val="008C7EE1"/>
    <w:rsid w:val="008D00A4"/>
    <w:rsid w:val="008D0A78"/>
    <w:rsid w:val="008D1329"/>
    <w:rsid w:val="008D1839"/>
    <w:rsid w:val="008D1BC2"/>
    <w:rsid w:val="008D1C23"/>
    <w:rsid w:val="008D3384"/>
    <w:rsid w:val="008D33A5"/>
    <w:rsid w:val="008D385B"/>
    <w:rsid w:val="008D3896"/>
    <w:rsid w:val="008D38CC"/>
    <w:rsid w:val="008D3B63"/>
    <w:rsid w:val="008D3BFD"/>
    <w:rsid w:val="008D407C"/>
    <w:rsid w:val="008D4367"/>
    <w:rsid w:val="008D49F7"/>
    <w:rsid w:val="008D4B7C"/>
    <w:rsid w:val="008D4DCA"/>
    <w:rsid w:val="008D5037"/>
    <w:rsid w:val="008D63A4"/>
    <w:rsid w:val="008D6610"/>
    <w:rsid w:val="008D78AC"/>
    <w:rsid w:val="008D7B94"/>
    <w:rsid w:val="008D7CB2"/>
    <w:rsid w:val="008E031B"/>
    <w:rsid w:val="008E07FD"/>
    <w:rsid w:val="008E0A8A"/>
    <w:rsid w:val="008E190F"/>
    <w:rsid w:val="008E197A"/>
    <w:rsid w:val="008E19FC"/>
    <w:rsid w:val="008E29ED"/>
    <w:rsid w:val="008E2CA0"/>
    <w:rsid w:val="008E2DF3"/>
    <w:rsid w:val="008E2E4E"/>
    <w:rsid w:val="008E2ED9"/>
    <w:rsid w:val="008E302D"/>
    <w:rsid w:val="008E385A"/>
    <w:rsid w:val="008E3DCE"/>
    <w:rsid w:val="008E4642"/>
    <w:rsid w:val="008E4A96"/>
    <w:rsid w:val="008E4C00"/>
    <w:rsid w:val="008E4D87"/>
    <w:rsid w:val="008E6C24"/>
    <w:rsid w:val="008E7029"/>
    <w:rsid w:val="008E7234"/>
    <w:rsid w:val="008E7EF6"/>
    <w:rsid w:val="008F017C"/>
    <w:rsid w:val="008F046F"/>
    <w:rsid w:val="008F08AE"/>
    <w:rsid w:val="008F0EE4"/>
    <w:rsid w:val="008F1F98"/>
    <w:rsid w:val="008F2EF5"/>
    <w:rsid w:val="008F2F65"/>
    <w:rsid w:val="008F3FEC"/>
    <w:rsid w:val="008F4215"/>
    <w:rsid w:val="008F4594"/>
    <w:rsid w:val="008F55AD"/>
    <w:rsid w:val="008F6162"/>
    <w:rsid w:val="008F65BE"/>
    <w:rsid w:val="008F6758"/>
    <w:rsid w:val="008F6A84"/>
    <w:rsid w:val="008F6B0D"/>
    <w:rsid w:val="008F6B6C"/>
    <w:rsid w:val="008F6CF1"/>
    <w:rsid w:val="008F739F"/>
    <w:rsid w:val="008F7923"/>
    <w:rsid w:val="009012DC"/>
    <w:rsid w:val="009013A2"/>
    <w:rsid w:val="00901750"/>
    <w:rsid w:val="00901CB5"/>
    <w:rsid w:val="00902002"/>
    <w:rsid w:val="009025CD"/>
    <w:rsid w:val="009026A7"/>
    <w:rsid w:val="00902906"/>
    <w:rsid w:val="00902D91"/>
    <w:rsid w:val="00903DF7"/>
    <w:rsid w:val="009040DD"/>
    <w:rsid w:val="009042DE"/>
    <w:rsid w:val="009049AF"/>
    <w:rsid w:val="00904B57"/>
    <w:rsid w:val="00904B5A"/>
    <w:rsid w:val="00905394"/>
    <w:rsid w:val="00905B47"/>
    <w:rsid w:val="00906158"/>
    <w:rsid w:val="00906275"/>
    <w:rsid w:val="009065CD"/>
    <w:rsid w:val="0090680B"/>
    <w:rsid w:val="00906AE8"/>
    <w:rsid w:val="00906B44"/>
    <w:rsid w:val="0090713E"/>
    <w:rsid w:val="0090730F"/>
    <w:rsid w:val="009076CA"/>
    <w:rsid w:val="0090777D"/>
    <w:rsid w:val="00910455"/>
    <w:rsid w:val="009105D5"/>
    <w:rsid w:val="0091083D"/>
    <w:rsid w:val="00910C82"/>
    <w:rsid w:val="009113CB"/>
    <w:rsid w:val="009118B0"/>
    <w:rsid w:val="00911A95"/>
    <w:rsid w:val="00911D4F"/>
    <w:rsid w:val="00912999"/>
    <w:rsid w:val="00912AE7"/>
    <w:rsid w:val="00913244"/>
    <w:rsid w:val="0091331C"/>
    <w:rsid w:val="00913DE2"/>
    <w:rsid w:val="009143EB"/>
    <w:rsid w:val="0091482A"/>
    <w:rsid w:val="00914930"/>
    <w:rsid w:val="00914989"/>
    <w:rsid w:val="00915077"/>
    <w:rsid w:val="00915229"/>
    <w:rsid w:val="009155CC"/>
    <w:rsid w:val="009159A4"/>
    <w:rsid w:val="0091626E"/>
    <w:rsid w:val="00916B0F"/>
    <w:rsid w:val="00916CBC"/>
    <w:rsid w:val="00916EAC"/>
    <w:rsid w:val="00916F21"/>
    <w:rsid w:val="00917344"/>
    <w:rsid w:val="0091773D"/>
    <w:rsid w:val="00917C66"/>
    <w:rsid w:val="00917E29"/>
    <w:rsid w:val="00917F4D"/>
    <w:rsid w:val="00917FBA"/>
    <w:rsid w:val="00920453"/>
    <w:rsid w:val="009206E4"/>
    <w:rsid w:val="00920904"/>
    <w:rsid w:val="00920AEA"/>
    <w:rsid w:val="00920E0F"/>
    <w:rsid w:val="00921BB6"/>
    <w:rsid w:val="00922443"/>
    <w:rsid w:val="00922734"/>
    <w:rsid w:val="00922C64"/>
    <w:rsid w:val="00922E46"/>
    <w:rsid w:val="00922F01"/>
    <w:rsid w:val="00923718"/>
    <w:rsid w:val="00923823"/>
    <w:rsid w:val="009252FF"/>
    <w:rsid w:val="0092537B"/>
    <w:rsid w:val="0092612A"/>
    <w:rsid w:val="009268BE"/>
    <w:rsid w:val="009274F7"/>
    <w:rsid w:val="009279DE"/>
    <w:rsid w:val="009300BF"/>
    <w:rsid w:val="00930116"/>
    <w:rsid w:val="00930242"/>
    <w:rsid w:val="009306DB"/>
    <w:rsid w:val="00931B63"/>
    <w:rsid w:val="00932146"/>
    <w:rsid w:val="00932355"/>
    <w:rsid w:val="00932400"/>
    <w:rsid w:val="0093260A"/>
    <w:rsid w:val="0093300C"/>
    <w:rsid w:val="00933097"/>
    <w:rsid w:val="00933228"/>
    <w:rsid w:val="0093323A"/>
    <w:rsid w:val="009336B6"/>
    <w:rsid w:val="00933802"/>
    <w:rsid w:val="00933DD1"/>
    <w:rsid w:val="00933E48"/>
    <w:rsid w:val="00933F25"/>
    <w:rsid w:val="00933FCF"/>
    <w:rsid w:val="009346EA"/>
    <w:rsid w:val="00935A91"/>
    <w:rsid w:val="00935DF1"/>
    <w:rsid w:val="009362A7"/>
    <w:rsid w:val="00936F58"/>
    <w:rsid w:val="00937246"/>
    <w:rsid w:val="00937E10"/>
    <w:rsid w:val="009416FC"/>
    <w:rsid w:val="00941F02"/>
    <w:rsid w:val="00941FA4"/>
    <w:rsid w:val="009420A6"/>
    <w:rsid w:val="009420C1"/>
    <w:rsid w:val="0094212C"/>
    <w:rsid w:val="009426DF"/>
    <w:rsid w:val="00942D7C"/>
    <w:rsid w:val="0094354C"/>
    <w:rsid w:val="0094397D"/>
    <w:rsid w:val="00943F0D"/>
    <w:rsid w:val="00944DA3"/>
    <w:rsid w:val="0094561D"/>
    <w:rsid w:val="00945672"/>
    <w:rsid w:val="00945C97"/>
    <w:rsid w:val="009462B2"/>
    <w:rsid w:val="009464B5"/>
    <w:rsid w:val="009467AE"/>
    <w:rsid w:val="009467C7"/>
    <w:rsid w:val="0094689C"/>
    <w:rsid w:val="00946ACF"/>
    <w:rsid w:val="00946DE7"/>
    <w:rsid w:val="00946E01"/>
    <w:rsid w:val="00946EE1"/>
    <w:rsid w:val="00947106"/>
    <w:rsid w:val="00947836"/>
    <w:rsid w:val="00947E70"/>
    <w:rsid w:val="009503DA"/>
    <w:rsid w:val="00951194"/>
    <w:rsid w:val="009512F9"/>
    <w:rsid w:val="0095171D"/>
    <w:rsid w:val="0095193F"/>
    <w:rsid w:val="00952DF1"/>
    <w:rsid w:val="00953BAE"/>
    <w:rsid w:val="00954353"/>
    <w:rsid w:val="0095440D"/>
    <w:rsid w:val="00954689"/>
    <w:rsid w:val="009551EA"/>
    <w:rsid w:val="009557DE"/>
    <w:rsid w:val="00956479"/>
    <w:rsid w:val="00956781"/>
    <w:rsid w:val="00956DEE"/>
    <w:rsid w:val="00957066"/>
    <w:rsid w:val="0095708E"/>
    <w:rsid w:val="00957648"/>
    <w:rsid w:val="009577B6"/>
    <w:rsid w:val="00960A84"/>
    <w:rsid w:val="00960C69"/>
    <w:rsid w:val="009611DB"/>
    <w:rsid w:val="009617C9"/>
    <w:rsid w:val="009618AA"/>
    <w:rsid w:val="00961C93"/>
    <w:rsid w:val="00962E08"/>
    <w:rsid w:val="00963A33"/>
    <w:rsid w:val="00963BFB"/>
    <w:rsid w:val="00964083"/>
    <w:rsid w:val="0096464B"/>
    <w:rsid w:val="00964F7C"/>
    <w:rsid w:val="00965324"/>
    <w:rsid w:val="00965557"/>
    <w:rsid w:val="00965A80"/>
    <w:rsid w:val="009660EA"/>
    <w:rsid w:val="0096668E"/>
    <w:rsid w:val="00967A28"/>
    <w:rsid w:val="0097091E"/>
    <w:rsid w:val="00970981"/>
    <w:rsid w:val="009714EA"/>
    <w:rsid w:val="00971CB3"/>
    <w:rsid w:val="00971D20"/>
    <w:rsid w:val="00972354"/>
    <w:rsid w:val="00972982"/>
    <w:rsid w:val="009732B7"/>
    <w:rsid w:val="009736E8"/>
    <w:rsid w:val="009738DA"/>
    <w:rsid w:val="00973A37"/>
    <w:rsid w:val="00973FD7"/>
    <w:rsid w:val="009740B8"/>
    <w:rsid w:val="0097442F"/>
    <w:rsid w:val="009747C1"/>
    <w:rsid w:val="009749F8"/>
    <w:rsid w:val="00974CCC"/>
    <w:rsid w:val="00975D8E"/>
    <w:rsid w:val="009760D3"/>
    <w:rsid w:val="00977074"/>
    <w:rsid w:val="00977132"/>
    <w:rsid w:val="00977406"/>
    <w:rsid w:val="009774CF"/>
    <w:rsid w:val="00977B05"/>
    <w:rsid w:val="0098021A"/>
    <w:rsid w:val="009802B7"/>
    <w:rsid w:val="009808CD"/>
    <w:rsid w:val="0098187D"/>
    <w:rsid w:val="00981A4B"/>
    <w:rsid w:val="009820C3"/>
    <w:rsid w:val="009824E7"/>
    <w:rsid w:val="00982501"/>
    <w:rsid w:val="00982D61"/>
    <w:rsid w:val="009833EE"/>
    <w:rsid w:val="00984A1C"/>
    <w:rsid w:val="00984B48"/>
    <w:rsid w:val="009850DD"/>
    <w:rsid w:val="009851CF"/>
    <w:rsid w:val="00985832"/>
    <w:rsid w:val="00985C6B"/>
    <w:rsid w:val="00985FB8"/>
    <w:rsid w:val="009865F3"/>
    <w:rsid w:val="00986AF6"/>
    <w:rsid w:val="00986E33"/>
    <w:rsid w:val="009872FB"/>
    <w:rsid w:val="00987739"/>
    <w:rsid w:val="009877D3"/>
    <w:rsid w:val="009903C6"/>
    <w:rsid w:val="00990CF5"/>
    <w:rsid w:val="00990DE4"/>
    <w:rsid w:val="0099133A"/>
    <w:rsid w:val="009916B3"/>
    <w:rsid w:val="00991803"/>
    <w:rsid w:val="00991D36"/>
    <w:rsid w:val="009922F4"/>
    <w:rsid w:val="00993E89"/>
    <w:rsid w:val="00994499"/>
    <w:rsid w:val="0099472F"/>
    <w:rsid w:val="0099493B"/>
    <w:rsid w:val="00994A75"/>
    <w:rsid w:val="00994E8F"/>
    <w:rsid w:val="009951D7"/>
    <w:rsid w:val="009951DC"/>
    <w:rsid w:val="0099559C"/>
    <w:rsid w:val="009959BB"/>
    <w:rsid w:val="00995B88"/>
    <w:rsid w:val="00996540"/>
    <w:rsid w:val="00997158"/>
    <w:rsid w:val="0099732E"/>
    <w:rsid w:val="009A00D3"/>
    <w:rsid w:val="009A138F"/>
    <w:rsid w:val="009A1E22"/>
    <w:rsid w:val="009A28C7"/>
    <w:rsid w:val="009A2D31"/>
    <w:rsid w:val="009A3913"/>
    <w:rsid w:val="009A3A7C"/>
    <w:rsid w:val="009A5FC9"/>
    <w:rsid w:val="009A6BAA"/>
    <w:rsid w:val="009A6C47"/>
    <w:rsid w:val="009A6C7C"/>
    <w:rsid w:val="009A6E11"/>
    <w:rsid w:val="009A6F83"/>
    <w:rsid w:val="009A77C8"/>
    <w:rsid w:val="009B0D89"/>
    <w:rsid w:val="009B0EC9"/>
    <w:rsid w:val="009B1AEF"/>
    <w:rsid w:val="009B2186"/>
    <w:rsid w:val="009B23D5"/>
    <w:rsid w:val="009B27C6"/>
    <w:rsid w:val="009B2ADB"/>
    <w:rsid w:val="009B301D"/>
    <w:rsid w:val="009B39F2"/>
    <w:rsid w:val="009B428C"/>
    <w:rsid w:val="009B4DE9"/>
    <w:rsid w:val="009B5775"/>
    <w:rsid w:val="009B603A"/>
    <w:rsid w:val="009B6379"/>
    <w:rsid w:val="009B6432"/>
    <w:rsid w:val="009B6B14"/>
    <w:rsid w:val="009B70BC"/>
    <w:rsid w:val="009B710A"/>
    <w:rsid w:val="009B7497"/>
    <w:rsid w:val="009B7735"/>
    <w:rsid w:val="009B7900"/>
    <w:rsid w:val="009C0900"/>
    <w:rsid w:val="009C10BA"/>
    <w:rsid w:val="009C14D3"/>
    <w:rsid w:val="009C16CF"/>
    <w:rsid w:val="009C2D0E"/>
    <w:rsid w:val="009C3B3B"/>
    <w:rsid w:val="009C3D82"/>
    <w:rsid w:val="009C3DAC"/>
    <w:rsid w:val="009C3E2D"/>
    <w:rsid w:val="009C3F5F"/>
    <w:rsid w:val="009C402E"/>
    <w:rsid w:val="009C4271"/>
    <w:rsid w:val="009C42E0"/>
    <w:rsid w:val="009C4690"/>
    <w:rsid w:val="009C51E4"/>
    <w:rsid w:val="009C5F10"/>
    <w:rsid w:val="009C6605"/>
    <w:rsid w:val="009C6811"/>
    <w:rsid w:val="009C721A"/>
    <w:rsid w:val="009D0110"/>
    <w:rsid w:val="009D01D2"/>
    <w:rsid w:val="009D0616"/>
    <w:rsid w:val="009D0B1A"/>
    <w:rsid w:val="009D1132"/>
    <w:rsid w:val="009D1757"/>
    <w:rsid w:val="009D1D9E"/>
    <w:rsid w:val="009D1FC6"/>
    <w:rsid w:val="009D2056"/>
    <w:rsid w:val="009D21EA"/>
    <w:rsid w:val="009D2597"/>
    <w:rsid w:val="009D268D"/>
    <w:rsid w:val="009D2AAC"/>
    <w:rsid w:val="009D2B0A"/>
    <w:rsid w:val="009D3473"/>
    <w:rsid w:val="009D393D"/>
    <w:rsid w:val="009D3A79"/>
    <w:rsid w:val="009D4150"/>
    <w:rsid w:val="009D43FB"/>
    <w:rsid w:val="009D5362"/>
    <w:rsid w:val="009D53A9"/>
    <w:rsid w:val="009D5DF3"/>
    <w:rsid w:val="009D61AB"/>
    <w:rsid w:val="009D651C"/>
    <w:rsid w:val="009D670F"/>
    <w:rsid w:val="009D6DD1"/>
    <w:rsid w:val="009D7AAC"/>
    <w:rsid w:val="009D7D6C"/>
    <w:rsid w:val="009E016F"/>
    <w:rsid w:val="009E02C7"/>
    <w:rsid w:val="009E0A80"/>
    <w:rsid w:val="009E0BF3"/>
    <w:rsid w:val="009E1415"/>
    <w:rsid w:val="009E1ECF"/>
    <w:rsid w:val="009E245F"/>
    <w:rsid w:val="009E2470"/>
    <w:rsid w:val="009E24FC"/>
    <w:rsid w:val="009E2A92"/>
    <w:rsid w:val="009E41EE"/>
    <w:rsid w:val="009E4F97"/>
    <w:rsid w:val="009E50FB"/>
    <w:rsid w:val="009E5158"/>
    <w:rsid w:val="009E5322"/>
    <w:rsid w:val="009E539B"/>
    <w:rsid w:val="009E5B62"/>
    <w:rsid w:val="009E5F73"/>
    <w:rsid w:val="009E6062"/>
    <w:rsid w:val="009E609E"/>
    <w:rsid w:val="009E6116"/>
    <w:rsid w:val="009E6281"/>
    <w:rsid w:val="009E67CB"/>
    <w:rsid w:val="009E6F25"/>
    <w:rsid w:val="009E6FAC"/>
    <w:rsid w:val="009E73C0"/>
    <w:rsid w:val="009E78F8"/>
    <w:rsid w:val="009E7D41"/>
    <w:rsid w:val="009F000D"/>
    <w:rsid w:val="009F0177"/>
    <w:rsid w:val="009F09B1"/>
    <w:rsid w:val="009F0C89"/>
    <w:rsid w:val="009F1515"/>
    <w:rsid w:val="009F1947"/>
    <w:rsid w:val="009F1F09"/>
    <w:rsid w:val="009F22EB"/>
    <w:rsid w:val="009F2B2C"/>
    <w:rsid w:val="009F2E3A"/>
    <w:rsid w:val="009F2F6A"/>
    <w:rsid w:val="009F382D"/>
    <w:rsid w:val="009F391C"/>
    <w:rsid w:val="009F4194"/>
    <w:rsid w:val="009F49CF"/>
    <w:rsid w:val="009F4A70"/>
    <w:rsid w:val="009F61CB"/>
    <w:rsid w:val="009F6800"/>
    <w:rsid w:val="009F6E1E"/>
    <w:rsid w:val="009F70AF"/>
    <w:rsid w:val="009F715F"/>
    <w:rsid w:val="009F7336"/>
    <w:rsid w:val="009F75CB"/>
    <w:rsid w:val="009F7636"/>
    <w:rsid w:val="009F7914"/>
    <w:rsid w:val="009F7D5E"/>
    <w:rsid w:val="00A0006C"/>
    <w:rsid w:val="00A001C4"/>
    <w:rsid w:val="00A0033F"/>
    <w:rsid w:val="00A00A10"/>
    <w:rsid w:val="00A00CE8"/>
    <w:rsid w:val="00A01576"/>
    <w:rsid w:val="00A0167E"/>
    <w:rsid w:val="00A0273E"/>
    <w:rsid w:val="00A02E43"/>
    <w:rsid w:val="00A04196"/>
    <w:rsid w:val="00A04469"/>
    <w:rsid w:val="00A045FC"/>
    <w:rsid w:val="00A0496F"/>
    <w:rsid w:val="00A0521E"/>
    <w:rsid w:val="00A05E13"/>
    <w:rsid w:val="00A063ED"/>
    <w:rsid w:val="00A065F9"/>
    <w:rsid w:val="00A07B8A"/>
    <w:rsid w:val="00A07D71"/>
    <w:rsid w:val="00A07F34"/>
    <w:rsid w:val="00A10441"/>
    <w:rsid w:val="00A106AF"/>
    <w:rsid w:val="00A10730"/>
    <w:rsid w:val="00A1197F"/>
    <w:rsid w:val="00A11B70"/>
    <w:rsid w:val="00A11F8C"/>
    <w:rsid w:val="00A121DA"/>
    <w:rsid w:val="00A12775"/>
    <w:rsid w:val="00A132D2"/>
    <w:rsid w:val="00A13830"/>
    <w:rsid w:val="00A1415E"/>
    <w:rsid w:val="00A142AC"/>
    <w:rsid w:val="00A149F8"/>
    <w:rsid w:val="00A14E4D"/>
    <w:rsid w:val="00A14FD1"/>
    <w:rsid w:val="00A15D62"/>
    <w:rsid w:val="00A15DAE"/>
    <w:rsid w:val="00A162FC"/>
    <w:rsid w:val="00A16C5D"/>
    <w:rsid w:val="00A20D6C"/>
    <w:rsid w:val="00A20D72"/>
    <w:rsid w:val="00A21228"/>
    <w:rsid w:val="00A21254"/>
    <w:rsid w:val="00A21458"/>
    <w:rsid w:val="00A22154"/>
    <w:rsid w:val="00A22170"/>
    <w:rsid w:val="00A226CB"/>
    <w:rsid w:val="00A22D0C"/>
    <w:rsid w:val="00A22E18"/>
    <w:rsid w:val="00A230E9"/>
    <w:rsid w:val="00A23D0F"/>
    <w:rsid w:val="00A242FF"/>
    <w:rsid w:val="00A24B54"/>
    <w:rsid w:val="00A25C38"/>
    <w:rsid w:val="00A25F9F"/>
    <w:rsid w:val="00A26157"/>
    <w:rsid w:val="00A2692F"/>
    <w:rsid w:val="00A26A87"/>
    <w:rsid w:val="00A272E9"/>
    <w:rsid w:val="00A277BC"/>
    <w:rsid w:val="00A303EC"/>
    <w:rsid w:val="00A3040C"/>
    <w:rsid w:val="00A30727"/>
    <w:rsid w:val="00A30864"/>
    <w:rsid w:val="00A30BDC"/>
    <w:rsid w:val="00A31F15"/>
    <w:rsid w:val="00A31F6A"/>
    <w:rsid w:val="00A3265D"/>
    <w:rsid w:val="00A32A7C"/>
    <w:rsid w:val="00A3308C"/>
    <w:rsid w:val="00A331B0"/>
    <w:rsid w:val="00A33771"/>
    <w:rsid w:val="00A33A8B"/>
    <w:rsid w:val="00A34088"/>
    <w:rsid w:val="00A3519E"/>
    <w:rsid w:val="00A352B4"/>
    <w:rsid w:val="00A3560F"/>
    <w:rsid w:val="00A35ABD"/>
    <w:rsid w:val="00A360D8"/>
    <w:rsid w:val="00A3685E"/>
    <w:rsid w:val="00A36BBE"/>
    <w:rsid w:val="00A373E0"/>
    <w:rsid w:val="00A375A9"/>
    <w:rsid w:val="00A377F6"/>
    <w:rsid w:val="00A40E42"/>
    <w:rsid w:val="00A416BD"/>
    <w:rsid w:val="00A41FC5"/>
    <w:rsid w:val="00A41FE3"/>
    <w:rsid w:val="00A4276C"/>
    <w:rsid w:val="00A427D0"/>
    <w:rsid w:val="00A42817"/>
    <w:rsid w:val="00A42C48"/>
    <w:rsid w:val="00A4307A"/>
    <w:rsid w:val="00A43B21"/>
    <w:rsid w:val="00A43F81"/>
    <w:rsid w:val="00A45077"/>
    <w:rsid w:val="00A454F1"/>
    <w:rsid w:val="00A456AB"/>
    <w:rsid w:val="00A456D8"/>
    <w:rsid w:val="00A45740"/>
    <w:rsid w:val="00A4618B"/>
    <w:rsid w:val="00A4693E"/>
    <w:rsid w:val="00A476DD"/>
    <w:rsid w:val="00A47EBB"/>
    <w:rsid w:val="00A47F13"/>
    <w:rsid w:val="00A510A3"/>
    <w:rsid w:val="00A511C1"/>
    <w:rsid w:val="00A516AA"/>
    <w:rsid w:val="00A51CDD"/>
    <w:rsid w:val="00A5235D"/>
    <w:rsid w:val="00A52CB7"/>
    <w:rsid w:val="00A538AF"/>
    <w:rsid w:val="00A53AA0"/>
    <w:rsid w:val="00A53F05"/>
    <w:rsid w:val="00A54AC3"/>
    <w:rsid w:val="00A54D93"/>
    <w:rsid w:val="00A54DFE"/>
    <w:rsid w:val="00A55481"/>
    <w:rsid w:val="00A557F4"/>
    <w:rsid w:val="00A55E3B"/>
    <w:rsid w:val="00A55F32"/>
    <w:rsid w:val="00A55F6E"/>
    <w:rsid w:val="00A5619B"/>
    <w:rsid w:val="00A561B1"/>
    <w:rsid w:val="00A5636C"/>
    <w:rsid w:val="00A564F0"/>
    <w:rsid w:val="00A56641"/>
    <w:rsid w:val="00A56746"/>
    <w:rsid w:val="00A56A1E"/>
    <w:rsid w:val="00A56CDC"/>
    <w:rsid w:val="00A60143"/>
    <w:rsid w:val="00A60205"/>
    <w:rsid w:val="00A604E6"/>
    <w:rsid w:val="00A60B52"/>
    <w:rsid w:val="00A613A9"/>
    <w:rsid w:val="00A61471"/>
    <w:rsid w:val="00A617E5"/>
    <w:rsid w:val="00A622DB"/>
    <w:rsid w:val="00A62782"/>
    <w:rsid w:val="00A63CE0"/>
    <w:rsid w:val="00A6479E"/>
    <w:rsid w:val="00A64D62"/>
    <w:rsid w:val="00A65334"/>
    <w:rsid w:val="00A65772"/>
    <w:rsid w:val="00A65DFC"/>
    <w:rsid w:val="00A66896"/>
    <w:rsid w:val="00A66E4E"/>
    <w:rsid w:val="00A6730D"/>
    <w:rsid w:val="00A677CC"/>
    <w:rsid w:val="00A67852"/>
    <w:rsid w:val="00A67FE5"/>
    <w:rsid w:val="00A70236"/>
    <w:rsid w:val="00A704A3"/>
    <w:rsid w:val="00A70AE1"/>
    <w:rsid w:val="00A710A8"/>
    <w:rsid w:val="00A7116D"/>
    <w:rsid w:val="00A7153F"/>
    <w:rsid w:val="00A71625"/>
    <w:rsid w:val="00A71B9B"/>
    <w:rsid w:val="00A72222"/>
    <w:rsid w:val="00A7287B"/>
    <w:rsid w:val="00A7308E"/>
    <w:rsid w:val="00A73597"/>
    <w:rsid w:val="00A738E1"/>
    <w:rsid w:val="00A73D4C"/>
    <w:rsid w:val="00A73F48"/>
    <w:rsid w:val="00A74285"/>
    <w:rsid w:val="00A751C7"/>
    <w:rsid w:val="00A7583A"/>
    <w:rsid w:val="00A75CC0"/>
    <w:rsid w:val="00A75CCC"/>
    <w:rsid w:val="00A76F90"/>
    <w:rsid w:val="00A7746E"/>
    <w:rsid w:val="00A77816"/>
    <w:rsid w:val="00A80158"/>
    <w:rsid w:val="00A801C5"/>
    <w:rsid w:val="00A80379"/>
    <w:rsid w:val="00A80911"/>
    <w:rsid w:val="00A80AA2"/>
    <w:rsid w:val="00A80D48"/>
    <w:rsid w:val="00A818D1"/>
    <w:rsid w:val="00A82291"/>
    <w:rsid w:val="00A82704"/>
    <w:rsid w:val="00A82B5A"/>
    <w:rsid w:val="00A82E83"/>
    <w:rsid w:val="00A840F2"/>
    <w:rsid w:val="00A84F86"/>
    <w:rsid w:val="00A854C0"/>
    <w:rsid w:val="00A8572E"/>
    <w:rsid w:val="00A8584F"/>
    <w:rsid w:val="00A85928"/>
    <w:rsid w:val="00A86038"/>
    <w:rsid w:val="00A863D8"/>
    <w:rsid w:val="00A86575"/>
    <w:rsid w:val="00A87540"/>
    <w:rsid w:val="00A87844"/>
    <w:rsid w:val="00A90635"/>
    <w:rsid w:val="00A91666"/>
    <w:rsid w:val="00A91C4A"/>
    <w:rsid w:val="00A91D1F"/>
    <w:rsid w:val="00A920DD"/>
    <w:rsid w:val="00A92C5D"/>
    <w:rsid w:val="00A92C6D"/>
    <w:rsid w:val="00A93143"/>
    <w:rsid w:val="00A93256"/>
    <w:rsid w:val="00A93C15"/>
    <w:rsid w:val="00A93E48"/>
    <w:rsid w:val="00A9461E"/>
    <w:rsid w:val="00A94B1E"/>
    <w:rsid w:val="00A94B3E"/>
    <w:rsid w:val="00A9543D"/>
    <w:rsid w:val="00A95847"/>
    <w:rsid w:val="00A95D11"/>
    <w:rsid w:val="00A963A4"/>
    <w:rsid w:val="00A97348"/>
    <w:rsid w:val="00A97782"/>
    <w:rsid w:val="00AA038C"/>
    <w:rsid w:val="00AA076A"/>
    <w:rsid w:val="00AA0B7C"/>
    <w:rsid w:val="00AA13BE"/>
    <w:rsid w:val="00AA15EB"/>
    <w:rsid w:val="00AA1622"/>
    <w:rsid w:val="00AA2179"/>
    <w:rsid w:val="00AA2927"/>
    <w:rsid w:val="00AA30E6"/>
    <w:rsid w:val="00AA358C"/>
    <w:rsid w:val="00AA3643"/>
    <w:rsid w:val="00AA36D9"/>
    <w:rsid w:val="00AA3DE6"/>
    <w:rsid w:val="00AA41F5"/>
    <w:rsid w:val="00AA48B3"/>
    <w:rsid w:val="00AA585C"/>
    <w:rsid w:val="00AA5DA2"/>
    <w:rsid w:val="00AA605F"/>
    <w:rsid w:val="00AA60D7"/>
    <w:rsid w:val="00AA7034"/>
    <w:rsid w:val="00AA70B7"/>
    <w:rsid w:val="00AA7A09"/>
    <w:rsid w:val="00AB0401"/>
    <w:rsid w:val="00AB0508"/>
    <w:rsid w:val="00AB06BB"/>
    <w:rsid w:val="00AB084D"/>
    <w:rsid w:val="00AB085D"/>
    <w:rsid w:val="00AB0863"/>
    <w:rsid w:val="00AB1617"/>
    <w:rsid w:val="00AB228E"/>
    <w:rsid w:val="00AB296C"/>
    <w:rsid w:val="00AB2E57"/>
    <w:rsid w:val="00AB2E83"/>
    <w:rsid w:val="00AB34B2"/>
    <w:rsid w:val="00AB395D"/>
    <w:rsid w:val="00AB39B2"/>
    <w:rsid w:val="00AB39BB"/>
    <w:rsid w:val="00AB3B50"/>
    <w:rsid w:val="00AB4209"/>
    <w:rsid w:val="00AB47EC"/>
    <w:rsid w:val="00AB4F82"/>
    <w:rsid w:val="00AB5483"/>
    <w:rsid w:val="00AB5B82"/>
    <w:rsid w:val="00AB5BB2"/>
    <w:rsid w:val="00AB6104"/>
    <w:rsid w:val="00AB6550"/>
    <w:rsid w:val="00AC01CC"/>
    <w:rsid w:val="00AC02D6"/>
    <w:rsid w:val="00AC0588"/>
    <w:rsid w:val="00AC05B1"/>
    <w:rsid w:val="00AC0838"/>
    <w:rsid w:val="00AC1C38"/>
    <w:rsid w:val="00AC1F99"/>
    <w:rsid w:val="00AC22DE"/>
    <w:rsid w:val="00AC23BB"/>
    <w:rsid w:val="00AC39A5"/>
    <w:rsid w:val="00AC3A7E"/>
    <w:rsid w:val="00AC3C8E"/>
    <w:rsid w:val="00AC3E38"/>
    <w:rsid w:val="00AC43B2"/>
    <w:rsid w:val="00AC4BAB"/>
    <w:rsid w:val="00AC4E07"/>
    <w:rsid w:val="00AC59AB"/>
    <w:rsid w:val="00AC5BAE"/>
    <w:rsid w:val="00AC608E"/>
    <w:rsid w:val="00AC6C49"/>
    <w:rsid w:val="00AC72C5"/>
    <w:rsid w:val="00AC73B8"/>
    <w:rsid w:val="00AC73D5"/>
    <w:rsid w:val="00AC7638"/>
    <w:rsid w:val="00AC76D9"/>
    <w:rsid w:val="00AC770C"/>
    <w:rsid w:val="00AC77D2"/>
    <w:rsid w:val="00AC7928"/>
    <w:rsid w:val="00AD0B50"/>
    <w:rsid w:val="00AD0ED6"/>
    <w:rsid w:val="00AD0F52"/>
    <w:rsid w:val="00AD11AB"/>
    <w:rsid w:val="00AD16D4"/>
    <w:rsid w:val="00AD1E20"/>
    <w:rsid w:val="00AD214A"/>
    <w:rsid w:val="00AD2599"/>
    <w:rsid w:val="00AD2A75"/>
    <w:rsid w:val="00AD32E4"/>
    <w:rsid w:val="00AD356C"/>
    <w:rsid w:val="00AD361B"/>
    <w:rsid w:val="00AD48FE"/>
    <w:rsid w:val="00AD4CA1"/>
    <w:rsid w:val="00AD514E"/>
    <w:rsid w:val="00AD5274"/>
    <w:rsid w:val="00AD65D4"/>
    <w:rsid w:val="00AD67E0"/>
    <w:rsid w:val="00AD6AA8"/>
    <w:rsid w:val="00AD6DB0"/>
    <w:rsid w:val="00AD715A"/>
    <w:rsid w:val="00AD7C83"/>
    <w:rsid w:val="00AE0A20"/>
    <w:rsid w:val="00AE0CC7"/>
    <w:rsid w:val="00AE11A7"/>
    <w:rsid w:val="00AE17B9"/>
    <w:rsid w:val="00AE1D63"/>
    <w:rsid w:val="00AE229A"/>
    <w:rsid w:val="00AE23BE"/>
    <w:rsid w:val="00AE255C"/>
    <w:rsid w:val="00AE2914"/>
    <w:rsid w:val="00AE2979"/>
    <w:rsid w:val="00AE2A46"/>
    <w:rsid w:val="00AE3341"/>
    <w:rsid w:val="00AE3B7B"/>
    <w:rsid w:val="00AE439A"/>
    <w:rsid w:val="00AE43F1"/>
    <w:rsid w:val="00AE470B"/>
    <w:rsid w:val="00AE4F51"/>
    <w:rsid w:val="00AE55A5"/>
    <w:rsid w:val="00AE5929"/>
    <w:rsid w:val="00AE5C21"/>
    <w:rsid w:val="00AE617E"/>
    <w:rsid w:val="00AE654F"/>
    <w:rsid w:val="00AE6D15"/>
    <w:rsid w:val="00AE7478"/>
    <w:rsid w:val="00AE7D21"/>
    <w:rsid w:val="00AF0734"/>
    <w:rsid w:val="00AF0C4F"/>
    <w:rsid w:val="00AF0D8E"/>
    <w:rsid w:val="00AF1C96"/>
    <w:rsid w:val="00AF1EC5"/>
    <w:rsid w:val="00AF21FA"/>
    <w:rsid w:val="00AF23DE"/>
    <w:rsid w:val="00AF433E"/>
    <w:rsid w:val="00AF4FD2"/>
    <w:rsid w:val="00AF5039"/>
    <w:rsid w:val="00AF5042"/>
    <w:rsid w:val="00AF571F"/>
    <w:rsid w:val="00AF57C8"/>
    <w:rsid w:val="00AF6A29"/>
    <w:rsid w:val="00AF7775"/>
    <w:rsid w:val="00AF7987"/>
    <w:rsid w:val="00AF7C01"/>
    <w:rsid w:val="00AF7D1C"/>
    <w:rsid w:val="00AF7F14"/>
    <w:rsid w:val="00B0034F"/>
    <w:rsid w:val="00B0038D"/>
    <w:rsid w:val="00B00A5E"/>
    <w:rsid w:val="00B01B17"/>
    <w:rsid w:val="00B02447"/>
    <w:rsid w:val="00B03090"/>
    <w:rsid w:val="00B03284"/>
    <w:rsid w:val="00B03BE5"/>
    <w:rsid w:val="00B04182"/>
    <w:rsid w:val="00B0418E"/>
    <w:rsid w:val="00B049B2"/>
    <w:rsid w:val="00B04DE2"/>
    <w:rsid w:val="00B0518B"/>
    <w:rsid w:val="00B05D52"/>
    <w:rsid w:val="00B07255"/>
    <w:rsid w:val="00B07485"/>
    <w:rsid w:val="00B07537"/>
    <w:rsid w:val="00B0792D"/>
    <w:rsid w:val="00B07AE3"/>
    <w:rsid w:val="00B100A8"/>
    <w:rsid w:val="00B10155"/>
    <w:rsid w:val="00B1036A"/>
    <w:rsid w:val="00B10514"/>
    <w:rsid w:val="00B1065A"/>
    <w:rsid w:val="00B10753"/>
    <w:rsid w:val="00B1087F"/>
    <w:rsid w:val="00B108A9"/>
    <w:rsid w:val="00B109F4"/>
    <w:rsid w:val="00B10C08"/>
    <w:rsid w:val="00B10F29"/>
    <w:rsid w:val="00B11059"/>
    <w:rsid w:val="00B11430"/>
    <w:rsid w:val="00B11CFA"/>
    <w:rsid w:val="00B11F3B"/>
    <w:rsid w:val="00B1208C"/>
    <w:rsid w:val="00B12A1B"/>
    <w:rsid w:val="00B12A45"/>
    <w:rsid w:val="00B13912"/>
    <w:rsid w:val="00B13B6B"/>
    <w:rsid w:val="00B1428F"/>
    <w:rsid w:val="00B14323"/>
    <w:rsid w:val="00B1454E"/>
    <w:rsid w:val="00B1546E"/>
    <w:rsid w:val="00B15F86"/>
    <w:rsid w:val="00B160B8"/>
    <w:rsid w:val="00B1660A"/>
    <w:rsid w:val="00B16EFB"/>
    <w:rsid w:val="00B17B4D"/>
    <w:rsid w:val="00B20B00"/>
    <w:rsid w:val="00B20B45"/>
    <w:rsid w:val="00B21CCF"/>
    <w:rsid w:val="00B21ECD"/>
    <w:rsid w:val="00B21F3D"/>
    <w:rsid w:val="00B22E78"/>
    <w:rsid w:val="00B23CE8"/>
    <w:rsid w:val="00B241B9"/>
    <w:rsid w:val="00B256F2"/>
    <w:rsid w:val="00B264B1"/>
    <w:rsid w:val="00B2664C"/>
    <w:rsid w:val="00B27114"/>
    <w:rsid w:val="00B27DC5"/>
    <w:rsid w:val="00B30A4C"/>
    <w:rsid w:val="00B30BDA"/>
    <w:rsid w:val="00B30D4C"/>
    <w:rsid w:val="00B3140B"/>
    <w:rsid w:val="00B31735"/>
    <w:rsid w:val="00B3233F"/>
    <w:rsid w:val="00B3246C"/>
    <w:rsid w:val="00B328FB"/>
    <w:rsid w:val="00B33834"/>
    <w:rsid w:val="00B3400F"/>
    <w:rsid w:val="00B34014"/>
    <w:rsid w:val="00B345F9"/>
    <w:rsid w:val="00B34BDE"/>
    <w:rsid w:val="00B3529F"/>
    <w:rsid w:val="00B353EB"/>
    <w:rsid w:val="00B3566B"/>
    <w:rsid w:val="00B358B9"/>
    <w:rsid w:val="00B359DB"/>
    <w:rsid w:val="00B36103"/>
    <w:rsid w:val="00B368A3"/>
    <w:rsid w:val="00B36BB7"/>
    <w:rsid w:val="00B36EA9"/>
    <w:rsid w:val="00B36EFC"/>
    <w:rsid w:val="00B37254"/>
    <w:rsid w:val="00B3798D"/>
    <w:rsid w:val="00B37BF2"/>
    <w:rsid w:val="00B37CB8"/>
    <w:rsid w:val="00B37EE5"/>
    <w:rsid w:val="00B37F79"/>
    <w:rsid w:val="00B407C3"/>
    <w:rsid w:val="00B410F7"/>
    <w:rsid w:val="00B41207"/>
    <w:rsid w:val="00B418F2"/>
    <w:rsid w:val="00B41B13"/>
    <w:rsid w:val="00B42360"/>
    <w:rsid w:val="00B429BA"/>
    <w:rsid w:val="00B43977"/>
    <w:rsid w:val="00B439C4"/>
    <w:rsid w:val="00B44476"/>
    <w:rsid w:val="00B452BC"/>
    <w:rsid w:val="00B4535E"/>
    <w:rsid w:val="00B45C0C"/>
    <w:rsid w:val="00B4650C"/>
    <w:rsid w:val="00B46E8C"/>
    <w:rsid w:val="00B47335"/>
    <w:rsid w:val="00B4777D"/>
    <w:rsid w:val="00B47C33"/>
    <w:rsid w:val="00B47D00"/>
    <w:rsid w:val="00B509B5"/>
    <w:rsid w:val="00B511E3"/>
    <w:rsid w:val="00B51261"/>
    <w:rsid w:val="00B5197D"/>
    <w:rsid w:val="00B5266B"/>
    <w:rsid w:val="00B52A8C"/>
    <w:rsid w:val="00B52ACE"/>
    <w:rsid w:val="00B53175"/>
    <w:rsid w:val="00B53B48"/>
    <w:rsid w:val="00B53DCA"/>
    <w:rsid w:val="00B5546D"/>
    <w:rsid w:val="00B55773"/>
    <w:rsid w:val="00B55AFB"/>
    <w:rsid w:val="00B56129"/>
    <w:rsid w:val="00B56321"/>
    <w:rsid w:val="00B56935"/>
    <w:rsid w:val="00B56B25"/>
    <w:rsid w:val="00B570D8"/>
    <w:rsid w:val="00B5793E"/>
    <w:rsid w:val="00B57A5C"/>
    <w:rsid w:val="00B57D59"/>
    <w:rsid w:val="00B607F5"/>
    <w:rsid w:val="00B60A93"/>
    <w:rsid w:val="00B60CF2"/>
    <w:rsid w:val="00B61913"/>
    <w:rsid w:val="00B61BAE"/>
    <w:rsid w:val="00B61FA9"/>
    <w:rsid w:val="00B62293"/>
    <w:rsid w:val="00B62439"/>
    <w:rsid w:val="00B6245C"/>
    <w:rsid w:val="00B625F8"/>
    <w:rsid w:val="00B62C42"/>
    <w:rsid w:val="00B636A8"/>
    <w:rsid w:val="00B638B2"/>
    <w:rsid w:val="00B63A55"/>
    <w:rsid w:val="00B63DC8"/>
    <w:rsid w:val="00B63E91"/>
    <w:rsid w:val="00B648F9"/>
    <w:rsid w:val="00B64EBA"/>
    <w:rsid w:val="00B657BC"/>
    <w:rsid w:val="00B6584E"/>
    <w:rsid w:val="00B65A0C"/>
    <w:rsid w:val="00B65C6F"/>
    <w:rsid w:val="00B665C6"/>
    <w:rsid w:val="00B66700"/>
    <w:rsid w:val="00B66B53"/>
    <w:rsid w:val="00B66C2D"/>
    <w:rsid w:val="00B670CE"/>
    <w:rsid w:val="00B671FD"/>
    <w:rsid w:val="00B676D4"/>
    <w:rsid w:val="00B67860"/>
    <w:rsid w:val="00B678F1"/>
    <w:rsid w:val="00B70423"/>
    <w:rsid w:val="00B70522"/>
    <w:rsid w:val="00B70731"/>
    <w:rsid w:val="00B70870"/>
    <w:rsid w:val="00B7095C"/>
    <w:rsid w:val="00B71608"/>
    <w:rsid w:val="00B719C3"/>
    <w:rsid w:val="00B71B44"/>
    <w:rsid w:val="00B72354"/>
    <w:rsid w:val="00B7255F"/>
    <w:rsid w:val="00B72B90"/>
    <w:rsid w:val="00B73452"/>
    <w:rsid w:val="00B73548"/>
    <w:rsid w:val="00B739C1"/>
    <w:rsid w:val="00B740CD"/>
    <w:rsid w:val="00B744EB"/>
    <w:rsid w:val="00B752F6"/>
    <w:rsid w:val="00B75B39"/>
    <w:rsid w:val="00B75FFA"/>
    <w:rsid w:val="00B766B2"/>
    <w:rsid w:val="00B7682F"/>
    <w:rsid w:val="00B77337"/>
    <w:rsid w:val="00B778F0"/>
    <w:rsid w:val="00B779DA"/>
    <w:rsid w:val="00B805AF"/>
    <w:rsid w:val="00B808FE"/>
    <w:rsid w:val="00B80CB1"/>
    <w:rsid w:val="00B80EAF"/>
    <w:rsid w:val="00B80F62"/>
    <w:rsid w:val="00B8110A"/>
    <w:rsid w:val="00B817AB"/>
    <w:rsid w:val="00B81B27"/>
    <w:rsid w:val="00B829C8"/>
    <w:rsid w:val="00B82D2A"/>
    <w:rsid w:val="00B832F2"/>
    <w:rsid w:val="00B83634"/>
    <w:rsid w:val="00B841CD"/>
    <w:rsid w:val="00B8450A"/>
    <w:rsid w:val="00B8566C"/>
    <w:rsid w:val="00B85BED"/>
    <w:rsid w:val="00B85E8D"/>
    <w:rsid w:val="00B869EC"/>
    <w:rsid w:val="00B86D17"/>
    <w:rsid w:val="00B87469"/>
    <w:rsid w:val="00B875AD"/>
    <w:rsid w:val="00B902CF"/>
    <w:rsid w:val="00B9033B"/>
    <w:rsid w:val="00B925A9"/>
    <w:rsid w:val="00B9297B"/>
    <w:rsid w:val="00B92AAB"/>
    <w:rsid w:val="00B9397A"/>
    <w:rsid w:val="00B944C1"/>
    <w:rsid w:val="00B94CDB"/>
    <w:rsid w:val="00B94FEF"/>
    <w:rsid w:val="00B95108"/>
    <w:rsid w:val="00B9633D"/>
    <w:rsid w:val="00B96465"/>
    <w:rsid w:val="00B966BD"/>
    <w:rsid w:val="00B97160"/>
    <w:rsid w:val="00B97B9C"/>
    <w:rsid w:val="00B97E1E"/>
    <w:rsid w:val="00BA068A"/>
    <w:rsid w:val="00BA06F0"/>
    <w:rsid w:val="00BA1105"/>
    <w:rsid w:val="00BA2497"/>
    <w:rsid w:val="00BA275C"/>
    <w:rsid w:val="00BA2EBE"/>
    <w:rsid w:val="00BA365E"/>
    <w:rsid w:val="00BA3852"/>
    <w:rsid w:val="00BA3C17"/>
    <w:rsid w:val="00BA43D2"/>
    <w:rsid w:val="00BA4402"/>
    <w:rsid w:val="00BA5018"/>
    <w:rsid w:val="00BA5596"/>
    <w:rsid w:val="00BA56AE"/>
    <w:rsid w:val="00BA65DB"/>
    <w:rsid w:val="00BA6C94"/>
    <w:rsid w:val="00BA7113"/>
    <w:rsid w:val="00BA71F1"/>
    <w:rsid w:val="00BA777A"/>
    <w:rsid w:val="00BA7BEC"/>
    <w:rsid w:val="00BB0C97"/>
    <w:rsid w:val="00BB0D59"/>
    <w:rsid w:val="00BB0F28"/>
    <w:rsid w:val="00BB151A"/>
    <w:rsid w:val="00BB16B7"/>
    <w:rsid w:val="00BB18E2"/>
    <w:rsid w:val="00BB1EC9"/>
    <w:rsid w:val="00BB292A"/>
    <w:rsid w:val="00BB425E"/>
    <w:rsid w:val="00BB4438"/>
    <w:rsid w:val="00BB458A"/>
    <w:rsid w:val="00BB5157"/>
    <w:rsid w:val="00BB556A"/>
    <w:rsid w:val="00BB5C89"/>
    <w:rsid w:val="00BB61AE"/>
    <w:rsid w:val="00BB627B"/>
    <w:rsid w:val="00BB65F7"/>
    <w:rsid w:val="00BB66EE"/>
    <w:rsid w:val="00BB67E8"/>
    <w:rsid w:val="00BB6C37"/>
    <w:rsid w:val="00BB6FCA"/>
    <w:rsid w:val="00BC0925"/>
    <w:rsid w:val="00BC0CC7"/>
    <w:rsid w:val="00BC1091"/>
    <w:rsid w:val="00BC11AF"/>
    <w:rsid w:val="00BC1689"/>
    <w:rsid w:val="00BC2C6A"/>
    <w:rsid w:val="00BC2EAC"/>
    <w:rsid w:val="00BC2F18"/>
    <w:rsid w:val="00BC325D"/>
    <w:rsid w:val="00BC32DA"/>
    <w:rsid w:val="00BC3577"/>
    <w:rsid w:val="00BC5233"/>
    <w:rsid w:val="00BC5B2C"/>
    <w:rsid w:val="00BC6226"/>
    <w:rsid w:val="00BC62F5"/>
    <w:rsid w:val="00BC69D6"/>
    <w:rsid w:val="00BC7B28"/>
    <w:rsid w:val="00BD00D3"/>
    <w:rsid w:val="00BD038F"/>
    <w:rsid w:val="00BD1659"/>
    <w:rsid w:val="00BD1728"/>
    <w:rsid w:val="00BD172A"/>
    <w:rsid w:val="00BD1E29"/>
    <w:rsid w:val="00BD272E"/>
    <w:rsid w:val="00BD27F9"/>
    <w:rsid w:val="00BD2BF6"/>
    <w:rsid w:val="00BD330C"/>
    <w:rsid w:val="00BD3A43"/>
    <w:rsid w:val="00BD3AA9"/>
    <w:rsid w:val="00BD4415"/>
    <w:rsid w:val="00BD4A18"/>
    <w:rsid w:val="00BD4B10"/>
    <w:rsid w:val="00BD504B"/>
    <w:rsid w:val="00BD5231"/>
    <w:rsid w:val="00BD5A08"/>
    <w:rsid w:val="00BD5DB3"/>
    <w:rsid w:val="00BD6186"/>
    <w:rsid w:val="00BD6DB2"/>
    <w:rsid w:val="00BD6E45"/>
    <w:rsid w:val="00BD6FDF"/>
    <w:rsid w:val="00BD705F"/>
    <w:rsid w:val="00BD7068"/>
    <w:rsid w:val="00BD74A0"/>
    <w:rsid w:val="00BD7A70"/>
    <w:rsid w:val="00BE0263"/>
    <w:rsid w:val="00BE116F"/>
    <w:rsid w:val="00BE11CF"/>
    <w:rsid w:val="00BE16BC"/>
    <w:rsid w:val="00BE1A3F"/>
    <w:rsid w:val="00BE21AB"/>
    <w:rsid w:val="00BE23E7"/>
    <w:rsid w:val="00BE2BA5"/>
    <w:rsid w:val="00BE55CB"/>
    <w:rsid w:val="00BE5F5C"/>
    <w:rsid w:val="00BE6010"/>
    <w:rsid w:val="00BE6BE7"/>
    <w:rsid w:val="00BE6CA7"/>
    <w:rsid w:val="00BE7122"/>
    <w:rsid w:val="00BE724C"/>
    <w:rsid w:val="00BE74A3"/>
    <w:rsid w:val="00BF011B"/>
    <w:rsid w:val="00BF03DD"/>
    <w:rsid w:val="00BF0FA6"/>
    <w:rsid w:val="00BF11A2"/>
    <w:rsid w:val="00BF168D"/>
    <w:rsid w:val="00BF2669"/>
    <w:rsid w:val="00BF2767"/>
    <w:rsid w:val="00BF36EB"/>
    <w:rsid w:val="00BF439E"/>
    <w:rsid w:val="00BF49AB"/>
    <w:rsid w:val="00BF4D6D"/>
    <w:rsid w:val="00BF5A94"/>
    <w:rsid w:val="00BF617A"/>
    <w:rsid w:val="00BF7D6D"/>
    <w:rsid w:val="00BF7E77"/>
    <w:rsid w:val="00C001F2"/>
    <w:rsid w:val="00C00716"/>
    <w:rsid w:val="00C00987"/>
    <w:rsid w:val="00C01185"/>
    <w:rsid w:val="00C014AF"/>
    <w:rsid w:val="00C0190C"/>
    <w:rsid w:val="00C029A9"/>
    <w:rsid w:val="00C03113"/>
    <w:rsid w:val="00C0350D"/>
    <w:rsid w:val="00C0379D"/>
    <w:rsid w:val="00C03931"/>
    <w:rsid w:val="00C041F3"/>
    <w:rsid w:val="00C0452E"/>
    <w:rsid w:val="00C050C7"/>
    <w:rsid w:val="00C0548C"/>
    <w:rsid w:val="00C055F6"/>
    <w:rsid w:val="00C05D2C"/>
    <w:rsid w:val="00C05FE3"/>
    <w:rsid w:val="00C062E4"/>
    <w:rsid w:val="00C06A82"/>
    <w:rsid w:val="00C06BDE"/>
    <w:rsid w:val="00C1091E"/>
    <w:rsid w:val="00C10CFB"/>
    <w:rsid w:val="00C11961"/>
    <w:rsid w:val="00C11A9B"/>
    <w:rsid w:val="00C11B04"/>
    <w:rsid w:val="00C12170"/>
    <w:rsid w:val="00C1230A"/>
    <w:rsid w:val="00C129F6"/>
    <w:rsid w:val="00C12A44"/>
    <w:rsid w:val="00C12D49"/>
    <w:rsid w:val="00C13EFF"/>
    <w:rsid w:val="00C14260"/>
    <w:rsid w:val="00C14273"/>
    <w:rsid w:val="00C14454"/>
    <w:rsid w:val="00C14A7E"/>
    <w:rsid w:val="00C1569F"/>
    <w:rsid w:val="00C15FD0"/>
    <w:rsid w:val="00C15FE5"/>
    <w:rsid w:val="00C1772D"/>
    <w:rsid w:val="00C17E2A"/>
    <w:rsid w:val="00C2025D"/>
    <w:rsid w:val="00C20741"/>
    <w:rsid w:val="00C20C38"/>
    <w:rsid w:val="00C20E75"/>
    <w:rsid w:val="00C2136D"/>
    <w:rsid w:val="00C214EE"/>
    <w:rsid w:val="00C2163B"/>
    <w:rsid w:val="00C219E9"/>
    <w:rsid w:val="00C21AC1"/>
    <w:rsid w:val="00C22655"/>
    <w:rsid w:val="00C2286A"/>
    <w:rsid w:val="00C229A2"/>
    <w:rsid w:val="00C22EDE"/>
    <w:rsid w:val="00C2314B"/>
    <w:rsid w:val="00C23E5F"/>
    <w:rsid w:val="00C23EAE"/>
    <w:rsid w:val="00C24971"/>
    <w:rsid w:val="00C2553C"/>
    <w:rsid w:val="00C259C7"/>
    <w:rsid w:val="00C25C78"/>
    <w:rsid w:val="00C26761"/>
    <w:rsid w:val="00C26BE5"/>
    <w:rsid w:val="00C26E4D"/>
    <w:rsid w:val="00C26F62"/>
    <w:rsid w:val="00C27084"/>
    <w:rsid w:val="00C27909"/>
    <w:rsid w:val="00C27B03"/>
    <w:rsid w:val="00C27D3A"/>
    <w:rsid w:val="00C27F27"/>
    <w:rsid w:val="00C30235"/>
    <w:rsid w:val="00C30479"/>
    <w:rsid w:val="00C30552"/>
    <w:rsid w:val="00C30AA3"/>
    <w:rsid w:val="00C312DC"/>
    <w:rsid w:val="00C313BD"/>
    <w:rsid w:val="00C314E1"/>
    <w:rsid w:val="00C32F2B"/>
    <w:rsid w:val="00C33380"/>
    <w:rsid w:val="00C33ED7"/>
    <w:rsid w:val="00C33F62"/>
    <w:rsid w:val="00C3417F"/>
    <w:rsid w:val="00C34397"/>
    <w:rsid w:val="00C3453F"/>
    <w:rsid w:val="00C35047"/>
    <w:rsid w:val="00C352C6"/>
    <w:rsid w:val="00C3600B"/>
    <w:rsid w:val="00C3684E"/>
    <w:rsid w:val="00C36CE4"/>
    <w:rsid w:val="00C376D5"/>
    <w:rsid w:val="00C37806"/>
    <w:rsid w:val="00C37FF1"/>
    <w:rsid w:val="00C40207"/>
    <w:rsid w:val="00C4095D"/>
    <w:rsid w:val="00C41462"/>
    <w:rsid w:val="00C42289"/>
    <w:rsid w:val="00C42C49"/>
    <w:rsid w:val="00C42D9C"/>
    <w:rsid w:val="00C43357"/>
    <w:rsid w:val="00C4344F"/>
    <w:rsid w:val="00C43C9C"/>
    <w:rsid w:val="00C446CB"/>
    <w:rsid w:val="00C45369"/>
    <w:rsid w:val="00C45542"/>
    <w:rsid w:val="00C45A5D"/>
    <w:rsid w:val="00C46388"/>
    <w:rsid w:val="00C46CBB"/>
    <w:rsid w:val="00C4729A"/>
    <w:rsid w:val="00C4796A"/>
    <w:rsid w:val="00C47E9E"/>
    <w:rsid w:val="00C5013E"/>
    <w:rsid w:val="00C508E6"/>
    <w:rsid w:val="00C50F44"/>
    <w:rsid w:val="00C517AA"/>
    <w:rsid w:val="00C51A4E"/>
    <w:rsid w:val="00C52316"/>
    <w:rsid w:val="00C52439"/>
    <w:rsid w:val="00C52663"/>
    <w:rsid w:val="00C5275C"/>
    <w:rsid w:val="00C52891"/>
    <w:rsid w:val="00C52F92"/>
    <w:rsid w:val="00C53321"/>
    <w:rsid w:val="00C536CF"/>
    <w:rsid w:val="00C53A4F"/>
    <w:rsid w:val="00C5408D"/>
    <w:rsid w:val="00C54D0C"/>
    <w:rsid w:val="00C55689"/>
    <w:rsid w:val="00C55AB4"/>
    <w:rsid w:val="00C56EC7"/>
    <w:rsid w:val="00C5709B"/>
    <w:rsid w:val="00C5730B"/>
    <w:rsid w:val="00C573C1"/>
    <w:rsid w:val="00C57793"/>
    <w:rsid w:val="00C57FB4"/>
    <w:rsid w:val="00C601D2"/>
    <w:rsid w:val="00C60C5B"/>
    <w:rsid w:val="00C60FAF"/>
    <w:rsid w:val="00C61D3A"/>
    <w:rsid w:val="00C61DEB"/>
    <w:rsid w:val="00C61E5E"/>
    <w:rsid w:val="00C622A7"/>
    <w:rsid w:val="00C6279B"/>
    <w:rsid w:val="00C62B9B"/>
    <w:rsid w:val="00C630D5"/>
    <w:rsid w:val="00C634C3"/>
    <w:rsid w:val="00C63563"/>
    <w:rsid w:val="00C636AA"/>
    <w:rsid w:val="00C6371A"/>
    <w:rsid w:val="00C6387D"/>
    <w:rsid w:val="00C638DE"/>
    <w:rsid w:val="00C63DF5"/>
    <w:rsid w:val="00C64816"/>
    <w:rsid w:val="00C64B21"/>
    <w:rsid w:val="00C64C92"/>
    <w:rsid w:val="00C650B0"/>
    <w:rsid w:val="00C657AB"/>
    <w:rsid w:val="00C65BCC"/>
    <w:rsid w:val="00C65C65"/>
    <w:rsid w:val="00C6652B"/>
    <w:rsid w:val="00C66970"/>
    <w:rsid w:val="00C672F2"/>
    <w:rsid w:val="00C673EC"/>
    <w:rsid w:val="00C67D06"/>
    <w:rsid w:val="00C7001F"/>
    <w:rsid w:val="00C70340"/>
    <w:rsid w:val="00C711F8"/>
    <w:rsid w:val="00C7138B"/>
    <w:rsid w:val="00C71B94"/>
    <w:rsid w:val="00C723D2"/>
    <w:rsid w:val="00C7269A"/>
    <w:rsid w:val="00C7297E"/>
    <w:rsid w:val="00C72FF3"/>
    <w:rsid w:val="00C73385"/>
    <w:rsid w:val="00C7516B"/>
    <w:rsid w:val="00C75199"/>
    <w:rsid w:val="00C75403"/>
    <w:rsid w:val="00C7594C"/>
    <w:rsid w:val="00C7615D"/>
    <w:rsid w:val="00C76905"/>
    <w:rsid w:val="00C76919"/>
    <w:rsid w:val="00C76C7C"/>
    <w:rsid w:val="00C77FC8"/>
    <w:rsid w:val="00C80438"/>
    <w:rsid w:val="00C806FE"/>
    <w:rsid w:val="00C82245"/>
    <w:rsid w:val="00C8290B"/>
    <w:rsid w:val="00C82AC5"/>
    <w:rsid w:val="00C82D2A"/>
    <w:rsid w:val="00C83259"/>
    <w:rsid w:val="00C83A9F"/>
    <w:rsid w:val="00C83BC5"/>
    <w:rsid w:val="00C84113"/>
    <w:rsid w:val="00C844FB"/>
    <w:rsid w:val="00C845D2"/>
    <w:rsid w:val="00C84D9F"/>
    <w:rsid w:val="00C84E6C"/>
    <w:rsid w:val="00C85F67"/>
    <w:rsid w:val="00C864EE"/>
    <w:rsid w:val="00C8691C"/>
    <w:rsid w:val="00C86C3F"/>
    <w:rsid w:val="00C86C43"/>
    <w:rsid w:val="00C8737D"/>
    <w:rsid w:val="00C87577"/>
    <w:rsid w:val="00C87720"/>
    <w:rsid w:val="00C87817"/>
    <w:rsid w:val="00C87990"/>
    <w:rsid w:val="00C90D07"/>
    <w:rsid w:val="00C91026"/>
    <w:rsid w:val="00C91724"/>
    <w:rsid w:val="00C92A44"/>
    <w:rsid w:val="00C92C36"/>
    <w:rsid w:val="00C936D8"/>
    <w:rsid w:val="00C9375D"/>
    <w:rsid w:val="00C93A32"/>
    <w:rsid w:val="00C93D33"/>
    <w:rsid w:val="00C94206"/>
    <w:rsid w:val="00C9423E"/>
    <w:rsid w:val="00C94856"/>
    <w:rsid w:val="00C948EB"/>
    <w:rsid w:val="00C970C3"/>
    <w:rsid w:val="00C972FF"/>
    <w:rsid w:val="00C97332"/>
    <w:rsid w:val="00C977B7"/>
    <w:rsid w:val="00C97871"/>
    <w:rsid w:val="00C9788C"/>
    <w:rsid w:val="00C97AC9"/>
    <w:rsid w:val="00C97B34"/>
    <w:rsid w:val="00C97B57"/>
    <w:rsid w:val="00C97E89"/>
    <w:rsid w:val="00C97FAD"/>
    <w:rsid w:val="00CA0FDB"/>
    <w:rsid w:val="00CA1476"/>
    <w:rsid w:val="00CA168A"/>
    <w:rsid w:val="00CA1F25"/>
    <w:rsid w:val="00CA2C31"/>
    <w:rsid w:val="00CA34C6"/>
    <w:rsid w:val="00CA357E"/>
    <w:rsid w:val="00CA39E1"/>
    <w:rsid w:val="00CA3C96"/>
    <w:rsid w:val="00CA3D2A"/>
    <w:rsid w:val="00CA3DA5"/>
    <w:rsid w:val="00CA3F6F"/>
    <w:rsid w:val="00CA41DE"/>
    <w:rsid w:val="00CA42FF"/>
    <w:rsid w:val="00CA44F9"/>
    <w:rsid w:val="00CA49B8"/>
    <w:rsid w:val="00CA4A69"/>
    <w:rsid w:val="00CA4D32"/>
    <w:rsid w:val="00CA4EB9"/>
    <w:rsid w:val="00CA4FD1"/>
    <w:rsid w:val="00CA5467"/>
    <w:rsid w:val="00CA584B"/>
    <w:rsid w:val="00CA630E"/>
    <w:rsid w:val="00CA6A99"/>
    <w:rsid w:val="00CA70C0"/>
    <w:rsid w:val="00CA71CE"/>
    <w:rsid w:val="00CA7900"/>
    <w:rsid w:val="00CB0565"/>
    <w:rsid w:val="00CB0A69"/>
    <w:rsid w:val="00CB0BA4"/>
    <w:rsid w:val="00CB0BDD"/>
    <w:rsid w:val="00CB1180"/>
    <w:rsid w:val="00CB12C8"/>
    <w:rsid w:val="00CB1932"/>
    <w:rsid w:val="00CB1D69"/>
    <w:rsid w:val="00CB1E04"/>
    <w:rsid w:val="00CB2A3E"/>
    <w:rsid w:val="00CB3711"/>
    <w:rsid w:val="00CB5BFC"/>
    <w:rsid w:val="00CB5D6B"/>
    <w:rsid w:val="00CB5F37"/>
    <w:rsid w:val="00CB6A59"/>
    <w:rsid w:val="00CB7491"/>
    <w:rsid w:val="00CB7564"/>
    <w:rsid w:val="00CB7BBB"/>
    <w:rsid w:val="00CC012C"/>
    <w:rsid w:val="00CC0C54"/>
    <w:rsid w:val="00CC0E00"/>
    <w:rsid w:val="00CC1C83"/>
    <w:rsid w:val="00CC202E"/>
    <w:rsid w:val="00CC2A38"/>
    <w:rsid w:val="00CC2C0A"/>
    <w:rsid w:val="00CC3BD0"/>
    <w:rsid w:val="00CC3D8F"/>
    <w:rsid w:val="00CC3E0C"/>
    <w:rsid w:val="00CC4307"/>
    <w:rsid w:val="00CC4391"/>
    <w:rsid w:val="00CC45DA"/>
    <w:rsid w:val="00CC45E2"/>
    <w:rsid w:val="00CC527E"/>
    <w:rsid w:val="00CC529F"/>
    <w:rsid w:val="00CC57EB"/>
    <w:rsid w:val="00CC57F1"/>
    <w:rsid w:val="00CC58D3"/>
    <w:rsid w:val="00CC5D5B"/>
    <w:rsid w:val="00CC5FB8"/>
    <w:rsid w:val="00CC5FE0"/>
    <w:rsid w:val="00CC6517"/>
    <w:rsid w:val="00CC75AB"/>
    <w:rsid w:val="00CC77D2"/>
    <w:rsid w:val="00CC784D"/>
    <w:rsid w:val="00CC7BA6"/>
    <w:rsid w:val="00CD013F"/>
    <w:rsid w:val="00CD0E3D"/>
    <w:rsid w:val="00CD254C"/>
    <w:rsid w:val="00CD2E48"/>
    <w:rsid w:val="00CD2E9F"/>
    <w:rsid w:val="00CD2F7E"/>
    <w:rsid w:val="00CD3367"/>
    <w:rsid w:val="00CD37C5"/>
    <w:rsid w:val="00CD3C74"/>
    <w:rsid w:val="00CD3CFB"/>
    <w:rsid w:val="00CD3DD2"/>
    <w:rsid w:val="00CD404A"/>
    <w:rsid w:val="00CD47D7"/>
    <w:rsid w:val="00CD49BF"/>
    <w:rsid w:val="00CD4D85"/>
    <w:rsid w:val="00CD5220"/>
    <w:rsid w:val="00CD54E7"/>
    <w:rsid w:val="00CD59BC"/>
    <w:rsid w:val="00CD6024"/>
    <w:rsid w:val="00CD67B0"/>
    <w:rsid w:val="00CD6954"/>
    <w:rsid w:val="00CD6992"/>
    <w:rsid w:val="00CD738E"/>
    <w:rsid w:val="00CE00CB"/>
    <w:rsid w:val="00CE027B"/>
    <w:rsid w:val="00CE0400"/>
    <w:rsid w:val="00CE04D9"/>
    <w:rsid w:val="00CE0500"/>
    <w:rsid w:val="00CE0772"/>
    <w:rsid w:val="00CE0A3B"/>
    <w:rsid w:val="00CE0B93"/>
    <w:rsid w:val="00CE10C7"/>
    <w:rsid w:val="00CE12DE"/>
    <w:rsid w:val="00CE13D2"/>
    <w:rsid w:val="00CE15C0"/>
    <w:rsid w:val="00CE1805"/>
    <w:rsid w:val="00CE2293"/>
    <w:rsid w:val="00CE2421"/>
    <w:rsid w:val="00CE2AEB"/>
    <w:rsid w:val="00CE2EA2"/>
    <w:rsid w:val="00CE2EFA"/>
    <w:rsid w:val="00CE34C9"/>
    <w:rsid w:val="00CE37EC"/>
    <w:rsid w:val="00CE4507"/>
    <w:rsid w:val="00CE4C7E"/>
    <w:rsid w:val="00CE4D1D"/>
    <w:rsid w:val="00CE5562"/>
    <w:rsid w:val="00CE579B"/>
    <w:rsid w:val="00CE64B3"/>
    <w:rsid w:val="00CE66ED"/>
    <w:rsid w:val="00CE6FB5"/>
    <w:rsid w:val="00CE7136"/>
    <w:rsid w:val="00CE7278"/>
    <w:rsid w:val="00CF013E"/>
    <w:rsid w:val="00CF0297"/>
    <w:rsid w:val="00CF038B"/>
    <w:rsid w:val="00CF06FC"/>
    <w:rsid w:val="00CF0950"/>
    <w:rsid w:val="00CF0B5E"/>
    <w:rsid w:val="00CF1371"/>
    <w:rsid w:val="00CF1831"/>
    <w:rsid w:val="00CF1E30"/>
    <w:rsid w:val="00CF217E"/>
    <w:rsid w:val="00CF2283"/>
    <w:rsid w:val="00CF2715"/>
    <w:rsid w:val="00CF31BA"/>
    <w:rsid w:val="00CF3305"/>
    <w:rsid w:val="00CF42D6"/>
    <w:rsid w:val="00CF43CD"/>
    <w:rsid w:val="00CF490D"/>
    <w:rsid w:val="00CF5391"/>
    <w:rsid w:val="00CF5DBF"/>
    <w:rsid w:val="00CF5E3D"/>
    <w:rsid w:val="00CF6539"/>
    <w:rsid w:val="00CF7003"/>
    <w:rsid w:val="00CF7514"/>
    <w:rsid w:val="00CF77B9"/>
    <w:rsid w:val="00CF798D"/>
    <w:rsid w:val="00CF7F2F"/>
    <w:rsid w:val="00D0042B"/>
    <w:rsid w:val="00D01319"/>
    <w:rsid w:val="00D03254"/>
    <w:rsid w:val="00D0337B"/>
    <w:rsid w:val="00D03989"/>
    <w:rsid w:val="00D03D6F"/>
    <w:rsid w:val="00D051DA"/>
    <w:rsid w:val="00D054E5"/>
    <w:rsid w:val="00D05524"/>
    <w:rsid w:val="00D057B9"/>
    <w:rsid w:val="00D058F0"/>
    <w:rsid w:val="00D05F58"/>
    <w:rsid w:val="00D06325"/>
    <w:rsid w:val="00D06F45"/>
    <w:rsid w:val="00D07164"/>
    <w:rsid w:val="00D079B2"/>
    <w:rsid w:val="00D104DF"/>
    <w:rsid w:val="00D114E9"/>
    <w:rsid w:val="00D119B6"/>
    <w:rsid w:val="00D11D97"/>
    <w:rsid w:val="00D11FD3"/>
    <w:rsid w:val="00D122DA"/>
    <w:rsid w:val="00D129E9"/>
    <w:rsid w:val="00D12EBC"/>
    <w:rsid w:val="00D14439"/>
    <w:rsid w:val="00D149EF"/>
    <w:rsid w:val="00D14D4D"/>
    <w:rsid w:val="00D14EC7"/>
    <w:rsid w:val="00D1515E"/>
    <w:rsid w:val="00D1559D"/>
    <w:rsid w:val="00D161E0"/>
    <w:rsid w:val="00D162B8"/>
    <w:rsid w:val="00D163EE"/>
    <w:rsid w:val="00D16545"/>
    <w:rsid w:val="00D17ACB"/>
    <w:rsid w:val="00D2023E"/>
    <w:rsid w:val="00D20916"/>
    <w:rsid w:val="00D20A50"/>
    <w:rsid w:val="00D20C50"/>
    <w:rsid w:val="00D20CDD"/>
    <w:rsid w:val="00D21237"/>
    <w:rsid w:val="00D218BD"/>
    <w:rsid w:val="00D21A1E"/>
    <w:rsid w:val="00D21CAC"/>
    <w:rsid w:val="00D22892"/>
    <w:rsid w:val="00D229D7"/>
    <w:rsid w:val="00D22CCB"/>
    <w:rsid w:val="00D23746"/>
    <w:rsid w:val="00D23A44"/>
    <w:rsid w:val="00D23C17"/>
    <w:rsid w:val="00D245B1"/>
    <w:rsid w:val="00D25133"/>
    <w:rsid w:val="00D25225"/>
    <w:rsid w:val="00D262AF"/>
    <w:rsid w:val="00D265AE"/>
    <w:rsid w:val="00D26690"/>
    <w:rsid w:val="00D26C48"/>
    <w:rsid w:val="00D26E03"/>
    <w:rsid w:val="00D26F2C"/>
    <w:rsid w:val="00D271B3"/>
    <w:rsid w:val="00D27576"/>
    <w:rsid w:val="00D277C6"/>
    <w:rsid w:val="00D27803"/>
    <w:rsid w:val="00D27B1B"/>
    <w:rsid w:val="00D27D16"/>
    <w:rsid w:val="00D30959"/>
    <w:rsid w:val="00D30C2E"/>
    <w:rsid w:val="00D31214"/>
    <w:rsid w:val="00D314BF"/>
    <w:rsid w:val="00D31A28"/>
    <w:rsid w:val="00D31DA8"/>
    <w:rsid w:val="00D331E0"/>
    <w:rsid w:val="00D33371"/>
    <w:rsid w:val="00D334CF"/>
    <w:rsid w:val="00D33611"/>
    <w:rsid w:val="00D33B66"/>
    <w:rsid w:val="00D33C0F"/>
    <w:rsid w:val="00D33E38"/>
    <w:rsid w:val="00D34946"/>
    <w:rsid w:val="00D34982"/>
    <w:rsid w:val="00D34C7C"/>
    <w:rsid w:val="00D35E54"/>
    <w:rsid w:val="00D36F9E"/>
    <w:rsid w:val="00D375DA"/>
    <w:rsid w:val="00D37679"/>
    <w:rsid w:val="00D37ABB"/>
    <w:rsid w:val="00D37FF5"/>
    <w:rsid w:val="00D4055C"/>
    <w:rsid w:val="00D40C71"/>
    <w:rsid w:val="00D40E2B"/>
    <w:rsid w:val="00D40EC9"/>
    <w:rsid w:val="00D413F7"/>
    <w:rsid w:val="00D418AC"/>
    <w:rsid w:val="00D42425"/>
    <w:rsid w:val="00D42655"/>
    <w:rsid w:val="00D429C6"/>
    <w:rsid w:val="00D43714"/>
    <w:rsid w:val="00D4386C"/>
    <w:rsid w:val="00D43A50"/>
    <w:rsid w:val="00D43AEE"/>
    <w:rsid w:val="00D43F58"/>
    <w:rsid w:val="00D44190"/>
    <w:rsid w:val="00D45267"/>
    <w:rsid w:val="00D4531C"/>
    <w:rsid w:val="00D45736"/>
    <w:rsid w:val="00D45D39"/>
    <w:rsid w:val="00D45E8F"/>
    <w:rsid w:val="00D46490"/>
    <w:rsid w:val="00D466BD"/>
    <w:rsid w:val="00D472A5"/>
    <w:rsid w:val="00D47685"/>
    <w:rsid w:val="00D47748"/>
    <w:rsid w:val="00D47D32"/>
    <w:rsid w:val="00D47DA3"/>
    <w:rsid w:val="00D50ECE"/>
    <w:rsid w:val="00D510F5"/>
    <w:rsid w:val="00D51311"/>
    <w:rsid w:val="00D514A7"/>
    <w:rsid w:val="00D516DB"/>
    <w:rsid w:val="00D53003"/>
    <w:rsid w:val="00D54155"/>
    <w:rsid w:val="00D5478C"/>
    <w:rsid w:val="00D54CC3"/>
    <w:rsid w:val="00D5509F"/>
    <w:rsid w:val="00D5516B"/>
    <w:rsid w:val="00D55659"/>
    <w:rsid w:val="00D55DC9"/>
    <w:rsid w:val="00D56071"/>
    <w:rsid w:val="00D560FA"/>
    <w:rsid w:val="00D567A9"/>
    <w:rsid w:val="00D56CD1"/>
    <w:rsid w:val="00D56E36"/>
    <w:rsid w:val="00D5711B"/>
    <w:rsid w:val="00D57157"/>
    <w:rsid w:val="00D573E0"/>
    <w:rsid w:val="00D57997"/>
    <w:rsid w:val="00D57BEB"/>
    <w:rsid w:val="00D6041A"/>
    <w:rsid w:val="00D60610"/>
    <w:rsid w:val="00D60AB7"/>
    <w:rsid w:val="00D60EC0"/>
    <w:rsid w:val="00D6104A"/>
    <w:rsid w:val="00D61609"/>
    <w:rsid w:val="00D61817"/>
    <w:rsid w:val="00D61D99"/>
    <w:rsid w:val="00D62221"/>
    <w:rsid w:val="00D624CD"/>
    <w:rsid w:val="00D626A0"/>
    <w:rsid w:val="00D633EB"/>
    <w:rsid w:val="00D636B8"/>
    <w:rsid w:val="00D63BB9"/>
    <w:rsid w:val="00D6406C"/>
    <w:rsid w:val="00D6446A"/>
    <w:rsid w:val="00D64C12"/>
    <w:rsid w:val="00D64D0A"/>
    <w:rsid w:val="00D65563"/>
    <w:rsid w:val="00D659B5"/>
    <w:rsid w:val="00D65E68"/>
    <w:rsid w:val="00D66282"/>
    <w:rsid w:val="00D6638C"/>
    <w:rsid w:val="00D667F4"/>
    <w:rsid w:val="00D66961"/>
    <w:rsid w:val="00D67D82"/>
    <w:rsid w:val="00D67EAA"/>
    <w:rsid w:val="00D700D2"/>
    <w:rsid w:val="00D705B3"/>
    <w:rsid w:val="00D71757"/>
    <w:rsid w:val="00D718EC"/>
    <w:rsid w:val="00D71978"/>
    <w:rsid w:val="00D72397"/>
    <w:rsid w:val="00D72E04"/>
    <w:rsid w:val="00D73352"/>
    <w:rsid w:val="00D73461"/>
    <w:rsid w:val="00D7355A"/>
    <w:rsid w:val="00D73828"/>
    <w:rsid w:val="00D73BE2"/>
    <w:rsid w:val="00D7403F"/>
    <w:rsid w:val="00D7431B"/>
    <w:rsid w:val="00D74672"/>
    <w:rsid w:val="00D74DE1"/>
    <w:rsid w:val="00D74FBF"/>
    <w:rsid w:val="00D7550D"/>
    <w:rsid w:val="00D75931"/>
    <w:rsid w:val="00D77144"/>
    <w:rsid w:val="00D773E5"/>
    <w:rsid w:val="00D77EE8"/>
    <w:rsid w:val="00D814E5"/>
    <w:rsid w:val="00D81849"/>
    <w:rsid w:val="00D81A9C"/>
    <w:rsid w:val="00D81AF7"/>
    <w:rsid w:val="00D82177"/>
    <w:rsid w:val="00D82CE6"/>
    <w:rsid w:val="00D82FF7"/>
    <w:rsid w:val="00D83428"/>
    <w:rsid w:val="00D83ACE"/>
    <w:rsid w:val="00D847C9"/>
    <w:rsid w:val="00D847FE"/>
    <w:rsid w:val="00D850BA"/>
    <w:rsid w:val="00D85353"/>
    <w:rsid w:val="00D853D3"/>
    <w:rsid w:val="00D85B9B"/>
    <w:rsid w:val="00D85EC3"/>
    <w:rsid w:val="00D86B49"/>
    <w:rsid w:val="00D87A04"/>
    <w:rsid w:val="00D87ECC"/>
    <w:rsid w:val="00D90C26"/>
    <w:rsid w:val="00D90D4E"/>
    <w:rsid w:val="00D90DB1"/>
    <w:rsid w:val="00D910B9"/>
    <w:rsid w:val="00D912A4"/>
    <w:rsid w:val="00D92FA9"/>
    <w:rsid w:val="00D934DA"/>
    <w:rsid w:val="00D93515"/>
    <w:rsid w:val="00D93680"/>
    <w:rsid w:val="00D941B3"/>
    <w:rsid w:val="00D94B7D"/>
    <w:rsid w:val="00D953C7"/>
    <w:rsid w:val="00D95599"/>
    <w:rsid w:val="00D95644"/>
    <w:rsid w:val="00D95D2D"/>
    <w:rsid w:val="00D95DD2"/>
    <w:rsid w:val="00D962D7"/>
    <w:rsid w:val="00D964EA"/>
    <w:rsid w:val="00D966D0"/>
    <w:rsid w:val="00D970B5"/>
    <w:rsid w:val="00D975CD"/>
    <w:rsid w:val="00DA0664"/>
    <w:rsid w:val="00DA0C59"/>
    <w:rsid w:val="00DA0CA9"/>
    <w:rsid w:val="00DA0E99"/>
    <w:rsid w:val="00DA102E"/>
    <w:rsid w:val="00DA19E2"/>
    <w:rsid w:val="00DA1B26"/>
    <w:rsid w:val="00DA1D32"/>
    <w:rsid w:val="00DA1F52"/>
    <w:rsid w:val="00DA2F5E"/>
    <w:rsid w:val="00DA3252"/>
    <w:rsid w:val="00DA3991"/>
    <w:rsid w:val="00DA4810"/>
    <w:rsid w:val="00DA4B01"/>
    <w:rsid w:val="00DA4CD7"/>
    <w:rsid w:val="00DA4EDF"/>
    <w:rsid w:val="00DA5311"/>
    <w:rsid w:val="00DA56B1"/>
    <w:rsid w:val="00DA5BD1"/>
    <w:rsid w:val="00DA61A9"/>
    <w:rsid w:val="00DA61E7"/>
    <w:rsid w:val="00DA6BDE"/>
    <w:rsid w:val="00DA713E"/>
    <w:rsid w:val="00DA72E1"/>
    <w:rsid w:val="00DA7788"/>
    <w:rsid w:val="00DA78FB"/>
    <w:rsid w:val="00DA79D9"/>
    <w:rsid w:val="00DA7A3C"/>
    <w:rsid w:val="00DB027A"/>
    <w:rsid w:val="00DB088D"/>
    <w:rsid w:val="00DB08DD"/>
    <w:rsid w:val="00DB0A5B"/>
    <w:rsid w:val="00DB1938"/>
    <w:rsid w:val="00DB282B"/>
    <w:rsid w:val="00DB28E4"/>
    <w:rsid w:val="00DB2CDF"/>
    <w:rsid w:val="00DB31F7"/>
    <w:rsid w:val="00DB36B8"/>
    <w:rsid w:val="00DB3B57"/>
    <w:rsid w:val="00DB3DF7"/>
    <w:rsid w:val="00DB4F04"/>
    <w:rsid w:val="00DB58D1"/>
    <w:rsid w:val="00DB5C8E"/>
    <w:rsid w:val="00DB5EBF"/>
    <w:rsid w:val="00DB7091"/>
    <w:rsid w:val="00DB7ADF"/>
    <w:rsid w:val="00DB7E6C"/>
    <w:rsid w:val="00DB7EBB"/>
    <w:rsid w:val="00DC0406"/>
    <w:rsid w:val="00DC1489"/>
    <w:rsid w:val="00DC1536"/>
    <w:rsid w:val="00DC178D"/>
    <w:rsid w:val="00DC24B3"/>
    <w:rsid w:val="00DC2907"/>
    <w:rsid w:val="00DC2D2D"/>
    <w:rsid w:val="00DC2F80"/>
    <w:rsid w:val="00DC3B93"/>
    <w:rsid w:val="00DC3E43"/>
    <w:rsid w:val="00DC44F5"/>
    <w:rsid w:val="00DC60A9"/>
    <w:rsid w:val="00DC60AF"/>
    <w:rsid w:val="00DC6157"/>
    <w:rsid w:val="00DC6266"/>
    <w:rsid w:val="00DC6492"/>
    <w:rsid w:val="00DC689F"/>
    <w:rsid w:val="00DC78D7"/>
    <w:rsid w:val="00DD03B3"/>
    <w:rsid w:val="00DD081D"/>
    <w:rsid w:val="00DD0F1F"/>
    <w:rsid w:val="00DD1666"/>
    <w:rsid w:val="00DD1BFD"/>
    <w:rsid w:val="00DD2201"/>
    <w:rsid w:val="00DD2605"/>
    <w:rsid w:val="00DD26C0"/>
    <w:rsid w:val="00DD2D53"/>
    <w:rsid w:val="00DD30A2"/>
    <w:rsid w:val="00DD336E"/>
    <w:rsid w:val="00DD38FC"/>
    <w:rsid w:val="00DD3AFA"/>
    <w:rsid w:val="00DD4513"/>
    <w:rsid w:val="00DD4817"/>
    <w:rsid w:val="00DD489F"/>
    <w:rsid w:val="00DD4FB0"/>
    <w:rsid w:val="00DD549C"/>
    <w:rsid w:val="00DD5606"/>
    <w:rsid w:val="00DD5A29"/>
    <w:rsid w:val="00DD5A3D"/>
    <w:rsid w:val="00DD5D9D"/>
    <w:rsid w:val="00DD5FF6"/>
    <w:rsid w:val="00DD611A"/>
    <w:rsid w:val="00DD6875"/>
    <w:rsid w:val="00DD6D4D"/>
    <w:rsid w:val="00DD6ED7"/>
    <w:rsid w:val="00DD737F"/>
    <w:rsid w:val="00DD76B1"/>
    <w:rsid w:val="00DD7954"/>
    <w:rsid w:val="00DD7C41"/>
    <w:rsid w:val="00DE0A5B"/>
    <w:rsid w:val="00DE0F65"/>
    <w:rsid w:val="00DE19C6"/>
    <w:rsid w:val="00DE1AFC"/>
    <w:rsid w:val="00DE203B"/>
    <w:rsid w:val="00DE22A7"/>
    <w:rsid w:val="00DE2389"/>
    <w:rsid w:val="00DE27EA"/>
    <w:rsid w:val="00DE2A8E"/>
    <w:rsid w:val="00DE2DFD"/>
    <w:rsid w:val="00DE30F0"/>
    <w:rsid w:val="00DE35CB"/>
    <w:rsid w:val="00DE445E"/>
    <w:rsid w:val="00DE44F1"/>
    <w:rsid w:val="00DE48A6"/>
    <w:rsid w:val="00DE5B22"/>
    <w:rsid w:val="00DE6FA3"/>
    <w:rsid w:val="00DF0249"/>
    <w:rsid w:val="00DF0572"/>
    <w:rsid w:val="00DF0675"/>
    <w:rsid w:val="00DF0ABB"/>
    <w:rsid w:val="00DF1A0E"/>
    <w:rsid w:val="00DF21E9"/>
    <w:rsid w:val="00DF2A9A"/>
    <w:rsid w:val="00DF2CD6"/>
    <w:rsid w:val="00DF4112"/>
    <w:rsid w:val="00DF4760"/>
    <w:rsid w:val="00DF54FC"/>
    <w:rsid w:val="00DF5E0C"/>
    <w:rsid w:val="00DF6714"/>
    <w:rsid w:val="00DF672E"/>
    <w:rsid w:val="00DF7124"/>
    <w:rsid w:val="00E00265"/>
    <w:rsid w:val="00E00779"/>
    <w:rsid w:val="00E00F14"/>
    <w:rsid w:val="00E02117"/>
    <w:rsid w:val="00E0245E"/>
    <w:rsid w:val="00E02ACF"/>
    <w:rsid w:val="00E02C4A"/>
    <w:rsid w:val="00E02D56"/>
    <w:rsid w:val="00E02DDE"/>
    <w:rsid w:val="00E033F6"/>
    <w:rsid w:val="00E03811"/>
    <w:rsid w:val="00E03B56"/>
    <w:rsid w:val="00E04605"/>
    <w:rsid w:val="00E04E29"/>
    <w:rsid w:val="00E04F22"/>
    <w:rsid w:val="00E04FE5"/>
    <w:rsid w:val="00E052C7"/>
    <w:rsid w:val="00E057D0"/>
    <w:rsid w:val="00E05F3A"/>
    <w:rsid w:val="00E0617E"/>
    <w:rsid w:val="00E06386"/>
    <w:rsid w:val="00E074B4"/>
    <w:rsid w:val="00E1118E"/>
    <w:rsid w:val="00E11334"/>
    <w:rsid w:val="00E126F3"/>
    <w:rsid w:val="00E1368F"/>
    <w:rsid w:val="00E13ADB"/>
    <w:rsid w:val="00E1472F"/>
    <w:rsid w:val="00E14D73"/>
    <w:rsid w:val="00E150B1"/>
    <w:rsid w:val="00E15130"/>
    <w:rsid w:val="00E15A76"/>
    <w:rsid w:val="00E15C46"/>
    <w:rsid w:val="00E164B3"/>
    <w:rsid w:val="00E16CE1"/>
    <w:rsid w:val="00E16D9E"/>
    <w:rsid w:val="00E17441"/>
    <w:rsid w:val="00E203EA"/>
    <w:rsid w:val="00E20414"/>
    <w:rsid w:val="00E20776"/>
    <w:rsid w:val="00E208EC"/>
    <w:rsid w:val="00E210AB"/>
    <w:rsid w:val="00E210DC"/>
    <w:rsid w:val="00E217EA"/>
    <w:rsid w:val="00E2200E"/>
    <w:rsid w:val="00E22807"/>
    <w:rsid w:val="00E23DA0"/>
    <w:rsid w:val="00E246D4"/>
    <w:rsid w:val="00E246EE"/>
    <w:rsid w:val="00E24EB4"/>
    <w:rsid w:val="00E24FC4"/>
    <w:rsid w:val="00E259E6"/>
    <w:rsid w:val="00E25E68"/>
    <w:rsid w:val="00E26625"/>
    <w:rsid w:val="00E26788"/>
    <w:rsid w:val="00E27052"/>
    <w:rsid w:val="00E27CEE"/>
    <w:rsid w:val="00E302E8"/>
    <w:rsid w:val="00E30492"/>
    <w:rsid w:val="00E3112B"/>
    <w:rsid w:val="00E3123D"/>
    <w:rsid w:val="00E31948"/>
    <w:rsid w:val="00E31B10"/>
    <w:rsid w:val="00E320ED"/>
    <w:rsid w:val="00E33AFB"/>
    <w:rsid w:val="00E34218"/>
    <w:rsid w:val="00E351A4"/>
    <w:rsid w:val="00E35310"/>
    <w:rsid w:val="00E3531A"/>
    <w:rsid w:val="00E358F7"/>
    <w:rsid w:val="00E36073"/>
    <w:rsid w:val="00E3655F"/>
    <w:rsid w:val="00E3662E"/>
    <w:rsid w:val="00E36EB3"/>
    <w:rsid w:val="00E37FDE"/>
    <w:rsid w:val="00E4032F"/>
    <w:rsid w:val="00E40E03"/>
    <w:rsid w:val="00E41912"/>
    <w:rsid w:val="00E42727"/>
    <w:rsid w:val="00E427EC"/>
    <w:rsid w:val="00E42931"/>
    <w:rsid w:val="00E43128"/>
    <w:rsid w:val="00E4326B"/>
    <w:rsid w:val="00E43A69"/>
    <w:rsid w:val="00E43CF9"/>
    <w:rsid w:val="00E44744"/>
    <w:rsid w:val="00E44878"/>
    <w:rsid w:val="00E45267"/>
    <w:rsid w:val="00E45314"/>
    <w:rsid w:val="00E45EF8"/>
    <w:rsid w:val="00E460DF"/>
    <w:rsid w:val="00E46282"/>
    <w:rsid w:val="00E46776"/>
    <w:rsid w:val="00E471A9"/>
    <w:rsid w:val="00E471D3"/>
    <w:rsid w:val="00E475FF"/>
    <w:rsid w:val="00E4789B"/>
    <w:rsid w:val="00E478C0"/>
    <w:rsid w:val="00E47C77"/>
    <w:rsid w:val="00E5082A"/>
    <w:rsid w:val="00E5087A"/>
    <w:rsid w:val="00E50AF1"/>
    <w:rsid w:val="00E50FE6"/>
    <w:rsid w:val="00E5120C"/>
    <w:rsid w:val="00E51B57"/>
    <w:rsid w:val="00E5216E"/>
    <w:rsid w:val="00E52717"/>
    <w:rsid w:val="00E527AA"/>
    <w:rsid w:val="00E52915"/>
    <w:rsid w:val="00E52FCB"/>
    <w:rsid w:val="00E5371F"/>
    <w:rsid w:val="00E53C49"/>
    <w:rsid w:val="00E5487E"/>
    <w:rsid w:val="00E548CC"/>
    <w:rsid w:val="00E54A47"/>
    <w:rsid w:val="00E5591F"/>
    <w:rsid w:val="00E559F3"/>
    <w:rsid w:val="00E55B73"/>
    <w:rsid w:val="00E573D8"/>
    <w:rsid w:val="00E576C4"/>
    <w:rsid w:val="00E57A89"/>
    <w:rsid w:val="00E57D23"/>
    <w:rsid w:val="00E600D5"/>
    <w:rsid w:val="00E60164"/>
    <w:rsid w:val="00E601D4"/>
    <w:rsid w:val="00E60D0E"/>
    <w:rsid w:val="00E60EFE"/>
    <w:rsid w:val="00E612EB"/>
    <w:rsid w:val="00E6151B"/>
    <w:rsid w:val="00E61BFC"/>
    <w:rsid w:val="00E62172"/>
    <w:rsid w:val="00E62B90"/>
    <w:rsid w:val="00E635F2"/>
    <w:rsid w:val="00E63606"/>
    <w:rsid w:val="00E63772"/>
    <w:rsid w:val="00E63D45"/>
    <w:rsid w:val="00E6429D"/>
    <w:rsid w:val="00E64394"/>
    <w:rsid w:val="00E64428"/>
    <w:rsid w:val="00E645AB"/>
    <w:rsid w:val="00E645DE"/>
    <w:rsid w:val="00E65142"/>
    <w:rsid w:val="00E6685A"/>
    <w:rsid w:val="00E66E36"/>
    <w:rsid w:val="00E67294"/>
    <w:rsid w:val="00E676B6"/>
    <w:rsid w:val="00E67C11"/>
    <w:rsid w:val="00E7004C"/>
    <w:rsid w:val="00E70238"/>
    <w:rsid w:val="00E704A9"/>
    <w:rsid w:val="00E7252E"/>
    <w:rsid w:val="00E726F6"/>
    <w:rsid w:val="00E73268"/>
    <w:rsid w:val="00E73316"/>
    <w:rsid w:val="00E73435"/>
    <w:rsid w:val="00E73825"/>
    <w:rsid w:val="00E73848"/>
    <w:rsid w:val="00E74656"/>
    <w:rsid w:val="00E7575B"/>
    <w:rsid w:val="00E757CE"/>
    <w:rsid w:val="00E75DF9"/>
    <w:rsid w:val="00E7652A"/>
    <w:rsid w:val="00E767DA"/>
    <w:rsid w:val="00E768AF"/>
    <w:rsid w:val="00E76A4E"/>
    <w:rsid w:val="00E773C0"/>
    <w:rsid w:val="00E774EE"/>
    <w:rsid w:val="00E7758A"/>
    <w:rsid w:val="00E775A2"/>
    <w:rsid w:val="00E778B6"/>
    <w:rsid w:val="00E77CF9"/>
    <w:rsid w:val="00E801B5"/>
    <w:rsid w:val="00E80255"/>
    <w:rsid w:val="00E805CF"/>
    <w:rsid w:val="00E80E0A"/>
    <w:rsid w:val="00E80F2A"/>
    <w:rsid w:val="00E812DA"/>
    <w:rsid w:val="00E82344"/>
    <w:rsid w:val="00E827AD"/>
    <w:rsid w:val="00E82938"/>
    <w:rsid w:val="00E83028"/>
    <w:rsid w:val="00E8307B"/>
    <w:rsid w:val="00E83579"/>
    <w:rsid w:val="00E83647"/>
    <w:rsid w:val="00E83750"/>
    <w:rsid w:val="00E83B72"/>
    <w:rsid w:val="00E83D43"/>
    <w:rsid w:val="00E8413C"/>
    <w:rsid w:val="00E84C82"/>
    <w:rsid w:val="00E84D64"/>
    <w:rsid w:val="00E8528F"/>
    <w:rsid w:val="00E854D4"/>
    <w:rsid w:val="00E8554E"/>
    <w:rsid w:val="00E85F87"/>
    <w:rsid w:val="00E86584"/>
    <w:rsid w:val="00E866BD"/>
    <w:rsid w:val="00E866CB"/>
    <w:rsid w:val="00E86A01"/>
    <w:rsid w:val="00E87408"/>
    <w:rsid w:val="00E87D10"/>
    <w:rsid w:val="00E90C8D"/>
    <w:rsid w:val="00E914C4"/>
    <w:rsid w:val="00E91610"/>
    <w:rsid w:val="00E91752"/>
    <w:rsid w:val="00E9220B"/>
    <w:rsid w:val="00E93405"/>
    <w:rsid w:val="00E934F5"/>
    <w:rsid w:val="00E938F9"/>
    <w:rsid w:val="00E93A36"/>
    <w:rsid w:val="00E93F56"/>
    <w:rsid w:val="00E9441E"/>
    <w:rsid w:val="00E945EB"/>
    <w:rsid w:val="00E9498A"/>
    <w:rsid w:val="00E94D9E"/>
    <w:rsid w:val="00E9587E"/>
    <w:rsid w:val="00E96961"/>
    <w:rsid w:val="00E96CCD"/>
    <w:rsid w:val="00E97E1A"/>
    <w:rsid w:val="00E97F44"/>
    <w:rsid w:val="00EA0615"/>
    <w:rsid w:val="00EA069C"/>
    <w:rsid w:val="00EA0836"/>
    <w:rsid w:val="00EA0BFB"/>
    <w:rsid w:val="00EA1435"/>
    <w:rsid w:val="00EA182A"/>
    <w:rsid w:val="00EA1AD8"/>
    <w:rsid w:val="00EA1D4E"/>
    <w:rsid w:val="00EA1FD5"/>
    <w:rsid w:val="00EA3260"/>
    <w:rsid w:val="00EA39CC"/>
    <w:rsid w:val="00EA4441"/>
    <w:rsid w:val="00EA5F7E"/>
    <w:rsid w:val="00EA64C7"/>
    <w:rsid w:val="00EA653E"/>
    <w:rsid w:val="00EA65E0"/>
    <w:rsid w:val="00EA7214"/>
    <w:rsid w:val="00EA72CF"/>
    <w:rsid w:val="00EA72EC"/>
    <w:rsid w:val="00EA731B"/>
    <w:rsid w:val="00EA771B"/>
    <w:rsid w:val="00EA77E3"/>
    <w:rsid w:val="00EB0304"/>
    <w:rsid w:val="00EB09CB"/>
    <w:rsid w:val="00EB0AE4"/>
    <w:rsid w:val="00EB11CB"/>
    <w:rsid w:val="00EB1304"/>
    <w:rsid w:val="00EB13F6"/>
    <w:rsid w:val="00EB1400"/>
    <w:rsid w:val="00EB1A9F"/>
    <w:rsid w:val="00EB1ECF"/>
    <w:rsid w:val="00EB22C1"/>
    <w:rsid w:val="00EB22C8"/>
    <w:rsid w:val="00EB275A"/>
    <w:rsid w:val="00EB2BA3"/>
    <w:rsid w:val="00EB31F3"/>
    <w:rsid w:val="00EB4229"/>
    <w:rsid w:val="00EB4AEF"/>
    <w:rsid w:val="00EB4C8A"/>
    <w:rsid w:val="00EB4E60"/>
    <w:rsid w:val="00EB550B"/>
    <w:rsid w:val="00EB6021"/>
    <w:rsid w:val="00EB6888"/>
    <w:rsid w:val="00EB6B1B"/>
    <w:rsid w:val="00EB6EDF"/>
    <w:rsid w:val="00EB7661"/>
    <w:rsid w:val="00EB786A"/>
    <w:rsid w:val="00EB799E"/>
    <w:rsid w:val="00EB7A2B"/>
    <w:rsid w:val="00EC0BF9"/>
    <w:rsid w:val="00EC1578"/>
    <w:rsid w:val="00EC16C5"/>
    <w:rsid w:val="00EC1C72"/>
    <w:rsid w:val="00EC2317"/>
    <w:rsid w:val="00EC2A53"/>
    <w:rsid w:val="00EC2AF6"/>
    <w:rsid w:val="00EC2D5E"/>
    <w:rsid w:val="00EC3089"/>
    <w:rsid w:val="00EC3318"/>
    <w:rsid w:val="00EC3784"/>
    <w:rsid w:val="00EC3B4C"/>
    <w:rsid w:val="00EC3CC9"/>
    <w:rsid w:val="00EC3FDB"/>
    <w:rsid w:val="00EC4DBF"/>
    <w:rsid w:val="00EC544B"/>
    <w:rsid w:val="00EC554E"/>
    <w:rsid w:val="00EC5949"/>
    <w:rsid w:val="00EC5E8E"/>
    <w:rsid w:val="00EC5F5D"/>
    <w:rsid w:val="00EC62A3"/>
    <w:rsid w:val="00EC680A"/>
    <w:rsid w:val="00EC6880"/>
    <w:rsid w:val="00ED07ED"/>
    <w:rsid w:val="00ED0928"/>
    <w:rsid w:val="00ED0B9E"/>
    <w:rsid w:val="00ED1612"/>
    <w:rsid w:val="00ED191A"/>
    <w:rsid w:val="00ED1F43"/>
    <w:rsid w:val="00ED2410"/>
    <w:rsid w:val="00ED3923"/>
    <w:rsid w:val="00ED3B3D"/>
    <w:rsid w:val="00ED4040"/>
    <w:rsid w:val="00ED4E2D"/>
    <w:rsid w:val="00ED5206"/>
    <w:rsid w:val="00ED5242"/>
    <w:rsid w:val="00ED57F9"/>
    <w:rsid w:val="00ED64EF"/>
    <w:rsid w:val="00ED679E"/>
    <w:rsid w:val="00ED6BB2"/>
    <w:rsid w:val="00ED7238"/>
    <w:rsid w:val="00ED77BD"/>
    <w:rsid w:val="00EE00F5"/>
    <w:rsid w:val="00EE0173"/>
    <w:rsid w:val="00EE0463"/>
    <w:rsid w:val="00EE068B"/>
    <w:rsid w:val="00EE0B31"/>
    <w:rsid w:val="00EE123A"/>
    <w:rsid w:val="00EE2420"/>
    <w:rsid w:val="00EE247E"/>
    <w:rsid w:val="00EE24EB"/>
    <w:rsid w:val="00EE2AAE"/>
    <w:rsid w:val="00EE2BED"/>
    <w:rsid w:val="00EE3297"/>
    <w:rsid w:val="00EE374B"/>
    <w:rsid w:val="00EE3D0F"/>
    <w:rsid w:val="00EE50DC"/>
    <w:rsid w:val="00EE5812"/>
    <w:rsid w:val="00EE582C"/>
    <w:rsid w:val="00EE625C"/>
    <w:rsid w:val="00EE630F"/>
    <w:rsid w:val="00EE6F8D"/>
    <w:rsid w:val="00EE722F"/>
    <w:rsid w:val="00EE75A6"/>
    <w:rsid w:val="00EE7656"/>
    <w:rsid w:val="00EE792A"/>
    <w:rsid w:val="00EE7E10"/>
    <w:rsid w:val="00EE7E2E"/>
    <w:rsid w:val="00EE7EA4"/>
    <w:rsid w:val="00EF1938"/>
    <w:rsid w:val="00EF1ADD"/>
    <w:rsid w:val="00EF1B13"/>
    <w:rsid w:val="00EF2594"/>
    <w:rsid w:val="00EF2785"/>
    <w:rsid w:val="00EF295F"/>
    <w:rsid w:val="00EF2ED2"/>
    <w:rsid w:val="00EF2EEE"/>
    <w:rsid w:val="00EF380B"/>
    <w:rsid w:val="00EF3BAF"/>
    <w:rsid w:val="00EF3D30"/>
    <w:rsid w:val="00EF420E"/>
    <w:rsid w:val="00EF5346"/>
    <w:rsid w:val="00EF5824"/>
    <w:rsid w:val="00EF5BEC"/>
    <w:rsid w:val="00EF5E60"/>
    <w:rsid w:val="00EF64C9"/>
    <w:rsid w:val="00EF6A89"/>
    <w:rsid w:val="00EF6D59"/>
    <w:rsid w:val="00EF7337"/>
    <w:rsid w:val="00EF76B9"/>
    <w:rsid w:val="00EF79AB"/>
    <w:rsid w:val="00EF79F3"/>
    <w:rsid w:val="00EF7A37"/>
    <w:rsid w:val="00F01760"/>
    <w:rsid w:val="00F019E9"/>
    <w:rsid w:val="00F01A8A"/>
    <w:rsid w:val="00F02424"/>
    <w:rsid w:val="00F02747"/>
    <w:rsid w:val="00F033F0"/>
    <w:rsid w:val="00F034A0"/>
    <w:rsid w:val="00F036AC"/>
    <w:rsid w:val="00F03F23"/>
    <w:rsid w:val="00F04872"/>
    <w:rsid w:val="00F0587A"/>
    <w:rsid w:val="00F05D86"/>
    <w:rsid w:val="00F06227"/>
    <w:rsid w:val="00F06AA4"/>
    <w:rsid w:val="00F06AB9"/>
    <w:rsid w:val="00F06DF8"/>
    <w:rsid w:val="00F076F3"/>
    <w:rsid w:val="00F0799A"/>
    <w:rsid w:val="00F07A53"/>
    <w:rsid w:val="00F07BF3"/>
    <w:rsid w:val="00F07F3D"/>
    <w:rsid w:val="00F103CC"/>
    <w:rsid w:val="00F11136"/>
    <w:rsid w:val="00F1142B"/>
    <w:rsid w:val="00F114D9"/>
    <w:rsid w:val="00F117C5"/>
    <w:rsid w:val="00F11BB5"/>
    <w:rsid w:val="00F125EF"/>
    <w:rsid w:val="00F12C30"/>
    <w:rsid w:val="00F12D45"/>
    <w:rsid w:val="00F12F36"/>
    <w:rsid w:val="00F132D4"/>
    <w:rsid w:val="00F1338B"/>
    <w:rsid w:val="00F133D6"/>
    <w:rsid w:val="00F135BF"/>
    <w:rsid w:val="00F13747"/>
    <w:rsid w:val="00F13F1E"/>
    <w:rsid w:val="00F1417B"/>
    <w:rsid w:val="00F14C70"/>
    <w:rsid w:val="00F14CF1"/>
    <w:rsid w:val="00F1570B"/>
    <w:rsid w:val="00F15A3E"/>
    <w:rsid w:val="00F15DB7"/>
    <w:rsid w:val="00F16D0A"/>
    <w:rsid w:val="00F170A3"/>
    <w:rsid w:val="00F17370"/>
    <w:rsid w:val="00F17CFB"/>
    <w:rsid w:val="00F17F4F"/>
    <w:rsid w:val="00F200A0"/>
    <w:rsid w:val="00F202D7"/>
    <w:rsid w:val="00F20E5A"/>
    <w:rsid w:val="00F21080"/>
    <w:rsid w:val="00F224D8"/>
    <w:rsid w:val="00F22A10"/>
    <w:rsid w:val="00F22C29"/>
    <w:rsid w:val="00F2362C"/>
    <w:rsid w:val="00F23D55"/>
    <w:rsid w:val="00F24445"/>
    <w:rsid w:val="00F244A5"/>
    <w:rsid w:val="00F252D1"/>
    <w:rsid w:val="00F25CDD"/>
    <w:rsid w:val="00F26724"/>
    <w:rsid w:val="00F26C8A"/>
    <w:rsid w:val="00F27029"/>
    <w:rsid w:val="00F273FC"/>
    <w:rsid w:val="00F275D4"/>
    <w:rsid w:val="00F27644"/>
    <w:rsid w:val="00F278AB"/>
    <w:rsid w:val="00F27CF2"/>
    <w:rsid w:val="00F304D4"/>
    <w:rsid w:val="00F30861"/>
    <w:rsid w:val="00F30B6D"/>
    <w:rsid w:val="00F30E3E"/>
    <w:rsid w:val="00F31136"/>
    <w:rsid w:val="00F3191E"/>
    <w:rsid w:val="00F31C46"/>
    <w:rsid w:val="00F31C9D"/>
    <w:rsid w:val="00F32118"/>
    <w:rsid w:val="00F32265"/>
    <w:rsid w:val="00F32691"/>
    <w:rsid w:val="00F32F50"/>
    <w:rsid w:val="00F33642"/>
    <w:rsid w:val="00F33946"/>
    <w:rsid w:val="00F33B2D"/>
    <w:rsid w:val="00F33D6C"/>
    <w:rsid w:val="00F345C8"/>
    <w:rsid w:val="00F34B99"/>
    <w:rsid w:val="00F350F7"/>
    <w:rsid w:val="00F3576F"/>
    <w:rsid w:val="00F36091"/>
    <w:rsid w:val="00F36DFC"/>
    <w:rsid w:val="00F3774E"/>
    <w:rsid w:val="00F37CA7"/>
    <w:rsid w:val="00F40097"/>
    <w:rsid w:val="00F4071F"/>
    <w:rsid w:val="00F41039"/>
    <w:rsid w:val="00F4217A"/>
    <w:rsid w:val="00F425F6"/>
    <w:rsid w:val="00F428AD"/>
    <w:rsid w:val="00F4336E"/>
    <w:rsid w:val="00F436D5"/>
    <w:rsid w:val="00F43A29"/>
    <w:rsid w:val="00F450D6"/>
    <w:rsid w:val="00F452A1"/>
    <w:rsid w:val="00F45599"/>
    <w:rsid w:val="00F456E7"/>
    <w:rsid w:val="00F456EA"/>
    <w:rsid w:val="00F46131"/>
    <w:rsid w:val="00F461F0"/>
    <w:rsid w:val="00F468C1"/>
    <w:rsid w:val="00F46A85"/>
    <w:rsid w:val="00F46BF9"/>
    <w:rsid w:val="00F46E94"/>
    <w:rsid w:val="00F470EB"/>
    <w:rsid w:val="00F4759D"/>
    <w:rsid w:val="00F50216"/>
    <w:rsid w:val="00F50626"/>
    <w:rsid w:val="00F507D4"/>
    <w:rsid w:val="00F50BE3"/>
    <w:rsid w:val="00F50DBA"/>
    <w:rsid w:val="00F50EBB"/>
    <w:rsid w:val="00F50EFF"/>
    <w:rsid w:val="00F52377"/>
    <w:rsid w:val="00F52C34"/>
    <w:rsid w:val="00F52DAB"/>
    <w:rsid w:val="00F5348B"/>
    <w:rsid w:val="00F5355E"/>
    <w:rsid w:val="00F53806"/>
    <w:rsid w:val="00F53DB3"/>
    <w:rsid w:val="00F54018"/>
    <w:rsid w:val="00F543F0"/>
    <w:rsid w:val="00F54D18"/>
    <w:rsid w:val="00F55461"/>
    <w:rsid w:val="00F5549F"/>
    <w:rsid w:val="00F56176"/>
    <w:rsid w:val="00F56AE8"/>
    <w:rsid w:val="00F57606"/>
    <w:rsid w:val="00F576DA"/>
    <w:rsid w:val="00F57917"/>
    <w:rsid w:val="00F57E30"/>
    <w:rsid w:val="00F609C1"/>
    <w:rsid w:val="00F60D23"/>
    <w:rsid w:val="00F61CC5"/>
    <w:rsid w:val="00F623CB"/>
    <w:rsid w:val="00F628B5"/>
    <w:rsid w:val="00F63140"/>
    <w:rsid w:val="00F63254"/>
    <w:rsid w:val="00F63381"/>
    <w:rsid w:val="00F634A8"/>
    <w:rsid w:val="00F6496C"/>
    <w:rsid w:val="00F64E57"/>
    <w:rsid w:val="00F654CE"/>
    <w:rsid w:val="00F66238"/>
    <w:rsid w:val="00F66AD8"/>
    <w:rsid w:val="00F670F8"/>
    <w:rsid w:val="00F67735"/>
    <w:rsid w:val="00F6799B"/>
    <w:rsid w:val="00F67A0B"/>
    <w:rsid w:val="00F67CF6"/>
    <w:rsid w:val="00F67D05"/>
    <w:rsid w:val="00F70192"/>
    <w:rsid w:val="00F701CB"/>
    <w:rsid w:val="00F704E0"/>
    <w:rsid w:val="00F709DF"/>
    <w:rsid w:val="00F71599"/>
    <w:rsid w:val="00F71BE8"/>
    <w:rsid w:val="00F71D58"/>
    <w:rsid w:val="00F72208"/>
    <w:rsid w:val="00F722D3"/>
    <w:rsid w:val="00F735B9"/>
    <w:rsid w:val="00F73F4F"/>
    <w:rsid w:val="00F748AA"/>
    <w:rsid w:val="00F74DBF"/>
    <w:rsid w:val="00F74F5F"/>
    <w:rsid w:val="00F74F8E"/>
    <w:rsid w:val="00F750DA"/>
    <w:rsid w:val="00F7515F"/>
    <w:rsid w:val="00F7587C"/>
    <w:rsid w:val="00F7676E"/>
    <w:rsid w:val="00F77456"/>
    <w:rsid w:val="00F80BD2"/>
    <w:rsid w:val="00F81D29"/>
    <w:rsid w:val="00F82027"/>
    <w:rsid w:val="00F8213D"/>
    <w:rsid w:val="00F82221"/>
    <w:rsid w:val="00F8286E"/>
    <w:rsid w:val="00F82918"/>
    <w:rsid w:val="00F82BBD"/>
    <w:rsid w:val="00F83A42"/>
    <w:rsid w:val="00F83CB0"/>
    <w:rsid w:val="00F84BAD"/>
    <w:rsid w:val="00F84D7F"/>
    <w:rsid w:val="00F8550A"/>
    <w:rsid w:val="00F855F1"/>
    <w:rsid w:val="00F85DCE"/>
    <w:rsid w:val="00F86FD5"/>
    <w:rsid w:val="00F87024"/>
    <w:rsid w:val="00F877E1"/>
    <w:rsid w:val="00F87BE6"/>
    <w:rsid w:val="00F87C34"/>
    <w:rsid w:val="00F90FD8"/>
    <w:rsid w:val="00F910AC"/>
    <w:rsid w:val="00F91251"/>
    <w:rsid w:val="00F9160E"/>
    <w:rsid w:val="00F91C4D"/>
    <w:rsid w:val="00F91C54"/>
    <w:rsid w:val="00F91EC1"/>
    <w:rsid w:val="00F91EC7"/>
    <w:rsid w:val="00F923EC"/>
    <w:rsid w:val="00F9249F"/>
    <w:rsid w:val="00F92CD9"/>
    <w:rsid w:val="00F92D98"/>
    <w:rsid w:val="00F92ED8"/>
    <w:rsid w:val="00F92FD9"/>
    <w:rsid w:val="00F93401"/>
    <w:rsid w:val="00F9376B"/>
    <w:rsid w:val="00F95E45"/>
    <w:rsid w:val="00F96147"/>
    <w:rsid w:val="00F96661"/>
    <w:rsid w:val="00F96BC8"/>
    <w:rsid w:val="00F96E82"/>
    <w:rsid w:val="00F96F5E"/>
    <w:rsid w:val="00F97AB4"/>
    <w:rsid w:val="00F97ADF"/>
    <w:rsid w:val="00FA01D8"/>
    <w:rsid w:val="00FA0D88"/>
    <w:rsid w:val="00FA14E9"/>
    <w:rsid w:val="00FA262C"/>
    <w:rsid w:val="00FA2A51"/>
    <w:rsid w:val="00FA2B9C"/>
    <w:rsid w:val="00FA2C20"/>
    <w:rsid w:val="00FA2C2B"/>
    <w:rsid w:val="00FA3C9D"/>
    <w:rsid w:val="00FA44F4"/>
    <w:rsid w:val="00FA5400"/>
    <w:rsid w:val="00FA54FA"/>
    <w:rsid w:val="00FA5BB5"/>
    <w:rsid w:val="00FA65E2"/>
    <w:rsid w:val="00FA6684"/>
    <w:rsid w:val="00FA6A4B"/>
    <w:rsid w:val="00FA6DBF"/>
    <w:rsid w:val="00FA6FA8"/>
    <w:rsid w:val="00FA708D"/>
    <w:rsid w:val="00FA731E"/>
    <w:rsid w:val="00FA759A"/>
    <w:rsid w:val="00FA7EC3"/>
    <w:rsid w:val="00FB02C7"/>
    <w:rsid w:val="00FB0658"/>
    <w:rsid w:val="00FB0E8D"/>
    <w:rsid w:val="00FB11CF"/>
    <w:rsid w:val="00FB185D"/>
    <w:rsid w:val="00FB23F0"/>
    <w:rsid w:val="00FB2578"/>
    <w:rsid w:val="00FB25D1"/>
    <w:rsid w:val="00FB2797"/>
    <w:rsid w:val="00FB2B38"/>
    <w:rsid w:val="00FB32D6"/>
    <w:rsid w:val="00FB3C45"/>
    <w:rsid w:val="00FB4845"/>
    <w:rsid w:val="00FB485E"/>
    <w:rsid w:val="00FB48EE"/>
    <w:rsid w:val="00FB4F93"/>
    <w:rsid w:val="00FB5199"/>
    <w:rsid w:val="00FB5D17"/>
    <w:rsid w:val="00FB6096"/>
    <w:rsid w:val="00FB6415"/>
    <w:rsid w:val="00FB6903"/>
    <w:rsid w:val="00FB70D0"/>
    <w:rsid w:val="00FB7511"/>
    <w:rsid w:val="00FB7515"/>
    <w:rsid w:val="00FB7C1D"/>
    <w:rsid w:val="00FC0F4D"/>
    <w:rsid w:val="00FC14E8"/>
    <w:rsid w:val="00FC19BF"/>
    <w:rsid w:val="00FC1C4B"/>
    <w:rsid w:val="00FC225C"/>
    <w:rsid w:val="00FC24D8"/>
    <w:rsid w:val="00FC2D78"/>
    <w:rsid w:val="00FC2E79"/>
    <w:rsid w:val="00FC31AC"/>
    <w:rsid w:val="00FC31B2"/>
    <w:rsid w:val="00FC38B2"/>
    <w:rsid w:val="00FC461C"/>
    <w:rsid w:val="00FC4EC8"/>
    <w:rsid w:val="00FC5707"/>
    <w:rsid w:val="00FC59C6"/>
    <w:rsid w:val="00FC6014"/>
    <w:rsid w:val="00FC60F4"/>
    <w:rsid w:val="00FC6358"/>
    <w:rsid w:val="00FC79B8"/>
    <w:rsid w:val="00FC7B39"/>
    <w:rsid w:val="00FD076D"/>
    <w:rsid w:val="00FD132B"/>
    <w:rsid w:val="00FD132D"/>
    <w:rsid w:val="00FD1637"/>
    <w:rsid w:val="00FD18A6"/>
    <w:rsid w:val="00FD1A4B"/>
    <w:rsid w:val="00FD1D47"/>
    <w:rsid w:val="00FD1E99"/>
    <w:rsid w:val="00FD207D"/>
    <w:rsid w:val="00FD3051"/>
    <w:rsid w:val="00FD320D"/>
    <w:rsid w:val="00FD3536"/>
    <w:rsid w:val="00FD4497"/>
    <w:rsid w:val="00FD53F6"/>
    <w:rsid w:val="00FD56FD"/>
    <w:rsid w:val="00FD63A7"/>
    <w:rsid w:val="00FD6705"/>
    <w:rsid w:val="00FD7C22"/>
    <w:rsid w:val="00FE042D"/>
    <w:rsid w:val="00FE077F"/>
    <w:rsid w:val="00FE07F5"/>
    <w:rsid w:val="00FE0843"/>
    <w:rsid w:val="00FE0DF2"/>
    <w:rsid w:val="00FE19A2"/>
    <w:rsid w:val="00FE1A39"/>
    <w:rsid w:val="00FE1D84"/>
    <w:rsid w:val="00FE239C"/>
    <w:rsid w:val="00FE23DE"/>
    <w:rsid w:val="00FE28CB"/>
    <w:rsid w:val="00FE2942"/>
    <w:rsid w:val="00FE3B39"/>
    <w:rsid w:val="00FE3DA0"/>
    <w:rsid w:val="00FE3EAE"/>
    <w:rsid w:val="00FE4229"/>
    <w:rsid w:val="00FE4F6A"/>
    <w:rsid w:val="00FE65EE"/>
    <w:rsid w:val="00FE6AFA"/>
    <w:rsid w:val="00FE6F93"/>
    <w:rsid w:val="00FE7244"/>
    <w:rsid w:val="00FE75FE"/>
    <w:rsid w:val="00FE78FD"/>
    <w:rsid w:val="00FE7E67"/>
    <w:rsid w:val="00FE7F9D"/>
    <w:rsid w:val="00FF00F7"/>
    <w:rsid w:val="00FF0C49"/>
    <w:rsid w:val="00FF201A"/>
    <w:rsid w:val="00FF2ECC"/>
    <w:rsid w:val="00FF3699"/>
    <w:rsid w:val="00FF4DB3"/>
    <w:rsid w:val="00FF4FE4"/>
    <w:rsid w:val="00FF52CE"/>
    <w:rsid w:val="00FF56BF"/>
    <w:rsid w:val="00FF5DE6"/>
    <w:rsid w:val="00FF7043"/>
    <w:rsid w:val="00FF721A"/>
    <w:rsid w:val="00FF7FD3"/>
    <w:rsid w:val="021C6DCE"/>
    <w:rsid w:val="031E276F"/>
    <w:rsid w:val="03A32C74"/>
    <w:rsid w:val="04115E30"/>
    <w:rsid w:val="04267B2D"/>
    <w:rsid w:val="04721986"/>
    <w:rsid w:val="06012514"/>
    <w:rsid w:val="0733430F"/>
    <w:rsid w:val="07746E01"/>
    <w:rsid w:val="08346591"/>
    <w:rsid w:val="087E4632"/>
    <w:rsid w:val="089615E5"/>
    <w:rsid w:val="08B35707"/>
    <w:rsid w:val="09462F47"/>
    <w:rsid w:val="096B1B3E"/>
    <w:rsid w:val="098E3A7F"/>
    <w:rsid w:val="0A5E78F5"/>
    <w:rsid w:val="0A7333A0"/>
    <w:rsid w:val="0BF16C73"/>
    <w:rsid w:val="0CC31C91"/>
    <w:rsid w:val="0D0429D6"/>
    <w:rsid w:val="0D2B1D29"/>
    <w:rsid w:val="0DC73E45"/>
    <w:rsid w:val="0DF90060"/>
    <w:rsid w:val="0E4E60FC"/>
    <w:rsid w:val="0E7306EC"/>
    <w:rsid w:val="0EAE7F1E"/>
    <w:rsid w:val="0F692FC4"/>
    <w:rsid w:val="0FEE5277"/>
    <w:rsid w:val="102D2243"/>
    <w:rsid w:val="10302681"/>
    <w:rsid w:val="10374968"/>
    <w:rsid w:val="103E7FAD"/>
    <w:rsid w:val="109E6C9D"/>
    <w:rsid w:val="11290C5D"/>
    <w:rsid w:val="11B06C88"/>
    <w:rsid w:val="12350842"/>
    <w:rsid w:val="12443874"/>
    <w:rsid w:val="12902616"/>
    <w:rsid w:val="14157276"/>
    <w:rsid w:val="15440C1C"/>
    <w:rsid w:val="154554A1"/>
    <w:rsid w:val="15D447BC"/>
    <w:rsid w:val="167F131F"/>
    <w:rsid w:val="167F30CD"/>
    <w:rsid w:val="177533E3"/>
    <w:rsid w:val="17B31280"/>
    <w:rsid w:val="183879D7"/>
    <w:rsid w:val="186035AD"/>
    <w:rsid w:val="1C280B0A"/>
    <w:rsid w:val="1D8B2357"/>
    <w:rsid w:val="1DEC307E"/>
    <w:rsid w:val="1E1B5AB8"/>
    <w:rsid w:val="1E4C7D38"/>
    <w:rsid w:val="1EAC4C7B"/>
    <w:rsid w:val="1EB96344"/>
    <w:rsid w:val="1ED02718"/>
    <w:rsid w:val="1F095375"/>
    <w:rsid w:val="2003323B"/>
    <w:rsid w:val="202D468D"/>
    <w:rsid w:val="20AE2995"/>
    <w:rsid w:val="211C4AB2"/>
    <w:rsid w:val="218E0668"/>
    <w:rsid w:val="21FB03A6"/>
    <w:rsid w:val="2266451A"/>
    <w:rsid w:val="230961F8"/>
    <w:rsid w:val="23403BE4"/>
    <w:rsid w:val="245A632E"/>
    <w:rsid w:val="250070F1"/>
    <w:rsid w:val="25157918"/>
    <w:rsid w:val="25186BC6"/>
    <w:rsid w:val="257F09F3"/>
    <w:rsid w:val="25E847EB"/>
    <w:rsid w:val="270F7F12"/>
    <w:rsid w:val="272E26D1"/>
    <w:rsid w:val="28250C5E"/>
    <w:rsid w:val="298955F8"/>
    <w:rsid w:val="29EB48A9"/>
    <w:rsid w:val="2A6662D6"/>
    <w:rsid w:val="2BE772F2"/>
    <w:rsid w:val="2C0C4FAB"/>
    <w:rsid w:val="2CFC5020"/>
    <w:rsid w:val="2D12498B"/>
    <w:rsid w:val="2DA60AE7"/>
    <w:rsid w:val="2DAC0D4C"/>
    <w:rsid w:val="2EBC4A66"/>
    <w:rsid w:val="2ED57C83"/>
    <w:rsid w:val="2F590507"/>
    <w:rsid w:val="2FAC4ADB"/>
    <w:rsid w:val="2FCD13DA"/>
    <w:rsid w:val="30314FE0"/>
    <w:rsid w:val="30404D55"/>
    <w:rsid w:val="312D39F9"/>
    <w:rsid w:val="318079FC"/>
    <w:rsid w:val="320E382B"/>
    <w:rsid w:val="322C7AB0"/>
    <w:rsid w:val="32D13927"/>
    <w:rsid w:val="32EB2EA4"/>
    <w:rsid w:val="33A06705"/>
    <w:rsid w:val="33F7044F"/>
    <w:rsid w:val="34DF6376"/>
    <w:rsid w:val="358362DE"/>
    <w:rsid w:val="359027A9"/>
    <w:rsid w:val="362353CB"/>
    <w:rsid w:val="364E2BCE"/>
    <w:rsid w:val="369A0B1A"/>
    <w:rsid w:val="37715064"/>
    <w:rsid w:val="382F386A"/>
    <w:rsid w:val="38BB7B3D"/>
    <w:rsid w:val="390869EF"/>
    <w:rsid w:val="395E1DCF"/>
    <w:rsid w:val="396B144B"/>
    <w:rsid w:val="3AD43138"/>
    <w:rsid w:val="3B824942"/>
    <w:rsid w:val="3BB56A86"/>
    <w:rsid w:val="3BEB6784"/>
    <w:rsid w:val="3C152386"/>
    <w:rsid w:val="3D357E6D"/>
    <w:rsid w:val="3D7E0881"/>
    <w:rsid w:val="3E1A5306"/>
    <w:rsid w:val="3F0D6C18"/>
    <w:rsid w:val="3F836EDA"/>
    <w:rsid w:val="3FC92808"/>
    <w:rsid w:val="416D6F81"/>
    <w:rsid w:val="42135AB1"/>
    <w:rsid w:val="425F59DD"/>
    <w:rsid w:val="42F223AD"/>
    <w:rsid w:val="431F6F1A"/>
    <w:rsid w:val="43576568"/>
    <w:rsid w:val="43617533"/>
    <w:rsid w:val="43672D9B"/>
    <w:rsid w:val="439715AF"/>
    <w:rsid w:val="43EA577A"/>
    <w:rsid w:val="43F14D5A"/>
    <w:rsid w:val="44610966"/>
    <w:rsid w:val="44A26055"/>
    <w:rsid w:val="44A771C7"/>
    <w:rsid w:val="45136051"/>
    <w:rsid w:val="46560EA5"/>
    <w:rsid w:val="477737C9"/>
    <w:rsid w:val="47ED5839"/>
    <w:rsid w:val="48C90054"/>
    <w:rsid w:val="4972249A"/>
    <w:rsid w:val="49BE56DF"/>
    <w:rsid w:val="49FB423D"/>
    <w:rsid w:val="4A242176"/>
    <w:rsid w:val="4A4C4A99"/>
    <w:rsid w:val="4ACA1E61"/>
    <w:rsid w:val="4AF70D07"/>
    <w:rsid w:val="4B490FD8"/>
    <w:rsid w:val="4B78366B"/>
    <w:rsid w:val="4BB82157"/>
    <w:rsid w:val="4BD30715"/>
    <w:rsid w:val="4C48746A"/>
    <w:rsid w:val="4CDB65A8"/>
    <w:rsid w:val="4CDE013B"/>
    <w:rsid w:val="4CE4545C"/>
    <w:rsid w:val="4D8C33FE"/>
    <w:rsid w:val="4D930C30"/>
    <w:rsid w:val="50CE309B"/>
    <w:rsid w:val="50FB4B23"/>
    <w:rsid w:val="51A20BA7"/>
    <w:rsid w:val="528B1ED6"/>
    <w:rsid w:val="5294302D"/>
    <w:rsid w:val="529C40E3"/>
    <w:rsid w:val="52AD557B"/>
    <w:rsid w:val="52F67C97"/>
    <w:rsid w:val="535B5A8D"/>
    <w:rsid w:val="53DD24E1"/>
    <w:rsid w:val="54181E8F"/>
    <w:rsid w:val="543D2D68"/>
    <w:rsid w:val="54952A2B"/>
    <w:rsid w:val="55674E7D"/>
    <w:rsid w:val="557B0928"/>
    <w:rsid w:val="559519EA"/>
    <w:rsid w:val="561F3061"/>
    <w:rsid w:val="56821842"/>
    <w:rsid w:val="577D0987"/>
    <w:rsid w:val="583F3E8F"/>
    <w:rsid w:val="5A6E0A5B"/>
    <w:rsid w:val="5ABF12B7"/>
    <w:rsid w:val="5AD20FEA"/>
    <w:rsid w:val="5AD57CFE"/>
    <w:rsid w:val="5AFD4CE6"/>
    <w:rsid w:val="5B4F43E9"/>
    <w:rsid w:val="5B51309A"/>
    <w:rsid w:val="5D656145"/>
    <w:rsid w:val="5EDD61AF"/>
    <w:rsid w:val="5F131BD1"/>
    <w:rsid w:val="5F6917F1"/>
    <w:rsid w:val="604069F6"/>
    <w:rsid w:val="622C5484"/>
    <w:rsid w:val="625633EF"/>
    <w:rsid w:val="63B30E47"/>
    <w:rsid w:val="64BC1315"/>
    <w:rsid w:val="64CC2606"/>
    <w:rsid w:val="655922F4"/>
    <w:rsid w:val="677B6565"/>
    <w:rsid w:val="67982C74"/>
    <w:rsid w:val="679909C4"/>
    <w:rsid w:val="67BD26DA"/>
    <w:rsid w:val="67F80EF2"/>
    <w:rsid w:val="69220F43"/>
    <w:rsid w:val="693D7F76"/>
    <w:rsid w:val="69563423"/>
    <w:rsid w:val="69F20B35"/>
    <w:rsid w:val="6A7A0D56"/>
    <w:rsid w:val="6AE368FC"/>
    <w:rsid w:val="6B1270A8"/>
    <w:rsid w:val="6B272C8C"/>
    <w:rsid w:val="6B596BBE"/>
    <w:rsid w:val="6D733121"/>
    <w:rsid w:val="6DCD1A25"/>
    <w:rsid w:val="6DDA5CF2"/>
    <w:rsid w:val="6DEE5CE3"/>
    <w:rsid w:val="6EC407F2"/>
    <w:rsid w:val="6EDF1931"/>
    <w:rsid w:val="6F2E312F"/>
    <w:rsid w:val="704C6CF1"/>
    <w:rsid w:val="71B623D0"/>
    <w:rsid w:val="71BB412E"/>
    <w:rsid w:val="72602CB8"/>
    <w:rsid w:val="72DD00D4"/>
    <w:rsid w:val="73134A5B"/>
    <w:rsid w:val="73612AB3"/>
    <w:rsid w:val="736B3932"/>
    <w:rsid w:val="742D6E39"/>
    <w:rsid w:val="743D52CE"/>
    <w:rsid w:val="743E495E"/>
    <w:rsid w:val="74736088"/>
    <w:rsid w:val="747607E0"/>
    <w:rsid w:val="751F2C26"/>
    <w:rsid w:val="7622223A"/>
    <w:rsid w:val="764D37C3"/>
    <w:rsid w:val="77A92C7B"/>
    <w:rsid w:val="77B21B30"/>
    <w:rsid w:val="77DA1086"/>
    <w:rsid w:val="77E51F05"/>
    <w:rsid w:val="79AD6A52"/>
    <w:rsid w:val="7AC53928"/>
    <w:rsid w:val="7AEC5358"/>
    <w:rsid w:val="7B402185"/>
    <w:rsid w:val="7BAE6AB2"/>
    <w:rsid w:val="7BE51067"/>
    <w:rsid w:val="7BFA4A40"/>
    <w:rsid w:val="7C553C48"/>
    <w:rsid w:val="7CB43C54"/>
    <w:rsid w:val="7CE56503"/>
    <w:rsid w:val="7CF36E72"/>
    <w:rsid w:val="7D0813DC"/>
    <w:rsid w:val="7D603DDC"/>
    <w:rsid w:val="7D8B1361"/>
    <w:rsid w:val="7E8104AE"/>
    <w:rsid w:val="7EEC1DCB"/>
    <w:rsid w:val="7EFB0260"/>
    <w:rsid w:val="7F403D55"/>
    <w:rsid w:val="E7FFB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ocked="1"/>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name="footnote reference"/>
    <w:lsdException w:qFormat="1" w:unhideWhenUsed="0" w:uiPriority="0" w:name="annotation reference"/>
    <w:lsdException w:unhideWhenUsed="0" w:uiPriority="0" w:semiHidden="0" w:name="line number" w:locked="1"/>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ocked="1"/>
    <w:lsdException w:unhideWhenUsed="0" w:uiPriority="0" w:semiHidden="0" w:name="macro"/>
    <w:lsdException w:unhideWhenUsed="0" w:uiPriority="0" w:semiHidden="0" w:name="toa heading" w:locked="1"/>
    <w:lsdException w:unhideWhenUsed="0" w:uiPriority="0" w:semiHidden="0" w:name="List" w:locked="1"/>
    <w:lsdException w:unhideWhenUsed="0" w:uiPriority="0" w:semiHidden="0" w:name="List Bullet"/>
    <w:lsdException w:unhideWhenUsed="0" w:uiPriority="0" w:semiHidden="0" w:name="List Number"/>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ocked="1"/>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ocked="1"/>
    <w:lsdException w:qFormat="1"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99" w:semiHidden="0" w:name="Hyperlink"/>
    <w:lsdException w:qFormat="1" w:unhideWhenUsed="0" w:uiPriority="0" w:semiHidden="0" w:name="FollowedHyperlink"/>
    <w:lsdException w:qFormat="1" w:unhideWhenUsed="0" w:uiPriority="0" w:semiHidden="0" w:name="Strong" w:locked="1"/>
    <w:lsdException w:qFormat="1" w:unhideWhenUsed="0" w:uiPriority="20" w:semiHidden="0" w:name="Emphasis" w:locked="1"/>
    <w:lsdException w:qFormat="1" w:unhideWhenUsed="0" w:uiPriority="0" w:name="Document Map"/>
    <w:lsdException w:unhideWhenUsed="0" w:uiPriority="0" w:semiHidden="0" w:name="Plain Text" w:locked="1"/>
    <w:lsdException w:unhideWhenUsed="0" w:uiPriority="0" w:semiHidden="0" w:name="E-mail Signature" w:locked="1"/>
    <w:lsdException w:qFormat="1"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7"/>
    <w:unhideWhenUsed/>
    <w:qFormat/>
    <w:locked/>
    <w:uiPriority w:val="0"/>
    <w:pPr>
      <w:keepNext/>
      <w:keepLines/>
      <w:spacing w:before="260" w:after="260" w:line="416" w:lineRule="auto"/>
      <w:outlineLvl w:val="1"/>
    </w:pPr>
    <w:rPr>
      <w:rFonts w:ascii="等线 Light" w:hAnsi="等线 Light" w:eastAsia="等线 Light"/>
      <w:b/>
      <w:bCs/>
      <w:sz w:val="32"/>
      <w:szCs w:val="32"/>
    </w:rPr>
  </w:style>
  <w:style w:type="paragraph" w:styleId="3">
    <w:name w:val="heading 3"/>
    <w:basedOn w:val="1"/>
    <w:next w:val="1"/>
    <w:link w:val="48"/>
    <w:qFormat/>
    <w:locked/>
    <w:uiPriority w:val="9"/>
    <w:pPr>
      <w:widowControl/>
      <w:spacing w:before="100" w:beforeAutospacing="1" w:after="100" w:afterAutospacing="1"/>
      <w:jc w:val="left"/>
      <w:outlineLvl w:val="2"/>
    </w:pPr>
    <w:rPr>
      <w:rFonts w:ascii="宋体" w:hAnsi="宋体"/>
      <w:b/>
      <w:bCs/>
      <w:kern w:val="0"/>
      <w:sz w:val="27"/>
      <w:szCs w:val="27"/>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39"/>
    <w:pPr>
      <w:tabs>
        <w:tab w:val="right" w:leader="dot" w:pos="9241"/>
      </w:tabs>
      <w:ind w:firstLine="500" w:firstLineChars="500"/>
      <w:jc w:val="left"/>
    </w:pPr>
    <w:rPr>
      <w:rFonts w:ascii="宋体"/>
      <w:szCs w:val="21"/>
    </w:rPr>
  </w:style>
  <w:style w:type="paragraph" w:styleId="5">
    <w:name w:val="index 8"/>
    <w:basedOn w:val="1"/>
    <w:next w:val="1"/>
    <w:semiHidden/>
    <w:qFormat/>
    <w:uiPriority w:val="0"/>
    <w:pPr>
      <w:ind w:left="1680" w:hanging="210"/>
      <w:jc w:val="left"/>
    </w:pPr>
    <w:rPr>
      <w:rFonts w:ascii="Calibri" w:hAnsi="Calibri"/>
      <w:sz w:val="20"/>
      <w:szCs w:val="20"/>
    </w:rPr>
  </w:style>
  <w:style w:type="paragraph" w:styleId="6">
    <w:name w:val="Normal Indent"/>
    <w:basedOn w:val="1"/>
    <w:link w:val="49"/>
    <w:qFormat/>
    <w:locked/>
    <w:uiPriority w:val="0"/>
    <w:pPr>
      <w:adjustRightInd w:val="0"/>
      <w:spacing w:line="360" w:lineRule="atLeast"/>
      <w:ind w:firstLine="420"/>
      <w:jc w:val="left"/>
    </w:pPr>
    <w:rPr>
      <w:kern w:val="0"/>
      <w:sz w:val="20"/>
    </w:rPr>
  </w:style>
  <w:style w:type="paragraph" w:styleId="7">
    <w:name w:val="caption"/>
    <w:basedOn w:val="1"/>
    <w:next w:val="1"/>
    <w:qFormat/>
    <w:uiPriority w:val="0"/>
    <w:pPr>
      <w:keepNext/>
      <w:spacing w:before="152" w:after="160"/>
      <w:jc w:val="center"/>
    </w:pPr>
    <w:rPr>
      <w:rFonts w:cs="Arial"/>
      <w:szCs w:val="21"/>
    </w:rPr>
  </w:style>
  <w:style w:type="paragraph" w:styleId="8">
    <w:name w:val="index 5"/>
    <w:basedOn w:val="1"/>
    <w:next w:val="1"/>
    <w:semiHidden/>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50"/>
    <w:semiHidden/>
    <w:qFormat/>
    <w:uiPriority w:val="0"/>
    <w:pPr>
      <w:jc w:val="left"/>
    </w:pPr>
    <w:rPr>
      <w:sz w:val="24"/>
      <w:szCs w:val="20"/>
    </w:rPr>
  </w:style>
  <w:style w:type="paragraph" w:styleId="11">
    <w:name w:val="index 6"/>
    <w:basedOn w:val="1"/>
    <w:next w:val="1"/>
    <w:semiHidden/>
    <w:qFormat/>
    <w:uiPriority w:val="0"/>
    <w:pPr>
      <w:ind w:left="1260" w:hanging="210"/>
      <w:jc w:val="left"/>
    </w:pPr>
    <w:rPr>
      <w:rFonts w:ascii="Calibri" w:hAnsi="Calibri"/>
      <w:sz w:val="20"/>
      <w:szCs w:val="20"/>
    </w:rPr>
  </w:style>
  <w:style w:type="paragraph" w:styleId="12">
    <w:name w:val="Body Text"/>
    <w:basedOn w:val="1"/>
    <w:link w:val="51"/>
    <w:qFormat/>
    <w:locked/>
    <w:uiPriority w:val="0"/>
    <w:pPr>
      <w:spacing w:after="120"/>
      <w:ind w:firstLine="420" w:firstLineChars="200"/>
    </w:pPr>
  </w:style>
  <w:style w:type="paragraph" w:styleId="13">
    <w:name w:val="Body Text Indent"/>
    <w:basedOn w:val="1"/>
    <w:link w:val="52"/>
    <w:qFormat/>
    <w:uiPriority w:val="0"/>
    <w:pPr>
      <w:ind w:firstLine="359" w:firstLineChars="171"/>
    </w:pPr>
    <w:rPr>
      <w:sz w:val="24"/>
      <w:szCs w:val="20"/>
    </w:rPr>
  </w:style>
  <w:style w:type="paragraph" w:styleId="14">
    <w:name w:val="index 4"/>
    <w:basedOn w:val="1"/>
    <w:next w:val="1"/>
    <w:semiHidden/>
    <w:qFormat/>
    <w:uiPriority w:val="0"/>
    <w:pPr>
      <w:ind w:left="840" w:hanging="210"/>
      <w:jc w:val="left"/>
    </w:pPr>
    <w:rPr>
      <w:rFonts w:ascii="Calibri" w:hAnsi="Calibri"/>
      <w:sz w:val="20"/>
      <w:szCs w:val="20"/>
    </w:rPr>
  </w:style>
  <w:style w:type="paragraph" w:styleId="15">
    <w:name w:val="toc 5"/>
    <w:basedOn w:val="1"/>
    <w:next w:val="1"/>
    <w:qFormat/>
    <w:uiPriority w:val="39"/>
    <w:pPr>
      <w:tabs>
        <w:tab w:val="right" w:leader="dot" w:pos="9241"/>
      </w:tabs>
      <w:ind w:firstLine="300" w:firstLineChars="300"/>
      <w:jc w:val="left"/>
    </w:pPr>
    <w:rPr>
      <w:rFonts w:ascii="宋体"/>
      <w:szCs w:val="21"/>
    </w:rPr>
  </w:style>
  <w:style w:type="paragraph" w:styleId="16">
    <w:name w:val="toc 3"/>
    <w:basedOn w:val="1"/>
    <w:next w:val="1"/>
    <w:qFormat/>
    <w:uiPriority w:val="39"/>
    <w:pPr>
      <w:tabs>
        <w:tab w:val="right" w:leader="dot" w:pos="9241"/>
      </w:tabs>
      <w:ind w:firstLine="100" w:firstLineChars="100"/>
      <w:jc w:val="left"/>
    </w:pPr>
    <w:rPr>
      <w:rFonts w:ascii="宋体"/>
      <w:szCs w:val="21"/>
    </w:rPr>
  </w:style>
  <w:style w:type="paragraph" w:styleId="17">
    <w:name w:val="toc 8"/>
    <w:basedOn w:val="1"/>
    <w:next w:val="1"/>
    <w:qFormat/>
    <w:uiPriority w:val="39"/>
    <w:pPr>
      <w:tabs>
        <w:tab w:val="right" w:leader="dot" w:pos="9241"/>
      </w:tabs>
      <w:ind w:firstLine="607" w:firstLineChars="600"/>
      <w:jc w:val="left"/>
    </w:pPr>
    <w:rPr>
      <w:rFonts w:ascii="宋体"/>
      <w:szCs w:val="21"/>
    </w:rPr>
  </w:style>
  <w:style w:type="paragraph" w:styleId="18">
    <w:name w:val="index 3"/>
    <w:basedOn w:val="1"/>
    <w:next w:val="1"/>
    <w:semiHidden/>
    <w:qFormat/>
    <w:uiPriority w:val="0"/>
    <w:pPr>
      <w:ind w:left="630" w:hanging="210"/>
      <w:jc w:val="left"/>
    </w:pPr>
    <w:rPr>
      <w:rFonts w:ascii="Calibri" w:hAnsi="Calibri"/>
      <w:sz w:val="20"/>
      <w:szCs w:val="20"/>
    </w:rPr>
  </w:style>
  <w:style w:type="paragraph" w:styleId="19">
    <w:name w:val="Date"/>
    <w:basedOn w:val="1"/>
    <w:next w:val="1"/>
    <w:link w:val="166"/>
    <w:qFormat/>
    <w:locked/>
    <w:uiPriority w:val="0"/>
    <w:pPr>
      <w:ind w:left="100" w:leftChars="2500"/>
    </w:pPr>
  </w:style>
  <w:style w:type="paragraph" w:styleId="20">
    <w:name w:val="endnote text"/>
    <w:basedOn w:val="1"/>
    <w:semiHidden/>
    <w:qFormat/>
    <w:uiPriority w:val="0"/>
    <w:pPr>
      <w:snapToGrid w:val="0"/>
      <w:jc w:val="left"/>
    </w:pPr>
  </w:style>
  <w:style w:type="paragraph" w:styleId="21">
    <w:name w:val="Balloon Text"/>
    <w:basedOn w:val="1"/>
    <w:semiHidden/>
    <w:qFormat/>
    <w:uiPriority w:val="0"/>
    <w:rPr>
      <w:sz w:val="18"/>
      <w:szCs w:val="18"/>
    </w:rPr>
  </w:style>
  <w:style w:type="paragraph" w:styleId="22">
    <w:name w:val="footer"/>
    <w:basedOn w:val="1"/>
    <w:link w:val="172"/>
    <w:qFormat/>
    <w:uiPriority w:val="99"/>
    <w:pPr>
      <w:snapToGrid w:val="0"/>
      <w:ind w:right="210" w:rightChars="100"/>
      <w:jc w:val="right"/>
    </w:pPr>
    <w:rPr>
      <w:sz w:val="18"/>
      <w:szCs w:val="18"/>
    </w:rPr>
  </w:style>
  <w:style w:type="paragraph" w:styleId="23">
    <w:name w:val="header"/>
    <w:basedOn w:val="1"/>
    <w:qFormat/>
    <w:uiPriority w:val="0"/>
    <w:pPr>
      <w:snapToGrid w:val="0"/>
      <w:jc w:val="left"/>
    </w:pPr>
    <w:rPr>
      <w:sz w:val="18"/>
      <w:szCs w:val="18"/>
    </w:rPr>
  </w:style>
  <w:style w:type="paragraph" w:styleId="24">
    <w:name w:val="toc 1"/>
    <w:basedOn w:val="1"/>
    <w:next w:val="1"/>
    <w:qFormat/>
    <w:uiPriority w:val="39"/>
    <w:pPr>
      <w:tabs>
        <w:tab w:val="right" w:leader="dot" w:pos="9242"/>
      </w:tabs>
      <w:spacing w:before="78" w:beforeLines="25" w:after="78" w:afterLines="25"/>
      <w:jc w:val="center"/>
    </w:pPr>
    <w:rPr>
      <w:rFonts w:ascii="黑体" w:hAnsi="黑体" w:eastAsia="黑体"/>
      <w:szCs w:val="21"/>
    </w:rPr>
  </w:style>
  <w:style w:type="paragraph" w:styleId="25">
    <w:name w:val="toc 4"/>
    <w:basedOn w:val="1"/>
    <w:next w:val="1"/>
    <w:qFormat/>
    <w:uiPriority w:val="39"/>
    <w:pPr>
      <w:tabs>
        <w:tab w:val="right" w:leader="dot" w:pos="9241"/>
      </w:tabs>
      <w:ind w:firstLine="200" w:firstLineChars="200"/>
      <w:jc w:val="left"/>
    </w:pPr>
    <w:rPr>
      <w:rFonts w:ascii="宋体"/>
      <w:szCs w:val="21"/>
    </w:rPr>
  </w:style>
  <w:style w:type="paragraph" w:styleId="26">
    <w:name w:val="index heading"/>
    <w:basedOn w:val="1"/>
    <w:next w:val="27"/>
    <w:semiHidden/>
    <w:qFormat/>
    <w:uiPriority w:val="0"/>
    <w:pPr>
      <w:spacing w:before="120" w:after="120"/>
      <w:jc w:val="center"/>
    </w:pPr>
    <w:rPr>
      <w:rFonts w:ascii="Calibri" w:hAnsi="Calibri"/>
      <w:b/>
      <w:bCs/>
      <w:iCs/>
      <w:szCs w:val="20"/>
    </w:rPr>
  </w:style>
  <w:style w:type="paragraph" w:styleId="27">
    <w:name w:val="index 1"/>
    <w:basedOn w:val="1"/>
    <w:next w:val="28"/>
    <w:semiHidden/>
    <w:qFormat/>
    <w:uiPriority w:val="0"/>
    <w:pPr>
      <w:tabs>
        <w:tab w:val="right" w:leader="dot" w:pos="9299"/>
      </w:tabs>
      <w:jc w:val="left"/>
    </w:pPr>
    <w:rPr>
      <w:rFonts w:ascii="宋体"/>
      <w:szCs w:val="21"/>
    </w:rPr>
  </w:style>
  <w:style w:type="paragraph" w:customStyle="1" w:styleId="28">
    <w:name w:val="段"/>
    <w:link w:val="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footnote text"/>
    <w:basedOn w:val="1"/>
    <w:semiHidden/>
    <w:qFormat/>
    <w:uiPriority w:val="0"/>
    <w:pPr>
      <w:numPr>
        <w:ilvl w:val="0"/>
        <w:numId w:val="1"/>
      </w:numPr>
      <w:snapToGrid w:val="0"/>
      <w:jc w:val="left"/>
    </w:pPr>
    <w:rPr>
      <w:rFonts w:ascii="宋体"/>
      <w:sz w:val="18"/>
      <w:szCs w:val="18"/>
    </w:rPr>
  </w:style>
  <w:style w:type="paragraph" w:styleId="30">
    <w:name w:val="toc 6"/>
    <w:basedOn w:val="1"/>
    <w:next w:val="1"/>
    <w:qFormat/>
    <w:uiPriority w:val="39"/>
    <w:pPr>
      <w:tabs>
        <w:tab w:val="right" w:leader="dot" w:pos="9241"/>
      </w:tabs>
      <w:ind w:firstLine="400" w:firstLineChars="400"/>
      <w:jc w:val="left"/>
    </w:pPr>
    <w:rPr>
      <w:rFonts w:ascii="宋体"/>
      <w:szCs w:val="21"/>
    </w:rPr>
  </w:style>
  <w:style w:type="paragraph" w:styleId="31">
    <w:name w:val="index 7"/>
    <w:basedOn w:val="1"/>
    <w:next w:val="1"/>
    <w:semiHidden/>
    <w:qFormat/>
    <w:uiPriority w:val="0"/>
    <w:pPr>
      <w:ind w:left="1470" w:hanging="210"/>
      <w:jc w:val="left"/>
    </w:pPr>
    <w:rPr>
      <w:rFonts w:ascii="Calibri" w:hAnsi="Calibri"/>
      <w:sz w:val="20"/>
      <w:szCs w:val="20"/>
    </w:rPr>
  </w:style>
  <w:style w:type="paragraph" w:styleId="32">
    <w:name w:val="index 9"/>
    <w:basedOn w:val="1"/>
    <w:next w:val="1"/>
    <w:semiHidden/>
    <w:qFormat/>
    <w:uiPriority w:val="0"/>
    <w:pPr>
      <w:ind w:left="1890" w:hanging="210"/>
      <w:jc w:val="left"/>
    </w:pPr>
    <w:rPr>
      <w:rFonts w:ascii="Calibri" w:hAnsi="Calibri"/>
      <w:sz w:val="20"/>
      <w:szCs w:val="20"/>
    </w:rPr>
  </w:style>
  <w:style w:type="paragraph" w:styleId="33">
    <w:name w:val="toc 2"/>
    <w:basedOn w:val="1"/>
    <w:next w:val="1"/>
    <w:qFormat/>
    <w:uiPriority w:val="39"/>
    <w:pPr>
      <w:tabs>
        <w:tab w:val="right" w:leader="dot" w:pos="9242"/>
      </w:tabs>
      <w:spacing w:line="360" w:lineRule="auto"/>
    </w:pPr>
    <w:rPr>
      <w:rFonts w:ascii="宋体"/>
      <w:szCs w:val="21"/>
    </w:rPr>
  </w:style>
  <w:style w:type="paragraph" w:styleId="34">
    <w:name w:val="toc 9"/>
    <w:basedOn w:val="1"/>
    <w:next w:val="1"/>
    <w:qFormat/>
    <w:uiPriority w:val="39"/>
    <w:pPr>
      <w:ind w:left="1470"/>
      <w:jc w:val="left"/>
    </w:pPr>
    <w:rPr>
      <w:sz w:val="20"/>
      <w:szCs w:val="20"/>
    </w:rPr>
  </w:style>
  <w:style w:type="paragraph" w:styleId="35">
    <w:name w:val="Normal (Web)"/>
    <w:basedOn w:val="1"/>
    <w:qFormat/>
    <w:locked/>
    <w:uiPriority w:val="0"/>
    <w:pPr>
      <w:widowControl/>
      <w:spacing w:before="100" w:beforeAutospacing="1" w:after="100" w:afterAutospacing="1"/>
      <w:jc w:val="left"/>
    </w:pPr>
    <w:rPr>
      <w:rFonts w:hint="eastAsia" w:ascii="宋体" w:hAnsi="宋体"/>
      <w:kern w:val="0"/>
      <w:sz w:val="24"/>
    </w:rPr>
  </w:style>
  <w:style w:type="paragraph" w:styleId="36">
    <w:name w:val="index 2"/>
    <w:basedOn w:val="1"/>
    <w:next w:val="1"/>
    <w:semiHidden/>
    <w:qFormat/>
    <w:uiPriority w:val="0"/>
    <w:pPr>
      <w:ind w:left="420" w:hanging="210"/>
      <w:jc w:val="left"/>
    </w:pPr>
    <w:rPr>
      <w:rFonts w:ascii="Calibri" w:hAnsi="Calibri"/>
      <w:sz w:val="20"/>
      <w:szCs w:val="20"/>
    </w:rPr>
  </w:style>
  <w:style w:type="paragraph" w:styleId="37">
    <w:name w:val="annotation subject"/>
    <w:basedOn w:val="10"/>
    <w:next w:val="10"/>
    <w:link w:val="54"/>
    <w:semiHidden/>
    <w:qFormat/>
    <w:uiPriority w:val="0"/>
    <w:rPr>
      <w:b/>
    </w:rPr>
  </w:style>
  <w:style w:type="table" w:styleId="39">
    <w:name w:val="Table Grid"/>
    <w:basedOn w:val="38"/>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endnote reference"/>
    <w:semiHidden/>
    <w:qFormat/>
    <w:uiPriority w:val="0"/>
    <w:rPr>
      <w:vertAlign w:val="superscript"/>
    </w:rPr>
  </w:style>
  <w:style w:type="character" w:styleId="42">
    <w:name w:val="page number"/>
    <w:qFormat/>
    <w:uiPriority w:val="0"/>
    <w:rPr>
      <w:rFonts w:ascii="Times New Roman" w:hAnsi="Times New Roman" w:eastAsia="宋体"/>
      <w:sz w:val="18"/>
    </w:rPr>
  </w:style>
  <w:style w:type="character" w:styleId="43">
    <w:name w:val="FollowedHyperlink"/>
    <w:qFormat/>
    <w:uiPriority w:val="0"/>
    <w:rPr>
      <w:color w:val="800080"/>
      <w:u w:val="single"/>
    </w:rPr>
  </w:style>
  <w:style w:type="character" w:styleId="44">
    <w:name w:val="Emphasis"/>
    <w:qFormat/>
    <w:locked/>
    <w:uiPriority w:val="20"/>
    <w:rPr>
      <w:i/>
      <w:iCs/>
    </w:rPr>
  </w:style>
  <w:style w:type="character" w:styleId="45">
    <w:name w:val="Hyperlink"/>
    <w:qFormat/>
    <w:uiPriority w:val="99"/>
    <w:rPr>
      <w:color w:val="0000FF"/>
      <w:spacing w:val="0"/>
      <w:w w:val="100"/>
      <w:sz w:val="21"/>
      <w:u w:val="single"/>
      <w:lang w:val="en-US" w:eastAsia="zh-CN"/>
    </w:rPr>
  </w:style>
  <w:style w:type="character" w:styleId="46">
    <w:name w:val="annotation reference"/>
    <w:semiHidden/>
    <w:qFormat/>
    <w:uiPriority w:val="0"/>
    <w:rPr>
      <w:sz w:val="21"/>
    </w:rPr>
  </w:style>
  <w:style w:type="character" w:styleId="47">
    <w:name w:val="footnote reference"/>
    <w:semiHidden/>
    <w:qFormat/>
    <w:uiPriority w:val="0"/>
    <w:rPr>
      <w:vertAlign w:val="superscript"/>
    </w:rPr>
  </w:style>
  <w:style w:type="character" w:customStyle="1" w:styleId="48">
    <w:name w:val="标题 3 字符"/>
    <w:link w:val="3"/>
    <w:qFormat/>
    <w:uiPriority w:val="9"/>
    <w:rPr>
      <w:rFonts w:ascii="宋体" w:hAnsi="宋体" w:cs="宋体"/>
      <w:b/>
      <w:bCs/>
      <w:sz w:val="27"/>
      <w:szCs w:val="27"/>
    </w:rPr>
  </w:style>
  <w:style w:type="character" w:customStyle="1" w:styleId="49">
    <w:name w:val="正文缩进 字符"/>
    <w:link w:val="6"/>
    <w:qFormat/>
    <w:uiPriority w:val="0"/>
    <w:rPr>
      <w:szCs w:val="24"/>
    </w:rPr>
  </w:style>
  <w:style w:type="character" w:customStyle="1" w:styleId="50">
    <w:name w:val="批注文字 字符"/>
    <w:link w:val="10"/>
    <w:qFormat/>
    <w:locked/>
    <w:uiPriority w:val="0"/>
    <w:rPr>
      <w:kern w:val="2"/>
      <w:sz w:val="24"/>
    </w:rPr>
  </w:style>
  <w:style w:type="character" w:customStyle="1" w:styleId="51">
    <w:name w:val="正文文本 字符"/>
    <w:link w:val="12"/>
    <w:qFormat/>
    <w:uiPriority w:val="0"/>
    <w:rPr>
      <w:kern w:val="2"/>
      <w:sz w:val="21"/>
      <w:szCs w:val="24"/>
    </w:rPr>
  </w:style>
  <w:style w:type="character" w:customStyle="1" w:styleId="52">
    <w:name w:val="正文文本缩进 字符"/>
    <w:link w:val="13"/>
    <w:qFormat/>
    <w:locked/>
    <w:uiPriority w:val="0"/>
    <w:rPr>
      <w:kern w:val="2"/>
      <w:sz w:val="24"/>
    </w:rPr>
  </w:style>
  <w:style w:type="character" w:customStyle="1" w:styleId="53">
    <w:name w:val="段 Char"/>
    <w:link w:val="28"/>
    <w:qFormat/>
    <w:locked/>
    <w:uiPriority w:val="0"/>
    <w:rPr>
      <w:rFonts w:ascii="宋体"/>
      <w:sz w:val="21"/>
    </w:rPr>
  </w:style>
  <w:style w:type="character" w:customStyle="1" w:styleId="54">
    <w:name w:val="批注主题 字符"/>
    <w:link w:val="37"/>
    <w:qFormat/>
    <w:locked/>
    <w:uiPriority w:val="0"/>
    <w:rPr>
      <w:b/>
      <w:kern w:val="2"/>
      <w:sz w:val="24"/>
    </w:rPr>
  </w:style>
  <w:style w:type="character" w:customStyle="1" w:styleId="55">
    <w:name w:val="二级无 Char"/>
    <w:link w:val="56"/>
    <w:qFormat/>
    <w:uiPriority w:val="0"/>
    <w:rPr>
      <w:rFonts w:ascii="宋体"/>
      <w:sz w:val="21"/>
      <w:szCs w:val="21"/>
    </w:rPr>
  </w:style>
  <w:style w:type="paragraph" w:customStyle="1" w:styleId="56">
    <w:name w:val="二级无"/>
    <w:basedOn w:val="57"/>
    <w:link w:val="55"/>
    <w:qFormat/>
    <w:uiPriority w:val="0"/>
    <w:pPr>
      <w:spacing w:beforeLines="0" w:afterLines="0"/>
    </w:pPr>
    <w:rPr>
      <w:rFonts w:ascii="宋体" w:eastAsia="宋体"/>
    </w:rPr>
  </w:style>
  <w:style w:type="paragraph" w:customStyle="1" w:styleId="57">
    <w:name w:val="二级条标题"/>
    <w:basedOn w:val="58"/>
    <w:next w:val="28"/>
    <w:link w:val="60"/>
    <w:qFormat/>
    <w:uiPriority w:val="0"/>
    <w:pPr>
      <w:numPr>
        <w:ilvl w:val="0"/>
        <w:numId w:val="0"/>
      </w:numPr>
      <w:spacing w:before="50" w:after="50"/>
      <w:ind w:left="993"/>
      <w:outlineLvl w:val="3"/>
    </w:pPr>
  </w:style>
  <w:style w:type="paragraph" w:customStyle="1" w:styleId="58">
    <w:name w:val="一级条标题"/>
    <w:next w:val="28"/>
    <w:link w:val="59"/>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59">
    <w:name w:val="一级条标题 Char"/>
    <w:link w:val="58"/>
    <w:qFormat/>
    <w:uiPriority w:val="0"/>
    <w:rPr>
      <w:rFonts w:ascii="黑体" w:eastAsia="黑体"/>
      <w:sz w:val="21"/>
      <w:szCs w:val="21"/>
    </w:rPr>
  </w:style>
  <w:style w:type="character" w:customStyle="1" w:styleId="60">
    <w:name w:val="二级条标题 Char"/>
    <w:link w:val="57"/>
    <w:qFormat/>
    <w:uiPriority w:val="0"/>
    <w:rPr>
      <w:rFonts w:ascii="黑体" w:eastAsia="黑体"/>
      <w:sz w:val="21"/>
      <w:szCs w:val="21"/>
    </w:rPr>
  </w:style>
  <w:style w:type="character" w:customStyle="1" w:styleId="61">
    <w:name w:val="附录公式 Char"/>
    <w:link w:val="62"/>
    <w:qFormat/>
    <w:locked/>
    <w:uiPriority w:val="0"/>
    <w:rPr>
      <w:rFonts w:ascii="宋体"/>
      <w:sz w:val="21"/>
      <w:lang w:val="en-US" w:eastAsia="zh-CN"/>
    </w:rPr>
  </w:style>
  <w:style w:type="paragraph" w:customStyle="1" w:styleId="62">
    <w:name w:val="附录公式"/>
    <w:basedOn w:val="28"/>
    <w:next w:val="28"/>
    <w:link w:val="61"/>
    <w:qFormat/>
    <w:uiPriority w:val="0"/>
  </w:style>
  <w:style w:type="character" w:customStyle="1" w:styleId="63">
    <w:name w:val="一级条标题 Char Char"/>
    <w:qFormat/>
    <w:uiPriority w:val="0"/>
    <w:rPr>
      <w:rFonts w:eastAsia="黑体"/>
      <w:sz w:val="21"/>
      <w:lang w:bidi="ar-SA"/>
    </w:rPr>
  </w:style>
  <w:style w:type="character" w:customStyle="1" w:styleId="64">
    <w:name w:val="正文文本缩进 Char"/>
    <w:qFormat/>
    <w:uiPriority w:val="0"/>
    <w:rPr>
      <w:kern w:val="2"/>
      <w:sz w:val="21"/>
      <w:szCs w:val="24"/>
    </w:rPr>
  </w:style>
  <w:style w:type="character" w:customStyle="1" w:styleId="65">
    <w:name w:val="首示例 Char"/>
    <w:link w:val="66"/>
    <w:qFormat/>
    <w:locked/>
    <w:uiPriority w:val="0"/>
    <w:rPr>
      <w:rFonts w:ascii="宋体"/>
      <w:kern w:val="2"/>
      <w:sz w:val="18"/>
      <w:lang w:bidi="ar-SA"/>
    </w:rPr>
  </w:style>
  <w:style w:type="paragraph" w:customStyle="1" w:styleId="66">
    <w:name w:val="首示例"/>
    <w:next w:val="28"/>
    <w:link w:val="65"/>
    <w:qFormat/>
    <w:uiPriority w:val="0"/>
    <w:pPr>
      <w:tabs>
        <w:tab w:val="left" w:pos="360"/>
      </w:tabs>
    </w:pPr>
    <w:rPr>
      <w:rFonts w:ascii="宋体" w:hAnsi="Times New Roman" w:eastAsia="宋体" w:cs="Times New Roman"/>
      <w:kern w:val="2"/>
      <w:sz w:val="18"/>
      <w:lang w:val="en-US" w:eastAsia="zh-CN" w:bidi="ar-SA"/>
    </w:rPr>
  </w:style>
  <w:style w:type="character" w:customStyle="1" w:styleId="67">
    <w:name w:val="high-light-bg4"/>
    <w:qFormat/>
    <w:uiPriority w:val="0"/>
  </w:style>
  <w:style w:type="character" w:customStyle="1" w:styleId="68">
    <w:name w:val="段 Char Char"/>
    <w:qFormat/>
    <w:uiPriority w:val="0"/>
    <w:rPr>
      <w:rFonts w:ascii="宋体"/>
      <w:sz w:val="21"/>
      <w:lang w:val="en-US" w:eastAsia="zh-CN" w:bidi="ar-SA"/>
    </w:rPr>
  </w:style>
  <w:style w:type="character" w:customStyle="1" w:styleId="69">
    <w:name w:val="apple-converted-space"/>
    <w:qFormat/>
    <w:uiPriority w:val="0"/>
  </w:style>
  <w:style w:type="character" w:customStyle="1" w:styleId="70">
    <w:name w:val="ordinary-span-edit2"/>
    <w:qFormat/>
    <w:uiPriority w:val="0"/>
  </w:style>
  <w:style w:type="character" w:customStyle="1" w:styleId="71">
    <w:name w:val="发布"/>
    <w:qFormat/>
    <w:uiPriority w:val="0"/>
    <w:rPr>
      <w:rFonts w:ascii="黑体" w:eastAsia="黑体"/>
      <w:spacing w:val="85"/>
      <w:w w:val="100"/>
      <w:position w:val="3"/>
      <w:sz w:val="28"/>
    </w:rPr>
  </w:style>
  <w:style w:type="paragraph" w:customStyle="1" w:styleId="72">
    <w:name w:val="附录标识"/>
    <w:basedOn w:val="1"/>
    <w:next w:val="28"/>
    <w:qFormat/>
    <w:uiPriority w:val="0"/>
    <w:pPr>
      <w:keepNext/>
      <w:widowControl/>
      <w:numPr>
        <w:ilvl w:val="0"/>
        <w:numId w:val="3"/>
      </w:numPr>
      <w:shd w:val="clear" w:color="FFFFFF" w:fill="FFFFFF"/>
      <w:tabs>
        <w:tab w:val="left" w:pos="6405"/>
      </w:tabs>
      <w:spacing w:before="640" w:after="280"/>
      <w:jc w:val="center"/>
      <w:outlineLvl w:val="0"/>
    </w:pPr>
    <w:rPr>
      <w:rFonts w:ascii="黑体" w:eastAsia="黑体"/>
      <w:kern w:val="0"/>
      <w:szCs w:val="20"/>
    </w:rPr>
  </w:style>
  <w:style w:type="paragraph" w:customStyle="1" w:styleId="73">
    <w:name w:val="封面标准英文名称2"/>
    <w:basedOn w:val="74"/>
    <w:qFormat/>
    <w:uiPriority w:val="0"/>
    <w:pPr>
      <w:framePr w:y="4469"/>
    </w:pPr>
  </w:style>
  <w:style w:type="paragraph" w:customStyle="1" w:styleId="74">
    <w:name w:val="封面标准英文名称"/>
    <w:basedOn w:val="75"/>
    <w:qFormat/>
    <w:uiPriority w:val="0"/>
    <w:pPr>
      <w:framePr/>
      <w:spacing w:before="370" w:line="400" w:lineRule="exact"/>
    </w:pPr>
    <w:rPr>
      <w:rFonts w:ascii="Times New Roman"/>
      <w:sz w:val="28"/>
      <w:szCs w:val="28"/>
    </w:rPr>
  </w:style>
  <w:style w:type="paragraph" w:customStyle="1" w:styleId="7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列项——（一级）"/>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77">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8">
    <w:name w:val="附录表标号"/>
    <w:basedOn w:val="1"/>
    <w:next w:val="28"/>
    <w:qFormat/>
    <w:uiPriority w:val="0"/>
    <w:pPr>
      <w:numPr>
        <w:ilvl w:val="0"/>
        <w:numId w:val="5"/>
      </w:numPr>
      <w:spacing w:line="14" w:lineRule="exact"/>
      <w:ind w:left="811" w:hanging="448"/>
      <w:jc w:val="center"/>
      <w:outlineLvl w:val="0"/>
    </w:pPr>
    <w:rPr>
      <w:color w:val="FFFFFF"/>
    </w:rPr>
  </w:style>
  <w:style w:type="paragraph" w:customStyle="1" w:styleId="79">
    <w:name w:val="封面标准文稿编辑信息"/>
    <w:basedOn w:val="80"/>
    <w:qFormat/>
    <w:uiPriority w:val="0"/>
    <w:pPr>
      <w:framePr/>
      <w:spacing w:before="180" w:line="180" w:lineRule="exact"/>
    </w:pPr>
    <w:rPr>
      <w:sz w:val="21"/>
    </w:rPr>
  </w:style>
  <w:style w:type="paragraph" w:customStyle="1" w:styleId="80">
    <w:name w:val="封面标准文稿类别"/>
    <w:basedOn w:val="81"/>
    <w:qFormat/>
    <w:uiPriority w:val="0"/>
    <w:pPr>
      <w:framePr/>
      <w:spacing w:after="160" w:line="240" w:lineRule="auto"/>
    </w:pPr>
    <w:rPr>
      <w:sz w:val="24"/>
    </w:rPr>
  </w:style>
  <w:style w:type="paragraph" w:customStyle="1" w:styleId="81">
    <w:name w:val="封面一致性程度标识"/>
    <w:basedOn w:val="74"/>
    <w:qFormat/>
    <w:uiPriority w:val="0"/>
    <w:pPr>
      <w:framePr/>
      <w:spacing w:before="440"/>
    </w:pPr>
    <w:rPr>
      <w:rFonts w:ascii="宋体" w:eastAsia="宋体"/>
    </w:rPr>
  </w:style>
  <w:style w:type="paragraph" w:customStyle="1" w:styleId="8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3">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4">
    <w:name w:val="封面标准名称2"/>
    <w:basedOn w:val="75"/>
    <w:qFormat/>
    <w:uiPriority w:val="0"/>
    <w:pPr>
      <w:framePr w:y="4469"/>
      <w:spacing w:beforeLines="630"/>
    </w:pPr>
  </w:style>
  <w:style w:type="paragraph" w:customStyle="1" w:styleId="85">
    <w:name w:val="附录一级条标题"/>
    <w:basedOn w:val="86"/>
    <w:next w:val="28"/>
    <w:qFormat/>
    <w:uiPriority w:val="0"/>
    <w:pPr>
      <w:numPr>
        <w:ilvl w:val="2"/>
      </w:numPr>
      <w:autoSpaceDN w:val="0"/>
      <w:spacing w:beforeLines="50" w:afterLines="50"/>
      <w:outlineLvl w:val="2"/>
    </w:pPr>
  </w:style>
  <w:style w:type="paragraph" w:customStyle="1" w:styleId="86">
    <w:name w:val="附录章标题"/>
    <w:next w:val="28"/>
    <w:qFormat/>
    <w:uiPriority w:val="0"/>
    <w:pPr>
      <w:numPr>
        <w:ilvl w:val="1"/>
        <w:numId w:val="3"/>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87">
    <w:name w:val="条文脚注"/>
    <w:basedOn w:val="29"/>
    <w:qFormat/>
    <w:uiPriority w:val="0"/>
    <w:pPr>
      <w:numPr>
        <w:numId w:val="0"/>
      </w:numPr>
      <w:jc w:val="both"/>
    </w:pPr>
  </w:style>
  <w:style w:type="paragraph" w:customStyle="1" w:styleId="8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9">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0">
    <w:name w:val="标准书眉一"/>
    <w:qFormat/>
    <w:uiPriority w:val="0"/>
    <w:pPr>
      <w:jc w:val="both"/>
    </w:pPr>
    <w:rPr>
      <w:rFonts w:ascii="Times New Roman" w:hAnsi="Times New Roman" w:eastAsia="宋体" w:cs="Times New Roman"/>
      <w:lang w:val="en-US" w:eastAsia="zh-CN" w:bidi="ar-SA"/>
    </w:rPr>
  </w:style>
  <w:style w:type="paragraph" w:customStyle="1" w:styleId="91">
    <w:name w:val="修订1"/>
    <w:semiHidden/>
    <w:qFormat/>
    <w:uiPriority w:val="0"/>
    <w:rPr>
      <w:rFonts w:ascii="Times New Roman" w:hAnsi="Times New Roman" w:eastAsia="宋体" w:cs="Times New Roman"/>
      <w:kern w:val="2"/>
      <w:sz w:val="21"/>
      <w:szCs w:val="24"/>
      <w:lang w:val="en-US" w:eastAsia="zh-CN" w:bidi="ar-SA"/>
    </w:rPr>
  </w:style>
  <w:style w:type="paragraph" w:customStyle="1" w:styleId="92">
    <w:name w:val="附录二级条标题"/>
    <w:basedOn w:val="1"/>
    <w:next w:val="28"/>
    <w:qFormat/>
    <w:uiPriority w:val="0"/>
    <w:pPr>
      <w:widowControl/>
      <w:numPr>
        <w:ilvl w:val="3"/>
        <w:numId w:val="3"/>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4">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95">
    <w:name w:val="封面标准文稿类别2"/>
    <w:basedOn w:val="80"/>
    <w:qFormat/>
    <w:uiPriority w:val="0"/>
    <w:pPr>
      <w:framePr w:y="4469"/>
    </w:pPr>
  </w:style>
  <w:style w:type="paragraph" w:customStyle="1" w:styleId="96">
    <w:name w:val="五级无"/>
    <w:basedOn w:val="97"/>
    <w:qFormat/>
    <w:uiPriority w:val="0"/>
    <w:pPr>
      <w:spacing w:beforeLines="0" w:afterLines="0"/>
    </w:pPr>
    <w:rPr>
      <w:rFonts w:ascii="宋体" w:eastAsia="宋体"/>
    </w:rPr>
  </w:style>
  <w:style w:type="paragraph" w:customStyle="1" w:styleId="97">
    <w:name w:val="五级条标题"/>
    <w:basedOn w:val="98"/>
    <w:next w:val="28"/>
    <w:qFormat/>
    <w:uiPriority w:val="0"/>
    <w:pPr>
      <w:numPr>
        <w:ilvl w:val="5"/>
      </w:numPr>
      <w:ind w:left="993"/>
      <w:outlineLvl w:val="6"/>
    </w:pPr>
  </w:style>
  <w:style w:type="paragraph" w:customStyle="1" w:styleId="98">
    <w:name w:val="四级条标题"/>
    <w:basedOn w:val="99"/>
    <w:next w:val="28"/>
    <w:qFormat/>
    <w:uiPriority w:val="0"/>
    <w:pPr>
      <w:numPr>
        <w:ilvl w:val="4"/>
      </w:numPr>
      <w:ind w:left="993"/>
      <w:outlineLvl w:val="5"/>
    </w:pPr>
  </w:style>
  <w:style w:type="paragraph" w:customStyle="1" w:styleId="99">
    <w:name w:val="三级条标题"/>
    <w:basedOn w:val="57"/>
    <w:next w:val="28"/>
    <w:qFormat/>
    <w:uiPriority w:val="0"/>
    <w:pPr>
      <w:numPr>
        <w:ilvl w:val="3"/>
      </w:numPr>
      <w:ind w:left="993"/>
      <w:outlineLvl w:val="4"/>
    </w:pPr>
  </w:style>
  <w:style w:type="paragraph" w:customStyle="1" w:styleId="100">
    <w:name w:val="封面标准文稿编辑信息2"/>
    <w:basedOn w:val="79"/>
    <w:qFormat/>
    <w:uiPriority w:val="0"/>
    <w:pPr>
      <w:framePr w:y="4469"/>
    </w:pPr>
  </w:style>
  <w:style w:type="paragraph" w:customStyle="1" w:styleId="101">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02">
    <w:name w:val="其他标准称谓"/>
    <w:next w:val="1"/>
    <w:qFormat/>
    <w:uiPriority w:val="0"/>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03">
    <w:name w:val="附录三级无"/>
    <w:basedOn w:val="104"/>
    <w:qFormat/>
    <w:uiPriority w:val="0"/>
    <w:pPr>
      <w:spacing w:beforeLines="0" w:afterLines="0"/>
    </w:pPr>
    <w:rPr>
      <w:rFonts w:ascii="宋体" w:eastAsia="宋体"/>
      <w:szCs w:val="21"/>
    </w:rPr>
  </w:style>
  <w:style w:type="paragraph" w:customStyle="1" w:styleId="104">
    <w:name w:val="附录三级条标题"/>
    <w:basedOn w:val="92"/>
    <w:next w:val="28"/>
    <w:qFormat/>
    <w:uiPriority w:val="0"/>
    <w:pPr>
      <w:numPr>
        <w:ilvl w:val="0"/>
        <w:numId w:val="0"/>
      </w:numPr>
      <w:outlineLvl w:val="4"/>
    </w:pPr>
  </w:style>
  <w:style w:type="paragraph" w:customStyle="1" w:styleId="105">
    <w:name w:val="一级无"/>
    <w:basedOn w:val="58"/>
    <w:qFormat/>
    <w:uiPriority w:val="0"/>
    <w:pPr>
      <w:spacing w:beforeLines="0" w:afterLines="0"/>
    </w:pPr>
    <w:rPr>
      <w:rFonts w:ascii="宋体" w:eastAsia="宋体"/>
    </w:rPr>
  </w:style>
  <w:style w:type="paragraph" w:customStyle="1" w:styleId="106">
    <w:name w:val="附录四级条标题"/>
    <w:basedOn w:val="104"/>
    <w:next w:val="28"/>
    <w:qFormat/>
    <w:uiPriority w:val="0"/>
    <w:pPr>
      <w:numPr>
        <w:ilvl w:val="5"/>
      </w:numPr>
      <w:outlineLvl w:val="5"/>
    </w:pPr>
  </w:style>
  <w:style w:type="paragraph" w:customStyle="1" w:styleId="10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109">
    <w:name w:val="其他标准标志"/>
    <w:basedOn w:val="110"/>
    <w:qFormat/>
    <w:uiPriority w:val="0"/>
    <w:pPr>
      <w:framePr w:w="6101" w:vAnchor="page" w:hAnchor="page" w:x="4673" w:y="942"/>
    </w:pPr>
    <w:rPr>
      <w:w w:val="130"/>
    </w:rPr>
  </w:style>
  <w:style w:type="paragraph" w:customStyle="1" w:styleId="110">
    <w:name w:val="标准标志"/>
    <w:next w:val="1"/>
    <w:qFormat/>
    <w:uiPriority w:val="0"/>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111">
    <w:name w:val="封面正文"/>
    <w:qFormat/>
    <w:uiPriority w:val="0"/>
    <w:pPr>
      <w:jc w:val="both"/>
    </w:pPr>
    <w:rPr>
      <w:rFonts w:ascii="Times New Roman" w:hAnsi="Times New Roman" w:eastAsia="宋体" w:cs="Times New Roman"/>
      <w:lang w:val="en-US" w:eastAsia="zh-CN" w:bidi="ar-SA"/>
    </w:rPr>
  </w:style>
  <w:style w:type="paragraph" w:customStyle="1" w:styleId="112">
    <w:name w:val="附录图标题"/>
    <w:basedOn w:val="1"/>
    <w:next w:val="28"/>
    <w:qFormat/>
    <w:uiPriority w:val="0"/>
    <w:pPr>
      <w:numPr>
        <w:ilvl w:val="1"/>
        <w:numId w:val="8"/>
      </w:numPr>
      <w:tabs>
        <w:tab w:val="left" w:pos="363"/>
      </w:tabs>
      <w:spacing w:beforeLines="50" w:afterLines="50"/>
      <w:jc w:val="center"/>
    </w:pPr>
    <w:rPr>
      <w:rFonts w:ascii="黑体" w:eastAsia="黑体"/>
      <w:szCs w:val="21"/>
    </w:rPr>
  </w:style>
  <w:style w:type="paragraph" w:customStyle="1" w:styleId="11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示例"/>
    <w:next w:val="88"/>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115">
    <w:name w:val="注：（正文）"/>
    <w:basedOn w:val="116"/>
    <w:next w:val="28"/>
    <w:qFormat/>
    <w:uiPriority w:val="0"/>
  </w:style>
  <w:style w:type="paragraph" w:customStyle="1" w:styleId="116">
    <w:name w:val="注："/>
    <w:next w:val="28"/>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17">
    <w:name w:val="三级无"/>
    <w:basedOn w:val="99"/>
    <w:qFormat/>
    <w:uiPriority w:val="0"/>
    <w:pPr>
      <w:spacing w:beforeLines="0" w:afterLines="0"/>
    </w:pPr>
    <w:rPr>
      <w:rFonts w:ascii="宋体" w:eastAsia="宋体"/>
    </w:rPr>
  </w:style>
  <w:style w:type="paragraph" w:customStyle="1" w:styleId="118">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119">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20">
    <w:name w:val="其他发布日期"/>
    <w:basedOn w:val="121"/>
    <w:qFormat/>
    <w:uiPriority w:val="0"/>
    <w:pPr>
      <w:framePr w:vAnchor="page" w:hAnchor="text" w:x="1419"/>
    </w:pPr>
  </w:style>
  <w:style w:type="paragraph" w:customStyle="1" w:styleId="12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22">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5">
    <w:name w:val="示例后文字"/>
    <w:basedOn w:val="28"/>
    <w:next w:val="28"/>
    <w:qFormat/>
    <w:uiPriority w:val="0"/>
    <w:pPr>
      <w:ind w:firstLine="360"/>
    </w:pPr>
    <w:rPr>
      <w:sz w:val="18"/>
    </w:rPr>
  </w:style>
  <w:style w:type="paragraph" w:customStyle="1" w:styleId="126">
    <w:name w:val="正文图标题"/>
    <w:next w:val="28"/>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7">
    <w:name w:val="其他实施日期"/>
    <w:basedOn w:val="128"/>
    <w:qFormat/>
    <w:uiPriority w:val="0"/>
    <w:pPr>
      <w:framePr/>
    </w:pPr>
  </w:style>
  <w:style w:type="paragraph" w:customStyle="1" w:styleId="128">
    <w:name w:val="实施日期"/>
    <w:basedOn w:val="121"/>
    <w:qFormat/>
    <w:uiPriority w:val="0"/>
    <w:pPr>
      <w:framePr w:vAnchor="page" w:hAnchor="text"/>
      <w:jc w:val="right"/>
    </w:pPr>
  </w:style>
  <w:style w:type="paragraph" w:customStyle="1" w:styleId="12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0">
    <w:name w:val="图标脚注说明"/>
    <w:basedOn w:val="28"/>
    <w:qFormat/>
    <w:uiPriority w:val="0"/>
    <w:pPr>
      <w:ind w:left="840" w:hanging="420" w:firstLineChars="0"/>
    </w:pPr>
    <w:rPr>
      <w:sz w:val="18"/>
      <w:szCs w:val="18"/>
    </w:rPr>
  </w:style>
  <w:style w:type="paragraph" w:customStyle="1" w:styleId="131">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32">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3">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34">
    <w:name w:val="附录一级无"/>
    <w:basedOn w:val="85"/>
    <w:qFormat/>
    <w:uiPriority w:val="0"/>
    <w:pPr>
      <w:spacing w:beforeLines="0" w:afterLines="0"/>
    </w:pPr>
    <w:rPr>
      <w:rFonts w:ascii="宋体" w:eastAsia="宋体"/>
      <w:szCs w:val="21"/>
    </w:rPr>
  </w:style>
  <w:style w:type="paragraph" w:customStyle="1" w:styleId="135">
    <w:name w:val="正文公式编号制表符"/>
    <w:basedOn w:val="28"/>
    <w:next w:val="28"/>
    <w:qFormat/>
    <w:uiPriority w:val="0"/>
    <w:pPr>
      <w:ind w:firstLine="0" w:firstLineChars="0"/>
    </w:pPr>
  </w:style>
  <w:style w:type="paragraph" w:customStyle="1" w:styleId="136">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137">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138">
    <w:name w:val="章标题"/>
    <w:next w:val="28"/>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39">
    <w:name w:val="标准书眉_偶数页"/>
    <w:basedOn w:val="140"/>
    <w:next w:val="1"/>
    <w:qFormat/>
    <w:uiPriority w:val="0"/>
    <w:pPr>
      <w:tabs>
        <w:tab w:val="center" w:pos="4154"/>
        <w:tab w:val="right" w:pos="8306"/>
      </w:tabs>
      <w:jc w:val="left"/>
    </w:pPr>
  </w:style>
  <w:style w:type="paragraph" w:customStyle="1" w:styleId="140">
    <w:name w:val="标准书眉_奇数页"/>
    <w:next w:val="1"/>
    <w:qFormat/>
    <w:uiPriority w:val="0"/>
    <w:pPr>
      <w:tabs>
        <w:tab w:val="center" w:pos="4154"/>
        <w:tab w:val="right" w:pos="8306"/>
      </w:tabs>
      <w:spacing w:after="220"/>
      <w:ind w:right="844"/>
      <w:jc w:val="right"/>
    </w:pPr>
    <w:rPr>
      <w:rFonts w:ascii="黑体" w:hAnsi="Times New Roman" w:eastAsia="黑体" w:cs="Times New Roman"/>
      <w:sz w:val="21"/>
      <w:szCs w:val="21"/>
      <w:lang w:val="en-US" w:eastAsia="zh-CN" w:bidi="ar-SA"/>
    </w:rPr>
  </w:style>
  <w:style w:type="paragraph" w:customStyle="1" w:styleId="14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42">
    <w:name w:val="附录图标号"/>
    <w:basedOn w:val="1"/>
    <w:qFormat/>
    <w:uiPriority w:val="0"/>
    <w:pPr>
      <w:keepNext/>
      <w:pageBreakBefore/>
      <w:widowControl/>
      <w:numPr>
        <w:ilvl w:val="0"/>
        <w:numId w:val="8"/>
      </w:numPr>
      <w:spacing w:line="14" w:lineRule="exact"/>
      <w:ind w:firstLine="363"/>
      <w:jc w:val="center"/>
      <w:outlineLvl w:val="0"/>
    </w:pPr>
    <w:rPr>
      <w:color w:val="FFFFFF"/>
    </w:rPr>
  </w:style>
  <w:style w:type="paragraph" w:customStyle="1" w:styleId="143">
    <w:name w:val="列项◆（三级）"/>
    <w:basedOn w:val="1"/>
    <w:qFormat/>
    <w:uiPriority w:val="0"/>
    <w:pPr>
      <w:numPr>
        <w:ilvl w:val="2"/>
        <w:numId w:val="4"/>
      </w:numPr>
      <w:tabs>
        <w:tab w:val="left" w:pos="1678"/>
        <w:tab w:val="clear" w:pos="1679"/>
      </w:tabs>
      <w:ind w:left="1678"/>
    </w:pPr>
    <w:rPr>
      <w:rFonts w:ascii="宋体"/>
      <w:szCs w:val="21"/>
    </w:rPr>
  </w:style>
  <w:style w:type="paragraph" w:customStyle="1" w:styleId="144">
    <w:name w:val="封面一致性程度标识2"/>
    <w:basedOn w:val="81"/>
    <w:qFormat/>
    <w:uiPriority w:val="0"/>
    <w:pPr>
      <w:framePr w:y="4469"/>
    </w:pPr>
  </w:style>
  <w:style w:type="paragraph" w:customStyle="1" w:styleId="145">
    <w:name w:val="附录标题"/>
    <w:basedOn w:val="28"/>
    <w:next w:val="28"/>
    <w:qFormat/>
    <w:uiPriority w:val="0"/>
    <w:pPr>
      <w:ind w:firstLine="0" w:firstLineChars="0"/>
      <w:jc w:val="center"/>
    </w:pPr>
    <w:rPr>
      <w:rFonts w:ascii="黑体" w:eastAsia="黑体"/>
    </w:rPr>
  </w:style>
  <w:style w:type="paragraph" w:styleId="146">
    <w:name w:val="List Paragraph"/>
    <w:basedOn w:val="1"/>
    <w:qFormat/>
    <w:uiPriority w:val="1"/>
    <w:pPr>
      <w:numPr>
        <w:ilvl w:val="1"/>
        <w:numId w:val="9"/>
      </w:numPr>
    </w:pPr>
    <w:rPr>
      <w:rFonts w:ascii="Calibri" w:hAnsi="Calibri"/>
      <w:szCs w:val="22"/>
    </w:rPr>
  </w:style>
  <w:style w:type="paragraph" w:customStyle="1" w:styleId="147">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148">
    <w:name w:val="终结线"/>
    <w:basedOn w:val="1"/>
    <w:qFormat/>
    <w:uiPriority w:val="0"/>
    <w:pPr>
      <w:framePr w:hSpace="181" w:vSpace="181" w:wrap="around" w:vAnchor="text" w:hAnchor="margin" w:xAlign="center" w:y="285"/>
    </w:pPr>
  </w:style>
  <w:style w:type="paragraph" w:customStyle="1" w:styleId="149">
    <w:name w:val="正文表标题"/>
    <w:next w:val="28"/>
    <w:qFormat/>
    <w:uiPriority w:val="0"/>
    <w:pPr>
      <w:numPr>
        <w:ilvl w:val="0"/>
        <w:numId w:val="10"/>
      </w:numPr>
      <w:spacing w:beforeLines="50" w:afterLines="50"/>
      <w:jc w:val="center"/>
    </w:pPr>
    <w:rPr>
      <w:rFonts w:ascii="黑体" w:hAnsi="Times New Roman" w:eastAsia="黑体" w:cs="Times New Roman"/>
      <w:sz w:val="21"/>
      <w:lang w:val="en-US" w:eastAsia="zh-CN" w:bidi="ar-SA"/>
    </w:rPr>
  </w:style>
  <w:style w:type="paragraph" w:customStyle="1" w:styleId="150">
    <w:name w:val="图表脚注说明"/>
    <w:basedOn w:val="1"/>
    <w:qFormat/>
    <w:uiPriority w:val="0"/>
    <w:pPr>
      <w:ind w:left="544" w:hanging="181"/>
    </w:pPr>
    <w:rPr>
      <w:rFonts w:ascii="宋体"/>
      <w:sz w:val="18"/>
      <w:szCs w:val="18"/>
    </w:rPr>
  </w:style>
  <w:style w:type="paragraph" w:customStyle="1" w:styleId="151">
    <w:name w:val="附录四级无"/>
    <w:basedOn w:val="106"/>
    <w:qFormat/>
    <w:uiPriority w:val="0"/>
    <w:pPr>
      <w:spacing w:beforeLines="0" w:afterLines="0"/>
    </w:pPr>
    <w:rPr>
      <w:rFonts w:ascii="宋体" w:eastAsia="宋体"/>
      <w:szCs w:val="21"/>
    </w:rPr>
  </w:style>
  <w:style w:type="paragraph" w:customStyle="1" w:styleId="152">
    <w:name w:val="附录五级条标题"/>
    <w:basedOn w:val="106"/>
    <w:next w:val="28"/>
    <w:qFormat/>
    <w:uiPriority w:val="0"/>
    <w:pPr>
      <w:numPr>
        <w:ilvl w:val="6"/>
      </w:numPr>
      <w:outlineLvl w:val="6"/>
    </w:pPr>
  </w:style>
  <w:style w:type="paragraph" w:customStyle="1" w:styleId="153">
    <w:name w:val="其他发布部门"/>
    <w:basedOn w:val="131"/>
    <w:qFormat/>
    <w:uiPriority w:val="0"/>
    <w:pPr>
      <w:framePr w:y="15310"/>
      <w:spacing w:line="240" w:lineRule="atLeast"/>
    </w:pPr>
    <w:rPr>
      <w:rFonts w:ascii="黑体" w:eastAsia="黑体"/>
      <w:b w:val="0"/>
    </w:rPr>
  </w:style>
  <w:style w:type="paragraph" w:customStyle="1" w:styleId="154">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155">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5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styleId="15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58">
    <w:name w:val="附录表标题"/>
    <w:basedOn w:val="1"/>
    <w:next w:val="28"/>
    <w:qFormat/>
    <w:uiPriority w:val="0"/>
    <w:pPr>
      <w:numPr>
        <w:ilvl w:val="1"/>
        <w:numId w:val="5"/>
      </w:numPr>
      <w:tabs>
        <w:tab w:val="left" w:pos="180"/>
      </w:tabs>
      <w:spacing w:beforeLines="50" w:afterLines="50"/>
      <w:jc w:val="center"/>
    </w:pPr>
    <w:rPr>
      <w:rFonts w:ascii="黑体" w:eastAsia="黑体"/>
      <w:szCs w:val="21"/>
    </w:rPr>
  </w:style>
  <w:style w:type="paragraph" w:customStyle="1" w:styleId="159">
    <w:name w:val="示例×："/>
    <w:basedOn w:val="138"/>
    <w:qFormat/>
    <w:uiPriority w:val="0"/>
    <w:pPr>
      <w:numPr>
        <w:numId w:val="0"/>
      </w:numPr>
      <w:spacing w:beforeLines="0" w:afterLines="0"/>
      <w:ind w:firstLine="363"/>
      <w:outlineLvl w:val="9"/>
    </w:pPr>
    <w:rPr>
      <w:rFonts w:ascii="宋体" w:eastAsia="宋体"/>
      <w:sz w:val="18"/>
      <w:szCs w:val="18"/>
    </w:rPr>
  </w:style>
  <w:style w:type="paragraph" w:customStyle="1" w:styleId="16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61">
    <w:name w:val="附录五级无"/>
    <w:basedOn w:val="152"/>
    <w:qFormat/>
    <w:uiPriority w:val="0"/>
    <w:pPr>
      <w:spacing w:beforeLines="0" w:afterLines="0"/>
    </w:pPr>
    <w:rPr>
      <w:rFonts w:ascii="宋体" w:eastAsia="宋体"/>
      <w:szCs w:val="21"/>
    </w:rPr>
  </w:style>
  <w:style w:type="paragraph" w:customStyle="1" w:styleId="162">
    <w:name w:val="四级无"/>
    <w:basedOn w:val="98"/>
    <w:qFormat/>
    <w:uiPriority w:val="0"/>
    <w:pPr>
      <w:spacing w:beforeLines="0" w:afterLines="0"/>
    </w:pPr>
    <w:rPr>
      <w:rFonts w:ascii="宋体" w:eastAsia="宋体"/>
    </w:rPr>
  </w:style>
  <w:style w:type="paragraph" w:customStyle="1" w:styleId="163">
    <w:name w:val="附录二级无"/>
    <w:basedOn w:val="92"/>
    <w:qFormat/>
    <w:uiPriority w:val="0"/>
    <w:pPr>
      <w:spacing w:beforeLines="0" w:afterLines="0"/>
    </w:pPr>
    <w:rPr>
      <w:rFonts w:ascii="宋体" w:eastAsia="宋体"/>
      <w:szCs w:val="21"/>
    </w:rPr>
  </w:style>
  <w:style w:type="character" w:customStyle="1" w:styleId="164">
    <w:name w:val="font41"/>
    <w:qFormat/>
    <w:uiPriority w:val="0"/>
    <w:rPr>
      <w:rFonts w:hint="default" w:ascii="Arial" w:hAnsi="Arial" w:cs="Arial"/>
      <w:color w:val="000000"/>
      <w:sz w:val="21"/>
      <w:szCs w:val="21"/>
      <w:u w:val="none"/>
    </w:rPr>
  </w:style>
  <w:style w:type="paragraph" w:customStyle="1" w:styleId="165">
    <w:name w:val="Body text|1"/>
    <w:basedOn w:val="1"/>
    <w:qFormat/>
    <w:uiPriority w:val="0"/>
    <w:pPr>
      <w:spacing w:line="480" w:lineRule="auto"/>
      <w:ind w:firstLine="380"/>
    </w:pPr>
    <w:rPr>
      <w:rFonts w:ascii="宋体" w:hAnsi="宋体" w:cs="宋体"/>
      <w:sz w:val="20"/>
      <w:szCs w:val="20"/>
      <w:lang w:val="zh-TW" w:eastAsia="zh-TW" w:bidi="zh-TW"/>
    </w:rPr>
  </w:style>
  <w:style w:type="character" w:customStyle="1" w:styleId="166">
    <w:name w:val="日期 字符"/>
    <w:link w:val="19"/>
    <w:qFormat/>
    <w:uiPriority w:val="0"/>
    <w:rPr>
      <w:kern w:val="2"/>
      <w:sz w:val="21"/>
      <w:szCs w:val="24"/>
    </w:rPr>
  </w:style>
  <w:style w:type="character" w:customStyle="1" w:styleId="167">
    <w:name w:val="标题 2 字符"/>
    <w:link w:val="2"/>
    <w:qFormat/>
    <w:uiPriority w:val="0"/>
    <w:rPr>
      <w:rFonts w:ascii="等线 Light" w:hAnsi="等线 Light" w:eastAsia="等线 Light" w:cs="Times New Roman"/>
      <w:b/>
      <w:bCs/>
      <w:kern w:val="2"/>
      <w:sz w:val="32"/>
      <w:szCs w:val="32"/>
    </w:rPr>
  </w:style>
  <w:style w:type="table" w:customStyle="1" w:styleId="168">
    <w:name w:val="Table Normal"/>
    <w:semiHidden/>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69">
    <w:name w:val="Table Paragraph"/>
    <w:basedOn w:val="1"/>
    <w:qFormat/>
    <w:uiPriority w:val="1"/>
    <w:pPr>
      <w:autoSpaceDE w:val="0"/>
      <w:autoSpaceDN w:val="0"/>
      <w:spacing w:before="50"/>
      <w:jc w:val="left"/>
    </w:pPr>
    <w:rPr>
      <w:rFonts w:eastAsia="Times New Roman"/>
      <w:kern w:val="0"/>
      <w:sz w:val="22"/>
      <w:szCs w:val="22"/>
      <w:lang w:val="ca-ES" w:eastAsia="en-US"/>
    </w:rPr>
  </w:style>
  <w:style w:type="paragraph" w:customStyle="1" w:styleId="170">
    <w:name w:val="WPSOffice手动目录 1"/>
    <w:qFormat/>
    <w:uiPriority w:val="0"/>
    <w:rPr>
      <w:rFonts w:ascii="Times New Roman" w:hAnsi="Times New Roman" w:eastAsia="宋体" w:cs="Times New Roman"/>
      <w:lang w:val="en-US" w:eastAsia="zh-CN" w:bidi="ar-SA"/>
    </w:rPr>
  </w:style>
  <w:style w:type="paragraph" w:customStyle="1" w:styleId="17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72">
    <w:name w:val="页脚 字符"/>
    <w:basedOn w:val="40"/>
    <w:link w:val="22"/>
    <w:qFormat/>
    <w:uiPriority w:val="99"/>
    <w:rPr>
      <w:kern w:val="2"/>
      <w:sz w:val="18"/>
      <w:szCs w:val="18"/>
    </w:rPr>
  </w:style>
  <w:style w:type="paragraph" w:customStyle="1" w:styleId="17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17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175">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176">
    <w:name w:val="未处理的提及1"/>
    <w:basedOn w:val="40"/>
    <w:semiHidden/>
    <w:unhideWhenUsed/>
    <w:qFormat/>
    <w:uiPriority w:val="99"/>
    <w:rPr>
      <w:color w:val="605E5C"/>
      <w:shd w:val="clear" w:color="auto" w:fill="E1DFDD"/>
    </w:rPr>
  </w:style>
  <w:style w:type="paragraph" w:customStyle="1" w:styleId="17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2610</Words>
  <Characters>14878</Characters>
  <Lines>123</Lines>
  <Paragraphs>34</Paragraphs>
  <TotalTime>20</TotalTime>
  <ScaleCrop>false</ScaleCrop>
  <LinksUpToDate>false</LinksUpToDate>
  <CharactersWithSpaces>17454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2024-11-29T13:50:00Z</dcterms:created>
  <dc:creator>L Y</dc:creator>
  <cp:lastModifiedBy>scjgj</cp:lastModifiedBy>
  <cp:lastPrinted>2019-03-21T14:37:00Z</cp:lastPrinted>
  <dcterms:modified xsi:type="dcterms:W3CDTF">2024-12-04T11:44:00Z</dcterms:modified>
  <dc:title>标准名称</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51DDBD37238045E89B6207F363A6EC35_13</vt:lpwstr>
  </property>
  <property fmtid="{D5CDD505-2E9C-101B-9397-08002B2CF9AE}" pid="4" name="GrammarlyDocumentId">
    <vt:lpwstr>ed663cede3d781bfc35947bd008cda3bd9e7f35df178be80f577060743d9ced7</vt:lpwstr>
  </property>
</Properties>
</file>