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9A798">
      <w:pPr>
        <w:pStyle w:val="286"/>
        <w:bidi w:val="0"/>
        <w:rPr>
          <w:rFonts w:hint="eastAsia"/>
        </w:rPr>
      </w:pPr>
      <w:bookmarkStart w:id="0" w:name="标准封面"/>
      <w:bookmarkEnd w:id="0"/>
      <w:r>
        <w:rPr>
          <w:sz w:val="32"/>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-440690</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30pt;margin-top:-34.7pt;height:56.7pt;width:141.75pt;z-index:251659264;mso-width-relative:page;mso-height-relative:page;" filled="f" stroked="f" coordsize="21600,21600" o:gfxdata="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1/1GdsAAAAKAQAADwAAAAAAAAAB&#10;ACAAAAAiAAAAZHJzL2Rvd25yZXYueG1sUEsBAhQAFAAAAAgAh07iQGUWJfNGAgAAYgQAAA4AAAAA&#10;AAAAAQAgAAAAKgEAAGRycy9lMm9Eb2MueG1sUEsFBgAAAAAGAAYAWQEAAOIFAAAAAA==&#10;">
                <v:fill on="f" focussize="0,0"/>
                <v:stroke on="f" weight="0.5pt"/>
                <v:imagedata o:title=""/>
                <o:lock v:ext="edit" aspectratio="f"/>
                <v:textbox inset="0mm,0mm,2.54mm,0mm">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fill on="f" focussize="0,0"/>
                <v:stroke on="f" weight="0.5pt"/>
                <v:imagedata o:title=""/>
                <o:lock v:ext="edit" aspectratio="f"/>
                <v:textbox inset="0mm,0mm,2.54mm,0mm">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v:textbox>
              </v:shape>
            </w:pict>
          </mc:Fallback>
        </mc:AlternateContent>
      </w:r>
    </w:p>
    <w:p w14:paraId="2ABEB0B6">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fill on="f" focussize="0,0"/>
                <v:stroke on="f" weight="0.5pt"/>
                <v:imagedata o:title=""/>
                <o:lock v:ext="edit" aspectratio="f"/>
                <v:textbox inset="0mm,0mm,2.54mm,0mm">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v:textbox>
              </v:shape>
            </w:pict>
          </mc:Fallback>
        </mc:AlternateContent>
      </w:r>
    </w:p>
    <w:p w14:paraId="1D995526">
      <w:pPr>
        <w:pStyle w:val="258"/>
        <w:rPr>
          <w:rFonts w:hint="eastAsia"/>
        </w:rPr>
      </w:pPr>
    </w:p>
    <w:p w14:paraId="65C54713">
      <w:pPr>
        <w:pStyle w:val="258"/>
        <w:rPr>
          <w:rFonts w:hint="eastAsia"/>
        </w:rPr>
        <w:sectPr>
          <w:headerReference r:id="rId3" w:type="default"/>
          <w:footerReference r:id="rId5" w:type="default"/>
          <w:headerReference r:id="rId4" w:type="even"/>
          <w:footerReference r:id="rId6" w:type="even"/>
          <w:pgSz w:w="11907" w:h="16839"/>
          <w:pgMar w:top="1134" w:right="851" w:bottom="1134" w:left="1418" w:header="284" w:footer="1134" w:gutter="0"/>
          <w:lnNumType w:countBy="0" w:restart="continuous"/>
          <w:pgNumType w:fmt="upperRoman" w:start="1"/>
          <w:cols w:space="0" w:num="1"/>
          <w:titlePg/>
          <w:rtlGutter w:val="0"/>
          <w:docGrid w:linePitch="312" w:charSpace="0"/>
        </w:sectPr>
      </w:pPr>
      <w:bookmarkStart w:id="3" w:name="_GoBack"/>
      <w:bookmarkEnd w:id="3"/>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9500235</wp:posOffset>
                </wp:positionV>
                <wp:extent cx="2510790" cy="301625"/>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079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82.25pt;margin-top:748.05pt;height:23.75pt;width:197.7pt;mso-position-horizontal-relative:page;mso-position-vertical-relative:page;z-index:251668480;mso-width-relative:page;mso-height-relative:page;" filled="f" stroked="f" coordsize="21600,21600" o:gfxdata="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zx1WHbAAAADQEAAA8AAAAAAAAAAQAg&#10;AAAAIgAAAGRycy9kb3ducmV2LnhtbFBLAQIUABQAAAAIAIdO4kCdaLvlRAIAAF8EAAAOAAAAAAAA&#10;AAEAIAAAACoBAABkcnMvZTJvRG9jLnhtbFBLBQYAAAAABgAGAFkBAADgBQAAAAA=&#10;">
                <v:fill on="f" focussize="0,0"/>
                <v:stroke on="f" weight="0.5pt"/>
                <v:imagedata o:title=""/>
                <o:lock v:ext="edit" aspectratio="f"/>
                <v:textbox inset="0mm,0mm,0mm,0mm">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page">
                  <wp:posOffset>4968240</wp:posOffset>
                </wp:positionH>
                <wp:positionV relativeFrom="page">
                  <wp:posOffset>9582785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C1475">
                            <w:pPr>
                              <w:pStyle w:val="501"/>
                              <w:bidi w:val="0"/>
                              <w:ind w:left="0" w:leftChars="0" w:firstLine="0" w:firstLineChars="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391.2pt;margin-top:754.55pt;height:14.5pt;width:63.85pt;mso-position-horizontal-relative:page;mso-position-vertical-relative:page;mso-wrap-style:none;z-index:251669504;mso-width-relative:page;mso-height-relative:page;" filled="f" stroked="f" coordsize="21600,21600" o:gfxdata="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yJR9sAAAANAQAADwAAAAAAAAABACAAAAAi&#10;AAAAZHJzL2Rvd25yZXYueG1sUEsBAhQAFAAAAAgAh07iQOxlyeRAAgAAXQQAAA4AAAAAAAAAAQAg&#10;AAAAKgEAAGRycy9lMm9Eb2MueG1sUEsFBgAAAAAGAAYAWQEAANwFAAAAAA==&#10;">
                <v:fill on="f" focussize="0,0"/>
                <v:stroke on="f" weight="0.5pt"/>
                <v:imagedata o:title=""/>
                <o:lock v:ext="edit" aspectratio="f"/>
                <v:textbox inset="0mm,0mm,0mm,0mm">
                  <w:txbxContent>
                    <w:p w14:paraId="7C2C1475">
                      <w:pPr>
                        <w:pStyle w:val="501"/>
                        <w:bidi w:val="0"/>
                        <w:ind w:left="0" w:leftChars="0" w:firstLine="0" w:firstLineChars="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-40005</wp:posOffset>
                </wp:positionH>
                <wp:positionV relativeFrom="paragraph">
                  <wp:posOffset>7226300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3.15pt;margin-top:569pt;height:0pt;width:482pt;z-index:251667456;mso-width-relative:page;mso-height-relative:page;" filled="f" stroked="t" coordsize="21600,21600" o:gfxdata="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t7v&#10;Gt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6969125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48.75pt;height:28.35pt;width:226.8pt;z-index:251665408;mso-width-relative:page;mso-height-relative:page;" filled="f" stroked="f" coordsize="21600,21600" o:gfxdata="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0JEmLaAAAACgEAAA8AAAAAAAAA&#10;AQAgAAAAIgAAAGRycy9kb3ducmV2LnhtbFBLAQIUABQAAAAIAIdO4kB+56iSSAIAAGIEAAAOAAAA&#10;AAAAAAEAIAAAACkBAABkcnMvZTJvRG9jLnhtbFBLBQYAAAAABgAGAFkBAADjBQAAAAA=&#10;">
                <v:fill on="f" focussize="0,0"/>
                <v:stroke on="f" weight="0.5pt"/>
                <v:imagedata o:title=""/>
                <o:lock v:ext="edit" aspectratio="f"/>
                <v:textbox inset="0mm,0mm,2.54mm,0mm">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6969125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48.75pt;height:28.35pt;width:226.8pt;z-index:251666432;mso-width-relative:page;mso-height-relative:page;" filled="f" stroked="f" coordsize="21600,21600" o:gfxdata="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4gen13AAAAA0BAAAPAAAAAAAA&#10;AAEAIAAAACIAAABkcnMvZG93bnJldi54bWxQSwECFAAUAAAACACHTuJACuLfaUcCAABiBAAADgAA&#10;AAAAAAABACAAAAArAQAAZHJzL2Uyb0RvYy54bWxQSwUGAAAAAAYABgBZAQAA5AUAAAAA&#10;">
                <v:fill on="f" focussize="0,0"/>
                <v:stroke on="f" weight="0.5pt"/>
                <v:imagedata o:title=""/>
                <o:lock v:ext="edit" aspectratio="f"/>
                <v:textbox inset="0mm,0mm,2.54mm,0mm">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1E8B2">
                            <w:pPr>
                              <w:pStyle w:val="268"/>
                              <w:bidi w:val="0"/>
                              <w:rPr>
                                <w:rFonts w:hint="eastAsia"/>
                                <w:lang w:eastAsia="zh-CN"/>
                              </w:rPr>
                            </w:pPr>
                            <w:r>
                              <w:rPr>
                                <w:rFonts w:hint="eastAsia" w:ascii="黑体" w:hAnsi="黑体" w:eastAsia="黑体" w:cs="黑体"/>
                                <w:b/>
                                <w:bCs/>
                                <w:sz w:val="48"/>
                                <w:szCs w:val="48"/>
                              </w:rPr>
                              <w:t>可变气门正时系统用驱动阀</w:t>
                            </w:r>
                          </w:p>
                          <w:p w14:paraId="6A5693C8">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ascii="Arial" w:hAnsi="Arial" w:eastAsia="宋体" w:cs="Arial"/>
                                <w:i w:val="0"/>
                                <w:iCs w:val="0"/>
                                <w:caps w:val="0"/>
                                <w:color w:val="333333"/>
                                <w:spacing w:val="0"/>
                                <w:sz w:val="30"/>
                                <w:szCs w:val="30"/>
                                <w:shd w:val="clear" w:fill="FFFFFF"/>
                              </w:rPr>
                            </w:pPr>
                            <w:r>
                              <w:rPr>
                                <w:rFonts w:hint="eastAsia" w:ascii="Arial" w:hAnsi="Arial" w:eastAsia="宋体" w:cs="Arial"/>
                                <w:i w:val="0"/>
                                <w:iCs w:val="0"/>
                                <w:caps w:val="0"/>
                                <w:color w:val="333333"/>
                                <w:spacing w:val="0"/>
                                <w:sz w:val="30"/>
                                <w:szCs w:val="30"/>
                                <w:shd w:val="clear" w:fill="FFFFFF"/>
                              </w:rPr>
                              <w:t>Drive valve for variable valve timing system</w:t>
                            </w:r>
                          </w:p>
                          <w:p w14:paraId="6A70C5A4">
                            <w:pPr>
                              <w:pStyle w:val="271"/>
                              <w:keepNext w:val="0"/>
                              <w:keepLines w:val="0"/>
                              <w:pageBreakBefore w:val="0"/>
                              <w:widowControl w:val="0"/>
                              <w:kinsoku/>
                              <w:wordWrap/>
                              <w:overflowPunct/>
                              <w:topLinePunct w:val="0"/>
                              <w:bidi w:val="0"/>
                              <w:adjustRightInd/>
                              <w:snapToGrid/>
                              <w:spacing w:before="0" w:beforeLines="10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fill on="f" focussize="0,0"/>
                <v:stroke on="f" weight="0.5pt"/>
                <v:imagedata o:title=""/>
                <o:lock v:ext="edit" aspectratio="f"/>
                <v:textbox inset="0mm,0mm,2.54mm,0mm">
                  <w:txbxContent>
                    <w:p w14:paraId="7771E8B2">
                      <w:pPr>
                        <w:pStyle w:val="268"/>
                        <w:bidi w:val="0"/>
                        <w:rPr>
                          <w:rFonts w:hint="eastAsia"/>
                          <w:lang w:eastAsia="zh-CN"/>
                        </w:rPr>
                      </w:pPr>
                      <w:r>
                        <w:rPr>
                          <w:rFonts w:hint="eastAsia" w:ascii="黑体" w:hAnsi="黑体" w:eastAsia="黑体" w:cs="黑体"/>
                          <w:b/>
                          <w:bCs/>
                          <w:sz w:val="48"/>
                          <w:szCs w:val="48"/>
                        </w:rPr>
                        <w:t>可变气门正时系统用驱动阀</w:t>
                      </w:r>
                    </w:p>
                    <w:p w14:paraId="6A5693C8">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ascii="Arial" w:hAnsi="Arial" w:eastAsia="宋体" w:cs="Arial"/>
                          <w:i w:val="0"/>
                          <w:iCs w:val="0"/>
                          <w:caps w:val="0"/>
                          <w:color w:val="333333"/>
                          <w:spacing w:val="0"/>
                          <w:sz w:val="30"/>
                          <w:szCs w:val="30"/>
                          <w:shd w:val="clear" w:fill="FFFFFF"/>
                        </w:rPr>
                      </w:pPr>
                      <w:r>
                        <w:rPr>
                          <w:rFonts w:hint="eastAsia" w:ascii="Arial" w:hAnsi="Arial" w:eastAsia="宋体" w:cs="Arial"/>
                          <w:i w:val="0"/>
                          <w:iCs w:val="0"/>
                          <w:caps w:val="0"/>
                          <w:color w:val="333333"/>
                          <w:spacing w:val="0"/>
                          <w:sz w:val="30"/>
                          <w:szCs w:val="30"/>
                          <w:shd w:val="clear" w:fill="FFFFFF"/>
                        </w:rPr>
                        <w:t>Drive valve for variable valve timing system</w:t>
                      </w:r>
                    </w:p>
                    <w:p w14:paraId="6A70C5A4">
                      <w:pPr>
                        <w:pStyle w:val="271"/>
                        <w:keepNext w:val="0"/>
                        <w:keepLines w:val="0"/>
                        <w:pageBreakBefore w:val="0"/>
                        <w:widowControl w:val="0"/>
                        <w:kinsoku/>
                        <w:wordWrap/>
                        <w:overflowPunct/>
                        <w:topLinePunct w:val="0"/>
                        <w:bidi w:val="0"/>
                        <w:adjustRightInd/>
                        <w:snapToGrid/>
                        <w:spacing w:before="0" w:beforeLines="10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fill on="f" focussize="0,0"/>
                <v:stroke on="f" weight="0.5pt"/>
                <v:imagedata o:title=""/>
                <o:lock v:ext="edit" aspectratio="f"/>
                <v:textbox inset="0mm,0mm,2.54mm,0mm">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v:textbox>
              </v:shape>
            </w:pict>
          </mc:Fallback>
        </mc:AlternateContent>
      </w:r>
    </w:p>
    <w:p w14:paraId="2DCF474E">
      <w:pPr>
        <w:pStyle w:val="256"/>
        <w:bidi w:val="0"/>
        <w:rPr>
          <w:rFonts w:hint="eastAsia"/>
          <w:lang w:eastAsia="zh-CN"/>
        </w:rPr>
      </w:pPr>
      <w:bookmarkStart w:id="1" w:name="标准前言"/>
      <w:bookmarkEnd w:id="1"/>
      <w:r>
        <w:rPr>
          <w:rFonts w:hint="eastAsia"/>
          <w:lang w:eastAsia="zh-CN"/>
        </w:rPr>
        <w:t>前    言</w:t>
      </w:r>
    </w:p>
    <w:p w14:paraId="04497FDC">
      <w:pPr>
        <w:pStyle w:val="258"/>
        <w:bidi w:val="0"/>
        <w:rPr>
          <w:rFonts w:hint="eastAsia"/>
          <w:lang w:eastAsia="zh-CN"/>
        </w:rPr>
      </w:pPr>
      <w:r>
        <w:rPr>
          <w:rFonts w:hint="eastAsia"/>
          <w:lang w:eastAsia="zh-CN"/>
        </w:rPr>
        <w:t>本</w:t>
      </w:r>
      <w:r>
        <w:rPr>
          <w:rFonts w:hint="eastAsia"/>
          <w:lang w:val="en-US" w:eastAsia="zh-CN"/>
        </w:rPr>
        <w:t>文件</w:t>
      </w:r>
      <w:r>
        <w:rPr>
          <w:rFonts w:hint="eastAsia"/>
          <w:lang w:eastAsia="zh-CN"/>
        </w:rPr>
        <w:t>按照</w:t>
      </w:r>
      <w:r>
        <w:rPr>
          <w:rFonts w:hint="default"/>
          <w:lang w:eastAsia="zh-CN"/>
        </w:rPr>
        <w:t>GB/T 1.1</w:t>
      </w:r>
      <w:r>
        <w:rPr>
          <w:rFonts w:hint="eastAsia"/>
          <w:lang w:eastAsia="zh-CN"/>
        </w:rPr>
        <w:t>《标准化工作导则第1部分:标准化文件的结构和起草规则》的规定起草。</w:t>
      </w:r>
    </w:p>
    <w:p w14:paraId="43FD65E6">
      <w:pPr>
        <w:pStyle w:val="258"/>
        <w:bidi w:val="0"/>
        <w:rPr>
          <w:rFonts w:hint="eastAsia"/>
        </w:rPr>
      </w:pPr>
      <w:r>
        <w:rPr>
          <w:rFonts w:hint="eastAsia"/>
        </w:rPr>
        <w:t>请注意本文件的某些内容有可能涉及专利。本文件的发布机构不承担识别专利的责任。</w:t>
      </w:r>
    </w:p>
    <w:p w14:paraId="0930EF0E">
      <w:pPr>
        <w:pStyle w:val="258"/>
        <w:bidi w:val="0"/>
        <w:rPr>
          <w:rFonts w:hint="eastAsia"/>
        </w:rPr>
      </w:pPr>
      <w:r>
        <w:rPr>
          <w:rFonts w:hint="eastAsia"/>
        </w:rPr>
        <w:t>本</w:t>
      </w:r>
      <w:r>
        <w:rPr>
          <w:rFonts w:hint="eastAsia"/>
          <w:lang w:val="en-US" w:eastAsia="zh-CN"/>
        </w:rPr>
        <w:t>文件</w:t>
      </w:r>
      <w:r>
        <w:rPr>
          <w:rFonts w:hint="eastAsia"/>
        </w:rPr>
        <w:t>由江苏海龙电器有限公司提出</w:t>
      </w:r>
      <w:r>
        <w:rPr>
          <w:rFonts w:hint="eastAsia"/>
          <w:lang w:val="en-US" w:eastAsia="zh-CN"/>
        </w:rPr>
        <w:t>并归口</w:t>
      </w:r>
      <w:r>
        <w:rPr>
          <w:rFonts w:hint="eastAsia"/>
        </w:rPr>
        <w:t>。</w:t>
      </w:r>
    </w:p>
    <w:p w14:paraId="62790135">
      <w:pPr>
        <w:pStyle w:val="258"/>
        <w:bidi w:val="0"/>
        <w:rPr>
          <w:rFonts w:hint="eastAsia"/>
          <w:lang w:eastAsia="zh-CN"/>
        </w:rPr>
      </w:pPr>
      <w:r>
        <w:rPr>
          <w:rFonts w:hint="eastAsia"/>
        </w:rPr>
        <w:t>本</w:t>
      </w:r>
      <w:r>
        <w:rPr>
          <w:rFonts w:hint="eastAsia"/>
          <w:lang w:val="en-US" w:eastAsia="zh-CN"/>
        </w:rPr>
        <w:t>文件</w:t>
      </w:r>
      <w:r>
        <w:rPr>
          <w:rFonts w:hint="eastAsia"/>
        </w:rPr>
        <w:t>起草单位：江苏海龙电器有限公司、海安南京大学</w:t>
      </w:r>
      <w:r>
        <w:rPr>
          <w:rFonts w:hint="eastAsia"/>
          <w:lang w:val="en-US" w:eastAsia="zh-CN"/>
        </w:rPr>
        <w:t>高新</w:t>
      </w:r>
      <w:r>
        <w:rPr>
          <w:rFonts w:hint="eastAsia"/>
        </w:rPr>
        <w:t>技术研究院</w:t>
      </w:r>
      <w:r>
        <w:rPr>
          <w:rFonts w:hint="eastAsia"/>
          <w:lang w:eastAsia="zh-CN"/>
        </w:rPr>
        <w:t>、</w:t>
      </w:r>
      <w:r>
        <w:rPr>
          <w:rFonts w:hint="eastAsia"/>
        </w:rPr>
        <w:t>泰州德尔福汽车电器有限公司、吉利控股集团、泰州市标准化协会</w:t>
      </w:r>
      <w:r>
        <w:rPr>
          <w:rFonts w:hint="eastAsia"/>
          <w:lang w:eastAsia="zh-CN"/>
        </w:rPr>
        <w:t>。</w:t>
      </w:r>
    </w:p>
    <w:p w14:paraId="2D51CF4A">
      <w:pPr>
        <w:pStyle w:val="258"/>
        <w:bidi w:val="0"/>
        <w:rPr>
          <w:rFonts w:hint="eastAsia"/>
          <w:lang w:eastAsia="zh-CN"/>
        </w:rPr>
      </w:pPr>
      <w:r>
        <w:rPr>
          <w:rFonts w:hint="eastAsia"/>
        </w:rPr>
        <w:t>本</w:t>
      </w:r>
      <w:r>
        <w:rPr>
          <w:rFonts w:hint="eastAsia"/>
          <w:lang w:val="en-US" w:eastAsia="zh-CN"/>
        </w:rPr>
        <w:t>文件</w:t>
      </w:r>
      <w:r>
        <w:rPr>
          <w:rFonts w:hint="eastAsia"/>
        </w:rPr>
        <w:t>主要起草人：朱圣明、张宪、孟宾宾、丁军宏、胡敏浩、王正林、李杰。</w:t>
      </w:r>
    </w:p>
    <w:p w14:paraId="67E78B92">
      <w:pPr>
        <w:pStyle w:val="258"/>
        <w:bidi w:val="0"/>
        <w:rPr>
          <w:rFonts w:hint="eastAsia" w:ascii="宋体" w:hAnsi="宋体" w:eastAsia="宋体" w:cs="宋体"/>
          <w:lang w:val="en-US" w:eastAsia="zh-CN"/>
        </w:rPr>
      </w:pPr>
    </w:p>
    <w:p w14:paraId="271B2111">
      <w:pPr>
        <w:pStyle w:val="258"/>
        <w:bidi w:val="0"/>
        <w:rPr>
          <w:rFonts w:hint="eastAsia" w:ascii="宋体" w:hAnsi="宋体" w:eastAsia="宋体" w:cs="宋体"/>
          <w:lang w:val="en-US" w:eastAsia="zh-CN"/>
        </w:rPr>
        <w:sectPr>
          <w:headerReference r:id="rId8" w:type="first"/>
          <w:headerReference r:id="rId7" w:type="default"/>
          <w:footerReference r:id="rId9" w:type="default"/>
          <w:pgSz w:w="11905" w:h="16838"/>
          <w:pgMar w:top="1134" w:right="1134" w:bottom="1134" w:left="1134" w:header="1417" w:footer="1134" w:gutter="283"/>
          <w:pgNumType w:fmt="upperRoman" w:start="1"/>
          <w:cols w:space="0" w:num="1"/>
          <w:rtlGutter w:val="0"/>
          <w:docGrid w:type="linesAndChars" w:linePitch="312" w:charSpace="530"/>
        </w:sectPr>
      </w:pPr>
    </w:p>
    <w:p w14:paraId="481BFC9E">
      <w:pPr>
        <w:pStyle w:val="316"/>
        <w:bidi w:val="0"/>
        <w:rPr>
          <w:rFonts w:hint="eastAsia"/>
          <w:lang w:eastAsia="zh-CN"/>
        </w:rPr>
      </w:pPr>
      <w:bookmarkStart w:id="2" w:name="标准内容"/>
      <w:bookmarkEnd w:id="2"/>
      <w:r>
        <w:rPr>
          <w:rFonts w:hint="eastAsia"/>
          <w:lang w:eastAsia="zh-CN"/>
        </w:rPr>
        <w:t>可变正时系统用驱动阀</w:t>
      </w:r>
    </w:p>
    <w:p w14:paraId="4B95452F">
      <w:pPr>
        <w:pStyle w:val="259"/>
        <w:bidi w:val="0"/>
        <w:rPr>
          <w:lang w:val="en-US" w:eastAsia="zh-CN"/>
        </w:rPr>
      </w:pPr>
      <w:r>
        <w:rPr>
          <w:rFonts w:hint="eastAsia"/>
          <w:lang w:val="en-US" w:eastAsia="zh-CN"/>
        </w:rPr>
        <w:t>范围</w:t>
      </w:r>
    </w:p>
    <w:p w14:paraId="24F3D55D">
      <w:pPr>
        <w:pStyle w:val="258"/>
        <w:bidi w:val="0"/>
      </w:pPr>
      <w:r>
        <w:rPr>
          <w:rFonts w:hint="eastAsia"/>
        </w:rPr>
        <w:t>本文件规定了可变正时用驱动阀(以下简称OCV阀)的基本参数、技术要求、试验方法、检验规则和标志、包装、运输和贮存等要求。</w:t>
      </w:r>
    </w:p>
    <w:p w14:paraId="460E7528">
      <w:pPr>
        <w:pStyle w:val="258"/>
        <w:bidi w:val="0"/>
      </w:pPr>
      <w:r>
        <w:rPr>
          <w:rFonts w:hint="eastAsia"/>
        </w:rPr>
        <w:t>本文件适用于可变正时用驱动阀。</w:t>
      </w:r>
    </w:p>
    <w:p w14:paraId="7FBFD0E2">
      <w:pPr>
        <w:pStyle w:val="258"/>
        <w:bidi w:val="0"/>
      </w:pPr>
      <w:r>
        <w:rPr>
          <w:rFonts w:hint="eastAsia"/>
        </w:rPr>
        <w:t>本文件中的指标不得违反国家法律、法规、规章、强制性标准中的有关规定。否则，该指标无效，并应执行国家法律、法规、规章、强制性标准中的相关规定。</w:t>
      </w:r>
    </w:p>
    <w:p w14:paraId="7A1E7786">
      <w:pPr>
        <w:pStyle w:val="259"/>
        <w:bidi w:val="0"/>
        <w:rPr>
          <w:lang w:val="en-US" w:eastAsia="zh-CN"/>
        </w:rPr>
      </w:pPr>
      <w:r>
        <w:rPr>
          <w:rFonts w:hint="eastAsia"/>
          <w:lang w:val="en-US" w:eastAsia="zh-CN"/>
        </w:rPr>
        <w:t>规范性引用文件</w:t>
      </w:r>
    </w:p>
    <w:p w14:paraId="4C27B047">
      <w:pPr>
        <w:pStyle w:val="258"/>
        <w:bidi w:val="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4B0B8AC">
      <w:pPr>
        <w:pStyle w:val="258"/>
        <w:bidi w:val="0"/>
        <w:rPr>
          <w:lang w:val="en-US" w:eastAsia="zh-CN"/>
        </w:rPr>
      </w:pPr>
      <w:r>
        <w:rPr>
          <w:rFonts w:hint="eastAsia"/>
          <w:lang w:val="en-US" w:eastAsia="zh-CN"/>
        </w:rPr>
        <w:t xml:space="preserve">GB/T 3821-2015 </w:t>
      </w:r>
      <w:r>
        <w:rPr>
          <w:lang w:val="en-US" w:eastAsia="zh-CN"/>
        </w:rPr>
        <w:t>中小功率内燃机 清洁度限值和测定方法</w:t>
      </w:r>
    </w:p>
    <w:p w14:paraId="6616C81D">
      <w:pPr>
        <w:pStyle w:val="258"/>
        <w:bidi w:val="0"/>
        <w:rPr>
          <w:lang w:val="en-US" w:eastAsia="zh-CN"/>
        </w:rPr>
      </w:pPr>
      <w:r>
        <w:rPr>
          <w:rFonts w:hint="eastAsia"/>
          <w:lang w:val="en-US" w:eastAsia="zh-CN"/>
        </w:rPr>
        <w:t>GB 11121-2006 汽油机油</w:t>
      </w:r>
    </w:p>
    <w:p w14:paraId="031DCE70">
      <w:pPr>
        <w:pStyle w:val="258"/>
        <w:bidi w:val="0"/>
        <w:rPr>
          <w:lang w:val="en-US" w:eastAsia="zh-CN"/>
        </w:rPr>
      </w:pPr>
      <w:r>
        <w:rPr>
          <w:rFonts w:hint="eastAsia"/>
          <w:lang w:val="en-US" w:eastAsia="zh-CN"/>
        </w:rPr>
        <w:t>GB/T 14039-2002液压传动固体颗粒污染等级代号</w:t>
      </w:r>
    </w:p>
    <w:p w14:paraId="0F153E1E">
      <w:pPr>
        <w:pStyle w:val="258"/>
        <w:bidi w:val="0"/>
        <w:rPr>
          <w:lang w:val="en-US" w:eastAsia="zh-CN"/>
        </w:rPr>
      </w:pPr>
      <w:r>
        <w:rPr>
          <w:rFonts w:hint="eastAsia"/>
          <w:lang w:val="en-US" w:eastAsia="zh-CN"/>
        </w:rPr>
        <w:t>GB/T 17626.2-2018 电磁兼容 试验和测量技术 静电放电抗扰度试验</w:t>
      </w:r>
    </w:p>
    <w:p w14:paraId="60EA8C4B">
      <w:pPr>
        <w:pStyle w:val="258"/>
        <w:bidi w:val="0"/>
        <w:rPr>
          <w:lang w:val="en-US" w:eastAsia="zh-CN"/>
        </w:rPr>
      </w:pPr>
      <w:r>
        <w:rPr>
          <w:rFonts w:hint="eastAsia"/>
          <w:lang w:val="en-US" w:eastAsia="zh-CN"/>
        </w:rPr>
        <w:t>GB/T 21437.2-2021 道路车辆 电气/电子部件对传导和耦合引起的电骚扰试验方法第2部分：沿电源线的电瞬态传导发射和抗扰性</w:t>
      </w:r>
    </w:p>
    <w:p w14:paraId="6C6F5093">
      <w:pPr>
        <w:pStyle w:val="258"/>
        <w:bidi w:val="0"/>
        <w:rPr>
          <w:lang w:val="en-US" w:eastAsia="zh-CN"/>
        </w:rPr>
      </w:pPr>
      <w:r>
        <w:rPr>
          <w:rFonts w:hint="eastAsia"/>
          <w:lang w:val="en-US" w:eastAsia="zh-CN"/>
        </w:rPr>
        <w:t>GB/T 30038-2013 道路车辆 电气电子设备防护等级（IP代码）</w:t>
      </w:r>
    </w:p>
    <w:p w14:paraId="2ADE0041">
      <w:pPr>
        <w:pStyle w:val="258"/>
        <w:bidi w:val="0"/>
        <w:rPr>
          <w:lang w:val="en-US" w:eastAsia="zh-CN"/>
        </w:rPr>
      </w:pPr>
      <w:r>
        <w:rPr>
          <w:rFonts w:hint="eastAsia"/>
          <w:lang w:val="en-US" w:eastAsia="zh-CN"/>
        </w:rPr>
        <w:t>JB/T 7858-2006</w:t>
      </w:r>
      <w:r>
        <w:rPr>
          <w:lang w:val="en-US" w:eastAsia="zh-CN"/>
        </w:rPr>
        <w:t>液压件清洁度评定方法及液压件清洁度指标</w:t>
      </w:r>
    </w:p>
    <w:p w14:paraId="076C0A44">
      <w:pPr>
        <w:pStyle w:val="258"/>
        <w:bidi w:val="0"/>
        <w:rPr>
          <w:lang w:val="en-US" w:eastAsia="zh-CN"/>
        </w:rPr>
      </w:pPr>
      <w:r>
        <w:rPr>
          <w:rFonts w:hint="eastAsia"/>
          <w:lang w:val="en-US" w:eastAsia="zh-CN"/>
        </w:rPr>
        <w:t>QC/T 413-2002 汽车电气设备基本技术条件</w:t>
      </w:r>
    </w:p>
    <w:p w14:paraId="2A0E157A">
      <w:pPr>
        <w:pStyle w:val="259"/>
        <w:numPr>
          <w:ilvl w:val="0"/>
          <w:numId w:val="11"/>
        </w:numPr>
      </w:pPr>
      <w:r>
        <w:rPr>
          <w:rFonts w:hint="eastAsia"/>
        </w:rPr>
        <w:t>术语</w:t>
      </w:r>
      <w:r>
        <w:t>和定义</w:t>
      </w:r>
    </w:p>
    <w:p w14:paraId="07B00A07">
      <w:pPr>
        <w:pStyle w:val="258"/>
      </w:pPr>
      <w:r>
        <w:rPr>
          <w:rFonts w:hint="eastAsia"/>
        </w:rPr>
        <w:t>下列术语和定义适用于本文件。</w:t>
      </w:r>
    </w:p>
    <w:p w14:paraId="6633D4A4">
      <w:pPr>
        <w:pStyle w:val="324"/>
        <w:bidi w:val="0"/>
      </w:pPr>
      <w:r>
        <w:rPr>
          <w:rFonts w:hint="eastAsia"/>
          <w:lang w:eastAsia="zh-CN"/>
        </w:rPr>
        <w:br w:type="textWrapping"/>
      </w:r>
      <w:r>
        <w:rPr>
          <w:rFonts w:hint="eastAsia"/>
          <w:lang w:eastAsia="zh-CN"/>
        </w:rPr>
        <w:t xml:space="preserve">    </w:t>
      </w:r>
      <w:r>
        <w:rPr>
          <w:rFonts w:hint="eastAsia"/>
        </w:rPr>
        <w:t>阀电阻</w:t>
      </w:r>
    </w:p>
    <w:p w14:paraId="40EBDDAB">
      <w:pPr>
        <w:spacing w:line="360" w:lineRule="auto"/>
        <w:ind w:firstLine="420" w:firstLineChars="200"/>
        <w:rPr>
          <w:rFonts w:ascii="宋体" w:hAnsi="宋体" w:cs="宋体"/>
        </w:rPr>
      </w:pPr>
      <w:r>
        <w:rPr>
          <w:rFonts w:hint="eastAsia" w:ascii="宋体" w:hAnsi="宋体" w:cs="宋体"/>
        </w:rPr>
        <w:t>在规定温度下测得的阀螺管线圈的电阻值。</w:t>
      </w:r>
    </w:p>
    <w:p w14:paraId="462940DD">
      <w:pPr>
        <w:pStyle w:val="324"/>
        <w:bidi w:val="0"/>
      </w:pPr>
      <w:r>
        <w:rPr>
          <w:rFonts w:hint="eastAsia"/>
          <w:lang w:eastAsia="zh-CN"/>
        </w:rPr>
        <w:br w:type="textWrapping"/>
      </w:r>
      <w:r>
        <w:rPr>
          <w:rFonts w:hint="eastAsia"/>
          <w:lang w:eastAsia="zh-CN"/>
        </w:rPr>
        <w:t xml:space="preserve">    </w:t>
      </w:r>
      <w:r>
        <w:rPr>
          <w:rFonts w:hint="eastAsia"/>
        </w:rPr>
        <w:t>阀电感</w:t>
      </w:r>
    </w:p>
    <w:p w14:paraId="426DE53A">
      <w:pPr>
        <w:spacing w:line="360" w:lineRule="auto"/>
        <w:ind w:firstLine="420" w:firstLineChars="200"/>
        <w:rPr>
          <w:rFonts w:ascii="宋体" w:hAnsi="宋体" w:cs="宋体"/>
        </w:rPr>
      </w:pPr>
      <w:r>
        <w:rPr>
          <w:rFonts w:hint="eastAsia" w:ascii="宋体" w:hAnsi="宋体" w:cs="宋体"/>
        </w:rPr>
        <w:t>在规定温度、测试频率下测得的阀的电感值。</w:t>
      </w:r>
    </w:p>
    <w:p w14:paraId="30DAFA43">
      <w:pPr>
        <w:pStyle w:val="324"/>
        <w:bidi w:val="0"/>
      </w:pPr>
      <w:r>
        <w:rPr>
          <w:rFonts w:hint="eastAsia"/>
          <w:lang w:eastAsia="zh-CN"/>
        </w:rPr>
        <w:br w:type="textWrapping"/>
      </w:r>
      <w:r>
        <w:rPr>
          <w:rFonts w:hint="eastAsia"/>
          <w:lang w:eastAsia="zh-CN"/>
        </w:rPr>
        <w:t xml:space="preserve">    </w:t>
      </w:r>
      <w:r>
        <w:rPr>
          <w:rFonts w:hint="eastAsia"/>
        </w:rPr>
        <w:t>绝缘电阻</w:t>
      </w:r>
    </w:p>
    <w:p w14:paraId="20E38262">
      <w:pPr>
        <w:spacing w:line="360" w:lineRule="auto"/>
        <w:ind w:firstLine="420" w:firstLineChars="200"/>
        <w:rPr>
          <w:rFonts w:ascii="宋体" w:hAnsi="宋体" w:cs="宋体"/>
        </w:rPr>
      </w:pPr>
      <w:r>
        <w:rPr>
          <w:rFonts w:hint="eastAsia" w:ascii="宋体" w:hAnsi="宋体" w:cs="宋体"/>
        </w:rPr>
        <w:t>在规定的直流电压、测试时间下测得的绝缘电阻值。</w:t>
      </w:r>
    </w:p>
    <w:p w14:paraId="68AD3D1D">
      <w:pPr>
        <w:pStyle w:val="324"/>
        <w:bidi w:val="0"/>
      </w:pPr>
      <w:r>
        <w:rPr>
          <w:rFonts w:hint="eastAsia"/>
          <w:lang w:eastAsia="zh-CN"/>
        </w:rPr>
        <w:br w:type="textWrapping"/>
      </w:r>
      <w:r>
        <w:rPr>
          <w:rFonts w:hint="eastAsia"/>
          <w:lang w:eastAsia="zh-CN"/>
        </w:rPr>
        <w:t xml:space="preserve">    </w:t>
      </w:r>
      <w:r>
        <w:rPr>
          <w:rFonts w:hint="eastAsia"/>
        </w:rPr>
        <w:t>输入信号</w:t>
      </w:r>
    </w:p>
    <w:p w14:paraId="19138F6F">
      <w:pPr>
        <w:spacing w:line="360" w:lineRule="auto"/>
        <w:ind w:firstLine="420" w:firstLineChars="200"/>
        <w:rPr>
          <w:rFonts w:ascii="宋体" w:hAnsi="宋体" w:cs="宋体"/>
        </w:rPr>
      </w:pPr>
      <w:r>
        <w:rPr>
          <w:rFonts w:hint="eastAsia" w:ascii="宋体" w:hAnsi="宋体" w:cs="宋体"/>
        </w:rPr>
        <w:t>在规定的电压、频率下输入给阀的PWM信号。</w:t>
      </w:r>
    </w:p>
    <w:p w14:paraId="28E29B1A">
      <w:pPr>
        <w:pStyle w:val="324"/>
        <w:bidi w:val="0"/>
      </w:pPr>
      <w:r>
        <w:rPr>
          <w:rFonts w:hint="eastAsia"/>
          <w:lang w:eastAsia="zh-CN"/>
        </w:rPr>
        <w:br w:type="textWrapping"/>
      </w:r>
      <w:r>
        <w:rPr>
          <w:rFonts w:hint="eastAsia"/>
          <w:lang w:eastAsia="zh-CN"/>
        </w:rPr>
        <w:t xml:space="preserve">    </w:t>
      </w:r>
      <w:r>
        <w:rPr>
          <w:rFonts w:hint="eastAsia"/>
        </w:rPr>
        <w:t>输出流量</w:t>
      </w:r>
    </w:p>
    <w:p w14:paraId="2E7D919C">
      <w:pPr>
        <w:spacing w:line="360" w:lineRule="auto"/>
        <w:ind w:firstLine="420" w:firstLineChars="200"/>
        <w:rPr>
          <w:rFonts w:ascii="宋体" w:hAnsi="宋体" w:cs="宋体"/>
        </w:rPr>
      </w:pPr>
      <w:r>
        <w:rPr>
          <w:rFonts w:hint="eastAsia" w:ascii="宋体" w:hAnsi="宋体" w:cs="宋体"/>
        </w:rPr>
        <w:t>在规定的机油粘度、测试压力条件下，随着输入信号输出的机油流量。</w:t>
      </w:r>
    </w:p>
    <w:p w14:paraId="6B2F60D3">
      <w:pPr>
        <w:pStyle w:val="324"/>
        <w:bidi w:val="0"/>
      </w:pPr>
      <w:r>
        <w:rPr>
          <w:rFonts w:hint="eastAsia"/>
          <w:lang w:eastAsia="zh-CN"/>
        </w:rPr>
        <w:br w:type="textWrapping"/>
      </w:r>
      <w:r>
        <w:rPr>
          <w:rFonts w:hint="eastAsia"/>
          <w:lang w:eastAsia="zh-CN"/>
        </w:rPr>
        <w:t xml:space="preserve">    </w:t>
      </w:r>
      <w:r>
        <w:rPr>
          <w:rFonts w:hint="eastAsia"/>
        </w:rPr>
        <w:t>额定流量</w:t>
      </w:r>
    </w:p>
    <w:p w14:paraId="2FA12820">
      <w:pPr>
        <w:spacing w:line="360" w:lineRule="auto"/>
        <w:ind w:firstLine="420" w:firstLineChars="200"/>
        <w:rPr>
          <w:rFonts w:ascii="宋体" w:hAnsi="宋体" w:cs="宋体"/>
        </w:rPr>
      </w:pPr>
      <w:r>
        <w:rPr>
          <w:rFonts w:hint="eastAsia" w:ascii="宋体" w:hAnsi="宋体" w:cs="宋体"/>
        </w:rPr>
        <w:t>在规定油压、粘度下，输入额定占空比时的流量，本标准适用输入额定占空比为5%及95%。</w:t>
      </w:r>
    </w:p>
    <w:p w14:paraId="7D2E80ED">
      <w:pPr>
        <w:pStyle w:val="324"/>
        <w:bidi w:val="0"/>
      </w:pPr>
      <w:r>
        <w:rPr>
          <w:rFonts w:hint="eastAsia"/>
          <w:lang w:eastAsia="zh-CN"/>
        </w:rPr>
        <w:br w:type="textWrapping"/>
      </w:r>
      <w:r>
        <w:rPr>
          <w:rFonts w:hint="eastAsia"/>
          <w:lang w:eastAsia="zh-CN"/>
        </w:rPr>
        <w:t xml:space="preserve">    </w:t>
      </w:r>
      <w:r>
        <w:rPr>
          <w:rFonts w:hint="eastAsia"/>
        </w:rPr>
        <w:t>中心幅</w:t>
      </w:r>
    </w:p>
    <w:p w14:paraId="4494F14A">
      <w:pPr>
        <w:spacing w:line="360" w:lineRule="auto"/>
        <w:ind w:firstLine="420" w:firstLineChars="200"/>
        <w:rPr>
          <w:rFonts w:ascii="宋体" w:hAnsi="宋体" w:cs="宋体"/>
          <w:color w:val="auto"/>
        </w:rPr>
      </w:pPr>
      <w:r>
        <w:rPr>
          <w:rFonts w:hint="eastAsia" w:ascii="宋体" w:hAnsi="宋体" w:cs="宋体"/>
          <w:color w:val="auto"/>
        </w:rPr>
        <w:t>滑阀关闭，不能使流量产生变化的占空比范围（死区占空比幅值）。</w:t>
      </w:r>
    </w:p>
    <w:p w14:paraId="7F543B36">
      <w:pPr>
        <w:pStyle w:val="324"/>
        <w:bidi w:val="0"/>
      </w:pPr>
      <w:r>
        <w:rPr>
          <w:rFonts w:hint="eastAsia"/>
          <w:lang w:eastAsia="zh-CN"/>
        </w:rPr>
        <w:br w:type="textWrapping"/>
      </w:r>
      <w:r>
        <w:rPr>
          <w:rFonts w:hint="eastAsia"/>
          <w:lang w:eastAsia="zh-CN"/>
        </w:rPr>
        <w:t xml:space="preserve">    </w:t>
      </w:r>
      <w:r>
        <w:rPr>
          <w:rFonts w:hint="eastAsia"/>
        </w:rPr>
        <w:t>保持点</w:t>
      </w:r>
    </w:p>
    <w:p w14:paraId="32A4E053">
      <w:pPr>
        <w:spacing w:line="360" w:lineRule="auto"/>
        <w:ind w:firstLine="420" w:firstLineChars="200"/>
        <w:rPr>
          <w:rFonts w:ascii="宋体" w:hAnsi="宋体" w:cs="宋体"/>
          <w:color w:val="auto"/>
        </w:rPr>
      </w:pPr>
      <w:r>
        <w:rPr>
          <w:rFonts w:hint="eastAsia" w:ascii="宋体" w:hAnsi="宋体" w:cs="宋体"/>
          <w:color w:val="auto"/>
        </w:rPr>
        <w:t>滑阀关闭，不能使流量产生变化的占空比范围的中点值（死区占空比中点值）。</w:t>
      </w:r>
    </w:p>
    <w:p w14:paraId="535DBA37">
      <w:pPr>
        <w:pStyle w:val="324"/>
        <w:bidi w:val="0"/>
      </w:pPr>
      <w:r>
        <w:rPr>
          <w:rFonts w:hint="eastAsia"/>
          <w:lang w:eastAsia="zh-CN"/>
        </w:rPr>
        <w:br w:type="textWrapping"/>
      </w:r>
      <w:r>
        <w:rPr>
          <w:rFonts w:hint="eastAsia"/>
          <w:lang w:eastAsia="zh-CN"/>
        </w:rPr>
        <w:t xml:space="preserve">    </w:t>
      </w:r>
      <w:r>
        <w:rPr>
          <w:rFonts w:hint="eastAsia"/>
        </w:rPr>
        <w:t>滞环</w:t>
      </w:r>
    </w:p>
    <w:p w14:paraId="07D99983">
      <w:pPr>
        <w:spacing w:line="360" w:lineRule="auto"/>
        <w:ind w:firstLine="420" w:firstLineChars="200"/>
        <w:rPr>
          <w:rFonts w:ascii="宋体" w:hAnsi="宋体" w:cs="宋体"/>
          <w:color w:val="auto"/>
        </w:rPr>
      </w:pPr>
      <w:r>
        <w:rPr>
          <w:rFonts w:hint="eastAsia" w:ascii="宋体" w:hAnsi="宋体" w:cs="宋体"/>
          <w:color w:val="auto"/>
        </w:rPr>
        <w:t>进程流量曲线和回程流量曲线在特定流量点下的占空比之差。</w:t>
      </w:r>
    </w:p>
    <w:p w14:paraId="6885EE2C">
      <w:pPr>
        <w:pStyle w:val="303"/>
        <w:bidi w:val="0"/>
      </w:pPr>
      <w:r>
        <w:rPr>
          <w:rFonts w:hint="eastAsia"/>
        </w:rPr>
        <w:t>上述占空比可在测试占空比-电流关系曲线后用电流值替代。</w:t>
      </w:r>
    </w:p>
    <w:p w14:paraId="78C2901B">
      <w:pPr>
        <w:pStyle w:val="259"/>
        <w:bidi w:val="0"/>
      </w:pPr>
      <w:r>
        <w:rPr>
          <w:rFonts w:hint="eastAsia"/>
        </w:rPr>
        <w:t>产品分类</w:t>
      </w:r>
    </w:p>
    <w:p w14:paraId="42DBC25F">
      <w:pPr>
        <w:pStyle w:val="260"/>
        <w:bidi w:val="0"/>
      </w:pPr>
      <w:r>
        <w:rPr>
          <w:rFonts w:hint="eastAsia"/>
        </w:rPr>
        <w:t>结构类型</w:t>
      </w:r>
    </w:p>
    <w:p w14:paraId="5BED52EF">
      <w:pPr>
        <w:pStyle w:val="258"/>
        <w:spacing w:line="360" w:lineRule="auto"/>
        <w:ind w:firstLine="420"/>
        <w:rPr>
          <w:color w:val="auto"/>
          <w:szCs w:val="21"/>
        </w:rPr>
      </w:pPr>
      <w:r>
        <w:rPr>
          <w:rFonts w:hint="eastAsia"/>
          <w:color w:val="auto"/>
          <w:szCs w:val="21"/>
        </w:rPr>
        <w:t>A——</w:t>
      </w:r>
      <w:r>
        <w:rPr>
          <w:rFonts w:hint="eastAsia" w:hAnsi="宋体"/>
          <w:color w:val="auto"/>
          <w:szCs w:val="21"/>
        </w:rPr>
        <w:t>整体式</w:t>
      </w:r>
    </w:p>
    <w:p w14:paraId="350E6E6A">
      <w:pPr>
        <w:pStyle w:val="258"/>
        <w:spacing w:line="360" w:lineRule="auto"/>
        <w:ind w:firstLine="420"/>
        <w:rPr>
          <w:color w:val="auto"/>
          <w:szCs w:val="21"/>
        </w:rPr>
      </w:pPr>
      <w:r>
        <w:rPr>
          <w:rFonts w:hint="eastAsia"/>
          <w:color w:val="auto"/>
          <w:szCs w:val="21"/>
        </w:rPr>
        <w:t>B——</w:t>
      </w:r>
      <w:r>
        <w:rPr>
          <w:rFonts w:hint="eastAsia" w:hAnsi="宋体"/>
          <w:color w:val="auto"/>
          <w:szCs w:val="21"/>
        </w:rPr>
        <w:t>分体式</w:t>
      </w:r>
    </w:p>
    <w:p w14:paraId="3BAD7542">
      <w:pPr>
        <w:pStyle w:val="260"/>
        <w:bidi w:val="0"/>
      </w:pPr>
      <w:r>
        <w:rPr>
          <w:rFonts w:hint="eastAsia"/>
        </w:rPr>
        <w:t>型号编制规则</w:t>
      </w:r>
    </w:p>
    <w:p w14:paraId="56760322">
      <w:pPr>
        <w:pStyle w:val="259"/>
        <w:numPr>
          <w:ilvl w:val="0"/>
          <w:numId w:val="0"/>
        </w:numPr>
        <w:spacing w:before="0" w:beforeLines="0" w:after="0" w:afterLines="0" w:line="240" w:lineRule="atLeast"/>
        <w:ind w:leftChars="200"/>
        <w:rPr>
          <w:rFonts w:ascii="宋体" w:hAnsi="宋体" w:eastAsia="宋体"/>
          <w:color w:val="auto"/>
          <w:szCs w:val="21"/>
        </w:rPr>
      </w:pPr>
      <w:r>
        <w:rPr>
          <w:rFonts w:hint="eastAsia" w:ascii="宋体" w:hAnsi="宋体" w:eastAsia="宋体"/>
          <w:color w:val="auto"/>
          <w:szCs w:val="21"/>
        </w:rPr>
        <w:t>产品型号的编号规则如下：</w:t>
      </w:r>
    </w:p>
    <w:p w14:paraId="234F6522">
      <w:pPr>
        <w:spacing w:before="120" w:beforeLines="50" w:line="360" w:lineRule="auto"/>
        <w:rPr>
          <w:rFonts w:hint="eastAsia" w:ascii="黑体" w:hAnsi="黑体" w:eastAsia="黑体" w:cs="黑体"/>
          <w:color w:val="auto"/>
        </w:rPr>
      </w:pPr>
      <w:r>
        <w:drawing>
          <wp:inline distT="0" distB="0" distL="114300" distR="114300">
            <wp:extent cx="5276850" cy="168592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3"/>
                    <a:stretch>
                      <a:fillRect/>
                    </a:stretch>
                  </pic:blipFill>
                  <pic:spPr>
                    <a:xfrm>
                      <a:off x="0" y="0"/>
                      <a:ext cx="5276850" cy="1685925"/>
                    </a:xfrm>
                    <a:prstGeom prst="rect">
                      <a:avLst/>
                    </a:prstGeom>
                    <a:noFill/>
                    <a:ln>
                      <a:noFill/>
                    </a:ln>
                  </pic:spPr>
                </pic:pic>
              </a:graphicData>
            </a:graphic>
          </wp:inline>
        </w:drawing>
      </w:r>
    </w:p>
    <w:p w14:paraId="10A2B0DD">
      <w:pPr>
        <w:pStyle w:val="259"/>
        <w:bidi w:val="0"/>
      </w:pPr>
      <w:r>
        <w:rPr>
          <w:rFonts w:hint="eastAsia"/>
        </w:rPr>
        <w:t>技术要求</w:t>
      </w:r>
    </w:p>
    <w:p w14:paraId="3D63D87B">
      <w:pPr>
        <w:pStyle w:val="258"/>
        <w:bidi w:val="0"/>
        <w:rPr>
          <w:rFonts w:hint="eastAsia"/>
          <w:lang w:eastAsia="zh-CN"/>
        </w:rPr>
      </w:pPr>
      <w:r>
        <w:rPr>
          <w:rFonts w:hint="eastAsia"/>
        </w:rPr>
        <w:t>OCV阀应符合本文件的要求，并按经规定程序批准的图纸及技术文件制造</w:t>
      </w:r>
      <w:r>
        <w:rPr>
          <w:rFonts w:hint="eastAsia"/>
          <w:lang w:eastAsia="zh-CN"/>
        </w:rPr>
        <w:t>。</w:t>
      </w:r>
    </w:p>
    <w:p w14:paraId="434338E6">
      <w:pPr>
        <w:pStyle w:val="260"/>
        <w:bidi w:val="0"/>
      </w:pPr>
      <w:r>
        <w:rPr>
          <w:rFonts w:hint="eastAsia"/>
        </w:rPr>
        <w:t>尺寸要求</w:t>
      </w:r>
    </w:p>
    <w:p w14:paraId="2588D4E2">
      <w:pPr>
        <w:pStyle w:val="258"/>
        <w:bidi w:val="0"/>
      </w:pPr>
      <w:r>
        <w:rPr>
          <w:rFonts w:hint="eastAsia"/>
        </w:rPr>
        <w:t>0CV阀的外形及安装尺寸应符合相应的产品设计图纸的要求。</w:t>
      </w:r>
    </w:p>
    <w:p w14:paraId="3CE6577D">
      <w:pPr>
        <w:pStyle w:val="260"/>
        <w:bidi w:val="0"/>
      </w:pPr>
      <w:r>
        <w:rPr>
          <w:rFonts w:hint="eastAsia"/>
        </w:rPr>
        <w:t>外观要求</w:t>
      </w:r>
    </w:p>
    <w:p w14:paraId="0A773E57">
      <w:pPr>
        <w:pStyle w:val="258"/>
        <w:bidi w:val="0"/>
      </w:pPr>
      <w:r>
        <w:rPr>
          <w:rFonts w:hint="eastAsia"/>
        </w:rPr>
        <w:t>OCV阀的外表面应无磕碰、毛刺、锈迹且标记清晰</w:t>
      </w:r>
      <w:r>
        <w:t>。</w:t>
      </w:r>
    </w:p>
    <w:p w14:paraId="2F7DB805">
      <w:pPr>
        <w:pStyle w:val="260"/>
        <w:bidi w:val="0"/>
      </w:pPr>
      <w:r>
        <w:rPr>
          <w:rFonts w:hint="eastAsia"/>
        </w:rPr>
        <w:t>安装要求</w:t>
      </w:r>
    </w:p>
    <w:p w14:paraId="1B68E7F6">
      <w:pPr>
        <w:pStyle w:val="305"/>
        <w:bidi w:val="0"/>
        <w:ind w:left="839" w:leftChars="0" w:hanging="419" w:firstLineChars="0"/>
      </w:pPr>
      <w:r>
        <w:rPr>
          <w:rFonts w:hint="eastAsia"/>
        </w:rPr>
        <w:t>安装时，OCV、缸盖安装孔和机油必须符合JB/T7858标准的清洁度要求</w:t>
      </w:r>
      <w:r>
        <w:rPr>
          <w:rFonts w:hint="eastAsia"/>
          <w:lang w:eastAsia="zh-CN"/>
        </w:rPr>
        <w:t>；</w:t>
      </w:r>
    </w:p>
    <w:p w14:paraId="76CE7362">
      <w:pPr>
        <w:pStyle w:val="305"/>
        <w:bidi w:val="0"/>
        <w:ind w:left="839" w:leftChars="0" w:hanging="419" w:firstLineChars="0"/>
      </w:pPr>
      <w:r>
        <w:rPr>
          <w:rFonts w:hint="eastAsia"/>
        </w:rPr>
        <w:t>安装时，阀体和阀安装孔需同轴</w:t>
      </w:r>
      <w:r>
        <w:rPr>
          <w:rFonts w:hint="eastAsia"/>
          <w:lang w:eastAsia="zh-CN"/>
        </w:rPr>
        <w:t>；</w:t>
      </w:r>
    </w:p>
    <w:p w14:paraId="59D86A14">
      <w:pPr>
        <w:pStyle w:val="305"/>
        <w:bidi w:val="0"/>
        <w:ind w:left="839" w:leftChars="0" w:hanging="419" w:firstLineChars="0"/>
      </w:pPr>
      <w:r>
        <w:rPr>
          <w:rFonts w:hint="eastAsia"/>
        </w:rPr>
        <w:t>安装时，不允许对阀施加侧向力</w:t>
      </w:r>
      <w:r>
        <w:rPr>
          <w:rFonts w:hint="eastAsia"/>
          <w:lang w:eastAsia="zh-CN"/>
        </w:rPr>
        <w:t>；</w:t>
      </w:r>
    </w:p>
    <w:p w14:paraId="0102A5AA">
      <w:pPr>
        <w:pStyle w:val="305"/>
        <w:bidi w:val="0"/>
        <w:ind w:left="839" w:leftChars="0" w:hanging="419" w:firstLineChars="0"/>
      </w:pPr>
      <w:r>
        <w:rPr>
          <w:rFonts w:hint="eastAsia"/>
        </w:rPr>
        <w:t>最大轴向装配力小于200N</w:t>
      </w:r>
      <w:r>
        <w:rPr>
          <w:rFonts w:hint="eastAsia"/>
          <w:lang w:eastAsia="zh-CN"/>
        </w:rPr>
        <w:t>；</w:t>
      </w:r>
    </w:p>
    <w:p w14:paraId="253625CC">
      <w:pPr>
        <w:pStyle w:val="305"/>
        <w:bidi w:val="0"/>
        <w:ind w:left="839" w:leftChars="0" w:hanging="419" w:firstLineChars="0"/>
      </w:pPr>
      <w:r>
        <w:rPr>
          <w:rFonts w:hint="eastAsia"/>
        </w:rPr>
        <w:t>阀紧固螺栓的拧紧力矩按客户要求执行。</w:t>
      </w:r>
    </w:p>
    <w:p w14:paraId="60E93D43">
      <w:pPr>
        <w:pStyle w:val="260"/>
        <w:bidi w:val="0"/>
      </w:pPr>
      <w:r>
        <w:rPr>
          <w:rFonts w:hint="eastAsia"/>
        </w:rPr>
        <w:t>使用条件</w:t>
      </w:r>
    </w:p>
    <w:p w14:paraId="2ECD0464">
      <w:pPr>
        <w:pStyle w:val="305"/>
        <w:numPr>
          <w:ilvl w:val="0"/>
          <w:numId w:val="28"/>
        </w:numPr>
        <w:bidi w:val="0"/>
        <w:ind w:left="839" w:leftChars="0" w:hanging="419" w:firstLineChars="0"/>
        <w:rPr>
          <w:rFonts w:ascii="宋体" w:hAnsi="宋体" w:cs="宋体"/>
          <w:color w:val="auto"/>
        </w:rPr>
      </w:pPr>
      <w:r>
        <w:rPr>
          <w:rFonts w:hint="eastAsia"/>
        </w:rPr>
        <w:t>使用机油牌号:符合GB11121规定的汽油机油,如5W30、10W30、10W40等；</w:t>
      </w:r>
    </w:p>
    <w:p w14:paraId="7EDC4ADB">
      <w:pPr>
        <w:pStyle w:val="305"/>
        <w:numPr>
          <w:ilvl w:val="0"/>
          <w:numId w:val="28"/>
        </w:numPr>
        <w:bidi w:val="0"/>
        <w:ind w:left="839" w:leftChars="0" w:hanging="419" w:firstLineChars="0"/>
        <w:rPr>
          <w:rFonts w:ascii="宋体" w:hAnsi="宋体" w:cs="宋体"/>
          <w:color w:val="auto"/>
        </w:rPr>
      </w:pPr>
      <w:r>
        <w:rPr>
          <w:rFonts w:hint="eastAsia"/>
          <w:color w:val="auto"/>
          <w:szCs w:val="21"/>
        </w:rPr>
        <w:t>使用油温范围：-40℃～+135℃；</w:t>
      </w:r>
    </w:p>
    <w:p w14:paraId="41A6407A">
      <w:pPr>
        <w:pStyle w:val="305"/>
        <w:numPr>
          <w:ilvl w:val="0"/>
          <w:numId w:val="28"/>
        </w:numPr>
        <w:bidi w:val="0"/>
        <w:ind w:left="839" w:leftChars="0" w:hanging="419" w:firstLineChars="0"/>
        <w:rPr>
          <w:rFonts w:ascii="宋体" w:hAnsi="宋体" w:cs="宋体"/>
          <w:color w:val="auto"/>
        </w:rPr>
      </w:pPr>
      <w:r>
        <w:rPr>
          <w:rFonts w:hint="eastAsia"/>
          <w:color w:val="auto"/>
          <w:szCs w:val="21"/>
        </w:rPr>
        <w:t>使用油压范围：0kPa～1000kPa；</w:t>
      </w:r>
    </w:p>
    <w:p w14:paraId="19A3F187">
      <w:pPr>
        <w:pStyle w:val="305"/>
        <w:numPr>
          <w:ilvl w:val="0"/>
          <w:numId w:val="28"/>
        </w:numPr>
        <w:bidi w:val="0"/>
        <w:ind w:left="839" w:leftChars="0" w:hanging="419" w:firstLineChars="0"/>
        <w:rPr>
          <w:color w:val="auto"/>
        </w:rPr>
      </w:pPr>
      <w:r>
        <w:rPr>
          <w:rFonts w:hint="eastAsia"/>
          <w:color w:val="auto"/>
          <w:szCs w:val="21"/>
        </w:rPr>
        <w:t>使用环境温度范围：-40℃～+150℃；</w:t>
      </w:r>
    </w:p>
    <w:p w14:paraId="51A47808">
      <w:pPr>
        <w:pStyle w:val="305"/>
        <w:numPr>
          <w:ilvl w:val="0"/>
          <w:numId w:val="28"/>
        </w:numPr>
        <w:bidi w:val="0"/>
        <w:ind w:left="839" w:leftChars="0" w:hanging="419" w:firstLineChars="0"/>
        <w:rPr>
          <w:color w:val="auto"/>
        </w:rPr>
      </w:pPr>
      <w:r>
        <w:rPr>
          <w:rFonts w:hint="eastAsia" w:ascii="Times New Roman" w:hAnsi="Times New Roman" w:cs="Times New Roman"/>
          <w:color w:val="auto"/>
          <w:sz w:val="21"/>
          <w:szCs w:val="21"/>
          <w:lang w:val="en-US" w:eastAsia="zh-CN" w:bidi="ar-SA"/>
        </w:rPr>
        <w:t>使用电</w:t>
      </w:r>
      <w:r>
        <w:rPr>
          <w:rFonts w:hint="eastAsia"/>
          <w:color w:val="auto"/>
          <w:sz w:val="21"/>
          <w:szCs w:val="21"/>
        </w:rPr>
        <w:t>压范围:10VDC～16VDC。</w:t>
      </w:r>
    </w:p>
    <w:p w14:paraId="4EDB41AA">
      <w:pPr>
        <w:pStyle w:val="260"/>
        <w:bidi w:val="0"/>
      </w:pPr>
      <w:r>
        <w:rPr>
          <w:rFonts w:hint="eastAsia"/>
        </w:rPr>
        <w:t>性能</w:t>
      </w:r>
    </w:p>
    <w:p w14:paraId="3FB480D2">
      <w:pPr>
        <w:pStyle w:val="261"/>
        <w:bidi w:val="0"/>
      </w:pPr>
      <w:r>
        <w:rPr>
          <w:rFonts w:hint="eastAsia"/>
        </w:rPr>
        <w:t>电气性能</w:t>
      </w:r>
    </w:p>
    <w:p w14:paraId="68D7BBF9">
      <w:pPr>
        <w:pStyle w:val="328"/>
        <w:bidi w:val="0"/>
      </w:pPr>
      <w:r>
        <w:rPr>
          <w:rFonts w:hint="eastAsia"/>
        </w:rPr>
        <w:t>阀电阻见表1</w:t>
      </w:r>
    </w:p>
    <w:p w14:paraId="795B04EF">
      <w:pPr>
        <w:pStyle w:val="301"/>
        <w:bidi w:val="0"/>
      </w:pPr>
      <w:r>
        <w:rPr>
          <w:rFonts w:hint="eastAsia"/>
        </w:rPr>
        <w:t>OCV阀电阻值及允许误差</w:t>
      </w:r>
    </w:p>
    <w:tbl>
      <w:tblPr>
        <w:tblStyle w:val="8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92"/>
        <w:gridCol w:w="856"/>
        <w:gridCol w:w="856"/>
        <w:gridCol w:w="856"/>
        <w:gridCol w:w="1376"/>
      </w:tblGrid>
      <w:tr w14:paraId="00FC5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2892" w:type="dxa"/>
            <w:vAlign w:val="center"/>
          </w:tcPr>
          <w:p w14:paraId="6F0C527E">
            <w:pPr>
              <w:pStyle w:val="259"/>
              <w:numPr>
                <w:ilvl w:val="0"/>
                <w:numId w:val="0"/>
              </w:numPr>
              <w:spacing w:before="0" w:beforeLines="0" w:after="0" w:afterLines="0" w:line="240" w:lineRule="atLeast"/>
              <w:ind w:leftChars="0"/>
              <w:jc w:val="center"/>
              <w:rPr>
                <w:rFonts w:hint="eastAsia" w:ascii="黑体" w:hAnsi="黑体" w:eastAsia="黑体" w:cs="黑体"/>
                <w:color w:val="auto"/>
                <w:sz w:val="18"/>
                <w:szCs w:val="18"/>
              </w:rPr>
            </w:pPr>
            <w:r>
              <w:rPr>
                <w:rFonts w:hint="eastAsia" w:ascii="黑体" w:hAnsi="黑体" w:eastAsia="黑体" w:cs="黑体"/>
                <w:color w:val="auto"/>
                <w:sz w:val="18"/>
                <w:szCs w:val="18"/>
              </w:rPr>
              <w:t>标称阻值(Ω)@20℃</w:t>
            </w:r>
          </w:p>
        </w:tc>
        <w:tc>
          <w:tcPr>
            <w:tcW w:w="856" w:type="dxa"/>
            <w:vAlign w:val="center"/>
          </w:tcPr>
          <w:p w14:paraId="716A3304">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ascii="宋体" w:hAnsi="宋体" w:eastAsia="宋体"/>
                <w:color w:val="auto"/>
                <w:sz w:val="18"/>
                <w:szCs w:val="18"/>
              </w:rPr>
              <w:t>7.2</w:t>
            </w:r>
          </w:p>
        </w:tc>
        <w:tc>
          <w:tcPr>
            <w:tcW w:w="856" w:type="dxa"/>
            <w:vAlign w:val="center"/>
          </w:tcPr>
          <w:p w14:paraId="4AC59840">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ascii="宋体" w:hAnsi="宋体" w:eastAsia="宋体"/>
                <w:color w:val="auto"/>
                <w:sz w:val="18"/>
                <w:szCs w:val="18"/>
              </w:rPr>
              <w:t>8.0</w:t>
            </w:r>
          </w:p>
        </w:tc>
        <w:tc>
          <w:tcPr>
            <w:tcW w:w="856" w:type="dxa"/>
            <w:vAlign w:val="center"/>
          </w:tcPr>
          <w:p w14:paraId="0F499612">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ascii="宋体" w:hAnsi="宋体" w:eastAsia="宋体"/>
                <w:color w:val="auto"/>
                <w:sz w:val="18"/>
                <w:szCs w:val="18"/>
              </w:rPr>
              <w:t>9.0</w:t>
            </w:r>
          </w:p>
        </w:tc>
        <w:tc>
          <w:tcPr>
            <w:tcW w:w="1376" w:type="dxa"/>
            <w:vAlign w:val="center"/>
          </w:tcPr>
          <w:p w14:paraId="612B0D15">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ascii="宋体" w:hAnsi="宋体" w:eastAsia="宋体"/>
                <w:color w:val="auto"/>
                <w:sz w:val="18"/>
                <w:szCs w:val="18"/>
              </w:rPr>
              <w:t>10.6</w:t>
            </w:r>
          </w:p>
        </w:tc>
      </w:tr>
      <w:tr w14:paraId="0E7D1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2892" w:type="dxa"/>
            <w:vAlign w:val="center"/>
          </w:tcPr>
          <w:p w14:paraId="475EF571">
            <w:pPr>
              <w:pStyle w:val="259"/>
              <w:numPr>
                <w:ilvl w:val="0"/>
                <w:numId w:val="0"/>
              </w:numPr>
              <w:spacing w:before="0" w:beforeLines="0" w:after="0" w:afterLines="0" w:line="240" w:lineRule="atLeast"/>
              <w:ind w:leftChars="0"/>
              <w:jc w:val="center"/>
              <w:rPr>
                <w:rFonts w:hint="eastAsia" w:ascii="黑体" w:hAnsi="黑体" w:eastAsia="黑体" w:cs="黑体"/>
                <w:color w:val="auto"/>
                <w:sz w:val="18"/>
                <w:szCs w:val="18"/>
              </w:rPr>
            </w:pPr>
            <w:r>
              <w:rPr>
                <w:rFonts w:hint="eastAsia" w:ascii="黑体" w:hAnsi="黑体" w:eastAsia="黑体" w:cs="黑体"/>
                <w:color w:val="auto"/>
                <w:sz w:val="18"/>
                <w:szCs w:val="18"/>
              </w:rPr>
              <w:t>允许误差(Ω)</w:t>
            </w:r>
          </w:p>
        </w:tc>
        <w:tc>
          <w:tcPr>
            <w:tcW w:w="856" w:type="dxa"/>
            <w:vAlign w:val="center"/>
          </w:tcPr>
          <w:p w14:paraId="5F8AC567">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hint="eastAsia" w:ascii="宋体" w:hAnsi="宋体" w:eastAsia="宋体" w:cs="宋体"/>
                <w:color w:val="auto"/>
                <w:sz w:val="18"/>
                <w:szCs w:val="18"/>
              </w:rPr>
              <w:t>±</w:t>
            </w:r>
            <w:r>
              <w:rPr>
                <w:rFonts w:ascii="宋体" w:hAnsi="宋体" w:eastAsia="宋体" w:cs="宋体"/>
                <w:color w:val="auto"/>
                <w:sz w:val="18"/>
                <w:szCs w:val="18"/>
              </w:rPr>
              <w:t>0.5</w:t>
            </w:r>
          </w:p>
        </w:tc>
        <w:tc>
          <w:tcPr>
            <w:tcW w:w="856" w:type="dxa"/>
            <w:vAlign w:val="center"/>
          </w:tcPr>
          <w:p w14:paraId="7529DAF8">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hint="eastAsia" w:ascii="宋体" w:hAnsi="宋体" w:eastAsia="宋体" w:cs="宋体"/>
                <w:color w:val="auto"/>
                <w:sz w:val="18"/>
                <w:szCs w:val="18"/>
              </w:rPr>
              <w:t>±</w:t>
            </w:r>
            <w:r>
              <w:rPr>
                <w:rFonts w:ascii="宋体" w:hAnsi="宋体" w:eastAsia="宋体" w:cs="宋体"/>
                <w:color w:val="auto"/>
                <w:sz w:val="18"/>
                <w:szCs w:val="18"/>
              </w:rPr>
              <w:t>0.5</w:t>
            </w:r>
          </w:p>
        </w:tc>
        <w:tc>
          <w:tcPr>
            <w:tcW w:w="856" w:type="dxa"/>
            <w:vAlign w:val="center"/>
          </w:tcPr>
          <w:p w14:paraId="3A1CEA5E">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hint="eastAsia" w:ascii="宋体" w:hAnsi="宋体" w:eastAsia="宋体" w:cs="宋体"/>
                <w:color w:val="auto"/>
                <w:sz w:val="18"/>
                <w:szCs w:val="18"/>
              </w:rPr>
              <w:t>±</w:t>
            </w:r>
            <w:r>
              <w:rPr>
                <w:rFonts w:ascii="宋体" w:hAnsi="宋体" w:eastAsia="宋体" w:cs="宋体"/>
                <w:color w:val="auto"/>
                <w:sz w:val="18"/>
                <w:szCs w:val="18"/>
              </w:rPr>
              <w:t>0.5</w:t>
            </w:r>
          </w:p>
        </w:tc>
        <w:tc>
          <w:tcPr>
            <w:tcW w:w="1376" w:type="dxa"/>
            <w:vAlign w:val="center"/>
          </w:tcPr>
          <w:p w14:paraId="41752763">
            <w:pPr>
              <w:pStyle w:val="259"/>
              <w:numPr>
                <w:ilvl w:val="0"/>
                <w:numId w:val="0"/>
              </w:numPr>
              <w:spacing w:before="0" w:beforeLines="0" w:after="0" w:afterLines="0" w:line="240" w:lineRule="atLeast"/>
              <w:ind w:leftChars="0"/>
              <w:jc w:val="center"/>
              <w:rPr>
                <w:rFonts w:ascii="宋体" w:hAnsi="宋体" w:eastAsia="宋体"/>
                <w:color w:val="auto"/>
                <w:sz w:val="18"/>
                <w:szCs w:val="18"/>
              </w:rPr>
            </w:pPr>
            <w:r>
              <w:rPr>
                <w:rFonts w:hint="eastAsia" w:ascii="宋体" w:hAnsi="宋体" w:eastAsia="宋体" w:cs="宋体"/>
                <w:color w:val="auto"/>
                <w:sz w:val="18"/>
                <w:szCs w:val="18"/>
              </w:rPr>
              <w:t>±</w:t>
            </w:r>
            <w:r>
              <w:rPr>
                <w:rFonts w:ascii="宋体" w:hAnsi="宋体" w:eastAsia="宋体" w:cs="宋体"/>
                <w:color w:val="auto"/>
                <w:sz w:val="18"/>
                <w:szCs w:val="18"/>
              </w:rPr>
              <w:t>0.5</w:t>
            </w:r>
          </w:p>
        </w:tc>
      </w:tr>
    </w:tbl>
    <w:p w14:paraId="17FD94B0">
      <w:pPr>
        <w:pStyle w:val="328"/>
        <w:bidi w:val="0"/>
        <w:rPr>
          <w:rFonts w:ascii="宋体" w:hAnsi="宋体" w:cs="宋体"/>
          <w:color w:val="auto"/>
        </w:rPr>
      </w:pPr>
      <w:r>
        <w:rPr>
          <w:rFonts w:hint="eastAsia" w:ascii="宋体" w:hAnsi="宋体" w:cs="宋体"/>
          <w:color w:val="auto"/>
        </w:rPr>
        <w:t>阀电感：</w:t>
      </w:r>
      <w:r>
        <w:rPr>
          <w:rFonts w:hint="eastAsia" w:ascii="宋体" w:hAnsi="宋体" w:cs="宋体"/>
          <w:color w:val="auto"/>
          <w:szCs w:val="21"/>
          <w:lang w:val="zh-TW" w:eastAsia="zh-TW" w:bidi="zh-TW"/>
        </w:rPr>
        <w:t>15mH±5mH。</w:t>
      </w:r>
    </w:p>
    <w:p w14:paraId="762102CD">
      <w:pPr>
        <w:pStyle w:val="328"/>
        <w:bidi w:val="0"/>
        <w:rPr>
          <w:rFonts w:ascii="宋体" w:hAnsi="宋体" w:cs="宋体"/>
          <w:color w:val="auto"/>
          <w:szCs w:val="21"/>
          <w:lang w:val="zh-TW" w:bidi="zh-TW"/>
        </w:rPr>
      </w:pPr>
      <w:r>
        <w:rPr>
          <w:rFonts w:hint="eastAsia" w:ascii="宋体" w:hAnsi="宋体" w:cs="宋体"/>
          <w:color w:val="auto"/>
        </w:rPr>
        <w:t>绝缘电阻</w:t>
      </w:r>
      <w:r>
        <w:rPr>
          <w:rFonts w:hint="eastAsia" w:ascii="宋体" w:hAnsi="宋体" w:cs="宋体"/>
          <w:color w:val="auto"/>
          <w:szCs w:val="21"/>
          <w:lang w:val="zh-TW" w:bidi="zh-TW"/>
        </w:rPr>
        <w:t>：</w:t>
      </w:r>
      <w:r>
        <w:rPr>
          <w:rFonts w:hint="eastAsia" w:ascii="宋体" w:hAnsi="宋体" w:cs="宋体"/>
          <w:color w:val="auto"/>
          <w:szCs w:val="21"/>
          <w:lang w:val="zh-TW" w:eastAsia="zh-TW" w:bidi="zh-TW"/>
        </w:rPr>
        <w:t>≥5MΩ</w:t>
      </w:r>
      <w:r>
        <w:rPr>
          <w:rFonts w:hint="eastAsia" w:ascii="宋体" w:hAnsi="宋体" w:cs="宋体"/>
          <w:color w:val="auto"/>
          <w:szCs w:val="21"/>
          <w:lang w:val="zh-TW" w:eastAsia="zh-CN" w:bidi="zh-TW"/>
        </w:rPr>
        <w:t>。</w:t>
      </w:r>
    </w:p>
    <w:p w14:paraId="52D2211B">
      <w:pPr>
        <w:pStyle w:val="328"/>
        <w:bidi w:val="0"/>
        <w:rPr>
          <w:rFonts w:ascii="宋体" w:hAnsi="宋体" w:cs="宋体"/>
          <w:color w:val="auto"/>
          <w:szCs w:val="21"/>
          <w:lang w:val="zh-TW" w:bidi="zh-TW"/>
        </w:rPr>
      </w:pPr>
      <w:r>
        <w:rPr>
          <w:rFonts w:hint="eastAsia" w:ascii="宋体" w:hAnsi="宋体" w:cs="宋体"/>
          <w:color w:val="auto"/>
          <w:szCs w:val="21"/>
          <w:lang w:val="zh-TW" w:eastAsia="zh-TW" w:bidi="zh-TW"/>
        </w:rPr>
        <w:t>介电强度</w:t>
      </w:r>
      <w:r>
        <w:rPr>
          <w:rFonts w:hint="eastAsia" w:ascii="宋体" w:hAnsi="宋体" w:cs="宋体"/>
          <w:color w:val="auto"/>
          <w:szCs w:val="21"/>
          <w:lang w:val="zh-TW" w:bidi="zh-TW"/>
        </w:rPr>
        <w:t>：</w:t>
      </w:r>
      <w:r>
        <w:rPr>
          <w:rFonts w:hint="eastAsia" w:ascii="宋体" w:hAnsi="宋体" w:cs="宋体"/>
          <w:color w:val="auto"/>
          <w:szCs w:val="21"/>
          <w:lang w:val="zh-TW" w:eastAsia="zh-TW" w:bidi="zh-TW"/>
        </w:rPr>
        <w:t>泄漏电流≤2mA</w:t>
      </w:r>
      <w:r>
        <w:rPr>
          <w:rFonts w:hint="eastAsia" w:ascii="宋体" w:hAnsi="宋体" w:cs="宋体"/>
          <w:color w:val="auto"/>
          <w:szCs w:val="21"/>
          <w:lang w:val="zh-TW" w:bidi="zh-TW"/>
        </w:rPr>
        <w:t>。</w:t>
      </w:r>
    </w:p>
    <w:p w14:paraId="73D11997">
      <w:pPr>
        <w:pStyle w:val="261"/>
        <w:bidi w:val="0"/>
        <w:rPr>
          <w:rFonts w:hint="eastAsia"/>
        </w:rPr>
      </w:pPr>
      <w:r>
        <w:rPr>
          <w:rFonts w:hint="eastAsia"/>
        </w:rPr>
        <w:t>流量-占空比特性</w:t>
      </w:r>
    </w:p>
    <w:p w14:paraId="660B0557">
      <w:pPr>
        <w:pStyle w:val="305"/>
        <w:numPr>
          <w:ilvl w:val="0"/>
          <w:numId w:val="29"/>
        </w:numPr>
        <w:bidi w:val="0"/>
        <w:ind w:left="839" w:leftChars="0" w:hanging="419" w:firstLineChars="0"/>
        <w:rPr>
          <w:rFonts w:ascii="宋体" w:hAnsi="宋体" w:cs="宋体"/>
          <w:color w:val="auto"/>
        </w:rPr>
      </w:pPr>
      <w:r>
        <w:rPr>
          <w:rFonts w:hint="eastAsia"/>
        </w:rPr>
        <w:t>额定流量</w:t>
      </w:r>
      <w:r>
        <w:rPr>
          <w:rFonts w:hint="eastAsia"/>
          <w:lang w:eastAsia="zh-CN"/>
        </w:rPr>
        <w:t>；</w:t>
      </w:r>
    </w:p>
    <w:p w14:paraId="76323FBD">
      <w:pPr>
        <w:pStyle w:val="305"/>
        <w:numPr>
          <w:ilvl w:val="0"/>
          <w:numId w:val="29"/>
        </w:numPr>
        <w:bidi w:val="0"/>
        <w:ind w:left="839" w:leftChars="0" w:hanging="419" w:firstLineChars="0"/>
        <w:rPr>
          <w:rFonts w:hint="eastAsia" w:ascii="宋体" w:hAnsi="宋体" w:eastAsia="宋体" w:cs="宋体"/>
          <w:color w:val="auto"/>
          <w:lang w:eastAsia="zh-CN"/>
        </w:rPr>
      </w:pPr>
      <w:r>
        <w:rPr>
          <w:rFonts w:hint="eastAsia" w:ascii="宋体" w:hAnsi="宋体" w:cs="宋体"/>
          <w:color w:val="auto"/>
        </w:rPr>
        <w:t>内泄漏量</w:t>
      </w:r>
      <w:r>
        <w:rPr>
          <w:rFonts w:hint="eastAsia" w:hAnsi="宋体" w:cs="宋体"/>
          <w:color w:val="auto"/>
          <w:lang w:eastAsia="zh-CN"/>
        </w:rPr>
        <w:t>；</w:t>
      </w:r>
    </w:p>
    <w:p w14:paraId="177B42C3">
      <w:pPr>
        <w:pStyle w:val="305"/>
        <w:numPr>
          <w:ilvl w:val="0"/>
          <w:numId w:val="29"/>
        </w:numPr>
        <w:bidi w:val="0"/>
        <w:ind w:left="839" w:leftChars="0" w:hanging="419" w:firstLineChars="0"/>
        <w:rPr>
          <w:rFonts w:ascii="宋体" w:hAnsi="宋体" w:cs="宋体"/>
          <w:color w:val="auto"/>
        </w:rPr>
      </w:pPr>
      <w:r>
        <w:rPr>
          <w:rFonts w:hint="eastAsia" w:ascii="宋体" w:hAnsi="宋体" w:cs="宋体"/>
          <w:color w:val="auto"/>
        </w:rPr>
        <w:t>中心幅</w:t>
      </w:r>
      <w:r>
        <w:rPr>
          <w:rFonts w:hint="eastAsia" w:ascii="宋体" w:hAnsi="宋体" w:cs="宋体"/>
          <w:color w:val="auto"/>
          <w:lang w:eastAsia="zh-CN"/>
        </w:rPr>
        <w:t>；</w:t>
      </w:r>
    </w:p>
    <w:p w14:paraId="6EA65C1F">
      <w:pPr>
        <w:pStyle w:val="305"/>
        <w:numPr>
          <w:ilvl w:val="0"/>
          <w:numId w:val="29"/>
        </w:numPr>
        <w:bidi w:val="0"/>
        <w:ind w:left="839" w:leftChars="0" w:hanging="419" w:firstLineChars="0"/>
        <w:rPr>
          <w:rFonts w:ascii="宋体" w:hAnsi="宋体" w:cs="宋体"/>
          <w:color w:val="auto"/>
        </w:rPr>
      </w:pPr>
      <w:r>
        <w:rPr>
          <w:rFonts w:hint="eastAsia" w:ascii="宋体" w:hAnsi="宋体" w:cs="宋体"/>
          <w:color w:val="auto"/>
        </w:rPr>
        <w:t>保持点</w:t>
      </w:r>
      <w:r>
        <w:rPr>
          <w:rFonts w:hint="eastAsia" w:hAnsi="宋体" w:cs="宋体"/>
          <w:color w:val="auto"/>
          <w:lang w:eastAsia="zh-CN"/>
        </w:rPr>
        <w:t>；</w:t>
      </w:r>
    </w:p>
    <w:p w14:paraId="7A9F0170">
      <w:pPr>
        <w:pStyle w:val="305"/>
        <w:numPr>
          <w:ilvl w:val="0"/>
          <w:numId w:val="29"/>
        </w:numPr>
        <w:bidi w:val="0"/>
        <w:ind w:left="839" w:leftChars="0" w:hanging="419" w:firstLineChars="0"/>
        <w:rPr>
          <w:rFonts w:ascii="宋体" w:hAnsi="宋体" w:cs="宋体"/>
          <w:color w:val="auto"/>
        </w:rPr>
      </w:pPr>
      <w:r>
        <w:rPr>
          <w:rFonts w:hint="eastAsia" w:ascii="宋体" w:hAnsi="宋体" w:cs="宋体"/>
          <w:color w:val="auto"/>
        </w:rPr>
        <w:t>滞环</w:t>
      </w:r>
      <w:r>
        <w:rPr>
          <w:rFonts w:hint="eastAsia" w:hAnsi="宋体" w:cs="宋体"/>
          <w:color w:val="auto"/>
          <w:lang w:eastAsia="zh-CN"/>
        </w:rPr>
        <w:t>；</w:t>
      </w:r>
    </w:p>
    <w:p w14:paraId="0E7152E0">
      <w:pPr>
        <w:pStyle w:val="305"/>
        <w:numPr>
          <w:ilvl w:val="0"/>
          <w:numId w:val="29"/>
        </w:numPr>
        <w:bidi w:val="0"/>
        <w:ind w:left="839" w:leftChars="0" w:hanging="419" w:firstLineChars="0"/>
        <w:rPr>
          <w:rFonts w:ascii="宋体" w:hAnsi="宋体" w:cs="宋体"/>
          <w:color w:val="auto"/>
        </w:rPr>
      </w:pPr>
      <w:r>
        <w:rPr>
          <w:rFonts w:hint="eastAsia" w:ascii="宋体" w:hAnsi="宋体" w:cs="宋体"/>
          <w:color w:val="auto"/>
        </w:rPr>
        <w:t>压力</w:t>
      </w:r>
      <w:r>
        <w:rPr>
          <w:rFonts w:hint="eastAsia" w:hAnsi="宋体" w:cs="宋体"/>
          <w:color w:val="auto"/>
          <w:lang w:eastAsia="zh-CN"/>
        </w:rPr>
        <w:t>。</w:t>
      </w:r>
    </w:p>
    <w:p w14:paraId="756CE467">
      <w:pPr>
        <w:pStyle w:val="261"/>
        <w:bidi w:val="0"/>
        <w:rPr>
          <w:rFonts w:hint="eastAsia"/>
        </w:rPr>
      </w:pPr>
      <w:r>
        <w:rPr>
          <w:rFonts w:hint="eastAsia"/>
        </w:rPr>
        <w:t>响应时间</w:t>
      </w:r>
    </w:p>
    <w:p w14:paraId="3C62A428">
      <w:pPr>
        <w:pStyle w:val="258"/>
        <w:bidi w:val="0"/>
      </w:pPr>
      <w:r>
        <w:rPr>
          <w:rFonts w:hint="eastAsia"/>
        </w:rPr>
        <w:t>响应时间不大于50ms。</w:t>
      </w:r>
    </w:p>
    <w:p w14:paraId="455A468F">
      <w:pPr>
        <w:pStyle w:val="261"/>
        <w:bidi w:val="0"/>
      </w:pPr>
      <w:r>
        <w:rPr>
          <w:rFonts w:hint="eastAsia"/>
        </w:rPr>
        <w:t>外泄漏</w:t>
      </w:r>
    </w:p>
    <w:p w14:paraId="0DF55D10">
      <w:pPr>
        <w:pStyle w:val="258"/>
        <w:bidi w:val="0"/>
      </w:pPr>
      <w:r>
        <w:rPr>
          <w:rFonts w:hint="eastAsia"/>
        </w:rPr>
        <w:t>OCV阀在施加200kPa的空气压力下，泄漏量应不大于1mL/min。</w:t>
      </w:r>
    </w:p>
    <w:p w14:paraId="49728409">
      <w:pPr>
        <w:pStyle w:val="261"/>
        <w:bidi w:val="0"/>
      </w:pPr>
      <w:r>
        <w:rPr>
          <w:rFonts w:hint="eastAsia"/>
        </w:rPr>
        <w:t>清洁度</w:t>
      </w:r>
    </w:p>
    <w:p w14:paraId="11D7751F">
      <w:pPr>
        <w:pStyle w:val="305"/>
        <w:numPr>
          <w:ilvl w:val="0"/>
          <w:numId w:val="30"/>
        </w:numPr>
        <w:bidi w:val="0"/>
        <w:ind w:left="839" w:leftChars="0" w:hanging="419" w:firstLineChars="0"/>
        <w:rPr>
          <w:rFonts w:ascii="宋体" w:hAnsi="宋体" w:cs="宋体"/>
          <w:color w:val="auto"/>
        </w:rPr>
      </w:pPr>
      <w:r>
        <w:rPr>
          <w:rFonts w:hint="eastAsia"/>
        </w:rPr>
        <w:t>颗粒物重量要求:与机油接触面积每1000cm2允许颗粒物重量10mg</w:t>
      </w:r>
      <w:r>
        <w:rPr>
          <w:rFonts w:hint="eastAsia"/>
          <w:lang w:eastAsia="zh-CN"/>
        </w:rPr>
        <w:t>；</w:t>
      </w:r>
    </w:p>
    <w:p w14:paraId="4B02F84D">
      <w:pPr>
        <w:pStyle w:val="305"/>
        <w:numPr>
          <w:ilvl w:val="0"/>
          <w:numId w:val="30"/>
        </w:numPr>
        <w:bidi w:val="0"/>
        <w:ind w:left="839" w:leftChars="0" w:hanging="419" w:firstLineChars="0"/>
        <w:rPr>
          <w:rFonts w:hAnsi="黑体" w:cs="黑体"/>
          <w:color w:val="auto"/>
        </w:rPr>
      </w:pPr>
      <w:r>
        <w:rPr>
          <w:rFonts w:hint="eastAsia" w:ascii="宋体" w:hAnsi="宋体" w:cs="宋体"/>
          <w:color w:val="auto"/>
        </w:rPr>
        <w:t>颗粒物尺寸要求:大于15μm颗粒物中99%颗粒物长度小于150μm，无颗粒物大于600μm</w:t>
      </w:r>
      <w:r>
        <w:rPr>
          <w:rFonts w:hint="eastAsia" w:hAnsi="宋体" w:cs="宋体"/>
          <w:color w:val="auto"/>
          <w:lang w:eastAsia="zh-CN"/>
        </w:rPr>
        <w:t>；</w:t>
      </w:r>
    </w:p>
    <w:p w14:paraId="74851828">
      <w:pPr>
        <w:pStyle w:val="305"/>
        <w:numPr>
          <w:ilvl w:val="0"/>
          <w:numId w:val="30"/>
        </w:numPr>
        <w:bidi w:val="0"/>
        <w:ind w:left="839" w:leftChars="0" w:hanging="419" w:firstLineChars="0"/>
        <w:rPr>
          <w:rFonts w:hAnsi="黑体" w:cs="黑体"/>
          <w:color w:val="auto"/>
        </w:rPr>
      </w:pPr>
      <w:r>
        <w:rPr>
          <w:rFonts w:hint="eastAsia" w:ascii="宋体" w:hAnsi="宋体" w:eastAsia="宋体" w:cs="宋体"/>
          <w:color w:val="auto"/>
        </w:rPr>
        <w:t>客户要求时，</w:t>
      </w:r>
      <w:r>
        <w:rPr>
          <w:rFonts w:hint="eastAsia" w:ascii="宋体" w:hAnsi="宋体" w:eastAsia="宋体"/>
          <w:color w:val="auto"/>
          <w:szCs w:val="21"/>
        </w:rPr>
        <w:t>OCV阀整体的清洁度应满足客户设计图纸要求。</w:t>
      </w:r>
    </w:p>
    <w:p w14:paraId="1C2354BF">
      <w:pPr>
        <w:pStyle w:val="261"/>
        <w:bidi w:val="0"/>
        <w:rPr>
          <w:rFonts w:hint="eastAsia"/>
        </w:rPr>
      </w:pPr>
      <w:r>
        <w:rPr>
          <w:rFonts w:hint="eastAsia"/>
        </w:rPr>
        <w:t>耐油压</w:t>
      </w:r>
    </w:p>
    <w:p w14:paraId="6A07627C">
      <w:pPr>
        <w:pStyle w:val="258"/>
        <w:bidi w:val="0"/>
      </w:pPr>
      <w:r>
        <w:rPr>
          <w:rFonts w:hint="eastAsia"/>
        </w:rPr>
        <w:t>0CV阀应能承受至少15bar的异常油压。</w:t>
      </w:r>
    </w:p>
    <w:p w14:paraId="085BD068">
      <w:pPr>
        <w:pStyle w:val="261"/>
        <w:bidi w:val="0"/>
      </w:pPr>
      <w:r>
        <w:rPr>
          <w:rFonts w:hint="eastAsia"/>
        </w:rPr>
        <w:t>抗污染</w:t>
      </w:r>
    </w:p>
    <w:p w14:paraId="14193B2D">
      <w:pPr>
        <w:pStyle w:val="258"/>
        <w:bidi w:val="0"/>
      </w:pPr>
      <w:r>
        <w:rPr>
          <w:rFonts w:hint="eastAsia"/>
        </w:rPr>
        <w:t>OCV阀在按规定配置的混有杂质的机油中全行程动作70万次，复测0CV基本性能合格。阀杆阀套等有相对运动的零件表面无异常磨损。</w:t>
      </w:r>
    </w:p>
    <w:p w14:paraId="1D858871">
      <w:pPr>
        <w:pStyle w:val="261"/>
        <w:bidi w:val="0"/>
        <w:rPr>
          <w:rFonts w:hint="eastAsia"/>
        </w:rPr>
      </w:pPr>
      <w:r>
        <w:rPr>
          <w:rFonts w:hint="eastAsia"/>
        </w:rPr>
        <w:t>抗振动</w:t>
      </w:r>
    </w:p>
    <w:p w14:paraId="1B8B45CF">
      <w:pPr>
        <w:pStyle w:val="258"/>
        <w:bidi w:val="0"/>
      </w:pPr>
      <w:r>
        <w:rPr>
          <w:rFonts w:hint="eastAsia"/>
        </w:rPr>
        <w:t>OCV阀按 QC/T413中发动机上部件要求进行。试验后OCV应无损坏，紧固件应无松脱现象。</w:t>
      </w:r>
    </w:p>
    <w:p w14:paraId="5243FE55">
      <w:pPr>
        <w:pStyle w:val="261"/>
        <w:bidi w:val="0"/>
      </w:pPr>
      <w:r>
        <w:rPr>
          <w:rFonts w:hint="eastAsia"/>
        </w:rPr>
        <w:t>耐高低温冲击</w:t>
      </w:r>
    </w:p>
    <w:p w14:paraId="3174EE27">
      <w:pPr>
        <w:pStyle w:val="258"/>
        <w:bidi w:val="0"/>
      </w:pPr>
      <w:r>
        <w:rPr>
          <w:rFonts w:hint="eastAsia"/>
        </w:rPr>
        <w:t>OCV阀应能承受-40℃与135℃交变温度冲击。试验后</w:t>
      </w:r>
      <w:r>
        <w:t>O</w:t>
      </w:r>
      <w:r>
        <w:rPr>
          <w:rFonts w:hint="eastAsia"/>
        </w:rPr>
        <w:t>CV阀各装配结合处无松动。</w:t>
      </w:r>
    </w:p>
    <w:p w14:paraId="7551839D">
      <w:pPr>
        <w:pStyle w:val="261"/>
        <w:bidi w:val="0"/>
      </w:pPr>
      <w:r>
        <w:rPr>
          <w:rFonts w:hint="eastAsia"/>
        </w:rPr>
        <w:t>耐腐蚀</w:t>
      </w:r>
    </w:p>
    <w:p w14:paraId="5C7727D3">
      <w:pPr>
        <w:pStyle w:val="258"/>
        <w:bidi w:val="0"/>
      </w:pPr>
      <w:r>
        <w:rPr>
          <w:rFonts w:hint="eastAsia"/>
        </w:rPr>
        <w:t>0CV阀外露电磁体部分应能忍受72h盐雾试验要求。</w:t>
      </w:r>
    </w:p>
    <w:p w14:paraId="2909CC72">
      <w:pPr>
        <w:pStyle w:val="261"/>
        <w:bidi w:val="0"/>
        <w:rPr>
          <w:rFonts w:hint="eastAsia"/>
        </w:rPr>
      </w:pPr>
      <w:r>
        <w:rPr>
          <w:rFonts w:hint="eastAsia"/>
        </w:rPr>
        <w:t>耐久性</w:t>
      </w:r>
    </w:p>
    <w:p w14:paraId="5A4FFC53">
      <w:pPr>
        <w:pStyle w:val="258"/>
        <w:bidi w:val="0"/>
      </w:pPr>
      <w:r>
        <w:rPr>
          <w:rFonts w:hint="eastAsia"/>
        </w:rPr>
        <w:t>0CV阀全行程动作500h。试验后，拆解观察有相对运动的零部件表面无异常磨损。</w:t>
      </w:r>
    </w:p>
    <w:p w14:paraId="750E02EB">
      <w:pPr>
        <w:pStyle w:val="261"/>
        <w:bidi w:val="0"/>
        <w:rPr>
          <w:rFonts w:hint="eastAsia"/>
        </w:rPr>
      </w:pPr>
      <w:r>
        <w:rPr>
          <w:rFonts w:hint="eastAsia"/>
        </w:rPr>
        <w:t>接插件耦合力</w:t>
      </w:r>
    </w:p>
    <w:p w14:paraId="45B74CAA">
      <w:pPr>
        <w:pStyle w:val="258"/>
        <w:bidi w:val="0"/>
      </w:pPr>
      <w:r>
        <w:rPr>
          <w:rFonts w:hint="eastAsia"/>
        </w:rPr>
        <w:t>OCV阀接插件插合后，其卡口至少能承受100N的拉脱力保证接插头无变形、不松脱。</w:t>
      </w:r>
    </w:p>
    <w:p w14:paraId="7F884BD0">
      <w:pPr>
        <w:pStyle w:val="261"/>
        <w:bidi w:val="0"/>
        <w:rPr>
          <w:rFonts w:hint="eastAsia"/>
        </w:rPr>
      </w:pPr>
      <w:r>
        <w:rPr>
          <w:rFonts w:hint="eastAsia"/>
        </w:rPr>
        <w:t>接插件耐水性</w:t>
      </w:r>
    </w:p>
    <w:p w14:paraId="4F2E711A">
      <w:pPr>
        <w:pStyle w:val="258"/>
        <w:bidi w:val="0"/>
      </w:pPr>
      <w:r>
        <w:rPr>
          <w:rFonts w:hint="eastAsia"/>
        </w:rPr>
        <w:t>0CV阀接插件插合后，其密封圈配合处应能有效避免水的渗入。</w:t>
      </w:r>
    </w:p>
    <w:p w14:paraId="013D90C6">
      <w:pPr>
        <w:pStyle w:val="261"/>
        <w:bidi w:val="0"/>
        <w:rPr>
          <w:rFonts w:ascii="宋体" w:hAnsi="宋体" w:cs="宋体"/>
          <w:color w:val="auto"/>
        </w:rPr>
      </w:pPr>
      <w:r>
        <w:rPr>
          <w:rFonts w:hint="eastAsia" w:ascii="黑体" w:hAnsi="黑体" w:eastAsia="黑体" w:cs="黑体"/>
          <w:color w:val="auto"/>
        </w:rPr>
        <w:t>耐电压短时异常</w:t>
      </w:r>
      <w:r>
        <w:rPr>
          <w:rFonts w:hint="eastAsia" w:ascii="宋体" w:hAnsi="宋体" w:cs="宋体"/>
          <w:color w:val="auto"/>
        </w:rPr>
        <w:t xml:space="preserve"> </w:t>
      </w:r>
    </w:p>
    <w:p w14:paraId="63D0343E">
      <w:pPr>
        <w:pStyle w:val="258"/>
        <w:bidi w:val="0"/>
      </w:pPr>
      <w:r>
        <w:rPr>
          <w:rFonts w:hint="eastAsia"/>
        </w:rPr>
        <w:t>0CV阀加载电压24VDC，时间1min，O</w:t>
      </w:r>
      <w:r>
        <w:t>CV</w:t>
      </w:r>
      <w:r>
        <w:rPr>
          <w:rFonts w:hint="eastAsia"/>
        </w:rPr>
        <w:t>阀工作于保持点状态，应无线圈胀裂、变形等现象，阀体温度恢复至常温后，性能指标应符合5.5的要求。</w:t>
      </w:r>
    </w:p>
    <w:p w14:paraId="6BF2FAE7">
      <w:pPr>
        <w:pStyle w:val="261"/>
        <w:bidi w:val="0"/>
      </w:pPr>
      <w:r>
        <w:rPr>
          <w:rFonts w:hint="eastAsia"/>
        </w:rPr>
        <w:t>耐电压持续异常</w:t>
      </w:r>
    </w:p>
    <w:p w14:paraId="18BA7B52">
      <w:pPr>
        <w:pStyle w:val="258"/>
        <w:bidi w:val="0"/>
      </w:pPr>
      <w:r>
        <w:rPr>
          <w:rFonts w:hint="eastAsia"/>
        </w:rPr>
        <w:t>0CV阀加载电压18VDC，时间1h，O</w:t>
      </w:r>
      <w:r>
        <w:t>CV</w:t>
      </w:r>
      <w:r>
        <w:rPr>
          <w:rFonts w:hint="eastAsia"/>
        </w:rPr>
        <w:t>阀工作于保持点状态，应无线圈胀裂、变形等现象。试验后，待线圈恢复室温，性能指标应符合5.5要求。</w:t>
      </w:r>
    </w:p>
    <w:p w14:paraId="127B553A">
      <w:pPr>
        <w:pStyle w:val="261"/>
        <w:bidi w:val="0"/>
        <w:rPr>
          <w:rFonts w:hint="eastAsia"/>
        </w:rPr>
      </w:pPr>
      <w:r>
        <w:rPr>
          <w:rFonts w:hint="eastAsia"/>
        </w:rPr>
        <w:t>电磁兼容性(ENC)</w:t>
      </w:r>
    </w:p>
    <w:p w14:paraId="406D1C12">
      <w:pPr>
        <w:pStyle w:val="258"/>
        <w:bidi w:val="0"/>
      </w:pPr>
      <w:r>
        <w:rPr>
          <w:rFonts w:hint="eastAsia"/>
        </w:rPr>
        <w:t>OCV阀应在其电磁环境中能正常工作，且不对该环境中的任何事物构成不能承受的电磁干扰。</w:t>
      </w:r>
    </w:p>
    <w:p w14:paraId="3C9646E8">
      <w:pPr>
        <w:pStyle w:val="261"/>
        <w:bidi w:val="0"/>
      </w:pPr>
      <w:r>
        <w:rPr>
          <w:rFonts w:hint="eastAsia"/>
        </w:rPr>
        <w:t>外壳防护等级</w:t>
      </w:r>
    </w:p>
    <w:p w14:paraId="2771194D">
      <w:pPr>
        <w:pStyle w:val="258"/>
        <w:bidi w:val="0"/>
      </w:pPr>
      <w:r>
        <w:rPr>
          <w:rFonts w:hint="eastAsia"/>
        </w:rPr>
        <w:t>应符合GB/T</w:t>
      </w:r>
      <w:r>
        <w:rPr>
          <w:rFonts w:hint="eastAsia"/>
          <w:lang w:val="en-US" w:eastAsia="zh-CN"/>
        </w:rPr>
        <w:t xml:space="preserve"> </w:t>
      </w:r>
      <w:r>
        <w:rPr>
          <w:rFonts w:hint="eastAsia"/>
        </w:rPr>
        <w:t>30038中IP6K9K的要求。</w:t>
      </w:r>
    </w:p>
    <w:p w14:paraId="62056784">
      <w:pPr>
        <w:pStyle w:val="259"/>
        <w:bidi w:val="0"/>
      </w:pPr>
      <w:r>
        <w:rPr>
          <w:rFonts w:hint="eastAsia"/>
        </w:rPr>
        <w:t>性能试验方法</w:t>
      </w:r>
    </w:p>
    <w:p w14:paraId="2CC3C36E">
      <w:pPr>
        <w:pStyle w:val="260"/>
        <w:bidi w:val="0"/>
      </w:pPr>
      <w:r>
        <w:rPr>
          <w:rFonts w:hint="eastAsia"/>
        </w:rPr>
        <w:t>电气性能试验</w:t>
      </w:r>
    </w:p>
    <w:p w14:paraId="7257EAE0">
      <w:pPr>
        <w:pStyle w:val="261"/>
        <w:bidi w:val="0"/>
        <w:rPr>
          <w:rFonts w:hint="eastAsia"/>
        </w:rPr>
      </w:pPr>
      <w:r>
        <w:rPr>
          <w:rFonts w:hint="eastAsia"/>
        </w:rPr>
        <w:t>阀电阻</w:t>
      </w:r>
    </w:p>
    <w:p w14:paraId="3F7CF041">
      <w:pPr>
        <w:pStyle w:val="258"/>
        <w:bidi w:val="0"/>
      </w:pPr>
      <w:r>
        <w:rPr>
          <w:rFonts w:hint="eastAsia"/>
        </w:rPr>
        <w:t>用测量精度优于±2%的电阻测试仪，在20℃±3℃环境温度条件下，测量OCV阀线圈两端的电阻值。其结果应符合5.5.1.1要求。</w:t>
      </w:r>
    </w:p>
    <w:p w14:paraId="3AC12E5F">
      <w:pPr>
        <w:pStyle w:val="261"/>
        <w:bidi w:val="0"/>
        <w:rPr>
          <w:rFonts w:hint="eastAsia"/>
        </w:rPr>
      </w:pPr>
      <w:r>
        <w:rPr>
          <w:rFonts w:hint="eastAsia"/>
        </w:rPr>
        <w:t>阀电感</w:t>
      </w:r>
    </w:p>
    <w:p w14:paraId="2C2244E6">
      <w:pPr>
        <w:pStyle w:val="258"/>
        <w:bidi w:val="0"/>
      </w:pPr>
      <w:r>
        <w:rPr>
          <w:rFonts w:hint="eastAsia"/>
        </w:rPr>
        <w:t>用测量精度优于±2%的电感测量仪，在环境温度20℃±3℃，测试频率1kHz条件下，测试OCV阀线圈两端的电感值，其结果应符合5.5.1.2要求。</w:t>
      </w:r>
    </w:p>
    <w:p w14:paraId="1FA671EB">
      <w:pPr>
        <w:pStyle w:val="261"/>
        <w:bidi w:val="0"/>
        <w:rPr>
          <w:rFonts w:hint="eastAsia"/>
        </w:rPr>
      </w:pPr>
      <w:r>
        <w:rPr>
          <w:rFonts w:hint="eastAsia"/>
        </w:rPr>
        <w:t>绝缘电阻和泄漏电流</w:t>
      </w:r>
    </w:p>
    <w:p w14:paraId="6D6635E9">
      <w:pPr>
        <w:pStyle w:val="328"/>
        <w:bidi w:val="0"/>
        <w:rPr>
          <w:rFonts w:ascii="宋体" w:hAnsi="宋体" w:cs="宋体"/>
        </w:rPr>
      </w:pPr>
      <w:r>
        <w:rPr>
          <w:rFonts w:hint="eastAsia" w:hAnsi="宋体" w:cs="宋体"/>
          <w:color w:val="auto"/>
          <w:szCs w:val="21"/>
        </w:rPr>
        <w:t>用</w:t>
      </w:r>
      <w:r>
        <w:rPr>
          <w:rFonts w:hint="eastAsia" w:ascii="宋体" w:hAnsi="宋体" w:cs="宋体"/>
          <w:color w:val="auto"/>
        </w:rPr>
        <w:t>500V绝</w:t>
      </w:r>
      <w:r>
        <w:rPr>
          <w:rFonts w:hint="eastAsia" w:hAnsi="宋体" w:cs="宋体"/>
          <w:color w:val="auto"/>
          <w:szCs w:val="21"/>
        </w:rPr>
        <w:t>缘电阻表测量</w:t>
      </w:r>
      <w:r>
        <w:rPr>
          <w:rFonts w:hint="eastAsia" w:ascii="宋体" w:hAnsi="宋体" w:cs="宋体"/>
          <w:color w:val="auto"/>
        </w:rPr>
        <w:t>线圈的接线端和阀体之间的</w:t>
      </w:r>
      <w:r>
        <w:rPr>
          <w:rFonts w:hint="eastAsia" w:hAnsi="宋体" w:cs="宋体"/>
          <w:color w:val="auto"/>
          <w:szCs w:val="21"/>
        </w:rPr>
        <w:t>绝缘电阻，</w:t>
      </w:r>
      <w:r>
        <w:rPr>
          <w:rFonts w:hint="eastAsia" w:ascii="宋体" w:hAnsi="宋体" w:cs="宋体"/>
          <w:color w:val="auto"/>
        </w:rPr>
        <w:t>其结果应符合5.5.1.3要求。</w:t>
      </w:r>
    </w:p>
    <w:p w14:paraId="3BA55B6C">
      <w:pPr>
        <w:pStyle w:val="328"/>
        <w:bidi w:val="0"/>
        <w:rPr>
          <w:rFonts w:ascii="宋体" w:hAnsi="宋体" w:cs="宋体"/>
        </w:rPr>
      </w:pPr>
      <w:r>
        <w:rPr>
          <w:rFonts w:hint="eastAsia" w:hAnsi="宋体" w:cs="宋体"/>
          <w:color w:val="auto"/>
          <w:szCs w:val="21"/>
        </w:rPr>
        <w:t>在OCV阀的两个</w:t>
      </w:r>
      <w:r>
        <w:rPr>
          <w:rFonts w:hint="eastAsia" w:ascii="宋体" w:hAnsi="宋体" w:cs="宋体"/>
        </w:rPr>
        <w:t>接线端</w:t>
      </w:r>
      <w:r>
        <w:rPr>
          <w:rFonts w:hint="eastAsia" w:hAnsi="宋体" w:cs="宋体"/>
          <w:szCs w:val="21"/>
        </w:rPr>
        <w:t>和外罩之间施</w:t>
      </w:r>
      <w:r>
        <w:rPr>
          <w:rFonts w:hint="eastAsia" w:ascii="宋体" w:hAnsi="宋体" w:cs="宋体"/>
        </w:rPr>
        <w:t>加500VDC的直流电压，保持15s，其泄漏电流值应符合5.5.1.4要求。</w:t>
      </w:r>
    </w:p>
    <w:p w14:paraId="429B5D98">
      <w:pPr>
        <w:pStyle w:val="260"/>
        <w:bidi w:val="0"/>
      </w:pPr>
      <w:r>
        <w:rPr>
          <w:rFonts w:hint="eastAsia"/>
        </w:rPr>
        <w:t>流量占空比特性试验</w:t>
      </w:r>
    </w:p>
    <w:p w14:paraId="3A6C570F">
      <w:pPr>
        <w:pStyle w:val="261"/>
        <w:bidi w:val="0"/>
      </w:pPr>
      <w:r>
        <w:rPr>
          <w:rFonts w:hint="eastAsia"/>
        </w:rPr>
        <w:t>试验装置</w:t>
      </w:r>
    </w:p>
    <w:p w14:paraId="016800A6">
      <w:pPr>
        <w:pStyle w:val="305"/>
        <w:numPr>
          <w:ilvl w:val="0"/>
          <w:numId w:val="31"/>
        </w:numPr>
        <w:bidi w:val="0"/>
        <w:ind w:left="839" w:leftChars="0" w:hanging="419" w:firstLineChars="0"/>
        <w:rPr>
          <w:rFonts w:ascii="宋体" w:hAnsi="宋体" w:cs="宋体"/>
          <w:color w:val="auto"/>
        </w:rPr>
      </w:pPr>
      <w:r>
        <w:rPr>
          <w:rFonts w:hint="eastAsia"/>
        </w:rPr>
        <w:t>具有符合图1所示试验回路的试验台</w:t>
      </w:r>
      <w:r>
        <w:rPr>
          <w:rFonts w:hint="eastAsia"/>
          <w:lang w:eastAsia="zh-CN"/>
        </w:rPr>
        <w:t>；</w:t>
      </w:r>
    </w:p>
    <w:p w14:paraId="19D1414F">
      <w:pPr>
        <w:pStyle w:val="305"/>
        <w:numPr>
          <w:ilvl w:val="0"/>
          <w:numId w:val="31"/>
        </w:numPr>
        <w:bidi w:val="0"/>
        <w:ind w:left="839" w:leftChars="0" w:hanging="419" w:firstLineChars="0"/>
        <w:rPr>
          <w:rFonts w:ascii="宋体" w:hAnsi="宋体" w:cs="宋体"/>
          <w:color w:val="auto"/>
        </w:rPr>
      </w:pPr>
      <w:r>
        <w:rPr>
          <w:rFonts w:hint="eastAsia" w:ascii="宋体" w:hAnsi="宋体" w:cs="宋体"/>
          <w:color w:val="auto"/>
        </w:rPr>
        <w:t>油源的温度及压力:油源的温度应能在室温～140℃范围内调节，且误差能稳定在±3℃范围内，油源的压力应能在0～10bar范围内调节，且误差能稳定±0.1bar 范围内</w:t>
      </w:r>
      <w:r>
        <w:rPr>
          <w:rFonts w:hint="eastAsia" w:hAnsi="宋体" w:cs="宋体"/>
          <w:color w:val="auto"/>
          <w:lang w:eastAsia="zh-CN"/>
        </w:rPr>
        <w:t>；</w:t>
      </w:r>
    </w:p>
    <w:p w14:paraId="1DAE283B">
      <w:pPr>
        <w:pStyle w:val="305"/>
        <w:numPr>
          <w:ilvl w:val="0"/>
          <w:numId w:val="31"/>
        </w:numPr>
        <w:bidi w:val="0"/>
        <w:ind w:left="839" w:leftChars="0" w:hanging="419" w:firstLineChars="0"/>
        <w:rPr>
          <w:rFonts w:ascii="宋体" w:hAnsi="宋体" w:cs="宋体"/>
          <w:color w:val="auto"/>
        </w:rPr>
      </w:pPr>
      <w:r>
        <w:rPr>
          <w:rFonts w:hint="eastAsia" w:ascii="宋体" w:hAnsi="宋体" w:cs="宋体"/>
          <w:color w:val="auto"/>
        </w:rPr>
        <w:t>测试电源的电压及频率:电源电压0～20V可调且误差能稳定在±0.1V范围内，PWM频率0～500HZ可调。</w:t>
      </w:r>
    </w:p>
    <w:p w14:paraId="27DD8109">
      <w:pPr>
        <w:pStyle w:val="305"/>
        <w:numPr>
          <w:ilvl w:val="0"/>
          <w:numId w:val="0"/>
        </w:numPr>
        <w:bidi w:val="0"/>
        <w:ind w:left="420" w:leftChars="0"/>
        <w:rPr>
          <w:rFonts w:ascii="宋体" w:hAnsi="宋体" w:cs="宋体"/>
          <w:color w:val="auto"/>
        </w:rPr>
      </w:pPr>
    </w:p>
    <w:p w14:paraId="112245FF">
      <w:pPr>
        <w:spacing w:line="360" w:lineRule="auto"/>
        <w:ind w:firstLine="420" w:firstLineChars="200"/>
        <w:jc w:val="center"/>
        <w:rPr>
          <w:rFonts w:ascii="宋体" w:hAnsi="宋体" w:cs="宋体"/>
        </w:rPr>
      </w:pPr>
      <w:r>
        <w:drawing>
          <wp:inline distT="0" distB="0" distL="114300" distR="114300">
            <wp:extent cx="3964940" cy="2654300"/>
            <wp:effectExtent l="0" t="0" r="16510" b="1270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4"/>
                    <a:srcRect t="3708" r="-653" b="10174"/>
                    <a:stretch>
                      <a:fillRect/>
                    </a:stretch>
                  </pic:blipFill>
                  <pic:spPr>
                    <a:xfrm>
                      <a:off x="0" y="0"/>
                      <a:ext cx="3964940" cy="2654300"/>
                    </a:xfrm>
                    <a:prstGeom prst="rect">
                      <a:avLst/>
                    </a:prstGeom>
                    <a:noFill/>
                    <a:ln>
                      <a:noFill/>
                    </a:ln>
                  </pic:spPr>
                </pic:pic>
              </a:graphicData>
            </a:graphic>
          </wp:inline>
        </w:drawing>
      </w:r>
    </w:p>
    <w:p w14:paraId="1308B654">
      <w:pPr>
        <w:pStyle w:val="302"/>
        <w:bidi w:val="0"/>
      </w:pPr>
      <w:r>
        <w:rPr>
          <w:rFonts w:hint="eastAsia"/>
        </w:rPr>
        <w:t>OCV阀流量-占空比测试回路</w:t>
      </w:r>
    </w:p>
    <w:p w14:paraId="208E8F3A">
      <w:pPr>
        <w:pStyle w:val="261"/>
        <w:bidi w:val="0"/>
      </w:pPr>
      <w:r>
        <w:rPr>
          <w:rFonts w:hint="eastAsia"/>
        </w:rPr>
        <w:t>试验条件</w:t>
      </w:r>
    </w:p>
    <w:p w14:paraId="0BA0CBD8">
      <w:pPr>
        <w:pStyle w:val="290"/>
        <w:bidi w:val="0"/>
      </w:pPr>
      <w:r>
        <w:rPr>
          <w:rFonts w:hint="eastAsia"/>
        </w:rPr>
        <w:t>试验介质</w:t>
      </w:r>
    </w:p>
    <w:p w14:paraId="336869BD">
      <w:pPr>
        <w:pStyle w:val="258"/>
        <w:bidi w:val="0"/>
      </w:pPr>
      <w:r>
        <w:rPr>
          <w:rFonts w:hint="eastAsia"/>
        </w:rPr>
        <w:t>试验介质为一般液压油。</w:t>
      </w:r>
    </w:p>
    <w:p w14:paraId="2479835C">
      <w:pPr>
        <w:pStyle w:val="290"/>
        <w:bidi w:val="0"/>
      </w:pPr>
      <w:r>
        <w:rPr>
          <w:rFonts w:hint="eastAsia"/>
        </w:rPr>
        <w:t>试验介质温度</w:t>
      </w:r>
    </w:p>
    <w:p w14:paraId="383ED14D">
      <w:pPr>
        <w:pStyle w:val="258"/>
        <w:bidi w:val="0"/>
      </w:pPr>
      <w:r>
        <w:rPr>
          <w:rFonts w:hint="eastAsia"/>
        </w:rPr>
        <w:t>除明确规定外，性能试验在50℃±2℃下进行，出厂试验应在50℃±4℃下进行。</w:t>
      </w:r>
    </w:p>
    <w:p w14:paraId="1BEECD6B">
      <w:pPr>
        <w:pStyle w:val="290"/>
        <w:bidi w:val="0"/>
      </w:pPr>
      <w:r>
        <w:rPr>
          <w:rFonts w:hint="eastAsia"/>
        </w:rPr>
        <w:t>试验介质的粘度</w:t>
      </w:r>
    </w:p>
    <w:p w14:paraId="15228531">
      <w:pPr>
        <w:pStyle w:val="258"/>
        <w:bidi w:val="0"/>
        <w:rPr>
          <w:rFonts w:ascii="宋体" w:hAnsi="宋体" w:cs="宋体"/>
          <w:color w:val="auto"/>
        </w:rPr>
      </w:pPr>
      <w:r>
        <w:rPr>
          <w:rFonts w:hint="eastAsia" w:ascii="宋体" w:hAnsi="宋体" w:cs="宋体"/>
          <w:color w:val="auto"/>
        </w:rPr>
        <w:t>40℃时的运动粘度为42mm</w:t>
      </w:r>
      <w:r>
        <w:rPr>
          <w:rFonts w:hint="eastAsia" w:ascii="宋体" w:hAnsi="宋体" w:cs="宋体"/>
          <w:color w:val="auto"/>
          <w:vertAlign w:val="superscript"/>
        </w:rPr>
        <w:t>2</w:t>
      </w:r>
      <w:r>
        <w:rPr>
          <w:rFonts w:hint="eastAsia" w:ascii="宋体" w:hAnsi="宋体" w:cs="宋体"/>
          <w:color w:val="auto"/>
        </w:rPr>
        <w:t>/s～74mm</w:t>
      </w:r>
      <w:r>
        <w:rPr>
          <w:rFonts w:hint="eastAsia" w:ascii="宋体" w:hAnsi="宋体" w:cs="宋体"/>
          <w:color w:val="auto"/>
          <w:vertAlign w:val="superscript"/>
        </w:rPr>
        <w:t>2</w:t>
      </w:r>
      <w:r>
        <w:rPr>
          <w:rFonts w:hint="eastAsia" w:ascii="宋体" w:hAnsi="宋体" w:cs="宋体"/>
          <w:color w:val="auto"/>
        </w:rPr>
        <w:t>/s(特殊要求另行规定)。</w:t>
      </w:r>
    </w:p>
    <w:p w14:paraId="3368ACBF">
      <w:pPr>
        <w:pStyle w:val="290"/>
        <w:bidi w:val="0"/>
      </w:pPr>
      <w:r>
        <w:rPr>
          <w:rFonts w:hint="eastAsia"/>
        </w:rPr>
        <w:t>试验介质的清洁度</w:t>
      </w:r>
    </w:p>
    <w:p w14:paraId="0FC62208">
      <w:pPr>
        <w:pStyle w:val="258"/>
        <w:bidi w:val="0"/>
      </w:pPr>
      <w:r>
        <w:rPr>
          <w:rFonts w:hint="eastAsia"/>
        </w:rPr>
        <w:t>试验系统油液的固体颗粒污染等级不得高于GB/T14039-2002规定的等级-19/16。</w:t>
      </w:r>
    </w:p>
    <w:p w14:paraId="62ACEC0B">
      <w:pPr>
        <w:pStyle w:val="290"/>
        <w:bidi w:val="0"/>
      </w:pPr>
      <w:r>
        <w:rPr>
          <w:rFonts w:hint="eastAsia"/>
        </w:rPr>
        <w:t>试验油压</w:t>
      </w:r>
    </w:p>
    <w:p w14:paraId="3DF65D0A">
      <w:pPr>
        <w:pStyle w:val="258"/>
        <w:bidi w:val="0"/>
      </w:pPr>
      <w:r>
        <w:rPr>
          <w:rFonts w:hint="eastAsia"/>
        </w:rPr>
        <w:t>性能试验、出厂试验测试油压:2±0.1bar。</w:t>
      </w:r>
    </w:p>
    <w:p w14:paraId="65C03EC8">
      <w:pPr>
        <w:pStyle w:val="290"/>
        <w:bidi w:val="0"/>
      </w:pPr>
      <w:r>
        <w:rPr>
          <w:rFonts w:hint="eastAsia"/>
        </w:rPr>
        <w:t>试验电压及频率</w:t>
      </w:r>
    </w:p>
    <w:p w14:paraId="01F1DC80">
      <w:pPr>
        <w:pStyle w:val="258"/>
        <w:bidi w:val="0"/>
      </w:pPr>
      <w:r>
        <w:rPr>
          <w:rFonts w:hint="eastAsia"/>
        </w:rPr>
        <w:t>试验电压:13.5±0.1V；</w:t>
      </w:r>
    </w:p>
    <w:p w14:paraId="6AE454CD">
      <w:pPr>
        <w:pStyle w:val="258"/>
        <w:bidi w:val="0"/>
      </w:pPr>
      <w:r>
        <w:rPr>
          <w:rFonts w:hint="eastAsia"/>
        </w:rPr>
        <w:t>试验PWM频率:180±10Hz。</w:t>
      </w:r>
    </w:p>
    <w:p w14:paraId="2DDC3F2A">
      <w:pPr>
        <w:pStyle w:val="290"/>
        <w:bidi w:val="0"/>
      </w:pPr>
      <w:r>
        <w:rPr>
          <w:rFonts w:hint="eastAsia"/>
        </w:rPr>
        <w:t>测量准确度等级</w:t>
      </w:r>
    </w:p>
    <w:p w14:paraId="7D598B77">
      <w:pPr>
        <w:pStyle w:val="258"/>
        <w:bidi w:val="0"/>
        <w:rPr>
          <w:rFonts w:hint="eastAsia"/>
        </w:rPr>
      </w:pPr>
      <w:r>
        <w:rPr>
          <w:rFonts w:hint="eastAsia"/>
        </w:rPr>
        <w:t>测量准确度等级分A、B、C三级。性能试验不应低于B级，出厂检验不应低于C级。各等级所对应的测量系统的允许误差应符合表2的规定。</w:t>
      </w:r>
    </w:p>
    <w:p w14:paraId="032AAB49">
      <w:pPr>
        <w:pStyle w:val="258"/>
        <w:bidi w:val="0"/>
        <w:rPr>
          <w:rFonts w:hint="eastAsia"/>
        </w:rPr>
      </w:pPr>
    </w:p>
    <w:p w14:paraId="1F77A8D0">
      <w:pPr>
        <w:pStyle w:val="258"/>
        <w:bidi w:val="0"/>
        <w:rPr>
          <w:rFonts w:hint="eastAsia"/>
        </w:rPr>
      </w:pPr>
    </w:p>
    <w:p w14:paraId="1D65A392">
      <w:pPr>
        <w:pStyle w:val="258"/>
        <w:bidi w:val="0"/>
        <w:rPr>
          <w:rFonts w:hint="eastAsia"/>
        </w:rPr>
      </w:pPr>
    </w:p>
    <w:p w14:paraId="5BB4F150">
      <w:pPr>
        <w:pStyle w:val="258"/>
        <w:bidi w:val="0"/>
        <w:rPr>
          <w:rFonts w:hint="eastAsia"/>
        </w:rPr>
      </w:pPr>
    </w:p>
    <w:p w14:paraId="7732E8A4">
      <w:pPr>
        <w:pStyle w:val="258"/>
        <w:bidi w:val="0"/>
        <w:rPr>
          <w:rFonts w:hint="eastAsia"/>
        </w:rPr>
      </w:pPr>
    </w:p>
    <w:p w14:paraId="599D2FD9">
      <w:pPr>
        <w:pStyle w:val="301"/>
        <w:bidi w:val="0"/>
      </w:pPr>
      <w:r>
        <w:rPr>
          <w:rFonts w:hint="eastAsia"/>
        </w:rPr>
        <w:t>测量系统的允许误差</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1"/>
        <w:gridCol w:w="1878"/>
        <w:gridCol w:w="1878"/>
        <w:gridCol w:w="1882"/>
      </w:tblGrid>
      <w:tr w14:paraId="75D0F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621" w:type="dxa"/>
            <w:vMerge w:val="restart"/>
            <w:vAlign w:val="center"/>
          </w:tcPr>
          <w:p w14:paraId="4B533757">
            <w:pPr>
              <w:jc w:val="center"/>
              <w:rPr>
                <w:rFonts w:hint="eastAsia" w:ascii="黑体" w:hAnsi="黑体" w:eastAsia="黑体" w:cs="黑体"/>
              </w:rPr>
            </w:pPr>
            <w:r>
              <w:rPr>
                <w:rFonts w:hint="eastAsia" w:ascii="黑体" w:hAnsi="黑体" w:eastAsia="黑体" w:cs="黑体"/>
              </w:rPr>
              <w:t>测量仪器、仪表的参量</w:t>
            </w:r>
          </w:p>
        </w:tc>
        <w:tc>
          <w:tcPr>
            <w:tcW w:w="5638" w:type="dxa"/>
            <w:gridSpan w:val="3"/>
            <w:vAlign w:val="center"/>
          </w:tcPr>
          <w:p w14:paraId="7DE4BF3F">
            <w:pPr>
              <w:jc w:val="center"/>
              <w:rPr>
                <w:rFonts w:hint="eastAsia" w:ascii="黑体" w:hAnsi="黑体" w:eastAsia="黑体" w:cs="黑体"/>
              </w:rPr>
            </w:pPr>
            <w:r>
              <w:rPr>
                <w:rFonts w:hint="eastAsia" w:ascii="黑体" w:hAnsi="黑体" w:eastAsia="黑体" w:cs="黑体"/>
              </w:rPr>
              <w:t>各测量准确度等级对应的测量系统允许误差</w:t>
            </w:r>
          </w:p>
        </w:tc>
      </w:tr>
      <w:tr w14:paraId="51BE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621" w:type="dxa"/>
            <w:vMerge w:val="continue"/>
            <w:vAlign w:val="center"/>
          </w:tcPr>
          <w:p w14:paraId="558064A1">
            <w:pPr>
              <w:jc w:val="center"/>
              <w:rPr>
                <w:rFonts w:hint="eastAsia" w:ascii="黑体" w:hAnsi="黑体" w:eastAsia="黑体" w:cs="黑体"/>
              </w:rPr>
            </w:pPr>
          </w:p>
        </w:tc>
        <w:tc>
          <w:tcPr>
            <w:tcW w:w="1878" w:type="dxa"/>
            <w:vAlign w:val="center"/>
          </w:tcPr>
          <w:p w14:paraId="0E19B765">
            <w:pPr>
              <w:jc w:val="center"/>
              <w:rPr>
                <w:rFonts w:hint="eastAsia" w:ascii="黑体" w:hAnsi="黑体" w:eastAsia="黑体" w:cs="黑体"/>
              </w:rPr>
            </w:pPr>
            <w:r>
              <w:rPr>
                <w:rFonts w:hint="eastAsia" w:ascii="黑体" w:hAnsi="黑体" w:eastAsia="黑体" w:cs="黑体"/>
              </w:rPr>
              <w:t>A</w:t>
            </w:r>
          </w:p>
        </w:tc>
        <w:tc>
          <w:tcPr>
            <w:tcW w:w="1878" w:type="dxa"/>
            <w:vAlign w:val="center"/>
          </w:tcPr>
          <w:p w14:paraId="6437F05D">
            <w:pPr>
              <w:jc w:val="center"/>
              <w:rPr>
                <w:rFonts w:hint="eastAsia" w:ascii="黑体" w:hAnsi="黑体" w:eastAsia="黑体" w:cs="黑体"/>
              </w:rPr>
            </w:pPr>
            <w:r>
              <w:rPr>
                <w:rFonts w:hint="eastAsia" w:ascii="黑体" w:hAnsi="黑体" w:eastAsia="黑体" w:cs="黑体"/>
              </w:rPr>
              <w:t>B</w:t>
            </w:r>
          </w:p>
        </w:tc>
        <w:tc>
          <w:tcPr>
            <w:tcW w:w="1882" w:type="dxa"/>
            <w:vAlign w:val="center"/>
          </w:tcPr>
          <w:p w14:paraId="48C10F8E">
            <w:pPr>
              <w:jc w:val="center"/>
              <w:rPr>
                <w:rFonts w:hint="eastAsia" w:ascii="黑体" w:hAnsi="黑体" w:eastAsia="黑体" w:cs="黑体"/>
              </w:rPr>
            </w:pPr>
            <w:r>
              <w:rPr>
                <w:rFonts w:hint="eastAsia" w:ascii="黑体" w:hAnsi="黑体" w:eastAsia="黑体" w:cs="黑体"/>
              </w:rPr>
              <w:t>C</w:t>
            </w:r>
          </w:p>
        </w:tc>
      </w:tr>
      <w:tr w14:paraId="62CB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621" w:type="dxa"/>
            <w:vAlign w:val="center"/>
          </w:tcPr>
          <w:p w14:paraId="281816BF">
            <w:pPr>
              <w:jc w:val="center"/>
              <w:rPr>
                <w:rFonts w:hint="eastAsia" w:ascii="黑体" w:hAnsi="黑体" w:eastAsia="黑体" w:cs="黑体"/>
                <w:color w:val="auto"/>
                <w:highlight w:val="none"/>
              </w:rPr>
            </w:pPr>
            <w:r>
              <w:rPr>
                <w:rFonts w:hint="eastAsia" w:ascii="黑体" w:hAnsi="黑体" w:eastAsia="黑体" w:cs="黑体"/>
                <w:color w:val="auto"/>
                <w:highlight w:val="none"/>
              </w:rPr>
              <w:t>压力（表压力p＜0.2MPa）kPa</w:t>
            </w:r>
          </w:p>
        </w:tc>
        <w:tc>
          <w:tcPr>
            <w:tcW w:w="1878" w:type="dxa"/>
            <w:vAlign w:val="center"/>
          </w:tcPr>
          <w:p w14:paraId="0E61BA62">
            <w:pPr>
              <w:jc w:val="center"/>
              <w:rPr>
                <w:rFonts w:hint="eastAsia" w:ascii="宋体" w:hAnsi="宋体" w:eastAsia="宋体" w:cs="宋体"/>
              </w:rPr>
            </w:pPr>
            <w:r>
              <w:rPr>
                <w:rFonts w:hint="eastAsia" w:ascii="宋体" w:hAnsi="宋体" w:eastAsia="宋体" w:cs="宋体"/>
              </w:rPr>
              <w:t>±2</w:t>
            </w:r>
          </w:p>
        </w:tc>
        <w:tc>
          <w:tcPr>
            <w:tcW w:w="1878" w:type="dxa"/>
            <w:vAlign w:val="center"/>
          </w:tcPr>
          <w:p w14:paraId="3EB107E2">
            <w:pPr>
              <w:jc w:val="center"/>
              <w:rPr>
                <w:rFonts w:hint="eastAsia" w:ascii="宋体" w:hAnsi="宋体" w:eastAsia="宋体" w:cs="宋体"/>
              </w:rPr>
            </w:pPr>
            <w:r>
              <w:rPr>
                <w:rFonts w:hint="eastAsia" w:ascii="宋体" w:hAnsi="宋体" w:eastAsia="宋体" w:cs="宋体"/>
              </w:rPr>
              <w:t>±6</w:t>
            </w:r>
          </w:p>
        </w:tc>
        <w:tc>
          <w:tcPr>
            <w:tcW w:w="1882" w:type="dxa"/>
            <w:vAlign w:val="center"/>
          </w:tcPr>
          <w:p w14:paraId="6BD67816">
            <w:pPr>
              <w:jc w:val="center"/>
              <w:rPr>
                <w:rFonts w:hint="eastAsia" w:ascii="宋体" w:hAnsi="宋体" w:eastAsia="宋体" w:cs="宋体"/>
              </w:rPr>
            </w:pPr>
            <w:r>
              <w:rPr>
                <w:rFonts w:hint="eastAsia" w:ascii="宋体" w:hAnsi="宋体" w:eastAsia="宋体" w:cs="宋体"/>
              </w:rPr>
              <w:t>±10</w:t>
            </w:r>
          </w:p>
        </w:tc>
      </w:tr>
      <w:tr w14:paraId="4698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621" w:type="dxa"/>
            <w:vAlign w:val="center"/>
          </w:tcPr>
          <w:p w14:paraId="6A8D9DE8">
            <w:pPr>
              <w:jc w:val="center"/>
              <w:rPr>
                <w:rFonts w:hint="eastAsia" w:ascii="黑体" w:hAnsi="黑体" w:eastAsia="黑体" w:cs="黑体"/>
                <w:color w:val="auto"/>
                <w:highlight w:val="none"/>
              </w:rPr>
            </w:pPr>
            <w:r>
              <w:rPr>
                <w:rFonts w:hint="eastAsia" w:ascii="黑体" w:hAnsi="黑体" w:eastAsia="黑体" w:cs="黑体"/>
                <w:color w:val="auto"/>
                <w:highlight w:val="none"/>
              </w:rPr>
              <w:t>压力（表压力p≥0.2MPa）%</w:t>
            </w:r>
          </w:p>
        </w:tc>
        <w:tc>
          <w:tcPr>
            <w:tcW w:w="1878" w:type="dxa"/>
            <w:vAlign w:val="center"/>
          </w:tcPr>
          <w:p w14:paraId="508B25F3">
            <w:pPr>
              <w:jc w:val="center"/>
              <w:rPr>
                <w:rFonts w:hint="eastAsia" w:ascii="宋体" w:hAnsi="宋体" w:eastAsia="宋体" w:cs="宋体"/>
              </w:rPr>
            </w:pPr>
            <w:r>
              <w:rPr>
                <w:rFonts w:hint="eastAsia" w:ascii="宋体" w:hAnsi="宋体" w:eastAsia="宋体" w:cs="宋体"/>
              </w:rPr>
              <w:t>±0.5</w:t>
            </w:r>
          </w:p>
        </w:tc>
        <w:tc>
          <w:tcPr>
            <w:tcW w:w="1878" w:type="dxa"/>
            <w:vAlign w:val="center"/>
          </w:tcPr>
          <w:p w14:paraId="4DED86BC">
            <w:pPr>
              <w:jc w:val="center"/>
              <w:rPr>
                <w:rFonts w:hint="eastAsia" w:ascii="宋体" w:hAnsi="宋体" w:eastAsia="宋体" w:cs="宋体"/>
              </w:rPr>
            </w:pPr>
            <w:r>
              <w:rPr>
                <w:rFonts w:hint="eastAsia" w:ascii="宋体" w:hAnsi="宋体" w:eastAsia="宋体" w:cs="宋体"/>
              </w:rPr>
              <w:t>±1.5</w:t>
            </w:r>
          </w:p>
        </w:tc>
        <w:tc>
          <w:tcPr>
            <w:tcW w:w="1882" w:type="dxa"/>
            <w:vAlign w:val="center"/>
          </w:tcPr>
          <w:p w14:paraId="22E3438C">
            <w:pPr>
              <w:jc w:val="center"/>
              <w:rPr>
                <w:rFonts w:hint="eastAsia" w:ascii="宋体" w:hAnsi="宋体" w:eastAsia="宋体" w:cs="宋体"/>
              </w:rPr>
            </w:pPr>
            <w:r>
              <w:rPr>
                <w:rFonts w:hint="eastAsia" w:ascii="宋体" w:hAnsi="宋体" w:eastAsia="宋体" w:cs="宋体"/>
              </w:rPr>
              <w:t>±2.5</w:t>
            </w:r>
          </w:p>
        </w:tc>
      </w:tr>
      <w:tr w14:paraId="6025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621" w:type="dxa"/>
            <w:vAlign w:val="center"/>
          </w:tcPr>
          <w:p w14:paraId="0AAA31DA">
            <w:pPr>
              <w:jc w:val="center"/>
              <w:rPr>
                <w:rFonts w:hint="eastAsia" w:ascii="黑体" w:hAnsi="黑体" w:eastAsia="黑体" w:cs="黑体"/>
              </w:rPr>
            </w:pPr>
            <w:r>
              <w:rPr>
                <w:rFonts w:hint="eastAsia" w:ascii="黑体" w:hAnsi="黑体" w:eastAsia="黑体" w:cs="黑体"/>
              </w:rPr>
              <w:t>流量   %</w:t>
            </w:r>
          </w:p>
        </w:tc>
        <w:tc>
          <w:tcPr>
            <w:tcW w:w="1878" w:type="dxa"/>
            <w:vAlign w:val="center"/>
          </w:tcPr>
          <w:p w14:paraId="2F9CE185">
            <w:pPr>
              <w:jc w:val="center"/>
              <w:rPr>
                <w:rFonts w:hint="eastAsia" w:ascii="宋体" w:hAnsi="宋体" w:eastAsia="宋体" w:cs="宋体"/>
              </w:rPr>
            </w:pPr>
            <w:r>
              <w:rPr>
                <w:rFonts w:hint="eastAsia" w:ascii="宋体" w:hAnsi="宋体" w:eastAsia="宋体" w:cs="宋体"/>
              </w:rPr>
              <w:t>±0.5</w:t>
            </w:r>
          </w:p>
        </w:tc>
        <w:tc>
          <w:tcPr>
            <w:tcW w:w="1878" w:type="dxa"/>
            <w:vAlign w:val="center"/>
          </w:tcPr>
          <w:p w14:paraId="6252793E">
            <w:pPr>
              <w:jc w:val="center"/>
              <w:rPr>
                <w:rFonts w:hint="eastAsia" w:ascii="宋体" w:hAnsi="宋体" w:eastAsia="宋体" w:cs="宋体"/>
              </w:rPr>
            </w:pPr>
            <w:r>
              <w:rPr>
                <w:rFonts w:hint="eastAsia" w:ascii="宋体" w:hAnsi="宋体" w:eastAsia="宋体" w:cs="宋体"/>
              </w:rPr>
              <w:t>±1.5</w:t>
            </w:r>
          </w:p>
        </w:tc>
        <w:tc>
          <w:tcPr>
            <w:tcW w:w="1882" w:type="dxa"/>
            <w:vAlign w:val="center"/>
          </w:tcPr>
          <w:p w14:paraId="0D5D5DA5">
            <w:pPr>
              <w:jc w:val="center"/>
              <w:rPr>
                <w:rFonts w:hint="eastAsia" w:ascii="宋体" w:hAnsi="宋体" w:eastAsia="宋体" w:cs="宋体"/>
              </w:rPr>
            </w:pPr>
            <w:r>
              <w:rPr>
                <w:rFonts w:hint="eastAsia" w:ascii="宋体" w:hAnsi="宋体" w:eastAsia="宋体" w:cs="宋体"/>
              </w:rPr>
              <w:t>±2.5</w:t>
            </w:r>
          </w:p>
        </w:tc>
      </w:tr>
      <w:tr w14:paraId="5844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3621" w:type="dxa"/>
            <w:vAlign w:val="center"/>
          </w:tcPr>
          <w:p w14:paraId="6B2ECEBC">
            <w:pPr>
              <w:jc w:val="center"/>
              <w:rPr>
                <w:rFonts w:hint="eastAsia" w:ascii="黑体" w:hAnsi="黑体" w:eastAsia="黑体" w:cs="黑体"/>
              </w:rPr>
            </w:pPr>
            <w:r>
              <w:rPr>
                <w:rFonts w:hint="eastAsia" w:ascii="黑体" w:hAnsi="黑体" w:eastAsia="黑体" w:cs="黑体"/>
              </w:rPr>
              <w:t>温度   ℃</w:t>
            </w:r>
          </w:p>
        </w:tc>
        <w:tc>
          <w:tcPr>
            <w:tcW w:w="1878" w:type="dxa"/>
            <w:vAlign w:val="center"/>
          </w:tcPr>
          <w:p w14:paraId="342E3C94">
            <w:pPr>
              <w:jc w:val="center"/>
              <w:rPr>
                <w:rFonts w:hint="eastAsia" w:ascii="宋体" w:hAnsi="宋体" w:eastAsia="宋体" w:cs="宋体"/>
              </w:rPr>
            </w:pPr>
            <w:r>
              <w:rPr>
                <w:rFonts w:hint="eastAsia" w:ascii="宋体" w:hAnsi="宋体" w:eastAsia="宋体" w:cs="宋体"/>
              </w:rPr>
              <w:t>±0.5</w:t>
            </w:r>
          </w:p>
        </w:tc>
        <w:tc>
          <w:tcPr>
            <w:tcW w:w="1878" w:type="dxa"/>
            <w:vAlign w:val="center"/>
          </w:tcPr>
          <w:p w14:paraId="1CA806D7">
            <w:pPr>
              <w:jc w:val="center"/>
              <w:rPr>
                <w:rFonts w:hint="eastAsia" w:ascii="宋体" w:hAnsi="宋体" w:eastAsia="宋体" w:cs="宋体"/>
              </w:rPr>
            </w:pPr>
            <w:r>
              <w:rPr>
                <w:rFonts w:hint="eastAsia" w:ascii="宋体" w:hAnsi="宋体" w:eastAsia="宋体" w:cs="宋体"/>
              </w:rPr>
              <w:t>±1.0</w:t>
            </w:r>
          </w:p>
        </w:tc>
        <w:tc>
          <w:tcPr>
            <w:tcW w:w="1882" w:type="dxa"/>
            <w:vAlign w:val="center"/>
          </w:tcPr>
          <w:p w14:paraId="285AD19C">
            <w:pPr>
              <w:jc w:val="center"/>
              <w:rPr>
                <w:rFonts w:hint="eastAsia" w:ascii="宋体" w:hAnsi="宋体" w:eastAsia="宋体" w:cs="宋体"/>
              </w:rPr>
            </w:pPr>
            <w:r>
              <w:rPr>
                <w:rFonts w:hint="eastAsia" w:ascii="宋体" w:hAnsi="宋体" w:eastAsia="宋体" w:cs="宋体"/>
              </w:rPr>
              <w:t>±2.0</w:t>
            </w:r>
          </w:p>
        </w:tc>
      </w:tr>
    </w:tbl>
    <w:p w14:paraId="627AC323"/>
    <w:p w14:paraId="7DF54766">
      <w:pPr>
        <w:pStyle w:val="261"/>
        <w:bidi w:val="0"/>
      </w:pPr>
      <w:r>
        <w:rPr>
          <w:rFonts w:hint="eastAsia"/>
        </w:rPr>
        <w:t>试验步骤</w:t>
      </w:r>
    </w:p>
    <w:p w14:paraId="0D4A0AF4">
      <w:pPr>
        <w:pStyle w:val="258"/>
        <w:bidi w:val="0"/>
      </w:pPr>
      <w:r>
        <w:rPr>
          <w:rFonts w:hint="eastAsia"/>
        </w:rPr>
        <w:t>按以下步骤进行试验：</w:t>
      </w:r>
    </w:p>
    <w:p w14:paraId="0DD40238">
      <w:pPr>
        <w:pStyle w:val="305"/>
        <w:numPr>
          <w:ilvl w:val="0"/>
          <w:numId w:val="32"/>
        </w:numPr>
        <w:bidi w:val="0"/>
        <w:ind w:left="839" w:leftChars="0" w:hanging="419" w:firstLineChars="0"/>
        <w:rPr>
          <w:rFonts w:ascii="宋体" w:hAnsi="宋体" w:cs="宋体"/>
          <w:color w:val="auto"/>
        </w:rPr>
      </w:pPr>
      <w:r>
        <w:rPr>
          <w:rFonts w:hint="eastAsia"/>
        </w:rPr>
        <w:t>输入占空比从0%逐步递增至100%，再从100%逐步递减至0%</w:t>
      </w:r>
      <w:r>
        <w:rPr>
          <w:rFonts w:hint="eastAsia"/>
          <w:lang w:eastAsia="zh-CN"/>
        </w:rPr>
        <w:t>；</w:t>
      </w:r>
    </w:p>
    <w:p w14:paraId="59D0068A">
      <w:pPr>
        <w:pStyle w:val="305"/>
        <w:numPr>
          <w:ilvl w:val="0"/>
          <w:numId w:val="32"/>
        </w:numPr>
        <w:bidi w:val="0"/>
        <w:ind w:left="839" w:leftChars="0" w:hanging="419" w:firstLineChars="0"/>
        <w:rPr>
          <w:rFonts w:ascii="宋体" w:hAnsi="宋体" w:cs="宋体"/>
          <w:color w:val="auto"/>
        </w:rPr>
      </w:pPr>
      <w:r>
        <w:rPr>
          <w:rFonts w:hint="eastAsia" w:ascii="宋体" w:hAnsi="宋体" w:cs="宋体"/>
        </w:rPr>
        <w:t>连续采集输出流量</w:t>
      </w:r>
      <w:r>
        <w:rPr>
          <w:rFonts w:hint="eastAsia" w:ascii="宋体" w:hAnsi="宋体" w:cs="宋体"/>
          <w:color w:val="auto"/>
        </w:rPr>
        <w:t>、压力，建立坐标系，X轴记录输入占空比，Y轴记录输出流量、压力以及对应占空比的电流值</w:t>
      </w:r>
      <w:r>
        <w:rPr>
          <w:rFonts w:hint="eastAsia" w:hAnsi="宋体" w:cs="宋体"/>
          <w:color w:val="auto"/>
          <w:lang w:eastAsia="zh-CN"/>
        </w:rPr>
        <w:t>；</w:t>
      </w:r>
    </w:p>
    <w:p w14:paraId="1D023979">
      <w:pPr>
        <w:pStyle w:val="305"/>
        <w:numPr>
          <w:ilvl w:val="0"/>
          <w:numId w:val="32"/>
        </w:numPr>
        <w:bidi w:val="0"/>
        <w:ind w:left="839" w:leftChars="0" w:hanging="419" w:firstLineChars="0"/>
        <w:rPr>
          <w:rFonts w:ascii="宋体" w:hAnsi="宋体" w:cs="宋体"/>
          <w:color w:val="auto"/>
        </w:rPr>
      </w:pPr>
      <w:r>
        <w:rPr>
          <w:rFonts w:hint="eastAsia" w:ascii="宋体" w:hAnsi="宋体" w:cs="宋体"/>
          <w:color w:val="auto"/>
        </w:rPr>
        <w:t>生成完整的流量-占空比（Q-PWM）、压力-占空比（P-PWM）及电流-占空比（I-PWM）特性曲线，如图2所示</w:t>
      </w:r>
      <w:r>
        <w:rPr>
          <w:rFonts w:hint="eastAsia" w:hAnsi="宋体" w:cs="宋体"/>
          <w:color w:val="auto"/>
          <w:lang w:eastAsia="zh-CN"/>
        </w:rPr>
        <w:t>；</w:t>
      </w:r>
    </w:p>
    <w:p w14:paraId="22D49552">
      <w:pPr>
        <w:pStyle w:val="305"/>
        <w:numPr>
          <w:ilvl w:val="0"/>
          <w:numId w:val="32"/>
        </w:numPr>
        <w:bidi w:val="0"/>
        <w:ind w:left="839" w:leftChars="0" w:hanging="419" w:firstLineChars="0"/>
        <w:rPr>
          <w:rFonts w:ascii="宋体" w:hAnsi="宋体" w:cs="宋体"/>
          <w:color w:val="auto"/>
        </w:rPr>
      </w:pPr>
      <w:r>
        <w:rPr>
          <w:rFonts w:hint="eastAsia" w:ascii="宋体" w:hAnsi="宋体" w:cs="宋体"/>
          <w:color w:val="auto"/>
        </w:rPr>
        <w:t>确定下列特性:</w:t>
      </w:r>
    </w:p>
    <w:p w14:paraId="1D72A88B">
      <w:pPr>
        <w:pStyle w:val="285"/>
        <w:bidi w:val="0"/>
        <w:rPr>
          <w:rFonts w:ascii="宋体" w:hAnsi="宋体" w:cs="宋体"/>
          <w:color w:val="auto"/>
        </w:rPr>
      </w:pPr>
      <w:r>
        <w:rPr>
          <w:rFonts w:hint="eastAsia"/>
        </w:rPr>
        <w:t>额定流量</w:t>
      </w:r>
      <w:r>
        <w:rPr>
          <w:rFonts w:hint="eastAsia" w:hAnsi="宋体" w:cs="宋体"/>
          <w:color w:val="auto"/>
          <w:lang w:eastAsia="zh-CN"/>
        </w:rPr>
        <w:t>；</w:t>
      </w:r>
    </w:p>
    <w:p w14:paraId="26D4B7A9">
      <w:pPr>
        <w:pStyle w:val="285"/>
        <w:bidi w:val="0"/>
        <w:rPr>
          <w:rFonts w:ascii="宋体" w:hAnsi="宋体" w:cs="宋体"/>
          <w:color w:val="auto"/>
        </w:rPr>
      </w:pPr>
      <w:r>
        <w:rPr>
          <w:rFonts w:hint="eastAsia" w:ascii="宋体" w:hAnsi="宋体" w:cs="宋体"/>
          <w:color w:val="auto"/>
        </w:rPr>
        <w:t>内泄漏量</w:t>
      </w:r>
      <w:r>
        <w:rPr>
          <w:rFonts w:hint="eastAsia" w:hAnsi="宋体" w:cs="宋体"/>
          <w:color w:val="auto"/>
          <w:lang w:eastAsia="zh-CN"/>
        </w:rPr>
        <w:t>；</w:t>
      </w:r>
    </w:p>
    <w:p w14:paraId="70BDD692">
      <w:pPr>
        <w:pStyle w:val="285"/>
        <w:bidi w:val="0"/>
        <w:rPr>
          <w:rFonts w:ascii="宋体" w:hAnsi="宋体" w:cs="宋体"/>
          <w:color w:val="auto"/>
        </w:rPr>
      </w:pPr>
      <w:r>
        <w:rPr>
          <w:rFonts w:hint="eastAsia" w:ascii="宋体" w:hAnsi="宋体" w:cs="宋体"/>
          <w:color w:val="auto"/>
        </w:rPr>
        <w:t>中心幅</w:t>
      </w:r>
      <w:r>
        <w:rPr>
          <w:rFonts w:hint="eastAsia" w:hAnsi="宋体" w:cs="宋体"/>
          <w:color w:val="auto"/>
          <w:lang w:eastAsia="zh-CN"/>
        </w:rPr>
        <w:t>；</w:t>
      </w:r>
    </w:p>
    <w:p w14:paraId="65A9B86C">
      <w:pPr>
        <w:pStyle w:val="285"/>
        <w:bidi w:val="0"/>
        <w:rPr>
          <w:rFonts w:ascii="宋体" w:hAnsi="宋体" w:cs="宋体"/>
        </w:rPr>
      </w:pPr>
      <w:r>
        <w:rPr>
          <w:rFonts w:hint="eastAsia" w:ascii="宋体" w:hAnsi="宋体" w:cs="宋体"/>
          <w:color w:val="auto"/>
        </w:rPr>
        <w:t>保持点</w:t>
      </w:r>
      <w:r>
        <w:rPr>
          <w:rFonts w:hint="eastAsia" w:hAnsi="宋体" w:cs="宋体"/>
          <w:color w:val="auto"/>
          <w:lang w:eastAsia="zh-CN"/>
        </w:rPr>
        <w:t>；</w:t>
      </w:r>
    </w:p>
    <w:p w14:paraId="5476751F">
      <w:pPr>
        <w:pStyle w:val="285"/>
        <w:bidi w:val="0"/>
        <w:rPr>
          <w:rFonts w:ascii="宋体" w:hAnsi="宋体" w:cs="宋体"/>
        </w:rPr>
      </w:pPr>
      <w:r>
        <w:rPr>
          <w:rFonts w:hint="eastAsia" w:ascii="宋体" w:hAnsi="宋体" w:cs="宋体"/>
        </w:rPr>
        <w:t>滞环</w:t>
      </w:r>
      <w:r>
        <w:rPr>
          <w:rFonts w:hint="eastAsia" w:hAnsi="宋体" w:cs="宋体"/>
          <w:lang w:eastAsia="zh-CN"/>
        </w:rPr>
        <w:t>；</w:t>
      </w:r>
    </w:p>
    <w:p w14:paraId="2B05D3D2">
      <w:pPr>
        <w:pStyle w:val="285"/>
        <w:bidi w:val="0"/>
        <w:rPr>
          <w:rFonts w:ascii="宋体" w:hAnsi="宋体" w:cs="宋体"/>
        </w:rPr>
      </w:pPr>
      <w:r>
        <w:rPr>
          <w:rFonts w:hint="eastAsia" w:ascii="宋体" w:hAnsi="宋体" w:cs="宋体"/>
          <w:color w:val="auto"/>
        </w:rPr>
        <w:t>压力</w:t>
      </w:r>
      <w:r>
        <w:rPr>
          <w:rFonts w:hint="eastAsia" w:hAnsi="宋体" w:cs="宋体"/>
          <w:color w:val="auto"/>
          <w:lang w:eastAsia="zh-CN"/>
        </w:rPr>
        <w:t>。</w:t>
      </w:r>
    </w:p>
    <w:p w14:paraId="108361A0">
      <w:pPr>
        <w:pStyle w:val="285"/>
        <w:numPr>
          <w:ilvl w:val="0"/>
          <w:numId w:val="0"/>
        </w:numPr>
        <w:bidi w:val="0"/>
        <w:ind w:leftChars="0"/>
        <w:rPr>
          <w:rFonts w:ascii="宋体" w:hAnsi="宋体" w:cs="宋体"/>
        </w:rPr>
      </w:pPr>
    </w:p>
    <w:p w14:paraId="04E2435E">
      <w:pPr>
        <w:spacing w:line="360" w:lineRule="auto"/>
        <w:ind w:firstLine="630" w:firstLineChars="300"/>
        <w:jc w:val="center"/>
        <w:rPr>
          <w:rFonts w:ascii="宋体" w:hAnsi="宋体" w:cs="宋体"/>
        </w:rPr>
      </w:pPr>
      <w:r>
        <w:drawing>
          <wp:inline distT="0" distB="0" distL="114300" distR="114300">
            <wp:extent cx="4714240" cy="2480945"/>
            <wp:effectExtent l="0" t="0" r="10160" b="1460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5"/>
                    <a:srcRect r="-54" b="21223"/>
                    <a:stretch>
                      <a:fillRect/>
                    </a:stretch>
                  </pic:blipFill>
                  <pic:spPr>
                    <a:xfrm>
                      <a:off x="0" y="0"/>
                      <a:ext cx="4714240" cy="2480945"/>
                    </a:xfrm>
                    <a:prstGeom prst="rect">
                      <a:avLst/>
                    </a:prstGeom>
                    <a:noFill/>
                    <a:ln>
                      <a:noFill/>
                    </a:ln>
                  </pic:spPr>
                </pic:pic>
              </a:graphicData>
            </a:graphic>
          </wp:inline>
        </w:drawing>
      </w:r>
    </w:p>
    <w:p w14:paraId="5AFA2BD7">
      <w:pPr>
        <w:pStyle w:val="302"/>
        <w:bidi w:val="0"/>
      </w:pPr>
      <w:r>
        <w:rPr>
          <w:rFonts w:hint="eastAsia"/>
        </w:rPr>
        <w:t>流量-占空比、压力-占空比、电流-占空比测试结果</w:t>
      </w:r>
    </w:p>
    <w:p w14:paraId="6C9F28C1">
      <w:pPr>
        <w:pStyle w:val="260"/>
        <w:bidi w:val="0"/>
      </w:pPr>
      <w:r>
        <w:rPr>
          <w:rFonts w:hint="eastAsia"/>
        </w:rPr>
        <w:t>响应时间试验</w:t>
      </w:r>
    </w:p>
    <w:p w14:paraId="05833D5F">
      <w:pPr>
        <w:pStyle w:val="258"/>
        <w:bidi w:val="0"/>
      </w:pPr>
      <w:r>
        <w:rPr>
          <w:rFonts w:hint="eastAsia"/>
        </w:rPr>
        <w:t>试验装置同6.2.1，试验条件同6.2.2，测量精确度等级同6.2.3；按以下步骤进行试验:</w:t>
      </w:r>
    </w:p>
    <w:p w14:paraId="2AD10630">
      <w:pPr>
        <w:pStyle w:val="305"/>
        <w:numPr>
          <w:ilvl w:val="0"/>
          <w:numId w:val="33"/>
        </w:numPr>
        <w:bidi w:val="0"/>
        <w:ind w:left="839" w:leftChars="0" w:hanging="419" w:firstLineChars="0"/>
        <w:rPr>
          <w:rFonts w:ascii="宋体" w:hAnsi="宋体" w:cs="宋体"/>
          <w:color w:val="auto"/>
        </w:rPr>
      </w:pPr>
      <w:r>
        <w:rPr>
          <w:rFonts w:hint="eastAsia"/>
        </w:rPr>
        <w:t>给阀通入100%占空比</w:t>
      </w:r>
      <w:r>
        <w:rPr>
          <w:rFonts w:hint="eastAsia"/>
          <w:lang w:eastAsia="zh-CN"/>
        </w:rPr>
        <w:t>；</w:t>
      </w:r>
    </w:p>
    <w:p w14:paraId="565DD29A">
      <w:pPr>
        <w:pStyle w:val="305"/>
        <w:numPr>
          <w:ilvl w:val="0"/>
          <w:numId w:val="33"/>
        </w:numPr>
        <w:bidi w:val="0"/>
        <w:ind w:left="839" w:leftChars="0" w:hanging="419" w:firstLineChars="0"/>
        <w:rPr>
          <w:rFonts w:ascii="宋体" w:hAnsi="宋体" w:cs="宋体"/>
          <w:color w:val="auto"/>
        </w:rPr>
      </w:pPr>
      <w:r>
        <w:rPr>
          <w:rFonts w:hint="eastAsia" w:ascii="宋体" w:hAnsi="宋体" w:cs="宋体"/>
          <w:color w:val="auto"/>
        </w:rPr>
        <w:t>记录A口压力达到P口压力的60%时的时间</w:t>
      </w:r>
      <w:r>
        <w:rPr>
          <w:rFonts w:hint="eastAsia" w:hAnsi="宋体" w:cs="宋体"/>
          <w:color w:val="auto"/>
          <w:lang w:eastAsia="zh-CN"/>
        </w:rPr>
        <w:t>；</w:t>
      </w:r>
    </w:p>
    <w:p w14:paraId="17657923">
      <w:pPr>
        <w:pStyle w:val="305"/>
        <w:numPr>
          <w:ilvl w:val="0"/>
          <w:numId w:val="33"/>
        </w:numPr>
        <w:bidi w:val="0"/>
        <w:ind w:left="839" w:leftChars="0" w:hanging="419" w:firstLineChars="0"/>
        <w:rPr>
          <w:rFonts w:ascii="宋体" w:hAnsi="宋体" w:cs="宋体"/>
        </w:rPr>
      </w:pPr>
      <w:r>
        <w:rPr>
          <w:rFonts w:hint="eastAsia" w:ascii="宋体" w:hAnsi="宋体" w:cs="宋体"/>
          <w:color w:val="auto"/>
        </w:rPr>
        <w:t>在线圈已通入100%占空比持续10S条件下开始断电</w:t>
      </w:r>
      <w:r>
        <w:rPr>
          <w:rFonts w:hint="eastAsia" w:hAnsi="宋体" w:cs="宋体"/>
          <w:color w:val="auto"/>
          <w:lang w:eastAsia="zh-CN"/>
        </w:rPr>
        <w:t>；</w:t>
      </w:r>
    </w:p>
    <w:p w14:paraId="278E0655">
      <w:pPr>
        <w:pStyle w:val="305"/>
        <w:numPr>
          <w:ilvl w:val="0"/>
          <w:numId w:val="33"/>
        </w:numPr>
        <w:bidi w:val="0"/>
        <w:ind w:left="839" w:leftChars="0" w:hanging="419" w:firstLineChars="0"/>
        <w:rPr>
          <w:rFonts w:ascii="宋体" w:hAnsi="宋体" w:cs="宋体"/>
        </w:rPr>
      </w:pPr>
      <w:r>
        <w:rPr>
          <w:rFonts w:hint="eastAsia" w:ascii="宋体" w:hAnsi="宋体" w:cs="宋体"/>
          <w:color w:val="auto"/>
        </w:rPr>
        <w:t>记录B口压力达到P口压力的60%时的时间</w:t>
      </w:r>
      <w:r>
        <w:rPr>
          <w:rFonts w:hint="eastAsia" w:hAnsi="宋体" w:cs="宋体"/>
          <w:color w:val="auto"/>
          <w:lang w:eastAsia="zh-CN"/>
        </w:rPr>
        <w:t>；</w:t>
      </w:r>
    </w:p>
    <w:p w14:paraId="090B2E67">
      <w:pPr>
        <w:pStyle w:val="260"/>
        <w:bidi w:val="0"/>
      </w:pPr>
      <w:r>
        <w:rPr>
          <w:rFonts w:hint="eastAsia"/>
        </w:rPr>
        <w:t>外泄漏试验</w:t>
      </w:r>
    </w:p>
    <w:p w14:paraId="120EC7C2">
      <w:pPr>
        <w:pStyle w:val="258"/>
        <w:bidi w:val="0"/>
        <w:rPr>
          <w:rFonts w:ascii="宋体" w:hAnsi="宋体" w:cs="宋体"/>
        </w:rPr>
      </w:pPr>
      <w:r>
        <w:rPr>
          <w:rFonts w:hint="eastAsia" w:ascii="宋体" w:hAnsi="宋体" w:cs="宋体"/>
        </w:rPr>
        <w:t>按试验要求对OCV阀施加气压为200kPa±20kPa的压缩空</w:t>
      </w:r>
      <w:r>
        <w:rPr>
          <w:rFonts w:hint="eastAsia" w:hAnsi="宋体" w:cs="宋体"/>
          <w:szCs w:val="21"/>
        </w:rPr>
        <w:t>气；</w:t>
      </w:r>
      <w:r>
        <w:rPr>
          <w:rFonts w:hint="eastAsia" w:ascii="宋体" w:hAnsi="宋体" w:cs="宋体"/>
        </w:rPr>
        <w:t>在经过充气、平衡后，读取气密性检漏仪上泄漏量的读数，即为外泄漏值。</w:t>
      </w:r>
    </w:p>
    <w:p w14:paraId="74D55447">
      <w:pPr>
        <w:pStyle w:val="260"/>
        <w:bidi w:val="0"/>
      </w:pPr>
      <w:r>
        <w:rPr>
          <w:rFonts w:hint="eastAsia"/>
        </w:rPr>
        <w:t>清洁度试验</w:t>
      </w:r>
    </w:p>
    <w:p w14:paraId="1F6AAA8F">
      <w:pPr>
        <w:pStyle w:val="258"/>
        <w:bidi w:val="0"/>
      </w:pPr>
      <w:r>
        <w:rPr>
          <w:rFonts w:hint="eastAsia"/>
        </w:rPr>
        <w:t>按GB/T3821-2015标准规定的方法进行，测试OCV阀安装部位以下油道部分的整体清洁度。</w:t>
      </w:r>
    </w:p>
    <w:p w14:paraId="68CDFA5C">
      <w:pPr>
        <w:pStyle w:val="260"/>
        <w:bidi w:val="0"/>
      </w:pPr>
      <w:r>
        <w:rPr>
          <w:rFonts w:hint="eastAsia"/>
        </w:rPr>
        <w:t>耐油压试验</w:t>
      </w:r>
    </w:p>
    <w:p w14:paraId="40AC1B60">
      <w:pPr>
        <w:pStyle w:val="258"/>
        <w:bidi w:val="0"/>
      </w:pPr>
      <w:r>
        <w:rPr>
          <w:rFonts w:hint="eastAsia"/>
        </w:rPr>
        <w:t>试验步骤:</w:t>
      </w:r>
    </w:p>
    <w:p w14:paraId="401055F4">
      <w:pPr>
        <w:pStyle w:val="305"/>
        <w:numPr>
          <w:ilvl w:val="0"/>
          <w:numId w:val="34"/>
        </w:numPr>
        <w:bidi w:val="0"/>
        <w:ind w:left="839" w:leftChars="0" w:hanging="419" w:firstLineChars="0"/>
        <w:rPr>
          <w:rFonts w:ascii="宋体" w:hAnsi="宋体" w:cs="宋体"/>
          <w:color w:val="auto"/>
        </w:rPr>
      </w:pPr>
      <w:r>
        <w:rPr>
          <w:rFonts w:hint="eastAsia"/>
        </w:rPr>
        <w:t>向0CV阀进油口P和工作油道A、B同时施加15bar油压，保持5min</w:t>
      </w:r>
      <w:r>
        <w:rPr>
          <w:rFonts w:hint="eastAsia"/>
          <w:lang w:eastAsia="zh-CN"/>
        </w:rPr>
        <w:t>；</w:t>
      </w:r>
    </w:p>
    <w:p w14:paraId="244873B7">
      <w:pPr>
        <w:pStyle w:val="305"/>
        <w:numPr>
          <w:ilvl w:val="0"/>
          <w:numId w:val="34"/>
        </w:numPr>
        <w:bidi w:val="0"/>
        <w:ind w:left="839" w:leftChars="0" w:hanging="419" w:firstLineChars="0"/>
        <w:rPr>
          <w:rFonts w:ascii="宋体" w:hAnsi="宋体" w:cs="宋体"/>
          <w:color w:val="auto"/>
        </w:rPr>
      </w:pPr>
      <w:r>
        <w:rPr>
          <w:rFonts w:hint="eastAsia" w:ascii="宋体" w:hAnsi="宋体" w:cs="宋体"/>
          <w:color w:val="auto"/>
        </w:rPr>
        <w:t>观察外观有无胀裂，铆接处有无松脱迹象。</w:t>
      </w:r>
    </w:p>
    <w:p w14:paraId="432ACE76">
      <w:pPr>
        <w:pStyle w:val="260"/>
        <w:bidi w:val="0"/>
      </w:pPr>
      <w:r>
        <w:rPr>
          <w:rFonts w:hint="eastAsia"/>
        </w:rPr>
        <w:t>抗污染试验</w:t>
      </w:r>
    </w:p>
    <w:p w14:paraId="02ACC0BA">
      <w:pPr>
        <w:pStyle w:val="261"/>
        <w:bidi w:val="0"/>
        <w:rPr>
          <w:rFonts w:hint="eastAsia"/>
        </w:rPr>
      </w:pPr>
      <w:r>
        <w:rPr>
          <w:rFonts w:hint="eastAsia"/>
        </w:rPr>
        <w:t>试验条件</w:t>
      </w:r>
    </w:p>
    <w:p w14:paraId="3C44C045">
      <w:pPr>
        <w:pStyle w:val="305"/>
        <w:numPr>
          <w:ilvl w:val="0"/>
          <w:numId w:val="35"/>
        </w:numPr>
        <w:bidi w:val="0"/>
        <w:ind w:left="839" w:leftChars="0" w:hanging="419" w:firstLineChars="0"/>
        <w:rPr>
          <w:rFonts w:ascii="宋体" w:hAnsi="宋体" w:cs="宋体"/>
          <w:color w:val="auto"/>
        </w:rPr>
      </w:pPr>
      <w:r>
        <w:rPr>
          <w:rFonts w:hint="eastAsia"/>
        </w:rPr>
        <w:t>试验介质:试验介质为一般液压油；</w:t>
      </w:r>
    </w:p>
    <w:p w14:paraId="061321B5">
      <w:pPr>
        <w:pStyle w:val="305"/>
        <w:numPr>
          <w:ilvl w:val="0"/>
          <w:numId w:val="35"/>
        </w:numPr>
        <w:bidi w:val="0"/>
        <w:ind w:left="839" w:leftChars="0" w:hanging="419" w:firstLineChars="0"/>
        <w:rPr>
          <w:rFonts w:ascii="宋体" w:hAnsi="宋体" w:cs="宋体"/>
        </w:rPr>
      </w:pPr>
      <w:r>
        <w:rPr>
          <w:rFonts w:hint="eastAsia" w:ascii="宋体" w:hAnsi="宋体" w:cs="宋体"/>
          <w:color w:val="auto"/>
        </w:rPr>
        <w:t>试验介质温度:100℃±2℃；</w:t>
      </w:r>
    </w:p>
    <w:p w14:paraId="360B31EE">
      <w:pPr>
        <w:pStyle w:val="305"/>
        <w:numPr>
          <w:ilvl w:val="0"/>
          <w:numId w:val="35"/>
        </w:numPr>
        <w:bidi w:val="0"/>
        <w:ind w:left="839" w:leftChars="0" w:hanging="419" w:firstLineChars="0"/>
        <w:rPr>
          <w:rFonts w:ascii="宋体" w:hAnsi="宋体" w:cs="宋体"/>
        </w:rPr>
      </w:pPr>
      <w:r>
        <w:rPr>
          <w:rFonts w:hint="eastAsia" w:ascii="宋体" w:hAnsi="宋体" w:cs="宋体"/>
        </w:rPr>
        <w:t>试验介质中杂质要求:油中按15mg/L添加杂质，其中杂质由50%的10～70μm铁粉、50%的100μm以下铝粉组成；</w:t>
      </w:r>
    </w:p>
    <w:p w14:paraId="441752B9">
      <w:pPr>
        <w:pStyle w:val="305"/>
        <w:numPr>
          <w:ilvl w:val="0"/>
          <w:numId w:val="35"/>
        </w:numPr>
        <w:bidi w:val="0"/>
        <w:ind w:left="839" w:leftChars="0" w:hanging="419" w:firstLineChars="0"/>
        <w:rPr>
          <w:rFonts w:ascii="宋体" w:hAnsi="宋体" w:cs="宋体"/>
        </w:rPr>
      </w:pPr>
      <w:r>
        <w:rPr>
          <w:rFonts w:hint="eastAsia" w:ascii="宋体" w:hAnsi="宋体" w:cs="宋体"/>
        </w:rPr>
        <w:t>试验油压:4bar±0.3bar；</w:t>
      </w:r>
    </w:p>
    <w:p w14:paraId="612CD978">
      <w:pPr>
        <w:pStyle w:val="305"/>
        <w:numPr>
          <w:ilvl w:val="0"/>
          <w:numId w:val="35"/>
        </w:numPr>
        <w:bidi w:val="0"/>
        <w:ind w:left="839" w:leftChars="0" w:hanging="419" w:firstLineChars="0"/>
        <w:rPr>
          <w:rFonts w:ascii="宋体" w:hAnsi="宋体" w:cs="宋体"/>
        </w:rPr>
      </w:pPr>
      <w:r>
        <w:rPr>
          <w:rFonts w:hint="eastAsia" w:ascii="宋体" w:hAnsi="宋体" w:cs="宋体"/>
        </w:rPr>
        <w:t>试验电压:13.5VDC±0.1VDC。</w:t>
      </w:r>
    </w:p>
    <w:p w14:paraId="640CE15D">
      <w:pPr>
        <w:pStyle w:val="261"/>
        <w:bidi w:val="0"/>
        <w:rPr>
          <w:rFonts w:hint="eastAsia"/>
        </w:rPr>
      </w:pPr>
      <w:r>
        <w:rPr>
          <w:rFonts w:hint="eastAsia"/>
        </w:rPr>
        <w:t>试验步骤</w:t>
      </w:r>
    </w:p>
    <w:p w14:paraId="6B3569F4">
      <w:pPr>
        <w:pStyle w:val="305"/>
        <w:numPr>
          <w:ilvl w:val="0"/>
          <w:numId w:val="36"/>
        </w:numPr>
        <w:bidi w:val="0"/>
        <w:ind w:left="839" w:leftChars="0" w:hanging="419" w:firstLineChars="0"/>
        <w:rPr>
          <w:rFonts w:ascii="宋体" w:hAnsi="宋体" w:cs="宋体"/>
        </w:rPr>
      </w:pPr>
      <w:r>
        <w:rPr>
          <w:rFonts w:hint="eastAsia"/>
        </w:rPr>
        <w:t>0CV阀在规定条件下不断通断电工作，通断电频率1Hz,工作70万次</w:t>
      </w:r>
    </w:p>
    <w:p w14:paraId="0B0DFE50">
      <w:pPr>
        <w:pStyle w:val="305"/>
        <w:numPr>
          <w:ilvl w:val="0"/>
          <w:numId w:val="36"/>
        </w:numPr>
        <w:bidi w:val="0"/>
        <w:ind w:left="839" w:leftChars="0" w:hanging="419" w:firstLineChars="0"/>
        <w:rPr>
          <w:rFonts w:ascii="宋体" w:hAnsi="宋体" w:cs="宋体"/>
        </w:rPr>
      </w:pPr>
      <w:r>
        <w:rPr>
          <w:rFonts w:hint="eastAsia" w:ascii="宋体" w:hAnsi="宋体" w:cs="宋体"/>
        </w:rPr>
        <w:t>拆解阀体及电磁体，观察电磁体衔铁、内罩、阀杆、</w:t>
      </w:r>
      <w:r>
        <w:rPr>
          <w:rFonts w:hint="eastAsia" w:ascii="宋体" w:hAnsi="宋体" w:cs="宋体"/>
          <w:color w:val="auto"/>
        </w:rPr>
        <w:t>阀套表面</w:t>
      </w:r>
      <w:r>
        <w:rPr>
          <w:rFonts w:hint="eastAsia" w:ascii="宋体" w:hAnsi="宋体" w:cs="宋体"/>
        </w:rPr>
        <w:t>应无异常磨损。</w:t>
      </w:r>
    </w:p>
    <w:p w14:paraId="76E66C55">
      <w:pPr>
        <w:pStyle w:val="260"/>
        <w:bidi w:val="0"/>
      </w:pPr>
      <w:r>
        <w:rPr>
          <w:rFonts w:hint="eastAsia"/>
        </w:rPr>
        <w:t>抗振动试验</w:t>
      </w:r>
    </w:p>
    <w:p w14:paraId="4B4393A9">
      <w:pPr>
        <w:pStyle w:val="261"/>
        <w:bidi w:val="0"/>
        <w:rPr>
          <w:rFonts w:hint="eastAsia"/>
        </w:rPr>
      </w:pPr>
      <w:r>
        <w:rPr>
          <w:rFonts w:hint="eastAsia"/>
        </w:rPr>
        <w:t>试验条件</w:t>
      </w:r>
    </w:p>
    <w:p w14:paraId="7C2FD529">
      <w:pPr>
        <w:pStyle w:val="258"/>
        <w:bidi w:val="0"/>
      </w:pPr>
      <w:r>
        <w:rPr>
          <w:rFonts w:hint="eastAsia"/>
        </w:rPr>
        <w:t>振动试验按QC/T413标准中发动机上部件的要求进行，试验振动等级见表3。</w:t>
      </w:r>
    </w:p>
    <w:p w14:paraId="307688A6">
      <w:pPr>
        <w:pStyle w:val="301"/>
        <w:bidi w:val="0"/>
      </w:pPr>
      <w:r>
        <w:rPr>
          <w:rFonts w:hint="eastAsia"/>
        </w:rPr>
        <w:t>扫描振动试验严酷度等级</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9"/>
        <w:gridCol w:w="1820"/>
        <w:gridCol w:w="1571"/>
        <w:gridCol w:w="1697"/>
        <w:gridCol w:w="2191"/>
      </w:tblGrid>
      <w:tr w14:paraId="68D5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19" w:type="dxa"/>
            <w:vAlign w:val="center"/>
          </w:tcPr>
          <w:p w14:paraId="1B7AE928">
            <w:pPr>
              <w:spacing w:line="240" w:lineRule="auto"/>
              <w:jc w:val="center"/>
              <w:rPr>
                <w:rFonts w:hint="eastAsia" w:ascii="黑体" w:hAnsi="黑体" w:eastAsia="黑体" w:cs="黑体"/>
                <w:sz w:val="18"/>
                <w:szCs w:val="18"/>
              </w:rPr>
            </w:pPr>
            <w:r>
              <w:rPr>
                <w:rFonts w:hint="eastAsia" w:ascii="黑体" w:hAnsi="黑体" w:eastAsia="黑体" w:cs="黑体"/>
                <w:sz w:val="18"/>
                <w:szCs w:val="18"/>
              </w:rPr>
              <w:t>频率Hz</w:t>
            </w:r>
          </w:p>
        </w:tc>
        <w:tc>
          <w:tcPr>
            <w:tcW w:w="1820" w:type="dxa"/>
            <w:vAlign w:val="center"/>
          </w:tcPr>
          <w:p w14:paraId="7D7F5B8C">
            <w:pPr>
              <w:spacing w:line="240" w:lineRule="auto"/>
              <w:jc w:val="center"/>
              <w:rPr>
                <w:rFonts w:hint="eastAsia" w:ascii="黑体" w:hAnsi="黑体" w:eastAsia="黑体" w:cs="黑体"/>
                <w:sz w:val="18"/>
                <w:szCs w:val="18"/>
              </w:rPr>
            </w:pPr>
            <w:r>
              <w:rPr>
                <w:rFonts w:hint="eastAsia" w:ascii="黑体" w:hAnsi="黑体" w:eastAsia="黑体" w:cs="黑体"/>
                <w:sz w:val="18"/>
                <w:szCs w:val="18"/>
              </w:rPr>
              <w:t>振幅mm</w:t>
            </w:r>
          </w:p>
        </w:tc>
        <w:tc>
          <w:tcPr>
            <w:tcW w:w="1571" w:type="dxa"/>
            <w:vAlign w:val="center"/>
          </w:tcPr>
          <w:p w14:paraId="336E205A">
            <w:pPr>
              <w:spacing w:line="240" w:lineRule="auto"/>
              <w:jc w:val="center"/>
              <w:rPr>
                <w:rFonts w:hint="eastAsia" w:ascii="黑体" w:hAnsi="黑体" w:eastAsia="黑体" w:cs="黑体"/>
                <w:sz w:val="18"/>
                <w:szCs w:val="18"/>
              </w:rPr>
            </w:pPr>
            <w:r>
              <w:rPr>
                <w:rFonts w:hint="eastAsia" w:ascii="黑体" w:hAnsi="黑体" w:eastAsia="黑体" w:cs="黑体"/>
                <w:sz w:val="18"/>
                <w:szCs w:val="18"/>
              </w:rPr>
              <w:t>加速度m/s</w:t>
            </w:r>
            <w:r>
              <w:rPr>
                <w:rFonts w:hint="eastAsia" w:ascii="黑体" w:hAnsi="黑体" w:eastAsia="黑体" w:cs="黑体"/>
                <w:sz w:val="18"/>
                <w:szCs w:val="18"/>
                <w:vertAlign w:val="superscript"/>
              </w:rPr>
              <w:t>2</w:t>
            </w:r>
          </w:p>
        </w:tc>
        <w:tc>
          <w:tcPr>
            <w:tcW w:w="1697" w:type="dxa"/>
            <w:vAlign w:val="center"/>
          </w:tcPr>
          <w:p w14:paraId="393713F3">
            <w:pPr>
              <w:spacing w:line="240" w:lineRule="auto"/>
              <w:jc w:val="center"/>
              <w:rPr>
                <w:rFonts w:hint="eastAsia" w:ascii="黑体" w:hAnsi="黑体" w:eastAsia="黑体" w:cs="黑体"/>
                <w:sz w:val="18"/>
                <w:szCs w:val="18"/>
              </w:rPr>
            </w:pPr>
            <w:r>
              <w:rPr>
                <w:rFonts w:hint="eastAsia" w:ascii="黑体" w:hAnsi="黑体" w:eastAsia="黑体" w:cs="黑体"/>
                <w:sz w:val="18"/>
                <w:szCs w:val="18"/>
              </w:rPr>
              <w:t>扫描速率</w:t>
            </w:r>
          </w:p>
        </w:tc>
        <w:tc>
          <w:tcPr>
            <w:tcW w:w="2191" w:type="dxa"/>
            <w:vAlign w:val="center"/>
          </w:tcPr>
          <w:p w14:paraId="2870780F">
            <w:pPr>
              <w:spacing w:line="240" w:lineRule="auto"/>
              <w:jc w:val="center"/>
              <w:rPr>
                <w:rFonts w:hint="eastAsia" w:ascii="黑体" w:hAnsi="黑体" w:eastAsia="黑体" w:cs="黑体"/>
                <w:sz w:val="18"/>
                <w:szCs w:val="18"/>
              </w:rPr>
            </w:pPr>
            <w:r>
              <w:rPr>
                <w:rFonts w:hint="eastAsia" w:ascii="黑体" w:hAnsi="黑体" w:eastAsia="黑体" w:cs="黑体"/>
                <w:sz w:val="18"/>
                <w:szCs w:val="18"/>
              </w:rPr>
              <w:t>每一方向试验时间t</w:t>
            </w:r>
          </w:p>
        </w:tc>
      </w:tr>
      <w:tr w14:paraId="5987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19" w:type="dxa"/>
            <w:vAlign w:val="center"/>
          </w:tcPr>
          <w:p w14:paraId="4DD4C5C6">
            <w:pPr>
              <w:spacing w:line="240" w:lineRule="auto"/>
              <w:jc w:val="center"/>
              <w:rPr>
                <w:rFonts w:ascii="宋体" w:hAnsi="宋体" w:cs="宋体"/>
                <w:sz w:val="18"/>
                <w:szCs w:val="18"/>
              </w:rPr>
            </w:pPr>
            <w:r>
              <w:rPr>
                <w:rFonts w:hint="eastAsia" w:ascii="宋体" w:hAnsi="宋体" w:cs="宋体"/>
                <w:sz w:val="18"/>
                <w:szCs w:val="18"/>
              </w:rPr>
              <w:t>10～50</w:t>
            </w:r>
          </w:p>
        </w:tc>
        <w:tc>
          <w:tcPr>
            <w:tcW w:w="1820" w:type="dxa"/>
            <w:vAlign w:val="center"/>
          </w:tcPr>
          <w:p w14:paraId="79BAF60B">
            <w:pPr>
              <w:spacing w:line="240" w:lineRule="auto"/>
              <w:jc w:val="center"/>
              <w:rPr>
                <w:rFonts w:ascii="宋体" w:hAnsi="宋体" w:cs="宋体"/>
                <w:sz w:val="18"/>
                <w:szCs w:val="18"/>
              </w:rPr>
            </w:pPr>
            <w:r>
              <w:rPr>
                <w:rFonts w:hint="eastAsia" w:ascii="宋体" w:hAnsi="宋体" w:cs="宋体"/>
                <w:sz w:val="18"/>
                <w:szCs w:val="18"/>
              </w:rPr>
              <w:t>2.5</w:t>
            </w:r>
          </w:p>
        </w:tc>
        <w:tc>
          <w:tcPr>
            <w:tcW w:w="1571" w:type="dxa"/>
            <w:vAlign w:val="center"/>
          </w:tcPr>
          <w:p w14:paraId="72FCB4FF">
            <w:pPr>
              <w:spacing w:line="240" w:lineRule="auto"/>
              <w:jc w:val="center"/>
              <w:rPr>
                <w:rFonts w:ascii="宋体" w:hAnsi="宋体" w:cs="宋体"/>
                <w:sz w:val="18"/>
                <w:szCs w:val="18"/>
              </w:rPr>
            </w:pPr>
          </w:p>
        </w:tc>
        <w:tc>
          <w:tcPr>
            <w:tcW w:w="1697" w:type="dxa"/>
            <w:vMerge w:val="restart"/>
            <w:vAlign w:val="center"/>
          </w:tcPr>
          <w:p w14:paraId="2165F4E8">
            <w:pPr>
              <w:spacing w:line="240" w:lineRule="auto"/>
              <w:jc w:val="center"/>
              <w:rPr>
                <w:rFonts w:ascii="宋体" w:hAnsi="宋体" w:cs="宋体"/>
                <w:sz w:val="18"/>
                <w:szCs w:val="18"/>
              </w:rPr>
            </w:pPr>
            <w:r>
              <w:rPr>
                <w:rFonts w:hint="eastAsia" w:ascii="宋体" w:hAnsi="宋体" w:cs="宋体"/>
                <w:sz w:val="18"/>
                <w:szCs w:val="18"/>
              </w:rPr>
              <w:t>1</w:t>
            </w:r>
          </w:p>
        </w:tc>
        <w:tc>
          <w:tcPr>
            <w:tcW w:w="2191" w:type="dxa"/>
            <w:vMerge w:val="restart"/>
            <w:vAlign w:val="center"/>
          </w:tcPr>
          <w:p w14:paraId="21413A97">
            <w:pPr>
              <w:spacing w:line="240" w:lineRule="auto"/>
              <w:jc w:val="center"/>
              <w:rPr>
                <w:rFonts w:ascii="宋体" w:hAnsi="宋体" w:cs="宋体"/>
                <w:sz w:val="18"/>
                <w:szCs w:val="18"/>
              </w:rPr>
            </w:pPr>
            <w:r>
              <w:rPr>
                <w:rFonts w:hint="eastAsia" w:ascii="宋体" w:hAnsi="宋体" w:cs="宋体"/>
                <w:sz w:val="18"/>
                <w:szCs w:val="18"/>
              </w:rPr>
              <w:t>8</w:t>
            </w:r>
          </w:p>
        </w:tc>
      </w:tr>
      <w:tr w14:paraId="37D6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19" w:type="dxa"/>
            <w:vAlign w:val="center"/>
          </w:tcPr>
          <w:p w14:paraId="5B89DD7A">
            <w:pPr>
              <w:spacing w:line="240" w:lineRule="auto"/>
              <w:jc w:val="center"/>
              <w:rPr>
                <w:rFonts w:ascii="宋体" w:hAnsi="宋体" w:cs="宋体"/>
                <w:sz w:val="18"/>
                <w:szCs w:val="18"/>
              </w:rPr>
            </w:pPr>
            <w:r>
              <w:rPr>
                <w:rFonts w:hint="eastAsia" w:ascii="宋体" w:hAnsi="宋体" w:cs="宋体"/>
                <w:sz w:val="18"/>
                <w:szCs w:val="18"/>
              </w:rPr>
              <w:t>50～100</w:t>
            </w:r>
          </w:p>
        </w:tc>
        <w:tc>
          <w:tcPr>
            <w:tcW w:w="1820" w:type="dxa"/>
            <w:vAlign w:val="center"/>
          </w:tcPr>
          <w:p w14:paraId="31604737">
            <w:pPr>
              <w:spacing w:line="240" w:lineRule="auto"/>
              <w:jc w:val="center"/>
              <w:rPr>
                <w:rFonts w:ascii="宋体" w:hAnsi="宋体" w:cs="宋体"/>
                <w:sz w:val="18"/>
                <w:szCs w:val="18"/>
              </w:rPr>
            </w:pPr>
            <w:r>
              <w:rPr>
                <w:rFonts w:hint="eastAsia" w:ascii="宋体" w:hAnsi="宋体" w:cs="宋体"/>
                <w:sz w:val="18"/>
                <w:szCs w:val="18"/>
              </w:rPr>
              <w:t>0.16</w:t>
            </w:r>
          </w:p>
        </w:tc>
        <w:tc>
          <w:tcPr>
            <w:tcW w:w="1571" w:type="dxa"/>
            <w:vAlign w:val="center"/>
          </w:tcPr>
          <w:p w14:paraId="2F312DA5">
            <w:pPr>
              <w:spacing w:line="240" w:lineRule="auto"/>
              <w:jc w:val="center"/>
              <w:rPr>
                <w:rFonts w:ascii="宋体" w:hAnsi="宋体" w:cs="宋体"/>
                <w:sz w:val="18"/>
                <w:szCs w:val="18"/>
              </w:rPr>
            </w:pPr>
          </w:p>
        </w:tc>
        <w:tc>
          <w:tcPr>
            <w:tcW w:w="1697" w:type="dxa"/>
            <w:vMerge w:val="continue"/>
            <w:vAlign w:val="center"/>
          </w:tcPr>
          <w:p w14:paraId="18918E77">
            <w:pPr>
              <w:spacing w:line="240" w:lineRule="auto"/>
              <w:jc w:val="center"/>
              <w:rPr>
                <w:rFonts w:ascii="宋体" w:hAnsi="宋体" w:cs="宋体"/>
              </w:rPr>
            </w:pPr>
          </w:p>
        </w:tc>
        <w:tc>
          <w:tcPr>
            <w:tcW w:w="2191" w:type="dxa"/>
            <w:vMerge w:val="continue"/>
            <w:vAlign w:val="center"/>
          </w:tcPr>
          <w:p w14:paraId="1E74501D">
            <w:pPr>
              <w:spacing w:line="240" w:lineRule="auto"/>
              <w:jc w:val="center"/>
              <w:rPr>
                <w:rFonts w:ascii="宋体" w:hAnsi="宋体" w:cs="宋体"/>
              </w:rPr>
            </w:pPr>
          </w:p>
        </w:tc>
      </w:tr>
      <w:tr w14:paraId="6443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19" w:type="dxa"/>
            <w:vAlign w:val="center"/>
          </w:tcPr>
          <w:p w14:paraId="7437FDC3">
            <w:pPr>
              <w:spacing w:line="240" w:lineRule="auto"/>
              <w:jc w:val="center"/>
              <w:rPr>
                <w:rFonts w:ascii="宋体" w:hAnsi="宋体" w:cs="宋体"/>
                <w:sz w:val="18"/>
                <w:szCs w:val="18"/>
              </w:rPr>
            </w:pPr>
            <w:r>
              <w:rPr>
                <w:rFonts w:hint="eastAsia" w:ascii="宋体" w:hAnsi="宋体" w:cs="宋体"/>
                <w:sz w:val="18"/>
                <w:szCs w:val="18"/>
              </w:rPr>
              <w:t>100～200</w:t>
            </w:r>
          </w:p>
        </w:tc>
        <w:tc>
          <w:tcPr>
            <w:tcW w:w="1820" w:type="dxa"/>
            <w:vAlign w:val="center"/>
          </w:tcPr>
          <w:p w14:paraId="044E6F9D">
            <w:pPr>
              <w:spacing w:line="240" w:lineRule="auto"/>
              <w:jc w:val="center"/>
              <w:rPr>
                <w:rFonts w:ascii="宋体" w:hAnsi="宋体" w:cs="宋体"/>
                <w:sz w:val="18"/>
                <w:szCs w:val="18"/>
              </w:rPr>
            </w:pPr>
          </w:p>
        </w:tc>
        <w:tc>
          <w:tcPr>
            <w:tcW w:w="1571" w:type="dxa"/>
            <w:vAlign w:val="center"/>
          </w:tcPr>
          <w:p w14:paraId="22B30DA9">
            <w:pPr>
              <w:spacing w:line="240" w:lineRule="auto"/>
              <w:jc w:val="center"/>
              <w:rPr>
                <w:rFonts w:ascii="宋体" w:hAnsi="宋体" w:cs="宋体"/>
                <w:sz w:val="18"/>
                <w:szCs w:val="18"/>
              </w:rPr>
            </w:pPr>
            <w:r>
              <w:rPr>
                <w:rFonts w:hint="eastAsia" w:ascii="宋体" w:hAnsi="宋体" w:cs="宋体"/>
                <w:sz w:val="18"/>
                <w:szCs w:val="18"/>
              </w:rPr>
              <w:t>250</w:t>
            </w:r>
          </w:p>
        </w:tc>
        <w:tc>
          <w:tcPr>
            <w:tcW w:w="1697" w:type="dxa"/>
            <w:vMerge w:val="continue"/>
            <w:vAlign w:val="center"/>
          </w:tcPr>
          <w:p w14:paraId="6604C705">
            <w:pPr>
              <w:spacing w:line="240" w:lineRule="auto"/>
              <w:jc w:val="center"/>
              <w:rPr>
                <w:rFonts w:ascii="宋体" w:hAnsi="宋体" w:cs="宋体"/>
              </w:rPr>
            </w:pPr>
          </w:p>
        </w:tc>
        <w:tc>
          <w:tcPr>
            <w:tcW w:w="2191" w:type="dxa"/>
            <w:vMerge w:val="continue"/>
            <w:vAlign w:val="center"/>
          </w:tcPr>
          <w:p w14:paraId="57149ADD">
            <w:pPr>
              <w:spacing w:line="240" w:lineRule="auto"/>
              <w:jc w:val="center"/>
              <w:rPr>
                <w:rFonts w:ascii="宋体" w:hAnsi="宋体" w:cs="宋体"/>
              </w:rPr>
            </w:pPr>
          </w:p>
        </w:tc>
      </w:tr>
      <w:tr w14:paraId="4A11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098" w:type="dxa"/>
            <w:gridSpan w:val="5"/>
            <w:vAlign w:val="center"/>
          </w:tcPr>
          <w:p w14:paraId="37501BEC">
            <w:pPr>
              <w:pStyle w:val="303"/>
              <w:bidi w:val="0"/>
            </w:pPr>
            <w:r>
              <w:rPr>
                <w:rFonts w:hint="eastAsia"/>
              </w:rPr>
              <w:t>表中的振幅和加速度适用于“Z方向”，“X”和“Y”方向的振幅和加速度值为表中数值除以2。</w:t>
            </w:r>
          </w:p>
        </w:tc>
      </w:tr>
    </w:tbl>
    <w:p w14:paraId="0A6B8A59">
      <w:pPr>
        <w:pStyle w:val="261"/>
        <w:bidi w:val="0"/>
      </w:pPr>
      <w:r>
        <w:rPr>
          <w:rFonts w:hint="eastAsia"/>
        </w:rPr>
        <w:t>试验步骤</w:t>
      </w:r>
    </w:p>
    <w:p w14:paraId="1A8119E0">
      <w:pPr>
        <w:pStyle w:val="305"/>
        <w:numPr>
          <w:ilvl w:val="0"/>
          <w:numId w:val="37"/>
        </w:numPr>
        <w:bidi w:val="0"/>
        <w:ind w:left="839" w:leftChars="0" w:hanging="419" w:firstLineChars="0"/>
        <w:rPr>
          <w:rFonts w:ascii="宋体" w:hAnsi="宋体" w:cs="宋体"/>
        </w:rPr>
      </w:pPr>
      <w:r>
        <w:rPr>
          <w:rFonts w:hint="eastAsia"/>
        </w:rPr>
        <w:t>OCV阀固定在三轴振动试验机上振动8h</w:t>
      </w:r>
      <w:r>
        <w:rPr>
          <w:rFonts w:hint="eastAsia"/>
          <w:lang w:eastAsia="zh-CN"/>
        </w:rPr>
        <w:t>；</w:t>
      </w:r>
    </w:p>
    <w:p w14:paraId="424D42D2">
      <w:pPr>
        <w:pStyle w:val="305"/>
        <w:numPr>
          <w:ilvl w:val="0"/>
          <w:numId w:val="37"/>
        </w:numPr>
        <w:bidi w:val="0"/>
        <w:ind w:left="839" w:leftChars="0" w:hanging="419" w:firstLineChars="0"/>
        <w:rPr>
          <w:rFonts w:ascii="宋体" w:hAnsi="宋体" w:cs="宋体"/>
        </w:rPr>
      </w:pPr>
      <w:r>
        <w:rPr>
          <w:rFonts w:hint="eastAsia" w:ascii="宋体" w:hAnsi="宋体" w:cs="宋体"/>
        </w:rPr>
        <w:t>观察OCV阀各连接处有无松动。</w:t>
      </w:r>
    </w:p>
    <w:p w14:paraId="35A5BFAA">
      <w:pPr>
        <w:pStyle w:val="260"/>
        <w:bidi w:val="0"/>
      </w:pPr>
      <w:r>
        <w:rPr>
          <w:rFonts w:hint="eastAsia"/>
        </w:rPr>
        <w:t>耐高低温冲击试验</w:t>
      </w:r>
    </w:p>
    <w:p w14:paraId="1BCCFAE7">
      <w:pPr>
        <w:pStyle w:val="258"/>
        <w:bidi w:val="0"/>
      </w:pPr>
      <w:r>
        <w:rPr>
          <w:rFonts w:hint="eastAsia"/>
        </w:rPr>
        <w:t>试验步骤：</w:t>
      </w:r>
    </w:p>
    <w:p w14:paraId="1C3F703C">
      <w:pPr>
        <w:pStyle w:val="305"/>
        <w:numPr>
          <w:ilvl w:val="0"/>
          <w:numId w:val="38"/>
        </w:numPr>
        <w:bidi w:val="0"/>
        <w:ind w:left="839" w:leftChars="0" w:hanging="419" w:firstLineChars="0"/>
        <w:rPr>
          <w:rFonts w:ascii="宋体" w:hAnsi="宋体" w:cs="宋体"/>
        </w:rPr>
      </w:pPr>
      <w:r>
        <w:rPr>
          <w:rFonts w:hint="eastAsia"/>
        </w:rPr>
        <w:t>将 OCV阀放到-40℃的低温试验箱中存放2h</w:t>
      </w:r>
      <w:r>
        <w:rPr>
          <w:rFonts w:hint="eastAsia"/>
          <w:lang w:eastAsia="zh-CN"/>
        </w:rPr>
        <w:t>；</w:t>
      </w:r>
    </w:p>
    <w:p w14:paraId="671764C1">
      <w:pPr>
        <w:pStyle w:val="305"/>
        <w:numPr>
          <w:ilvl w:val="0"/>
          <w:numId w:val="38"/>
        </w:numPr>
        <w:bidi w:val="0"/>
        <w:ind w:left="839" w:leftChars="0" w:hanging="419" w:firstLineChars="0"/>
        <w:rPr>
          <w:rFonts w:ascii="宋体" w:hAnsi="宋体" w:cs="宋体"/>
        </w:rPr>
      </w:pPr>
      <w:r>
        <w:rPr>
          <w:rFonts w:hint="eastAsia" w:ascii="宋体" w:hAnsi="宋体" w:cs="宋体"/>
        </w:rPr>
        <w:t>取出OCV阀并在30s内转放到150℃高温箱中:高温箱中存放2h</w:t>
      </w:r>
      <w:r>
        <w:rPr>
          <w:rFonts w:hint="eastAsia" w:hAnsi="宋体" w:cs="宋体"/>
          <w:lang w:eastAsia="zh-CN"/>
        </w:rPr>
        <w:t>；</w:t>
      </w:r>
    </w:p>
    <w:p w14:paraId="5BDAC561">
      <w:pPr>
        <w:pStyle w:val="305"/>
        <w:numPr>
          <w:ilvl w:val="0"/>
          <w:numId w:val="38"/>
        </w:numPr>
        <w:bidi w:val="0"/>
        <w:ind w:left="839" w:leftChars="0" w:hanging="419" w:firstLineChars="0"/>
        <w:rPr>
          <w:rFonts w:ascii="宋体" w:hAnsi="宋体" w:cs="宋体"/>
        </w:rPr>
      </w:pPr>
      <w:r>
        <w:rPr>
          <w:rFonts w:hint="eastAsia" w:ascii="宋体" w:hAnsi="宋体" w:cs="宋体"/>
        </w:rPr>
        <w:t>取出0CV阀并在30s内转放到-40℃的低温试验箱中</w:t>
      </w:r>
      <w:r>
        <w:rPr>
          <w:rFonts w:hint="eastAsia" w:hAnsi="宋体" w:cs="宋体"/>
          <w:lang w:eastAsia="zh-CN"/>
        </w:rPr>
        <w:t>；</w:t>
      </w:r>
    </w:p>
    <w:p w14:paraId="18E6BFA7">
      <w:pPr>
        <w:pStyle w:val="305"/>
        <w:numPr>
          <w:ilvl w:val="0"/>
          <w:numId w:val="38"/>
        </w:numPr>
        <w:bidi w:val="0"/>
        <w:ind w:left="839" w:leftChars="0" w:hanging="419" w:firstLineChars="0"/>
        <w:rPr>
          <w:rFonts w:ascii="宋体" w:hAnsi="宋体" w:cs="宋体"/>
        </w:rPr>
      </w:pPr>
      <w:r>
        <w:rPr>
          <w:rFonts w:hint="eastAsia" w:ascii="宋体" w:hAnsi="宋体" w:cs="宋体"/>
        </w:rPr>
        <w:t>如此循环5次</w:t>
      </w:r>
      <w:r>
        <w:rPr>
          <w:rFonts w:hint="eastAsia" w:hAnsi="宋体" w:cs="宋体"/>
          <w:lang w:eastAsia="zh-CN"/>
        </w:rPr>
        <w:t>；</w:t>
      </w:r>
    </w:p>
    <w:p w14:paraId="62A44FA6">
      <w:pPr>
        <w:pStyle w:val="305"/>
        <w:numPr>
          <w:ilvl w:val="0"/>
          <w:numId w:val="38"/>
        </w:numPr>
        <w:bidi w:val="0"/>
        <w:ind w:left="839" w:leftChars="0" w:hanging="419" w:firstLineChars="0"/>
        <w:rPr>
          <w:rFonts w:ascii="宋体" w:hAnsi="宋体" w:cs="宋体"/>
        </w:rPr>
      </w:pPr>
      <w:r>
        <w:rPr>
          <w:rFonts w:hint="eastAsia" w:ascii="宋体" w:hAnsi="宋体" w:cs="宋体"/>
        </w:rPr>
        <w:t>待OCV阀恢复至室温，观察各零件是否有变形。</w:t>
      </w:r>
    </w:p>
    <w:p w14:paraId="1B840C76">
      <w:pPr>
        <w:pStyle w:val="260"/>
        <w:bidi w:val="0"/>
      </w:pPr>
      <w:r>
        <w:rPr>
          <w:rFonts w:hint="eastAsia"/>
        </w:rPr>
        <w:t>耐腐蚀试验</w:t>
      </w:r>
    </w:p>
    <w:p w14:paraId="0C86FFD3">
      <w:pPr>
        <w:pStyle w:val="258"/>
        <w:bidi w:val="0"/>
      </w:pPr>
      <w:r>
        <w:rPr>
          <w:rFonts w:hint="eastAsia"/>
        </w:rPr>
        <w:t>试验步骤：</w:t>
      </w:r>
    </w:p>
    <w:p w14:paraId="6242E649">
      <w:pPr>
        <w:pStyle w:val="305"/>
        <w:numPr>
          <w:ilvl w:val="0"/>
          <w:numId w:val="39"/>
        </w:numPr>
        <w:bidi w:val="0"/>
        <w:ind w:left="839" w:leftChars="0" w:hanging="419" w:firstLineChars="0"/>
        <w:rPr>
          <w:rFonts w:ascii="宋体" w:hAnsi="宋体" w:cs="宋体"/>
        </w:rPr>
      </w:pPr>
      <w:r>
        <w:rPr>
          <w:rFonts w:hint="eastAsia"/>
        </w:rPr>
        <w:t>配置浓度为5%±1%的NaCl溶液</w:t>
      </w:r>
      <w:r>
        <w:rPr>
          <w:rFonts w:hint="eastAsia"/>
          <w:lang w:eastAsia="zh-CN"/>
        </w:rPr>
        <w:t>；</w:t>
      </w:r>
    </w:p>
    <w:p w14:paraId="48907347">
      <w:pPr>
        <w:pStyle w:val="305"/>
        <w:numPr>
          <w:ilvl w:val="0"/>
          <w:numId w:val="39"/>
        </w:numPr>
        <w:bidi w:val="0"/>
        <w:ind w:left="839" w:leftChars="0" w:hanging="419" w:firstLineChars="0"/>
        <w:rPr>
          <w:rFonts w:ascii="宋体" w:hAnsi="宋体" w:cs="宋体"/>
        </w:rPr>
      </w:pPr>
      <w:r>
        <w:rPr>
          <w:rFonts w:hint="eastAsia" w:ascii="宋体" w:hAnsi="宋体" w:cs="宋体"/>
        </w:rPr>
        <w:t>盐雾试验箱内温度设定为35℃±2℃，饱和桶温度设定为37℃±2℃。盐雾喷雾量要求为1ml/h～2ml/h</w:t>
      </w:r>
      <w:r>
        <w:rPr>
          <w:rFonts w:hint="eastAsia" w:hAnsi="宋体" w:cs="宋体"/>
          <w:lang w:eastAsia="zh-CN"/>
        </w:rPr>
        <w:t>；</w:t>
      </w:r>
    </w:p>
    <w:p w14:paraId="3ED1D18C">
      <w:pPr>
        <w:pStyle w:val="305"/>
        <w:numPr>
          <w:ilvl w:val="0"/>
          <w:numId w:val="39"/>
        </w:numPr>
        <w:bidi w:val="0"/>
        <w:ind w:left="839" w:leftChars="0" w:hanging="419" w:firstLineChars="0"/>
        <w:rPr>
          <w:rFonts w:ascii="宋体" w:hAnsi="宋体" w:cs="宋体"/>
        </w:rPr>
      </w:pPr>
      <w:r>
        <w:rPr>
          <w:rFonts w:hint="eastAsia" w:ascii="宋体" w:hAnsi="宋体" w:cs="宋体"/>
        </w:rPr>
        <w:t>OCV阀放置于盐雾试验箱内试验72h。</w:t>
      </w:r>
    </w:p>
    <w:p w14:paraId="4F68C09A">
      <w:pPr>
        <w:pStyle w:val="260"/>
        <w:bidi w:val="0"/>
      </w:pPr>
      <w:r>
        <w:rPr>
          <w:rFonts w:hint="eastAsia"/>
        </w:rPr>
        <w:t>耐久性试验</w:t>
      </w:r>
    </w:p>
    <w:p w14:paraId="039DE577">
      <w:pPr>
        <w:pStyle w:val="261"/>
        <w:bidi w:val="0"/>
        <w:rPr>
          <w:rFonts w:hint="eastAsia"/>
        </w:rPr>
      </w:pPr>
      <w:r>
        <w:rPr>
          <w:rFonts w:hint="eastAsia"/>
        </w:rPr>
        <w:t>试验条件</w:t>
      </w:r>
    </w:p>
    <w:p w14:paraId="4EAA8DF5">
      <w:pPr>
        <w:pStyle w:val="305"/>
        <w:numPr>
          <w:ilvl w:val="0"/>
          <w:numId w:val="40"/>
        </w:numPr>
        <w:bidi w:val="0"/>
        <w:ind w:left="839" w:leftChars="0" w:hanging="419" w:firstLineChars="0"/>
        <w:rPr>
          <w:rFonts w:ascii="宋体" w:hAnsi="宋体" w:cs="宋体"/>
          <w:color w:val="auto"/>
        </w:rPr>
      </w:pPr>
      <w:r>
        <w:rPr>
          <w:rFonts w:hint="eastAsia"/>
          <w:color w:val="auto"/>
        </w:rPr>
        <w:t>试验介质:试验介质为一般液压油；</w:t>
      </w:r>
    </w:p>
    <w:p w14:paraId="53C51E8B">
      <w:pPr>
        <w:pStyle w:val="305"/>
        <w:numPr>
          <w:ilvl w:val="0"/>
          <w:numId w:val="40"/>
        </w:numPr>
        <w:bidi w:val="0"/>
        <w:ind w:left="839" w:leftChars="0" w:hanging="419" w:firstLineChars="0"/>
        <w:rPr>
          <w:rFonts w:ascii="宋体" w:hAnsi="宋体" w:cs="宋体"/>
          <w:color w:val="auto"/>
        </w:rPr>
      </w:pPr>
      <w:r>
        <w:rPr>
          <w:rFonts w:hint="eastAsia" w:ascii="宋体" w:hAnsi="宋体" w:cs="宋体"/>
          <w:color w:val="auto"/>
        </w:rPr>
        <w:t>试验介质温度:100℃±2℃；</w:t>
      </w:r>
    </w:p>
    <w:p w14:paraId="0CFA3244">
      <w:pPr>
        <w:pStyle w:val="305"/>
        <w:numPr>
          <w:ilvl w:val="0"/>
          <w:numId w:val="40"/>
        </w:numPr>
        <w:bidi w:val="0"/>
        <w:ind w:left="839" w:leftChars="0" w:hanging="419" w:firstLineChars="0"/>
        <w:rPr>
          <w:rFonts w:ascii="宋体" w:hAnsi="宋体" w:cs="宋体"/>
          <w:color w:val="auto"/>
        </w:rPr>
      </w:pPr>
      <w:r>
        <w:rPr>
          <w:rFonts w:hint="eastAsia" w:ascii="宋体" w:hAnsi="宋体" w:cs="宋体"/>
          <w:color w:val="auto"/>
        </w:rPr>
        <w:t>试验油压:4bar±0.3bar；</w:t>
      </w:r>
    </w:p>
    <w:p w14:paraId="57236042">
      <w:pPr>
        <w:pStyle w:val="305"/>
        <w:numPr>
          <w:ilvl w:val="0"/>
          <w:numId w:val="40"/>
        </w:numPr>
        <w:bidi w:val="0"/>
        <w:ind w:left="839" w:leftChars="0" w:hanging="419" w:firstLineChars="0"/>
        <w:rPr>
          <w:rFonts w:ascii="宋体" w:hAnsi="宋体" w:cs="宋体"/>
          <w:color w:val="auto"/>
        </w:rPr>
      </w:pPr>
      <w:r>
        <w:rPr>
          <w:rFonts w:hint="eastAsia" w:ascii="宋体" w:hAnsi="宋体" w:cs="宋体"/>
          <w:color w:val="auto"/>
        </w:rPr>
        <w:t>试验电压:13.5V±0.1V。</w:t>
      </w:r>
    </w:p>
    <w:p w14:paraId="04486FDB">
      <w:pPr>
        <w:pStyle w:val="261"/>
        <w:bidi w:val="0"/>
        <w:rPr>
          <w:rFonts w:hint="eastAsia"/>
        </w:rPr>
      </w:pPr>
      <w:r>
        <w:rPr>
          <w:rFonts w:hint="eastAsia"/>
        </w:rPr>
        <w:t>试验步骤</w:t>
      </w:r>
    </w:p>
    <w:p w14:paraId="545E84F3">
      <w:pPr>
        <w:pStyle w:val="305"/>
        <w:numPr>
          <w:ilvl w:val="0"/>
          <w:numId w:val="41"/>
        </w:numPr>
        <w:bidi w:val="0"/>
        <w:ind w:left="839" w:leftChars="0" w:hanging="419" w:firstLineChars="0"/>
        <w:rPr>
          <w:rFonts w:ascii="宋体" w:hAnsi="宋体" w:cs="宋体"/>
        </w:rPr>
      </w:pPr>
      <w:r>
        <w:rPr>
          <w:rFonts w:hint="eastAsia"/>
        </w:rPr>
        <w:t>OCV阀在规定条件下不断通断电工作，通断电频率1Hz,工作500h</w:t>
      </w:r>
      <w:r>
        <w:rPr>
          <w:rFonts w:hint="eastAsia"/>
          <w:lang w:eastAsia="zh-CN"/>
        </w:rPr>
        <w:t>；</w:t>
      </w:r>
    </w:p>
    <w:p w14:paraId="0FE26C2C">
      <w:pPr>
        <w:pStyle w:val="305"/>
        <w:numPr>
          <w:ilvl w:val="0"/>
          <w:numId w:val="41"/>
        </w:numPr>
        <w:bidi w:val="0"/>
        <w:ind w:left="839" w:leftChars="0" w:hanging="419" w:firstLineChars="0"/>
        <w:rPr>
          <w:rFonts w:ascii="宋体" w:hAnsi="宋体" w:cs="宋体"/>
        </w:rPr>
      </w:pPr>
      <w:r>
        <w:rPr>
          <w:rFonts w:hint="eastAsia" w:ascii="宋体" w:hAnsi="宋体" w:cs="宋体"/>
        </w:rPr>
        <w:t>拆解阀体及电磁体，观察电磁体衔铁、内罩、阀杆、阀芯表面是否有异常磨损。</w:t>
      </w:r>
    </w:p>
    <w:p w14:paraId="0BED6357">
      <w:pPr>
        <w:pStyle w:val="260"/>
        <w:bidi w:val="0"/>
      </w:pPr>
      <w:r>
        <w:rPr>
          <w:rFonts w:hint="eastAsia"/>
        </w:rPr>
        <w:t>接插件耦合力试验</w:t>
      </w:r>
    </w:p>
    <w:p w14:paraId="37618990">
      <w:pPr>
        <w:pStyle w:val="258"/>
        <w:bidi w:val="0"/>
      </w:pPr>
      <w:r>
        <w:rPr>
          <w:rFonts w:hint="eastAsia"/>
        </w:rPr>
        <w:t>试验步骤：</w:t>
      </w:r>
    </w:p>
    <w:p w14:paraId="36698451">
      <w:pPr>
        <w:pStyle w:val="305"/>
        <w:numPr>
          <w:ilvl w:val="0"/>
          <w:numId w:val="42"/>
        </w:numPr>
        <w:bidi w:val="0"/>
        <w:ind w:left="839" w:leftChars="0" w:hanging="419" w:firstLineChars="0"/>
        <w:rPr>
          <w:rFonts w:ascii="宋体" w:hAnsi="宋体" w:cs="宋体"/>
        </w:rPr>
      </w:pPr>
      <w:r>
        <w:rPr>
          <w:rFonts w:hint="eastAsia"/>
        </w:rPr>
        <w:t>接插件公、母端插合后，卡口卡紧</w:t>
      </w:r>
      <w:r>
        <w:rPr>
          <w:rFonts w:hint="eastAsia"/>
          <w:lang w:eastAsia="zh-CN"/>
        </w:rPr>
        <w:t>；</w:t>
      </w:r>
    </w:p>
    <w:p w14:paraId="79AFB060">
      <w:pPr>
        <w:pStyle w:val="305"/>
        <w:numPr>
          <w:ilvl w:val="0"/>
          <w:numId w:val="42"/>
        </w:numPr>
        <w:bidi w:val="0"/>
        <w:ind w:left="839" w:leftChars="0" w:hanging="419" w:firstLineChars="0"/>
        <w:rPr>
          <w:rFonts w:ascii="宋体" w:hAnsi="宋体" w:cs="宋体"/>
        </w:rPr>
      </w:pPr>
      <w:r>
        <w:rPr>
          <w:rFonts w:hint="eastAsia" w:ascii="宋体" w:hAnsi="宋体" w:cs="宋体"/>
        </w:rPr>
        <w:t>固定OCV阀阀体，对插接件公端施加100N拉脱力</w:t>
      </w:r>
      <w:r>
        <w:rPr>
          <w:rFonts w:hint="eastAsia" w:hAnsi="宋体" w:cs="宋体"/>
          <w:lang w:eastAsia="zh-CN"/>
        </w:rPr>
        <w:t>；</w:t>
      </w:r>
    </w:p>
    <w:p w14:paraId="090A6394">
      <w:pPr>
        <w:pStyle w:val="305"/>
        <w:numPr>
          <w:ilvl w:val="0"/>
          <w:numId w:val="42"/>
        </w:numPr>
        <w:bidi w:val="0"/>
        <w:ind w:left="839" w:leftChars="0" w:hanging="419" w:firstLineChars="0"/>
        <w:rPr>
          <w:rFonts w:ascii="宋体" w:hAnsi="宋体" w:cs="宋体"/>
        </w:rPr>
      </w:pPr>
      <w:r>
        <w:rPr>
          <w:rFonts w:hint="eastAsia" w:ascii="宋体" w:hAnsi="宋体" w:cs="宋体"/>
        </w:rPr>
        <w:t>观察接插件耦合部位是否有松脱，卡扣是否有变形、损坏。</w:t>
      </w:r>
    </w:p>
    <w:p w14:paraId="6403AAD1">
      <w:pPr>
        <w:pStyle w:val="260"/>
        <w:bidi w:val="0"/>
      </w:pPr>
      <w:r>
        <w:rPr>
          <w:rFonts w:hint="eastAsia"/>
        </w:rPr>
        <w:t>耐水性试验</w:t>
      </w:r>
    </w:p>
    <w:p w14:paraId="20059C02">
      <w:pPr>
        <w:pStyle w:val="258"/>
        <w:bidi w:val="0"/>
      </w:pPr>
      <w:r>
        <w:rPr>
          <w:rFonts w:hint="eastAsia"/>
        </w:rPr>
        <w:t>试验步骤：</w:t>
      </w:r>
    </w:p>
    <w:p w14:paraId="5BB21056">
      <w:pPr>
        <w:pStyle w:val="305"/>
        <w:numPr>
          <w:ilvl w:val="0"/>
          <w:numId w:val="43"/>
        </w:numPr>
        <w:bidi w:val="0"/>
        <w:ind w:left="839" w:leftChars="0" w:hanging="419" w:firstLineChars="0"/>
        <w:rPr>
          <w:rFonts w:ascii="宋体" w:hAnsi="宋体" w:cs="宋体"/>
        </w:rPr>
      </w:pPr>
      <w:r>
        <w:rPr>
          <w:rFonts w:hint="eastAsia"/>
        </w:rPr>
        <w:t>接插件公、母端插合后，卡口卡紧</w:t>
      </w:r>
      <w:r>
        <w:rPr>
          <w:rFonts w:hint="eastAsia"/>
          <w:lang w:eastAsia="zh-CN"/>
        </w:rPr>
        <w:t>；</w:t>
      </w:r>
    </w:p>
    <w:p w14:paraId="5EF8825F">
      <w:pPr>
        <w:pStyle w:val="305"/>
        <w:numPr>
          <w:ilvl w:val="0"/>
          <w:numId w:val="43"/>
        </w:numPr>
        <w:bidi w:val="0"/>
        <w:ind w:left="839" w:leftChars="0" w:hanging="419" w:firstLineChars="0"/>
        <w:rPr>
          <w:rFonts w:ascii="宋体" w:hAnsi="宋体" w:cs="宋体"/>
        </w:rPr>
      </w:pPr>
      <w:r>
        <w:rPr>
          <w:rFonts w:hint="eastAsia" w:ascii="宋体" w:hAnsi="宋体" w:cs="宋体"/>
        </w:rPr>
        <w:t>将0CV阀放置于120℃烘箱中，保温30min</w:t>
      </w:r>
      <w:r>
        <w:rPr>
          <w:rFonts w:hint="eastAsia" w:hAnsi="宋体" w:cs="宋体"/>
          <w:lang w:eastAsia="zh-CN"/>
        </w:rPr>
        <w:t>；</w:t>
      </w:r>
    </w:p>
    <w:p w14:paraId="24C3FB62">
      <w:pPr>
        <w:pStyle w:val="305"/>
        <w:numPr>
          <w:ilvl w:val="0"/>
          <w:numId w:val="43"/>
        </w:numPr>
        <w:bidi w:val="0"/>
        <w:ind w:left="839" w:leftChars="0" w:hanging="419" w:firstLineChars="0"/>
        <w:rPr>
          <w:rFonts w:ascii="宋体" w:hAnsi="宋体" w:cs="宋体"/>
        </w:rPr>
      </w:pPr>
      <w:r>
        <w:rPr>
          <w:rFonts w:hint="eastAsia" w:ascii="宋体" w:hAnsi="宋体" w:cs="宋体"/>
        </w:rPr>
        <w:t>取出OCV阀放置于常温水下0.1m深处，放置30min</w:t>
      </w:r>
      <w:r>
        <w:rPr>
          <w:rFonts w:hint="eastAsia" w:hAnsi="宋体" w:cs="宋体"/>
          <w:lang w:eastAsia="zh-CN"/>
        </w:rPr>
        <w:t>；</w:t>
      </w:r>
    </w:p>
    <w:p w14:paraId="752343A6">
      <w:pPr>
        <w:pStyle w:val="305"/>
        <w:numPr>
          <w:ilvl w:val="0"/>
          <w:numId w:val="43"/>
        </w:numPr>
        <w:bidi w:val="0"/>
        <w:ind w:left="839" w:leftChars="0" w:hanging="419" w:firstLineChars="0"/>
        <w:rPr>
          <w:rFonts w:ascii="宋体" w:hAnsi="宋体" w:cs="宋体"/>
        </w:rPr>
      </w:pPr>
      <w:r>
        <w:rPr>
          <w:rFonts w:hint="eastAsia" w:ascii="宋体" w:hAnsi="宋体" w:cs="宋体"/>
        </w:rPr>
        <w:t>重复b、c共10个循环</w:t>
      </w:r>
      <w:r>
        <w:rPr>
          <w:rFonts w:hint="eastAsia" w:hAnsi="宋体" w:cs="宋体"/>
          <w:lang w:eastAsia="zh-CN"/>
        </w:rPr>
        <w:t>；</w:t>
      </w:r>
    </w:p>
    <w:p w14:paraId="788B6459">
      <w:pPr>
        <w:pStyle w:val="305"/>
        <w:numPr>
          <w:ilvl w:val="0"/>
          <w:numId w:val="43"/>
        </w:numPr>
        <w:bidi w:val="0"/>
        <w:ind w:left="839" w:leftChars="0" w:hanging="419" w:firstLineChars="0"/>
        <w:rPr>
          <w:rFonts w:ascii="宋体" w:hAnsi="宋体" w:cs="宋体"/>
        </w:rPr>
      </w:pPr>
      <w:r>
        <w:rPr>
          <w:rFonts w:hint="eastAsia" w:ascii="宋体" w:hAnsi="宋体" w:cs="宋体"/>
        </w:rPr>
        <w:t>取出 OCV 阀吹干外表面水渍，拔出接插件公端后，观察0CV阀接插件内部是否有水迹，并测量其绝缘电阻应符合本文件要求。</w:t>
      </w:r>
    </w:p>
    <w:p w14:paraId="13E1B66B">
      <w:pPr>
        <w:pStyle w:val="260"/>
        <w:bidi w:val="0"/>
      </w:pPr>
      <w:r>
        <w:rPr>
          <w:rFonts w:hint="eastAsia"/>
        </w:rPr>
        <w:t>耐电压短时异常试验</w:t>
      </w:r>
    </w:p>
    <w:p w14:paraId="2A3420A6">
      <w:pPr>
        <w:pStyle w:val="258"/>
        <w:bidi w:val="0"/>
      </w:pPr>
      <w:r>
        <w:rPr>
          <w:rFonts w:hint="eastAsia"/>
        </w:rPr>
        <w:t>产品置于温度为150℃高温箱内2h后，产品加载电压24VDC，时间1min，OCV工作于保持点状态，无线圈胀裂、变形等现象，阀体温度恢复至常温后，测试各项性能指标应符合5.5的要求。</w:t>
      </w:r>
    </w:p>
    <w:p w14:paraId="10DB2B83">
      <w:pPr>
        <w:pStyle w:val="260"/>
        <w:bidi w:val="0"/>
      </w:pPr>
      <w:r>
        <w:rPr>
          <w:rFonts w:hint="eastAsia"/>
        </w:rPr>
        <w:t>耐电压持续异常试验</w:t>
      </w:r>
    </w:p>
    <w:p w14:paraId="361CCB70">
      <w:pPr>
        <w:pStyle w:val="258"/>
        <w:bidi w:val="0"/>
      </w:pPr>
      <w:r>
        <w:rPr>
          <w:rFonts w:hint="eastAsia"/>
        </w:rPr>
        <w:t>产品置于温度为150℃高温箱内2h后，产品加载电压18VDC，时间1h，OCV工作于保持点状态，无线圈胀裂、变形等现象，阀体温度恢复至常温后，测试各项性能指标应符合5.5的要求。</w:t>
      </w:r>
    </w:p>
    <w:p w14:paraId="55C350E2">
      <w:pPr>
        <w:pStyle w:val="260"/>
        <w:bidi w:val="0"/>
      </w:pPr>
      <w:r>
        <w:rPr>
          <w:rFonts w:hint="eastAsia"/>
        </w:rPr>
        <w:t>电磁兼容性(EMC)试验</w:t>
      </w:r>
    </w:p>
    <w:p w14:paraId="0DB13F1E">
      <w:pPr>
        <w:pStyle w:val="258"/>
        <w:bidi w:val="0"/>
      </w:pPr>
      <w:r>
        <w:rPr>
          <w:rFonts w:hint="eastAsia"/>
        </w:rPr>
        <w:t>按GB/T17626.2-2018 和GB/T21437.2-2021的规定进行。</w:t>
      </w:r>
    </w:p>
    <w:p w14:paraId="4A326EAF">
      <w:pPr>
        <w:pStyle w:val="260"/>
        <w:bidi w:val="0"/>
      </w:pPr>
      <w:r>
        <w:rPr>
          <w:rFonts w:hint="eastAsia"/>
        </w:rPr>
        <w:t>OCV</w:t>
      </w:r>
      <w:r>
        <w:rPr>
          <w:rFonts w:hint="eastAsia"/>
          <w:lang w:val="en-US" w:eastAsia="zh-CN"/>
        </w:rPr>
        <w:t>阀</w:t>
      </w:r>
      <w:r>
        <w:rPr>
          <w:rFonts w:hint="eastAsia"/>
        </w:rPr>
        <w:t>外壳防护等级试验</w:t>
      </w:r>
    </w:p>
    <w:p w14:paraId="3C9CE821">
      <w:pPr>
        <w:pStyle w:val="258"/>
        <w:bidi w:val="0"/>
      </w:pPr>
      <w:r>
        <w:rPr>
          <w:rFonts w:hint="eastAsia"/>
        </w:rPr>
        <w:t>按GB/T30038的规定进行。</w:t>
      </w:r>
    </w:p>
    <w:p w14:paraId="00D34264">
      <w:pPr>
        <w:pStyle w:val="259"/>
        <w:bidi w:val="0"/>
      </w:pPr>
      <w:r>
        <w:rPr>
          <w:rFonts w:hint="eastAsia"/>
        </w:rPr>
        <w:t>检验规则</w:t>
      </w:r>
    </w:p>
    <w:p w14:paraId="1E2FDA94">
      <w:pPr>
        <w:pStyle w:val="260"/>
        <w:bidi w:val="0"/>
      </w:pPr>
      <w:r>
        <w:rPr>
          <w:rFonts w:hint="eastAsia"/>
          <w:lang w:val="en-US" w:eastAsia="zh-CN"/>
        </w:rPr>
        <w:t>检验项目</w:t>
      </w:r>
    </w:p>
    <w:p w14:paraId="54656B4C">
      <w:pPr>
        <w:pStyle w:val="258"/>
        <w:bidi w:val="0"/>
      </w:pPr>
      <w:r>
        <w:rPr>
          <w:rFonts w:hint="eastAsia"/>
        </w:rPr>
        <w:t>0CV阀的检验分为出厂检验和型式试验项目见表4。</w:t>
      </w:r>
    </w:p>
    <w:p w14:paraId="4E0512A1">
      <w:pPr>
        <w:pStyle w:val="301"/>
        <w:bidi w:val="0"/>
      </w:pPr>
      <w:r>
        <w:rPr>
          <w:rFonts w:hint="eastAsia"/>
        </w:rPr>
        <w:t>出厂检验和型式试验项目</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787"/>
        <w:gridCol w:w="1816"/>
        <w:gridCol w:w="1516"/>
        <w:gridCol w:w="1517"/>
        <w:gridCol w:w="1516"/>
      </w:tblGrid>
      <w:tr w14:paraId="6B54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Merge w:val="restart"/>
            <w:vAlign w:val="center"/>
          </w:tcPr>
          <w:p w14:paraId="030CBC7A">
            <w:pPr>
              <w:spacing w:line="240" w:lineRule="auto"/>
              <w:jc w:val="center"/>
              <w:rPr>
                <w:rFonts w:hint="eastAsia" w:ascii="黑体" w:hAnsi="黑体" w:eastAsia="黑体" w:cs="黑体"/>
                <w:sz w:val="18"/>
                <w:szCs w:val="18"/>
              </w:rPr>
            </w:pPr>
            <w:r>
              <w:rPr>
                <w:rFonts w:hint="eastAsia" w:ascii="黑体" w:hAnsi="黑体" w:eastAsia="黑体" w:cs="黑体"/>
                <w:sz w:val="18"/>
                <w:szCs w:val="18"/>
              </w:rPr>
              <w:t>序号</w:t>
            </w:r>
          </w:p>
        </w:tc>
        <w:tc>
          <w:tcPr>
            <w:tcW w:w="1787" w:type="dxa"/>
            <w:vMerge w:val="restart"/>
            <w:vAlign w:val="center"/>
          </w:tcPr>
          <w:p w14:paraId="22F8168D">
            <w:pPr>
              <w:spacing w:line="240" w:lineRule="auto"/>
              <w:jc w:val="center"/>
              <w:rPr>
                <w:rFonts w:hint="eastAsia" w:ascii="黑体" w:hAnsi="黑体" w:eastAsia="黑体" w:cs="黑体"/>
                <w:sz w:val="18"/>
                <w:szCs w:val="18"/>
              </w:rPr>
            </w:pPr>
            <w:r>
              <w:rPr>
                <w:rFonts w:hint="eastAsia" w:ascii="黑体" w:hAnsi="黑体" w:eastAsia="黑体" w:cs="黑体"/>
                <w:sz w:val="18"/>
                <w:szCs w:val="18"/>
              </w:rPr>
              <w:t>检验项目</w:t>
            </w:r>
          </w:p>
        </w:tc>
        <w:tc>
          <w:tcPr>
            <w:tcW w:w="1816" w:type="dxa"/>
            <w:vMerge w:val="restart"/>
            <w:vAlign w:val="center"/>
          </w:tcPr>
          <w:p w14:paraId="7860BFBE">
            <w:pPr>
              <w:spacing w:line="240" w:lineRule="auto"/>
              <w:jc w:val="center"/>
              <w:rPr>
                <w:rFonts w:hint="eastAsia" w:ascii="黑体" w:hAnsi="黑体" w:eastAsia="黑体" w:cs="黑体"/>
                <w:sz w:val="18"/>
                <w:szCs w:val="18"/>
              </w:rPr>
            </w:pPr>
            <w:r>
              <w:rPr>
                <w:rFonts w:hint="eastAsia" w:ascii="黑体" w:hAnsi="黑体" w:eastAsia="黑体" w:cs="黑体"/>
                <w:sz w:val="18"/>
                <w:szCs w:val="18"/>
              </w:rPr>
              <w:t>项目名称</w:t>
            </w:r>
          </w:p>
        </w:tc>
        <w:tc>
          <w:tcPr>
            <w:tcW w:w="3033" w:type="dxa"/>
            <w:gridSpan w:val="2"/>
            <w:vAlign w:val="center"/>
          </w:tcPr>
          <w:p w14:paraId="01B323FA">
            <w:pPr>
              <w:spacing w:line="240" w:lineRule="auto"/>
              <w:jc w:val="center"/>
              <w:rPr>
                <w:rFonts w:hint="eastAsia" w:ascii="黑体" w:hAnsi="黑体" w:eastAsia="黑体" w:cs="黑体"/>
                <w:sz w:val="18"/>
                <w:szCs w:val="18"/>
              </w:rPr>
            </w:pPr>
            <w:r>
              <w:rPr>
                <w:rFonts w:hint="eastAsia" w:ascii="黑体" w:hAnsi="黑体" w:eastAsia="黑体" w:cs="黑体"/>
                <w:sz w:val="18"/>
                <w:szCs w:val="18"/>
              </w:rPr>
              <w:t>出厂检验</w:t>
            </w:r>
          </w:p>
        </w:tc>
        <w:tc>
          <w:tcPr>
            <w:tcW w:w="1516" w:type="dxa"/>
            <w:vMerge w:val="restart"/>
            <w:vAlign w:val="center"/>
          </w:tcPr>
          <w:p w14:paraId="7C091272">
            <w:pPr>
              <w:spacing w:line="240" w:lineRule="auto"/>
              <w:jc w:val="center"/>
              <w:rPr>
                <w:rFonts w:ascii="宋体" w:hAnsi="宋体" w:cs="宋体"/>
              </w:rPr>
            </w:pPr>
            <w:r>
              <w:rPr>
                <w:rFonts w:hint="eastAsia" w:ascii="黑体" w:hAnsi="黑体" w:eastAsia="黑体" w:cs="黑体"/>
                <w:sz w:val="18"/>
                <w:szCs w:val="18"/>
              </w:rPr>
              <w:t>型式试验</w:t>
            </w:r>
          </w:p>
        </w:tc>
      </w:tr>
      <w:tr w14:paraId="6A8E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Merge w:val="continue"/>
            <w:vAlign w:val="center"/>
          </w:tcPr>
          <w:p w14:paraId="66149B65">
            <w:pPr>
              <w:spacing w:line="240" w:lineRule="auto"/>
              <w:jc w:val="center"/>
              <w:rPr>
                <w:rFonts w:hint="eastAsia" w:ascii="黑体" w:hAnsi="黑体" w:eastAsia="黑体" w:cs="黑体"/>
                <w:sz w:val="18"/>
                <w:szCs w:val="18"/>
              </w:rPr>
            </w:pPr>
          </w:p>
        </w:tc>
        <w:tc>
          <w:tcPr>
            <w:tcW w:w="1787" w:type="dxa"/>
            <w:vMerge w:val="continue"/>
            <w:vAlign w:val="center"/>
          </w:tcPr>
          <w:p w14:paraId="7DECD8B3">
            <w:pPr>
              <w:spacing w:line="240" w:lineRule="auto"/>
              <w:jc w:val="center"/>
              <w:rPr>
                <w:rFonts w:hint="eastAsia" w:ascii="黑体" w:hAnsi="黑体" w:eastAsia="黑体" w:cs="黑体"/>
                <w:sz w:val="18"/>
                <w:szCs w:val="18"/>
              </w:rPr>
            </w:pPr>
          </w:p>
        </w:tc>
        <w:tc>
          <w:tcPr>
            <w:tcW w:w="1816" w:type="dxa"/>
            <w:vMerge w:val="continue"/>
            <w:vAlign w:val="center"/>
          </w:tcPr>
          <w:p w14:paraId="71618F1F">
            <w:pPr>
              <w:spacing w:line="240" w:lineRule="auto"/>
              <w:jc w:val="center"/>
              <w:rPr>
                <w:rFonts w:hint="eastAsia" w:ascii="黑体" w:hAnsi="黑体" w:eastAsia="黑体" w:cs="黑体"/>
                <w:sz w:val="18"/>
                <w:szCs w:val="18"/>
              </w:rPr>
            </w:pPr>
          </w:p>
        </w:tc>
        <w:tc>
          <w:tcPr>
            <w:tcW w:w="1516" w:type="dxa"/>
            <w:vAlign w:val="center"/>
          </w:tcPr>
          <w:p w14:paraId="0AB42D66">
            <w:pPr>
              <w:spacing w:line="240" w:lineRule="auto"/>
              <w:jc w:val="center"/>
              <w:rPr>
                <w:rFonts w:hint="eastAsia" w:ascii="黑体" w:hAnsi="黑体" w:eastAsia="黑体" w:cs="黑体"/>
                <w:sz w:val="18"/>
                <w:szCs w:val="18"/>
              </w:rPr>
            </w:pPr>
            <w:r>
              <w:rPr>
                <w:rFonts w:hint="eastAsia" w:ascii="黑体" w:hAnsi="黑体" w:eastAsia="黑体" w:cs="黑体"/>
                <w:sz w:val="18"/>
                <w:szCs w:val="18"/>
              </w:rPr>
              <w:t>全检</w:t>
            </w:r>
          </w:p>
        </w:tc>
        <w:tc>
          <w:tcPr>
            <w:tcW w:w="1517" w:type="dxa"/>
            <w:vAlign w:val="center"/>
          </w:tcPr>
          <w:p w14:paraId="09576D89">
            <w:pPr>
              <w:spacing w:line="240" w:lineRule="auto"/>
              <w:jc w:val="center"/>
              <w:rPr>
                <w:rFonts w:hint="eastAsia" w:ascii="黑体" w:hAnsi="黑体" w:eastAsia="黑体" w:cs="黑体"/>
                <w:sz w:val="18"/>
                <w:szCs w:val="18"/>
              </w:rPr>
            </w:pPr>
            <w:r>
              <w:rPr>
                <w:rFonts w:hint="eastAsia" w:ascii="黑体" w:hAnsi="黑体" w:eastAsia="黑体" w:cs="黑体"/>
                <w:sz w:val="18"/>
                <w:szCs w:val="18"/>
              </w:rPr>
              <w:t>抽检</w:t>
            </w:r>
          </w:p>
        </w:tc>
        <w:tc>
          <w:tcPr>
            <w:tcW w:w="1516" w:type="dxa"/>
            <w:vMerge w:val="continue"/>
            <w:vAlign w:val="center"/>
          </w:tcPr>
          <w:p w14:paraId="7A83B4E8">
            <w:pPr>
              <w:spacing w:line="240" w:lineRule="auto"/>
              <w:jc w:val="center"/>
              <w:rPr>
                <w:rFonts w:ascii="宋体" w:hAnsi="宋体" w:cs="宋体"/>
              </w:rPr>
            </w:pPr>
          </w:p>
        </w:tc>
      </w:tr>
      <w:tr w14:paraId="7109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73D8083">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w:t>
            </w:r>
          </w:p>
        </w:tc>
        <w:tc>
          <w:tcPr>
            <w:tcW w:w="1787" w:type="dxa"/>
            <w:vAlign w:val="center"/>
          </w:tcPr>
          <w:p w14:paraId="680DE1C7">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w:t>
            </w:r>
          </w:p>
        </w:tc>
        <w:tc>
          <w:tcPr>
            <w:tcW w:w="1816" w:type="dxa"/>
            <w:vAlign w:val="center"/>
          </w:tcPr>
          <w:p w14:paraId="3DF5864C">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电气性能</w:t>
            </w:r>
          </w:p>
        </w:tc>
        <w:tc>
          <w:tcPr>
            <w:tcW w:w="1516" w:type="dxa"/>
            <w:vAlign w:val="center"/>
          </w:tcPr>
          <w:p w14:paraId="6BA30349">
            <w:pPr>
              <w:spacing w:line="240" w:lineRule="auto"/>
              <w:jc w:val="center"/>
              <w:rPr>
                <w:rFonts w:hint="eastAsia" w:ascii="宋体" w:hAnsi="宋体" w:eastAsia="宋体" w:cs="宋体"/>
                <w:sz w:val="18"/>
                <w:szCs w:val="18"/>
              </w:rPr>
            </w:pPr>
          </w:p>
        </w:tc>
        <w:tc>
          <w:tcPr>
            <w:tcW w:w="1517" w:type="dxa"/>
            <w:vAlign w:val="center"/>
          </w:tcPr>
          <w:p w14:paraId="3148E27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516" w:type="dxa"/>
            <w:vAlign w:val="center"/>
          </w:tcPr>
          <w:p w14:paraId="4AC43A3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6590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B56919C">
            <w:pPr>
              <w:spacing w:line="240" w:lineRule="auto"/>
              <w:jc w:val="center"/>
              <w:rPr>
                <w:rFonts w:hint="eastAsia" w:ascii="黑体" w:hAnsi="黑体" w:eastAsia="黑体" w:cs="黑体"/>
                <w:sz w:val="18"/>
                <w:szCs w:val="18"/>
              </w:rPr>
            </w:pPr>
            <w:r>
              <w:rPr>
                <w:rFonts w:hint="eastAsia" w:ascii="黑体" w:hAnsi="黑体" w:eastAsia="黑体" w:cs="黑体"/>
                <w:sz w:val="18"/>
                <w:szCs w:val="18"/>
              </w:rPr>
              <w:t>2</w:t>
            </w:r>
          </w:p>
        </w:tc>
        <w:tc>
          <w:tcPr>
            <w:tcW w:w="1787" w:type="dxa"/>
            <w:vAlign w:val="center"/>
          </w:tcPr>
          <w:p w14:paraId="40BADF80">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5.5.2</w:t>
            </w:r>
          </w:p>
        </w:tc>
        <w:tc>
          <w:tcPr>
            <w:tcW w:w="1816" w:type="dxa"/>
            <w:vAlign w:val="center"/>
          </w:tcPr>
          <w:p w14:paraId="51A22147">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流量-占空比特性</w:t>
            </w:r>
          </w:p>
        </w:tc>
        <w:tc>
          <w:tcPr>
            <w:tcW w:w="1516" w:type="dxa"/>
            <w:vAlign w:val="center"/>
          </w:tcPr>
          <w:p w14:paraId="2679DAB5">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517" w:type="dxa"/>
            <w:vAlign w:val="center"/>
          </w:tcPr>
          <w:p w14:paraId="382A1BB0">
            <w:pPr>
              <w:spacing w:line="240" w:lineRule="auto"/>
              <w:jc w:val="center"/>
              <w:rPr>
                <w:rFonts w:hint="eastAsia" w:ascii="宋体" w:hAnsi="宋体" w:eastAsia="宋体" w:cs="宋体"/>
                <w:sz w:val="18"/>
                <w:szCs w:val="18"/>
              </w:rPr>
            </w:pPr>
          </w:p>
        </w:tc>
        <w:tc>
          <w:tcPr>
            <w:tcW w:w="1516" w:type="dxa"/>
            <w:vAlign w:val="center"/>
          </w:tcPr>
          <w:p w14:paraId="7752492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04F6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124D5ACB">
            <w:pPr>
              <w:spacing w:line="240" w:lineRule="auto"/>
              <w:jc w:val="center"/>
              <w:rPr>
                <w:rFonts w:hint="eastAsia" w:ascii="黑体" w:hAnsi="黑体" w:eastAsia="黑体" w:cs="黑体"/>
                <w:sz w:val="18"/>
                <w:szCs w:val="18"/>
              </w:rPr>
            </w:pPr>
            <w:r>
              <w:rPr>
                <w:rFonts w:hint="eastAsia" w:ascii="黑体" w:hAnsi="黑体" w:eastAsia="黑体" w:cs="黑体"/>
                <w:sz w:val="18"/>
                <w:szCs w:val="18"/>
              </w:rPr>
              <w:t>3</w:t>
            </w:r>
          </w:p>
        </w:tc>
        <w:tc>
          <w:tcPr>
            <w:tcW w:w="1787" w:type="dxa"/>
            <w:vAlign w:val="center"/>
          </w:tcPr>
          <w:p w14:paraId="0BCC384D">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5.5.3</w:t>
            </w:r>
          </w:p>
        </w:tc>
        <w:tc>
          <w:tcPr>
            <w:tcW w:w="1816" w:type="dxa"/>
            <w:vAlign w:val="center"/>
          </w:tcPr>
          <w:p w14:paraId="3EACB74F">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响应时间</w:t>
            </w:r>
          </w:p>
        </w:tc>
        <w:tc>
          <w:tcPr>
            <w:tcW w:w="1516" w:type="dxa"/>
            <w:vAlign w:val="center"/>
          </w:tcPr>
          <w:p w14:paraId="5B44C89A">
            <w:pPr>
              <w:spacing w:line="240" w:lineRule="auto"/>
              <w:jc w:val="center"/>
              <w:rPr>
                <w:rFonts w:hint="eastAsia" w:ascii="宋体" w:hAnsi="宋体" w:eastAsia="宋体" w:cs="宋体"/>
                <w:sz w:val="18"/>
                <w:szCs w:val="18"/>
              </w:rPr>
            </w:pPr>
          </w:p>
        </w:tc>
        <w:tc>
          <w:tcPr>
            <w:tcW w:w="1517" w:type="dxa"/>
            <w:vAlign w:val="center"/>
          </w:tcPr>
          <w:p w14:paraId="7BDC964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516" w:type="dxa"/>
            <w:vAlign w:val="center"/>
          </w:tcPr>
          <w:p w14:paraId="2622AD5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73D0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96F6BAE">
            <w:pPr>
              <w:spacing w:line="240" w:lineRule="auto"/>
              <w:jc w:val="center"/>
              <w:rPr>
                <w:rFonts w:hint="eastAsia" w:ascii="黑体" w:hAnsi="黑体" w:eastAsia="黑体" w:cs="黑体"/>
                <w:sz w:val="18"/>
                <w:szCs w:val="18"/>
              </w:rPr>
            </w:pPr>
            <w:r>
              <w:rPr>
                <w:rFonts w:hint="eastAsia" w:ascii="黑体" w:hAnsi="黑体" w:eastAsia="黑体" w:cs="黑体"/>
                <w:sz w:val="18"/>
                <w:szCs w:val="18"/>
              </w:rPr>
              <w:t>4</w:t>
            </w:r>
          </w:p>
        </w:tc>
        <w:tc>
          <w:tcPr>
            <w:tcW w:w="1787" w:type="dxa"/>
            <w:vAlign w:val="center"/>
          </w:tcPr>
          <w:p w14:paraId="550976CB">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5.5.4</w:t>
            </w:r>
          </w:p>
        </w:tc>
        <w:tc>
          <w:tcPr>
            <w:tcW w:w="1816" w:type="dxa"/>
            <w:vAlign w:val="center"/>
          </w:tcPr>
          <w:p w14:paraId="4124DA05">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外泄漏</w:t>
            </w:r>
          </w:p>
        </w:tc>
        <w:tc>
          <w:tcPr>
            <w:tcW w:w="1516" w:type="dxa"/>
            <w:vAlign w:val="center"/>
          </w:tcPr>
          <w:p w14:paraId="757A8E5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517" w:type="dxa"/>
            <w:vAlign w:val="center"/>
          </w:tcPr>
          <w:p w14:paraId="05DCA47D">
            <w:pPr>
              <w:spacing w:line="240" w:lineRule="auto"/>
              <w:jc w:val="center"/>
              <w:rPr>
                <w:rFonts w:hint="eastAsia" w:ascii="宋体" w:hAnsi="宋体" w:eastAsia="宋体" w:cs="宋体"/>
                <w:sz w:val="18"/>
                <w:szCs w:val="18"/>
              </w:rPr>
            </w:pPr>
          </w:p>
        </w:tc>
        <w:tc>
          <w:tcPr>
            <w:tcW w:w="1516" w:type="dxa"/>
            <w:vAlign w:val="center"/>
          </w:tcPr>
          <w:p w14:paraId="42AEEEA9">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0AB4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24665B11">
            <w:pPr>
              <w:spacing w:line="240" w:lineRule="auto"/>
              <w:jc w:val="center"/>
              <w:rPr>
                <w:rFonts w:hint="eastAsia" w:ascii="黑体" w:hAnsi="黑体" w:eastAsia="黑体" w:cs="黑体"/>
                <w:sz w:val="18"/>
                <w:szCs w:val="18"/>
              </w:rPr>
            </w:pPr>
            <w:r>
              <w:rPr>
                <w:rFonts w:hint="eastAsia" w:ascii="黑体" w:hAnsi="黑体" w:eastAsia="黑体" w:cs="黑体"/>
                <w:sz w:val="18"/>
                <w:szCs w:val="18"/>
              </w:rPr>
              <w:t>5</w:t>
            </w:r>
          </w:p>
        </w:tc>
        <w:tc>
          <w:tcPr>
            <w:tcW w:w="1787" w:type="dxa"/>
            <w:vAlign w:val="center"/>
          </w:tcPr>
          <w:p w14:paraId="226FB79A">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5.5.5</w:t>
            </w:r>
          </w:p>
        </w:tc>
        <w:tc>
          <w:tcPr>
            <w:tcW w:w="1816" w:type="dxa"/>
            <w:vAlign w:val="center"/>
          </w:tcPr>
          <w:p w14:paraId="0EBF0759">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清洁度</w:t>
            </w:r>
          </w:p>
        </w:tc>
        <w:tc>
          <w:tcPr>
            <w:tcW w:w="1516" w:type="dxa"/>
            <w:vAlign w:val="center"/>
          </w:tcPr>
          <w:p w14:paraId="5AC1BB3F">
            <w:pPr>
              <w:spacing w:line="240" w:lineRule="auto"/>
              <w:jc w:val="center"/>
              <w:rPr>
                <w:rFonts w:hint="eastAsia" w:ascii="宋体" w:hAnsi="宋体" w:eastAsia="宋体" w:cs="宋体"/>
                <w:sz w:val="18"/>
                <w:szCs w:val="18"/>
              </w:rPr>
            </w:pPr>
          </w:p>
        </w:tc>
        <w:tc>
          <w:tcPr>
            <w:tcW w:w="1517" w:type="dxa"/>
            <w:vAlign w:val="center"/>
          </w:tcPr>
          <w:p w14:paraId="46F26C1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c>
          <w:tcPr>
            <w:tcW w:w="1516" w:type="dxa"/>
            <w:vAlign w:val="center"/>
          </w:tcPr>
          <w:p w14:paraId="3BBC9C0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469B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0E4B9F91">
            <w:pPr>
              <w:spacing w:line="240" w:lineRule="auto"/>
              <w:jc w:val="center"/>
              <w:rPr>
                <w:rFonts w:hint="eastAsia" w:ascii="黑体" w:hAnsi="黑体" w:eastAsia="黑体" w:cs="黑体"/>
                <w:sz w:val="18"/>
                <w:szCs w:val="18"/>
              </w:rPr>
            </w:pPr>
            <w:r>
              <w:rPr>
                <w:rFonts w:hint="eastAsia" w:ascii="黑体" w:hAnsi="黑体" w:eastAsia="黑体" w:cs="黑体"/>
                <w:sz w:val="18"/>
                <w:szCs w:val="18"/>
              </w:rPr>
              <w:t>6</w:t>
            </w:r>
          </w:p>
        </w:tc>
        <w:tc>
          <w:tcPr>
            <w:tcW w:w="1787" w:type="dxa"/>
            <w:vAlign w:val="center"/>
          </w:tcPr>
          <w:p w14:paraId="18FE16A9">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5.5.6</w:t>
            </w:r>
          </w:p>
        </w:tc>
        <w:tc>
          <w:tcPr>
            <w:tcW w:w="1816" w:type="dxa"/>
            <w:vAlign w:val="center"/>
          </w:tcPr>
          <w:p w14:paraId="53ADDE96">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耐油压</w:t>
            </w:r>
          </w:p>
        </w:tc>
        <w:tc>
          <w:tcPr>
            <w:tcW w:w="1516" w:type="dxa"/>
            <w:vAlign w:val="center"/>
          </w:tcPr>
          <w:p w14:paraId="54EA2662">
            <w:pPr>
              <w:spacing w:line="240" w:lineRule="auto"/>
              <w:jc w:val="center"/>
              <w:rPr>
                <w:rFonts w:hint="eastAsia" w:ascii="宋体" w:hAnsi="宋体" w:eastAsia="宋体" w:cs="宋体"/>
                <w:sz w:val="18"/>
                <w:szCs w:val="18"/>
              </w:rPr>
            </w:pPr>
          </w:p>
        </w:tc>
        <w:tc>
          <w:tcPr>
            <w:tcW w:w="1517" w:type="dxa"/>
            <w:vAlign w:val="center"/>
          </w:tcPr>
          <w:p w14:paraId="499FADC8">
            <w:pPr>
              <w:spacing w:line="240" w:lineRule="auto"/>
              <w:jc w:val="center"/>
              <w:rPr>
                <w:rFonts w:hint="eastAsia" w:ascii="宋体" w:hAnsi="宋体" w:eastAsia="宋体" w:cs="宋体"/>
                <w:sz w:val="18"/>
                <w:szCs w:val="18"/>
              </w:rPr>
            </w:pPr>
          </w:p>
        </w:tc>
        <w:tc>
          <w:tcPr>
            <w:tcW w:w="1516" w:type="dxa"/>
            <w:vAlign w:val="center"/>
          </w:tcPr>
          <w:p w14:paraId="358E0873">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63FB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5379883B">
            <w:pPr>
              <w:spacing w:line="240" w:lineRule="auto"/>
              <w:jc w:val="center"/>
              <w:rPr>
                <w:rFonts w:hint="eastAsia" w:ascii="黑体" w:hAnsi="黑体" w:eastAsia="黑体" w:cs="黑体"/>
                <w:sz w:val="18"/>
                <w:szCs w:val="18"/>
              </w:rPr>
            </w:pPr>
            <w:r>
              <w:rPr>
                <w:rFonts w:hint="eastAsia" w:ascii="黑体" w:hAnsi="黑体" w:eastAsia="黑体" w:cs="黑体"/>
                <w:sz w:val="18"/>
                <w:szCs w:val="18"/>
              </w:rPr>
              <w:t>7</w:t>
            </w:r>
          </w:p>
        </w:tc>
        <w:tc>
          <w:tcPr>
            <w:tcW w:w="1787" w:type="dxa"/>
            <w:vAlign w:val="center"/>
          </w:tcPr>
          <w:p w14:paraId="3F79AC0D">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5.5.7</w:t>
            </w:r>
          </w:p>
        </w:tc>
        <w:tc>
          <w:tcPr>
            <w:tcW w:w="1816" w:type="dxa"/>
            <w:vAlign w:val="center"/>
          </w:tcPr>
          <w:p w14:paraId="3E198201">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抗污染</w:t>
            </w:r>
          </w:p>
        </w:tc>
        <w:tc>
          <w:tcPr>
            <w:tcW w:w="1516" w:type="dxa"/>
            <w:vAlign w:val="center"/>
          </w:tcPr>
          <w:p w14:paraId="5B265C1C">
            <w:pPr>
              <w:spacing w:line="240" w:lineRule="auto"/>
              <w:jc w:val="center"/>
              <w:rPr>
                <w:rFonts w:hint="eastAsia" w:ascii="宋体" w:hAnsi="宋体" w:eastAsia="宋体" w:cs="宋体"/>
                <w:sz w:val="18"/>
                <w:szCs w:val="18"/>
              </w:rPr>
            </w:pPr>
          </w:p>
        </w:tc>
        <w:tc>
          <w:tcPr>
            <w:tcW w:w="1517" w:type="dxa"/>
            <w:vAlign w:val="center"/>
          </w:tcPr>
          <w:p w14:paraId="2F243B68">
            <w:pPr>
              <w:spacing w:line="240" w:lineRule="auto"/>
              <w:jc w:val="center"/>
              <w:rPr>
                <w:rFonts w:hint="eastAsia" w:ascii="宋体" w:hAnsi="宋体" w:eastAsia="宋体" w:cs="宋体"/>
                <w:sz w:val="18"/>
                <w:szCs w:val="18"/>
              </w:rPr>
            </w:pPr>
          </w:p>
        </w:tc>
        <w:tc>
          <w:tcPr>
            <w:tcW w:w="1516" w:type="dxa"/>
            <w:vAlign w:val="center"/>
          </w:tcPr>
          <w:p w14:paraId="6A84C900">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52D4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397D9AFE">
            <w:pPr>
              <w:spacing w:line="240" w:lineRule="auto"/>
              <w:jc w:val="center"/>
              <w:rPr>
                <w:rFonts w:hint="eastAsia" w:ascii="黑体" w:hAnsi="黑体" w:eastAsia="黑体" w:cs="黑体"/>
                <w:sz w:val="18"/>
                <w:szCs w:val="18"/>
              </w:rPr>
            </w:pPr>
            <w:r>
              <w:rPr>
                <w:rFonts w:hint="eastAsia" w:ascii="黑体" w:hAnsi="黑体" w:eastAsia="黑体" w:cs="黑体"/>
                <w:sz w:val="18"/>
                <w:szCs w:val="18"/>
              </w:rPr>
              <w:t>8</w:t>
            </w:r>
          </w:p>
        </w:tc>
        <w:tc>
          <w:tcPr>
            <w:tcW w:w="1787" w:type="dxa"/>
            <w:vAlign w:val="center"/>
          </w:tcPr>
          <w:p w14:paraId="3B21CC61">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5.5.8</w:t>
            </w:r>
          </w:p>
        </w:tc>
        <w:tc>
          <w:tcPr>
            <w:tcW w:w="1816" w:type="dxa"/>
            <w:vAlign w:val="center"/>
          </w:tcPr>
          <w:p w14:paraId="6519AC9E">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抗振动</w:t>
            </w:r>
          </w:p>
        </w:tc>
        <w:tc>
          <w:tcPr>
            <w:tcW w:w="1516" w:type="dxa"/>
            <w:vAlign w:val="center"/>
          </w:tcPr>
          <w:p w14:paraId="64815431">
            <w:pPr>
              <w:spacing w:line="240" w:lineRule="auto"/>
              <w:jc w:val="center"/>
              <w:rPr>
                <w:rFonts w:hint="eastAsia" w:ascii="宋体" w:hAnsi="宋体" w:eastAsia="宋体" w:cs="宋体"/>
                <w:sz w:val="18"/>
                <w:szCs w:val="18"/>
              </w:rPr>
            </w:pPr>
          </w:p>
        </w:tc>
        <w:tc>
          <w:tcPr>
            <w:tcW w:w="1517" w:type="dxa"/>
            <w:vAlign w:val="center"/>
          </w:tcPr>
          <w:p w14:paraId="3839021E">
            <w:pPr>
              <w:spacing w:line="240" w:lineRule="auto"/>
              <w:jc w:val="center"/>
              <w:rPr>
                <w:rFonts w:hint="eastAsia" w:ascii="宋体" w:hAnsi="宋体" w:eastAsia="宋体" w:cs="宋体"/>
                <w:sz w:val="18"/>
                <w:szCs w:val="18"/>
              </w:rPr>
            </w:pPr>
          </w:p>
        </w:tc>
        <w:tc>
          <w:tcPr>
            <w:tcW w:w="1516" w:type="dxa"/>
            <w:vAlign w:val="center"/>
          </w:tcPr>
          <w:p w14:paraId="03185BD2">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4EC3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4D8F5EC9">
            <w:pPr>
              <w:spacing w:line="240" w:lineRule="auto"/>
              <w:jc w:val="center"/>
              <w:rPr>
                <w:rFonts w:hint="eastAsia" w:ascii="黑体" w:hAnsi="黑体" w:eastAsia="黑体" w:cs="黑体"/>
                <w:sz w:val="18"/>
                <w:szCs w:val="18"/>
              </w:rPr>
            </w:pPr>
            <w:r>
              <w:rPr>
                <w:rFonts w:hint="eastAsia" w:ascii="黑体" w:hAnsi="黑体" w:eastAsia="黑体" w:cs="黑体"/>
                <w:sz w:val="18"/>
                <w:szCs w:val="18"/>
              </w:rPr>
              <w:t>9</w:t>
            </w:r>
          </w:p>
        </w:tc>
        <w:tc>
          <w:tcPr>
            <w:tcW w:w="1787" w:type="dxa"/>
            <w:vAlign w:val="center"/>
          </w:tcPr>
          <w:p w14:paraId="28F0B391">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5.5.9</w:t>
            </w:r>
          </w:p>
        </w:tc>
        <w:tc>
          <w:tcPr>
            <w:tcW w:w="1816" w:type="dxa"/>
            <w:vAlign w:val="center"/>
          </w:tcPr>
          <w:p w14:paraId="6BE35E4F">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耐高低温冲击</w:t>
            </w:r>
          </w:p>
        </w:tc>
        <w:tc>
          <w:tcPr>
            <w:tcW w:w="1516" w:type="dxa"/>
            <w:vAlign w:val="center"/>
          </w:tcPr>
          <w:p w14:paraId="73BF2215">
            <w:pPr>
              <w:spacing w:line="240" w:lineRule="auto"/>
              <w:jc w:val="center"/>
              <w:rPr>
                <w:rFonts w:hint="eastAsia" w:ascii="宋体" w:hAnsi="宋体" w:eastAsia="宋体" w:cs="宋体"/>
                <w:sz w:val="18"/>
                <w:szCs w:val="18"/>
              </w:rPr>
            </w:pPr>
          </w:p>
        </w:tc>
        <w:tc>
          <w:tcPr>
            <w:tcW w:w="1517" w:type="dxa"/>
            <w:vAlign w:val="center"/>
          </w:tcPr>
          <w:p w14:paraId="6177565D">
            <w:pPr>
              <w:spacing w:line="240" w:lineRule="auto"/>
              <w:jc w:val="center"/>
              <w:rPr>
                <w:rFonts w:hint="eastAsia" w:ascii="宋体" w:hAnsi="宋体" w:eastAsia="宋体" w:cs="宋体"/>
                <w:sz w:val="18"/>
                <w:szCs w:val="18"/>
              </w:rPr>
            </w:pPr>
          </w:p>
        </w:tc>
        <w:tc>
          <w:tcPr>
            <w:tcW w:w="1516" w:type="dxa"/>
            <w:vAlign w:val="center"/>
          </w:tcPr>
          <w:p w14:paraId="089E8FF8">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0249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5D9A6295">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10</w:t>
            </w:r>
          </w:p>
        </w:tc>
        <w:tc>
          <w:tcPr>
            <w:tcW w:w="1787" w:type="dxa"/>
            <w:vAlign w:val="center"/>
          </w:tcPr>
          <w:p w14:paraId="4C723994">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5.5.10</w:t>
            </w:r>
          </w:p>
        </w:tc>
        <w:tc>
          <w:tcPr>
            <w:tcW w:w="1816" w:type="dxa"/>
            <w:vAlign w:val="center"/>
          </w:tcPr>
          <w:p w14:paraId="29AA9401">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耐腐蚀</w:t>
            </w:r>
          </w:p>
        </w:tc>
        <w:tc>
          <w:tcPr>
            <w:tcW w:w="1516" w:type="dxa"/>
            <w:vAlign w:val="center"/>
          </w:tcPr>
          <w:p w14:paraId="7C916714">
            <w:pPr>
              <w:spacing w:line="240" w:lineRule="auto"/>
              <w:jc w:val="center"/>
              <w:rPr>
                <w:rFonts w:hint="eastAsia" w:ascii="宋体" w:hAnsi="宋体" w:eastAsia="宋体" w:cs="宋体"/>
                <w:sz w:val="18"/>
                <w:szCs w:val="18"/>
              </w:rPr>
            </w:pPr>
          </w:p>
        </w:tc>
        <w:tc>
          <w:tcPr>
            <w:tcW w:w="1517" w:type="dxa"/>
            <w:vAlign w:val="center"/>
          </w:tcPr>
          <w:p w14:paraId="151D737C">
            <w:pPr>
              <w:spacing w:line="240" w:lineRule="auto"/>
              <w:jc w:val="center"/>
              <w:rPr>
                <w:rFonts w:hint="eastAsia" w:ascii="宋体" w:hAnsi="宋体" w:eastAsia="宋体" w:cs="宋体"/>
                <w:sz w:val="18"/>
                <w:szCs w:val="18"/>
              </w:rPr>
            </w:pPr>
          </w:p>
        </w:tc>
        <w:tc>
          <w:tcPr>
            <w:tcW w:w="1516" w:type="dxa"/>
            <w:vAlign w:val="center"/>
          </w:tcPr>
          <w:p w14:paraId="48658F0F">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03A6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27AC500A">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11</w:t>
            </w:r>
          </w:p>
        </w:tc>
        <w:tc>
          <w:tcPr>
            <w:tcW w:w="1787" w:type="dxa"/>
            <w:vAlign w:val="center"/>
          </w:tcPr>
          <w:p w14:paraId="073ED892">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5.5.11</w:t>
            </w:r>
          </w:p>
        </w:tc>
        <w:tc>
          <w:tcPr>
            <w:tcW w:w="1816" w:type="dxa"/>
            <w:vAlign w:val="center"/>
          </w:tcPr>
          <w:p w14:paraId="1FAEC123">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耐久性</w:t>
            </w:r>
          </w:p>
        </w:tc>
        <w:tc>
          <w:tcPr>
            <w:tcW w:w="1516" w:type="dxa"/>
            <w:vAlign w:val="center"/>
          </w:tcPr>
          <w:p w14:paraId="5A1004F7">
            <w:pPr>
              <w:spacing w:line="240" w:lineRule="auto"/>
              <w:jc w:val="center"/>
              <w:rPr>
                <w:rFonts w:hint="eastAsia" w:ascii="宋体" w:hAnsi="宋体" w:eastAsia="宋体" w:cs="宋体"/>
                <w:sz w:val="18"/>
                <w:szCs w:val="18"/>
              </w:rPr>
            </w:pPr>
          </w:p>
        </w:tc>
        <w:tc>
          <w:tcPr>
            <w:tcW w:w="1517" w:type="dxa"/>
            <w:vAlign w:val="center"/>
          </w:tcPr>
          <w:p w14:paraId="6F1EF629">
            <w:pPr>
              <w:spacing w:line="240" w:lineRule="auto"/>
              <w:jc w:val="center"/>
              <w:rPr>
                <w:rFonts w:hint="eastAsia" w:ascii="宋体" w:hAnsi="宋体" w:eastAsia="宋体" w:cs="宋体"/>
                <w:sz w:val="18"/>
                <w:szCs w:val="18"/>
              </w:rPr>
            </w:pPr>
          </w:p>
        </w:tc>
        <w:tc>
          <w:tcPr>
            <w:tcW w:w="1516" w:type="dxa"/>
            <w:vAlign w:val="center"/>
          </w:tcPr>
          <w:p w14:paraId="4D04528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4F900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50930D2">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12</w:t>
            </w:r>
          </w:p>
        </w:tc>
        <w:tc>
          <w:tcPr>
            <w:tcW w:w="1787" w:type="dxa"/>
            <w:vAlign w:val="center"/>
          </w:tcPr>
          <w:p w14:paraId="2C80410D">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5.5.12</w:t>
            </w:r>
          </w:p>
        </w:tc>
        <w:tc>
          <w:tcPr>
            <w:tcW w:w="1816" w:type="dxa"/>
            <w:vAlign w:val="center"/>
          </w:tcPr>
          <w:p w14:paraId="1DA4C364">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接插件耦合力</w:t>
            </w:r>
          </w:p>
        </w:tc>
        <w:tc>
          <w:tcPr>
            <w:tcW w:w="1516" w:type="dxa"/>
            <w:vAlign w:val="center"/>
          </w:tcPr>
          <w:p w14:paraId="3813F46C">
            <w:pPr>
              <w:spacing w:line="240" w:lineRule="auto"/>
              <w:jc w:val="center"/>
              <w:rPr>
                <w:rFonts w:hint="eastAsia" w:ascii="宋体" w:hAnsi="宋体" w:eastAsia="宋体" w:cs="宋体"/>
                <w:sz w:val="18"/>
                <w:szCs w:val="18"/>
              </w:rPr>
            </w:pPr>
          </w:p>
        </w:tc>
        <w:tc>
          <w:tcPr>
            <w:tcW w:w="1517" w:type="dxa"/>
            <w:vAlign w:val="center"/>
          </w:tcPr>
          <w:p w14:paraId="01C563DA">
            <w:pPr>
              <w:spacing w:line="240" w:lineRule="auto"/>
              <w:jc w:val="center"/>
              <w:rPr>
                <w:rFonts w:hint="eastAsia" w:ascii="宋体" w:hAnsi="宋体" w:eastAsia="宋体" w:cs="宋体"/>
                <w:sz w:val="18"/>
                <w:szCs w:val="18"/>
              </w:rPr>
            </w:pPr>
          </w:p>
        </w:tc>
        <w:tc>
          <w:tcPr>
            <w:tcW w:w="1516" w:type="dxa"/>
            <w:vAlign w:val="center"/>
          </w:tcPr>
          <w:p w14:paraId="6DD267B4">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5A9C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5A07C01A">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13</w:t>
            </w:r>
          </w:p>
        </w:tc>
        <w:tc>
          <w:tcPr>
            <w:tcW w:w="1787" w:type="dxa"/>
            <w:vAlign w:val="center"/>
          </w:tcPr>
          <w:p w14:paraId="2308E927">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5.5.13</w:t>
            </w:r>
          </w:p>
        </w:tc>
        <w:tc>
          <w:tcPr>
            <w:tcW w:w="1816" w:type="dxa"/>
            <w:vAlign w:val="center"/>
          </w:tcPr>
          <w:p w14:paraId="14FF738F">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接插件耐水性</w:t>
            </w:r>
          </w:p>
        </w:tc>
        <w:tc>
          <w:tcPr>
            <w:tcW w:w="1516" w:type="dxa"/>
            <w:vAlign w:val="center"/>
          </w:tcPr>
          <w:p w14:paraId="7A3540FF">
            <w:pPr>
              <w:spacing w:line="240" w:lineRule="auto"/>
              <w:jc w:val="center"/>
              <w:rPr>
                <w:rFonts w:hint="eastAsia" w:ascii="宋体" w:hAnsi="宋体" w:eastAsia="宋体" w:cs="宋体"/>
                <w:sz w:val="18"/>
                <w:szCs w:val="18"/>
              </w:rPr>
            </w:pPr>
          </w:p>
        </w:tc>
        <w:tc>
          <w:tcPr>
            <w:tcW w:w="1517" w:type="dxa"/>
            <w:vAlign w:val="center"/>
          </w:tcPr>
          <w:p w14:paraId="2037E575">
            <w:pPr>
              <w:spacing w:line="240" w:lineRule="auto"/>
              <w:jc w:val="center"/>
              <w:rPr>
                <w:rFonts w:hint="eastAsia" w:ascii="宋体" w:hAnsi="宋体" w:eastAsia="宋体" w:cs="宋体"/>
                <w:sz w:val="18"/>
                <w:szCs w:val="18"/>
              </w:rPr>
            </w:pPr>
          </w:p>
        </w:tc>
        <w:tc>
          <w:tcPr>
            <w:tcW w:w="1516" w:type="dxa"/>
            <w:vAlign w:val="center"/>
          </w:tcPr>
          <w:p w14:paraId="14E95D8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50DD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3CE57E1">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14</w:t>
            </w:r>
          </w:p>
        </w:tc>
        <w:tc>
          <w:tcPr>
            <w:tcW w:w="1787" w:type="dxa"/>
            <w:vAlign w:val="center"/>
          </w:tcPr>
          <w:p w14:paraId="539BEA83">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5.5.14</w:t>
            </w:r>
          </w:p>
        </w:tc>
        <w:tc>
          <w:tcPr>
            <w:tcW w:w="1816" w:type="dxa"/>
            <w:vAlign w:val="center"/>
          </w:tcPr>
          <w:p w14:paraId="35641E1B">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耐电压短时异常</w:t>
            </w:r>
          </w:p>
        </w:tc>
        <w:tc>
          <w:tcPr>
            <w:tcW w:w="1516" w:type="dxa"/>
            <w:vAlign w:val="center"/>
          </w:tcPr>
          <w:p w14:paraId="5DB9E493">
            <w:pPr>
              <w:spacing w:line="240" w:lineRule="auto"/>
              <w:jc w:val="center"/>
              <w:rPr>
                <w:rFonts w:hint="eastAsia" w:ascii="宋体" w:hAnsi="宋体" w:eastAsia="宋体" w:cs="宋体"/>
                <w:sz w:val="18"/>
                <w:szCs w:val="18"/>
              </w:rPr>
            </w:pPr>
          </w:p>
        </w:tc>
        <w:tc>
          <w:tcPr>
            <w:tcW w:w="1517" w:type="dxa"/>
            <w:vAlign w:val="center"/>
          </w:tcPr>
          <w:p w14:paraId="7FA84FC0">
            <w:pPr>
              <w:spacing w:line="240" w:lineRule="auto"/>
              <w:jc w:val="center"/>
              <w:rPr>
                <w:rFonts w:hint="eastAsia" w:ascii="宋体" w:hAnsi="宋体" w:eastAsia="宋体" w:cs="宋体"/>
                <w:sz w:val="18"/>
                <w:szCs w:val="18"/>
              </w:rPr>
            </w:pPr>
          </w:p>
        </w:tc>
        <w:tc>
          <w:tcPr>
            <w:tcW w:w="1516" w:type="dxa"/>
            <w:vAlign w:val="center"/>
          </w:tcPr>
          <w:p w14:paraId="747AF09A">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6CE3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30DC48B2">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15</w:t>
            </w:r>
          </w:p>
        </w:tc>
        <w:tc>
          <w:tcPr>
            <w:tcW w:w="1787" w:type="dxa"/>
            <w:vAlign w:val="center"/>
          </w:tcPr>
          <w:p w14:paraId="666C5D9D">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5.5.15</w:t>
            </w:r>
          </w:p>
        </w:tc>
        <w:tc>
          <w:tcPr>
            <w:tcW w:w="1816" w:type="dxa"/>
            <w:vAlign w:val="center"/>
          </w:tcPr>
          <w:p w14:paraId="24AE73EF">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耐电压持续异常</w:t>
            </w:r>
          </w:p>
        </w:tc>
        <w:tc>
          <w:tcPr>
            <w:tcW w:w="1516" w:type="dxa"/>
            <w:vAlign w:val="center"/>
          </w:tcPr>
          <w:p w14:paraId="39F13DE7">
            <w:pPr>
              <w:spacing w:line="240" w:lineRule="auto"/>
              <w:jc w:val="center"/>
              <w:rPr>
                <w:rFonts w:hint="eastAsia" w:ascii="宋体" w:hAnsi="宋体" w:eastAsia="宋体" w:cs="宋体"/>
                <w:sz w:val="18"/>
                <w:szCs w:val="18"/>
              </w:rPr>
            </w:pPr>
          </w:p>
        </w:tc>
        <w:tc>
          <w:tcPr>
            <w:tcW w:w="1517" w:type="dxa"/>
            <w:vAlign w:val="center"/>
          </w:tcPr>
          <w:p w14:paraId="6ADCDA63">
            <w:pPr>
              <w:spacing w:line="240" w:lineRule="auto"/>
              <w:jc w:val="center"/>
              <w:rPr>
                <w:rFonts w:hint="eastAsia" w:ascii="宋体" w:hAnsi="宋体" w:eastAsia="宋体" w:cs="宋体"/>
                <w:sz w:val="18"/>
                <w:szCs w:val="18"/>
              </w:rPr>
            </w:pPr>
          </w:p>
        </w:tc>
        <w:tc>
          <w:tcPr>
            <w:tcW w:w="1516" w:type="dxa"/>
            <w:vAlign w:val="center"/>
          </w:tcPr>
          <w:p w14:paraId="66252D87">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19FE8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6" w:type="dxa"/>
            <w:vAlign w:val="center"/>
          </w:tcPr>
          <w:p w14:paraId="6ACCADC5">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16</w:t>
            </w:r>
          </w:p>
        </w:tc>
        <w:tc>
          <w:tcPr>
            <w:tcW w:w="1787" w:type="dxa"/>
            <w:vAlign w:val="center"/>
          </w:tcPr>
          <w:p w14:paraId="35617921">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5.5.16</w:t>
            </w:r>
          </w:p>
        </w:tc>
        <w:tc>
          <w:tcPr>
            <w:tcW w:w="1816" w:type="dxa"/>
            <w:vAlign w:val="center"/>
          </w:tcPr>
          <w:p w14:paraId="56BE346E">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电磁兼容性（EMC）</w:t>
            </w:r>
          </w:p>
        </w:tc>
        <w:tc>
          <w:tcPr>
            <w:tcW w:w="1516" w:type="dxa"/>
            <w:vAlign w:val="center"/>
          </w:tcPr>
          <w:p w14:paraId="38839E98">
            <w:pPr>
              <w:spacing w:line="240" w:lineRule="auto"/>
              <w:jc w:val="center"/>
              <w:rPr>
                <w:rFonts w:hint="eastAsia" w:ascii="宋体" w:hAnsi="宋体" w:eastAsia="宋体" w:cs="宋体"/>
                <w:sz w:val="18"/>
                <w:szCs w:val="18"/>
              </w:rPr>
            </w:pPr>
          </w:p>
        </w:tc>
        <w:tc>
          <w:tcPr>
            <w:tcW w:w="1517" w:type="dxa"/>
            <w:vAlign w:val="center"/>
          </w:tcPr>
          <w:p w14:paraId="6EEA1783">
            <w:pPr>
              <w:spacing w:line="240" w:lineRule="auto"/>
              <w:jc w:val="center"/>
              <w:rPr>
                <w:rFonts w:hint="eastAsia" w:ascii="宋体" w:hAnsi="宋体" w:eastAsia="宋体" w:cs="宋体"/>
                <w:sz w:val="18"/>
                <w:szCs w:val="18"/>
              </w:rPr>
            </w:pPr>
          </w:p>
        </w:tc>
        <w:tc>
          <w:tcPr>
            <w:tcW w:w="1516" w:type="dxa"/>
            <w:vAlign w:val="center"/>
          </w:tcPr>
          <w:p w14:paraId="23AE69D1">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r w14:paraId="78ED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46" w:type="dxa"/>
            <w:vAlign w:val="center"/>
          </w:tcPr>
          <w:p w14:paraId="3AE83EFF">
            <w:pPr>
              <w:spacing w:line="240" w:lineRule="auto"/>
              <w:jc w:val="center"/>
              <w:rPr>
                <w:rFonts w:hint="eastAsia" w:ascii="黑体" w:hAnsi="黑体" w:eastAsia="黑体" w:cs="黑体"/>
                <w:sz w:val="18"/>
                <w:szCs w:val="18"/>
              </w:rPr>
            </w:pPr>
            <w:r>
              <w:rPr>
                <w:rFonts w:hint="eastAsia" w:ascii="黑体" w:hAnsi="黑体" w:eastAsia="黑体" w:cs="黑体"/>
                <w:sz w:val="18"/>
                <w:szCs w:val="18"/>
              </w:rPr>
              <w:t>17</w:t>
            </w:r>
          </w:p>
        </w:tc>
        <w:tc>
          <w:tcPr>
            <w:tcW w:w="1787" w:type="dxa"/>
            <w:vAlign w:val="center"/>
          </w:tcPr>
          <w:p w14:paraId="365C16CC">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5.5.17</w:t>
            </w:r>
          </w:p>
        </w:tc>
        <w:tc>
          <w:tcPr>
            <w:tcW w:w="1816" w:type="dxa"/>
            <w:vAlign w:val="center"/>
          </w:tcPr>
          <w:p w14:paraId="327227C8">
            <w:pPr>
              <w:spacing w:line="240" w:lineRule="auto"/>
              <w:jc w:val="center"/>
              <w:rPr>
                <w:rFonts w:hint="eastAsia" w:ascii="黑体" w:hAnsi="黑体" w:eastAsia="黑体" w:cs="黑体"/>
                <w:color w:val="auto"/>
                <w:sz w:val="18"/>
                <w:szCs w:val="18"/>
              </w:rPr>
            </w:pPr>
            <w:r>
              <w:rPr>
                <w:rFonts w:hint="eastAsia" w:ascii="黑体" w:hAnsi="黑体" w:eastAsia="黑体" w:cs="黑体"/>
                <w:color w:val="auto"/>
                <w:sz w:val="18"/>
                <w:szCs w:val="18"/>
              </w:rPr>
              <w:t>外壳防护等级</w:t>
            </w:r>
          </w:p>
        </w:tc>
        <w:tc>
          <w:tcPr>
            <w:tcW w:w="1516" w:type="dxa"/>
            <w:vAlign w:val="center"/>
          </w:tcPr>
          <w:p w14:paraId="042DCB40">
            <w:pPr>
              <w:spacing w:line="240" w:lineRule="auto"/>
              <w:jc w:val="center"/>
              <w:rPr>
                <w:rFonts w:hint="eastAsia" w:ascii="宋体" w:hAnsi="宋体" w:eastAsia="宋体" w:cs="宋体"/>
                <w:sz w:val="18"/>
                <w:szCs w:val="18"/>
              </w:rPr>
            </w:pPr>
          </w:p>
        </w:tc>
        <w:tc>
          <w:tcPr>
            <w:tcW w:w="1517" w:type="dxa"/>
            <w:vAlign w:val="center"/>
          </w:tcPr>
          <w:p w14:paraId="7BAD1323">
            <w:pPr>
              <w:spacing w:line="240" w:lineRule="auto"/>
              <w:jc w:val="center"/>
              <w:rPr>
                <w:rFonts w:hint="eastAsia" w:ascii="宋体" w:hAnsi="宋体" w:eastAsia="宋体" w:cs="宋体"/>
                <w:sz w:val="18"/>
                <w:szCs w:val="18"/>
              </w:rPr>
            </w:pPr>
          </w:p>
        </w:tc>
        <w:tc>
          <w:tcPr>
            <w:tcW w:w="1516" w:type="dxa"/>
            <w:vAlign w:val="center"/>
          </w:tcPr>
          <w:p w14:paraId="2508AE5D">
            <w:pPr>
              <w:spacing w:line="240" w:lineRule="auto"/>
              <w:jc w:val="center"/>
              <w:rPr>
                <w:rFonts w:hint="eastAsia" w:ascii="宋体" w:hAnsi="宋体" w:eastAsia="宋体" w:cs="宋体"/>
                <w:sz w:val="18"/>
                <w:szCs w:val="18"/>
              </w:rPr>
            </w:pPr>
            <w:r>
              <w:rPr>
                <w:rFonts w:hint="eastAsia" w:ascii="宋体" w:hAnsi="宋体" w:eastAsia="宋体" w:cs="宋体"/>
                <w:sz w:val="18"/>
                <w:szCs w:val="18"/>
              </w:rPr>
              <w:t>○</w:t>
            </w:r>
          </w:p>
        </w:tc>
      </w:tr>
    </w:tbl>
    <w:p w14:paraId="71FA8BF2">
      <w:pPr>
        <w:pStyle w:val="260"/>
        <w:bidi w:val="0"/>
      </w:pPr>
      <w:r>
        <w:rPr>
          <w:rFonts w:hint="eastAsia"/>
        </w:rPr>
        <w:t>出厂检验</w:t>
      </w:r>
    </w:p>
    <w:p w14:paraId="5D5EA534">
      <w:pPr>
        <w:pStyle w:val="258"/>
        <w:bidi w:val="0"/>
      </w:pPr>
      <w:r>
        <w:rPr>
          <w:rFonts w:hint="eastAsia"/>
        </w:rPr>
        <w:t>出厂检验的全检项目必须100%合格。产品出厂抽检项目的检验频次为不少于3件/每次，每班(8h)抽检频次不低于2次。如果出厂抽检有一个项目不合格时，必须采用每项全检方式直至挑选合格产品。产品出厂检验合格后，附有产品合格证或合格报告方可出厂。</w:t>
      </w:r>
    </w:p>
    <w:p w14:paraId="557AFFE6">
      <w:pPr>
        <w:pStyle w:val="260"/>
        <w:bidi w:val="0"/>
      </w:pPr>
      <w:r>
        <w:rPr>
          <w:rFonts w:hint="eastAsia"/>
        </w:rPr>
        <w:t>型式试验</w:t>
      </w:r>
    </w:p>
    <w:p w14:paraId="4323EDDA">
      <w:pPr>
        <w:pStyle w:val="327"/>
        <w:bidi w:val="0"/>
        <w:rPr>
          <w:rFonts w:hint="eastAsia"/>
        </w:rPr>
      </w:pPr>
      <w:r>
        <w:rPr>
          <w:rFonts w:hint="eastAsia"/>
        </w:rPr>
        <w:t>型式试验在下列情况之一时进行</w:t>
      </w:r>
      <w:r>
        <w:rPr>
          <w:rFonts w:hint="eastAsia"/>
          <w:lang w:eastAsia="zh-CN"/>
        </w:rPr>
        <w:t>：</w:t>
      </w:r>
    </w:p>
    <w:p w14:paraId="6AC060F4">
      <w:pPr>
        <w:pStyle w:val="305"/>
        <w:numPr>
          <w:ilvl w:val="0"/>
          <w:numId w:val="44"/>
        </w:numPr>
        <w:bidi w:val="0"/>
        <w:ind w:left="839" w:leftChars="0" w:hanging="419" w:firstLineChars="0"/>
        <w:rPr>
          <w:rFonts w:ascii="宋体" w:hAnsi="宋体" w:cs="宋体"/>
        </w:rPr>
      </w:pPr>
      <w:r>
        <w:rPr>
          <w:rFonts w:hint="eastAsia"/>
        </w:rPr>
        <w:t>新产品试制定型时</w:t>
      </w:r>
      <w:r>
        <w:rPr>
          <w:rFonts w:hint="eastAsia"/>
          <w:lang w:eastAsia="zh-CN"/>
        </w:rPr>
        <w:t>；</w:t>
      </w:r>
    </w:p>
    <w:p w14:paraId="36F0CC1F">
      <w:pPr>
        <w:pStyle w:val="305"/>
        <w:numPr>
          <w:ilvl w:val="0"/>
          <w:numId w:val="44"/>
        </w:numPr>
        <w:bidi w:val="0"/>
        <w:ind w:left="839" w:leftChars="0" w:hanging="419" w:firstLineChars="0"/>
        <w:rPr>
          <w:rFonts w:ascii="宋体" w:hAnsi="宋体" w:cs="宋体"/>
        </w:rPr>
      </w:pPr>
      <w:r>
        <w:rPr>
          <w:rFonts w:hint="eastAsia" w:ascii="宋体" w:hAnsi="宋体" w:cs="宋体"/>
        </w:rPr>
        <w:t>正式生产后，在结构、材料、工艺等方面有重大改变时</w:t>
      </w:r>
      <w:r>
        <w:rPr>
          <w:rFonts w:hint="eastAsia" w:hAnsi="宋体" w:cs="宋体"/>
          <w:lang w:eastAsia="zh-CN"/>
        </w:rPr>
        <w:t>；</w:t>
      </w:r>
    </w:p>
    <w:p w14:paraId="391A5B4F">
      <w:pPr>
        <w:pStyle w:val="305"/>
        <w:numPr>
          <w:ilvl w:val="0"/>
          <w:numId w:val="44"/>
        </w:numPr>
        <w:bidi w:val="0"/>
        <w:ind w:left="839" w:leftChars="0" w:hanging="419" w:firstLineChars="0"/>
        <w:rPr>
          <w:rFonts w:ascii="宋体" w:hAnsi="宋体" w:cs="宋体"/>
        </w:rPr>
      </w:pPr>
      <w:r>
        <w:rPr>
          <w:rFonts w:hint="eastAsia" w:ascii="宋体" w:hAnsi="宋体" w:cs="宋体"/>
        </w:rPr>
        <w:t>正式生产时，每两年不少于一次</w:t>
      </w:r>
      <w:r>
        <w:rPr>
          <w:rFonts w:hint="eastAsia" w:hAnsi="宋体" w:cs="宋体"/>
          <w:lang w:eastAsia="zh-CN"/>
        </w:rPr>
        <w:t>；</w:t>
      </w:r>
    </w:p>
    <w:p w14:paraId="7471520A">
      <w:pPr>
        <w:pStyle w:val="305"/>
        <w:numPr>
          <w:ilvl w:val="0"/>
          <w:numId w:val="44"/>
        </w:numPr>
        <w:bidi w:val="0"/>
        <w:ind w:left="839" w:leftChars="0" w:hanging="419" w:firstLineChars="0"/>
        <w:rPr>
          <w:rFonts w:ascii="宋体" w:hAnsi="宋体" w:cs="宋体"/>
        </w:rPr>
      </w:pPr>
      <w:r>
        <w:rPr>
          <w:rFonts w:hint="eastAsia" w:ascii="宋体" w:hAnsi="宋体" w:cs="宋体"/>
        </w:rPr>
        <w:t>产品停产一年以上恢复生产时</w:t>
      </w:r>
      <w:r>
        <w:rPr>
          <w:rFonts w:hint="eastAsia" w:hAnsi="宋体" w:cs="宋体"/>
          <w:lang w:eastAsia="zh-CN"/>
        </w:rPr>
        <w:t>；</w:t>
      </w:r>
    </w:p>
    <w:p w14:paraId="24356954">
      <w:pPr>
        <w:pStyle w:val="305"/>
        <w:numPr>
          <w:ilvl w:val="0"/>
          <w:numId w:val="44"/>
        </w:numPr>
        <w:bidi w:val="0"/>
        <w:ind w:left="839" w:leftChars="0" w:hanging="419" w:firstLineChars="0"/>
        <w:rPr>
          <w:rFonts w:ascii="宋体" w:hAnsi="宋体" w:cs="宋体"/>
        </w:rPr>
      </w:pPr>
      <w:r>
        <w:rPr>
          <w:rFonts w:hint="eastAsia" w:ascii="宋体" w:hAnsi="宋体" w:cs="宋体"/>
        </w:rPr>
        <w:t>出厂检查结果与上次型式试验结果有较大差异时</w:t>
      </w:r>
      <w:r>
        <w:rPr>
          <w:rFonts w:hint="eastAsia" w:hAnsi="宋体" w:cs="宋体"/>
          <w:lang w:eastAsia="zh-CN"/>
        </w:rPr>
        <w:t>；</w:t>
      </w:r>
    </w:p>
    <w:p w14:paraId="5B67BA34">
      <w:pPr>
        <w:pStyle w:val="305"/>
        <w:numPr>
          <w:ilvl w:val="0"/>
          <w:numId w:val="44"/>
        </w:numPr>
        <w:bidi w:val="0"/>
        <w:ind w:left="839" w:leftChars="0" w:hanging="419" w:firstLineChars="0"/>
        <w:rPr>
          <w:rFonts w:ascii="宋体" w:hAnsi="宋体" w:cs="宋体"/>
        </w:rPr>
      </w:pPr>
      <w:r>
        <w:rPr>
          <w:rFonts w:hint="eastAsia" w:ascii="宋体" w:hAnsi="宋体" w:cs="宋体"/>
        </w:rPr>
        <w:t>客户或国家质量监督部门提出要求时。</w:t>
      </w:r>
    </w:p>
    <w:p w14:paraId="449C5741">
      <w:pPr>
        <w:pStyle w:val="261"/>
        <w:bidi w:val="0"/>
      </w:pPr>
      <w:r>
        <w:rPr>
          <w:rFonts w:hint="eastAsia"/>
        </w:rPr>
        <w:t>抽样规则</w:t>
      </w:r>
    </w:p>
    <w:p w14:paraId="5C6AA7C3">
      <w:pPr>
        <w:pStyle w:val="258"/>
        <w:bidi w:val="0"/>
      </w:pPr>
      <w:r>
        <w:rPr>
          <w:rFonts w:hint="eastAsia"/>
        </w:rPr>
        <w:t>产品的型式试验应从出厂检验合格的产品中随机抽取。抽样方案见表5，样本数应大于样件数10倍。如型式试验有一个项目不合格时，允许加倍抽取样件，重新检验该项目，如仍有不合格件，判定产品型式试验为不合格。如果加倍重新检验全部合格，则可判定产品合格。</w:t>
      </w:r>
    </w:p>
    <w:p w14:paraId="47A52A27">
      <w:pPr>
        <w:pStyle w:val="301"/>
        <w:bidi w:val="0"/>
      </w:pPr>
      <w:r>
        <w:rPr>
          <w:rFonts w:hint="eastAsia"/>
        </w:rPr>
        <w:t>型式试验抽样表</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7575"/>
      </w:tblGrid>
      <w:tr w14:paraId="0656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27ACF3BF">
            <w:pPr>
              <w:spacing w:line="240" w:lineRule="auto"/>
              <w:jc w:val="center"/>
              <w:rPr>
                <w:rFonts w:ascii="黑体" w:hAnsi="黑体" w:eastAsia="黑体" w:cs="黑体"/>
                <w:sz w:val="18"/>
                <w:szCs w:val="18"/>
              </w:rPr>
            </w:pPr>
            <w:r>
              <w:rPr>
                <w:rFonts w:hint="eastAsia" w:ascii="黑体" w:hAnsi="黑体" w:eastAsia="黑体" w:cs="黑体"/>
                <w:sz w:val="18"/>
                <w:szCs w:val="18"/>
              </w:rPr>
              <w:t>抽样编号</w:t>
            </w:r>
          </w:p>
        </w:tc>
        <w:tc>
          <w:tcPr>
            <w:tcW w:w="7575" w:type="dxa"/>
            <w:vAlign w:val="center"/>
          </w:tcPr>
          <w:p w14:paraId="08C913ED">
            <w:pPr>
              <w:spacing w:line="240" w:lineRule="auto"/>
              <w:jc w:val="center"/>
              <w:rPr>
                <w:rFonts w:ascii="黑体" w:hAnsi="黑体" w:eastAsia="黑体" w:cs="黑体"/>
                <w:sz w:val="18"/>
                <w:szCs w:val="18"/>
              </w:rPr>
            </w:pPr>
            <w:r>
              <w:rPr>
                <w:rFonts w:hint="eastAsia" w:ascii="黑体" w:hAnsi="黑体" w:eastAsia="黑体" w:cs="黑体"/>
                <w:sz w:val="18"/>
                <w:szCs w:val="18"/>
              </w:rPr>
              <w:t>试验项目（标准条款）</w:t>
            </w:r>
          </w:p>
        </w:tc>
      </w:tr>
      <w:tr w14:paraId="6CA2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79AE3141">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1#～3#</w:t>
            </w:r>
          </w:p>
        </w:tc>
        <w:tc>
          <w:tcPr>
            <w:tcW w:w="7575" w:type="dxa"/>
            <w:vAlign w:val="center"/>
          </w:tcPr>
          <w:p w14:paraId="553151E1">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5.5.1、5.5.2、5.5.3、5.5.4、5.5.16</w:t>
            </w:r>
          </w:p>
        </w:tc>
      </w:tr>
      <w:tr w14:paraId="4AC2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40FCE1D0">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4#～6#</w:t>
            </w:r>
          </w:p>
        </w:tc>
        <w:tc>
          <w:tcPr>
            <w:tcW w:w="7575" w:type="dxa"/>
            <w:vAlign w:val="center"/>
          </w:tcPr>
          <w:p w14:paraId="44808F9C">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5.5.5、5.5.1、5.5.2、5.5.3、5.5.4、5.5.6</w:t>
            </w:r>
          </w:p>
        </w:tc>
      </w:tr>
      <w:tr w14:paraId="05EE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1509ED92">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7#</w:t>
            </w:r>
          </w:p>
        </w:tc>
        <w:tc>
          <w:tcPr>
            <w:tcW w:w="7575" w:type="dxa"/>
            <w:vAlign w:val="center"/>
          </w:tcPr>
          <w:p w14:paraId="6309DE9C">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5.5.1、5.5.2、5.5.3、5.5.4、5.5.7</w:t>
            </w:r>
          </w:p>
        </w:tc>
      </w:tr>
      <w:tr w14:paraId="71FA0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08F43875">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8#～10#</w:t>
            </w:r>
          </w:p>
        </w:tc>
        <w:tc>
          <w:tcPr>
            <w:tcW w:w="7575" w:type="dxa"/>
            <w:vAlign w:val="center"/>
          </w:tcPr>
          <w:p w14:paraId="037C3FD9">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5.5.1、5.5.2、5.5.3、5.5.4、5.5.8</w:t>
            </w:r>
          </w:p>
        </w:tc>
      </w:tr>
      <w:tr w14:paraId="4D05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624" w:type="dxa"/>
            <w:vAlign w:val="center"/>
          </w:tcPr>
          <w:p w14:paraId="007AF578">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11#～13#</w:t>
            </w:r>
          </w:p>
        </w:tc>
        <w:tc>
          <w:tcPr>
            <w:tcW w:w="7575" w:type="dxa"/>
            <w:vAlign w:val="center"/>
          </w:tcPr>
          <w:p w14:paraId="534572CA">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5.5.1、5.5.2、5.5.3、5.5.4、5.5.9</w:t>
            </w:r>
          </w:p>
        </w:tc>
      </w:tr>
      <w:tr w14:paraId="4DBF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0F372404">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14#</w:t>
            </w:r>
          </w:p>
        </w:tc>
        <w:tc>
          <w:tcPr>
            <w:tcW w:w="7575" w:type="dxa"/>
            <w:vAlign w:val="center"/>
          </w:tcPr>
          <w:p w14:paraId="696AD828">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5.5.13、5.5.12、5.5.10</w:t>
            </w:r>
          </w:p>
        </w:tc>
      </w:tr>
      <w:tr w14:paraId="33D2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624" w:type="dxa"/>
            <w:vAlign w:val="center"/>
          </w:tcPr>
          <w:p w14:paraId="5883AB82">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15#</w:t>
            </w:r>
          </w:p>
        </w:tc>
        <w:tc>
          <w:tcPr>
            <w:tcW w:w="7575" w:type="dxa"/>
            <w:vAlign w:val="center"/>
          </w:tcPr>
          <w:p w14:paraId="4F3E3889">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5.5.1、5.5.2、5.5.3、5.5.4、5.5.11</w:t>
            </w:r>
          </w:p>
        </w:tc>
      </w:tr>
      <w:tr w14:paraId="336E0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4" w:type="dxa"/>
            <w:vAlign w:val="center"/>
          </w:tcPr>
          <w:p w14:paraId="6635A485">
            <w:pPr>
              <w:spacing w:line="240" w:lineRule="auto"/>
              <w:ind w:firstLine="360" w:firstLineChars="200"/>
              <w:jc w:val="center"/>
              <w:rPr>
                <w:rFonts w:hint="eastAsia" w:ascii="黑体" w:hAnsi="黑体" w:eastAsia="黑体" w:cs="黑体"/>
                <w:sz w:val="18"/>
                <w:szCs w:val="18"/>
              </w:rPr>
            </w:pPr>
            <w:r>
              <w:rPr>
                <w:rFonts w:hint="eastAsia" w:ascii="黑体" w:hAnsi="黑体" w:eastAsia="黑体" w:cs="黑体"/>
                <w:sz w:val="18"/>
                <w:szCs w:val="18"/>
              </w:rPr>
              <w:t>16#～19#</w:t>
            </w:r>
          </w:p>
        </w:tc>
        <w:tc>
          <w:tcPr>
            <w:tcW w:w="7575" w:type="dxa"/>
            <w:vAlign w:val="center"/>
          </w:tcPr>
          <w:p w14:paraId="6AEFF2A3">
            <w:pPr>
              <w:spacing w:line="240" w:lineRule="auto"/>
              <w:ind w:firstLine="360" w:firstLineChars="200"/>
              <w:jc w:val="center"/>
              <w:rPr>
                <w:rFonts w:ascii="宋体" w:hAnsi="宋体" w:cs="宋体"/>
                <w:color w:val="auto"/>
                <w:sz w:val="18"/>
                <w:szCs w:val="18"/>
              </w:rPr>
            </w:pPr>
            <w:r>
              <w:rPr>
                <w:rFonts w:hint="eastAsia" w:ascii="宋体" w:hAnsi="宋体" w:cs="宋体"/>
                <w:color w:val="auto"/>
                <w:sz w:val="18"/>
                <w:szCs w:val="18"/>
              </w:rPr>
              <w:t>5.5.1、5.5.2、5.5.3、5.5.4、5.5.14、5.5.15、5.5.17</w:t>
            </w:r>
          </w:p>
        </w:tc>
      </w:tr>
    </w:tbl>
    <w:p w14:paraId="17B83EBF">
      <w:pPr>
        <w:spacing w:line="360" w:lineRule="auto"/>
        <w:rPr>
          <w:rFonts w:ascii="黑体" w:hAnsi="黑体" w:eastAsia="黑体" w:cs="黑体"/>
        </w:rPr>
      </w:pPr>
    </w:p>
    <w:p w14:paraId="43A16D05">
      <w:pPr>
        <w:pStyle w:val="259"/>
        <w:bidi w:val="0"/>
      </w:pPr>
      <w:r>
        <w:rPr>
          <w:rFonts w:hint="eastAsia"/>
        </w:rPr>
        <w:t>标志、包装、运输和贮存</w:t>
      </w:r>
    </w:p>
    <w:p w14:paraId="798DDEFB">
      <w:pPr>
        <w:pStyle w:val="260"/>
        <w:bidi w:val="0"/>
      </w:pPr>
      <w:r>
        <w:rPr>
          <w:rFonts w:hint="eastAsia"/>
        </w:rPr>
        <w:t>产品标志</w:t>
      </w:r>
    </w:p>
    <w:p w14:paraId="0FA95D8F">
      <w:pPr>
        <w:pStyle w:val="258"/>
        <w:bidi w:val="0"/>
      </w:pPr>
      <w:r>
        <w:rPr>
          <w:rFonts w:hint="eastAsia"/>
        </w:rPr>
        <w:t>每只OCV阀应在设计图纸规定的位置打刻厂标、生产批次号及产品型号(零件号)等标识。</w:t>
      </w:r>
    </w:p>
    <w:p w14:paraId="715222AB">
      <w:pPr>
        <w:pStyle w:val="260"/>
        <w:bidi w:val="0"/>
      </w:pPr>
      <w:r>
        <w:rPr>
          <w:rFonts w:hint="eastAsia"/>
        </w:rPr>
        <w:t>包装标志</w:t>
      </w:r>
    </w:p>
    <w:p w14:paraId="736BF7D4">
      <w:pPr>
        <w:pStyle w:val="258"/>
        <w:bidi w:val="0"/>
      </w:pPr>
      <w:r>
        <w:rPr>
          <w:rFonts w:hint="eastAsia"/>
        </w:rPr>
        <w:t>包装箱上标志的内容如下：</w:t>
      </w:r>
    </w:p>
    <w:p w14:paraId="0F9BF054">
      <w:pPr>
        <w:pStyle w:val="305"/>
        <w:numPr>
          <w:ilvl w:val="0"/>
          <w:numId w:val="45"/>
        </w:numPr>
        <w:bidi w:val="0"/>
        <w:ind w:left="839" w:leftChars="0" w:hanging="419" w:firstLineChars="0"/>
        <w:rPr>
          <w:rFonts w:ascii="宋体" w:hAnsi="宋体" w:cs="宋体"/>
        </w:rPr>
      </w:pPr>
      <w:r>
        <w:rPr>
          <w:rFonts w:hint="eastAsia"/>
        </w:rPr>
        <w:t>产品名称、型号或零件号；</w:t>
      </w:r>
    </w:p>
    <w:p w14:paraId="2EF02719">
      <w:pPr>
        <w:pStyle w:val="305"/>
        <w:numPr>
          <w:ilvl w:val="0"/>
          <w:numId w:val="45"/>
        </w:numPr>
        <w:bidi w:val="0"/>
        <w:ind w:left="839" w:leftChars="0" w:hanging="419" w:firstLineChars="0"/>
        <w:rPr>
          <w:rFonts w:ascii="宋体" w:hAnsi="宋体" w:cs="宋体"/>
        </w:rPr>
      </w:pPr>
      <w:r>
        <w:rPr>
          <w:rFonts w:hint="eastAsia" w:ascii="宋体" w:hAnsi="宋体" w:cs="宋体"/>
        </w:rPr>
        <w:t>单位名称、地址、邮编及电话号码；</w:t>
      </w:r>
    </w:p>
    <w:p w14:paraId="04796E7D">
      <w:pPr>
        <w:pStyle w:val="305"/>
        <w:numPr>
          <w:ilvl w:val="0"/>
          <w:numId w:val="45"/>
        </w:numPr>
        <w:bidi w:val="0"/>
        <w:ind w:left="839" w:leftChars="0" w:hanging="419" w:firstLineChars="0"/>
        <w:rPr>
          <w:rFonts w:ascii="宋体" w:hAnsi="宋体" w:cs="宋体"/>
        </w:rPr>
      </w:pPr>
      <w:r>
        <w:rPr>
          <w:rFonts w:hint="eastAsia" w:ascii="宋体" w:hAnsi="宋体" w:cs="宋体"/>
        </w:rPr>
        <w:t>产品执行标准号；</w:t>
      </w:r>
    </w:p>
    <w:p w14:paraId="647B6B75">
      <w:pPr>
        <w:pStyle w:val="305"/>
        <w:numPr>
          <w:ilvl w:val="0"/>
          <w:numId w:val="45"/>
        </w:numPr>
        <w:bidi w:val="0"/>
        <w:ind w:left="839" w:leftChars="0" w:hanging="419" w:firstLineChars="0"/>
        <w:rPr>
          <w:rFonts w:ascii="宋体" w:hAnsi="宋体" w:cs="宋体"/>
        </w:rPr>
      </w:pPr>
      <w:r>
        <w:rPr>
          <w:rFonts w:hint="eastAsia" w:ascii="宋体" w:hAnsi="宋体" w:cs="宋体"/>
        </w:rPr>
        <w:t>生产日期或批号；</w:t>
      </w:r>
    </w:p>
    <w:p w14:paraId="18DDC7A5">
      <w:pPr>
        <w:pStyle w:val="305"/>
        <w:numPr>
          <w:ilvl w:val="0"/>
          <w:numId w:val="45"/>
        </w:numPr>
        <w:bidi w:val="0"/>
        <w:ind w:left="839" w:leftChars="0" w:hanging="419" w:firstLineChars="0"/>
        <w:rPr>
          <w:rFonts w:ascii="宋体" w:hAnsi="宋体" w:cs="宋体"/>
        </w:rPr>
      </w:pPr>
      <w:r>
        <w:rPr>
          <w:rFonts w:hint="eastAsia" w:ascii="宋体" w:hAnsi="宋体" w:cs="宋体"/>
        </w:rPr>
        <w:t>堆码高度；</w:t>
      </w:r>
    </w:p>
    <w:p w14:paraId="214434D4">
      <w:pPr>
        <w:pStyle w:val="305"/>
        <w:numPr>
          <w:ilvl w:val="0"/>
          <w:numId w:val="45"/>
        </w:numPr>
        <w:bidi w:val="0"/>
        <w:ind w:left="839" w:leftChars="0" w:hanging="419" w:firstLineChars="0"/>
        <w:rPr>
          <w:rFonts w:ascii="宋体" w:hAnsi="宋体" w:cs="宋体"/>
        </w:rPr>
      </w:pPr>
      <w:r>
        <w:rPr>
          <w:rFonts w:hint="eastAsia" w:ascii="宋体" w:hAnsi="宋体" w:cs="宋体"/>
        </w:rPr>
        <w:t>外形尺寸、毛重、单箱件数。</w:t>
      </w:r>
    </w:p>
    <w:p w14:paraId="01F5A8B4">
      <w:pPr>
        <w:pStyle w:val="260"/>
        <w:bidi w:val="0"/>
      </w:pPr>
      <w:r>
        <w:rPr>
          <w:rFonts w:hint="eastAsia"/>
        </w:rPr>
        <w:t>包装</w:t>
      </w:r>
    </w:p>
    <w:p w14:paraId="3EB5CDEE">
      <w:pPr>
        <w:pStyle w:val="258"/>
        <w:bidi w:val="0"/>
      </w:pPr>
      <w:r>
        <w:rPr>
          <w:rFonts w:hint="eastAsia"/>
        </w:rPr>
        <w:t>产品先装入防潮的包装袋,再装入包装箱内，包装袋、包装箱应牢固，产品在箱中不得窜动。</w:t>
      </w:r>
    </w:p>
    <w:p w14:paraId="78FC6685">
      <w:pPr>
        <w:pStyle w:val="260"/>
        <w:bidi w:val="0"/>
      </w:pPr>
      <w:r>
        <w:rPr>
          <w:rFonts w:hint="eastAsia"/>
        </w:rPr>
        <w:t>运输</w:t>
      </w:r>
    </w:p>
    <w:p w14:paraId="03BFA284">
      <w:pPr>
        <w:pStyle w:val="258"/>
        <w:bidi w:val="0"/>
      </w:pPr>
      <w:r>
        <w:rPr>
          <w:rFonts w:hint="eastAsia"/>
        </w:rPr>
        <w:t>产品由常规交通工具运输，在运输中必须防止受到强烈冲击、雨淋及曝晒，搬运时必须轻拿轻放。跌落后报废，不允许使用。</w:t>
      </w:r>
    </w:p>
    <w:p w14:paraId="00A6C7A1">
      <w:pPr>
        <w:pStyle w:val="260"/>
        <w:bidi w:val="0"/>
      </w:pPr>
      <w:r>
        <w:rPr>
          <w:rFonts w:hint="eastAsia"/>
        </w:rPr>
        <w:t>贮存</w:t>
      </w:r>
    </w:p>
    <w:p w14:paraId="30CC8DCC">
      <w:pPr>
        <w:pStyle w:val="258"/>
        <w:bidi w:val="0"/>
      </w:pPr>
      <w:r>
        <w:rPr>
          <w:rFonts w:hint="eastAsia"/>
        </w:rPr>
        <w:t>产品应贮存于环境温度-20℃～50℃</w:t>
      </w:r>
      <w:r>
        <w:rPr>
          <w:rFonts w:hint="eastAsia"/>
          <w:lang w:eastAsia="zh-CN"/>
        </w:rPr>
        <w:t>、</w:t>
      </w:r>
      <w:r>
        <w:rPr>
          <w:rFonts w:hint="eastAsia"/>
        </w:rPr>
        <w:t>相对湿度不大于85%的库房中，库房中不应有腐蚀性气体和腐蚀性化学药品存在。</w:t>
      </w:r>
    </w:p>
    <w:p w14:paraId="5F4BAFF5">
      <w:pPr>
        <w:pStyle w:val="258"/>
        <w:bidi w:val="0"/>
        <w:rPr>
          <w:rFonts w:ascii="宋体" w:hAnsi="宋体" w:eastAsia="宋体" w:cs="宋体"/>
          <w:spacing w:val="-1"/>
          <w:sz w:val="21"/>
          <w:szCs w:val="21"/>
        </w:rPr>
      </w:pPr>
    </w:p>
    <w:p w14:paraId="77DB9551">
      <w:pPr>
        <w:pStyle w:val="258"/>
        <w:bidi w:val="0"/>
        <w:rPr>
          <w:rFonts w:ascii="宋体" w:hAnsi="宋体" w:eastAsia="宋体" w:cs="宋体"/>
          <w:spacing w:val="-1"/>
          <w:sz w:val="21"/>
          <w:szCs w:val="21"/>
        </w:rPr>
      </w:pPr>
    </w:p>
    <w:p w14:paraId="79AE8246">
      <w:pPr>
        <w:pStyle w:val="258"/>
        <w:bidi w:val="0"/>
        <w:rPr>
          <w:rFonts w:ascii="宋体" w:hAnsi="宋体" w:eastAsia="宋体" w:cs="宋体"/>
          <w:spacing w:val="-1"/>
          <w:sz w:val="21"/>
          <w:szCs w:val="21"/>
        </w:rPr>
      </w:pPr>
    </w:p>
    <w:p w14:paraId="099BBE8F">
      <w:pPr>
        <w:pStyle w:val="258"/>
        <w:bidi w:val="0"/>
        <w:jc w:val="center"/>
        <w:rPr>
          <w:rFonts w:hint="eastAsia" w:ascii="宋体" w:hAnsi="宋体" w:eastAsia="宋体" w:cs="宋体"/>
          <w:b w:val="0"/>
          <w:spacing w:val="-1"/>
          <w:sz w:val="21"/>
          <w:szCs w:val="21"/>
          <w:lang w:eastAsia="zh-CN"/>
        </w:rPr>
      </w:pPr>
      <w:r>
        <w:rPr>
          <w:rFonts w:hint="eastAsia" w:ascii="黑体" w:hAnsi="黑体" w:eastAsia="黑体" w:cs="黑体"/>
          <w:b/>
          <w:spacing w:val="-1"/>
          <w:sz w:val="21"/>
          <w:szCs w:val="21"/>
          <w:lang w:eastAsia="zh-CN"/>
        </w:rPr>
        <w:t>━━━━━━━━━━━</w:t>
      </w:r>
    </w:p>
    <w:sectPr>
      <w:headerReference r:id="rId10" w:type="default"/>
      <w:footerReference r:id="rId11" w:type="default"/>
      <w:pgSz w:w="11907" w:h="16839"/>
      <w:pgMar w:top="1417" w:right="1134" w:bottom="1134" w:left="1417" w:header="1418" w:footer="1134" w:gutter="0"/>
      <w:lnNumType w:countBy="0" w:restart="continuou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071DFAD-380B-4CB2-A929-0F76FF158F73}"/>
  </w:font>
  <w:font w:name="黑体">
    <w:panose1 w:val="02010609060101010101"/>
    <w:charset w:val="86"/>
    <w:family w:val="auto"/>
    <w:pitch w:val="default"/>
    <w:sig w:usb0="800002BF" w:usb1="38CF7CFA" w:usb2="00000016" w:usb3="00000000" w:csb0="00040001" w:csb1="00000000"/>
    <w:embedRegular r:id="rId2" w:fontKey="{6E3DDB9E-8DAC-4A5A-BFD8-9196A12789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auto"/>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3" w:fontKey="{6DA08FF6-04FA-4F58-94C0-631D6B3433A7}"/>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A70E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20484A00">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9B8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7EB70BD7">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6563">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26EBEC7B">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94A2">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D882970">
    <w:pPr>
      <w:pStyle w:val="252"/>
      <w:ind w:right="360" w:firstLine="360" w:firstLineChars="0"/>
      <w:rPr>
        <w:rStyle w:val="2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98AF">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FBA1">
    <w:pPr>
      <w:pStyle w:val="253"/>
      <w:jc w:val="left"/>
      <w:rPr>
        <w:rFonts w:hint="eastAsia"/>
        <w:lang w:eastAsia="zh-CN"/>
      </w:rPr>
    </w:pPr>
    <w:r>
      <w:rPr>
        <w:rFonts w:hint="eastAsia" w:ascii="黑体" w:hAnsi="黑体" w:eastAsia="黑体" w:cs="黑体"/>
        <w:sz w:val="21"/>
        <w:szCs w:val="21"/>
        <w:lang w:val="en-US" w:eastAsia="zh-CN"/>
      </w:rPr>
      <w:t>T/JSAS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1588">
    <w:pPr>
      <w:pStyle w:val="253"/>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T/JSAS XXXX-2024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71B8F">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EE06">
    <w:pPr>
      <w:pStyle w:val="253"/>
      <w:rPr>
        <w:rFonts w:hint="default"/>
        <w:lang w:val="en-US" w:eastAsia="zh-CN"/>
      </w:rPr>
    </w:pPr>
    <w:r>
      <w:rPr>
        <w:rFonts w:hint="eastAsia" w:ascii="黑体" w:hAnsi="黑体" w:eastAsia="黑体" w:cs="黑体"/>
        <w:sz w:val="21"/>
        <w:szCs w:val="21"/>
        <w:lang w:val="en-US" w:eastAsia="zh-CN"/>
      </w:rPr>
      <w:t>T/JSAS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72BB5"/>
    <w:multiLevelType w:val="multilevel"/>
    <w:tmpl w:val="88872BB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9466139F"/>
    <w:multiLevelType w:val="multilevel"/>
    <w:tmpl w:val="9466139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A1FF179E"/>
    <w:multiLevelType w:val="multilevel"/>
    <w:tmpl w:val="A1FF179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A5092682"/>
    <w:multiLevelType w:val="multilevel"/>
    <w:tmpl w:val="A509268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B990D416"/>
    <w:multiLevelType w:val="multilevel"/>
    <w:tmpl w:val="B990D41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C9310AAA"/>
    <w:multiLevelType w:val="multilevel"/>
    <w:tmpl w:val="C9310AAA"/>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D057AD5B"/>
    <w:multiLevelType w:val="multilevel"/>
    <w:tmpl w:val="D057AD5B"/>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D28F9819"/>
    <w:multiLevelType w:val="multilevel"/>
    <w:tmpl w:val="D28F981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DB98FA86"/>
    <w:multiLevelType w:val="multilevel"/>
    <w:tmpl w:val="DB98FA86"/>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E2A0E30E"/>
    <w:multiLevelType w:val="multilevel"/>
    <w:tmpl w:val="E2A0E30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1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1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1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1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1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1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1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2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22">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3">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24">
    <w:nsid w:val="14CD73F2"/>
    <w:multiLevelType w:val="multilevel"/>
    <w:tmpl w:val="14CD73F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7">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28">
    <w:nsid w:val="43B2489C"/>
    <w:multiLevelType w:val="multilevel"/>
    <w:tmpl w:val="43B2489C"/>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788AF73"/>
    <w:multiLevelType w:val="multilevel"/>
    <w:tmpl w:val="4788AF73"/>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0">
    <w:nsid w:val="49F50DBD"/>
    <w:multiLevelType w:val="multilevel"/>
    <w:tmpl w:val="49F50DB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32">
    <w:nsid w:val="531E6622"/>
    <w:multiLevelType w:val="multilevel"/>
    <w:tmpl w:val="531E6622"/>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3">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5">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6">
    <w:nsid w:val="64034311"/>
    <w:multiLevelType w:val="multilevel"/>
    <w:tmpl w:val="64034311"/>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7">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08"/>
      <w:suff w:val="nothing"/>
      <w:lvlText w:val="%1%2　"/>
      <w:lvlJc w:val="left"/>
      <w:pPr>
        <w:ind w:left="0" w:firstLine="0"/>
      </w:pPr>
      <w:rPr>
        <w:rFonts w:hint="eastAsia" w:ascii="黑体" w:hAnsi="Times New Roman" w:eastAsia="黑体"/>
        <w:b w:val="0"/>
        <w:i w:val="0"/>
        <w:sz w:val="21"/>
      </w:rPr>
    </w:lvl>
    <w:lvl w:ilvl="2" w:tentative="0">
      <w:start w:val="1"/>
      <w:numFmt w:val="decimal"/>
      <w:pStyle w:val="5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0">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41">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7750332E"/>
    <w:multiLevelType w:val="multilevel"/>
    <w:tmpl w:val="7750332E"/>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3">
    <w:nsid w:val="7D9F40C4"/>
    <w:multiLevelType w:val="multilevel"/>
    <w:tmpl w:val="7D9F40C4"/>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3"/>
  </w:num>
  <w:num w:numId="2">
    <w:abstractNumId w:val="15"/>
  </w:num>
  <w:num w:numId="3">
    <w:abstractNumId w:val="18"/>
  </w:num>
  <w:num w:numId="4">
    <w:abstractNumId w:val="19"/>
  </w:num>
  <w:num w:numId="5">
    <w:abstractNumId w:val="16"/>
  </w:num>
  <w:num w:numId="6">
    <w:abstractNumId w:val="12"/>
  </w:num>
  <w:num w:numId="7">
    <w:abstractNumId w:val="17"/>
  </w:num>
  <w:num w:numId="8">
    <w:abstractNumId w:val="14"/>
  </w:num>
  <w:num w:numId="9">
    <w:abstractNumId w:val="11"/>
  </w:num>
  <w:num w:numId="10">
    <w:abstractNumId w:val="10"/>
  </w:num>
  <w:num w:numId="11">
    <w:abstractNumId w:val="25"/>
  </w:num>
  <w:num w:numId="12">
    <w:abstractNumId w:val="37"/>
  </w:num>
  <w:num w:numId="13">
    <w:abstractNumId w:val="35"/>
  </w:num>
  <w:num w:numId="14">
    <w:abstractNumId w:val="26"/>
  </w:num>
  <w:num w:numId="15">
    <w:abstractNumId w:val="41"/>
  </w:num>
  <w:num w:numId="16">
    <w:abstractNumId w:val="22"/>
  </w:num>
  <w:num w:numId="17">
    <w:abstractNumId w:val="8"/>
  </w:num>
  <w:num w:numId="18">
    <w:abstractNumId w:val="34"/>
  </w:num>
  <w:num w:numId="19">
    <w:abstractNumId w:val="21"/>
  </w:num>
  <w:num w:numId="20">
    <w:abstractNumId w:val="33"/>
  </w:num>
  <w:num w:numId="21">
    <w:abstractNumId w:val="39"/>
  </w:num>
  <w:num w:numId="22">
    <w:abstractNumId w:val="20"/>
  </w:num>
  <w:num w:numId="23">
    <w:abstractNumId w:val="27"/>
  </w:num>
  <w:num w:numId="24">
    <w:abstractNumId w:val="31"/>
  </w:num>
  <w:num w:numId="25">
    <w:abstractNumId w:val="40"/>
  </w:num>
  <w:num w:numId="26">
    <w:abstractNumId w:val="23"/>
  </w:num>
  <w:num w:numId="27">
    <w:abstractNumId w:val="38"/>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TNkNzlmZWFmY2ZjZWYzMGM1ZjhmOWJjOTcwNDkifQ=="/>
  </w:docVars>
  <w:rsids>
    <w:rsidRoot w:val="01BD55AE"/>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33"/>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16386F"/>
    <w:rsid w:val="01BD55AE"/>
    <w:rsid w:val="02B17D57"/>
    <w:rsid w:val="02B47281"/>
    <w:rsid w:val="05E530D0"/>
    <w:rsid w:val="08585740"/>
    <w:rsid w:val="08B148E1"/>
    <w:rsid w:val="0A797821"/>
    <w:rsid w:val="0B3121B4"/>
    <w:rsid w:val="10093E5F"/>
    <w:rsid w:val="11F0003A"/>
    <w:rsid w:val="15AA4B5B"/>
    <w:rsid w:val="179C73F7"/>
    <w:rsid w:val="1AD454CD"/>
    <w:rsid w:val="1B9E5DA3"/>
    <w:rsid w:val="1BFF60A7"/>
    <w:rsid w:val="1DE10CAA"/>
    <w:rsid w:val="1DFC1470"/>
    <w:rsid w:val="21D10CA8"/>
    <w:rsid w:val="2526682A"/>
    <w:rsid w:val="27813441"/>
    <w:rsid w:val="291D5E12"/>
    <w:rsid w:val="2B2C4703"/>
    <w:rsid w:val="2C690A78"/>
    <w:rsid w:val="2C892158"/>
    <w:rsid w:val="2CAB53A6"/>
    <w:rsid w:val="2E1C1783"/>
    <w:rsid w:val="2F1B2550"/>
    <w:rsid w:val="339B5ACE"/>
    <w:rsid w:val="34202B60"/>
    <w:rsid w:val="346E1DAF"/>
    <w:rsid w:val="35DD2F73"/>
    <w:rsid w:val="36FC74B6"/>
    <w:rsid w:val="370945C1"/>
    <w:rsid w:val="37D20007"/>
    <w:rsid w:val="388475BE"/>
    <w:rsid w:val="39E969BC"/>
    <w:rsid w:val="3AF408A9"/>
    <w:rsid w:val="3D537E59"/>
    <w:rsid w:val="3DFA4E64"/>
    <w:rsid w:val="3F020E75"/>
    <w:rsid w:val="40700607"/>
    <w:rsid w:val="440C0554"/>
    <w:rsid w:val="449649E5"/>
    <w:rsid w:val="4497145E"/>
    <w:rsid w:val="47E04B41"/>
    <w:rsid w:val="49FC22B9"/>
    <w:rsid w:val="4B3A709B"/>
    <w:rsid w:val="4D10355D"/>
    <w:rsid w:val="4DB8639B"/>
    <w:rsid w:val="4E255D2C"/>
    <w:rsid w:val="4E7B76FB"/>
    <w:rsid w:val="4F094051"/>
    <w:rsid w:val="50A215BE"/>
    <w:rsid w:val="521670A1"/>
    <w:rsid w:val="540B7051"/>
    <w:rsid w:val="5517274A"/>
    <w:rsid w:val="5555355C"/>
    <w:rsid w:val="57237092"/>
    <w:rsid w:val="58E6255C"/>
    <w:rsid w:val="5A447C78"/>
    <w:rsid w:val="5B247279"/>
    <w:rsid w:val="5BE865EB"/>
    <w:rsid w:val="5E0367C2"/>
    <w:rsid w:val="5F0D3DD3"/>
    <w:rsid w:val="5F667F53"/>
    <w:rsid w:val="60887A23"/>
    <w:rsid w:val="631657EC"/>
    <w:rsid w:val="635C5E14"/>
    <w:rsid w:val="63F33290"/>
    <w:rsid w:val="67277FC8"/>
    <w:rsid w:val="67DE35E9"/>
    <w:rsid w:val="68A467A0"/>
    <w:rsid w:val="69212871"/>
    <w:rsid w:val="740D281B"/>
    <w:rsid w:val="7537216E"/>
    <w:rsid w:val="78856ECF"/>
    <w:rsid w:val="78B177AA"/>
    <w:rsid w:val="78EA4D31"/>
    <w:rsid w:val="795113A5"/>
    <w:rsid w:val="797F5A41"/>
    <w:rsid w:val="7B2A7B4E"/>
    <w:rsid w:val="7C3C7A60"/>
    <w:rsid w:val="7D406E30"/>
    <w:rsid w:val="7E5E7FB7"/>
    <w:rsid w:val="7E626DE5"/>
    <w:rsid w:val="7F52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outlineLvl w:val="9"/>
    </w:pPr>
  </w:style>
  <w:style w:type="paragraph" w:customStyle="1" w:styleId="320">
    <w:name w:val="术语定义三级条标题"/>
    <w:basedOn w:val="290"/>
    <w:next w:val="258"/>
    <w:qFormat/>
    <w:uiPriority w:val="0"/>
    <w:pPr>
      <w:spacing w:before="0" w:beforeLines="0" w:after="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outlineLvl w:val="9"/>
    </w:pPr>
  </w:style>
  <w:style w:type="paragraph" w:customStyle="1" w:styleId="323">
    <w:name w:val="术语定义五级条标题"/>
    <w:basedOn w:val="300"/>
    <w:next w:val="258"/>
    <w:qFormat/>
    <w:uiPriority w:val="0"/>
    <w:pPr>
      <w:spacing w:before="0" w:beforeLines="0" w:after="0" w:afterLines="0"/>
      <w:outlineLvl w:val="9"/>
    </w:pPr>
  </w:style>
  <w:style w:type="paragraph" w:customStyle="1" w:styleId="324">
    <w:name w:val="术语定义一级条标题"/>
    <w:basedOn w:val="260"/>
    <w:next w:val="258"/>
    <w:qFormat/>
    <w:uiPriority w:val="0"/>
    <w:pPr>
      <w:spacing w:before="0" w:beforeLines="0" w:after="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outlineLvl w:val="9"/>
    </w:pPr>
    <w:rPr>
      <w:rFonts w:eastAsiaTheme="majorEastAsia"/>
    </w:rPr>
  </w:style>
  <w:style w:type="paragraph" w:customStyle="1" w:styleId="328">
    <w:name w:val="三级无标题条"/>
    <w:basedOn w:val="290"/>
    <w:qFormat/>
    <w:uiPriority w:val="0"/>
    <w:pPr>
      <w:spacing w:before="0" w:beforeLines="0" w:after="0" w:afterLines="0"/>
      <w:outlineLvl w:val="9"/>
    </w:pPr>
    <w:rPr>
      <w:rFonts w:eastAsiaTheme="majorEastAsia"/>
    </w:rPr>
  </w:style>
  <w:style w:type="paragraph" w:customStyle="1" w:styleId="329">
    <w:name w:val="四级无标题条"/>
    <w:basedOn w:val="295"/>
    <w:qFormat/>
    <w:uiPriority w:val="0"/>
    <w:pPr>
      <w:spacing w:before="0" w:beforeLines="0" w:after="0" w:afterLines="0"/>
      <w:outlineLvl w:val="9"/>
    </w:pPr>
    <w:rPr>
      <w:rFonts w:eastAsiaTheme="majorEastAsia"/>
    </w:rPr>
  </w:style>
  <w:style w:type="paragraph" w:customStyle="1" w:styleId="330">
    <w:name w:val="五级无标题条"/>
    <w:basedOn w:val="300"/>
    <w:qFormat/>
    <w:uiPriority w:val="0"/>
    <w:pPr>
      <w:spacing w:before="0" w:beforeLines="0" w:after="0" w:afterLines="0"/>
      <w:outlineLvl w:val="9"/>
    </w:pPr>
    <w:rPr>
      <w:rFonts w:eastAsiaTheme="majorEastAsia"/>
    </w:rPr>
  </w:style>
  <w:style w:type="paragraph" w:customStyle="1" w:styleId="331">
    <w:name w:val="一级无标题条"/>
    <w:basedOn w:val="260"/>
    <w:qFormat/>
    <w:uiPriority w:val="0"/>
    <w:pPr>
      <w:spacing w:before="0" w:beforeLines="0" w:after="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Heading"/>
    <w:basedOn w:val="3"/>
    <w:next w:val="1"/>
    <w:semiHidden/>
    <w:unhideWhenUsed/>
    <w:qFormat/>
    <w:uiPriority w:val="39"/>
    <w:pPr>
      <w:outlineLvl w:val="9"/>
    </w:pPr>
  </w:style>
  <w:style w:type="character" w:customStyle="1" w:styleId="354">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6"/>
    <w:semiHidden/>
    <w:qFormat/>
    <w:uiPriority w:val="99"/>
    <w:rPr>
      <w:kern w:val="2"/>
      <w:sz w:val="21"/>
      <w:szCs w:val="24"/>
    </w:rPr>
  </w:style>
  <w:style w:type="character" w:customStyle="1" w:styleId="357">
    <w:name w:val="纯文本 Char"/>
    <w:basedOn w:val="231"/>
    <w:link w:val="49"/>
    <w:semiHidden/>
    <w:qFormat/>
    <w:uiPriority w:val="99"/>
    <w:rPr>
      <w:rFonts w:ascii="宋体" w:hAnsi="Courier New" w:cs="Courier New"/>
      <w:kern w:val="2"/>
      <w:sz w:val="21"/>
      <w:szCs w:val="21"/>
    </w:rPr>
  </w:style>
  <w:style w:type="character" w:customStyle="1" w:styleId="358">
    <w:name w:val="电子邮件签名 Char"/>
    <w:basedOn w:val="231"/>
    <w:link w:val="25"/>
    <w:semiHidden/>
    <w:qFormat/>
    <w:uiPriority w:val="99"/>
    <w:rPr>
      <w:kern w:val="2"/>
      <w:sz w:val="21"/>
      <w:szCs w:val="24"/>
    </w:rPr>
  </w:style>
  <w:style w:type="character" w:customStyle="1" w:styleId="359">
    <w:name w:val="副标题 Char"/>
    <w:basedOn w:val="231"/>
    <w:link w:val="66"/>
    <w:qFormat/>
    <w:uiPriority w:val="11"/>
    <w:rPr>
      <w:rFonts w:asciiTheme="majorHAnsi" w:hAnsiTheme="majorHAnsi" w:cstheme="majorBidi"/>
      <w:b/>
      <w:bCs/>
      <w:kern w:val="28"/>
      <w:sz w:val="32"/>
      <w:szCs w:val="32"/>
    </w:rPr>
  </w:style>
  <w:style w:type="character" w:customStyle="1" w:styleId="360">
    <w:name w:val="宏文本 Char"/>
    <w:basedOn w:val="231"/>
    <w:link w:val="2"/>
    <w:semiHidden/>
    <w:qFormat/>
    <w:uiPriority w:val="99"/>
    <w:rPr>
      <w:rFonts w:ascii="Courier New" w:hAnsi="Courier New" w:cs="Courier New"/>
      <w:kern w:val="2"/>
      <w:sz w:val="24"/>
      <w:szCs w:val="24"/>
    </w:rPr>
  </w:style>
  <w:style w:type="character" w:customStyle="1" w:styleId="361">
    <w:name w:val="结束语 Char"/>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4">
    <w:name w:val="Intense Emphasis"/>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58"/>
    <w:semiHidden/>
    <w:qFormat/>
    <w:uiPriority w:val="99"/>
    <w:rPr>
      <w:kern w:val="2"/>
      <w:sz w:val="18"/>
      <w:szCs w:val="18"/>
    </w:rPr>
  </w:style>
  <w:style w:type="character" w:customStyle="1" w:styleId="368">
    <w:name w:val="批注文字 Char"/>
    <w:basedOn w:val="23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31"/>
    <w:link w:val="62"/>
    <w:semiHidden/>
    <w:qFormat/>
    <w:uiPriority w:val="99"/>
    <w:rPr>
      <w:kern w:val="2"/>
      <w:sz w:val="21"/>
      <w:szCs w:val="24"/>
    </w:rPr>
  </w:style>
  <w:style w:type="table" w:customStyle="1" w:styleId="371">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4"/>
    <w:semiHidden/>
    <w:qFormat/>
    <w:uiPriority w:val="99"/>
    <w:rPr>
      <w:kern w:val="2"/>
      <w:sz w:val="21"/>
      <w:szCs w:val="24"/>
    </w:rPr>
  </w:style>
  <w:style w:type="character" w:customStyle="1" w:styleId="421">
    <w:name w:val="Book Title"/>
    <w:basedOn w:val="231"/>
    <w:qFormat/>
    <w:uiPriority w:val="33"/>
    <w:rPr>
      <w:b/>
      <w:bCs/>
      <w:i/>
      <w:iCs/>
      <w:spacing w:val="5"/>
    </w:rPr>
  </w:style>
  <w:style w:type="paragraph" w:customStyle="1" w:styleId="422">
    <w:name w:val="Bibliography"/>
    <w:basedOn w:val="1"/>
    <w:next w:val="1"/>
    <w:semiHidden/>
    <w:unhideWhenUsed/>
    <w:qFormat/>
    <w:uiPriority w:val="37"/>
  </w:style>
  <w:style w:type="table" w:customStyle="1" w:styleId="423">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Char"/>
    <w:basedOn w:val="231"/>
    <w:link w:val="56"/>
    <w:semiHidden/>
    <w:qFormat/>
    <w:uiPriority w:val="99"/>
    <w:rPr>
      <w:kern w:val="2"/>
      <w:sz w:val="21"/>
      <w:szCs w:val="24"/>
    </w:rPr>
  </w:style>
  <w:style w:type="character" w:customStyle="1" w:styleId="474">
    <w:name w:val="文档结构图 Char"/>
    <w:basedOn w:val="231"/>
    <w:link w:val="32"/>
    <w:semiHidden/>
    <w:qFormat/>
    <w:uiPriority w:val="99"/>
    <w:rPr>
      <w:rFonts w:ascii="Microsoft YaHei UI" w:eastAsia="Microsoft YaHei UI"/>
      <w:kern w:val="2"/>
      <w:sz w:val="18"/>
      <w:szCs w:val="18"/>
    </w:rPr>
  </w:style>
  <w:style w:type="table" w:customStyle="1" w:styleId="475">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3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31"/>
    <w:link w:val="76"/>
    <w:semiHidden/>
    <w:qFormat/>
    <w:uiPriority w:val="99"/>
    <w:rPr>
      <w:kern w:val="2"/>
      <w:sz w:val="21"/>
      <w:szCs w:val="24"/>
    </w:rPr>
  </w:style>
  <w:style w:type="character" w:customStyle="1" w:styleId="489">
    <w:name w:val="正文文本 3 Char"/>
    <w:basedOn w:val="231"/>
    <w:link w:val="37"/>
    <w:semiHidden/>
    <w:qFormat/>
    <w:uiPriority w:val="99"/>
    <w:rPr>
      <w:kern w:val="2"/>
      <w:sz w:val="16"/>
      <w:szCs w:val="16"/>
    </w:rPr>
  </w:style>
  <w:style w:type="character" w:customStyle="1" w:styleId="490">
    <w:name w:val="正文文本缩进 2 Char"/>
    <w:basedOn w:val="231"/>
    <w:link w:val="55"/>
    <w:semiHidden/>
    <w:qFormat/>
    <w:uiPriority w:val="99"/>
    <w:rPr>
      <w:kern w:val="2"/>
      <w:sz w:val="21"/>
      <w:szCs w:val="24"/>
    </w:rPr>
  </w:style>
  <w:style w:type="character" w:customStyle="1" w:styleId="491">
    <w:name w:val="正文文本缩进 3 Char"/>
    <w:basedOn w:val="231"/>
    <w:link w:val="71"/>
    <w:semiHidden/>
    <w:qFormat/>
    <w:uiPriority w:val="99"/>
    <w:rPr>
      <w:kern w:val="2"/>
      <w:sz w:val="16"/>
      <w:szCs w:val="16"/>
    </w:rPr>
  </w:style>
  <w:style w:type="character" w:customStyle="1" w:styleId="492">
    <w:name w:val="注释标题 Char"/>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Body text|6"/>
    <w:basedOn w:val="1"/>
    <w:qFormat/>
    <w:uiPriority w:val="0"/>
    <w:pPr>
      <w:jc w:val="center"/>
    </w:pPr>
    <w:rPr>
      <w:rFonts w:ascii="宋体" w:hAnsi="宋体" w:cs="宋体"/>
      <w:sz w:val="15"/>
      <w:szCs w:val="15"/>
      <w:lang w:val="zh-TW" w:eastAsia="zh-TW" w:bidi="zh-TW"/>
    </w:rPr>
  </w:style>
  <w:style w:type="paragraph" w:customStyle="1" w:styleId="507">
    <w:name w:val="Body text|1"/>
    <w:basedOn w:val="1"/>
    <w:qFormat/>
    <w:uiPriority w:val="0"/>
    <w:pPr>
      <w:spacing w:line="338" w:lineRule="auto"/>
      <w:ind w:firstLine="380"/>
    </w:pPr>
    <w:rPr>
      <w:rFonts w:ascii="宋体" w:hAnsi="宋体" w:cs="宋体"/>
      <w:sz w:val="18"/>
      <w:szCs w:val="18"/>
      <w:lang w:val="zh-TW" w:eastAsia="zh-TW" w:bidi="zh-TW"/>
    </w:rPr>
  </w:style>
  <w:style w:type="paragraph" w:customStyle="1" w:styleId="508">
    <w:name w:val="标准文件_章标题"/>
    <w:next w:val="509"/>
    <w:qFormat/>
    <w:uiPriority w:val="0"/>
    <w:pPr>
      <w:numPr>
        <w:ilvl w:val="1"/>
        <w:numId w:val="27"/>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50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0">
    <w:name w:val="标准文件_一级条标题"/>
    <w:basedOn w:val="508"/>
    <w:next w:val="509"/>
    <w:qFormat/>
    <w:uiPriority w:val="0"/>
    <w:pPr>
      <w:numPr>
        <w:ilvl w:val="2"/>
      </w:numPr>
      <w:spacing w:before="50" w:beforeLines="50" w:after="50" w:afterLines="50"/>
      <w:outlineLvl w:val="1"/>
    </w:pPr>
  </w:style>
  <w:style w:type="paragraph" w:customStyle="1" w:styleId="511">
    <w:name w:val="Body text|2"/>
    <w:basedOn w:val="1"/>
    <w:qFormat/>
    <w:uiPriority w:val="0"/>
    <w:pPr>
      <w:spacing w:line="319" w:lineRule="auto"/>
      <w:ind w:firstLine="380"/>
    </w:pPr>
    <w:rPr>
      <w:sz w:val="19"/>
      <w:szCs w:val="19"/>
    </w:rPr>
  </w:style>
  <w:style w:type="paragraph" w:customStyle="1" w:styleId="512">
    <w:name w:val="Table caption|1"/>
    <w:basedOn w:val="1"/>
    <w:qFormat/>
    <w:uiPriority w:val="0"/>
    <w:rPr>
      <w:rFonts w:ascii="宋体" w:hAnsi="宋体" w:cs="宋体"/>
      <w:sz w:val="18"/>
      <w:szCs w:val="18"/>
      <w:lang w:val="zh-TW" w:eastAsia="zh-TW" w:bidi="zh-TW"/>
    </w:rPr>
  </w:style>
  <w:style w:type="paragraph" w:customStyle="1" w:styleId="513">
    <w:name w:val="Other|1"/>
    <w:basedOn w:val="1"/>
    <w:qFormat/>
    <w:uiPriority w:val="0"/>
    <w:pPr>
      <w:spacing w:line="338" w:lineRule="auto"/>
      <w:ind w:firstLine="380"/>
    </w:pPr>
    <w:rPr>
      <w:rFonts w:ascii="宋体" w:hAnsi="宋体" w:cs="宋体"/>
      <w:sz w:val="18"/>
      <w:szCs w:val="18"/>
      <w:lang w:val="zh-TW" w:eastAsia="zh-TW" w:bidi="zh-TW"/>
    </w:rPr>
  </w:style>
  <w:style w:type="paragraph" w:customStyle="1" w:styleId="514">
    <w:name w:val="Header or footer|1"/>
    <w:basedOn w:val="1"/>
    <w:qFormat/>
    <w:uiPriority w:val="0"/>
    <w:rPr>
      <w:b/>
      <w:bCs/>
      <w:sz w:val="19"/>
      <w:szCs w:val="19"/>
    </w:rPr>
  </w:style>
  <w:style w:type="paragraph" w:customStyle="1" w:styleId="515">
    <w:name w:val="Table Text"/>
    <w:basedOn w:val="1"/>
    <w:semiHidden/>
    <w:qFormat/>
    <w:uiPriority w:val="0"/>
    <w:rPr>
      <w:rFonts w:ascii="宋体" w:hAnsi="宋体" w:eastAsia="宋体" w:cs="宋体"/>
      <w:sz w:val="21"/>
      <w:szCs w:val="21"/>
      <w:lang w:val="en-US" w:eastAsia="en-US" w:bidi="ar-SA"/>
    </w:rPr>
  </w:style>
  <w:style w:type="table" w:customStyle="1" w:styleId="5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Template>bzbx20.dotx</Template>
  <Pages>12</Pages>
  <Words>4744</Words>
  <Characters>5672</Characters>
  <Lines>1</Lines>
  <Paragraphs>1</Paragraphs>
  <TotalTime>31</TotalTime>
  <ScaleCrop>false</ScaleCrop>
  <LinksUpToDate>false</LinksUpToDate>
  <CharactersWithSpaces>5746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2023-03-28T06:39:00Z</dcterms:created>
  <dc:creator>爱幻想的假行僧</dc:creator>
  <cp:lastModifiedBy>爱幻想的假行僧</cp:lastModifiedBy>
  <dcterms:modified xsi:type="dcterms:W3CDTF">2024-11-12T06:30:21Z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BBADB2B1A4F64B0F97E2202E240D81F8_13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
  </property>
  <property fmtid="{D5CDD505-2E9C-101B-9397-08002B2CF9AE}" pid="12" name="BZMC" linkTarget="BZMC">
    <vt:lpwstr>公务用车
公务用车服务保障规范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2023—XX—XX</vt:lpwstr>
  </property>
  <property fmtid="{D5CDD505-2E9C-101B-9397-08002B2CF9AE}" pid="17" name="SSRQ" linkTarget="SSRQ">
    <vt:lpwstr>2023—XX—XX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2052-12.1.0.18608</vt:lpwstr>
  </property>
</Properties>
</file>