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9A798">
      <w:pPr>
        <w:pStyle w:val="286"/>
        <w:bidi w:val="0"/>
        <w:rPr>
          <w:rFonts w:hint="eastAsia"/>
        </w:rPr>
      </w:pPr>
      <w:bookmarkStart w:id="0" w:name="标准封面"/>
      <w:bookmarkEnd w:id="0"/>
      <w:r>
        <w:rPr>
          <w:sz w:val="32"/>
        </w:rP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-440690</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30pt;margin-top:-34.7pt;height:56.7pt;width:141.75pt;z-index:251659264;mso-width-relative:page;mso-height-relative:page;" filled="f" stroked="f" coordsize="21600,21600" o:gfxdata="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1/1GdsAAAAKAQAADwAAAAAAAAAB&#10;ACAAAAAiAAAAZHJzL2Rvd25yZXYueG1sUEsBAhQAFAAAAAgAh07iQGUWJfNGAgAAYgQAAA4AAAAA&#10;AAAAAQAgAAAAKgEAAGRycy9lMm9Eb2MueG1sUEsFBgAAAAAGAAYAWQEAAOIFAAAAAA==&#10;">
                <v:fill on="f" focussize="0,0"/>
                <v:stroke on="f" weight="0.5pt"/>
                <v:imagedata o:title=""/>
                <o:lock v:ext="edit" aspectratio="f"/>
                <v:textbox inset="0mm,0mm,2.54mm,0mm">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67.25pt;margin-top:10.55pt;height:120pt;width:311.85pt;z-index:251660288;mso-width-relative:page;mso-height-relative:page;" filled="f" stroked="f" coordsize="21600,21600"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v:fill on="f" focussize="0,0"/>
                <v:stroke on="f" weight="0.5pt"/>
                <v:imagedata o:title=""/>
                <o:lock v:ext="edit" aspectratio="f"/>
                <v:textbox inset="0mm,0mm,2.54mm,0mm">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v:textbox>
              </v:shape>
            </w:pict>
          </mc:Fallback>
        </mc:AlternateContent>
      </w:r>
    </w:p>
    <w:p w14:paraId="2ABEB0B6">
      <w:pPr>
        <w:pStyle w:val="258"/>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v:fill on="f" focussize="0,0"/>
                <v:stroke on="f" weight="0.5pt"/>
                <v:imagedata o:title=""/>
                <o:lock v:ext="edit" aspectratio="f"/>
                <v:textbox inset="0mm,0mm,2.54mm,0mm">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v:textbox>
              </v:shape>
            </w:pict>
          </mc:Fallback>
        </mc:AlternateContent>
      </w:r>
    </w:p>
    <w:p w14:paraId="1D995526">
      <w:pPr>
        <w:pStyle w:val="258"/>
        <w:rPr>
          <w:rFonts w:hint="eastAsia"/>
        </w:rPr>
      </w:pPr>
    </w:p>
    <w:p w14:paraId="26D349ED">
      <w:pPr>
        <w:pStyle w:val="258"/>
        <w:rPr>
          <w:rFonts w:hint="eastAsia"/>
        </w:rPr>
        <w:sectPr>
          <w:headerReference r:id="rId3" w:type="default"/>
          <w:footerReference r:id="rId5" w:type="default"/>
          <w:headerReference r:id="rId4" w:type="even"/>
          <w:footerReference r:id="rId6" w:type="even"/>
          <w:pgSz w:w="11907" w:h="16839"/>
          <w:pgMar w:top="1134" w:right="851" w:bottom="1134" w:left="1418" w:header="284" w:footer="1134" w:gutter="0"/>
          <w:lnNumType w:countBy="0" w:restart="continuous"/>
          <w:pgNumType w:fmt="upperRoman" w:start="1"/>
          <w:cols w:space="0" w:num="1"/>
          <w:titlePg/>
          <w:rtlGutter w:val="0"/>
          <w:docGrid w:linePitch="312" w:charSpace="0"/>
        </w:sectPr>
      </w:pPr>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9500235</wp:posOffset>
                </wp:positionV>
                <wp:extent cx="2510790" cy="301625"/>
                <wp:effectExtent l="0" t="0" r="0" b="0"/>
                <wp:wrapNone/>
                <wp:docPr id="10" name="首页自画框图7"/>
                <wp:cNvGraphicFramePr/>
                <a:graphic xmlns:a="http://schemas.openxmlformats.org/drawingml/2006/main">
                  <a:graphicData uri="http://schemas.microsoft.com/office/word/2010/wordprocessingShape">
                    <wps:wsp>
                      <wps:cNvSpPr txBox="1"/>
                      <wps:spPr>
                        <a:xfrm>
                          <a:off x="0" y="0"/>
                          <a:ext cx="2510790" cy="3016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82.25pt;margin-top:748.05pt;height:23.75pt;width:197.7pt;mso-position-horizontal-relative:page;mso-position-vertical-relative:page;z-index:251668480;mso-width-relative:page;mso-height-relative:page;" filled="f" stroked="f" coordsize="21600,21600" o:gfxdata="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zx1WHbAAAADQEAAA8AAAAAAAAAAQAg&#10;AAAAIgAAAGRycy9kb3ducmV2LnhtbFBLAQIUABQAAAAIAIdO4kCdaLvlRAIAAF8EAAAOAAAAAAAA&#10;AAEAIAAAACoBAABkcnMvZTJvRG9jLnhtbFBLBQYAAAAABgAGAFkBAADgBQAAAAA=&#10;">
                <v:fill on="f" focussize="0,0"/>
                <v:stroke on="f" weight="0.5pt"/>
                <v:imagedata o:title=""/>
                <o:lock v:ext="edit" aspectratio="f"/>
                <v:textbox inset="0mm,0mm,0mm,0mm">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page">
                  <wp:posOffset>4968240</wp:posOffset>
                </wp:positionH>
                <wp:positionV relativeFrom="page">
                  <wp:posOffset>9582785</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C1475">
                            <w:pPr>
                              <w:pStyle w:val="501"/>
                              <w:bidi w:val="0"/>
                              <w:ind w:left="0" w:leftChars="0" w:firstLine="0" w:firstLineChars="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391.2pt;margin-top:754.55pt;height:14.5pt;width:63.85pt;mso-position-horizontal-relative:page;mso-position-vertical-relative:page;mso-wrap-style:none;z-index:251669504;mso-width-relative:page;mso-height-relative:page;" filled="f" stroked="f" coordsize="21600,21600" o:gfxdata="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yJR9sAAAANAQAADwAAAAAAAAABACAAAAAi&#10;AAAAZHJzL2Rvd25yZXYueG1sUEsBAhQAFAAAAAgAh07iQOxlyeRAAgAAXQQAAA4AAAAAAAAAAQAg&#10;AAAAKgEAAGRycy9lMm9Eb2MueG1sUEsFBgAAAAAGAAYAWQEAANwFAAAAAA==&#10;">
                <v:fill on="f" focussize="0,0"/>
                <v:stroke on="f" weight="0.5pt"/>
                <v:imagedata o:title=""/>
                <o:lock v:ext="edit" aspectratio="f"/>
                <v:textbox inset="0mm,0mm,0mm,0mm">
                  <w:txbxContent>
                    <w:p w14:paraId="7C2C1475">
                      <w:pPr>
                        <w:pStyle w:val="501"/>
                        <w:bidi w:val="0"/>
                        <w:ind w:left="0" w:leftChars="0" w:firstLine="0" w:firstLineChars="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-40005</wp:posOffset>
                </wp:positionH>
                <wp:positionV relativeFrom="paragraph">
                  <wp:posOffset>7226300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3.15pt;margin-top:569pt;height:0pt;width:482pt;z-index:251667456;mso-width-relative:page;mso-height-relative:page;" filled="f" stroked="t" coordsize="21600,21600" o:gfxdata="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t7v&#10;Gt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6969125</wp:posOffset>
                </wp:positionV>
                <wp:extent cx="2880360" cy="360045"/>
                <wp:effectExtent l="0" t="0" r="15240" b="190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48.75pt;height:28.35pt;width:226.8pt;z-index:251665408;mso-width-relative:page;mso-height-relative:page;" filled="f" stroked="f" coordsize="21600,21600" o:gfxdata="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0JEmLaAAAACgEAAA8AAAAAAAAA&#10;AQAgAAAAIgAAAGRycy9kb3ducmV2LnhtbFBLAQIUABQAAAAIAIdO4kB+56iSSAIAAGIEAAAOAAAA&#10;AAAAAAEAIAAAACkBAABkcnMvZTJvRG9jLnhtbFBLBQYAAAAABgAGAFkBAADjBQAAAAA=&#10;">
                <v:fill on="f" focussize="0,0"/>
                <v:stroke on="f" weight="0.5pt"/>
                <v:imagedata o:title=""/>
                <o:lock v:ext="edit" aspectratio="f"/>
                <v:textbox inset="0mm,0mm,2.54mm,0mm">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6969125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48.75pt;height:28.35pt;width:226.8pt;z-index:251666432;mso-width-relative:page;mso-height-relative:page;" filled="f" stroked="f" coordsize="21600,21600" o:gfxdata="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4gen13AAAAA0BAAAPAAAAAAAA&#10;AAEAIAAAACIAAABkcnMvZG93bnJldi54bWxQSwECFAAUAAAACACHTuJACuLfaUcCAABiBAAADgAA&#10;AAAAAAABACAAAAArAQAAZHJzL2Uyb0RvYy54bWxQSwUGAAAAAAYABgBZAQAA5AUAAAAA&#10;">
                <v:fill on="f" focussize="0,0"/>
                <v:stroke on="f" weight="0.5pt"/>
                <v:imagedata o:title=""/>
                <o:lock v:ext="edit" aspectratio="f"/>
                <v:textbox inset="0mm,0mm,2.54mm,0mm">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1E8B2">
                            <w:pPr>
                              <w:pStyle w:val="268"/>
                              <w:bidi w:val="0"/>
                              <w:rPr>
                                <w:rFonts w:hint="eastAsia"/>
                                <w:lang w:eastAsia="zh-CN"/>
                              </w:rPr>
                            </w:pPr>
                            <w:r>
                              <w:rPr>
                                <w:rFonts w:hint="eastAsia"/>
                                <w:bCs/>
                                <w:color w:val="auto"/>
                                <w:sz w:val="52"/>
                                <w:szCs w:val="52"/>
                                <w:lang w:val="en-US" w:eastAsia="zh-CN"/>
                              </w:rPr>
                              <w:t>鸭血制品</w:t>
                            </w:r>
                            <w:r>
                              <w:rPr>
                                <w:rFonts w:hint="eastAsia"/>
                                <w:spacing w:val="-2"/>
                                <w:sz w:val="52"/>
                                <w:szCs w:val="52"/>
                              </w:rPr>
                              <w:t>质量要求</w:t>
                            </w:r>
                          </w:p>
                          <w:p w14:paraId="7ABF43D1">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rPr>
                            </w:pPr>
                            <w:r>
                              <w:rPr>
                                <w:rFonts w:hint="eastAsia" w:ascii="Arial" w:hAnsi="Arial" w:eastAsia="宋体" w:cs="Arial"/>
                                <w:i w:val="0"/>
                                <w:iCs w:val="0"/>
                                <w:caps w:val="0"/>
                                <w:color w:val="333333"/>
                                <w:spacing w:val="0"/>
                                <w:sz w:val="30"/>
                                <w:szCs w:val="30"/>
                                <w:shd w:val="clear" w:fill="FFFFFF"/>
                              </w:rPr>
                              <w:t>Duck blood quality requirements</w:t>
                            </w:r>
                          </w:p>
                          <w:p w14:paraId="6A70C5A4">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40.2pt;width:481.95pt;z-index:251664384;mso-width-relative:page;mso-height-relative:page;" filled="f" stroked="f" coordsize="21600,21600"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v:fill on="f" focussize="0,0"/>
                <v:stroke on="f" weight="0.5pt"/>
                <v:imagedata o:title=""/>
                <o:lock v:ext="edit" aspectratio="f"/>
                <v:textbox inset="0mm,0mm,2.54mm,0mm">
                  <w:txbxContent>
                    <w:p w14:paraId="7771E8B2">
                      <w:pPr>
                        <w:pStyle w:val="268"/>
                        <w:bidi w:val="0"/>
                        <w:rPr>
                          <w:rFonts w:hint="eastAsia"/>
                          <w:lang w:eastAsia="zh-CN"/>
                        </w:rPr>
                      </w:pPr>
                      <w:r>
                        <w:rPr>
                          <w:rFonts w:hint="eastAsia"/>
                          <w:bCs/>
                          <w:color w:val="auto"/>
                          <w:sz w:val="52"/>
                          <w:szCs w:val="52"/>
                          <w:lang w:val="en-US" w:eastAsia="zh-CN"/>
                        </w:rPr>
                        <w:t>鸭血制品</w:t>
                      </w:r>
                      <w:r>
                        <w:rPr>
                          <w:rFonts w:hint="eastAsia"/>
                          <w:spacing w:val="-2"/>
                          <w:sz w:val="52"/>
                          <w:szCs w:val="52"/>
                        </w:rPr>
                        <w:t>质量要求</w:t>
                      </w:r>
                    </w:p>
                    <w:p w14:paraId="7ABF43D1">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rPr>
                      </w:pPr>
                      <w:r>
                        <w:rPr>
                          <w:rFonts w:hint="eastAsia" w:ascii="Arial" w:hAnsi="Arial" w:eastAsia="宋体" w:cs="Arial"/>
                          <w:i w:val="0"/>
                          <w:iCs w:val="0"/>
                          <w:caps w:val="0"/>
                          <w:color w:val="333333"/>
                          <w:spacing w:val="0"/>
                          <w:sz w:val="30"/>
                          <w:szCs w:val="30"/>
                          <w:shd w:val="clear" w:fill="FFFFFF"/>
                        </w:rPr>
                        <w:t>Duck blood quality requirements</w:t>
                      </w:r>
                    </w:p>
                    <w:p w14:paraId="6A70C5A4">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v:fill on="f" focussize="0,0"/>
                <v:stroke on="f" weight="0.5pt"/>
                <v:imagedata o:title=""/>
                <o:lock v:ext="edit" aspectratio="f"/>
                <v:textbox inset="0mm,0mm,2.54mm,0mm">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v:textbox>
              </v:shape>
            </w:pict>
          </mc:Fallback>
        </mc:AlternateContent>
      </w:r>
    </w:p>
    <w:p w14:paraId="2DCF474E">
      <w:pPr>
        <w:pStyle w:val="256"/>
        <w:bidi w:val="0"/>
        <w:rPr>
          <w:rFonts w:hint="eastAsia"/>
          <w:lang w:eastAsia="zh-CN"/>
        </w:rPr>
      </w:pPr>
      <w:bookmarkStart w:id="1" w:name="标准前言"/>
      <w:bookmarkEnd w:id="1"/>
      <w:r>
        <w:rPr>
          <w:rFonts w:hint="eastAsia"/>
          <w:lang w:eastAsia="zh-CN"/>
        </w:rPr>
        <w:t>前    言</w:t>
      </w:r>
    </w:p>
    <w:p w14:paraId="5854C719">
      <w:pPr>
        <w:pStyle w:val="258"/>
        <w:bidi w:val="0"/>
        <w:rPr>
          <w:rFonts w:hint="eastAsia" w:hAnsi="宋体" w:cs="宋体"/>
          <w:lang w:val="en-US" w:eastAsia="zh-CN"/>
        </w:rPr>
      </w:pPr>
      <w:r>
        <w:rPr>
          <w:rFonts w:hint="eastAsia"/>
        </w:rPr>
        <w:t>本</w:t>
      </w:r>
      <w:r>
        <w:rPr>
          <w:rFonts w:hint="eastAsia"/>
          <w:lang w:val="en-US" w:eastAsia="zh-CN"/>
        </w:rPr>
        <w:t>文件</w:t>
      </w:r>
      <w:r>
        <w:rPr>
          <w:rFonts w:hint="eastAsia"/>
        </w:rPr>
        <w:t>根据GB/T 1.1《标准化工作导则  第1部分：标准的结构和编写》</w:t>
      </w:r>
      <w:r>
        <w:rPr>
          <w:rFonts w:hint="eastAsia" w:ascii="宋体" w:hAnsi="宋体" w:eastAsia="宋体" w:cs="宋体"/>
          <w:lang w:val="en-US" w:eastAsia="zh-CN"/>
        </w:rPr>
        <w:t>的规定起草</w:t>
      </w:r>
      <w:r>
        <w:rPr>
          <w:rFonts w:hint="eastAsia" w:hAnsi="宋体" w:cs="宋体"/>
          <w:lang w:val="en-US" w:eastAsia="zh-CN"/>
        </w:rPr>
        <w:t>。</w:t>
      </w:r>
    </w:p>
    <w:p w14:paraId="46041DD5">
      <w:pPr>
        <w:pStyle w:val="258"/>
        <w:bidi w:val="0"/>
        <w:rPr>
          <w:rFonts w:hint="eastAsia" w:hAnsi="宋体" w:cs="宋体"/>
          <w:lang w:val="en-US" w:eastAsia="zh-CN"/>
        </w:rPr>
      </w:pPr>
      <w:r>
        <w:rPr>
          <w:rFonts w:hint="eastAsia"/>
        </w:rPr>
        <w:t>本</w:t>
      </w:r>
      <w:r>
        <w:rPr>
          <w:rFonts w:hint="eastAsia"/>
          <w:lang w:val="en-US" w:eastAsia="zh-CN"/>
        </w:rPr>
        <w:t>文件规定了食品质量相关要求，食品技术相关要求见有关法律法规、政策和食品安全标准等文件。</w:t>
      </w:r>
    </w:p>
    <w:p w14:paraId="6A3064E4">
      <w:pPr>
        <w:pStyle w:val="258"/>
        <w:bidi w:val="0"/>
        <w:rPr>
          <w:rFonts w:hint="eastAsia" w:ascii="宋体" w:hAnsi="宋体" w:eastAsia="宋体" w:cs="宋体"/>
          <w:lang w:val="en-US" w:eastAsia="zh-CN"/>
        </w:rPr>
      </w:pPr>
      <w:r>
        <w:rPr>
          <w:rFonts w:hint="eastAsia" w:ascii="宋体" w:hAnsi="宋体" w:eastAsia="宋体" w:cs="宋体"/>
          <w:lang w:val="en-US" w:eastAsia="zh-CN"/>
        </w:rPr>
        <w:t>请注意本文件的某些内容有可能涉及专利。本文件的发布机构不承担识别专利的责任。</w:t>
      </w:r>
    </w:p>
    <w:p w14:paraId="2C0C49F7">
      <w:pPr>
        <w:pStyle w:val="258"/>
        <w:bidi w:val="0"/>
        <w:rPr>
          <w:rFonts w:hint="eastAsia"/>
        </w:rPr>
      </w:pPr>
      <w:r>
        <w:rPr>
          <w:rFonts w:hint="eastAsia"/>
        </w:rPr>
        <w:t>本</w:t>
      </w:r>
      <w:r>
        <w:rPr>
          <w:rFonts w:hint="eastAsia"/>
          <w:lang w:val="en-US" w:eastAsia="zh-CN"/>
        </w:rPr>
        <w:t>文件</w:t>
      </w:r>
      <w:r>
        <w:rPr>
          <w:rFonts w:hint="eastAsia"/>
        </w:rPr>
        <w:t>由</w:t>
      </w:r>
      <w:r>
        <w:rPr>
          <w:rFonts w:hint="eastAsia"/>
          <w:lang w:val="en-US" w:eastAsia="zh-CN"/>
        </w:rPr>
        <w:t>日兴（江苏）食品科技</w:t>
      </w:r>
      <w:r>
        <w:rPr>
          <w:rFonts w:hint="eastAsia"/>
        </w:rPr>
        <w:t>有限公司提出。</w:t>
      </w:r>
    </w:p>
    <w:p w14:paraId="53BA6543">
      <w:pPr>
        <w:pStyle w:val="258"/>
        <w:bidi w:val="0"/>
        <w:rPr>
          <w:rFonts w:hint="eastAsia"/>
        </w:rPr>
      </w:pPr>
      <w:r>
        <w:rPr>
          <w:rFonts w:hint="eastAsia"/>
        </w:rPr>
        <w:t>本</w:t>
      </w:r>
      <w:r>
        <w:rPr>
          <w:rFonts w:hint="eastAsia"/>
          <w:lang w:val="en-US" w:eastAsia="zh-CN"/>
        </w:rPr>
        <w:t>文件</w:t>
      </w:r>
      <w:r>
        <w:rPr>
          <w:rFonts w:hint="eastAsia" w:hAnsi="宋体" w:cs="宋体"/>
          <w:lang w:val="en-US" w:eastAsia="zh-CN"/>
        </w:rPr>
        <w:t>主要起草单位：</w:t>
      </w:r>
      <w:r>
        <w:rPr>
          <w:rFonts w:hint="eastAsia"/>
        </w:rPr>
        <w:t>江苏省农业科学院农产品加工研究所、</w:t>
      </w:r>
      <w:r>
        <w:rPr>
          <w:rFonts w:hint="eastAsia" w:ascii="宋体" w:hAnsi="宋体" w:eastAsia="宋体" w:cs="宋体"/>
          <w:lang w:val="en-US" w:eastAsia="zh-CN"/>
        </w:rPr>
        <w:t>日兴（江苏）食品科技有限公司</w:t>
      </w:r>
      <w:r>
        <w:rPr>
          <w:rFonts w:hint="eastAsia" w:hAnsi="宋体" w:cs="宋体"/>
          <w:lang w:val="en-US" w:eastAsia="zh-CN"/>
        </w:rPr>
        <w:t>。</w:t>
      </w:r>
    </w:p>
    <w:p w14:paraId="352E69E6">
      <w:pPr>
        <w:pStyle w:val="258"/>
        <w:bidi w:val="0"/>
        <w:rPr>
          <w:rFonts w:hint="eastAsia"/>
        </w:rPr>
      </w:pPr>
      <w:r>
        <w:rPr>
          <w:rFonts w:hint="eastAsia"/>
        </w:rPr>
        <w:t>本</w:t>
      </w:r>
      <w:r>
        <w:rPr>
          <w:rFonts w:hint="eastAsia"/>
          <w:lang w:val="en-US" w:eastAsia="zh-CN"/>
        </w:rPr>
        <w:t>文件</w:t>
      </w:r>
      <w:r>
        <w:rPr>
          <w:rFonts w:hint="eastAsia"/>
        </w:rPr>
        <w:t>主要起草人：</w:t>
      </w:r>
      <w:r>
        <w:rPr>
          <w:rFonts w:hint="eastAsia"/>
          <w:lang w:val="en-US" w:eastAsia="zh-CN"/>
        </w:rPr>
        <w:t>张建民、刁怀庆</w:t>
      </w:r>
      <w:r>
        <w:rPr>
          <w:rFonts w:hint="eastAsia"/>
        </w:rPr>
        <w:t>。</w:t>
      </w:r>
    </w:p>
    <w:p w14:paraId="3E11C811">
      <w:pPr>
        <w:pStyle w:val="258"/>
        <w:bidi w:val="0"/>
        <w:rPr>
          <w:rFonts w:hint="eastAsia"/>
          <w:lang w:val="en-US" w:eastAsia="zh-CN"/>
        </w:rPr>
        <w:sectPr>
          <w:headerReference r:id="rId8" w:type="first"/>
          <w:headerReference r:id="rId7" w:type="default"/>
          <w:footerReference r:id="rId9" w:type="default"/>
          <w:pgSz w:w="11905" w:h="16838"/>
          <w:pgMar w:top="1134" w:right="1134" w:bottom="1134" w:left="1134" w:header="1417" w:footer="1134" w:gutter="283"/>
          <w:pgNumType w:fmt="upperRoman" w:start="1"/>
          <w:cols w:space="0" w:num="1"/>
          <w:rtlGutter w:val="0"/>
          <w:docGrid w:type="linesAndChars" w:linePitch="312" w:charSpace="530"/>
        </w:sectPr>
      </w:pPr>
    </w:p>
    <w:p w14:paraId="481BFC9E">
      <w:pPr>
        <w:pStyle w:val="316"/>
        <w:bidi w:val="0"/>
        <w:rPr>
          <w:rFonts w:hint="eastAsia"/>
          <w:lang w:eastAsia="zh-CN"/>
        </w:rPr>
      </w:pPr>
      <w:bookmarkStart w:id="2" w:name="标准内容"/>
      <w:bookmarkEnd w:id="2"/>
      <w:r>
        <w:rPr>
          <w:rFonts w:hint="eastAsia"/>
          <w:lang w:eastAsia="zh-CN"/>
        </w:rPr>
        <w:t>鸭血</w:t>
      </w:r>
      <w:r>
        <w:rPr>
          <w:rFonts w:hint="eastAsia"/>
          <w:lang w:val="en-US" w:eastAsia="zh-CN"/>
        </w:rPr>
        <w:t>制品</w:t>
      </w:r>
      <w:r>
        <w:rPr>
          <w:rFonts w:hint="eastAsia"/>
          <w:lang w:eastAsia="zh-CN"/>
        </w:rPr>
        <w:t>质量要求</w:t>
      </w:r>
    </w:p>
    <w:p w14:paraId="4B95452F">
      <w:pPr>
        <w:pStyle w:val="259"/>
        <w:bidi w:val="0"/>
        <w:rPr>
          <w:lang w:val="en-US" w:eastAsia="zh-CN"/>
        </w:rPr>
      </w:pPr>
      <w:r>
        <w:rPr>
          <w:rFonts w:hint="eastAsia"/>
          <w:lang w:val="en-US" w:eastAsia="zh-CN"/>
        </w:rPr>
        <w:t>范围</w:t>
      </w:r>
    </w:p>
    <w:p w14:paraId="2C828D15">
      <w:pPr>
        <w:pStyle w:val="258"/>
        <w:bidi w:val="0"/>
      </w:pPr>
      <w:r>
        <w:t>本</w:t>
      </w:r>
      <w:r>
        <w:rPr>
          <w:rFonts w:hint="eastAsia"/>
          <w:lang w:val="en-US" w:eastAsia="zh-CN"/>
        </w:rPr>
        <w:t>文件</w:t>
      </w:r>
      <w:r>
        <w:t>规定</w:t>
      </w:r>
      <w:r>
        <w:rPr>
          <w:rFonts w:hint="eastAsia"/>
          <w:lang w:val="en-US" w:eastAsia="zh-CN"/>
        </w:rPr>
        <w:t>了鸭血制品</w:t>
      </w:r>
      <w:bookmarkStart w:id="3" w:name="_GoBack"/>
      <w:bookmarkEnd w:id="3"/>
      <w:r>
        <w:rPr>
          <w:rFonts w:ascii="Times New Roman"/>
          <w:color w:val="auto"/>
          <w:kern w:val="2"/>
          <w:szCs w:val="21"/>
        </w:rPr>
        <w:t>的要求、检验方法、检验规则及标志、包装、运输、贮存</w:t>
      </w:r>
      <w:r>
        <w:rPr>
          <w:rFonts w:hint="eastAsia" w:ascii="Times New Roman"/>
          <w:color w:val="auto"/>
          <w:kern w:val="2"/>
          <w:szCs w:val="21"/>
        </w:rPr>
        <w:t>和</w:t>
      </w:r>
      <w:r>
        <w:rPr>
          <w:rFonts w:ascii="Times New Roman"/>
          <w:color w:val="auto"/>
          <w:kern w:val="2"/>
          <w:szCs w:val="21"/>
        </w:rPr>
        <w:t>保质期。</w:t>
      </w:r>
    </w:p>
    <w:p w14:paraId="2EB20AE1">
      <w:pPr>
        <w:pStyle w:val="258"/>
        <w:bidi w:val="0"/>
      </w:pPr>
      <w:r>
        <w:t>本</w:t>
      </w:r>
      <w:r>
        <w:rPr>
          <w:rFonts w:hint="eastAsia"/>
          <w:lang w:val="en-US" w:eastAsia="zh-CN"/>
        </w:rPr>
        <w:t>文件</w:t>
      </w:r>
      <w:r>
        <w:rPr>
          <w:color w:val="auto"/>
          <w:szCs w:val="21"/>
        </w:rPr>
        <w:t>适用于</w:t>
      </w:r>
      <w:r>
        <w:rPr>
          <w:rFonts w:hint="eastAsia"/>
          <w:color w:val="auto"/>
          <w:szCs w:val="21"/>
          <w:lang w:val="en-US" w:eastAsia="zh-CN"/>
        </w:rPr>
        <w:t>经检验检疫合格的新鲜鸭血为主要</w:t>
      </w:r>
      <w:r>
        <w:rPr>
          <w:color w:val="auto"/>
          <w:szCs w:val="21"/>
        </w:rPr>
        <w:t>原料，</w:t>
      </w:r>
      <w:r>
        <w:rPr>
          <w:rFonts w:hint="eastAsia"/>
          <w:color w:val="auto"/>
          <w:szCs w:val="21"/>
          <w:lang w:val="en-US" w:eastAsia="zh-CN"/>
        </w:rPr>
        <w:t>经过低温储血、配料搅拌、灌封、加热、高温杀菌、冷却</w:t>
      </w:r>
      <w:r>
        <w:rPr>
          <w:rFonts w:hint="eastAsia"/>
          <w:color w:val="auto"/>
          <w:szCs w:val="21"/>
        </w:rPr>
        <w:t>后</w:t>
      </w:r>
      <w:r>
        <w:rPr>
          <w:rFonts w:hint="eastAsia"/>
          <w:color w:val="auto"/>
          <w:szCs w:val="21"/>
          <w:lang w:val="en-US" w:eastAsia="zh-CN"/>
        </w:rPr>
        <w:t>包装</w:t>
      </w:r>
      <w:r>
        <w:rPr>
          <w:rFonts w:hint="eastAsia"/>
          <w:color w:val="auto"/>
          <w:szCs w:val="21"/>
        </w:rPr>
        <w:t>成的</w:t>
      </w:r>
      <w:r>
        <w:rPr>
          <w:rFonts w:hint="eastAsia"/>
          <w:color w:val="auto"/>
          <w:szCs w:val="21"/>
          <w:lang w:val="en-US" w:eastAsia="zh-CN"/>
        </w:rPr>
        <w:t>鸭血制品</w:t>
      </w:r>
      <w:r>
        <w:rPr>
          <w:rFonts w:hint="eastAsia"/>
          <w:color w:val="auto"/>
          <w:szCs w:val="21"/>
        </w:rPr>
        <w:t>（以下简称产品）</w:t>
      </w:r>
      <w:r>
        <w:rPr>
          <w:color w:val="auto"/>
          <w:szCs w:val="21"/>
        </w:rPr>
        <w:t>。</w:t>
      </w:r>
    </w:p>
    <w:p w14:paraId="7A1E7786">
      <w:pPr>
        <w:pStyle w:val="259"/>
        <w:bidi w:val="0"/>
        <w:rPr>
          <w:lang w:val="en-US" w:eastAsia="zh-CN"/>
        </w:rPr>
      </w:pPr>
      <w:r>
        <w:rPr>
          <w:rFonts w:hint="eastAsia"/>
          <w:lang w:val="en-US" w:eastAsia="zh-CN"/>
        </w:rPr>
        <w:t>规范性引用文件</w:t>
      </w:r>
    </w:p>
    <w:p w14:paraId="4C27B047">
      <w:pPr>
        <w:pStyle w:val="258"/>
        <w:bidi w:val="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449353">
      <w:pPr>
        <w:pStyle w:val="258"/>
        <w:bidi w:val="0"/>
        <w:rPr>
          <w:rFonts w:hint="eastAsia"/>
        </w:rPr>
      </w:pPr>
      <w:r>
        <w:rPr>
          <w:rFonts w:hint="eastAsia"/>
        </w:rPr>
        <w:t>GB/T 191 包装储运图示标志</w:t>
      </w:r>
    </w:p>
    <w:p w14:paraId="6BF1791E">
      <w:pPr>
        <w:pStyle w:val="258"/>
        <w:bidi w:val="0"/>
        <w:rPr>
          <w:rFonts w:hint="eastAsia" w:hAnsi="Times New Roman" w:cs="Times New Roman"/>
        </w:rPr>
      </w:pPr>
      <w:r>
        <w:rPr>
          <w:rFonts w:hint="eastAsia" w:hAnsi="Times New Roman" w:cs="Times New Roman"/>
        </w:rPr>
        <w:t>GB 2707 食品安全国家标准 鲜（冻）畜、禽产品</w:t>
      </w:r>
    </w:p>
    <w:p w14:paraId="0E5580F4">
      <w:pPr>
        <w:pStyle w:val="258"/>
        <w:bidi w:val="0"/>
        <w:rPr>
          <w:rFonts w:hint="eastAsia" w:hAnsi="Times New Roman" w:cs="Times New Roman"/>
        </w:rPr>
      </w:pPr>
      <w:r>
        <w:rPr>
          <w:rFonts w:hint="eastAsia" w:hAnsi="Times New Roman" w:cs="Times New Roman"/>
        </w:rPr>
        <w:t>GB 1886.25 食品安全国家标准 食品添加剂 柠檬酸钠</w:t>
      </w:r>
    </w:p>
    <w:p w14:paraId="70C827F2">
      <w:pPr>
        <w:pStyle w:val="258"/>
        <w:bidi w:val="0"/>
        <w:rPr>
          <w:rFonts w:hint="eastAsia" w:hAnsi="Times New Roman" w:cs="Times New Roman"/>
        </w:rPr>
      </w:pPr>
      <w:r>
        <w:rPr>
          <w:rFonts w:hint="eastAsia" w:hAnsi="Times New Roman" w:cs="Times New Roman"/>
        </w:rPr>
        <w:t>GB 1886.45 食品安全国家标准 食品添加剂 氯化钙</w:t>
      </w:r>
    </w:p>
    <w:p w14:paraId="42C451AB">
      <w:pPr>
        <w:pStyle w:val="258"/>
        <w:bidi w:val="0"/>
        <w:rPr>
          <w:rFonts w:hint="eastAsia" w:hAnsi="Times New Roman" w:cs="Times New Roman"/>
        </w:rPr>
      </w:pPr>
      <w:r>
        <w:rPr>
          <w:rFonts w:hint="eastAsia" w:hAnsi="Times New Roman" w:cs="Times New Roman"/>
        </w:rPr>
        <w:t>GB 2707 食品安全国家标准 鲜（冻）畜、禽产品</w:t>
      </w:r>
    </w:p>
    <w:p w14:paraId="4328C9DE">
      <w:pPr>
        <w:pStyle w:val="258"/>
        <w:bidi w:val="0"/>
        <w:rPr>
          <w:rFonts w:hint="eastAsia" w:hAnsi="Times New Roman" w:cs="Times New Roman"/>
        </w:rPr>
      </w:pPr>
      <w:r>
        <w:rPr>
          <w:rFonts w:hint="eastAsia" w:hAnsi="Times New Roman" w:cs="Times New Roman"/>
        </w:rPr>
        <w:t>GB 2721 食品安全国家标准 食用盐</w:t>
      </w:r>
    </w:p>
    <w:p w14:paraId="7E717F11">
      <w:pPr>
        <w:pStyle w:val="258"/>
        <w:bidi w:val="0"/>
        <w:rPr>
          <w:rFonts w:hint="eastAsia" w:hAnsi="Times New Roman" w:cs="Times New Roman"/>
        </w:rPr>
      </w:pPr>
      <w:r>
        <w:rPr>
          <w:rFonts w:hint="eastAsia" w:hAnsi="Times New Roman" w:cs="Times New Roman"/>
        </w:rPr>
        <w:t>GB 2762 食品安全国家标准 食品中污染物限量</w:t>
      </w:r>
    </w:p>
    <w:p w14:paraId="51B9C4E0">
      <w:pPr>
        <w:pStyle w:val="258"/>
        <w:bidi w:val="0"/>
        <w:rPr>
          <w:rFonts w:hint="eastAsia" w:hAnsi="Times New Roman" w:cs="Times New Roman"/>
        </w:rPr>
      </w:pPr>
      <w:r>
        <w:rPr>
          <w:rFonts w:hint="eastAsia" w:hAnsi="Times New Roman" w:cs="Times New Roman"/>
        </w:rPr>
        <w:t xml:space="preserve">GB 2763 食品安全国家标准 食品中农药最大残留限量 </w:t>
      </w:r>
    </w:p>
    <w:p w14:paraId="79AF111E">
      <w:pPr>
        <w:pStyle w:val="258"/>
        <w:bidi w:val="0"/>
        <w:rPr>
          <w:rFonts w:hint="eastAsia" w:hAnsi="Times New Roman" w:cs="Times New Roman"/>
        </w:rPr>
      </w:pPr>
      <w:r>
        <w:rPr>
          <w:rFonts w:hint="eastAsia" w:hAnsi="Times New Roman" w:cs="Times New Roman"/>
        </w:rPr>
        <w:t>GB 5009.3 食品安全国家标准 食品中水分的测定</w:t>
      </w:r>
    </w:p>
    <w:p w14:paraId="29CF8706">
      <w:pPr>
        <w:pStyle w:val="258"/>
        <w:bidi w:val="0"/>
        <w:rPr>
          <w:rFonts w:hint="eastAsia" w:hAnsi="Times New Roman" w:cs="Times New Roman"/>
        </w:rPr>
      </w:pPr>
      <w:r>
        <w:rPr>
          <w:rFonts w:hint="eastAsia" w:hAnsi="Times New Roman" w:cs="Times New Roman"/>
        </w:rPr>
        <w:t>GB 5009.5 食品安全国家标准 食品中蛋白质的测定</w:t>
      </w:r>
    </w:p>
    <w:p w14:paraId="58F61BEA">
      <w:pPr>
        <w:pStyle w:val="258"/>
        <w:bidi w:val="0"/>
        <w:rPr>
          <w:rFonts w:hint="eastAsia" w:hAnsi="Times New Roman" w:cs="Times New Roman"/>
        </w:rPr>
      </w:pPr>
      <w:r>
        <w:rPr>
          <w:rFonts w:hint="eastAsia" w:hAnsi="Times New Roman" w:cs="Times New Roman"/>
        </w:rPr>
        <w:t>GB/T 5461 食用盐</w:t>
      </w:r>
    </w:p>
    <w:p w14:paraId="18983C5E">
      <w:pPr>
        <w:pStyle w:val="258"/>
        <w:bidi w:val="0"/>
        <w:rPr>
          <w:rFonts w:hint="eastAsia" w:hAnsi="Times New Roman" w:cs="Times New Roman"/>
        </w:rPr>
      </w:pPr>
      <w:r>
        <w:rPr>
          <w:rFonts w:hint="eastAsia" w:hAnsi="Times New Roman" w:cs="Times New Roman"/>
        </w:rPr>
        <w:t>GB 5749 生活饮用水卫生标准</w:t>
      </w:r>
    </w:p>
    <w:p w14:paraId="447BD321">
      <w:pPr>
        <w:pStyle w:val="258"/>
        <w:bidi w:val="0"/>
        <w:rPr>
          <w:rFonts w:hint="eastAsia" w:hAnsi="Times New Roman" w:cs="Times New Roman"/>
        </w:rPr>
      </w:pPr>
      <w:r>
        <w:rPr>
          <w:rFonts w:hint="eastAsia" w:hAnsi="Times New Roman" w:cs="Times New Roman"/>
        </w:rPr>
        <w:t xml:space="preserve">GB 7718 食品安全国家标准 预包装食品标签通则 </w:t>
      </w:r>
    </w:p>
    <w:p w14:paraId="4A2F066D">
      <w:pPr>
        <w:pStyle w:val="258"/>
        <w:bidi w:val="0"/>
        <w:rPr>
          <w:rFonts w:hint="eastAsia" w:hAnsi="Times New Roman" w:cs="Times New Roman"/>
        </w:rPr>
      </w:pPr>
      <w:r>
        <w:rPr>
          <w:rFonts w:hint="eastAsia" w:hAnsi="Times New Roman" w:cs="Times New Roman"/>
        </w:rPr>
        <w:t>GB/T 12729.1 香辛料和调味品 名称</w:t>
      </w:r>
    </w:p>
    <w:p w14:paraId="153EDA15">
      <w:pPr>
        <w:pStyle w:val="258"/>
        <w:bidi w:val="0"/>
        <w:rPr>
          <w:rFonts w:hint="eastAsia" w:hAnsi="Times New Roman" w:cs="Times New Roman"/>
        </w:rPr>
      </w:pPr>
      <w:r>
        <w:rPr>
          <w:rFonts w:hint="eastAsia" w:hAnsi="Times New Roman" w:cs="Times New Roman"/>
        </w:rPr>
        <w:t>GB 14881 食品安全国家标准 食品生产通用卫生规范</w:t>
      </w:r>
    </w:p>
    <w:p w14:paraId="1CC7B297">
      <w:pPr>
        <w:pStyle w:val="258"/>
        <w:bidi w:val="0"/>
        <w:rPr>
          <w:rFonts w:hint="eastAsia" w:hAnsi="Times New Roman" w:cs="Times New Roman"/>
        </w:rPr>
      </w:pPr>
      <w:r>
        <w:rPr>
          <w:rFonts w:hint="eastAsia" w:hAnsi="Times New Roman" w:cs="Times New Roman"/>
        </w:rPr>
        <w:t>GB/T 15691 香辛料调味品通用技术条件</w:t>
      </w:r>
    </w:p>
    <w:p w14:paraId="2F841DF1">
      <w:pPr>
        <w:pStyle w:val="258"/>
        <w:bidi w:val="0"/>
        <w:rPr>
          <w:rFonts w:hint="eastAsia" w:hAnsi="Times New Roman" w:cs="Times New Roman"/>
        </w:rPr>
      </w:pPr>
      <w:r>
        <w:rPr>
          <w:rFonts w:hint="eastAsia" w:hAnsi="Times New Roman" w:cs="Times New Roman"/>
        </w:rPr>
        <w:t>GB 19301食品安全国家标准 生乳</w:t>
      </w:r>
    </w:p>
    <w:p w14:paraId="087D318C">
      <w:pPr>
        <w:pStyle w:val="258"/>
        <w:bidi w:val="0"/>
        <w:rPr>
          <w:rFonts w:hint="eastAsia" w:hAnsi="Times New Roman" w:cs="Times New Roman"/>
        </w:rPr>
      </w:pPr>
      <w:r>
        <w:rPr>
          <w:rFonts w:hint="eastAsia" w:hAnsi="Times New Roman" w:cs="Times New Roman"/>
        </w:rPr>
        <w:t>GB 19644食品安全国家标准 乳粉</w:t>
      </w:r>
    </w:p>
    <w:p w14:paraId="75CAC474">
      <w:pPr>
        <w:pStyle w:val="258"/>
        <w:bidi w:val="0"/>
        <w:rPr>
          <w:rFonts w:hint="eastAsia" w:hAnsi="Times New Roman" w:cs="Times New Roman"/>
        </w:rPr>
      </w:pPr>
      <w:r>
        <w:rPr>
          <w:rFonts w:hint="eastAsia" w:hAnsi="Times New Roman" w:cs="Times New Roman"/>
        </w:rPr>
        <w:t>GB 25190食品安全国家标准 灭菌乳</w:t>
      </w:r>
    </w:p>
    <w:p w14:paraId="1F347C55">
      <w:pPr>
        <w:pStyle w:val="258"/>
        <w:bidi w:val="0"/>
        <w:rPr>
          <w:rFonts w:hint="eastAsia" w:hAnsi="Times New Roman" w:cs="Times New Roman"/>
        </w:rPr>
      </w:pPr>
      <w:r>
        <w:rPr>
          <w:rFonts w:hint="eastAsia" w:hAnsi="Times New Roman" w:cs="Times New Roman"/>
        </w:rPr>
        <w:t>GB 28050食品安全标准 食品安全标准 预包装食品营养标签通则</w:t>
      </w:r>
    </w:p>
    <w:p w14:paraId="7AFF6A0A">
      <w:pPr>
        <w:pStyle w:val="258"/>
        <w:bidi w:val="0"/>
        <w:rPr>
          <w:rFonts w:hint="eastAsia" w:hAnsi="Times New Roman" w:cs="Times New Roman"/>
        </w:rPr>
      </w:pPr>
      <w:r>
        <w:rPr>
          <w:rFonts w:hint="eastAsia" w:hAnsi="Times New Roman" w:cs="Times New Roman"/>
        </w:rPr>
        <w:t>GB 30612食品安全国家标准 食品添加剂 聚二甲基硅氧烷及其乳液</w:t>
      </w:r>
    </w:p>
    <w:p w14:paraId="1C926EA3">
      <w:pPr>
        <w:pStyle w:val="258"/>
        <w:bidi w:val="0"/>
        <w:rPr>
          <w:rFonts w:hint="eastAsia"/>
        </w:rPr>
      </w:pPr>
      <w:r>
        <w:rPr>
          <w:rFonts w:hint="eastAsia"/>
        </w:rPr>
        <w:t>JJF 1070 定量包装商品净含量计量检验规则</w:t>
      </w:r>
    </w:p>
    <w:p w14:paraId="0C818AE4">
      <w:pPr>
        <w:pStyle w:val="258"/>
        <w:bidi w:val="0"/>
        <w:rPr>
          <w:rFonts w:hint="eastAsia"/>
        </w:rPr>
      </w:pPr>
      <w:r>
        <w:t>国家质检总局第75号令</w:t>
      </w:r>
      <w:r>
        <w:rPr>
          <w:rFonts w:hint="eastAsia"/>
          <w:lang w:val="en-US" w:eastAsia="zh-CN"/>
        </w:rPr>
        <w:t xml:space="preserve"> </w:t>
      </w:r>
      <w:r>
        <w:t>《定量包装商品计量监督管理办法》</w:t>
      </w:r>
    </w:p>
    <w:p w14:paraId="2A0E157A">
      <w:pPr>
        <w:pStyle w:val="259"/>
        <w:numPr>
          <w:ilvl w:val="0"/>
          <w:numId w:val="11"/>
        </w:numPr>
      </w:pPr>
      <w:r>
        <w:rPr>
          <w:rFonts w:hint="eastAsia"/>
        </w:rPr>
        <w:t>术语</w:t>
      </w:r>
      <w:r>
        <w:t>和定义</w:t>
      </w:r>
    </w:p>
    <w:p w14:paraId="7B3BB578">
      <w:pPr>
        <w:ind w:firstLine="420" w:firstLineChars="200"/>
        <w:rPr>
          <w:rFonts w:hint="eastAsia"/>
        </w:rPr>
      </w:pPr>
      <w:r>
        <w:rPr>
          <w:rFonts w:hint="eastAsia"/>
          <w:lang w:val="en-US" w:eastAsia="zh-CN"/>
        </w:rPr>
        <w:t>本文件没有需要界定的</w:t>
      </w:r>
      <w:r>
        <w:rPr>
          <w:rFonts w:hint="eastAsia"/>
        </w:rPr>
        <w:t>术语和定义。</w:t>
      </w:r>
    </w:p>
    <w:p w14:paraId="773C384F">
      <w:pPr>
        <w:pStyle w:val="259"/>
        <w:bidi w:val="0"/>
        <w:rPr>
          <w:rFonts w:hint="eastAsia"/>
          <w:lang w:val="en-US" w:eastAsia="zh-CN"/>
        </w:rPr>
      </w:pPr>
      <w:r>
        <w:rPr>
          <w:rFonts w:hint="eastAsia"/>
          <w:lang w:val="en-US" w:eastAsia="zh-CN"/>
        </w:rPr>
        <w:t>分类</w:t>
      </w:r>
    </w:p>
    <w:p w14:paraId="5CB45BC4">
      <w:pPr>
        <w:ind w:firstLine="420" w:firstLineChars="200"/>
        <w:rPr>
          <w:rFonts w:hint="default"/>
          <w:lang w:val="en-US" w:eastAsia="zh-CN"/>
        </w:rPr>
      </w:pPr>
      <w:r>
        <w:t>按食用方式不同分为即食型和非即食型。</w:t>
      </w:r>
    </w:p>
    <w:p w14:paraId="5A8F9431">
      <w:pPr>
        <w:pStyle w:val="259"/>
        <w:bidi w:val="0"/>
      </w:pPr>
      <w:r>
        <w:t>要求</w:t>
      </w:r>
    </w:p>
    <w:p w14:paraId="3B4365C9">
      <w:pPr>
        <w:pStyle w:val="260"/>
        <w:bidi w:val="0"/>
      </w:pPr>
      <w:r>
        <w:t>原料要求</w:t>
      </w:r>
    </w:p>
    <w:p w14:paraId="0C954660">
      <w:pPr>
        <w:pStyle w:val="327"/>
        <w:bidi w:val="0"/>
      </w:pPr>
      <w:r>
        <w:t>新鲜鸭血应使用经过检疫、健康</w:t>
      </w:r>
      <w:r>
        <w:rPr>
          <w:rFonts w:hint="eastAsia"/>
          <w:lang w:eastAsia="zh-CN"/>
        </w:rPr>
        <w:t>、</w:t>
      </w:r>
      <w:r>
        <w:t>无病的活畜、 禽所采得的血浆，呈暗红色，色泽均匀的液体，无污染、无异味，无正常视力可见外来异物，并符合GB 2707的规定。</w:t>
      </w:r>
    </w:p>
    <w:p w14:paraId="6DA25291">
      <w:pPr>
        <w:pStyle w:val="327"/>
        <w:bidi w:val="0"/>
      </w:pPr>
      <w:r>
        <w:t>食用盐：应符合GB/T 5461和GB 2721的规定。</w:t>
      </w:r>
    </w:p>
    <w:p w14:paraId="453F8B65">
      <w:pPr>
        <w:pStyle w:val="327"/>
        <w:bidi w:val="0"/>
      </w:pPr>
      <w:r>
        <w:t>饮用水：应符合GB 5749的规定。</w:t>
      </w:r>
    </w:p>
    <w:p w14:paraId="313248F9">
      <w:pPr>
        <w:pStyle w:val="327"/>
        <w:bidi w:val="0"/>
      </w:pPr>
      <w:r>
        <w:t>柠檬酸钠：应符合GB 1886.25的规定。</w:t>
      </w:r>
    </w:p>
    <w:p w14:paraId="29814DFA">
      <w:pPr>
        <w:pStyle w:val="327"/>
        <w:bidi w:val="0"/>
      </w:pPr>
      <w:r>
        <w:t>氯化钙：应符合GB 1886.45的规定。</w:t>
      </w:r>
    </w:p>
    <w:p w14:paraId="28FFF3B7">
      <w:pPr>
        <w:pStyle w:val="327"/>
        <w:bidi w:val="0"/>
      </w:pPr>
      <w:r>
        <w:t>聚二甲基硅氧烷：应符合GB 30612的规定。</w:t>
      </w:r>
    </w:p>
    <w:p w14:paraId="288A5C2F">
      <w:pPr>
        <w:pStyle w:val="327"/>
        <w:bidi w:val="0"/>
      </w:pPr>
      <w:r>
        <w:t>香辛料（GB/T 12729.1 中罂粟除外）：应符合GB/T 15691中 5.1、GB 2762、GB 2763的规定。</w:t>
      </w:r>
    </w:p>
    <w:p w14:paraId="21F5D8A1">
      <w:pPr>
        <w:pStyle w:val="327"/>
        <w:bidi w:val="0"/>
      </w:pPr>
      <w:r>
        <w:t>鲜乳：应符合GB 19301的规定。</w:t>
      </w:r>
    </w:p>
    <w:p w14:paraId="52AD3772">
      <w:pPr>
        <w:pStyle w:val="327"/>
        <w:bidi w:val="0"/>
      </w:pPr>
      <w:r>
        <w:t>灭菌乳：应符合GB 25190的规定。</w:t>
      </w:r>
    </w:p>
    <w:p w14:paraId="37BBC1BB">
      <w:pPr>
        <w:pStyle w:val="327"/>
        <w:bidi w:val="0"/>
      </w:pPr>
      <w:r>
        <w:t>乳粉：应符合GB 19644的规定。</w:t>
      </w:r>
    </w:p>
    <w:p w14:paraId="52D615A5">
      <w:pPr>
        <w:pStyle w:val="260"/>
        <w:bidi w:val="0"/>
      </w:pPr>
      <w:r>
        <w:t>感官要求</w:t>
      </w:r>
    </w:p>
    <w:p w14:paraId="5098C8E3">
      <w:pPr>
        <w:pStyle w:val="258"/>
        <w:bidi w:val="0"/>
        <w:rPr>
          <w:rFonts w:ascii="宋体" w:hAnsi="宋体" w:eastAsia="宋体" w:cs="宋体"/>
          <w:sz w:val="21"/>
          <w:szCs w:val="21"/>
        </w:rPr>
      </w:pPr>
      <w:r>
        <w:rPr>
          <w:rFonts w:ascii="宋体" w:hAnsi="宋体" w:eastAsia="宋体" w:cs="宋体"/>
          <w:spacing w:val="-3"/>
          <w:sz w:val="21"/>
          <w:szCs w:val="21"/>
        </w:rPr>
        <w:t>感官要求及试验方法</w:t>
      </w:r>
      <w:r>
        <w:rPr>
          <w:rFonts w:hint="eastAsia"/>
          <w:lang w:val="en-US" w:eastAsia="zh-CN"/>
        </w:rPr>
        <w:t>按</w:t>
      </w:r>
      <w:r>
        <w:t>表</w:t>
      </w:r>
      <w:r>
        <w:rPr>
          <w:rFonts w:hint="eastAsia"/>
          <w:lang w:val="en-US" w:eastAsia="zh-CN"/>
        </w:rPr>
        <w:t>1要求进行</w:t>
      </w:r>
      <w:r>
        <w:rPr>
          <w:rFonts w:ascii="宋体" w:hAnsi="宋体" w:eastAsia="宋体" w:cs="宋体"/>
          <w:spacing w:val="-3"/>
          <w:sz w:val="21"/>
          <w:szCs w:val="21"/>
        </w:rPr>
        <w:t>。</w:t>
      </w:r>
    </w:p>
    <w:p w14:paraId="764DFB74">
      <w:pPr>
        <w:pStyle w:val="301"/>
        <w:bidi w:val="0"/>
      </w:pPr>
      <w:r>
        <w:t>感官要求及试验方法</w:t>
      </w:r>
    </w:p>
    <w:p w14:paraId="58C69413">
      <w:pPr>
        <w:spacing w:line="167" w:lineRule="exact"/>
      </w:pPr>
    </w:p>
    <w:tbl>
      <w:tblPr>
        <w:tblStyle w:val="516"/>
        <w:tblW w:w="9479" w:type="dxa"/>
        <w:tblInd w:w="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20"/>
        <w:gridCol w:w="4031"/>
        <w:gridCol w:w="3228"/>
      </w:tblGrid>
      <w:tr w14:paraId="7EA64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2220" w:type="dxa"/>
            <w:vAlign w:val="center"/>
          </w:tcPr>
          <w:p w14:paraId="15A033FA">
            <w:pPr>
              <w:pStyle w:val="515"/>
              <w:spacing w:before="104" w:line="220" w:lineRule="auto"/>
              <w:jc w:val="center"/>
              <w:rPr>
                <w:rFonts w:hint="eastAsia" w:ascii="黑体" w:hAnsi="黑体" w:eastAsia="黑体" w:cs="黑体"/>
                <w:sz w:val="18"/>
                <w:szCs w:val="18"/>
              </w:rPr>
            </w:pPr>
            <w:r>
              <w:rPr>
                <w:rFonts w:hint="eastAsia" w:ascii="黑体" w:hAnsi="黑体" w:eastAsia="黑体" w:cs="黑体"/>
                <w:spacing w:val="-5"/>
                <w:sz w:val="18"/>
                <w:szCs w:val="18"/>
              </w:rPr>
              <w:t>项目</w:t>
            </w:r>
          </w:p>
        </w:tc>
        <w:tc>
          <w:tcPr>
            <w:tcW w:w="4031" w:type="dxa"/>
            <w:vAlign w:val="center"/>
          </w:tcPr>
          <w:p w14:paraId="66339F2E">
            <w:pPr>
              <w:pStyle w:val="515"/>
              <w:spacing w:before="104" w:line="221" w:lineRule="auto"/>
              <w:jc w:val="center"/>
              <w:rPr>
                <w:rFonts w:hint="eastAsia" w:ascii="黑体" w:hAnsi="黑体" w:eastAsia="黑体" w:cs="黑体"/>
                <w:sz w:val="18"/>
                <w:szCs w:val="18"/>
              </w:rPr>
            </w:pPr>
            <w:r>
              <w:rPr>
                <w:rFonts w:hint="eastAsia" w:ascii="黑体" w:hAnsi="黑体" w:eastAsia="黑体" w:cs="黑体"/>
                <w:spacing w:val="-4"/>
                <w:sz w:val="18"/>
                <w:szCs w:val="18"/>
              </w:rPr>
              <w:t>要求</w:t>
            </w:r>
          </w:p>
        </w:tc>
        <w:tc>
          <w:tcPr>
            <w:tcW w:w="3228" w:type="dxa"/>
            <w:vAlign w:val="center"/>
          </w:tcPr>
          <w:p w14:paraId="1BEDA7EB">
            <w:pPr>
              <w:pStyle w:val="515"/>
              <w:spacing w:before="104" w:line="221" w:lineRule="auto"/>
              <w:ind w:left="1239"/>
              <w:jc w:val="both"/>
              <w:rPr>
                <w:rFonts w:hint="eastAsia" w:ascii="黑体" w:hAnsi="黑体" w:eastAsia="黑体" w:cs="黑体"/>
                <w:sz w:val="18"/>
                <w:szCs w:val="18"/>
              </w:rPr>
            </w:pPr>
            <w:r>
              <w:rPr>
                <w:rFonts w:hint="eastAsia" w:ascii="黑体" w:hAnsi="黑体" w:eastAsia="黑体" w:cs="黑体"/>
                <w:spacing w:val="-2"/>
                <w:sz w:val="18"/>
                <w:szCs w:val="18"/>
              </w:rPr>
              <w:t>试验方法</w:t>
            </w:r>
          </w:p>
        </w:tc>
      </w:tr>
      <w:tr w14:paraId="53531E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2220" w:type="dxa"/>
            <w:vAlign w:val="center"/>
          </w:tcPr>
          <w:p w14:paraId="68167042">
            <w:pPr>
              <w:pStyle w:val="515"/>
              <w:spacing w:before="101" w:line="220" w:lineRule="auto"/>
              <w:jc w:val="center"/>
              <w:rPr>
                <w:rFonts w:hint="eastAsia" w:ascii="黑体" w:hAnsi="黑体" w:eastAsia="黑体" w:cs="黑体"/>
                <w:sz w:val="18"/>
                <w:szCs w:val="18"/>
              </w:rPr>
            </w:pPr>
            <w:r>
              <w:rPr>
                <w:rFonts w:hint="eastAsia" w:ascii="黑体" w:hAnsi="黑体" w:eastAsia="黑体" w:cs="黑体"/>
                <w:spacing w:val="-3"/>
                <w:sz w:val="18"/>
                <w:szCs w:val="18"/>
              </w:rPr>
              <w:t>色泽</w:t>
            </w:r>
          </w:p>
        </w:tc>
        <w:tc>
          <w:tcPr>
            <w:tcW w:w="4031" w:type="dxa"/>
            <w:vAlign w:val="center"/>
          </w:tcPr>
          <w:p w14:paraId="7F9BC901">
            <w:pPr>
              <w:pStyle w:val="515"/>
              <w:spacing w:before="100" w:line="220" w:lineRule="auto"/>
              <w:jc w:val="center"/>
              <w:rPr>
                <w:sz w:val="18"/>
                <w:szCs w:val="18"/>
              </w:rPr>
            </w:pPr>
            <w:r>
              <w:rPr>
                <w:spacing w:val="-2"/>
                <w:sz w:val="18"/>
                <w:szCs w:val="18"/>
              </w:rPr>
              <w:t>暗红色，色泽均匀有光泽</w:t>
            </w:r>
          </w:p>
        </w:tc>
        <w:tc>
          <w:tcPr>
            <w:tcW w:w="3228" w:type="dxa"/>
            <w:vMerge w:val="restart"/>
            <w:tcBorders>
              <w:bottom w:val="nil"/>
            </w:tcBorders>
            <w:vAlign w:val="center"/>
          </w:tcPr>
          <w:p w14:paraId="082E1A38">
            <w:pPr>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ascii="Arial"/>
                <w:sz w:val="18"/>
                <w:szCs w:val="18"/>
              </w:rPr>
            </w:pPr>
          </w:p>
          <w:p w14:paraId="1BB05D52">
            <w:pPr>
              <w:pStyle w:val="515"/>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sz w:val="18"/>
                <w:szCs w:val="18"/>
              </w:rPr>
            </w:pPr>
            <w:r>
              <w:rPr>
                <w:rFonts w:hint="eastAsia"/>
                <w:sz w:val="18"/>
                <w:szCs w:val="18"/>
              </w:rPr>
              <w:t>将产品置于洁净的白瓷盘或盆内，放在 光线充足处观察被测检血制品的色泽、 杂质、组织形态并嗅其气味</w:t>
            </w:r>
          </w:p>
        </w:tc>
      </w:tr>
      <w:tr w14:paraId="6ACFD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220" w:type="dxa"/>
            <w:vAlign w:val="center"/>
          </w:tcPr>
          <w:p w14:paraId="6B7A1FDF">
            <w:pPr>
              <w:pStyle w:val="515"/>
              <w:spacing w:before="104" w:line="222" w:lineRule="auto"/>
              <w:jc w:val="center"/>
              <w:rPr>
                <w:rFonts w:hint="eastAsia" w:ascii="黑体" w:hAnsi="黑体" w:eastAsia="黑体" w:cs="黑体"/>
                <w:sz w:val="18"/>
                <w:szCs w:val="18"/>
              </w:rPr>
            </w:pPr>
            <w:r>
              <w:rPr>
                <w:rFonts w:hint="eastAsia" w:ascii="黑体" w:hAnsi="黑体" w:eastAsia="黑体" w:cs="黑体"/>
                <w:spacing w:val="-2"/>
                <w:sz w:val="18"/>
                <w:szCs w:val="18"/>
              </w:rPr>
              <w:t>组织形态</w:t>
            </w:r>
          </w:p>
        </w:tc>
        <w:tc>
          <w:tcPr>
            <w:tcW w:w="4031" w:type="dxa"/>
            <w:vAlign w:val="center"/>
          </w:tcPr>
          <w:p w14:paraId="3289FEAB">
            <w:pPr>
              <w:pStyle w:val="515"/>
              <w:spacing w:before="104" w:line="219" w:lineRule="auto"/>
              <w:jc w:val="center"/>
              <w:rPr>
                <w:sz w:val="18"/>
                <w:szCs w:val="18"/>
              </w:rPr>
            </w:pPr>
            <w:r>
              <w:rPr>
                <w:spacing w:val="-1"/>
                <w:sz w:val="18"/>
                <w:szCs w:val="18"/>
              </w:rPr>
              <w:t>外形完整、有弹性，有微小气孔及析水</w:t>
            </w:r>
          </w:p>
        </w:tc>
        <w:tc>
          <w:tcPr>
            <w:tcW w:w="3228" w:type="dxa"/>
            <w:vMerge w:val="continue"/>
            <w:tcBorders>
              <w:top w:val="nil"/>
              <w:bottom w:val="nil"/>
            </w:tcBorders>
            <w:vAlign w:val="top"/>
          </w:tcPr>
          <w:p w14:paraId="64DFF0EE">
            <w:pPr>
              <w:rPr>
                <w:rFonts w:ascii="Arial"/>
                <w:sz w:val="21"/>
              </w:rPr>
            </w:pPr>
          </w:p>
        </w:tc>
      </w:tr>
      <w:tr w14:paraId="5BA98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220" w:type="dxa"/>
            <w:vAlign w:val="center"/>
          </w:tcPr>
          <w:p w14:paraId="7116D9EA">
            <w:pPr>
              <w:pStyle w:val="515"/>
              <w:spacing w:before="103" w:line="220" w:lineRule="auto"/>
              <w:jc w:val="center"/>
              <w:rPr>
                <w:rFonts w:hint="eastAsia" w:ascii="黑体" w:hAnsi="黑体" w:eastAsia="黑体" w:cs="黑体"/>
                <w:sz w:val="18"/>
                <w:szCs w:val="18"/>
              </w:rPr>
            </w:pPr>
            <w:r>
              <w:rPr>
                <w:rFonts w:hint="eastAsia" w:ascii="黑体" w:hAnsi="黑体" w:eastAsia="黑体" w:cs="黑体"/>
                <w:spacing w:val="-2"/>
                <w:sz w:val="18"/>
                <w:szCs w:val="18"/>
              </w:rPr>
              <w:t>滋味、气味</w:t>
            </w:r>
          </w:p>
        </w:tc>
        <w:tc>
          <w:tcPr>
            <w:tcW w:w="4031" w:type="dxa"/>
            <w:vAlign w:val="center"/>
          </w:tcPr>
          <w:p w14:paraId="771EE854">
            <w:pPr>
              <w:pStyle w:val="515"/>
              <w:spacing w:before="102" w:line="220" w:lineRule="auto"/>
              <w:jc w:val="center"/>
              <w:rPr>
                <w:sz w:val="18"/>
                <w:szCs w:val="18"/>
              </w:rPr>
            </w:pPr>
            <w:r>
              <w:rPr>
                <w:spacing w:val="-1"/>
                <w:sz w:val="18"/>
                <w:szCs w:val="18"/>
              </w:rPr>
              <w:t>具有产品固有的气味、滋味、无异味</w:t>
            </w:r>
          </w:p>
        </w:tc>
        <w:tc>
          <w:tcPr>
            <w:tcW w:w="3228" w:type="dxa"/>
            <w:vMerge w:val="continue"/>
            <w:tcBorders>
              <w:top w:val="nil"/>
              <w:bottom w:val="nil"/>
            </w:tcBorders>
            <w:vAlign w:val="top"/>
          </w:tcPr>
          <w:p w14:paraId="57DA0839">
            <w:pPr>
              <w:rPr>
                <w:rFonts w:ascii="Arial"/>
                <w:sz w:val="21"/>
              </w:rPr>
            </w:pPr>
          </w:p>
        </w:tc>
      </w:tr>
      <w:tr w14:paraId="19CEF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2220" w:type="dxa"/>
            <w:vAlign w:val="center"/>
          </w:tcPr>
          <w:p w14:paraId="57A1420F">
            <w:pPr>
              <w:pStyle w:val="515"/>
              <w:spacing w:before="103" w:line="220" w:lineRule="auto"/>
              <w:jc w:val="center"/>
              <w:rPr>
                <w:rFonts w:hint="eastAsia" w:ascii="黑体" w:hAnsi="黑体" w:eastAsia="黑体" w:cs="黑体"/>
                <w:sz w:val="18"/>
                <w:szCs w:val="18"/>
              </w:rPr>
            </w:pPr>
            <w:r>
              <w:rPr>
                <w:rFonts w:hint="eastAsia" w:ascii="黑体" w:hAnsi="黑体" w:eastAsia="黑体" w:cs="黑体"/>
                <w:spacing w:val="-3"/>
                <w:sz w:val="18"/>
                <w:szCs w:val="18"/>
              </w:rPr>
              <w:t>杂质</w:t>
            </w:r>
          </w:p>
        </w:tc>
        <w:tc>
          <w:tcPr>
            <w:tcW w:w="4031" w:type="dxa"/>
            <w:vAlign w:val="center"/>
          </w:tcPr>
          <w:p w14:paraId="14959685">
            <w:pPr>
              <w:pStyle w:val="515"/>
              <w:spacing w:before="103" w:line="220" w:lineRule="auto"/>
              <w:jc w:val="center"/>
              <w:rPr>
                <w:sz w:val="18"/>
                <w:szCs w:val="18"/>
              </w:rPr>
            </w:pPr>
            <w:r>
              <w:rPr>
                <w:spacing w:val="-1"/>
                <w:sz w:val="18"/>
                <w:szCs w:val="18"/>
              </w:rPr>
              <w:t>无正常视力可见外来异物</w:t>
            </w:r>
          </w:p>
        </w:tc>
        <w:tc>
          <w:tcPr>
            <w:tcW w:w="3228" w:type="dxa"/>
            <w:vMerge w:val="continue"/>
            <w:tcBorders>
              <w:top w:val="nil"/>
            </w:tcBorders>
            <w:vAlign w:val="top"/>
          </w:tcPr>
          <w:p w14:paraId="0841A67B">
            <w:pPr>
              <w:rPr>
                <w:rFonts w:ascii="Arial"/>
                <w:sz w:val="21"/>
              </w:rPr>
            </w:pPr>
          </w:p>
        </w:tc>
      </w:tr>
    </w:tbl>
    <w:p w14:paraId="401EC4C8">
      <w:pPr>
        <w:pStyle w:val="260"/>
        <w:bidi w:val="0"/>
        <w:rPr>
          <w:rFonts w:hint="eastAsia"/>
        </w:rPr>
      </w:pPr>
      <w:r>
        <w:t>理化</w:t>
      </w:r>
      <w:r>
        <w:rPr>
          <w:rFonts w:hint="eastAsia"/>
        </w:rPr>
        <w:t>指标</w:t>
      </w:r>
    </w:p>
    <w:p w14:paraId="0A9EC8A8">
      <w:pPr>
        <w:pStyle w:val="258"/>
        <w:bidi w:val="0"/>
        <w:rPr>
          <w:rFonts w:hint="eastAsia"/>
        </w:rPr>
      </w:pPr>
      <w:r>
        <w:t>应符合表2的规定</w:t>
      </w:r>
      <w:r>
        <w:rPr>
          <w:rFonts w:hint="eastAsia"/>
        </w:rPr>
        <w:t>。</w:t>
      </w:r>
    </w:p>
    <w:p w14:paraId="526D4FB4">
      <w:pPr>
        <w:pStyle w:val="301"/>
        <w:bidi w:val="0"/>
        <w:rPr>
          <w:rFonts w:hint="eastAsia"/>
        </w:rPr>
      </w:pPr>
      <w:r>
        <w:t>理化指标</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9"/>
        <w:gridCol w:w="4770"/>
      </w:tblGrid>
      <w:tr w14:paraId="76B0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4389" w:type="dxa"/>
            <w:noWrap w:val="0"/>
            <w:vAlign w:val="center"/>
          </w:tcPr>
          <w:p w14:paraId="410F0BEF">
            <w:pPr>
              <w:pStyle w:val="258"/>
              <w:widowControl w:val="0"/>
              <w:ind w:firstLine="0" w:firstLineChars="0"/>
              <w:jc w:val="center"/>
              <w:rPr>
                <w:rFonts w:hint="eastAsia" w:ascii="黑体" w:hAnsi="黑体" w:eastAsia="黑体" w:cs="黑体"/>
                <w:color w:val="auto"/>
                <w:kern w:val="2"/>
                <w:sz w:val="18"/>
                <w:szCs w:val="18"/>
              </w:rPr>
            </w:pPr>
            <w:r>
              <w:rPr>
                <w:rFonts w:hint="eastAsia" w:ascii="黑体" w:hAnsi="黑体" w:eastAsia="黑体" w:cs="黑体"/>
                <w:color w:val="auto"/>
                <w:kern w:val="2"/>
                <w:sz w:val="18"/>
                <w:szCs w:val="18"/>
              </w:rPr>
              <w:t>项  目</w:t>
            </w:r>
          </w:p>
        </w:tc>
        <w:tc>
          <w:tcPr>
            <w:tcW w:w="4770" w:type="dxa"/>
            <w:noWrap w:val="0"/>
            <w:vAlign w:val="center"/>
          </w:tcPr>
          <w:p w14:paraId="5A85476A">
            <w:pPr>
              <w:pStyle w:val="258"/>
              <w:widowControl w:val="0"/>
              <w:ind w:firstLine="0" w:firstLineChars="0"/>
              <w:jc w:val="center"/>
              <w:rPr>
                <w:rFonts w:hint="eastAsia" w:ascii="黑体" w:hAnsi="黑体" w:eastAsia="黑体" w:cs="黑体"/>
                <w:color w:val="auto"/>
                <w:kern w:val="2"/>
                <w:sz w:val="18"/>
                <w:szCs w:val="18"/>
              </w:rPr>
            </w:pPr>
            <w:r>
              <w:rPr>
                <w:rFonts w:hint="eastAsia" w:ascii="黑体" w:hAnsi="黑体" w:eastAsia="黑体" w:cs="黑体"/>
                <w:color w:val="auto"/>
                <w:kern w:val="2"/>
                <w:sz w:val="18"/>
                <w:szCs w:val="18"/>
              </w:rPr>
              <w:t>指  标</w:t>
            </w:r>
          </w:p>
        </w:tc>
      </w:tr>
      <w:tr w14:paraId="3CAF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4389" w:type="dxa"/>
            <w:noWrap w:val="0"/>
            <w:vAlign w:val="center"/>
          </w:tcPr>
          <w:p w14:paraId="2820AB01">
            <w:pPr>
              <w:pStyle w:val="258"/>
              <w:widowControl w:val="0"/>
              <w:ind w:firstLine="0" w:firstLineChars="0"/>
              <w:rPr>
                <w:rFonts w:hint="eastAsia" w:ascii="黑体" w:hAnsi="黑体" w:eastAsia="黑体" w:cs="黑体"/>
                <w:color w:val="auto"/>
                <w:kern w:val="2"/>
                <w:sz w:val="18"/>
                <w:szCs w:val="18"/>
              </w:rPr>
            </w:pPr>
            <w:r>
              <w:rPr>
                <w:rFonts w:hint="eastAsia" w:ascii="黑体" w:hAnsi="黑体" w:eastAsia="黑体" w:cs="黑体"/>
                <w:color w:val="auto"/>
                <w:kern w:val="2"/>
                <w:sz w:val="18"/>
                <w:szCs w:val="18"/>
              </w:rPr>
              <w:t>水分/（g/100g）                         ≤</w:t>
            </w:r>
          </w:p>
        </w:tc>
        <w:tc>
          <w:tcPr>
            <w:tcW w:w="4770" w:type="dxa"/>
            <w:noWrap w:val="0"/>
            <w:vAlign w:val="center"/>
          </w:tcPr>
          <w:p w14:paraId="1EA40EA8">
            <w:pPr>
              <w:pStyle w:val="258"/>
              <w:widowControl w:val="0"/>
              <w:ind w:firstLine="0" w:firstLineChars="0"/>
              <w:jc w:val="center"/>
              <w:rPr>
                <w:rFonts w:hint="default" w:hAnsi="宋体" w:eastAsia="宋体"/>
                <w:color w:val="auto"/>
                <w:kern w:val="2"/>
                <w:sz w:val="18"/>
                <w:szCs w:val="18"/>
                <w:lang w:val="en-US" w:eastAsia="zh-CN"/>
              </w:rPr>
            </w:pPr>
            <w:r>
              <w:rPr>
                <w:rFonts w:hint="eastAsia" w:hAnsi="宋体"/>
                <w:color w:val="auto"/>
                <w:kern w:val="2"/>
                <w:sz w:val="18"/>
                <w:szCs w:val="18"/>
                <w:lang w:val="en-US" w:eastAsia="zh-CN"/>
              </w:rPr>
              <w:t>95</w:t>
            </w:r>
          </w:p>
        </w:tc>
      </w:tr>
      <w:tr w14:paraId="563E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4389" w:type="dxa"/>
            <w:noWrap w:val="0"/>
            <w:vAlign w:val="center"/>
          </w:tcPr>
          <w:p w14:paraId="27499255">
            <w:pPr>
              <w:pStyle w:val="258"/>
              <w:widowControl w:val="0"/>
              <w:ind w:firstLine="0" w:firstLineChars="0"/>
              <w:rPr>
                <w:rFonts w:hint="eastAsia" w:ascii="黑体" w:hAnsi="黑体" w:eastAsia="黑体" w:cs="黑体"/>
                <w:color w:val="auto"/>
                <w:kern w:val="2"/>
                <w:sz w:val="18"/>
                <w:szCs w:val="18"/>
              </w:rPr>
            </w:pPr>
            <w:r>
              <w:rPr>
                <w:rFonts w:hint="eastAsia" w:ascii="黑体" w:hAnsi="黑体" w:eastAsia="黑体" w:cs="黑体"/>
                <w:color w:val="auto"/>
                <w:kern w:val="2"/>
                <w:sz w:val="18"/>
                <w:szCs w:val="18"/>
              </w:rPr>
              <w:t>蛋白质/（g/100g）                       ≥</w:t>
            </w:r>
          </w:p>
        </w:tc>
        <w:tc>
          <w:tcPr>
            <w:tcW w:w="4770" w:type="dxa"/>
            <w:noWrap w:val="0"/>
            <w:vAlign w:val="center"/>
          </w:tcPr>
          <w:p w14:paraId="0B9BBC92">
            <w:pPr>
              <w:pStyle w:val="258"/>
              <w:widowControl w:val="0"/>
              <w:ind w:firstLine="0" w:firstLineChars="0"/>
              <w:jc w:val="center"/>
              <w:rPr>
                <w:rFonts w:hint="default" w:hAnsi="宋体" w:eastAsia="宋体"/>
                <w:color w:val="auto"/>
                <w:kern w:val="2"/>
                <w:sz w:val="18"/>
                <w:szCs w:val="18"/>
                <w:lang w:val="en-US" w:eastAsia="zh-CN"/>
              </w:rPr>
            </w:pPr>
            <w:r>
              <w:rPr>
                <w:rFonts w:hint="eastAsia" w:hAnsi="宋体"/>
                <w:color w:val="auto"/>
                <w:kern w:val="2"/>
                <w:sz w:val="18"/>
                <w:szCs w:val="18"/>
                <w:lang w:val="en-US" w:eastAsia="zh-CN"/>
              </w:rPr>
              <w:t>2.5</w:t>
            </w:r>
          </w:p>
        </w:tc>
      </w:tr>
    </w:tbl>
    <w:p w14:paraId="05CC07D9">
      <w:pPr>
        <w:pStyle w:val="260"/>
        <w:bidi w:val="0"/>
        <w:rPr>
          <w:rFonts w:hint="eastAsia"/>
        </w:rPr>
      </w:pPr>
      <w:r>
        <w:rPr>
          <w:rFonts w:hint="eastAsia"/>
        </w:rPr>
        <w:t>净含量</w:t>
      </w:r>
    </w:p>
    <w:p w14:paraId="12E1D28C">
      <w:pPr>
        <w:pStyle w:val="258"/>
        <w:bidi w:val="0"/>
        <w:rPr>
          <w:rFonts w:hint="eastAsia"/>
        </w:rPr>
      </w:pPr>
      <w:r>
        <w:rPr>
          <w:rFonts w:hint="eastAsia"/>
          <w:lang w:val="en-US" w:eastAsia="zh-CN"/>
        </w:rPr>
        <w:t>预包装产品净含量要求</w:t>
      </w:r>
      <w:r>
        <w:rPr>
          <w:rFonts w:hint="eastAsia"/>
        </w:rPr>
        <w:t>应符合《定量包装商品计量监督管理办法》的规定。</w:t>
      </w:r>
    </w:p>
    <w:p w14:paraId="68436935">
      <w:pPr>
        <w:pStyle w:val="259"/>
        <w:bidi w:val="0"/>
        <w:rPr>
          <w:rFonts w:hint="default"/>
          <w:lang w:val="en-US"/>
        </w:rPr>
      </w:pPr>
      <w:r>
        <w:rPr>
          <w:rFonts w:hint="eastAsia"/>
        </w:rPr>
        <w:t>生产加工过程</w:t>
      </w:r>
      <w:r>
        <w:rPr>
          <w:rFonts w:hint="eastAsia"/>
          <w:lang w:val="en-US" w:eastAsia="zh-CN"/>
        </w:rPr>
        <w:t>管理</w:t>
      </w:r>
    </w:p>
    <w:p w14:paraId="056F0790">
      <w:pPr>
        <w:pStyle w:val="258"/>
        <w:bidi w:val="0"/>
        <w:rPr>
          <w:rFonts w:hint="eastAsia"/>
        </w:rPr>
      </w:pPr>
      <w:r>
        <w:t>应符合</w:t>
      </w:r>
      <w:r>
        <w:rPr>
          <w:rFonts w:hint="eastAsia"/>
          <w:lang w:val="en-US" w:eastAsia="zh-CN"/>
        </w:rPr>
        <w:t>相关国家标准或行业标准规定</w:t>
      </w:r>
      <w:r>
        <w:t>。</w:t>
      </w:r>
    </w:p>
    <w:p w14:paraId="1E21A2F9">
      <w:pPr>
        <w:pStyle w:val="259"/>
        <w:bidi w:val="0"/>
      </w:pPr>
      <w:r>
        <w:rPr>
          <w:rFonts w:hint="eastAsia"/>
        </w:rPr>
        <w:t>检验</w:t>
      </w:r>
      <w:r>
        <w:t>方法</w:t>
      </w:r>
    </w:p>
    <w:p w14:paraId="008D20DB">
      <w:pPr>
        <w:pStyle w:val="260"/>
        <w:bidi w:val="0"/>
        <w:rPr>
          <w:rFonts w:hint="eastAsia"/>
        </w:rPr>
      </w:pPr>
      <w:r>
        <w:t>感官</w:t>
      </w:r>
      <w:r>
        <w:rPr>
          <w:rFonts w:hint="eastAsia"/>
        </w:rPr>
        <w:t>指标</w:t>
      </w:r>
    </w:p>
    <w:p w14:paraId="414EF760">
      <w:pPr>
        <w:pStyle w:val="258"/>
        <w:bidi w:val="0"/>
        <w:rPr>
          <w:rFonts w:hint="eastAsia"/>
        </w:rPr>
      </w:pPr>
      <w:r>
        <w:rPr>
          <w:rFonts w:hint="eastAsia"/>
        </w:rPr>
        <w:t>将试样置于</w:t>
      </w:r>
      <w:r>
        <w:rPr>
          <w:rFonts w:hint="eastAsia"/>
          <w:lang w:val="en-US" w:eastAsia="zh-CN"/>
        </w:rPr>
        <w:t>清洁的</w:t>
      </w:r>
      <w:r>
        <w:rPr>
          <w:rFonts w:hint="eastAsia"/>
        </w:rPr>
        <w:t>白瓷盘</w:t>
      </w:r>
      <w:r>
        <w:rPr>
          <w:rFonts w:hint="eastAsia"/>
          <w:lang w:val="en-US" w:eastAsia="zh-CN"/>
        </w:rPr>
        <w:t>或盒</w:t>
      </w:r>
      <w:r>
        <w:rPr>
          <w:rFonts w:hint="eastAsia"/>
        </w:rPr>
        <w:t>内，于光线充足、无异味的环境中，用目视、鼻嗅、口尝的方法对照表1进行检验。</w:t>
      </w:r>
    </w:p>
    <w:p w14:paraId="65201CE9">
      <w:pPr>
        <w:pStyle w:val="260"/>
        <w:bidi w:val="0"/>
      </w:pPr>
      <w:r>
        <w:t>理化</w:t>
      </w:r>
      <w:r>
        <w:rPr>
          <w:rFonts w:hint="eastAsia"/>
        </w:rPr>
        <w:t>指标</w:t>
      </w:r>
    </w:p>
    <w:p w14:paraId="58724420">
      <w:pPr>
        <w:pStyle w:val="261"/>
        <w:bidi w:val="0"/>
        <w:rPr>
          <w:rFonts w:hint="eastAsia"/>
        </w:rPr>
      </w:pPr>
      <w:r>
        <w:rPr>
          <w:rFonts w:hint="eastAsia"/>
        </w:rPr>
        <w:t>水分</w:t>
      </w:r>
    </w:p>
    <w:p w14:paraId="62D8C049">
      <w:pPr>
        <w:pStyle w:val="258"/>
        <w:bidi w:val="0"/>
        <w:rPr>
          <w:rFonts w:hint="eastAsia"/>
        </w:rPr>
      </w:pPr>
      <w:r>
        <w:rPr>
          <w:rFonts w:hint="eastAsia"/>
        </w:rPr>
        <w:t>按GB 5009.3规定的方法测定。</w:t>
      </w:r>
    </w:p>
    <w:p w14:paraId="2636D207">
      <w:pPr>
        <w:pStyle w:val="261"/>
        <w:bidi w:val="0"/>
      </w:pPr>
      <w:r>
        <w:rPr>
          <w:rFonts w:hint="eastAsia"/>
        </w:rPr>
        <w:t>蛋白质</w:t>
      </w:r>
    </w:p>
    <w:p w14:paraId="500AEC04">
      <w:pPr>
        <w:ind w:firstLine="420" w:firstLineChars="200"/>
        <w:rPr>
          <w:rFonts w:hint="eastAsia" w:ascii="宋体" w:hAnsi="宋体"/>
          <w:color w:val="auto"/>
        </w:rPr>
      </w:pPr>
      <w:r>
        <w:rPr>
          <w:rFonts w:hint="eastAsia" w:ascii="宋体" w:hAnsi="宋体"/>
          <w:color w:val="auto"/>
        </w:rPr>
        <w:t>按GB 5009.5规定的方法测定。</w:t>
      </w:r>
    </w:p>
    <w:p w14:paraId="20FCD5BA">
      <w:pPr>
        <w:pStyle w:val="260"/>
        <w:bidi w:val="0"/>
        <w:rPr>
          <w:rFonts w:hint="eastAsia" w:ascii="Times New Roman" w:hAnsi="宋体"/>
          <w:color w:val="auto"/>
          <w:kern w:val="2"/>
          <w:szCs w:val="24"/>
        </w:rPr>
      </w:pPr>
      <w:r>
        <w:rPr>
          <w:rFonts w:hint="eastAsia"/>
        </w:rPr>
        <w:t>净含量</w:t>
      </w:r>
    </w:p>
    <w:p w14:paraId="47CE89F0">
      <w:pPr>
        <w:pStyle w:val="258"/>
        <w:bidi w:val="0"/>
        <w:rPr>
          <w:rFonts w:hint="eastAsia"/>
        </w:rPr>
      </w:pPr>
      <w:r>
        <w:rPr>
          <w:rFonts w:hint="eastAsia"/>
        </w:rPr>
        <w:t>按JJF 1070规定的方法测定。</w:t>
      </w:r>
    </w:p>
    <w:p w14:paraId="2A4EDA2F">
      <w:pPr>
        <w:pStyle w:val="259"/>
        <w:bidi w:val="0"/>
      </w:pPr>
      <w:r>
        <w:t>检验规则</w:t>
      </w:r>
    </w:p>
    <w:p w14:paraId="4301FF6D">
      <w:pPr>
        <w:pStyle w:val="260"/>
        <w:bidi w:val="0"/>
        <w:rPr>
          <w:rFonts w:hint="eastAsia"/>
        </w:rPr>
      </w:pPr>
      <w:r>
        <w:rPr>
          <w:rFonts w:hint="eastAsia"/>
        </w:rPr>
        <w:t>组批</w:t>
      </w:r>
    </w:p>
    <w:p w14:paraId="62BD607D">
      <w:pPr>
        <w:pStyle w:val="258"/>
        <w:bidi w:val="0"/>
        <w:rPr>
          <w:rFonts w:hint="eastAsia"/>
        </w:rPr>
      </w:pPr>
      <w:r>
        <w:rPr>
          <w:rFonts w:hint="eastAsia"/>
        </w:rPr>
        <w:t>以同一天或同一班次生产的</w:t>
      </w:r>
      <w:r>
        <w:rPr>
          <w:rFonts w:hint="eastAsia"/>
          <w:lang w:val="en-US" w:eastAsia="zh-CN"/>
        </w:rPr>
        <w:t>同一品种、同一规格的</w:t>
      </w:r>
      <w:r>
        <w:rPr>
          <w:rFonts w:hint="eastAsia"/>
        </w:rPr>
        <w:t>产品为一批。</w:t>
      </w:r>
    </w:p>
    <w:p w14:paraId="00752031">
      <w:pPr>
        <w:pStyle w:val="260"/>
        <w:bidi w:val="0"/>
      </w:pPr>
      <w:r>
        <w:rPr>
          <w:rFonts w:hint="eastAsia"/>
          <w:lang w:val="en-US" w:eastAsia="zh-CN"/>
        </w:rPr>
        <w:t>抽样</w:t>
      </w:r>
    </w:p>
    <w:p w14:paraId="26226D25">
      <w:pPr>
        <w:pStyle w:val="327"/>
        <w:bidi w:val="0"/>
        <w:rPr>
          <w:rFonts w:ascii="宋体" w:hAnsi="宋体" w:eastAsia="宋体" w:cs="宋体"/>
          <w:sz w:val="21"/>
          <w:szCs w:val="21"/>
        </w:rPr>
      </w:pPr>
      <w:r>
        <w:rPr>
          <w:rFonts w:hint="eastAsia" w:ascii="宋体" w:hAnsi="宋体" w:eastAsia="宋体" w:cs="宋体"/>
          <w:sz w:val="21"/>
          <w:szCs w:val="21"/>
        </w:rPr>
        <w:t>出厂检验样本从每批产品中随机抽取不少于 500g（不少于5个最小销售包装单位，净含量允差检验样本另计）。</w:t>
      </w:r>
    </w:p>
    <w:p w14:paraId="7039D715">
      <w:pPr>
        <w:pStyle w:val="327"/>
        <w:bidi w:val="0"/>
        <w:rPr>
          <w:rFonts w:hint="eastAsia" w:ascii="宋体" w:hAnsi="宋体" w:eastAsia="宋体" w:cs="宋体"/>
          <w:sz w:val="21"/>
          <w:szCs w:val="21"/>
        </w:rPr>
      </w:pPr>
      <w:r>
        <w:rPr>
          <w:rFonts w:hint="eastAsia" w:ascii="宋体" w:hAnsi="宋体" w:eastAsia="宋体" w:cs="宋体"/>
          <w:sz w:val="21"/>
          <w:szCs w:val="21"/>
        </w:rPr>
        <w:t>型式检验的样本应从出厂检验合格的产品中随机抽取不少于 1kg（不少于8个最小销售包装单 位，净含量允差检验样本另计）。</w:t>
      </w:r>
    </w:p>
    <w:p w14:paraId="4EC5F4BC">
      <w:pPr>
        <w:pStyle w:val="260"/>
        <w:bidi w:val="0"/>
        <w:rPr>
          <w:rFonts w:hint="eastAsia"/>
        </w:rPr>
      </w:pPr>
      <w:r>
        <w:rPr>
          <w:rFonts w:hint="eastAsia"/>
        </w:rPr>
        <w:t>检验</w:t>
      </w:r>
    </w:p>
    <w:p w14:paraId="0004501B">
      <w:pPr>
        <w:pStyle w:val="261"/>
        <w:bidi w:val="0"/>
        <w:rPr>
          <w:rFonts w:hint="eastAsia"/>
        </w:rPr>
      </w:pPr>
      <w:r>
        <w:rPr>
          <w:rFonts w:hint="eastAsia"/>
        </w:rPr>
        <w:t>出厂检验</w:t>
      </w:r>
    </w:p>
    <w:p w14:paraId="03CB2A64">
      <w:pPr>
        <w:pStyle w:val="328"/>
        <w:bidi w:val="0"/>
        <w:rPr>
          <w:rFonts w:hint="eastAsia" w:ascii="宋体" w:hAnsi="宋体"/>
          <w:color w:val="auto"/>
        </w:rPr>
      </w:pPr>
      <w:r>
        <w:rPr>
          <w:rFonts w:hint="eastAsia"/>
        </w:rPr>
        <w:t>每批产品出厂前，须经企业质量检验部门按本标准规定进行检验，合格后签发质量证书方可出厂。</w:t>
      </w:r>
    </w:p>
    <w:p w14:paraId="01DC6FAA">
      <w:pPr>
        <w:pStyle w:val="328"/>
        <w:bidi w:val="0"/>
        <w:rPr>
          <w:rFonts w:hint="eastAsia" w:ascii="宋体" w:hAnsi="宋体"/>
          <w:color w:val="auto"/>
        </w:rPr>
      </w:pPr>
      <w:r>
        <w:rPr>
          <w:rFonts w:hint="eastAsia" w:ascii="宋体" w:hAnsi="宋体"/>
          <w:color w:val="auto"/>
        </w:rPr>
        <w:t>出厂检验项目：感官要求、净含量。</w:t>
      </w:r>
    </w:p>
    <w:p w14:paraId="6AA9D62A">
      <w:pPr>
        <w:pStyle w:val="261"/>
        <w:bidi w:val="0"/>
        <w:rPr>
          <w:rFonts w:hint="eastAsia"/>
        </w:rPr>
      </w:pPr>
      <w:r>
        <w:rPr>
          <w:rFonts w:hint="eastAsia"/>
        </w:rPr>
        <w:t>出厂检验判定</w:t>
      </w:r>
    </w:p>
    <w:p w14:paraId="085EEC4D">
      <w:pPr>
        <w:pStyle w:val="328"/>
        <w:bidi w:val="0"/>
        <w:rPr>
          <w:rFonts w:hint="eastAsia" w:ascii="宋体" w:hAnsi="宋体"/>
          <w:color w:val="auto"/>
        </w:rPr>
      </w:pPr>
      <w:r>
        <w:rPr>
          <w:rFonts w:hint="eastAsia"/>
        </w:rPr>
        <w:t>出厂检验项目指标符合标准规定，判定该批产品为合格批。</w:t>
      </w:r>
    </w:p>
    <w:p w14:paraId="5C40B448">
      <w:pPr>
        <w:pStyle w:val="328"/>
        <w:bidi w:val="0"/>
        <w:rPr>
          <w:rFonts w:hint="eastAsia" w:ascii="宋体" w:hAnsi="宋体"/>
          <w:color w:val="auto"/>
        </w:rPr>
      </w:pPr>
      <w:r>
        <w:rPr>
          <w:rFonts w:hint="eastAsia" w:ascii="宋体" w:hAnsi="宋体"/>
          <w:color w:val="auto"/>
        </w:rPr>
        <w:t>出厂检验项目如不符合标准，可以从同批产品中加倍抽样，对不合格项目进行复检，如复检结果仍不符合本标准，则判定该批产品为不合格批。</w:t>
      </w:r>
    </w:p>
    <w:p w14:paraId="1E6CE5AE">
      <w:pPr>
        <w:pStyle w:val="261"/>
        <w:bidi w:val="0"/>
        <w:rPr>
          <w:rFonts w:hint="eastAsia"/>
        </w:rPr>
      </w:pPr>
      <w:r>
        <w:rPr>
          <w:rFonts w:hint="eastAsia"/>
        </w:rPr>
        <w:t>型式检验</w:t>
      </w:r>
    </w:p>
    <w:p w14:paraId="79271507">
      <w:pPr>
        <w:pStyle w:val="328"/>
        <w:bidi w:val="0"/>
        <w:rPr>
          <w:rFonts w:hint="eastAsia"/>
        </w:rPr>
      </w:pPr>
      <w:r>
        <w:rPr>
          <w:rFonts w:hint="eastAsia"/>
        </w:rPr>
        <w:t>遇有下列情况之一者，应进行型式检验：</w:t>
      </w:r>
    </w:p>
    <w:p w14:paraId="738677C8">
      <w:pPr>
        <w:pStyle w:val="305"/>
        <w:bidi w:val="0"/>
        <w:rPr>
          <w:rFonts w:hint="eastAsia" w:ascii="宋体" w:hAnsi="宋体"/>
          <w:color w:val="auto"/>
        </w:rPr>
      </w:pPr>
      <w:r>
        <w:rPr>
          <w:rFonts w:hint="eastAsia"/>
        </w:rPr>
        <w:t>更换设备、原料来源发生变化可能影响产品质量时；</w:t>
      </w:r>
    </w:p>
    <w:p w14:paraId="35684D2B">
      <w:pPr>
        <w:pStyle w:val="305"/>
        <w:bidi w:val="0"/>
        <w:rPr>
          <w:rFonts w:hint="eastAsia" w:ascii="宋体" w:hAnsi="宋体"/>
          <w:color w:val="auto"/>
        </w:rPr>
      </w:pPr>
      <w:r>
        <w:rPr>
          <w:rFonts w:hint="eastAsia" w:ascii="宋体" w:hAnsi="宋体"/>
          <w:color w:val="auto"/>
        </w:rPr>
        <w:t>正常生产每半年或停产3个月以上恢复生产时；</w:t>
      </w:r>
    </w:p>
    <w:p w14:paraId="3A35832A">
      <w:pPr>
        <w:pStyle w:val="305"/>
        <w:bidi w:val="0"/>
        <w:rPr>
          <w:rFonts w:hint="eastAsia" w:ascii="宋体" w:hAnsi="宋体"/>
          <w:color w:val="auto"/>
        </w:rPr>
      </w:pPr>
      <w:r>
        <w:rPr>
          <w:rFonts w:hint="eastAsia" w:ascii="宋体" w:hAnsi="宋体"/>
          <w:color w:val="auto"/>
        </w:rPr>
        <w:t>出厂检验结果与上次型式检验有较大差异时；</w:t>
      </w:r>
    </w:p>
    <w:p w14:paraId="08D9D4E9">
      <w:pPr>
        <w:pStyle w:val="305"/>
        <w:bidi w:val="0"/>
        <w:rPr>
          <w:rFonts w:hint="eastAsia" w:ascii="宋体" w:hAnsi="宋体"/>
          <w:color w:val="auto"/>
        </w:rPr>
      </w:pPr>
      <w:r>
        <w:rPr>
          <w:rFonts w:hint="eastAsia" w:ascii="宋体" w:hAnsi="宋体"/>
          <w:color w:val="auto"/>
        </w:rPr>
        <w:t>食品安全监督监管部门提出要求时。</w:t>
      </w:r>
    </w:p>
    <w:p w14:paraId="109C81B6">
      <w:pPr>
        <w:pStyle w:val="290"/>
        <w:bidi w:val="0"/>
        <w:rPr>
          <w:rFonts w:hint="eastAsia"/>
        </w:rPr>
      </w:pPr>
      <w:r>
        <w:rPr>
          <w:rFonts w:hint="eastAsia"/>
        </w:rPr>
        <w:t>型式检验项目</w:t>
      </w:r>
    </w:p>
    <w:p w14:paraId="6512F3AA">
      <w:pPr>
        <w:pStyle w:val="258"/>
        <w:bidi w:val="0"/>
        <w:rPr>
          <w:rFonts w:hint="eastAsia"/>
        </w:rPr>
      </w:pPr>
      <w:r>
        <w:rPr>
          <w:rFonts w:hint="eastAsia"/>
        </w:rPr>
        <w:t>本</w:t>
      </w:r>
      <w:r>
        <w:rPr>
          <w:rFonts w:hint="eastAsia"/>
          <w:lang w:val="en-US" w:eastAsia="zh-CN"/>
        </w:rPr>
        <w:t>文件</w:t>
      </w:r>
      <w:r>
        <w:rPr>
          <w:rFonts w:hint="eastAsia"/>
        </w:rPr>
        <w:t>中</w:t>
      </w:r>
      <w:r>
        <w:rPr>
          <w:rFonts w:hint="eastAsia"/>
          <w:lang w:val="en-US" w:eastAsia="zh-CN"/>
        </w:rPr>
        <w:t>第5章</w:t>
      </w:r>
      <w:r>
        <w:rPr>
          <w:rFonts w:hint="eastAsia"/>
        </w:rPr>
        <w:t>的全部项目。</w:t>
      </w:r>
    </w:p>
    <w:p w14:paraId="020FAC89">
      <w:pPr>
        <w:pStyle w:val="261"/>
        <w:bidi w:val="0"/>
        <w:rPr>
          <w:rFonts w:hint="eastAsia"/>
        </w:rPr>
      </w:pPr>
      <w:r>
        <w:rPr>
          <w:rFonts w:hint="eastAsia"/>
        </w:rPr>
        <w:t xml:space="preserve"> 型式检验判定</w:t>
      </w:r>
    </w:p>
    <w:p w14:paraId="7A83C34B">
      <w:pPr>
        <w:pStyle w:val="328"/>
        <w:bidi w:val="0"/>
        <w:rPr>
          <w:rFonts w:hint="eastAsia" w:ascii="宋体" w:hAnsi="宋体"/>
          <w:color w:val="auto"/>
        </w:rPr>
      </w:pPr>
      <w:r>
        <w:rPr>
          <w:rFonts w:hint="eastAsia"/>
        </w:rPr>
        <w:t>产品经型式检验，所有项目符合本标准，判该次型式检验结论合格。</w:t>
      </w:r>
    </w:p>
    <w:p w14:paraId="017A8577">
      <w:pPr>
        <w:pStyle w:val="328"/>
        <w:bidi w:val="0"/>
        <w:rPr>
          <w:rFonts w:hint="eastAsia" w:ascii="宋体" w:hAnsi="宋体"/>
          <w:color w:val="auto"/>
        </w:rPr>
      </w:pPr>
      <w:r>
        <w:rPr>
          <w:rFonts w:hint="eastAsia" w:ascii="宋体" w:hAnsi="宋体"/>
          <w:color w:val="auto"/>
        </w:rPr>
        <w:t>型式检验如有项目指标不合格，可以加倍抽样对不合格项目进行复检，如复检结果仍不合格，则判定该次型式检验结论为不合格。</w:t>
      </w:r>
    </w:p>
    <w:p w14:paraId="6660025A">
      <w:pPr>
        <w:pStyle w:val="259"/>
        <w:bidi w:val="0"/>
      </w:pPr>
      <w:r>
        <w:t>标志、包装、运输、贮存</w:t>
      </w:r>
    </w:p>
    <w:p w14:paraId="154ABE65">
      <w:pPr>
        <w:pStyle w:val="260"/>
        <w:bidi w:val="0"/>
        <w:rPr>
          <w:rFonts w:hint="eastAsia"/>
        </w:rPr>
      </w:pPr>
      <w:r>
        <w:rPr>
          <w:rFonts w:hint="eastAsia"/>
        </w:rPr>
        <w:t>标志</w:t>
      </w:r>
    </w:p>
    <w:p w14:paraId="04AC50E8">
      <w:pPr>
        <w:pStyle w:val="327"/>
        <w:bidi w:val="0"/>
        <w:rPr>
          <w:rFonts w:hint="eastAsia"/>
        </w:rPr>
      </w:pPr>
      <w:r>
        <w:rPr>
          <w:rFonts w:hint="eastAsia"/>
        </w:rPr>
        <w:t>产品的销售包装标志应符合GB 7718和GB 28050的要求。</w:t>
      </w:r>
    </w:p>
    <w:p w14:paraId="34DCC284">
      <w:pPr>
        <w:pStyle w:val="327"/>
        <w:bidi w:val="0"/>
        <w:rPr>
          <w:rFonts w:hint="eastAsia"/>
        </w:rPr>
      </w:pPr>
      <w:r>
        <w:rPr>
          <w:rFonts w:hint="eastAsia"/>
        </w:rPr>
        <w:t>运输包装标志应注明产品名称、规格、厂名、厂址、生产日期、保质期、净含量、商标及防潮、防压等标志，并符合GB/T 191的要求。</w:t>
      </w:r>
    </w:p>
    <w:p w14:paraId="3F821AF3">
      <w:pPr>
        <w:pStyle w:val="260"/>
        <w:bidi w:val="0"/>
        <w:rPr>
          <w:rFonts w:hint="eastAsia"/>
        </w:rPr>
      </w:pPr>
      <w:r>
        <w:rPr>
          <w:rFonts w:hint="eastAsia"/>
        </w:rPr>
        <w:t>包装</w:t>
      </w:r>
    </w:p>
    <w:p w14:paraId="4B0E7F12">
      <w:pPr>
        <w:pStyle w:val="258"/>
        <w:bidi w:val="0"/>
        <w:rPr>
          <w:rFonts w:hint="eastAsia"/>
        </w:rPr>
      </w:pPr>
      <w:r>
        <w:rPr>
          <w:rFonts w:hint="eastAsia"/>
        </w:rPr>
        <w:t>包装材料应符合食品安全要求，包装应整齐、封口严密、不松散、无破损。</w:t>
      </w:r>
    </w:p>
    <w:p w14:paraId="04243181">
      <w:pPr>
        <w:pStyle w:val="260"/>
        <w:bidi w:val="0"/>
        <w:rPr>
          <w:rFonts w:hint="eastAsia"/>
        </w:rPr>
      </w:pPr>
      <w:r>
        <w:rPr>
          <w:rFonts w:hint="eastAsia"/>
        </w:rPr>
        <w:t>运输</w:t>
      </w:r>
    </w:p>
    <w:p w14:paraId="2BE195CF">
      <w:pPr>
        <w:pStyle w:val="258"/>
        <w:ind w:firstLine="420"/>
        <w:rPr>
          <w:rFonts w:hint="eastAsia"/>
        </w:rPr>
      </w:pPr>
      <w:r>
        <w:rPr>
          <w:rFonts w:hint="eastAsia"/>
        </w:rPr>
        <w:t>运输工具必须清洁卫生、干燥， 防雨、防晒。不得与有毒、有害、有异味或影响产品质量的物品混 装运输。</w:t>
      </w:r>
    </w:p>
    <w:p w14:paraId="158D601B">
      <w:pPr>
        <w:pStyle w:val="260"/>
        <w:bidi w:val="0"/>
        <w:rPr>
          <w:rFonts w:hint="eastAsia"/>
        </w:rPr>
      </w:pPr>
      <w:r>
        <w:rPr>
          <w:rFonts w:hint="eastAsia"/>
        </w:rPr>
        <w:t>贮存</w:t>
      </w:r>
    </w:p>
    <w:p w14:paraId="3B5C15A7">
      <w:pPr>
        <w:pStyle w:val="258"/>
        <w:ind w:firstLine="420"/>
        <w:rPr>
          <w:rFonts w:hint="eastAsia"/>
        </w:rPr>
      </w:pPr>
      <w:r>
        <w:rPr>
          <w:rFonts w:hint="eastAsia"/>
        </w:rPr>
        <w:t>产品应贮存在阴凉、通风、干燥清洁的室内或 0～10℃冷藏库内。不得与有毒、有害、有异味、易 挥发、易腐蚀的物品混储。地面垫板离地不少于 10cm，四周离墙不少于 20cm。</w:t>
      </w:r>
    </w:p>
    <w:p w14:paraId="64C91279">
      <w:pPr>
        <w:pStyle w:val="259"/>
        <w:bidi w:val="0"/>
        <w:rPr>
          <w:rFonts w:hint="eastAsia"/>
        </w:rPr>
      </w:pPr>
      <w:r>
        <w:rPr>
          <w:rFonts w:hint="eastAsia"/>
        </w:rPr>
        <w:t>保质期</w:t>
      </w:r>
    </w:p>
    <w:p w14:paraId="3D3F0754">
      <w:pPr>
        <w:pStyle w:val="258"/>
        <w:ind w:firstLine="420"/>
      </w:pPr>
      <w:r>
        <w:rPr>
          <w:rFonts w:hint="eastAsia"/>
        </w:rPr>
        <w:t>在符合本</w:t>
      </w:r>
      <w:r>
        <w:rPr>
          <w:rFonts w:hint="eastAsia"/>
          <w:lang w:val="en-US" w:eastAsia="zh-CN"/>
        </w:rPr>
        <w:t>文件</w:t>
      </w:r>
      <w:r>
        <w:rPr>
          <w:rFonts w:hint="eastAsia"/>
        </w:rPr>
        <w:t>规定的贮运条件下，产品自生产之日起，常温下保质期为180天；冷藏（0～10℃) 下 保质期12个月。</w:t>
      </w:r>
    </w:p>
    <w:p w14:paraId="65804F19">
      <w:pPr>
        <w:pStyle w:val="258"/>
        <w:ind w:firstLine="420"/>
      </w:pPr>
    </w:p>
    <w:p w14:paraId="5D1CF51D">
      <w:pPr>
        <w:pStyle w:val="258"/>
        <w:ind w:firstLine="420"/>
      </w:pPr>
    </w:p>
    <w:p w14:paraId="6CD3FE96">
      <w:pPr>
        <w:pStyle w:val="258"/>
        <w:ind w:firstLine="420"/>
      </w:pPr>
    </w:p>
    <w:p w14:paraId="7DC8E585">
      <w:pPr>
        <w:pStyle w:val="258"/>
        <w:ind w:left="0" w:leftChars="0" w:firstLine="0" w:firstLineChars="0"/>
        <w:rPr>
          <w:rFonts w:hint="eastAsia"/>
          <w:lang w:eastAsia="zh-CN"/>
        </w:rPr>
      </w:pPr>
    </w:p>
    <w:p w14:paraId="2805C57A">
      <w:pPr>
        <w:pStyle w:val="258"/>
        <w:ind w:left="0" w:leftChars="0" w:firstLine="0" w:firstLineChars="0"/>
        <w:jc w:val="center"/>
        <w:rPr>
          <w:rFonts w:hint="eastAsia" w:ascii="宋体" w:hAnsi="宋体" w:eastAsia="宋体" w:cs="宋体"/>
          <w:b w:val="0"/>
          <w:sz w:val="21"/>
          <w:lang w:eastAsia="zh-CN"/>
        </w:rPr>
      </w:pPr>
      <w:r>
        <w:rPr>
          <w:rFonts w:hint="eastAsia" w:ascii="黑体" w:hAnsi="黑体" w:eastAsia="黑体" w:cs="黑体"/>
          <w:b/>
          <w:sz w:val="21"/>
          <w:lang w:eastAsia="zh-CN"/>
        </w:rPr>
        <w:t>━━━━━━━━━━━</w:t>
      </w:r>
    </w:p>
    <w:sectPr>
      <w:headerReference r:id="rId10" w:type="default"/>
      <w:footerReference r:id="rId11" w:type="default"/>
      <w:pgSz w:w="11907" w:h="16839"/>
      <w:pgMar w:top="1417" w:right="1134" w:bottom="1134" w:left="1417" w:header="1418" w:footer="1134" w:gutter="0"/>
      <w:lnNumType w:countBy="0" w:restart="continuou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BE7DB84-0548-4DB8-B46D-96F32ED6E1D0}"/>
  </w:font>
  <w:font w:name="黑体">
    <w:panose1 w:val="02010609060101010101"/>
    <w:charset w:val="86"/>
    <w:family w:val="auto"/>
    <w:pitch w:val="default"/>
    <w:sig w:usb0="800002BF" w:usb1="38CF7CFA" w:usb2="00000016" w:usb3="00000000" w:csb0="00040001" w:csb1="00000000"/>
    <w:embedRegular r:id="rId2" w:fontKey="{514C8137-1438-45BE-A7C8-59615E7766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auto"/>
    <w:pitch w:val="default"/>
    <w:sig w:usb0="E5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3" w:fontKey="{52847954-0443-4D00-9F99-AF37CD7D4318}"/>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A70EF">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20484A00">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9B87">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7EB70BD7">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6563">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26EBEC7B">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94A2">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D882970">
    <w:pPr>
      <w:pStyle w:val="252"/>
      <w:ind w:right="360" w:firstLine="360" w:firstLineChars="0"/>
      <w:rPr>
        <w:rStyle w:val="23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98AF">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FBA1">
    <w:pPr>
      <w:pStyle w:val="253"/>
      <w:jc w:val="left"/>
      <w:rPr>
        <w:rFonts w:hint="eastAsia"/>
        <w:lang w:eastAsia="zh-CN"/>
      </w:rPr>
    </w:pPr>
    <w:r>
      <w:rPr>
        <w:rFonts w:hint="eastAsia" w:ascii="黑体" w:hAnsi="黑体" w:eastAsia="黑体" w:cs="黑体"/>
        <w:sz w:val="21"/>
        <w:szCs w:val="21"/>
        <w:lang w:val="en-US" w:eastAsia="zh-CN"/>
      </w:rPr>
      <w:t>T/JSAS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1588">
    <w:pPr>
      <w:pStyle w:val="253"/>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T/JSAS XXXX-2024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71B8F">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EE06">
    <w:pPr>
      <w:pStyle w:val="253"/>
      <w:rPr>
        <w:rFonts w:hint="default"/>
        <w:lang w:val="en-US" w:eastAsia="zh-CN"/>
      </w:rPr>
    </w:pPr>
    <w:r>
      <w:rPr>
        <w:rFonts w:hint="eastAsia" w:ascii="黑体" w:hAnsi="黑体" w:eastAsia="黑体" w:cs="黑体"/>
        <w:sz w:val="21"/>
        <w:szCs w:val="21"/>
        <w:lang w:val="en-US" w:eastAsia="zh-CN"/>
      </w:rPr>
      <w:t>T/JSAS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7ABE8"/>
    <w:multiLevelType w:val="multilevel"/>
    <w:tmpl w:val="D2A7ABE8"/>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1">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8">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9">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1">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08"/>
      <w:suff w:val="nothing"/>
      <w:lvlText w:val="%1%2　"/>
      <w:lvlJc w:val="left"/>
      <w:pPr>
        <w:ind w:left="0" w:firstLine="0"/>
      </w:pPr>
      <w:rPr>
        <w:rFonts w:hint="eastAsia" w:ascii="黑体" w:hAnsi="Times New Roman" w:eastAsia="黑体"/>
        <w:b w:val="0"/>
        <w:i w:val="0"/>
        <w:sz w:val="21"/>
      </w:rPr>
    </w:lvl>
    <w:lvl w:ilvl="2" w:tentative="0">
      <w:start w:val="1"/>
      <w:numFmt w:val="decimal"/>
      <w:pStyle w:val="5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6">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5"/>
  </w:num>
  <w:num w:numId="12">
    <w:abstractNumId w:val="22"/>
  </w:num>
  <w:num w:numId="13">
    <w:abstractNumId w:val="21"/>
  </w:num>
  <w:num w:numId="14">
    <w:abstractNumId w:val="16"/>
  </w:num>
  <w:num w:numId="15">
    <w:abstractNumId w:val="26"/>
  </w:num>
  <w:num w:numId="16">
    <w:abstractNumId w:val="13"/>
  </w:num>
  <w:num w:numId="17">
    <w:abstractNumId w:val="0"/>
  </w:num>
  <w:num w:numId="18">
    <w:abstractNumId w:val="20"/>
  </w:num>
  <w:num w:numId="19">
    <w:abstractNumId w:val="12"/>
  </w:num>
  <w:num w:numId="20">
    <w:abstractNumId w:val="19"/>
  </w:num>
  <w:num w:numId="21">
    <w:abstractNumId w:val="24"/>
  </w:num>
  <w:num w:numId="22">
    <w:abstractNumId w:val="11"/>
  </w:num>
  <w:num w:numId="23">
    <w:abstractNumId w:val="17"/>
  </w:num>
  <w:num w:numId="24">
    <w:abstractNumId w:val="18"/>
  </w:num>
  <w:num w:numId="25">
    <w:abstractNumId w:val="25"/>
  </w:num>
  <w:num w:numId="26">
    <w:abstractNumId w:val="1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MTNkNzlmZWFmY2ZjZWYzMGM1ZjhmOWJjOTcwNDkifQ=="/>
  </w:docVars>
  <w:rsids>
    <w:rsidRoot w:val="01BD55AE"/>
    <w:rsid w:val="00006548"/>
    <w:rsid w:val="00027BD3"/>
    <w:rsid w:val="00036B39"/>
    <w:rsid w:val="000372EA"/>
    <w:rsid w:val="00040BBF"/>
    <w:rsid w:val="00053FB5"/>
    <w:rsid w:val="00075DD9"/>
    <w:rsid w:val="00076F59"/>
    <w:rsid w:val="000810CB"/>
    <w:rsid w:val="00083185"/>
    <w:rsid w:val="0009271F"/>
    <w:rsid w:val="0009648F"/>
    <w:rsid w:val="000A568D"/>
    <w:rsid w:val="000A6E5F"/>
    <w:rsid w:val="000B6ECB"/>
    <w:rsid w:val="000C21DC"/>
    <w:rsid w:val="000C2EFF"/>
    <w:rsid w:val="000D2D03"/>
    <w:rsid w:val="000E2B29"/>
    <w:rsid w:val="000E7B1D"/>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216264"/>
    <w:rsid w:val="00227E52"/>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764E"/>
    <w:rsid w:val="00406CC1"/>
    <w:rsid w:val="0041207A"/>
    <w:rsid w:val="00436ECC"/>
    <w:rsid w:val="004414E6"/>
    <w:rsid w:val="00447DDB"/>
    <w:rsid w:val="004548A9"/>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30366"/>
    <w:rsid w:val="00630EC5"/>
    <w:rsid w:val="0065094C"/>
    <w:rsid w:val="00674639"/>
    <w:rsid w:val="00681844"/>
    <w:rsid w:val="006A01D7"/>
    <w:rsid w:val="006A2E8B"/>
    <w:rsid w:val="006B643E"/>
    <w:rsid w:val="006D12A2"/>
    <w:rsid w:val="006D6D2B"/>
    <w:rsid w:val="006E740A"/>
    <w:rsid w:val="006E7E4F"/>
    <w:rsid w:val="006F1FF9"/>
    <w:rsid w:val="007064A5"/>
    <w:rsid w:val="00715BD0"/>
    <w:rsid w:val="00743CC7"/>
    <w:rsid w:val="0074732A"/>
    <w:rsid w:val="00767B2F"/>
    <w:rsid w:val="00773A5E"/>
    <w:rsid w:val="00776408"/>
    <w:rsid w:val="0078233D"/>
    <w:rsid w:val="007D2FAA"/>
    <w:rsid w:val="007E0206"/>
    <w:rsid w:val="007E3F4F"/>
    <w:rsid w:val="007F69B9"/>
    <w:rsid w:val="00811C33"/>
    <w:rsid w:val="00852FD6"/>
    <w:rsid w:val="0086798F"/>
    <w:rsid w:val="008708FD"/>
    <w:rsid w:val="008C0296"/>
    <w:rsid w:val="008C5347"/>
    <w:rsid w:val="008D2560"/>
    <w:rsid w:val="008D383F"/>
    <w:rsid w:val="008E1AE0"/>
    <w:rsid w:val="008E351F"/>
    <w:rsid w:val="00901DA3"/>
    <w:rsid w:val="009535DF"/>
    <w:rsid w:val="0095659D"/>
    <w:rsid w:val="009676B1"/>
    <w:rsid w:val="009721AF"/>
    <w:rsid w:val="00995610"/>
    <w:rsid w:val="009C0704"/>
    <w:rsid w:val="009D19E4"/>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F2B0D"/>
    <w:rsid w:val="00AF2DD6"/>
    <w:rsid w:val="00B01D8B"/>
    <w:rsid w:val="00B0338D"/>
    <w:rsid w:val="00B0682B"/>
    <w:rsid w:val="00B06F9F"/>
    <w:rsid w:val="00B13E76"/>
    <w:rsid w:val="00B23033"/>
    <w:rsid w:val="00B23075"/>
    <w:rsid w:val="00B454CA"/>
    <w:rsid w:val="00B55871"/>
    <w:rsid w:val="00B565EB"/>
    <w:rsid w:val="00B614B1"/>
    <w:rsid w:val="00B74D02"/>
    <w:rsid w:val="00B807AF"/>
    <w:rsid w:val="00B90349"/>
    <w:rsid w:val="00BC6C4C"/>
    <w:rsid w:val="00BE027D"/>
    <w:rsid w:val="00BF3DB8"/>
    <w:rsid w:val="00BF533F"/>
    <w:rsid w:val="00C12F1C"/>
    <w:rsid w:val="00C22264"/>
    <w:rsid w:val="00C231D9"/>
    <w:rsid w:val="00C26FF1"/>
    <w:rsid w:val="00C7294C"/>
    <w:rsid w:val="00C7721B"/>
    <w:rsid w:val="00C80B64"/>
    <w:rsid w:val="00C825D9"/>
    <w:rsid w:val="00CA1496"/>
    <w:rsid w:val="00CA612B"/>
    <w:rsid w:val="00CB182F"/>
    <w:rsid w:val="00CC19EC"/>
    <w:rsid w:val="00CE0378"/>
    <w:rsid w:val="00CF740D"/>
    <w:rsid w:val="00D10F52"/>
    <w:rsid w:val="00D20260"/>
    <w:rsid w:val="00D32102"/>
    <w:rsid w:val="00D679FB"/>
    <w:rsid w:val="00D77681"/>
    <w:rsid w:val="00DC300E"/>
    <w:rsid w:val="00DC5920"/>
    <w:rsid w:val="00DE6C5C"/>
    <w:rsid w:val="00DE79D1"/>
    <w:rsid w:val="00DF3719"/>
    <w:rsid w:val="00E04DBB"/>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B6A"/>
    <w:rsid w:val="00F252F0"/>
    <w:rsid w:val="00F25CA4"/>
    <w:rsid w:val="00F66499"/>
    <w:rsid w:val="00F73EF2"/>
    <w:rsid w:val="00F8041E"/>
    <w:rsid w:val="00FD74B3"/>
    <w:rsid w:val="0116386F"/>
    <w:rsid w:val="01331B85"/>
    <w:rsid w:val="01BD55AE"/>
    <w:rsid w:val="02497C0B"/>
    <w:rsid w:val="02B17D57"/>
    <w:rsid w:val="02B47281"/>
    <w:rsid w:val="08585740"/>
    <w:rsid w:val="091F4B4B"/>
    <w:rsid w:val="0A797821"/>
    <w:rsid w:val="0C0D799E"/>
    <w:rsid w:val="10093E5F"/>
    <w:rsid w:val="10E221F5"/>
    <w:rsid w:val="11AB5AB5"/>
    <w:rsid w:val="14B20F69"/>
    <w:rsid w:val="15AA4B5B"/>
    <w:rsid w:val="179C73F7"/>
    <w:rsid w:val="1B9E5DA3"/>
    <w:rsid w:val="1BC06408"/>
    <w:rsid w:val="1BFF60A7"/>
    <w:rsid w:val="1DFC1470"/>
    <w:rsid w:val="21D10CA8"/>
    <w:rsid w:val="2526682A"/>
    <w:rsid w:val="27813441"/>
    <w:rsid w:val="2B2C4703"/>
    <w:rsid w:val="2C690A78"/>
    <w:rsid w:val="2C892158"/>
    <w:rsid w:val="2F1B2550"/>
    <w:rsid w:val="307E5DEB"/>
    <w:rsid w:val="31F503CA"/>
    <w:rsid w:val="339B5ACE"/>
    <w:rsid w:val="34031D2F"/>
    <w:rsid w:val="34202B60"/>
    <w:rsid w:val="346E1DAF"/>
    <w:rsid w:val="36FC74B6"/>
    <w:rsid w:val="370945C1"/>
    <w:rsid w:val="37D20007"/>
    <w:rsid w:val="388475BE"/>
    <w:rsid w:val="38B1554C"/>
    <w:rsid w:val="39E969BC"/>
    <w:rsid w:val="3AF408A9"/>
    <w:rsid w:val="3D537E59"/>
    <w:rsid w:val="3DFA4E64"/>
    <w:rsid w:val="3F020E75"/>
    <w:rsid w:val="4253779A"/>
    <w:rsid w:val="440C0554"/>
    <w:rsid w:val="443B271B"/>
    <w:rsid w:val="449649E5"/>
    <w:rsid w:val="4497145E"/>
    <w:rsid w:val="45F93F92"/>
    <w:rsid w:val="47E04B41"/>
    <w:rsid w:val="49FC22B9"/>
    <w:rsid w:val="4C2C64B8"/>
    <w:rsid w:val="4C8D7977"/>
    <w:rsid w:val="4D10355D"/>
    <w:rsid w:val="4DB8639B"/>
    <w:rsid w:val="4DDD030B"/>
    <w:rsid w:val="4E255D2C"/>
    <w:rsid w:val="4E617F69"/>
    <w:rsid w:val="4E7B76FB"/>
    <w:rsid w:val="4F094051"/>
    <w:rsid w:val="50A215BE"/>
    <w:rsid w:val="514A60FC"/>
    <w:rsid w:val="521670A1"/>
    <w:rsid w:val="54863AAC"/>
    <w:rsid w:val="5517274A"/>
    <w:rsid w:val="5555355C"/>
    <w:rsid w:val="57237092"/>
    <w:rsid w:val="58E6255C"/>
    <w:rsid w:val="5A447C78"/>
    <w:rsid w:val="5B247279"/>
    <w:rsid w:val="5BE865EB"/>
    <w:rsid w:val="5C8001C8"/>
    <w:rsid w:val="5F0D3DD3"/>
    <w:rsid w:val="5F667F53"/>
    <w:rsid w:val="5F891239"/>
    <w:rsid w:val="60887A23"/>
    <w:rsid w:val="61DB1EFC"/>
    <w:rsid w:val="631657EC"/>
    <w:rsid w:val="635C5E14"/>
    <w:rsid w:val="63F33290"/>
    <w:rsid w:val="67277FC8"/>
    <w:rsid w:val="677F6E76"/>
    <w:rsid w:val="68085DB5"/>
    <w:rsid w:val="68A467A0"/>
    <w:rsid w:val="69212871"/>
    <w:rsid w:val="6944465B"/>
    <w:rsid w:val="6A4021D8"/>
    <w:rsid w:val="6C812DCA"/>
    <w:rsid w:val="740D281B"/>
    <w:rsid w:val="7537216E"/>
    <w:rsid w:val="78856ECF"/>
    <w:rsid w:val="795113A5"/>
    <w:rsid w:val="797F5A41"/>
    <w:rsid w:val="7B2A7B4E"/>
    <w:rsid w:val="7C3C7A60"/>
    <w:rsid w:val="7D406E30"/>
    <w:rsid w:val="7DD17A2C"/>
    <w:rsid w:val="7E5E7FB7"/>
    <w:rsid w:val="7F52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50" w:beforeLines="50" w:after="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0" w:beforeLines="0" w:after="0" w:afterLines="0"/>
      <w:outlineLvl w:val="9"/>
    </w:pPr>
  </w:style>
  <w:style w:type="paragraph" w:customStyle="1" w:styleId="320">
    <w:name w:val="术语定义三级条标题"/>
    <w:basedOn w:val="290"/>
    <w:next w:val="258"/>
    <w:qFormat/>
    <w:uiPriority w:val="0"/>
    <w:pPr>
      <w:spacing w:before="0" w:beforeLines="0" w:after="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0" w:beforeLines="0" w:after="0" w:afterLines="0"/>
      <w:outlineLvl w:val="9"/>
    </w:pPr>
  </w:style>
  <w:style w:type="paragraph" w:customStyle="1" w:styleId="323">
    <w:name w:val="术语定义五级条标题"/>
    <w:basedOn w:val="300"/>
    <w:next w:val="258"/>
    <w:qFormat/>
    <w:uiPriority w:val="0"/>
    <w:pPr>
      <w:spacing w:before="0" w:beforeLines="0" w:after="0" w:afterLines="0"/>
      <w:outlineLvl w:val="9"/>
    </w:pPr>
  </w:style>
  <w:style w:type="paragraph" w:customStyle="1" w:styleId="324">
    <w:name w:val="术语定义一级条标题"/>
    <w:basedOn w:val="260"/>
    <w:next w:val="258"/>
    <w:qFormat/>
    <w:uiPriority w:val="0"/>
    <w:pPr>
      <w:spacing w:before="0" w:beforeLines="0" w:after="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0" w:beforeLines="0" w:after="0" w:afterLines="0"/>
      <w:outlineLvl w:val="9"/>
    </w:pPr>
    <w:rPr>
      <w:rFonts w:eastAsiaTheme="majorEastAsia"/>
    </w:rPr>
  </w:style>
  <w:style w:type="paragraph" w:customStyle="1" w:styleId="328">
    <w:name w:val="三级无标题条"/>
    <w:basedOn w:val="290"/>
    <w:qFormat/>
    <w:uiPriority w:val="0"/>
    <w:pPr>
      <w:spacing w:before="0" w:beforeLines="0" w:after="0" w:afterLines="0"/>
      <w:outlineLvl w:val="9"/>
    </w:pPr>
    <w:rPr>
      <w:rFonts w:eastAsiaTheme="majorEastAsia"/>
    </w:rPr>
  </w:style>
  <w:style w:type="paragraph" w:customStyle="1" w:styleId="329">
    <w:name w:val="四级无标题条"/>
    <w:basedOn w:val="295"/>
    <w:qFormat/>
    <w:uiPriority w:val="0"/>
    <w:pPr>
      <w:spacing w:before="0" w:beforeLines="0" w:after="0" w:afterLines="0"/>
      <w:outlineLvl w:val="9"/>
    </w:pPr>
    <w:rPr>
      <w:rFonts w:eastAsiaTheme="majorEastAsia"/>
    </w:rPr>
  </w:style>
  <w:style w:type="paragraph" w:customStyle="1" w:styleId="330">
    <w:name w:val="五级无标题条"/>
    <w:basedOn w:val="300"/>
    <w:qFormat/>
    <w:uiPriority w:val="0"/>
    <w:pPr>
      <w:spacing w:before="0" w:beforeLines="0" w:after="0" w:afterLines="0"/>
      <w:outlineLvl w:val="9"/>
    </w:pPr>
    <w:rPr>
      <w:rFonts w:eastAsiaTheme="majorEastAsia"/>
    </w:rPr>
  </w:style>
  <w:style w:type="paragraph" w:customStyle="1" w:styleId="331">
    <w:name w:val="一级无标题条"/>
    <w:basedOn w:val="260"/>
    <w:qFormat/>
    <w:uiPriority w:val="0"/>
    <w:pPr>
      <w:spacing w:before="0" w:beforeLines="0" w:after="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3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3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Heading"/>
    <w:basedOn w:val="3"/>
    <w:next w:val="1"/>
    <w:semiHidden/>
    <w:unhideWhenUsed/>
    <w:qFormat/>
    <w:uiPriority w:val="39"/>
    <w:pPr>
      <w:outlineLvl w:val="9"/>
    </w:pPr>
  </w:style>
  <w:style w:type="character" w:customStyle="1" w:styleId="354">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Char"/>
    <w:basedOn w:val="231"/>
    <w:link w:val="36"/>
    <w:semiHidden/>
    <w:qFormat/>
    <w:uiPriority w:val="99"/>
    <w:rPr>
      <w:kern w:val="2"/>
      <w:sz w:val="21"/>
      <w:szCs w:val="24"/>
    </w:rPr>
  </w:style>
  <w:style w:type="character" w:customStyle="1" w:styleId="357">
    <w:name w:val="纯文本 Char"/>
    <w:basedOn w:val="231"/>
    <w:link w:val="49"/>
    <w:semiHidden/>
    <w:qFormat/>
    <w:uiPriority w:val="99"/>
    <w:rPr>
      <w:rFonts w:ascii="宋体" w:hAnsi="Courier New" w:cs="Courier New"/>
      <w:kern w:val="2"/>
      <w:sz w:val="21"/>
      <w:szCs w:val="21"/>
    </w:rPr>
  </w:style>
  <w:style w:type="character" w:customStyle="1" w:styleId="358">
    <w:name w:val="电子邮件签名 Char"/>
    <w:basedOn w:val="231"/>
    <w:link w:val="25"/>
    <w:semiHidden/>
    <w:qFormat/>
    <w:uiPriority w:val="99"/>
    <w:rPr>
      <w:kern w:val="2"/>
      <w:sz w:val="21"/>
      <w:szCs w:val="24"/>
    </w:rPr>
  </w:style>
  <w:style w:type="character" w:customStyle="1" w:styleId="359">
    <w:name w:val="副标题 Char"/>
    <w:basedOn w:val="231"/>
    <w:link w:val="66"/>
    <w:qFormat/>
    <w:uiPriority w:val="11"/>
    <w:rPr>
      <w:rFonts w:asciiTheme="majorHAnsi" w:hAnsiTheme="majorHAnsi" w:cstheme="majorBidi"/>
      <w:b/>
      <w:bCs/>
      <w:kern w:val="28"/>
      <w:sz w:val="32"/>
      <w:szCs w:val="32"/>
    </w:rPr>
  </w:style>
  <w:style w:type="character" w:customStyle="1" w:styleId="360">
    <w:name w:val="宏文本 Char"/>
    <w:basedOn w:val="231"/>
    <w:link w:val="2"/>
    <w:semiHidden/>
    <w:qFormat/>
    <w:uiPriority w:val="99"/>
    <w:rPr>
      <w:rFonts w:ascii="Courier New" w:hAnsi="Courier New" w:cs="Courier New"/>
      <w:kern w:val="2"/>
      <w:sz w:val="24"/>
      <w:szCs w:val="24"/>
    </w:rPr>
  </w:style>
  <w:style w:type="character" w:customStyle="1" w:styleId="361">
    <w:name w:val="结束语 Char"/>
    <w:basedOn w:val="23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4">
    <w:name w:val="Intense Emphasis"/>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Char"/>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Char"/>
    <w:basedOn w:val="231"/>
    <w:link w:val="58"/>
    <w:semiHidden/>
    <w:qFormat/>
    <w:uiPriority w:val="99"/>
    <w:rPr>
      <w:kern w:val="2"/>
      <w:sz w:val="18"/>
      <w:szCs w:val="18"/>
    </w:rPr>
  </w:style>
  <w:style w:type="character" w:customStyle="1" w:styleId="368">
    <w:name w:val="批注文字 Char"/>
    <w:basedOn w:val="231"/>
    <w:link w:val="34"/>
    <w:semiHidden/>
    <w:qFormat/>
    <w:uiPriority w:val="99"/>
    <w:rPr>
      <w:kern w:val="2"/>
      <w:sz w:val="21"/>
      <w:szCs w:val="24"/>
    </w:rPr>
  </w:style>
  <w:style w:type="character" w:customStyle="1" w:styleId="369">
    <w:name w:val="批注主题 Char"/>
    <w:basedOn w:val="368"/>
    <w:link w:val="85"/>
    <w:semiHidden/>
    <w:qFormat/>
    <w:uiPriority w:val="99"/>
    <w:rPr>
      <w:b/>
      <w:bCs/>
      <w:kern w:val="2"/>
      <w:sz w:val="21"/>
      <w:szCs w:val="24"/>
    </w:rPr>
  </w:style>
  <w:style w:type="character" w:customStyle="1" w:styleId="370">
    <w:name w:val="签名 Char"/>
    <w:basedOn w:val="231"/>
    <w:link w:val="62"/>
    <w:semiHidden/>
    <w:qFormat/>
    <w:uiPriority w:val="99"/>
    <w:rPr>
      <w:kern w:val="2"/>
      <w:sz w:val="21"/>
      <w:szCs w:val="24"/>
    </w:rPr>
  </w:style>
  <w:style w:type="table" w:customStyle="1" w:styleId="371">
    <w:name w:val="List Table 1 Light"/>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List Table 1 Light Accent 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List Table 1 Light Accent 2"/>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List Table 1 Light Accent 3"/>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List Table 1 Light Accent 4"/>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List Table 1 Light Accent 5"/>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List Table 1 Light Accent 6"/>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List Table 6 Colorful Accent 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List Table 7 Colorful"/>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2"/>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3"/>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4"/>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List Table 7 Colorful Accent 5"/>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List Table 7 Colorful Accent 6"/>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31"/>
    <w:link w:val="54"/>
    <w:semiHidden/>
    <w:qFormat/>
    <w:uiPriority w:val="99"/>
    <w:rPr>
      <w:kern w:val="2"/>
      <w:sz w:val="21"/>
      <w:szCs w:val="24"/>
    </w:rPr>
  </w:style>
  <w:style w:type="character" w:customStyle="1" w:styleId="421">
    <w:name w:val="Book Title"/>
    <w:basedOn w:val="231"/>
    <w:qFormat/>
    <w:uiPriority w:val="33"/>
    <w:rPr>
      <w:b/>
      <w:bCs/>
      <w:i/>
      <w:iCs/>
      <w:spacing w:val="5"/>
    </w:rPr>
  </w:style>
  <w:style w:type="paragraph" w:customStyle="1" w:styleId="422">
    <w:name w:val="Bibliography"/>
    <w:basedOn w:val="1"/>
    <w:next w:val="1"/>
    <w:semiHidden/>
    <w:unhideWhenUsed/>
    <w:qFormat/>
    <w:uiPriority w:val="37"/>
  </w:style>
  <w:style w:type="table" w:customStyle="1" w:styleId="423">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Char"/>
    <w:basedOn w:val="231"/>
    <w:link w:val="56"/>
    <w:semiHidden/>
    <w:qFormat/>
    <w:uiPriority w:val="99"/>
    <w:rPr>
      <w:kern w:val="2"/>
      <w:sz w:val="21"/>
      <w:szCs w:val="24"/>
    </w:rPr>
  </w:style>
  <w:style w:type="character" w:customStyle="1" w:styleId="474">
    <w:name w:val="文档结构图 Char"/>
    <w:basedOn w:val="231"/>
    <w:link w:val="32"/>
    <w:semiHidden/>
    <w:qFormat/>
    <w:uiPriority w:val="99"/>
    <w:rPr>
      <w:rFonts w:ascii="Microsoft YaHei UI" w:eastAsia="Microsoft YaHei UI"/>
      <w:kern w:val="2"/>
      <w:sz w:val="18"/>
      <w:szCs w:val="18"/>
    </w:rPr>
  </w:style>
  <w:style w:type="table" w:customStyle="1" w:styleId="475">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Plain Table 2"/>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Plain Table 3"/>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Plain Table 4"/>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Plain Table 5"/>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Char"/>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首行缩进 Char"/>
    <w:basedOn w:val="333"/>
    <w:link w:val="86"/>
    <w:semiHidden/>
    <w:qFormat/>
    <w:uiPriority w:val="99"/>
    <w:rPr>
      <w:kern w:val="2"/>
      <w:sz w:val="21"/>
      <w:szCs w:val="24"/>
    </w:rPr>
  </w:style>
  <w:style w:type="character" w:customStyle="1" w:styleId="486">
    <w:name w:val="正文文本缩进 Char"/>
    <w:basedOn w:val="231"/>
    <w:link w:val="41"/>
    <w:semiHidden/>
    <w:qFormat/>
    <w:uiPriority w:val="99"/>
    <w:rPr>
      <w:kern w:val="2"/>
      <w:sz w:val="21"/>
      <w:szCs w:val="24"/>
    </w:rPr>
  </w:style>
  <w:style w:type="character" w:customStyle="1" w:styleId="487">
    <w:name w:val="正文首行缩进 2 Char"/>
    <w:basedOn w:val="486"/>
    <w:link w:val="87"/>
    <w:semiHidden/>
    <w:qFormat/>
    <w:uiPriority w:val="99"/>
    <w:rPr>
      <w:kern w:val="2"/>
      <w:sz w:val="21"/>
      <w:szCs w:val="24"/>
    </w:rPr>
  </w:style>
  <w:style w:type="character" w:customStyle="1" w:styleId="488">
    <w:name w:val="正文文本 2 Char"/>
    <w:basedOn w:val="231"/>
    <w:link w:val="76"/>
    <w:semiHidden/>
    <w:qFormat/>
    <w:uiPriority w:val="99"/>
    <w:rPr>
      <w:kern w:val="2"/>
      <w:sz w:val="21"/>
      <w:szCs w:val="24"/>
    </w:rPr>
  </w:style>
  <w:style w:type="character" w:customStyle="1" w:styleId="489">
    <w:name w:val="正文文本 3 Char"/>
    <w:basedOn w:val="231"/>
    <w:link w:val="37"/>
    <w:semiHidden/>
    <w:qFormat/>
    <w:uiPriority w:val="99"/>
    <w:rPr>
      <w:kern w:val="2"/>
      <w:sz w:val="16"/>
      <w:szCs w:val="16"/>
    </w:rPr>
  </w:style>
  <w:style w:type="character" w:customStyle="1" w:styleId="490">
    <w:name w:val="正文文本缩进 2 Char"/>
    <w:basedOn w:val="231"/>
    <w:link w:val="55"/>
    <w:semiHidden/>
    <w:qFormat/>
    <w:uiPriority w:val="99"/>
    <w:rPr>
      <w:kern w:val="2"/>
      <w:sz w:val="21"/>
      <w:szCs w:val="24"/>
    </w:rPr>
  </w:style>
  <w:style w:type="character" w:customStyle="1" w:styleId="491">
    <w:name w:val="正文文本缩进 3 Char"/>
    <w:basedOn w:val="231"/>
    <w:link w:val="71"/>
    <w:semiHidden/>
    <w:qFormat/>
    <w:uiPriority w:val="99"/>
    <w:rPr>
      <w:kern w:val="2"/>
      <w:sz w:val="16"/>
      <w:szCs w:val="16"/>
    </w:rPr>
  </w:style>
  <w:style w:type="character" w:customStyle="1" w:styleId="492">
    <w:name w:val="注释标题 Char"/>
    <w:basedOn w:val="231"/>
    <w:link w:val="22"/>
    <w:semiHidden/>
    <w:qFormat/>
    <w:uiPriority w:val="99"/>
    <w:rPr>
      <w:kern w:val="2"/>
      <w:sz w:val="21"/>
      <w:szCs w:val="24"/>
    </w:rPr>
  </w:style>
  <w:style w:type="paragraph" w:customStyle="1" w:styleId="493">
    <w:name w:val="附录无标题章"/>
    <w:basedOn w:val="276"/>
    <w:qFormat/>
    <w:uiPriority w:val="0"/>
    <w:pPr>
      <w:spacing w:before="0" w:beforeLines="0" w:after="0" w:afterLines="0"/>
      <w:outlineLvl w:val="9"/>
    </w:pPr>
    <w:rPr>
      <w:rFonts w:asciiTheme="majorEastAsia" w:eastAsiaTheme="majorEastAsia"/>
    </w:rPr>
  </w:style>
  <w:style w:type="paragraph" w:customStyle="1" w:styleId="494">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5">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6">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7">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Body text|6"/>
    <w:basedOn w:val="1"/>
    <w:qFormat/>
    <w:uiPriority w:val="0"/>
    <w:pPr>
      <w:jc w:val="center"/>
    </w:pPr>
    <w:rPr>
      <w:rFonts w:ascii="宋体" w:hAnsi="宋体" w:cs="宋体"/>
      <w:sz w:val="15"/>
      <w:szCs w:val="15"/>
      <w:lang w:val="zh-TW" w:eastAsia="zh-TW" w:bidi="zh-TW"/>
    </w:rPr>
  </w:style>
  <w:style w:type="paragraph" w:customStyle="1" w:styleId="507">
    <w:name w:val="Body text|1"/>
    <w:basedOn w:val="1"/>
    <w:qFormat/>
    <w:uiPriority w:val="0"/>
    <w:pPr>
      <w:spacing w:line="338" w:lineRule="auto"/>
      <w:ind w:firstLine="380"/>
    </w:pPr>
    <w:rPr>
      <w:rFonts w:ascii="宋体" w:hAnsi="宋体" w:cs="宋体"/>
      <w:sz w:val="18"/>
      <w:szCs w:val="18"/>
      <w:lang w:val="zh-TW" w:eastAsia="zh-TW" w:bidi="zh-TW"/>
    </w:rPr>
  </w:style>
  <w:style w:type="paragraph" w:customStyle="1" w:styleId="508">
    <w:name w:val="标准文件_章标题"/>
    <w:next w:val="509"/>
    <w:qFormat/>
    <w:uiPriority w:val="0"/>
    <w:pPr>
      <w:numPr>
        <w:ilvl w:val="1"/>
        <w:numId w:val="27"/>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50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0">
    <w:name w:val="标准文件_一级条标题"/>
    <w:basedOn w:val="508"/>
    <w:next w:val="509"/>
    <w:qFormat/>
    <w:uiPriority w:val="0"/>
    <w:pPr>
      <w:numPr>
        <w:ilvl w:val="2"/>
      </w:numPr>
      <w:spacing w:before="50" w:beforeLines="50" w:after="50" w:afterLines="50"/>
      <w:outlineLvl w:val="1"/>
    </w:pPr>
  </w:style>
  <w:style w:type="paragraph" w:customStyle="1" w:styleId="511">
    <w:name w:val="Body text|2"/>
    <w:basedOn w:val="1"/>
    <w:qFormat/>
    <w:uiPriority w:val="0"/>
    <w:pPr>
      <w:spacing w:line="319" w:lineRule="auto"/>
      <w:ind w:firstLine="380"/>
    </w:pPr>
    <w:rPr>
      <w:sz w:val="19"/>
      <w:szCs w:val="19"/>
    </w:rPr>
  </w:style>
  <w:style w:type="paragraph" w:customStyle="1" w:styleId="512">
    <w:name w:val="Table caption|1"/>
    <w:basedOn w:val="1"/>
    <w:qFormat/>
    <w:uiPriority w:val="0"/>
    <w:rPr>
      <w:rFonts w:ascii="宋体" w:hAnsi="宋体" w:cs="宋体"/>
      <w:sz w:val="18"/>
      <w:szCs w:val="18"/>
      <w:lang w:val="zh-TW" w:eastAsia="zh-TW" w:bidi="zh-TW"/>
    </w:rPr>
  </w:style>
  <w:style w:type="paragraph" w:customStyle="1" w:styleId="513">
    <w:name w:val="Other|1"/>
    <w:basedOn w:val="1"/>
    <w:qFormat/>
    <w:uiPriority w:val="0"/>
    <w:pPr>
      <w:spacing w:line="338" w:lineRule="auto"/>
      <w:ind w:firstLine="380"/>
    </w:pPr>
    <w:rPr>
      <w:rFonts w:ascii="宋体" w:hAnsi="宋体" w:cs="宋体"/>
      <w:sz w:val="18"/>
      <w:szCs w:val="18"/>
      <w:lang w:val="zh-TW" w:eastAsia="zh-TW" w:bidi="zh-TW"/>
    </w:rPr>
  </w:style>
  <w:style w:type="paragraph" w:customStyle="1" w:styleId="514">
    <w:name w:val="Header or footer|1"/>
    <w:basedOn w:val="1"/>
    <w:qFormat/>
    <w:uiPriority w:val="0"/>
    <w:rPr>
      <w:b/>
      <w:bCs/>
      <w:sz w:val="19"/>
      <w:szCs w:val="19"/>
    </w:rPr>
  </w:style>
  <w:style w:type="paragraph" w:customStyle="1" w:styleId="515">
    <w:name w:val="Table Text"/>
    <w:basedOn w:val="1"/>
    <w:semiHidden/>
    <w:qFormat/>
    <w:uiPriority w:val="0"/>
    <w:rPr>
      <w:rFonts w:ascii="宋体" w:hAnsi="宋体" w:eastAsia="宋体" w:cs="宋体"/>
      <w:sz w:val="21"/>
      <w:szCs w:val="21"/>
      <w:lang w:val="en-US" w:eastAsia="en-US" w:bidi="ar-SA"/>
    </w:rPr>
  </w:style>
  <w:style w:type="table" w:customStyle="1" w:styleId="5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D5CE-5E97-4EFC-922C-F3E8EF5D4E1C}">
  <ds:schemaRefs/>
</ds:datastoreItem>
</file>

<file path=docProps/app.xml><?xml version="1.0" encoding="utf-8"?>
<Properties xmlns="http://schemas.openxmlformats.org/officeDocument/2006/extended-properties" xmlns:vt="http://schemas.openxmlformats.org/officeDocument/2006/docPropsVTypes">
  <Template>bzbx20.dotx</Template>
  <Pages>6</Pages>
  <Words>2239</Words>
  <Characters>2499</Characters>
  <Lines>1</Lines>
  <Paragraphs>1</Paragraphs>
  <TotalTime>4</TotalTime>
  <ScaleCrop>false</ScaleCrop>
  <LinksUpToDate>false</LinksUpToDate>
  <CharactersWithSpaces>2658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2023-03-28T06:39:00Z</dcterms:created>
  <dc:creator>爱幻想的假行僧</dc:creator>
  <cp:lastModifiedBy>爱幻想的假行僧</cp:lastModifiedBy>
  <dcterms:modified xsi:type="dcterms:W3CDTF">2024-11-12T07:03:30Z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BBADB2B1A4F64B0F97E2202E240D81F8_13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vt:lpwstr>
  </property>
  <property fmtid="{D5CDD505-2E9C-101B-9397-08002B2CF9AE}" pid="11" name="TDBH" linkTarget="TDBH">
    <vt:lpwstr/>
  </property>
  <property fmtid="{D5CDD505-2E9C-101B-9397-08002B2CF9AE}" pid="12" name="BZMC" linkTarget="BZMC">
    <vt:lpwstr>公务用车
公务用车服务保障规范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2023—XX—XX</vt:lpwstr>
  </property>
  <property fmtid="{D5CDD505-2E9C-101B-9397-08002B2CF9AE}" pid="17" name="SSRQ" linkTarget="SSRQ">
    <vt:lpwstr>2023—XX—XX</vt:lpwstr>
  </property>
  <property fmtid="{D5CDD505-2E9C-101B-9397-08002B2CF9AE}" pid="18" name="BZLX" linkTarget="BZLX">
    <vt:lpwstr>DB32</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KSOProductBuildVer">
    <vt:lpwstr>2052-12.1.0.18608</vt:lpwstr>
  </property>
</Properties>
</file>