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9A798">
      <w:pPr>
        <w:pStyle w:val="286"/>
        <w:bidi w:val="0"/>
        <w:rPr>
          <w:rFonts w:hint="eastAsia"/>
        </w:rPr>
      </w:pPr>
      <w:bookmarkStart w:id="0" w:name="标准封面"/>
      <w:bookmarkEnd w:id="0"/>
      <w:r>
        <w:rPr>
          <w:sz w:val="32"/>
        </w:rPr>
        <mc:AlternateContent>
          <mc:Choice Requires="wps">
            <w:drawing>
              <wp:anchor distT="0" distB="0" distL="114300" distR="114300" simplePos="0" relativeHeight="251659264" behindDoc="0" locked="0" layoutInCell="1" allowOverlap="1">
                <wp:simplePos x="0" y="0"/>
                <wp:positionH relativeFrom="column">
                  <wp:posOffset>-381000</wp:posOffset>
                </wp:positionH>
                <wp:positionV relativeFrom="paragraph">
                  <wp:posOffset>-440690</wp:posOffset>
                </wp:positionV>
                <wp:extent cx="1800225" cy="720090"/>
                <wp:effectExtent l="0" t="0" r="9525" b="381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47A054">
                            <w:pPr>
                              <w:pStyle w:val="506"/>
                              <w:spacing w:after="60"/>
                              <w:jc w:val="left"/>
                              <w:rPr>
                                <w:rFonts w:hint="eastAsia" w:ascii="黑体" w:hAnsi="黑体" w:eastAsia="黑体" w:cs="黑体"/>
                                <w:sz w:val="21"/>
                                <w:szCs w:val="21"/>
                                <w:lang w:val="en-US" w:eastAsia="zh-CN"/>
                              </w:rPr>
                            </w:pPr>
                            <w:r>
                              <w:rPr>
                                <w:rFonts w:ascii="Times New Roman" w:hAnsi="Times New Roman" w:eastAsia="Times New Roman" w:cs="Times New Roman"/>
                                <w:color w:val="000000"/>
                                <w:sz w:val="18"/>
                                <w:szCs w:val="18"/>
                                <w:lang w:val="en-US" w:eastAsia="en-US" w:bidi="en-US"/>
                              </w:rPr>
                              <w:t>I</w:t>
                            </w:r>
                            <w:r>
                              <w:rPr>
                                <w:rFonts w:hint="eastAsia" w:ascii="黑体" w:hAnsi="黑体" w:eastAsia="黑体" w:cs="黑体"/>
                                <w:color w:val="000000"/>
                                <w:sz w:val="21"/>
                                <w:szCs w:val="21"/>
                                <w:lang w:val="en-US" w:eastAsia="en-US" w:bidi="en-US"/>
                              </w:rPr>
                              <w:t xml:space="preserve">CS </w:t>
                            </w:r>
                          </w:p>
                          <w:p w14:paraId="1E759823">
                            <w:pPr>
                              <w:pStyle w:val="506"/>
                              <w:jc w:val="left"/>
                              <w:rPr>
                                <w:rFonts w:hint="eastAsia" w:ascii="黑体" w:hAnsi="黑体" w:eastAsia="黑体" w:cs="黑体"/>
                                <w:sz w:val="21"/>
                                <w:szCs w:val="21"/>
                                <w:lang w:eastAsia="zh-CN"/>
                              </w:rPr>
                            </w:pPr>
                            <w:r>
                              <w:rPr>
                                <w:rFonts w:hint="eastAsia" w:ascii="黑体" w:hAnsi="黑体" w:eastAsia="黑体" w:cs="黑体"/>
                                <w:color w:val="000000"/>
                                <w:sz w:val="21"/>
                                <w:szCs w:val="21"/>
                                <w:lang w:val="en-US" w:eastAsia="zh-CN" w:bidi="en-US"/>
                              </w:rPr>
                              <w:t>CCS</w:t>
                            </w:r>
                          </w:p>
                          <w:p w14:paraId="566C23A6">
                            <w:pPr>
                              <w:pStyle w:val="334"/>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30pt;margin-top:-34.7pt;height:56.7pt;width:141.75pt;z-index:251659264;mso-width-relative:page;mso-height-relative:page;" filled="f" stroked="f" coordsize="21600,21600" o:gfxdata="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l1/1GdsAAAAKAQAADwAAAAAAAAAB&#10;ACAAAAAiAAAAZHJzL2Rvd25yZXYueG1sUEsBAhQAFAAAAAgAh07iQGUWJfNGAgAAYgQAAA4AAAAA&#10;AAAAAQAgAAAAKgEAAGRycy9lMm9Eb2MueG1sUEsFBgAAAAAGAAYAWQEAAOIFAAAAAA==&#10;">
                <v:fill on="f" focussize="0,0"/>
                <v:stroke on="f" weight="0.5pt"/>
                <v:imagedata o:title=""/>
                <o:lock v:ext="edit" aspectratio="f"/>
                <v:textbox inset="0mm,0mm,2.54mm,0mm">
                  <w:txbxContent>
                    <w:p w14:paraId="1447A054">
                      <w:pPr>
                        <w:pStyle w:val="506"/>
                        <w:spacing w:after="60"/>
                        <w:jc w:val="left"/>
                        <w:rPr>
                          <w:rFonts w:hint="eastAsia" w:ascii="黑体" w:hAnsi="黑体" w:eastAsia="黑体" w:cs="黑体"/>
                          <w:sz w:val="21"/>
                          <w:szCs w:val="21"/>
                          <w:lang w:val="en-US" w:eastAsia="zh-CN"/>
                        </w:rPr>
                      </w:pPr>
                      <w:r>
                        <w:rPr>
                          <w:rFonts w:ascii="Times New Roman" w:hAnsi="Times New Roman" w:eastAsia="Times New Roman" w:cs="Times New Roman"/>
                          <w:color w:val="000000"/>
                          <w:sz w:val="18"/>
                          <w:szCs w:val="18"/>
                          <w:lang w:val="en-US" w:eastAsia="en-US" w:bidi="en-US"/>
                        </w:rPr>
                        <w:t>I</w:t>
                      </w:r>
                      <w:r>
                        <w:rPr>
                          <w:rFonts w:hint="eastAsia" w:ascii="黑体" w:hAnsi="黑体" w:eastAsia="黑体" w:cs="黑体"/>
                          <w:color w:val="000000"/>
                          <w:sz w:val="21"/>
                          <w:szCs w:val="21"/>
                          <w:lang w:val="en-US" w:eastAsia="en-US" w:bidi="en-US"/>
                        </w:rPr>
                        <w:t xml:space="preserve">CS </w:t>
                      </w:r>
                    </w:p>
                    <w:p w14:paraId="1E759823">
                      <w:pPr>
                        <w:pStyle w:val="506"/>
                        <w:jc w:val="left"/>
                        <w:rPr>
                          <w:rFonts w:hint="eastAsia" w:ascii="黑体" w:hAnsi="黑体" w:eastAsia="黑体" w:cs="黑体"/>
                          <w:sz w:val="21"/>
                          <w:szCs w:val="21"/>
                          <w:lang w:eastAsia="zh-CN"/>
                        </w:rPr>
                      </w:pPr>
                      <w:r>
                        <w:rPr>
                          <w:rFonts w:hint="eastAsia" w:ascii="黑体" w:hAnsi="黑体" w:eastAsia="黑体" w:cs="黑体"/>
                          <w:color w:val="000000"/>
                          <w:sz w:val="21"/>
                          <w:szCs w:val="21"/>
                          <w:lang w:val="en-US" w:eastAsia="zh-CN" w:bidi="en-US"/>
                        </w:rPr>
                        <w:t>CCS</w:t>
                      </w:r>
                    </w:p>
                    <w:p w14:paraId="566C23A6">
                      <w:pPr>
                        <w:pStyle w:val="334"/>
                        <w:bidi w:val="0"/>
                        <w:rPr>
                          <w:rFonts w:hint="eastAsia"/>
                          <w:lang w:eastAsia="zh-CN"/>
                        </w:rPr>
                      </w:pPr>
                    </w:p>
                  </w:txbxContent>
                </v:textbox>
              </v:shap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2124075</wp:posOffset>
                </wp:positionH>
                <wp:positionV relativeFrom="paragraph">
                  <wp:posOffset>133985</wp:posOffset>
                </wp:positionV>
                <wp:extent cx="3960495" cy="1524000"/>
                <wp:effectExtent l="0" t="0" r="1905" b="0"/>
                <wp:wrapNone/>
                <wp:docPr id="2" name="首页自画框图2"/>
                <wp:cNvGraphicFramePr/>
                <a:graphic xmlns:a="http://schemas.openxmlformats.org/drawingml/2006/main">
                  <a:graphicData uri="http://schemas.microsoft.com/office/word/2010/wordprocessingShape">
                    <wps:wsp>
                      <wps:cNvSpPr txBox="1"/>
                      <wps:spPr>
                        <a:xfrm>
                          <a:off x="0" y="0"/>
                          <a:ext cx="3960495" cy="15240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CADE4C">
                            <w:pPr>
                              <w:pStyle w:val="344"/>
                              <w:shd w:val="clear" w:color="FFFFFF" w:fill="FFFFFF"/>
                              <w:bidi w:val="0"/>
                              <w:jc w:val="right"/>
                              <w:rPr>
                                <w:rFonts w:hint="default" w:ascii="Times New Roman" w:hAnsi="Times New Roman" w:eastAsia="Times New Roman" w:cs="Times New Roman"/>
                                <w:sz w:val="96"/>
                                <w:lang w:val="en-US" w:eastAsia="zh-CN"/>
                              </w:rPr>
                            </w:pPr>
                            <w:r>
                              <w:rPr>
                                <w:rFonts w:hint="eastAsia" w:ascii="Times New Roman" w:hAnsi="Times New Roman" w:eastAsia="Times New Roman" w:cs="Times New Roman"/>
                                <w:sz w:val="96"/>
                                <w:lang w:val="en-US" w:eastAsia="zh-CN"/>
                              </w:rPr>
                              <w:t>T/JSAS</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167.25pt;margin-top:10.55pt;height:120pt;width:311.85pt;z-index:251660288;mso-width-relative:page;mso-height-relative:page;" filled="f" stroked="f" coordsize="21600,21600" o:gfxdata="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2ZZhvaAAAACgEAAA8AAAAA&#10;AAAAAQAgAAAAIgAAAGRycy9kb3ducmV2LnhtbFBLAQIUABQAAAAIAIdO4kBjj27vSwIAAGMEAAAO&#10;AAAAAAAAAAEAIAAAACkBAABkcnMvZTJvRG9jLnhtbFBLBQYAAAAABgAGAFkBAADmBQAAAAA=&#10;">
                <v:fill on="f" focussize="0,0"/>
                <v:stroke on="f" weight="0.5pt"/>
                <v:imagedata o:title=""/>
                <o:lock v:ext="edit" aspectratio="f"/>
                <v:textbox inset="0mm,0mm,2.54mm,0mm">
                  <w:txbxContent>
                    <w:p w14:paraId="2ECADE4C">
                      <w:pPr>
                        <w:pStyle w:val="344"/>
                        <w:shd w:val="clear" w:color="FFFFFF" w:fill="FFFFFF"/>
                        <w:bidi w:val="0"/>
                        <w:jc w:val="right"/>
                        <w:rPr>
                          <w:rFonts w:hint="default" w:ascii="Times New Roman" w:hAnsi="Times New Roman" w:eastAsia="Times New Roman" w:cs="Times New Roman"/>
                          <w:sz w:val="96"/>
                          <w:lang w:val="en-US" w:eastAsia="zh-CN"/>
                        </w:rPr>
                      </w:pPr>
                      <w:r>
                        <w:rPr>
                          <w:rFonts w:hint="eastAsia" w:ascii="Times New Roman" w:hAnsi="Times New Roman" w:eastAsia="Times New Roman" w:cs="Times New Roman"/>
                          <w:sz w:val="96"/>
                          <w:lang w:val="en-US" w:eastAsia="zh-CN"/>
                        </w:rPr>
                        <w:t>T/JSAS</w:t>
                      </w:r>
                    </w:p>
                  </w:txbxContent>
                </v:textbox>
              </v:shape>
            </w:pict>
          </mc:Fallback>
        </mc:AlternateContent>
      </w:r>
    </w:p>
    <w:p w14:paraId="2ABEB0B6">
      <w:pPr>
        <w:pStyle w:val="258"/>
        <w:rPr>
          <w:rFonts w:hint="eastAsia"/>
        </w:rPr>
      </w:pPr>
      <w:r>
        <w:rPr>
          <w:sz w:val="21"/>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123825</wp:posOffset>
                </wp:positionV>
                <wp:extent cx="6120765" cy="648335"/>
                <wp:effectExtent l="0" t="0" r="13335" b="18415"/>
                <wp:wrapNone/>
                <wp:docPr id="3" name="首页自画框图3"/>
                <wp:cNvGraphicFramePr/>
                <a:graphic xmlns:a="http://schemas.openxmlformats.org/drawingml/2006/main">
                  <a:graphicData uri="http://schemas.microsoft.com/office/word/2010/wordprocessingShape">
                    <wps:wsp>
                      <wps:cNvSpPr txBox="1"/>
                      <wps:spPr>
                        <a:xfrm>
                          <a:off x="0" y="0"/>
                          <a:ext cx="6120765" cy="6483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4EADEA">
                            <w:pPr>
                              <w:pStyle w:val="337"/>
                              <w:bidi w:val="0"/>
                              <w:rPr>
                                <w:rFonts w:hint="eastAsia"/>
                                <w:lang w:eastAsia="zh-CN"/>
                              </w:rPr>
                            </w:pPr>
                            <w:r>
                              <w:rPr>
                                <w:rFonts w:hint="eastAsia" w:ascii="方正小标宋_GBK" w:hAnsi="方正小标宋_GBK" w:eastAsia="方正小标宋_GBK" w:cs="方正小标宋_GBK"/>
                                <w:b w:val="0"/>
                                <w:bCs w:val="0"/>
                                <w:lang w:val="en-US" w:eastAsia="zh-CN"/>
                              </w:rPr>
                              <w:t>团体标准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0pt;margin-top:9.75pt;height:51.05pt;width:481.95pt;z-index:251661312;mso-width-relative:page;mso-height-relative:page;" filled="f" stroked="f" coordsize="21600,21600" o:gfxdata="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Eq4IEnXAAAABwEAAA8AAAAAAAAAAQAg&#10;AAAAIgAAAGRycy9kb3ducmV2LnhtbFBLAQIUABQAAAAIAIdO4kByRQRmSAIAAGIEAAAOAAAAAAAA&#10;AAEAIAAAACYBAABkcnMvZTJvRG9jLnhtbFBLBQYAAAAABgAGAFkBAADgBQAAAAA=&#10;">
                <v:fill on="f" focussize="0,0"/>
                <v:stroke on="f" weight="0.5pt"/>
                <v:imagedata o:title=""/>
                <o:lock v:ext="edit" aspectratio="f"/>
                <v:textbox inset="0mm,0mm,2.54mm,0mm">
                  <w:txbxContent>
                    <w:p w14:paraId="144EADEA">
                      <w:pPr>
                        <w:pStyle w:val="337"/>
                        <w:bidi w:val="0"/>
                        <w:rPr>
                          <w:rFonts w:hint="eastAsia"/>
                          <w:lang w:eastAsia="zh-CN"/>
                        </w:rPr>
                      </w:pPr>
                      <w:r>
                        <w:rPr>
                          <w:rFonts w:hint="eastAsia" w:ascii="方正小标宋_GBK" w:hAnsi="方正小标宋_GBK" w:eastAsia="方正小标宋_GBK" w:cs="方正小标宋_GBK"/>
                          <w:b w:val="0"/>
                          <w:bCs w:val="0"/>
                          <w:lang w:val="en-US" w:eastAsia="zh-CN"/>
                        </w:rPr>
                        <w:t>团体标准</w:t>
                      </w:r>
                    </w:p>
                  </w:txbxContent>
                </v:textbox>
              </v:shape>
            </w:pict>
          </mc:Fallback>
        </mc:AlternateContent>
      </w:r>
    </w:p>
    <w:p w14:paraId="1D995526">
      <w:pPr>
        <w:pStyle w:val="258"/>
        <w:rPr>
          <w:rFonts w:hint="eastAsia"/>
        </w:rPr>
      </w:pPr>
    </w:p>
    <w:p w14:paraId="01F558C9">
      <w:pPr>
        <w:pStyle w:val="258"/>
        <w:rPr>
          <w:rFonts w:hint="eastAsia"/>
        </w:rPr>
        <w:sectPr>
          <w:headerReference r:id="rId3" w:type="default"/>
          <w:footerReference r:id="rId5" w:type="default"/>
          <w:headerReference r:id="rId4" w:type="even"/>
          <w:footerReference r:id="rId6" w:type="even"/>
          <w:pgSz w:w="11907" w:h="16839"/>
          <w:pgMar w:top="1134" w:right="851" w:bottom="1134" w:left="1418" w:header="284" w:footer="1134" w:gutter="0"/>
          <w:lnNumType w:countBy="0" w:restart="continuous"/>
          <w:pgNumType w:fmt="upperRoman" w:start="1"/>
          <w:cols w:space="0" w:num="1"/>
          <w:titlePg/>
          <w:rtlGutter w:val="0"/>
          <w:docGrid w:linePitch="312" w:charSpace="0"/>
        </w:sectPr>
      </w:pPr>
      <w:bookmarkStart w:id="4" w:name="_GoBack"/>
      <w:bookmarkEnd w:id="4"/>
      <w:r>
        <w:rPr>
          <w:sz w:val="21"/>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9500235</wp:posOffset>
                </wp:positionV>
                <wp:extent cx="2510790" cy="301625"/>
                <wp:effectExtent l="0" t="0" r="0" b="0"/>
                <wp:wrapNone/>
                <wp:docPr id="10" name="首页自画框图7"/>
                <wp:cNvGraphicFramePr/>
                <a:graphic xmlns:a="http://schemas.openxmlformats.org/drawingml/2006/main">
                  <a:graphicData uri="http://schemas.microsoft.com/office/word/2010/wordprocessingShape">
                    <wps:wsp>
                      <wps:cNvSpPr txBox="1"/>
                      <wps:spPr>
                        <a:xfrm>
                          <a:off x="0" y="0"/>
                          <a:ext cx="2510790" cy="3016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626C94">
                            <w:pPr>
                              <w:pStyle w:val="342"/>
                              <w:keepNext w:val="0"/>
                              <w:keepLines w:val="0"/>
                              <w:pageBreakBefore w:val="0"/>
                              <w:widowControl/>
                              <w:kinsoku/>
                              <w:wordWrap/>
                              <w:overflowPunct/>
                              <w:topLinePunct w:val="0"/>
                              <w:autoSpaceDE/>
                              <w:autoSpaceDN/>
                              <w:bidi w:val="0"/>
                              <w:adjustRightInd/>
                              <w:snapToGrid/>
                              <w:spacing w:line="240" w:lineRule="auto"/>
                              <w:jc w:val="distribute"/>
                              <w:textAlignment w:val="auto"/>
                              <w:rPr>
                                <w:rFonts w:hint="default"/>
                                <w:lang w:val="en-US" w:eastAsia="zh-CN"/>
                              </w:rPr>
                            </w:pPr>
                            <w:r>
                              <w:rPr>
                                <w:rFonts w:hint="eastAsia"/>
                                <w:lang w:val="en-US" w:eastAsia="zh-CN"/>
                              </w:rPr>
                              <w:t>江苏省标准化协会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182.25pt;margin-top:748.05pt;height:23.75pt;width:197.7pt;mso-position-horizontal-relative:page;mso-position-vertical-relative:page;z-index:251668480;mso-width-relative:page;mso-height-relative:page;" filled="f" stroked="f" coordsize="21600,21600" o:gfxdata="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zx1WHbAAAADQEAAA8AAAAAAAAAAQAg&#10;AAAAIgAAAGRycy9kb3ducmV2LnhtbFBLAQIUABQAAAAIAIdO4kCdaLvlRAIAAF8EAAAOAAAAAAAA&#10;AAEAIAAAACoBAABkcnMvZTJvRG9jLnhtbFBLBQYAAAAABgAGAFkBAADgBQAAAAA=&#10;">
                <v:fill on="f" focussize="0,0"/>
                <v:stroke on="f" weight="0.5pt"/>
                <v:imagedata o:title=""/>
                <o:lock v:ext="edit" aspectratio="f"/>
                <v:textbox inset="0mm,0mm,0mm,0mm">
                  <w:txbxContent>
                    <w:p w14:paraId="25626C94">
                      <w:pPr>
                        <w:pStyle w:val="342"/>
                        <w:keepNext w:val="0"/>
                        <w:keepLines w:val="0"/>
                        <w:pageBreakBefore w:val="0"/>
                        <w:widowControl/>
                        <w:kinsoku/>
                        <w:wordWrap/>
                        <w:overflowPunct/>
                        <w:topLinePunct w:val="0"/>
                        <w:autoSpaceDE/>
                        <w:autoSpaceDN/>
                        <w:bidi w:val="0"/>
                        <w:adjustRightInd/>
                        <w:snapToGrid/>
                        <w:spacing w:line="240" w:lineRule="auto"/>
                        <w:jc w:val="distribute"/>
                        <w:textAlignment w:val="auto"/>
                        <w:rPr>
                          <w:rFonts w:hint="default"/>
                          <w:lang w:val="en-US" w:eastAsia="zh-CN"/>
                        </w:rPr>
                      </w:pPr>
                      <w:r>
                        <w:rPr>
                          <w:rFonts w:hint="eastAsia"/>
                          <w:lang w:val="en-US" w:eastAsia="zh-CN"/>
                        </w:rPr>
                        <w:t>江苏省标准化协会</w:t>
                      </w:r>
                    </w:p>
                  </w:txbxContent>
                </v:textbox>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page">
                  <wp:posOffset>4968240</wp:posOffset>
                </wp:positionH>
                <wp:positionV relativeFrom="page">
                  <wp:posOffset>9582785</wp:posOffset>
                </wp:positionV>
                <wp:extent cx="810895" cy="184150"/>
                <wp:effectExtent l="0" t="0" r="8255" b="6350"/>
                <wp:wrapNone/>
                <wp:docPr id="11" name="首页自画框图8"/>
                <wp:cNvGraphicFramePr/>
                <a:graphic xmlns:a="http://schemas.openxmlformats.org/drawingml/2006/main">
                  <a:graphicData uri="http://schemas.microsoft.com/office/word/2010/wordprocessingShape">
                    <wps:wsp>
                      <wps:cNvSpPr txBox="1"/>
                      <wps:spPr>
                        <a:xfrm>
                          <a:off x="0" y="0"/>
                          <a:ext cx="1422400" cy="1841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C1475">
                            <w:pPr>
                              <w:pStyle w:val="501"/>
                              <w:bidi w:val="0"/>
                              <w:ind w:left="0" w:leftChars="0" w:firstLine="0" w:firstLineChars="0"/>
                              <w:rPr>
                                <w:rFonts w:hint="eastAsia"/>
                                <w:lang w:eastAsia="zh-CN"/>
                              </w:rPr>
                            </w:pPr>
                            <w:r>
                              <w:rPr>
                                <w:rFonts w:hint="eastAsia"/>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391.2pt;margin-top:754.55pt;height:14.5pt;width:63.85pt;mso-position-horizontal-relative:page;mso-position-vertical-relative:page;mso-wrap-style:none;z-index:251669504;mso-width-relative:page;mso-height-relative:page;" filled="f" stroked="f" coordsize="21600,21600" o:gfxdata="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yJR9sAAAANAQAADwAAAAAAAAABACAAAAAi&#10;AAAAZHJzL2Rvd25yZXYueG1sUEsBAhQAFAAAAAgAh07iQOxlyeRAAgAAXQQAAA4AAAAAAAAAAQAg&#10;AAAAKgEAAGRycy9lMm9Eb2MueG1sUEsFBgAAAAAGAAYAWQEAANwFAAAAAA==&#10;">
                <v:fill on="f" focussize="0,0"/>
                <v:stroke on="f" weight="0.5pt"/>
                <v:imagedata o:title=""/>
                <o:lock v:ext="edit" aspectratio="f"/>
                <v:textbox inset="0mm,0mm,0mm,0mm">
                  <w:txbxContent>
                    <w:p w14:paraId="7C2C1475">
                      <w:pPr>
                        <w:pStyle w:val="501"/>
                        <w:bidi w:val="0"/>
                        <w:ind w:left="0" w:leftChars="0" w:firstLine="0" w:firstLineChars="0"/>
                        <w:rPr>
                          <w:rFonts w:hint="eastAsia"/>
                          <w:lang w:eastAsia="zh-CN"/>
                        </w:rPr>
                      </w:pPr>
                      <w:r>
                        <w:rPr>
                          <w:rFonts w:hint="eastAsia"/>
                          <w:lang w:eastAsia="zh-CN"/>
                        </w:rPr>
                        <w:t>发 布</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-40005</wp:posOffset>
                </wp:positionH>
                <wp:positionV relativeFrom="paragraph">
                  <wp:posOffset>7226300</wp:posOffset>
                </wp:positionV>
                <wp:extent cx="6121400" cy="0"/>
                <wp:effectExtent l="0" t="0" r="0" b="0"/>
                <wp:wrapNone/>
                <wp:docPr id="9"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3.15pt;margin-top:569pt;height:0pt;width:482pt;z-index:251667456;mso-width-relative:page;mso-height-relative:page;" filled="f" stroked="t" coordsize="21600,21600" o:gfxdata="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t7v&#10;GtcAAAAMAQAADwAAAAAAAAABACAAAAAiAAAAZHJzL2Rvd25yZXYueG1sUEsBAhQAFAAAAAgAh07i&#10;QJELykHqAQAAswMAAA4AAAAAAAAAAQAgAAAAJgEAAGRycy9lMm9Eb2MueG1sUEsFBgAAAAAGAAYA&#10;WQEAAIIFA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6969125</wp:posOffset>
                </wp:positionV>
                <wp:extent cx="2880360" cy="360045"/>
                <wp:effectExtent l="0" t="0" r="15240" b="1905"/>
                <wp:wrapNone/>
                <wp:docPr id="7"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00013">
                            <w:pPr>
                              <w:pStyle w:val="264"/>
                              <w:bidi w:val="0"/>
                              <w:rPr>
                                <w:rFonts w:hint="eastAsia"/>
                                <w:lang w:eastAsia="zh-CN"/>
                              </w:rPr>
                            </w:pPr>
                            <w:r>
                              <w:rPr>
                                <w:rFonts w:hint="eastAsia"/>
                                <w:lang w:eastAsia="zh-CN"/>
                              </w:rPr>
                              <w:t>202</w:t>
                            </w:r>
                            <w:r>
                              <w:rPr>
                                <w:rFonts w:hint="eastAsia"/>
                                <w:lang w:val="en-US" w:eastAsia="zh-CN"/>
                              </w:rPr>
                              <w:t>4</w:t>
                            </w:r>
                            <w:r>
                              <w:rPr>
                                <w:rFonts w:hint="eastAsia"/>
                                <w:lang w:eastAsia="zh-CN"/>
                              </w:rPr>
                              <w:t>—XX—XX发布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0pt;margin-top:548.75pt;height:28.35pt;width:226.8pt;z-index:251665408;mso-width-relative:page;mso-height-relative:page;" filled="f" stroked="f" coordsize="21600,21600" o:gfxdata="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0JEmLaAAAACgEAAA8AAAAAAAAA&#10;AQAgAAAAIgAAAGRycy9kb3ducmV2LnhtbFBLAQIUABQAAAAIAIdO4kB+56iSSAIAAGIEAAAOAAAA&#10;AAAAAAEAIAAAACkBAABkcnMvZTJvRG9jLnhtbFBLBQYAAAAABgAGAFkBAADjBQAAAAA=&#10;">
                <v:fill on="f" focussize="0,0"/>
                <v:stroke on="f" weight="0.5pt"/>
                <v:imagedata o:title=""/>
                <o:lock v:ext="edit" aspectratio="f"/>
                <v:textbox inset="0mm,0mm,2.54mm,0mm">
                  <w:txbxContent>
                    <w:p w14:paraId="25500013">
                      <w:pPr>
                        <w:pStyle w:val="264"/>
                        <w:bidi w:val="0"/>
                        <w:rPr>
                          <w:rFonts w:hint="eastAsia"/>
                          <w:lang w:eastAsia="zh-CN"/>
                        </w:rPr>
                      </w:pPr>
                      <w:r>
                        <w:rPr>
                          <w:rFonts w:hint="eastAsia"/>
                          <w:lang w:eastAsia="zh-CN"/>
                        </w:rPr>
                        <w:t>202</w:t>
                      </w:r>
                      <w:r>
                        <w:rPr>
                          <w:rFonts w:hint="eastAsia"/>
                          <w:lang w:val="en-US" w:eastAsia="zh-CN"/>
                        </w:rPr>
                        <w:t>4</w:t>
                      </w:r>
                      <w:r>
                        <w:rPr>
                          <w:rFonts w:hint="eastAsia"/>
                          <w:lang w:eastAsia="zh-CN"/>
                        </w:rPr>
                        <w:t>—XX—XX发布</w:t>
                      </w:r>
                    </w:p>
                  </w:txbxContent>
                </v:textbox>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3239770</wp:posOffset>
                </wp:positionH>
                <wp:positionV relativeFrom="paragraph">
                  <wp:posOffset>6969125</wp:posOffset>
                </wp:positionV>
                <wp:extent cx="2880360" cy="360045"/>
                <wp:effectExtent l="0" t="0" r="15240" b="1905"/>
                <wp:wrapNone/>
                <wp:docPr id="8"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574049">
                            <w:pPr>
                              <w:pStyle w:val="291"/>
                              <w:bidi w:val="0"/>
                              <w:jc w:val="right"/>
                              <w:rPr>
                                <w:rFonts w:hint="eastAsia"/>
                                <w:lang w:eastAsia="zh-CN"/>
                              </w:rPr>
                            </w:pPr>
                            <w:r>
                              <w:rPr>
                                <w:rFonts w:hint="eastAsia"/>
                                <w:lang w:eastAsia="zh-CN"/>
                              </w:rPr>
                              <w:t>202</w:t>
                            </w:r>
                            <w:r>
                              <w:rPr>
                                <w:rFonts w:hint="eastAsia"/>
                                <w:lang w:val="en-US" w:eastAsia="zh-CN"/>
                              </w:rPr>
                              <w:t>4</w:t>
                            </w:r>
                            <w:r>
                              <w:rPr>
                                <w:rFonts w:hint="eastAsia"/>
                                <w:lang w:eastAsia="zh-CN"/>
                              </w:rPr>
                              <w:t>—XX—XX实施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255.1pt;margin-top:548.75pt;height:28.35pt;width:226.8pt;z-index:251666432;mso-width-relative:page;mso-height-relative:page;" filled="f" stroked="f" coordsize="21600,21600" o:gfxdata="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4gen13AAAAA0BAAAPAAAAAAAA&#10;AAEAIAAAACIAAABkcnMvZG93bnJldi54bWxQSwECFAAUAAAACACHTuJACuLfaUcCAABiBAAADgAA&#10;AAAAAAABACAAAAArAQAAZHJzL2Uyb0RvYy54bWxQSwUGAAAAAAYABgBZAQAA5AUAAAAA&#10;">
                <v:fill on="f" focussize="0,0"/>
                <v:stroke on="f" weight="0.5pt"/>
                <v:imagedata o:title=""/>
                <o:lock v:ext="edit" aspectratio="f"/>
                <v:textbox inset="0mm,0mm,2.54mm,0mm">
                  <w:txbxContent>
                    <w:p w14:paraId="3E574049">
                      <w:pPr>
                        <w:pStyle w:val="291"/>
                        <w:bidi w:val="0"/>
                        <w:jc w:val="right"/>
                        <w:rPr>
                          <w:rFonts w:hint="eastAsia"/>
                          <w:lang w:eastAsia="zh-CN"/>
                        </w:rPr>
                      </w:pPr>
                      <w:r>
                        <w:rPr>
                          <w:rFonts w:hint="eastAsia"/>
                          <w:lang w:eastAsia="zh-CN"/>
                        </w:rPr>
                        <w:t>202</w:t>
                      </w:r>
                      <w:r>
                        <w:rPr>
                          <w:rFonts w:hint="eastAsia"/>
                          <w:lang w:val="en-US" w:eastAsia="zh-CN"/>
                        </w:rPr>
                        <w:t>4</w:t>
                      </w:r>
                      <w:r>
                        <w:rPr>
                          <w:rFonts w:hint="eastAsia"/>
                          <w:lang w:eastAsia="zh-CN"/>
                        </w:rPr>
                        <w:t>—XX—XX实施</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2406650</wp:posOffset>
                </wp:positionV>
                <wp:extent cx="6120765" cy="4320540"/>
                <wp:effectExtent l="0" t="0" r="13335" b="3810"/>
                <wp:wrapNone/>
                <wp:docPr id="6" name="首页自画框图4"/>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71E8B2">
                            <w:pPr>
                              <w:pStyle w:val="268"/>
                              <w:bidi w:val="0"/>
                              <w:rPr>
                                <w:rFonts w:hint="eastAsia"/>
                                <w:lang w:eastAsia="zh-CN"/>
                              </w:rPr>
                            </w:pPr>
                            <w:r>
                              <w:rPr>
                                <w:rFonts w:hint="eastAsia"/>
                              </w:rPr>
                              <w:t>鹿茸菇</w:t>
                            </w:r>
                            <w:r>
                              <w:rPr>
                                <w:rFonts w:hint="eastAsia"/>
                                <w:lang w:eastAsia="zh-CN"/>
                              </w:rPr>
                              <w:t>质量要求</w:t>
                            </w:r>
                          </w:p>
                          <w:p w14:paraId="7ABF43D1">
                            <w:pPr>
                              <w:pStyle w:val="271"/>
                              <w:keepNext w:val="0"/>
                              <w:keepLines w:val="0"/>
                              <w:pageBreakBefore w:val="0"/>
                              <w:widowControl w:val="0"/>
                              <w:kinsoku/>
                              <w:wordWrap/>
                              <w:overflowPunct/>
                              <w:topLinePunct w:val="0"/>
                              <w:bidi w:val="0"/>
                              <w:adjustRightInd/>
                              <w:snapToGrid/>
                              <w:spacing w:before="0" w:line="240" w:lineRule="auto"/>
                              <w:textAlignment w:val="auto"/>
                              <w:rPr>
                                <w:rFonts w:hint="default" w:ascii="Times New Roman" w:hAnsi="Times New Roman" w:eastAsia="宋体" w:cs="Times New Roman"/>
                                <w:i w:val="0"/>
                                <w:iCs w:val="0"/>
                                <w:caps w:val="0"/>
                                <w:color w:val="333333"/>
                                <w:spacing w:val="0"/>
                                <w:sz w:val="30"/>
                                <w:szCs w:val="30"/>
                                <w:shd w:val="clear" w:fill="FFFFFF"/>
                              </w:rPr>
                            </w:pPr>
                            <w:r>
                              <w:rPr>
                                <w:rFonts w:hint="default" w:ascii="Times New Roman" w:hAnsi="Times New Roman" w:eastAsia="宋体" w:cs="Times New Roman"/>
                                <w:i w:val="0"/>
                                <w:iCs w:val="0"/>
                                <w:caps w:val="0"/>
                                <w:color w:val="333333"/>
                                <w:spacing w:val="0"/>
                                <w:sz w:val="30"/>
                                <w:szCs w:val="30"/>
                                <w:shd w:val="clear" w:fill="FFFFFF"/>
                              </w:rPr>
                              <w:t>Quality requirements for velvet antler mushrooms</w:t>
                            </w:r>
                          </w:p>
                          <w:p w14:paraId="6A70C5A4">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5C1456E2">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p>
                          <w:p w14:paraId="7F0AC931">
                            <w:pPr>
                              <w:pStyle w:val="272"/>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0pt;margin-top:189.5pt;height:340.2pt;width:481.95pt;z-index:251664384;mso-width-relative:page;mso-height-relative:page;" filled="f" stroked="f" coordsize="21600,21600" o:gfxdata="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6/W8jaAAAACQEAAA8AAAAA&#10;AAAAAQAgAAAAIgAAAGRycy9kb3ducmV2LnhtbFBLAQIUABQAAAAIAIdO4kDZUjN0SwIAAGMEAAAO&#10;AAAAAAAAAAEAIAAAACkBAABkcnMvZTJvRG9jLnhtbFBLBQYAAAAABgAGAFkBAADmBQAAAAA=&#10;">
                <v:fill on="f" focussize="0,0"/>
                <v:stroke on="f" weight="0.5pt"/>
                <v:imagedata o:title=""/>
                <o:lock v:ext="edit" aspectratio="f"/>
                <v:textbox inset="0mm,0mm,2.54mm,0mm">
                  <w:txbxContent>
                    <w:p w14:paraId="7771E8B2">
                      <w:pPr>
                        <w:pStyle w:val="268"/>
                        <w:bidi w:val="0"/>
                        <w:rPr>
                          <w:rFonts w:hint="eastAsia"/>
                          <w:lang w:eastAsia="zh-CN"/>
                        </w:rPr>
                      </w:pPr>
                      <w:r>
                        <w:rPr>
                          <w:rFonts w:hint="eastAsia"/>
                        </w:rPr>
                        <w:t>鹿茸菇</w:t>
                      </w:r>
                      <w:r>
                        <w:rPr>
                          <w:rFonts w:hint="eastAsia"/>
                          <w:lang w:eastAsia="zh-CN"/>
                        </w:rPr>
                        <w:t>质量要求</w:t>
                      </w:r>
                    </w:p>
                    <w:p w14:paraId="7ABF43D1">
                      <w:pPr>
                        <w:pStyle w:val="271"/>
                        <w:keepNext w:val="0"/>
                        <w:keepLines w:val="0"/>
                        <w:pageBreakBefore w:val="0"/>
                        <w:widowControl w:val="0"/>
                        <w:kinsoku/>
                        <w:wordWrap/>
                        <w:overflowPunct/>
                        <w:topLinePunct w:val="0"/>
                        <w:bidi w:val="0"/>
                        <w:adjustRightInd/>
                        <w:snapToGrid/>
                        <w:spacing w:before="0" w:line="240" w:lineRule="auto"/>
                        <w:textAlignment w:val="auto"/>
                        <w:rPr>
                          <w:rFonts w:hint="default" w:ascii="Times New Roman" w:hAnsi="Times New Roman" w:eastAsia="宋体" w:cs="Times New Roman"/>
                          <w:i w:val="0"/>
                          <w:iCs w:val="0"/>
                          <w:caps w:val="0"/>
                          <w:color w:val="333333"/>
                          <w:spacing w:val="0"/>
                          <w:sz w:val="30"/>
                          <w:szCs w:val="30"/>
                          <w:shd w:val="clear" w:fill="FFFFFF"/>
                        </w:rPr>
                      </w:pPr>
                      <w:r>
                        <w:rPr>
                          <w:rFonts w:hint="default" w:ascii="Times New Roman" w:hAnsi="Times New Roman" w:eastAsia="宋体" w:cs="Times New Roman"/>
                          <w:i w:val="0"/>
                          <w:iCs w:val="0"/>
                          <w:caps w:val="0"/>
                          <w:color w:val="333333"/>
                          <w:spacing w:val="0"/>
                          <w:sz w:val="30"/>
                          <w:szCs w:val="30"/>
                          <w:shd w:val="clear" w:fill="FFFFFF"/>
                        </w:rPr>
                        <w:t>Quality requirements for velvet antler mushrooms</w:t>
                      </w:r>
                    </w:p>
                    <w:p w14:paraId="6A70C5A4">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5C1456E2">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p>
                    <w:p w14:paraId="7F0AC931">
                      <w:pPr>
                        <w:pStyle w:val="272"/>
                        <w:bidi w:val="0"/>
                        <w:rPr>
                          <w:rFonts w:hint="eastAsia"/>
                          <w:lang w:eastAsia="zh-CN"/>
                        </w:rPr>
                      </w:pP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5" name="首页自画框图4"/>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4"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NE2TIeoBAACzAwAADgAAAAAAAAABACAAAAAlAQAAZHJzL2Uyb0RvYy54bWxQSwUGAAAAAAYABgBZ&#10;AQAAgQU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1619885</wp:posOffset>
                </wp:positionH>
                <wp:positionV relativeFrom="paragraph">
                  <wp:posOffset>390525</wp:posOffset>
                </wp:positionV>
                <wp:extent cx="4320540" cy="720090"/>
                <wp:effectExtent l="0" t="0" r="3810" b="3810"/>
                <wp:wrapNone/>
                <wp:docPr id="4" name="首页自画框图3"/>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64150">
                            <w:pPr>
                              <w:pStyle w:val="265"/>
                              <w:wordWrap w:val="0"/>
                              <w:bidi w:val="0"/>
                              <w:rPr>
                                <w:rFonts w:hint="default"/>
                                <w:lang w:val="en-US" w:eastAsia="zh-CN"/>
                              </w:rPr>
                            </w:pPr>
                            <w:r>
                              <w:rPr>
                                <w:rFonts w:hint="eastAsia"/>
                                <w:lang w:val="en-US" w:eastAsia="zh-CN"/>
                              </w:rPr>
                              <w:t>T/JSAS XXXX-2024</w:t>
                            </w:r>
                          </w:p>
                          <w:p w14:paraId="12614917">
                            <w:pPr>
                              <w:pStyle w:val="267"/>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127.55pt;margin-top:30.75pt;height:56.7pt;width:340.2pt;z-index:251662336;mso-width-relative:page;mso-height-relative:page;" filled="f" stroked="f" coordsize="21600,21600" o:gfxdata="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0IsMK2gAAAAoBAAAPAAAAAAAA&#10;AAEAIAAAACIAAABkcnMvZG93bnJldi54bWxQSwECFAAUAAAACACHTuJA/q0YBEkCAABiBAAADgAA&#10;AAAAAAABACAAAAApAQAAZHJzL2Uyb0RvYy54bWxQSwUGAAAAAAYABgBZAQAA5AUAAAAA&#10;">
                <v:fill on="f" focussize="0,0"/>
                <v:stroke on="f" weight="0.5pt"/>
                <v:imagedata o:title=""/>
                <o:lock v:ext="edit" aspectratio="f"/>
                <v:textbox inset="0mm,0mm,2.54mm,0mm">
                  <w:txbxContent>
                    <w:p w14:paraId="19964150">
                      <w:pPr>
                        <w:pStyle w:val="265"/>
                        <w:wordWrap w:val="0"/>
                        <w:bidi w:val="0"/>
                        <w:rPr>
                          <w:rFonts w:hint="default"/>
                          <w:lang w:val="en-US" w:eastAsia="zh-CN"/>
                        </w:rPr>
                      </w:pPr>
                      <w:r>
                        <w:rPr>
                          <w:rFonts w:hint="eastAsia"/>
                          <w:lang w:val="en-US" w:eastAsia="zh-CN"/>
                        </w:rPr>
                        <w:t>T/JSAS XXXX-2024</w:t>
                      </w:r>
                    </w:p>
                    <w:p w14:paraId="12614917">
                      <w:pPr>
                        <w:pStyle w:val="267"/>
                        <w:bidi w:val="0"/>
                        <w:rPr>
                          <w:rFonts w:hint="eastAsia"/>
                          <w:lang w:eastAsia="zh-CN"/>
                        </w:rPr>
                      </w:pPr>
                    </w:p>
                  </w:txbxContent>
                </v:textbox>
              </v:shape>
            </w:pict>
          </mc:Fallback>
        </mc:AlternateContent>
      </w:r>
    </w:p>
    <w:p w14:paraId="2DCF474E">
      <w:pPr>
        <w:pStyle w:val="256"/>
        <w:bidi w:val="0"/>
        <w:rPr>
          <w:rFonts w:hint="eastAsia"/>
          <w:lang w:eastAsia="zh-CN"/>
        </w:rPr>
      </w:pPr>
      <w:bookmarkStart w:id="1" w:name="标准前言"/>
      <w:bookmarkEnd w:id="1"/>
      <w:r>
        <w:rPr>
          <w:rFonts w:hint="eastAsia"/>
          <w:lang w:eastAsia="zh-CN"/>
        </w:rPr>
        <w:t>前    言</w:t>
      </w:r>
    </w:p>
    <w:p w14:paraId="5854C719">
      <w:pPr>
        <w:pStyle w:val="258"/>
        <w:bidi w:val="0"/>
        <w:rPr>
          <w:rFonts w:hint="eastAsia" w:hAnsi="宋体" w:cs="宋体"/>
          <w:lang w:val="en-US" w:eastAsia="zh-CN"/>
        </w:rPr>
      </w:pPr>
      <w:r>
        <w:rPr>
          <w:rFonts w:hint="eastAsia"/>
        </w:rPr>
        <w:t>本</w:t>
      </w:r>
      <w:r>
        <w:rPr>
          <w:rFonts w:hint="eastAsia"/>
          <w:lang w:val="en-US" w:eastAsia="zh-CN"/>
        </w:rPr>
        <w:t>文件</w:t>
      </w:r>
      <w:r>
        <w:rPr>
          <w:rFonts w:hint="eastAsia"/>
        </w:rPr>
        <w:t>根据GB/T 1.1《标准化工作导则  第1部分：标准的结构和编写》</w:t>
      </w:r>
      <w:r>
        <w:rPr>
          <w:rFonts w:hint="eastAsia" w:ascii="宋体" w:hAnsi="宋体" w:eastAsia="宋体" w:cs="宋体"/>
          <w:lang w:val="en-US" w:eastAsia="zh-CN"/>
        </w:rPr>
        <w:t>的规定起草</w:t>
      </w:r>
      <w:r>
        <w:rPr>
          <w:rFonts w:hint="eastAsia" w:hAnsi="宋体" w:cs="宋体"/>
          <w:lang w:val="en-US" w:eastAsia="zh-CN"/>
        </w:rPr>
        <w:t>。</w:t>
      </w:r>
    </w:p>
    <w:p w14:paraId="6504ABEF">
      <w:pPr>
        <w:pStyle w:val="258"/>
        <w:bidi w:val="0"/>
        <w:rPr>
          <w:rFonts w:hint="eastAsia" w:hAnsi="宋体" w:cs="宋体"/>
          <w:lang w:val="en-US" w:eastAsia="zh-CN"/>
        </w:rPr>
      </w:pPr>
      <w:r>
        <w:rPr>
          <w:rFonts w:hint="eastAsia"/>
        </w:rPr>
        <w:t>本</w:t>
      </w:r>
      <w:r>
        <w:rPr>
          <w:rFonts w:hint="eastAsia"/>
          <w:lang w:val="en-US" w:eastAsia="zh-CN"/>
        </w:rPr>
        <w:t>文件规定了食品质量相关要求，食品技术相关要求见有关法律法规、政策和食品安全标准等文件。</w:t>
      </w:r>
    </w:p>
    <w:p w14:paraId="6A3064E4">
      <w:pPr>
        <w:pStyle w:val="258"/>
        <w:bidi w:val="0"/>
        <w:rPr>
          <w:rFonts w:hint="eastAsia" w:ascii="宋体" w:hAnsi="宋体" w:eastAsia="宋体" w:cs="宋体"/>
          <w:lang w:val="en-US" w:eastAsia="zh-CN"/>
        </w:rPr>
      </w:pPr>
      <w:r>
        <w:rPr>
          <w:rFonts w:hint="eastAsia" w:ascii="宋体" w:hAnsi="宋体" w:eastAsia="宋体" w:cs="宋体"/>
          <w:lang w:val="en-US" w:eastAsia="zh-CN"/>
        </w:rPr>
        <w:t>请注意本文件的某些内容有可能涉及专利。本文件的发布机构不承担识别专利的责任。</w:t>
      </w:r>
    </w:p>
    <w:p w14:paraId="31267B6E">
      <w:pPr>
        <w:pStyle w:val="258"/>
        <w:bidi w:val="0"/>
        <w:rPr>
          <w:rFonts w:hint="eastAsia" w:ascii="宋体" w:hAnsi="宋体" w:eastAsia="宋体" w:cs="宋体"/>
          <w:lang w:val="en-US" w:eastAsia="zh-CN"/>
        </w:rPr>
      </w:pPr>
      <w:r>
        <w:rPr>
          <w:rFonts w:hint="eastAsia" w:ascii="宋体" w:hAnsi="宋体" w:eastAsia="宋体"/>
          <w:sz w:val="21"/>
          <w:szCs w:val="21"/>
        </w:rPr>
        <w:t>本</w:t>
      </w:r>
      <w:r>
        <w:rPr>
          <w:rFonts w:hint="eastAsia" w:hAnsi="宋体"/>
          <w:sz w:val="21"/>
          <w:szCs w:val="21"/>
          <w:lang w:val="en-US" w:eastAsia="zh-CN"/>
        </w:rPr>
        <w:t>文件</w:t>
      </w:r>
      <w:r>
        <w:rPr>
          <w:rFonts w:hint="eastAsia" w:ascii="宋体" w:hAnsi="宋体" w:eastAsia="宋体"/>
          <w:sz w:val="21"/>
          <w:szCs w:val="21"/>
        </w:rPr>
        <w:t>适用于产品在国内销售时</w:t>
      </w:r>
      <w:r>
        <w:rPr>
          <w:rFonts w:hint="eastAsia" w:ascii="宋体" w:hAnsi="宋体" w:eastAsia="宋体"/>
          <w:sz w:val="21"/>
          <w:szCs w:val="21"/>
          <w:lang w:eastAsia="zh-CN"/>
        </w:rPr>
        <w:t>质量检验</w:t>
      </w:r>
      <w:r>
        <w:rPr>
          <w:rFonts w:hint="eastAsia" w:ascii="宋体" w:hAnsi="宋体" w:eastAsia="宋体"/>
          <w:sz w:val="21"/>
          <w:szCs w:val="21"/>
        </w:rPr>
        <w:t>的依据</w:t>
      </w:r>
      <w:r>
        <w:rPr>
          <w:rFonts w:hint="eastAsia" w:hAnsi="宋体"/>
          <w:sz w:val="21"/>
          <w:szCs w:val="21"/>
          <w:lang w:val="en-US" w:eastAsia="zh-CN"/>
        </w:rPr>
        <w:t>。</w:t>
      </w:r>
    </w:p>
    <w:p w14:paraId="2C0C49F7">
      <w:pPr>
        <w:pStyle w:val="258"/>
        <w:bidi w:val="0"/>
        <w:rPr>
          <w:rFonts w:hint="eastAsia"/>
        </w:rPr>
      </w:pPr>
      <w:r>
        <w:rPr>
          <w:rFonts w:hint="eastAsia"/>
        </w:rPr>
        <w:t>本</w:t>
      </w:r>
      <w:r>
        <w:rPr>
          <w:rFonts w:hint="eastAsia"/>
          <w:lang w:val="en-US" w:eastAsia="zh-CN"/>
        </w:rPr>
        <w:t>文件</w:t>
      </w:r>
      <w:r>
        <w:rPr>
          <w:rFonts w:hint="eastAsia"/>
        </w:rPr>
        <w:t>由</w:t>
      </w:r>
      <w:r>
        <w:rPr>
          <w:rFonts w:hint="eastAsia" w:ascii="宋体" w:hAnsi="宋体"/>
        </w:rPr>
        <w:t>江苏菇本堂生物科技股份有限公司</w:t>
      </w:r>
      <w:r>
        <w:rPr>
          <w:rFonts w:hint="eastAsia"/>
        </w:rPr>
        <w:t>提出。</w:t>
      </w:r>
    </w:p>
    <w:p w14:paraId="53BA6543">
      <w:pPr>
        <w:pStyle w:val="258"/>
        <w:bidi w:val="0"/>
        <w:rPr>
          <w:rFonts w:hint="eastAsia"/>
        </w:rPr>
      </w:pPr>
      <w:r>
        <w:rPr>
          <w:rFonts w:hint="eastAsia"/>
        </w:rPr>
        <w:t>本</w:t>
      </w:r>
      <w:r>
        <w:rPr>
          <w:rFonts w:hint="eastAsia"/>
          <w:lang w:val="en-US" w:eastAsia="zh-CN"/>
        </w:rPr>
        <w:t>文件</w:t>
      </w:r>
      <w:r>
        <w:rPr>
          <w:rFonts w:hint="eastAsia" w:hAnsi="宋体" w:cs="宋体"/>
          <w:lang w:val="en-US" w:eastAsia="zh-CN"/>
        </w:rPr>
        <w:t>起草单位：</w:t>
      </w:r>
      <w:r>
        <w:rPr>
          <w:rFonts w:hint="eastAsia" w:ascii="宋体" w:hAnsi="宋体"/>
        </w:rPr>
        <w:t>江苏菇本堂生物科技股份有限公司</w:t>
      </w:r>
      <w:r>
        <w:rPr>
          <w:rFonts w:hint="eastAsia" w:hAnsi="宋体"/>
          <w:lang w:eastAsia="zh-CN"/>
        </w:rPr>
        <w:t>、森茂 (江苏) 生物科技食用菌有限公司。</w:t>
      </w:r>
    </w:p>
    <w:p w14:paraId="352E69E6">
      <w:pPr>
        <w:pStyle w:val="258"/>
        <w:bidi w:val="0"/>
        <w:rPr>
          <w:rFonts w:hint="eastAsia"/>
        </w:rPr>
      </w:pPr>
      <w:r>
        <w:rPr>
          <w:rFonts w:hint="eastAsia"/>
        </w:rPr>
        <w:t>本</w:t>
      </w:r>
      <w:r>
        <w:rPr>
          <w:rFonts w:hint="eastAsia"/>
          <w:lang w:val="en-US" w:eastAsia="zh-CN"/>
        </w:rPr>
        <w:t>文件</w:t>
      </w:r>
      <w:r>
        <w:rPr>
          <w:rFonts w:hint="eastAsia"/>
        </w:rPr>
        <w:t>主要起草人：</w:t>
      </w:r>
      <w:r>
        <w:rPr>
          <w:rFonts w:hint="eastAsia"/>
          <w:lang w:eastAsia="zh-CN"/>
        </w:rPr>
        <w:t>张源、朱敏、王亚林</w:t>
      </w:r>
      <w:r>
        <w:rPr>
          <w:rFonts w:hint="eastAsia"/>
        </w:rPr>
        <w:t>。</w:t>
      </w:r>
    </w:p>
    <w:p w14:paraId="2C2CC8DD">
      <w:pPr>
        <w:pStyle w:val="258"/>
        <w:bidi w:val="0"/>
        <w:rPr>
          <w:rFonts w:hint="eastAsia"/>
          <w:lang w:val="en-US" w:eastAsia="zh-CN"/>
        </w:rPr>
        <w:sectPr>
          <w:headerReference r:id="rId8" w:type="first"/>
          <w:headerReference r:id="rId7" w:type="default"/>
          <w:footerReference r:id="rId9" w:type="default"/>
          <w:pgSz w:w="11905" w:h="16838"/>
          <w:pgMar w:top="1134" w:right="1134" w:bottom="1134" w:left="1134" w:header="1417" w:footer="1134" w:gutter="283"/>
          <w:pgNumType w:fmt="upperRoman" w:start="1"/>
          <w:cols w:space="0" w:num="1"/>
          <w:rtlGutter w:val="0"/>
          <w:docGrid w:type="linesAndChars" w:linePitch="312" w:charSpace="530"/>
        </w:sectPr>
      </w:pPr>
    </w:p>
    <w:p w14:paraId="481BFC9E">
      <w:pPr>
        <w:pStyle w:val="316"/>
        <w:bidi w:val="0"/>
        <w:rPr>
          <w:rFonts w:hint="eastAsia"/>
          <w:lang w:eastAsia="zh-CN"/>
        </w:rPr>
      </w:pPr>
      <w:bookmarkStart w:id="2" w:name="标准内容"/>
      <w:bookmarkEnd w:id="2"/>
      <w:r>
        <w:rPr>
          <w:rFonts w:hint="eastAsia"/>
        </w:rPr>
        <w:t>鹿茸菇</w:t>
      </w:r>
      <w:r>
        <w:rPr>
          <w:rFonts w:hint="eastAsia"/>
          <w:lang w:eastAsia="zh-CN"/>
        </w:rPr>
        <w:t>质量要求</w:t>
      </w:r>
    </w:p>
    <w:p w14:paraId="4B95452F">
      <w:pPr>
        <w:pStyle w:val="259"/>
        <w:bidi w:val="0"/>
        <w:rPr>
          <w:lang w:val="en-US" w:eastAsia="zh-CN"/>
        </w:rPr>
      </w:pPr>
      <w:r>
        <w:rPr>
          <w:rFonts w:hint="eastAsia"/>
          <w:lang w:val="en-US" w:eastAsia="zh-CN"/>
        </w:rPr>
        <w:t>范围</w:t>
      </w:r>
    </w:p>
    <w:p w14:paraId="2C828D15">
      <w:pPr>
        <w:pStyle w:val="258"/>
        <w:bidi w:val="0"/>
      </w:pPr>
      <w:r>
        <w:t>本</w:t>
      </w:r>
      <w:r>
        <w:rPr>
          <w:rFonts w:hint="eastAsia"/>
          <w:lang w:val="en-US" w:eastAsia="zh-CN"/>
        </w:rPr>
        <w:t>文件</w:t>
      </w:r>
      <w:r>
        <w:t>规定了</w:t>
      </w:r>
      <w:r>
        <w:rPr>
          <w:rFonts w:hint="eastAsia"/>
        </w:rPr>
        <w:t>鹿茸菇（又名荷叶离褶伞（Lyophyllum decastes），隶属于伞菌目）的要求、检验规则和标志、包装、运输、贮存和保质期。</w:t>
      </w:r>
    </w:p>
    <w:p w14:paraId="5C92E017">
      <w:pPr>
        <w:pStyle w:val="258"/>
        <w:bidi w:val="0"/>
        <w:rPr>
          <w:rFonts w:hint="eastAsia" w:ascii="宋体" w:hAnsi="宋体" w:eastAsia="宋体" w:cs="宋体"/>
        </w:rPr>
      </w:pPr>
      <w:r>
        <w:t>本</w:t>
      </w:r>
      <w:r>
        <w:rPr>
          <w:rFonts w:hint="eastAsia"/>
          <w:lang w:val="en-US" w:eastAsia="zh-CN"/>
        </w:rPr>
        <w:t>文件</w:t>
      </w:r>
      <w:r>
        <w:t>适用于</w:t>
      </w:r>
      <w:r>
        <w:rPr>
          <w:rFonts w:hint="eastAsia"/>
        </w:rPr>
        <w:t>以玉米芯（来源于玉米棒脱粒后的棒芯）、米糠、麸皮、木屑、饮用水配制培养基，再经过物理方法灭菌以后，接种鹿茸菇菌种；在一定条件下经培养、搔菌、出菇、包装而成的鹿茸菇（以下简称产品）。</w:t>
      </w:r>
    </w:p>
    <w:p w14:paraId="7A1E7786">
      <w:pPr>
        <w:pStyle w:val="259"/>
        <w:bidi w:val="0"/>
        <w:rPr>
          <w:lang w:val="en-US" w:eastAsia="zh-CN"/>
        </w:rPr>
      </w:pPr>
      <w:r>
        <w:rPr>
          <w:rFonts w:hint="eastAsia"/>
          <w:lang w:val="en-US" w:eastAsia="zh-CN"/>
        </w:rPr>
        <w:t>规范性引用文件</w:t>
      </w:r>
    </w:p>
    <w:p w14:paraId="4C27B047">
      <w:pPr>
        <w:pStyle w:val="258"/>
        <w:bidi w:val="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8BFC702">
      <w:pPr>
        <w:pStyle w:val="258"/>
        <w:bidi w:val="0"/>
        <w:rPr>
          <w:rFonts w:hint="eastAsia"/>
        </w:rPr>
      </w:pPr>
      <w:r>
        <w:rPr>
          <w:rFonts w:hint="eastAsia"/>
        </w:rPr>
        <w:t>GB/T 191 包装储运图示标志</w:t>
      </w:r>
    </w:p>
    <w:p w14:paraId="4CCA11E1">
      <w:pPr>
        <w:pStyle w:val="258"/>
        <w:bidi w:val="0"/>
        <w:rPr>
          <w:rFonts w:hint="eastAsia"/>
        </w:rPr>
      </w:pPr>
      <w:r>
        <w:rPr>
          <w:rFonts w:hint="eastAsia"/>
        </w:rPr>
        <w:t>GB 2761 食品安全国家标准 食品中真菌毒素限量</w:t>
      </w:r>
    </w:p>
    <w:p w14:paraId="67DA1E72">
      <w:pPr>
        <w:pStyle w:val="258"/>
        <w:bidi w:val="0"/>
        <w:rPr>
          <w:rFonts w:hint="eastAsia"/>
        </w:rPr>
      </w:pPr>
      <w:r>
        <w:rPr>
          <w:rFonts w:hint="eastAsia"/>
        </w:rPr>
        <w:t>GB 2762 食品安全国家标准 食品中污染物限量</w:t>
      </w:r>
    </w:p>
    <w:p w14:paraId="4122B407">
      <w:pPr>
        <w:pStyle w:val="258"/>
        <w:bidi w:val="0"/>
        <w:rPr>
          <w:rFonts w:hint="eastAsia"/>
        </w:rPr>
      </w:pPr>
      <w:r>
        <w:rPr>
          <w:rFonts w:hint="eastAsia"/>
        </w:rPr>
        <w:t>GB 2763 食品安全国家标准 食品中农药最大残留限量</w:t>
      </w:r>
    </w:p>
    <w:p w14:paraId="28CB5028">
      <w:pPr>
        <w:pStyle w:val="258"/>
        <w:bidi w:val="0"/>
        <w:rPr>
          <w:rFonts w:hint="eastAsia"/>
        </w:rPr>
      </w:pPr>
      <w:r>
        <w:rPr>
          <w:rFonts w:hint="eastAsia"/>
        </w:rPr>
        <w:t>GB 5009.3 食品安全国家标准 食品中水分的测定</w:t>
      </w:r>
    </w:p>
    <w:p w14:paraId="686D4A21">
      <w:pPr>
        <w:pStyle w:val="258"/>
        <w:bidi w:val="0"/>
        <w:rPr>
          <w:rFonts w:hint="eastAsia"/>
        </w:rPr>
      </w:pPr>
      <w:r>
        <w:rPr>
          <w:rFonts w:hint="eastAsia"/>
        </w:rPr>
        <w:t>GB 5009.5食品安全国家标准 食品中蛋白质的测定</w:t>
      </w:r>
    </w:p>
    <w:p w14:paraId="1AA62B08">
      <w:pPr>
        <w:pStyle w:val="258"/>
        <w:bidi w:val="0"/>
        <w:rPr>
          <w:rFonts w:hint="eastAsia"/>
        </w:rPr>
      </w:pPr>
      <w:r>
        <w:rPr>
          <w:rFonts w:hint="eastAsia"/>
        </w:rPr>
        <w:t>GB 5009.6食品安全国家标准 食品中脂肪的测定</w:t>
      </w:r>
    </w:p>
    <w:p w14:paraId="1F6F028C">
      <w:pPr>
        <w:pStyle w:val="258"/>
        <w:bidi w:val="0"/>
        <w:rPr>
          <w:rFonts w:hint="eastAsia"/>
        </w:rPr>
      </w:pPr>
      <w:r>
        <w:rPr>
          <w:rFonts w:hint="eastAsia"/>
        </w:rPr>
        <w:t>GB 5009.88食品安全国家标准 食品中膳食纤维的测定</w:t>
      </w:r>
    </w:p>
    <w:p w14:paraId="1ECD7E74">
      <w:pPr>
        <w:pStyle w:val="258"/>
        <w:bidi w:val="0"/>
        <w:rPr>
          <w:rFonts w:hint="eastAsia"/>
        </w:rPr>
      </w:pPr>
      <w:r>
        <w:rPr>
          <w:rFonts w:hint="eastAsia"/>
        </w:rPr>
        <w:t>GB 5749 生活饮用水卫生标准</w:t>
      </w:r>
    </w:p>
    <w:p w14:paraId="5AFC3A8B">
      <w:pPr>
        <w:pStyle w:val="258"/>
        <w:bidi w:val="0"/>
        <w:rPr>
          <w:rFonts w:hint="eastAsia"/>
        </w:rPr>
      </w:pPr>
      <w:r>
        <w:rPr>
          <w:rFonts w:hint="eastAsia"/>
        </w:rPr>
        <w:t>GB 7718 食品安全国家标准 预包装食品标签通则</w:t>
      </w:r>
    </w:p>
    <w:p w14:paraId="1F8343BE">
      <w:pPr>
        <w:pStyle w:val="258"/>
        <w:bidi w:val="0"/>
        <w:rPr>
          <w:rFonts w:hint="eastAsia"/>
        </w:rPr>
      </w:pPr>
      <w:r>
        <w:rPr>
          <w:rFonts w:hint="eastAsia"/>
        </w:rPr>
        <w:t>GB/T 12533食用菌杂质测定</w:t>
      </w:r>
    </w:p>
    <w:p w14:paraId="224A379B">
      <w:pPr>
        <w:pStyle w:val="258"/>
        <w:bidi w:val="0"/>
        <w:rPr>
          <w:rFonts w:hint="eastAsia"/>
        </w:rPr>
      </w:pPr>
      <w:r>
        <w:rPr>
          <w:rFonts w:hint="eastAsia"/>
        </w:rPr>
        <w:t>GB 28050 食品安全国家标准 预包装食品营养标签通则</w:t>
      </w:r>
    </w:p>
    <w:p w14:paraId="05946DD3">
      <w:pPr>
        <w:pStyle w:val="258"/>
        <w:bidi w:val="0"/>
        <w:rPr>
          <w:rFonts w:hint="eastAsia"/>
        </w:rPr>
      </w:pPr>
      <w:r>
        <w:rPr>
          <w:rFonts w:hint="eastAsia"/>
        </w:rPr>
        <w:t xml:space="preserve">JJF </w:t>
      </w:r>
      <w:r>
        <w:rPr>
          <w:rFonts w:hint="eastAsia"/>
          <w:lang w:val="en-US" w:eastAsia="zh-CN"/>
        </w:rPr>
        <w:t>1070</w:t>
      </w:r>
      <w:r>
        <w:rPr>
          <w:rFonts w:hint="eastAsia"/>
        </w:rPr>
        <w:t>定量包装商品净含量计量检验规则</w:t>
      </w:r>
    </w:p>
    <w:p w14:paraId="335F7AA1">
      <w:pPr>
        <w:pStyle w:val="258"/>
        <w:bidi w:val="0"/>
        <w:rPr>
          <w:rFonts w:hint="eastAsia"/>
        </w:rPr>
      </w:pPr>
      <w:r>
        <w:rPr>
          <w:rFonts w:hint="eastAsia"/>
        </w:rPr>
        <w:t>国家质量监督检验检疫总局（20</w:t>
      </w:r>
      <w:r>
        <w:rPr>
          <w:rFonts w:hint="eastAsia"/>
          <w:lang w:val="en-US" w:eastAsia="zh-CN"/>
        </w:rPr>
        <w:t>23</w:t>
      </w:r>
      <w:r>
        <w:rPr>
          <w:rFonts w:hint="eastAsia"/>
        </w:rPr>
        <w:t>）第</w:t>
      </w:r>
      <w:r>
        <w:rPr>
          <w:rFonts w:hint="eastAsia"/>
          <w:lang w:val="en-US" w:eastAsia="zh-CN"/>
        </w:rPr>
        <w:t>70</w:t>
      </w:r>
      <w:r>
        <w:rPr>
          <w:rFonts w:hint="eastAsia"/>
        </w:rPr>
        <w:t>号令</w:t>
      </w:r>
      <w:r>
        <w:rPr>
          <w:rFonts w:hint="eastAsia"/>
          <w:lang w:val="en-US" w:eastAsia="zh-CN"/>
        </w:rPr>
        <w:t xml:space="preserve"> </w:t>
      </w:r>
      <w:r>
        <w:rPr>
          <w:rFonts w:hint="eastAsia"/>
        </w:rPr>
        <w:t>《定量包装商品计量监督管理办法》</w:t>
      </w:r>
    </w:p>
    <w:p w14:paraId="68116638">
      <w:pPr>
        <w:pStyle w:val="258"/>
        <w:bidi w:val="0"/>
        <w:rPr>
          <w:rFonts w:hint="eastAsia"/>
        </w:rPr>
      </w:pPr>
      <w:r>
        <w:rPr>
          <w:rFonts w:hint="eastAsia"/>
        </w:rPr>
        <w:t>NY/T 1257食用菌中荧光物质的检测</w:t>
      </w:r>
    </w:p>
    <w:p w14:paraId="2A0E157A">
      <w:pPr>
        <w:pStyle w:val="259"/>
        <w:numPr>
          <w:ilvl w:val="0"/>
          <w:numId w:val="11"/>
        </w:numPr>
      </w:pPr>
      <w:r>
        <w:rPr>
          <w:rFonts w:hint="eastAsia"/>
        </w:rPr>
        <w:t>术语</w:t>
      </w:r>
      <w:r>
        <w:t>和定义</w:t>
      </w:r>
    </w:p>
    <w:p w14:paraId="7B3BB578">
      <w:pPr>
        <w:ind w:firstLine="420" w:firstLineChars="200"/>
        <w:rPr>
          <w:rFonts w:hint="eastAsia"/>
        </w:rPr>
      </w:pPr>
      <w:r>
        <w:rPr>
          <w:rFonts w:hint="eastAsia"/>
          <w:lang w:val="en-US" w:eastAsia="zh-CN"/>
        </w:rPr>
        <w:t>本文件没有需要界定的</w:t>
      </w:r>
      <w:r>
        <w:rPr>
          <w:rFonts w:hint="eastAsia"/>
        </w:rPr>
        <w:t>术语和定义。</w:t>
      </w:r>
    </w:p>
    <w:p w14:paraId="49570036">
      <w:pPr>
        <w:pStyle w:val="259"/>
        <w:bidi w:val="0"/>
        <w:rPr>
          <w:rFonts w:hint="eastAsia"/>
        </w:rPr>
      </w:pPr>
      <w:r>
        <w:rPr>
          <w:rFonts w:hint="eastAsia"/>
        </w:rPr>
        <w:t xml:space="preserve"> 要求</w:t>
      </w:r>
    </w:p>
    <w:p w14:paraId="2834A2C7">
      <w:pPr>
        <w:pStyle w:val="260"/>
        <w:bidi w:val="0"/>
        <w:rPr>
          <w:rFonts w:hint="eastAsia"/>
        </w:rPr>
      </w:pPr>
      <w:r>
        <w:rPr>
          <w:rFonts w:hint="eastAsia"/>
        </w:rPr>
        <w:t>原料要求</w:t>
      </w:r>
    </w:p>
    <w:p w14:paraId="1162653F">
      <w:pPr>
        <w:pStyle w:val="261"/>
        <w:bidi w:val="0"/>
        <w:rPr>
          <w:rFonts w:hint="eastAsia"/>
        </w:rPr>
      </w:pPr>
      <w:r>
        <w:rPr>
          <w:rFonts w:hint="eastAsia"/>
        </w:rPr>
        <w:t>饮用水</w:t>
      </w:r>
    </w:p>
    <w:p w14:paraId="1A9BD20E">
      <w:pPr>
        <w:pStyle w:val="258"/>
        <w:bidi w:val="0"/>
        <w:rPr>
          <w:rFonts w:hint="eastAsia"/>
        </w:rPr>
      </w:pPr>
      <w:r>
        <w:rPr>
          <w:rFonts w:hint="eastAsia"/>
        </w:rPr>
        <w:t>应符合GB 5749的规定。</w:t>
      </w:r>
    </w:p>
    <w:p w14:paraId="16E52172">
      <w:pPr>
        <w:pStyle w:val="261"/>
        <w:bidi w:val="0"/>
        <w:rPr>
          <w:rFonts w:hint="eastAsia"/>
        </w:rPr>
      </w:pPr>
      <w:r>
        <w:rPr>
          <w:rFonts w:hint="eastAsia"/>
        </w:rPr>
        <w:t>玉米芯（来源于玉米棒脱粒后的棒芯）</w:t>
      </w:r>
    </w:p>
    <w:p w14:paraId="3E6B8EB0">
      <w:pPr>
        <w:pStyle w:val="258"/>
        <w:bidi w:val="0"/>
        <w:rPr>
          <w:rFonts w:hint="eastAsia"/>
        </w:rPr>
      </w:pPr>
      <w:r>
        <w:rPr>
          <w:rFonts w:hint="eastAsia"/>
        </w:rPr>
        <w:t>应足干，呈黄白色，无霉烂变质，无明显异味。</w:t>
      </w:r>
    </w:p>
    <w:p w14:paraId="513BA789">
      <w:pPr>
        <w:pStyle w:val="261"/>
        <w:bidi w:val="0"/>
        <w:rPr>
          <w:rFonts w:hint="eastAsia"/>
        </w:rPr>
      </w:pPr>
      <w:r>
        <w:rPr>
          <w:rFonts w:hint="eastAsia"/>
        </w:rPr>
        <w:t>米糠</w:t>
      </w:r>
    </w:p>
    <w:p w14:paraId="7D566118">
      <w:pPr>
        <w:pStyle w:val="258"/>
        <w:bidi w:val="0"/>
        <w:rPr>
          <w:rFonts w:hint="eastAsia"/>
        </w:rPr>
      </w:pPr>
      <w:r>
        <w:rPr>
          <w:rFonts w:hint="eastAsia"/>
        </w:rPr>
        <w:t>呈淡黄灰色，色泽一致，无酸败、霉变、结块、虫蛀和异味异嗅，并应符合GB 2761、GB 2762、GB 2763的规定。</w:t>
      </w:r>
    </w:p>
    <w:p w14:paraId="0E72481A">
      <w:pPr>
        <w:pStyle w:val="261"/>
        <w:bidi w:val="0"/>
        <w:rPr>
          <w:rFonts w:hint="eastAsia"/>
        </w:rPr>
      </w:pPr>
      <w:r>
        <w:rPr>
          <w:rFonts w:hint="eastAsia"/>
        </w:rPr>
        <w:t>麸皮</w:t>
      </w:r>
    </w:p>
    <w:p w14:paraId="7B4CF2F3">
      <w:pPr>
        <w:pStyle w:val="258"/>
        <w:bidi w:val="0"/>
        <w:rPr>
          <w:rFonts w:hint="eastAsia"/>
        </w:rPr>
      </w:pPr>
      <w:r>
        <w:rPr>
          <w:rFonts w:hint="eastAsia"/>
        </w:rPr>
        <w:t>淡黄色或黄白色皮状粉粒，粉粒均匀，有特殊麦香味，无异味，无结块、无霉变、无虫蛀，并应符合GB 2761、GB 2762、GB 2763的规定。</w:t>
      </w:r>
    </w:p>
    <w:p w14:paraId="4F65E01C">
      <w:pPr>
        <w:pStyle w:val="261"/>
        <w:bidi w:val="0"/>
        <w:rPr>
          <w:rFonts w:hint="eastAsia"/>
        </w:rPr>
      </w:pPr>
      <w:r>
        <w:rPr>
          <w:rFonts w:hint="eastAsia"/>
        </w:rPr>
        <w:t>木屑</w:t>
      </w:r>
    </w:p>
    <w:p w14:paraId="2C919B38">
      <w:pPr>
        <w:pStyle w:val="258"/>
        <w:bidi w:val="0"/>
        <w:rPr>
          <w:rFonts w:hint="eastAsia"/>
        </w:rPr>
      </w:pPr>
      <w:r>
        <w:rPr>
          <w:rFonts w:hint="eastAsia"/>
        </w:rPr>
        <w:t>应干燥、无霉变、无虫斑、无腐朽，同时木屑中不得混有线头、塑料片等杂质。</w:t>
      </w:r>
    </w:p>
    <w:p w14:paraId="6BF6A9ED">
      <w:pPr>
        <w:pStyle w:val="261"/>
        <w:bidi w:val="0"/>
        <w:rPr>
          <w:rFonts w:hint="eastAsia"/>
        </w:rPr>
      </w:pPr>
      <w:r>
        <w:rPr>
          <w:rFonts w:hint="eastAsia"/>
        </w:rPr>
        <w:t>鹿茸菇菌种</w:t>
      </w:r>
    </w:p>
    <w:p w14:paraId="54FC789A">
      <w:pPr>
        <w:pStyle w:val="258"/>
        <w:bidi w:val="0"/>
        <w:rPr>
          <w:rFonts w:hint="eastAsia"/>
        </w:rPr>
      </w:pPr>
      <w:r>
        <w:rPr>
          <w:rFonts w:hint="eastAsia"/>
        </w:rPr>
        <w:t>应符合附录A的规定。</w:t>
      </w:r>
    </w:p>
    <w:p w14:paraId="2EBA2FD6">
      <w:pPr>
        <w:pStyle w:val="260"/>
        <w:bidi w:val="0"/>
        <w:rPr>
          <w:rFonts w:hint="eastAsia"/>
        </w:rPr>
      </w:pPr>
      <w:r>
        <w:rPr>
          <w:rFonts w:hint="eastAsia"/>
        </w:rPr>
        <w:t>感官指标</w:t>
      </w:r>
    </w:p>
    <w:p w14:paraId="69613D76">
      <w:pPr>
        <w:pStyle w:val="258"/>
        <w:bidi w:val="0"/>
        <w:rPr>
          <w:rFonts w:hint="eastAsia"/>
        </w:rPr>
      </w:pPr>
      <w:r>
        <w:rPr>
          <w:rFonts w:hint="eastAsia"/>
        </w:rPr>
        <w:t>感官指标应符合表1规定。</w:t>
      </w:r>
    </w:p>
    <w:p w14:paraId="06468E40">
      <w:pPr>
        <w:pStyle w:val="301"/>
        <w:bidi w:val="0"/>
        <w:rPr>
          <w:rFonts w:hint="eastAsia"/>
        </w:rPr>
      </w:pPr>
      <w:r>
        <w:rPr>
          <w:rFonts w:hint="eastAsia"/>
        </w:rPr>
        <w:t>感官指标</w:t>
      </w:r>
    </w:p>
    <w:tbl>
      <w:tblPr>
        <w:tblStyle w:val="516"/>
        <w:tblpPr w:leftFromText="180" w:rightFromText="180" w:vertAnchor="text" w:horzAnchor="page" w:tblpX="1432" w:tblpY="16"/>
        <w:tblOverlap w:val="never"/>
        <w:tblW w:w="9259"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878"/>
        <w:gridCol w:w="2619"/>
        <w:gridCol w:w="2515"/>
        <w:gridCol w:w="1957"/>
        <w:gridCol w:w="1290"/>
      </w:tblGrid>
      <w:tr w14:paraId="4DDBCBB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522" w:hRule="atLeast"/>
          <w:jc w:val="center"/>
        </w:trPr>
        <w:tc>
          <w:tcPr>
            <w:tcW w:w="878" w:type="dxa"/>
            <w:vMerge w:val="restart"/>
            <w:tcBorders>
              <w:bottom w:val="nil"/>
            </w:tcBorders>
            <w:noWrap w:val="0"/>
            <w:vAlign w:val="center"/>
          </w:tcPr>
          <w:p w14:paraId="41F4A4C3">
            <w:pPr>
              <w:jc w:val="center"/>
              <w:rPr>
                <w:rFonts w:hint="eastAsia" w:ascii="黑体" w:hAnsi="黑体" w:eastAsia="黑体" w:cs="黑体"/>
                <w:b w:val="0"/>
                <w:bCs w:val="0"/>
                <w:sz w:val="18"/>
                <w:szCs w:val="18"/>
                <w:lang w:eastAsia="zh-CN"/>
              </w:rPr>
            </w:pPr>
            <w:r>
              <w:rPr>
                <w:rFonts w:hint="eastAsia" w:ascii="黑体" w:hAnsi="黑体" w:eastAsia="黑体" w:cs="黑体"/>
                <w:b w:val="0"/>
                <w:bCs w:val="0"/>
                <w:sz w:val="18"/>
                <w:szCs w:val="18"/>
                <w:lang w:val="en-US" w:eastAsia="zh-CN"/>
              </w:rPr>
              <w:t>项目</w:t>
            </w:r>
          </w:p>
        </w:tc>
        <w:tc>
          <w:tcPr>
            <w:tcW w:w="2619" w:type="dxa"/>
            <w:noWrap w:val="0"/>
            <w:vAlign w:val="center"/>
          </w:tcPr>
          <w:p w14:paraId="2D100288">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盒装</w:t>
            </w:r>
          </w:p>
        </w:tc>
        <w:tc>
          <w:tcPr>
            <w:tcW w:w="5762" w:type="dxa"/>
            <w:gridSpan w:val="3"/>
            <w:noWrap w:val="0"/>
            <w:vAlign w:val="center"/>
          </w:tcPr>
          <w:p w14:paraId="1F1562CE">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散装</w:t>
            </w:r>
          </w:p>
        </w:tc>
      </w:tr>
      <w:tr w14:paraId="0DABBF0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504" w:hRule="atLeast"/>
          <w:jc w:val="center"/>
        </w:trPr>
        <w:tc>
          <w:tcPr>
            <w:tcW w:w="878" w:type="dxa"/>
            <w:vMerge w:val="continue"/>
            <w:tcBorders>
              <w:top w:val="nil"/>
            </w:tcBorders>
            <w:noWrap w:val="0"/>
            <w:vAlign w:val="center"/>
          </w:tcPr>
          <w:p w14:paraId="719595DA">
            <w:pPr>
              <w:jc w:val="center"/>
              <w:rPr>
                <w:rFonts w:hint="eastAsia" w:ascii="黑体" w:hAnsi="黑体" w:eastAsia="黑体" w:cs="黑体"/>
                <w:b w:val="0"/>
                <w:bCs w:val="0"/>
                <w:sz w:val="18"/>
                <w:szCs w:val="18"/>
              </w:rPr>
            </w:pPr>
          </w:p>
        </w:tc>
        <w:tc>
          <w:tcPr>
            <w:tcW w:w="2619" w:type="dxa"/>
            <w:noWrap w:val="0"/>
            <w:vAlign w:val="center"/>
          </w:tcPr>
          <w:p w14:paraId="164AAEB2">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鹿茸</w:t>
            </w:r>
            <w:r>
              <w:rPr>
                <w:rFonts w:hint="eastAsia" w:ascii="黑体" w:hAnsi="黑体" w:eastAsia="黑体" w:cs="黑体"/>
                <w:b w:val="0"/>
                <w:bCs w:val="0"/>
                <w:sz w:val="18"/>
                <w:szCs w:val="18"/>
                <w:lang w:eastAsia="zh-CN"/>
              </w:rPr>
              <w:t>菇</w:t>
            </w:r>
            <w:r>
              <w:rPr>
                <w:rFonts w:hint="eastAsia" w:ascii="黑体" w:hAnsi="黑体" w:eastAsia="黑体" w:cs="黑体"/>
                <w:b w:val="0"/>
                <w:bCs w:val="0"/>
                <w:sz w:val="18"/>
                <w:szCs w:val="18"/>
              </w:rPr>
              <w:t>（</w:t>
            </w:r>
            <w:r>
              <w:rPr>
                <w:rFonts w:hint="eastAsia" w:ascii="黑体" w:hAnsi="黑体" w:eastAsia="黑体" w:cs="黑体"/>
                <w:b w:val="0"/>
                <w:bCs w:val="0"/>
                <w:sz w:val="18"/>
                <w:szCs w:val="18"/>
                <w:lang w:val="en-US" w:eastAsia="zh-CN"/>
              </w:rPr>
              <w:t>A</w:t>
            </w:r>
            <w:r>
              <w:rPr>
                <w:rFonts w:hint="eastAsia" w:ascii="黑体" w:hAnsi="黑体" w:eastAsia="黑体" w:cs="黑体"/>
                <w:b w:val="0"/>
                <w:bCs w:val="0"/>
                <w:sz w:val="18"/>
                <w:szCs w:val="18"/>
              </w:rPr>
              <w:t>级）</w:t>
            </w:r>
          </w:p>
        </w:tc>
        <w:tc>
          <w:tcPr>
            <w:tcW w:w="2515" w:type="dxa"/>
            <w:noWrap w:val="0"/>
            <w:vAlign w:val="center"/>
          </w:tcPr>
          <w:p w14:paraId="3A72BD77">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lang w:eastAsia="zh-CN"/>
              </w:rPr>
              <w:t>鹿茸菇</w:t>
            </w:r>
            <w:r>
              <w:rPr>
                <w:rFonts w:hint="eastAsia" w:ascii="黑体" w:hAnsi="黑体" w:eastAsia="黑体" w:cs="黑体"/>
                <w:b w:val="0"/>
                <w:bCs w:val="0"/>
                <w:sz w:val="18"/>
                <w:szCs w:val="18"/>
              </w:rPr>
              <w:t>干（</w:t>
            </w:r>
            <w:r>
              <w:rPr>
                <w:rFonts w:hint="eastAsia" w:ascii="黑体" w:hAnsi="黑体" w:eastAsia="黑体" w:cs="黑体"/>
                <w:b w:val="0"/>
                <w:bCs w:val="0"/>
                <w:sz w:val="18"/>
                <w:szCs w:val="18"/>
                <w:lang w:val="en-US" w:eastAsia="zh-CN"/>
              </w:rPr>
              <w:t>B</w:t>
            </w:r>
            <w:r>
              <w:rPr>
                <w:rFonts w:hint="eastAsia" w:ascii="黑体" w:hAnsi="黑体" w:eastAsia="黑体" w:cs="黑体"/>
                <w:b w:val="0"/>
                <w:bCs w:val="0"/>
                <w:sz w:val="18"/>
                <w:szCs w:val="18"/>
              </w:rPr>
              <w:t xml:space="preserve"> 级）</w:t>
            </w:r>
          </w:p>
        </w:tc>
        <w:tc>
          <w:tcPr>
            <w:tcW w:w="1957" w:type="dxa"/>
            <w:noWrap w:val="0"/>
            <w:vAlign w:val="center"/>
          </w:tcPr>
          <w:p w14:paraId="60FB0CD1">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lang w:eastAsia="zh-CN"/>
              </w:rPr>
              <w:t>鹿茸菇</w:t>
            </w:r>
            <w:r>
              <w:rPr>
                <w:rFonts w:hint="eastAsia" w:ascii="黑体" w:hAnsi="黑体" w:eastAsia="黑体" w:cs="黑体"/>
                <w:b w:val="0"/>
                <w:bCs w:val="0"/>
                <w:sz w:val="18"/>
                <w:szCs w:val="18"/>
              </w:rPr>
              <w:t>（</w:t>
            </w:r>
            <w:r>
              <w:rPr>
                <w:rFonts w:hint="eastAsia" w:ascii="黑体" w:hAnsi="黑体" w:eastAsia="黑体" w:cs="黑体"/>
                <w:b w:val="0"/>
                <w:bCs w:val="0"/>
                <w:sz w:val="18"/>
                <w:szCs w:val="18"/>
                <w:lang w:val="en-US" w:eastAsia="zh-CN"/>
              </w:rPr>
              <w:t>C</w:t>
            </w:r>
            <w:r>
              <w:rPr>
                <w:rFonts w:hint="eastAsia" w:ascii="黑体" w:hAnsi="黑体" w:eastAsia="黑体" w:cs="黑体"/>
                <w:b w:val="0"/>
                <w:bCs w:val="0"/>
                <w:sz w:val="18"/>
                <w:szCs w:val="18"/>
              </w:rPr>
              <w:t>级）</w:t>
            </w:r>
          </w:p>
        </w:tc>
        <w:tc>
          <w:tcPr>
            <w:tcW w:w="1290" w:type="dxa"/>
            <w:noWrap w:val="0"/>
            <w:vAlign w:val="center"/>
          </w:tcPr>
          <w:p w14:paraId="3948C214">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lang w:eastAsia="zh-CN"/>
              </w:rPr>
              <w:t>鹿茸</w:t>
            </w:r>
            <w:r>
              <w:rPr>
                <w:rFonts w:hint="eastAsia" w:ascii="黑体" w:hAnsi="黑体" w:eastAsia="黑体" w:cs="黑体"/>
                <w:b w:val="0"/>
                <w:bCs w:val="0"/>
                <w:sz w:val="18"/>
                <w:szCs w:val="18"/>
              </w:rPr>
              <w:t>菇（</w:t>
            </w:r>
            <w:r>
              <w:rPr>
                <w:rFonts w:hint="eastAsia" w:ascii="黑体" w:hAnsi="黑体" w:eastAsia="黑体" w:cs="黑体"/>
                <w:b w:val="0"/>
                <w:bCs w:val="0"/>
                <w:sz w:val="18"/>
                <w:szCs w:val="18"/>
                <w:lang w:val="en-US" w:eastAsia="zh-CN"/>
              </w:rPr>
              <w:t>D</w:t>
            </w:r>
            <w:r>
              <w:rPr>
                <w:rFonts w:hint="eastAsia" w:ascii="黑体" w:hAnsi="黑体" w:eastAsia="黑体" w:cs="黑体"/>
                <w:b w:val="0"/>
                <w:bCs w:val="0"/>
                <w:sz w:val="18"/>
                <w:szCs w:val="18"/>
              </w:rPr>
              <w:t>级）</w:t>
            </w:r>
          </w:p>
        </w:tc>
      </w:tr>
      <w:tr w14:paraId="399A9F5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502" w:hRule="atLeast"/>
          <w:jc w:val="center"/>
        </w:trPr>
        <w:tc>
          <w:tcPr>
            <w:tcW w:w="878" w:type="dxa"/>
            <w:noWrap w:val="0"/>
            <w:vAlign w:val="center"/>
          </w:tcPr>
          <w:p w14:paraId="3CFD2C81">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颜色</w:t>
            </w:r>
          </w:p>
        </w:tc>
        <w:tc>
          <w:tcPr>
            <w:tcW w:w="2619" w:type="dxa"/>
            <w:noWrap w:val="0"/>
            <w:vAlign w:val="center"/>
          </w:tcPr>
          <w:p w14:paraId="583B3E4D">
            <w:pPr>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茶褐色至淡褐色</w:t>
            </w:r>
          </w:p>
        </w:tc>
        <w:tc>
          <w:tcPr>
            <w:tcW w:w="2515" w:type="dxa"/>
            <w:noWrap w:val="0"/>
            <w:vAlign w:val="center"/>
          </w:tcPr>
          <w:p w14:paraId="4575B579">
            <w:pPr>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茶褐色至淡褐色</w:t>
            </w:r>
          </w:p>
        </w:tc>
        <w:tc>
          <w:tcPr>
            <w:tcW w:w="1957" w:type="dxa"/>
            <w:noWrap w:val="0"/>
            <w:vAlign w:val="center"/>
          </w:tcPr>
          <w:p w14:paraId="3B22D3D4">
            <w:pPr>
              <w:jc w:val="center"/>
              <w:rPr>
                <w:rFonts w:hint="eastAsia" w:ascii="宋体" w:hAnsi="宋体" w:eastAsia="宋体" w:cs="宋体"/>
                <w:b w:val="0"/>
                <w:bCs w:val="0"/>
                <w:sz w:val="18"/>
                <w:szCs w:val="18"/>
              </w:rPr>
            </w:pPr>
            <w:r>
              <w:rPr>
                <w:rFonts w:hint="eastAsia" w:ascii="宋体" w:hAnsi="宋体" w:eastAsia="宋体" w:cs="宋体"/>
                <w:b w:val="0"/>
                <w:bCs w:val="0"/>
                <w:sz w:val="18"/>
                <w:szCs w:val="18"/>
              </w:rPr>
              <w:t>茶褐色至淡褐色</w:t>
            </w:r>
          </w:p>
        </w:tc>
        <w:tc>
          <w:tcPr>
            <w:tcW w:w="1290" w:type="dxa"/>
            <w:vMerge w:val="restart"/>
            <w:tcBorders>
              <w:bottom w:val="nil"/>
            </w:tcBorders>
            <w:noWrap w:val="0"/>
            <w:vAlign w:val="center"/>
          </w:tcPr>
          <w:p w14:paraId="1FCFC610">
            <w:pPr>
              <w:jc w:val="center"/>
              <w:rPr>
                <w:rFonts w:hint="eastAsia" w:ascii="宋体" w:hAnsi="宋体" w:eastAsia="宋体" w:cs="宋体"/>
                <w:b w:val="0"/>
                <w:bCs w:val="0"/>
                <w:sz w:val="18"/>
                <w:szCs w:val="18"/>
              </w:rPr>
            </w:pPr>
          </w:p>
          <w:p w14:paraId="4D7F6A8F">
            <w:pPr>
              <w:jc w:val="center"/>
              <w:rPr>
                <w:rFonts w:hint="eastAsia" w:ascii="宋体" w:hAnsi="宋体" w:eastAsia="宋体" w:cs="宋体"/>
                <w:b w:val="0"/>
                <w:bCs w:val="0"/>
                <w:sz w:val="18"/>
                <w:szCs w:val="18"/>
              </w:rPr>
            </w:pPr>
          </w:p>
          <w:p w14:paraId="363E743D">
            <w:pPr>
              <w:jc w:val="center"/>
              <w:rPr>
                <w:rFonts w:hint="eastAsia" w:ascii="宋体" w:hAnsi="宋体" w:eastAsia="宋体" w:cs="宋体"/>
                <w:b w:val="0"/>
                <w:bCs w:val="0"/>
                <w:sz w:val="18"/>
                <w:szCs w:val="18"/>
              </w:rPr>
            </w:pPr>
          </w:p>
          <w:p w14:paraId="1393056A">
            <w:pPr>
              <w:jc w:val="center"/>
              <w:rPr>
                <w:rFonts w:hint="eastAsia" w:ascii="宋体" w:hAnsi="宋体" w:eastAsia="宋体" w:cs="宋体"/>
                <w:b w:val="0"/>
                <w:bCs w:val="0"/>
                <w:sz w:val="18"/>
                <w:szCs w:val="18"/>
              </w:rPr>
            </w:pPr>
          </w:p>
          <w:p w14:paraId="10235264">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18"/>
                <w:szCs w:val="18"/>
                <w:lang w:val="en-US" w:eastAsia="zh-CN"/>
              </w:rPr>
            </w:pPr>
            <w:r>
              <w:rPr>
                <w:rFonts w:hint="eastAsia" w:ascii="宋体" w:hAnsi="宋体" w:cs="宋体"/>
                <w:sz w:val="18"/>
                <w:szCs w:val="18"/>
                <w:lang w:eastAsia="zh-CN"/>
              </w:rPr>
              <w:t>————</w:t>
            </w:r>
          </w:p>
          <w:p w14:paraId="01CC9032">
            <w:pPr>
              <w:jc w:val="center"/>
              <w:rPr>
                <w:rFonts w:hint="eastAsia" w:ascii="宋体" w:hAnsi="宋体" w:eastAsia="宋体" w:cs="宋体"/>
                <w:b w:val="0"/>
                <w:bCs w:val="0"/>
                <w:sz w:val="18"/>
                <w:szCs w:val="18"/>
              </w:rPr>
            </w:pPr>
          </w:p>
          <w:p w14:paraId="78FDDE69">
            <w:pPr>
              <w:jc w:val="center"/>
              <w:rPr>
                <w:rFonts w:hint="eastAsia" w:ascii="宋体" w:hAnsi="宋体" w:eastAsia="宋体" w:cs="宋体"/>
                <w:b w:val="0"/>
                <w:bCs w:val="0"/>
                <w:sz w:val="18"/>
                <w:szCs w:val="18"/>
              </w:rPr>
            </w:pPr>
          </w:p>
          <w:p w14:paraId="29095CBC">
            <w:pPr>
              <w:jc w:val="center"/>
              <w:rPr>
                <w:rFonts w:hint="eastAsia" w:ascii="宋体" w:hAnsi="宋体" w:eastAsia="宋体" w:cs="宋体"/>
                <w:b w:val="0"/>
                <w:bCs w:val="0"/>
                <w:sz w:val="18"/>
                <w:szCs w:val="18"/>
              </w:rPr>
            </w:pPr>
          </w:p>
          <w:p w14:paraId="27A52DB6">
            <w:pPr>
              <w:jc w:val="center"/>
              <w:rPr>
                <w:rFonts w:hint="eastAsia" w:ascii="宋体" w:hAnsi="宋体" w:eastAsia="宋体" w:cs="宋体"/>
                <w:b w:val="0"/>
                <w:bCs w:val="0"/>
                <w:sz w:val="18"/>
                <w:szCs w:val="18"/>
              </w:rPr>
            </w:pPr>
          </w:p>
          <w:p w14:paraId="21404779">
            <w:pPr>
              <w:jc w:val="center"/>
              <w:rPr>
                <w:rFonts w:hint="eastAsia" w:ascii="宋体" w:hAnsi="宋体" w:eastAsia="宋体" w:cs="宋体"/>
                <w:b w:val="0"/>
                <w:bCs w:val="0"/>
                <w:sz w:val="18"/>
                <w:szCs w:val="18"/>
              </w:rPr>
            </w:pPr>
          </w:p>
          <w:p w14:paraId="0EF0076C">
            <w:pPr>
              <w:jc w:val="center"/>
              <w:rPr>
                <w:rFonts w:hint="eastAsia" w:ascii="宋体" w:hAnsi="宋体" w:eastAsia="宋体" w:cs="宋体"/>
                <w:b w:val="0"/>
                <w:bCs w:val="0"/>
                <w:sz w:val="18"/>
                <w:szCs w:val="18"/>
              </w:rPr>
            </w:pPr>
          </w:p>
          <w:p w14:paraId="7232D0D7">
            <w:pPr>
              <w:jc w:val="center"/>
              <w:rPr>
                <w:rFonts w:hint="eastAsia" w:ascii="宋体" w:hAnsi="宋体" w:eastAsia="宋体" w:cs="宋体"/>
                <w:b w:val="0"/>
                <w:bCs w:val="0"/>
                <w:sz w:val="18"/>
                <w:szCs w:val="18"/>
              </w:rPr>
            </w:pPr>
          </w:p>
          <w:p w14:paraId="61456BBB">
            <w:pPr>
              <w:jc w:val="center"/>
              <w:rPr>
                <w:rFonts w:hint="eastAsia" w:ascii="宋体" w:hAnsi="宋体" w:eastAsia="宋体" w:cs="宋体"/>
                <w:b w:val="0"/>
                <w:bCs w:val="0"/>
                <w:sz w:val="18"/>
                <w:szCs w:val="18"/>
              </w:rPr>
            </w:pPr>
          </w:p>
        </w:tc>
      </w:tr>
      <w:tr w14:paraId="3CD2232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1297" w:hRule="atLeast"/>
          <w:jc w:val="center"/>
        </w:trPr>
        <w:tc>
          <w:tcPr>
            <w:tcW w:w="878" w:type="dxa"/>
            <w:noWrap w:val="0"/>
            <w:vAlign w:val="center"/>
          </w:tcPr>
          <w:p w14:paraId="085DEF1A">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单菇形状</w:t>
            </w:r>
          </w:p>
        </w:tc>
        <w:tc>
          <w:tcPr>
            <w:tcW w:w="2619" w:type="dxa"/>
            <w:noWrap w:val="0"/>
            <w:vAlign w:val="center"/>
          </w:tcPr>
          <w:p w14:paraId="42058560">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盖边缘内卷，菌褶鲜嫩，菇体柱状、菌盖及菇体无病斑，菇体、菇盖质厚，干爽结实，有弹性与韧性，无开伞菇，气生菌丝。</w:t>
            </w:r>
          </w:p>
        </w:tc>
        <w:tc>
          <w:tcPr>
            <w:tcW w:w="2515" w:type="dxa"/>
            <w:noWrap w:val="0"/>
            <w:vAlign w:val="center"/>
          </w:tcPr>
          <w:p w14:paraId="713C7F5A">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菌褶鲜嫩，菇体柱状、菌盖及菇体无病斑，菇体、菇盖质厚，干爽结实，有弹性与韧性；盖边缘内卷，可以略有开伞。</w:t>
            </w:r>
          </w:p>
        </w:tc>
        <w:tc>
          <w:tcPr>
            <w:tcW w:w="1957" w:type="dxa"/>
            <w:noWrap w:val="0"/>
            <w:vAlign w:val="center"/>
          </w:tcPr>
          <w:p w14:paraId="6DCD680C">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菌褶鲜嫩，菇体柱状、菌盖 及菇体无病斑，菇体、菇盖 质厚，干爽结实，有弹性与</w:t>
            </w:r>
          </w:p>
          <w:p w14:paraId="383A367F">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韧性。</w:t>
            </w:r>
          </w:p>
        </w:tc>
        <w:tc>
          <w:tcPr>
            <w:tcW w:w="1290" w:type="dxa"/>
            <w:vMerge w:val="continue"/>
            <w:tcBorders>
              <w:top w:val="nil"/>
              <w:bottom w:val="nil"/>
            </w:tcBorders>
            <w:noWrap w:val="0"/>
            <w:vAlign w:val="center"/>
          </w:tcPr>
          <w:p w14:paraId="5E521646">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18"/>
                <w:szCs w:val="18"/>
              </w:rPr>
            </w:pPr>
          </w:p>
        </w:tc>
      </w:tr>
      <w:tr w14:paraId="2EE95DA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785" w:hRule="atLeast"/>
          <w:jc w:val="center"/>
        </w:trPr>
        <w:tc>
          <w:tcPr>
            <w:tcW w:w="878" w:type="dxa"/>
            <w:noWrap w:val="0"/>
            <w:vAlign w:val="center"/>
          </w:tcPr>
          <w:p w14:paraId="418EAEA5">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 xml:space="preserve">整盒/袋/箱 </w:t>
            </w:r>
            <w:r>
              <w:rPr>
                <w:rFonts w:hint="eastAsia" w:ascii="黑体" w:hAnsi="黑体" w:eastAsia="黑体" w:cs="黑体"/>
                <w:b w:val="0"/>
                <w:bCs w:val="0"/>
                <w:sz w:val="18"/>
                <w:szCs w:val="18"/>
                <w:lang w:val="en-US" w:eastAsia="zh-CN"/>
              </w:rPr>
              <w:t>/</w:t>
            </w:r>
            <w:r>
              <w:rPr>
                <w:rFonts w:hint="eastAsia" w:ascii="黑体" w:hAnsi="黑体" w:eastAsia="黑体" w:cs="黑体"/>
                <w:b w:val="0"/>
                <w:bCs w:val="0"/>
                <w:sz w:val="18"/>
                <w:szCs w:val="18"/>
              </w:rPr>
              <w:t>形状</w:t>
            </w:r>
          </w:p>
        </w:tc>
        <w:tc>
          <w:tcPr>
            <w:tcW w:w="2619" w:type="dxa"/>
            <w:noWrap w:val="0"/>
            <w:vAlign w:val="center"/>
          </w:tcPr>
          <w:p w14:paraId="3F5724CD">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整齐度良好，不得有大菇盖、小姑丛，有层次感，高度不能高于托盒。</w:t>
            </w:r>
          </w:p>
        </w:tc>
        <w:tc>
          <w:tcPr>
            <w:tcW w:w="2515" w:type="dxa"/>
            <w:noWrap w:val="0"/>
            <w:vAlign w:val="center"/>
          </w:tcPr>
          <w:p w14:paraId="7460C773">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整齐度良好，菇体根部不允许朝上。</w:t>
            </w:r>
          </w:p>
        </w:tc>
        <w:tc>
          <w:tcPr>
            <w:tcW w:w="1957" w:type="dxa"/>
            <w:vMerge w:val="restart"/>
            <w:tcBorders>
              <w:bottom w:val="nil"/>
            </w:tcBorders>
            <w:noWrap w:val="0"/>
            <w:vAlign w:val="center"/>
          </w:tcPr>
          <w:p w14:paraId="7EB52184">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p>
          <w:p w14:paraId="5E754883">
            <w:pPr>
              <w:keepNext w:val="0"/>
              <w:keepLines w:val="0"/>
              <w:pageBreakBefore w:val="0"/>
              <w:widowControl w:val="0"/>
              <w:kinsoku/>
              <w:wordWrap/>
              <w:overflowPunct/>
              <w:topLinePunct w:val="0"/>
              <w:autoSpaceDE/>
              <w:autoSpaceDN/>
              <w:bidi w:val="0"/>
              <w:adjustRightInd/>
              <w:snapToGrid/>
              <w:jc w:val="center"/>
              <w:textAlignment w:val="auto"/>
              <w:rPr>
                <w:rFonts w:hint="default" w:ascii="宋体" w:hAnsi="宋体" w:eastAsia="宋体" w:cs="宋体"/>
                <w:sz w:val="18"/>
                <w:szCs w:val="18"/>
                <w:lang w:val="en-US" w:eastAsia="zh-CN"/>
              </w:rPr>
            </w:pPr>
            <w:r>
              <w:rPr>
                <w:rFonts w:hint="eastAsia" w:ascii="宋体" w:hAnsi="宋体" w:cs="宋体"/>
                <w:sz w:val="18"/>
                <w:szCs w:val="18"/>
                <w:lang w:eastAsia="zh-CN"/>
              </w:rPr>
              <w:t>————</w:t>
            </w:r>
          </w:p>
          <w:p w14:paraId="7A6C9F20">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p>
          <w:p w14:paraId="56603E28">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p>
        </w:tc>
        <w:tc>
          <w:tcPr>
            <w:tcW w:w="1290" w:type="dxa"/>
            <w:vMerge w:val="continue"/>
            <w:tcBorders>
              <w:top w:val="nil"/>
              <w:bottom w:val="nil"/>
            </w:tcBorders>
            <w:noWrap w:val="0"/>
            <w:vAlign w:val="center"/>
          </w:tcPr>
          <w:p w14:paraId="47137D23">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p>
        </w:tc>
      </w:tr>
      <w:tr w14:paraId="053BC4E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784" w:hRule="atLeast"/>
          <w:jc w:val="center"/>
        </w:trPr>
        <w:tc>
          <w:tcPr>
            <w:tcW w:w="878" w:type="dxa"/>
            <w:noWrap w:val="0"/>
            <w:vAlign w:val="center"/>
          </w:tcPr>
          <w:p w14:paraId="6DB00A95">
            <w:pPr>
              <w:jc w:val="center"/>
              <w:rPr>
                <w:rFonts w:hint="eastAsia" w:ascii="黑体" w:hAnsi="黑体" w:eastAsia="黑体" w:cs="黑体"/>
                <w:b w:val="0"/>
                <w:bCs w:val="0"/>
                <w:sz w:val="18"/>
                <w:szCs w:val="18"/>
              </w:rPr>
            </w:pPr>
          </w:p>
          <w:p w14:paraId="2540EDA6">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均匀性</w:t>
            </w:r>
          </w:p>
        </w:tc>
        <w:tc>
          <w:tcPr>
            <w:tcW w:w="2619" w:type="dxa"/>
            <w:noWrap w:val="0"/>
            <w:vAlign w:val="center"/>
          </w:tcPr>
          <w:p w14:paraId="067805BF">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整盒菇的菇头大小、菇柄长度 匀称一致的比例在 80%以上。</w:t>
            </w:r>
          </w:p>
        </w:tc>
        <w:tc>
          <w:tcPr>
            <w:tcW w:w="2515" w:type="dxa"/>
            <w:noWrap w:val="0"/>
            <w:vAlign w:val="center"/>
          </w:tcPr>
          <w:p w14:paraId="152DD297">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整袋菇的菇头大小、菇柄长度匀称一致的比例在 80%以上。</w:t>
            </w:r>
          </w:p>
        </w:tc>
        <w:tc>
          <w:tcPr>
            <w:tcW w:w="1957" w:type="dxa"/>
            <w:vMerge w:val="continue"/>
            <w:tcBorders>
              <w:top w:val="nil"/>
            </w:tcBorders>
            <w:noWrap w:val="0"/>
            <w:vAlign w:val="center"/>
          </w:tcPr>
          <w:p w14:paraId="5C84B900">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p>
        </w:tc>
        <w:tc>
          <w:tcPr>
            <w:tcW w:w="1290" w:type="dxa"/>
            <w:vMerge w:val="continue"/>
            <w:tcBorders>
              <w:top w:val="nil"/>
              <w:bottom w:val="nil"/>
            </w:tcBorders>
            <w:noWrap w:val="0"/>
            <w:vAlign w:val="center"/>
          </w:tcPr>
          <w:p w14:paraId="48DEF6BF">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p>
        </w:tc>
      </w:tr>
      <w:tr w14:paraId="0CD76A0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730" w:hRule="atLeast"/>
          <w:jc w:val="center"/>
        </w:trPr>
        <w:tc>
          <w:tcPr>
            <w:tcW w:w="878" w:type="dxa"/>
            <w:noWrap w:val="0"/>
            <w:vAlign w:val="center"/>
          </w:tcPr>
          <w:p w14:paraId="00EC09E6">
            <w:pPr>
              <w:jc w:val="center"/>
              <w:rPr>
                <w:rFonts w:hint="eastAsia" w:ascii="黑体" w:hAnsi="黑体" w:eastAsia="黑体" w:cs="黑体"/>
                <w:b w:val="0"/>
                <w:bCs w:val="0"/>
                <w:sz w:val="18"/>
                <w:szCs w:val="18"/>
              </w:rPr>
            </w:pPr>
          </w:p>
          <w:p w14:paraId="45E25E50">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菇盖大小</w:t>
            </w:r>
          </w:p>
        </w:tc>
        <w:tc>
          <w:tcPr>
            <w:tcW w:w="2619" w:type="dxa"/>
            <w:noWrap w:val="0"/>
            <w:vAlign w:val="center"/>
          </w:tcPr>
          <w:p w14:paraId="28BA6260">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菇盖直径1.0-3.0cm，80%在 1.5-2.5cm 之间。</w:t>
            </w:r>
          </w:p>
        </w:tc>
        <w:tc>
          <w:tcPr>
            <w:tcW w:w="2515" w:type="dxa"/>
            <w:noWrap w:val="0"/>
            <w:vAlign w:val="center"/>
          </w:tcPr>
          <w:p w14:paraId="7229EAA0">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菇盖直径1.0-3.0cm，80%在 1.0-2.5cm之间。</w:t>
            </w:r>
          </w:p>
        </w:tc>
        <w:tc>
          <w:tcPr>
            <w:tcW w:w="1957" w:type="dxa"/>
            <w:noWrap w:val="0"/>
            <w:vAlign w:val="center"/>
          </w:tcPr>
          <w:p w14:paraId="03D0C36C">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p>
          <w:p w14:paraId="1040166D">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菇盖直径 1.0-3.5cm。</w:t>
            </w:r>
          </w:p>
        </w:tc>
        <w:tc>
          <w:tcPr>
            <w:tcW w:w="1290" w:type="dxa"/>
            <w:vMerge w:val="continue"/>
            <w:tcBorders>
              <w:top w:val="nil"/>
              <w:bottom w:val="nil"/>
            </w:tcBorders>
            <w:noWrap w:val="0"/>
            <w:vAlign w:val="center"/>
          </w:tcPr>
          <w:p w14:paraId="6862BBD6">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p>
        </w:tc>
      </w:tr>
      <w:tr w14:paraId="7F40935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950" w:hRule="atLeast"/>
          <w:jc w:val="center"/>
        </w:trPr>
        <w:tc>
          <w:tcPr>
            <w:tcW w:w="878" w:type="dxa"/>
            <w:noWrap w:val="0"/>
            <w:vAlign w:val="center"/>
          </w:tcPr>
          <w:p w14:paraId="5BE26141">
            <w:pPr>
              <w:jc w:val="center"/>
              <w:rPr>
                <w:rFonts w:hint="eastAsia" w:ascii="黑体" w:hAnsi="黑体" w:eastAsia="黑体" w:cs="黑体"/>
                <w:b w:val="0"/>
                <w:bCs w:val="0"/>
                <w:sz w:val="18"/>
                <w:szCs w:val="18"/>
              </w:rPr>
            </w:pPr>
          </w:p>
          <w:p w14:paraId="7C66CD1E">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菇柄长度</w:t>
            </w:r>
          </w:p>
        </w:tc>
        <w:tc>
          <w:tcPr>
            <w:tcW w:w="2619" w:type="dxa"/>
            <w:noWrap w:val="0"/>
            <w:vAlign w:val="center"/>
          </w:tcPr>
          <w:p w14:paraId="3A5FD22E">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菇体长度≤15cm，80%菇体长度 10-13cm（托盒下端内径长度约 11cm，上端内径长度约 15cm）</w:t>
            </w:r>
          </w:p>
        </w:tc>
        <w:tc>
          <w:tcPr>
            <w:tcW w:w="2515" w:type="dxa"/>
            <w:noWrap w:val="0"/>
            <w:vAlign w:val="center"/>
          </w:tcPr>
          <w:p w14:paraId="58C0FE68">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菇体长度≥5cm 比例 80%以上。</w:t>
            </w:r>
          </w:p>
        </w:tc>
        <w:tc>
          <w:tcPr>
            <w:tcW w:w="1957" w:type="dxa"/>
            <w:noWrap w:val="0"/>
            <w:vAlign w:val="center"/>
          </w:tcPr>
          <w:p w14:paraId="35B94052">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菇体长度≥5cm 比例在 80%以上。</w:t>
            </w:r>
          </w:p>
        </w:tc>
        <w:tc>
          <w:tcPr>
            <w:tcW w:w="1290" w:type="dxa"/>
            <w:vMerge w:val="continue"/>
            <w:tcBorders>
              <w:top w:val="nil"/>
              <w:bottom w:val="nil"/>
            </w:tcBorders>
            <w:noWrap w:val="0"/>
            <w:vAlign w:val="center"/>
          </w:tcPr>
          <w:p w14:paraId="2D0F86EB">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p>
        </w:tc>
      </w:tr>
      <w:tr w14:paraId="57EF9D1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653" w:hRule="atLeast"/>
          <w:jc w:val="center"/>
        </w:trPr>
        <w:tc>
          <w:tcPr>
            <w:tcW w:w="878" w:type="dxa"/>
            <w:noWrap w:val="0"/>
            <w:vAlign w:val="center"/>
          </w:tcPr>
          <w:p w14:paraId="798C71DA">
            <w:pPr>
              <w:jc w:val="center"/>
              <w:rPr>
                <w:rFonts w:hint="eastAsia" w:ascii="黑体" w:hAnsi="黑体" w:eastAsia="黑体" w:cs="黑体"/>
                <w:b w:val="0"/>
                <w:bCs w:val="0"/>
                <w:sz w:val="18"/>
                <w:szCs w:val="18"/>
              </w:rPr>
            </w:pPr>
          </w:p>
          <w:p w14:paraId="45B197C1">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菇柄粗度</w:t>
            </w:r>
          </w:p>
        </w:tc>
        <w:tc>
          <w:tcPr>
            <w:tcW w:w="2619" w:type="dxa"/>
            <w:noWrap w:val="0"/>
            <w:vAlign w:val="center"/>
          </w:tcPr>
          <w:p w14:paraId="1172B5CE">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菇柄粗度≤1.5cm，粗度≥1cm 比例在70%以上。</w:t>
            </w:r>
          </w:p>
        </w:tc>
        <w:tc>
          <w:tcPr>
            <w:tcW w:w="2515" w:type="dxa"/>
            <w:noWrap w:val="0"/>
            <w:vAlign w:val="center"/>
          </w:tcPr>
          <w:p w14:paraId="05321E60">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菇柄粗度≤1.5cm，粗度≥ 1cm 比例在70%以上。</w:t>
            </w:r>
          </w:p>
        </w:tc>
        <w:tc>
          <w:tcPr>
            <w:tcW w:w="1957" w:type="dxa"/>
            <w:noWrap w:val="0"/>
            <w:vAlign w:val="center"/>
          </w:tcPr>
          <w:p w14:paraId="5E9A54B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cs="宋体"/>
                <w:sz w:val="18"/>
                <w:szCs w:val="18"/>
                <w:lang w:eastAsia="zh-CN"/>
              </w:rPr>
              <w:t>————</w:t>
            </w:r>
          </w:p>
        </w:tc>
        <w:tc>
          <w:tcPr>
            <w:tcW w:w="1290" w:type="dxa"/>
            <w:vMerge w:val="continue"/>
            <w:tcBorders>
              <w:top w:val="nil"/>
            </w:tcBorders>
            <w:noWrap w:val="0"/>
            <w:vAlign w:val="center"/>
          </w:tcPr>
          <w:p w14:paraId="507A151B">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p>
        </w:tc>
      </w:tr>
      <w:tr w14:paraId="5DBEB39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658" w:hRule="atLeast"/>
          <w:jc w:val="center"/>
        </w:trPr>
        <w:tc>
          <w:tcPr>
            <w:tcW w:w="878" w:type="dxa"/>
            <w:noWrap w:val="0"/>
            <w:vAlign w:val="center"/>
          </w:tcPr>
          <w:p w14:paraId="654CFCF0">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气味</w:t>
            </w:r>
          </w:p>
        </w:tc>
        <w:tc>
          <w:tcPr>
            <w:tcW w:w="2619" w:type="dxa"/>
            <w:noWrap w:val="0"/>
            <w:vAlign w:val="center"/>
          </w:tcPr>
          <w:p w14:paraId="79931C16">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具有产品应有的气味，无异味。</w:t>
            </w:r>
          </w:p>
        </w:tc>
        <w:tc>
          <w:tcPr>
            <w:tcW w:w="2515" w:type="dxa"/>
            <w:noWrap w:val="0"/>
            <w:vAlign w:val="center"/>
          </w:tcPr>
          <w:p w14:paraId="601B8EDE">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具有产品应有的气味，无异味。</w:t>
            </w:r>
          </w:p>
        </w:tc>
        <w:tc>
          <w:tcPr>
            <w:tcW w:w="1957" w:type="dxa"/>
            <w:noWrap w:val="0"/>
            <w:vAlign w:val="center"/>
          </w:tcPr>
          <w:p w14:paraId="74584ED1">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具有产品应有的气味，无异味。</w:t>
            </w:r>
          </w:p>
        </w:tc>
        <w:tc>
          <w:tcPr>
            <w:tcW w:w="1290" w:type="dxa"/>
            <w:noWrap w:val="0"/>
            <w:vAlign w:val="center"/>
          </w:tcPr>
          <w:p w14:paraId="611B7D2F">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同</w:t>
            </w:r>
            <w:r>
              <w:rPr>
                <w:rFonts w:hint="eastAsia" w:ascii="宋体" w:hAnsi="宋体" w:eastAsia="宋体" w:cs="宋体"/>
                <w:sz w:val="18"/>
                <w:szCs w:val="18"/>
                <w:lang w:val="en-US" w:eastAsia="zh-CN"/>
              </w:rPr>
              <w:t>B</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C</w:t>
            </w:r>
            <w:r>
              <w:rPr>
                <w:rFonts w:hint="eastAsia" w:ascii="宋体" w:hAnsi="宋体" w:eastAsia="宋体" w:cs="宋体"/>
                <w:sz w:val="18"/>
                <w:szCs w:val="18"/>
                <w:lang w:eastAsia="zh-CN"/>
              </w:rPr>
              <w:t>级标准</w:t>
            </w:r>
          </w:p>
        </w:tc>
      </w:tr>
      <w:tr w14:paraId="5FF222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558" w:hRule="atLeast"/>
          <w:jc w:val="center"/>
        </w:trPr>
        <w:tc>
          <w:tcPr>
            <w:tcW w:w="878" w:type="dxa"/>
            <w:noWrap w:val="0"/>
            <w:vAlign w:val="center"/>
          </w:tcPr>
          <w:p w14:paraId="63D62326">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感官水分</w:t>
            </w:r>
          </w:p>
        </w:tc>
        <w:tc>
          <w:tcPr>
            <w:tcW w:w="2619" w:type="dxa"/>
            <w:noWrap w:val="0"/>
            <w:vAlign w:val="center"/>
          </w:tcPr>
          <w:p w14:paraId="160725E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目测无水渍</w:t>
            </w:r>
          </w:p>
        </w:tc>
        <w:tc>
          <w:tcPr>
            <w:tcW w:w="2515" w:type="dxa"/>
            <w:noWrap w:val="0"/>
            <w:vAlign w:val="center"/>
          </w:tcPr>
          <w:p w14:paraId="5C65403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目测无水渍</w:t>
            </w:r>
          </w:p>
        </w:tc>
        <w:tc>
          <w:tcPr>
            <w:tcW w:w="1957" w:type="dxa"/>
            <w:noWrap w:val="0"/>
            <w:vAlign w:val="center"/>
          </w:tcPr>
          <w:p w14:paraId="6CA9291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目测无水渍</w:t>
            </w:r>
          </w:p>
        </w:tc>
        <w:tc>
          <w:tcPr>
            <w:tcW w:w="1290" w:type="dxa"/>
            <w:noWrap w:val="0"/>
            <w:vAlign w:val="center"/>
          </w:tcPr>
          <w:p w14:paraId="2178386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cs="宋体"/>
                <w:sz w:val="18"/>
                <w:szCs w:val="18"/>
                <w:lang w:eastAsia="zh-CN"/>
              </w:rPr>
              <w:t>————</w:t>
            </w:r>
          </w:p>
        </w:tc>
      </w:tr>
      <w:tr w14:paraId="5234268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830" w:hRule="atLeast"/>
          <w:jc w:val="center"/>
        </w:trPr>
        <w:tc>
          <w:tcPr>
            <w:tcW w:w="878" w:type="dxa"/>
            <w:noWrap w:val="0"/>
            <w:vAlign w:val="center"/>
          </w:tcPr>
          <w:p w14:paraId="6A442FFB">
            <w:pPr>
              <w:jc w:val="center"/>
              <w:rPr>
                <w:rFonts w:hint="eastAsia" w:ascii="黑体" w:hAnsi="黑体" w:eastAsia="黑体" w:cs="黑体"/>
                <w:b w:val="0"/>
                <w:bCs w:val="0"/>
                <w:sz w:val="18"/>
                <w:szCs w:val="18"/>
              </w:rPr>
            </w:pPr>
          </w:p>
          <w:p w14:paraId="61893F40">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切跟位置</w:t>
            </w:r>
          </w:p>
        </w:tc>
        <w:tc>
          <w:tcPr>
            <w:tcW w:w="2619" w:type="dxa"/>
            <w:noWrap w:val="0"/>
            <w:vAlign w:val="center"/>
          </w:tcPr>
          <w:p w14:paraId="404AB5DA">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切根位置为培养基边缘与菇</w:t>
            </w:r>
          </w:p>
          <w:p w14:paraId="17876245">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根的交接处，切根后根部长度</w:t>
            </w:r>
          </w:p>
          <w:p w14:paraId="336C1F7B">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1.5-2.0cm。</w:t>
            </w:r>
          </w:p>
        </w:tc>
        <w:tc>
          <w:tcPr>
            <w:tcW w:w="2515" w:type="dxa"/>
            <w:noWrap w:val="0"/>
            <w:vAlign w:val="center"/>
          </w:tcPr>
          <w:p w14:paraId="4F49123E">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切根位置为培养基边缘与菇根的交接处，切根后根部长度 1.5-2.0cm。</w:t>
            </w:r>
          </w:p>
        </w:tc>
        <w:tc>
          <w:tcPr>
            <w:tcW w:w="1957" w:type="dxa"/>
            <w:noWrap w:val="0"/>
            <w:vAlign w:val="center"/>
          </w:tcPr>
          <w:p w14:paraId="0FD6817E">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切根位置为培养基边缘与菇根的交接处，切根后根部长度 1.5-2.0cm。</w:t>
            </w:r>
          </w:p>
        </w:tc>
        <w:tc>
          <w:tcPr>
            <w:tcW w:w="1290" w:type="dxa"/>
            <w:noWrap w:val="0"/>
            <w:vAlign w:val="center"/>
          </w:tcPr>
          <w:p w14:paraId="5EE6CB63">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同</w:t>
            </w:r>
            <w:r>
              <w:rPr>
                <w:rFonts w:hint="eastAsia" w:ascii="宋体" w:hAnsi="宋体" w:eastAsia="宋体" w:cs="宋体"/>
                <w:sz w:val="18"/>
                <w:szCs w:val="18"/>
                <w:lang w:val="en-US" w:eastAsia="zh-CN"/>
              </w:rPr>
              <w:t>B</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C</w:t>
            </w:r>
            <w:r>
              <w:rPr>
                <w:rFonts w:hint="eastAsia" w:ascii="宋体" w:hAnsi="宋体" w:eastAsia="宋体" w:cs="宋体"/>
                <w:sz w:val="18"/>
                <w:szCs w:val="18"/>
                <w:lang w:eastAsia="zh-CN"/>
              </w:rPr>
              <w:t xml:space="preserve"> 级标准</w:t>
            </w:r>
          </w:p>
        </w:tc>
      </w:tr>
    </w:tbl>
    <w:p w14:paraId="206EF80D">
      <w:pPr>
        <w:pStyle w:val="317"/>
        <w:bidi w:val="0"/>
      </w:pPr>
      <w:r>
        <w:rPr>
          <w:rFonts w:hint="eastAsia" w:ascii="宋体" w:hAnsi="宋体" w:eastAsia="宋体" w:cs="宋体"/>
          <w:b w:val="0"/>
          <w:sz w:val="21"/>
          <w:lang w:eastAsia="zh-CN"/>
        </w:rPr>
        <w:t>(续)</w:t>
      </w:r>
    </w:p>
    <w:tbl>
      <w:tblPr>
        <w:tblStyle w:val="516"/>
        <w:tblpPr w:leftFromText="180" w:rightFromText="180" w:vertAnchor="text" w:horzAnchor="page" w:tblpX="1432" w:tblpY="1"/>
        <w:tblOverlap w:val="never"/>
        <w:tblW w:w="9278"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880"/>
        <w:gridCol w:w="2625"/>
        <w:gridCol w:w="2521"/>
        <w:gridCol w:w="1962"/>
        <w:gridCol w:w="1290"/>
      </w:tblGrid>
      <w:tr w14:paraId="3BBAA7C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927" w:hRule="atLeast"/>
          <w:jc w:val="center"/>
        </w:trPr>
        <w:tc>
          <w:tcPr>
            <w:tcW w:w="880" w:type="dxa"/>
            <w:noWrap w:val="0"/>
            <w:vAlign w:val="center"/>
          </w:tcPr>
          <w:p w14:paraId="386ED60C">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根部要求</w:t>
            </w:r>
          </w:p>
        </w:tc>
        <w:tc>
          <w:tcPr>
            <w:tcW w:w="2625" w:type="dxa"/>
            <w:noWrap w:val="0"/>
            <w:vAlign w:val="center"/>
          </w:tcPr>
          <w:p w14:paraId="0954918C">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根部允许带有少量培养料，且 根部培养料面积≤20%。</w:t>
            </w:r>
          </w:p>
        </w:tc>
        <w:tc>
          <w:tcPr>
            <w:tcW w:w="2521" w:type="dxa"/>
            <w:noWrap w:val="0"/>
            <w:vAlign w:val="center"/>
          </w:tcPr>
          <w:p w14:paraId="6E8DB5CF">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根部允许带有少量培养料，且根部培养料面积≤10%。</w:t>
            </w:r>
          </w:p>
        </w:tc>
        <w:tc>
          <w:tcPr>
            <w:tcW w:w="1962" w:type="dxa"/>
            <w:noWrap w:val="0"/>
            <w:vAlign w:val="center"/>
          </w:tcPr>
          <w:p w14:paraId="3DBB9EE6">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根部允许带有少量培养料， 且根部培养料面积≤10%。</w:t>
            </w:r>
          </w:p>
        </w:tc>
        <w:tc>
          <w:tcPr>
            <w:tcW w:w="1290" w:type="dxa"/>
            <w:noWrap w:val="0"/>
            <w:vAlign w:val="center"/>
          </w:tcPr>
          <w:p w14:paraId="693BD5ED">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同</w:t>
            </w:r>
            <w:r>
              <w:rPr>
                <w:rFonts w:hint="eastAsia" w:ascii="宋体" w:hAnsi="宋体" w:eastAsia="宋体" w:cs="宋体"/>
                <w:sz w:val="18"/>
                <w:szCs w:val="18"/>
                <w:lang w:val="en-US" w:eastAsia="zh-CN"/>
              </w:rPr>
              <w:t>B</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C</w:t>
            </w:r>
            <w:r>
              <w:rPr>
                <w:rFonts w:hint="eastAsia" w:ascii="宋体" w:hAnsi="宋体" w:eastAsia="宋体" w:cs="宋体"/>
                <w:sz w:val="18"/>
                <w:szCs w:val="18"/>
                <w:lang w:eastAsia="zh-CN"/>
              </w:rPr>
              <w:t xml:space="preserve"> 级标准</w:t>
            </w:r>
          </w:p>
        </w:tc>
      </w:tr>
      <w:tr w14:paraId="5AB9187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1291" w:hRule="atLeast"/>
          <w:jc w:val="center"/>
        </w:trPr>
        <w:tc>
          <w:tcPr>
            <w:tcW w:w="880" w:type="dxa"/>
            <w:noWrap w:val="0"/>
            <w:vAlign w:val="center"/>
          </w:tcPr>
          <w:p w14:paraId="5E23925E">
            <w:pPr>
              <w:jc w:val="center"/>
              <w:rPr>
                <w:rFonts w:hint="eastAsia" w:ascii="黑体" w:hAnsi="黑体" w:eastAsia="黑体" w:cs="黑体"/>
                <w:b w:val="0"/>
                <w:bCs w:val="0"/>
                <w:sz w:val="18"/>
                <w:szCs w:val="18"/>
              </w:rPr>
            </w:pPr>
          </w:p>
          <w:p w14:paraId="5EF73D84">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残缺菇</w:t>
            </w:r>
          </w:p>
        </w:tc>
        <w:tc>
          <w:tcPr>
            <w:tcW w:w="2625" w:type="dxa"/>
            <w:noWrap w:val="0"/>
            <w:vAlign w:val="center"/>
          </w:tcPr>
          <w:p w14:paraId="1775ADC8">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允许1处不明显破损。</w:t>
            </w:r>
          </w:p>
        </w:tc>
        <w:tc>
          <w:tcPr>
            <w:tcW w:w="2521" w:type="dxa"/>
            <w:noWrap w:val="0"/>
            <w:vAlign w:val="center"/>
          </w:tcPr>
          <w:p w14:paraId="38BF946F">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中间菇帽无明显破损，菌盖断头、破损、畸形菇帽总数量≤3 个。</w:t>
            </w:r>
          </w:p>
        </w:tc>
        <w:tc>
          <w:tcPr>
            <w:tcW w:w="1962" w:type="dxa"/>
            <w:noWrap w:val="0"/>
            <w:vAlign w:val="center"/>
          </w:tcPr>
          <w:p w14:paraId="6025F756">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中间菇帽无明显破损，菌盖</w:t>
            </w:r>
          </w:p>
          <w:p w14:paraId="5E301974">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断头、破损、畸形菇帽总数</w:t>
            </w:r>
          </w:p>
          <w:p w14:paraId="055F6430">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量≤5 个。</w:t>
            </w:r>
          </w:p>
        </w:tc>
        <w:tc>
          <w:tcPr>
            <w:tcW w:w="1290" w:type="dxa"/>
            <w:noWrap w:val="0"/>
            <w:vAlign w:val="center"/>
          </w:tcPr>
          <w:p w14:paraId="38245FE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cs="宋体"/>
                <w:sz w:val="18"/>
                <w:szCs w:val="18"/>
                <w:lang w:eastAsia="zh-CN"/>
              </w:rPr>
              <w:t>————</w:t>
            </w:r>
          </w:p>
        </w:tc>
      </w:tr>
      <w:tr w14:paraId="5D1846F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96" w:hRule="atLeast"/>
          <w:jc w:val="center"/>
        </w:trPr>
        <w:tc>
          <w:tcPr>
            <w:tcW w:w="880" w:type="dxa"/>
            <w:noWrap w:val="0"/>
            <w:vAlign w:val="center"/>
          </w:tcPr>
          <w:p w14:paraId="5AA8EE1A">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虫蛀霉变</w:t>
            </w:r>
          </w:p>
        </w:tc>
        <w:tc>
          <w:tcPr>
            <w:tcW w:w="2625" w:type="dxa"/>
            <w:noWrap w:val="0"/>
            <w:vAlign w:val="center"/>
          </w:tcPr>
          <w:p w14:paraId="7441E95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无</w:t>
            </w:r>
          </w:p>
        </w:tc>
        <w:tc>
          <w:tcPr>
            <w:tcW w:w="2521" w:type="dxa"/>
            <w:noWrap w:val="0"/>
            <w:vAlign w:val="center"/>
          </w:tcPr>
          <w:p w14:paraId="01B3928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无</w:t>
            </w:r>
          </w:p>
        </w:tc>
        <w:tc>
          <w:tcPr>
            <w:tcW w:w="1962" w:type="dxa"/>
            <w:noWrap w:val="0"/>
            <w:vAlign w:val="center"/>
          </w:tcPr>
          <w:p w14:paraId="05825D8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无</w:t>
            </w:r>
          </w:p>
        </w:tc>
        <w:tc>
          <w:tcPr>
            <w:tcW w:w="1290" w:type="dxa"/>
            <w:noWrap w:val="0"/>
            <w:vAlign w:val="center"/>
          </w:tcPr>
          <w:p w14:paraId="2A008145">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 xml:space="preserve">同 </w:t>
            </w:r>
            <w:r>
              <w:rPr>
                <w:rFonts w:hint="eastAsia" w:ascii="宋体" w:hAnsi="宋体" w:eastAsia="宋体" w:cs="宋体"/>
                <w:sz w:val="18"/>
                <w:szCs w:val="18"/>
                <w:lang w:val="en-US" w:eastAsia="zh-CN"/>
              </w:rPr>
              <w:t>B</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C</w:t>
            </w:r>
            <w:r>
              <w:rPr>
                <w:rFonts w:hint="eastAsia" w:ascii="宋体" w:hAnsi="宋体" w:eastAsia="宋体" w:cs="宋体"/>
                <w:sz w:val="18"/>
                <w:szCs w:val="18"/>
                <w:lang w:eastAsia="zh-CN"/>
              </w:rPr>
              <w:t xml:space="preserve"> 级标准</w:t>
            </w:r>
          </w:p>
        </w:tc>
      </w:tr>
      <w:tr w14:paraId="2B93B43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08" w:hRule="atLeast"/>
          <w:jc w:val="center"/>
        </w:trPr>
        <w:tc>
          <w:tcPr>
            <w:tcW w:w="880" w:type="dxa"/>
            <w:noWrap w:val="0"/>
            <w:vAlign w:val="center"/>
          </w:tcPr>
          <w:p w14:paraId="3904C5E7">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一般杂质</w:t>
            </w:r>
          </w:p>
        </w:tc>
        <w:tc>
          <w:tcPr>
            <w:tcW w:w="2625" w:type="dxa"/>
            <w:noWrap w:val="0"/>
            <w:vAlign w:val="center"/>
          </w:tcPr>
          <w:p w14:paraId="6BCF704F">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无明显可见杂质</w:t>
            </w:r>
          </w:p>
        </w:tc>
        <w:tc>
          <w:tcPr>
            <w:tcW w:w="2521" w:type="dxa"/>
            <w:noWrap w:val="0"/>
            <w:vAlign w:val="center"/>
          </w:tcPr>
          <w:p w14:paraId="6CA2DBED">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无明显可见杂质</w:t>
            </w:r>
          </w:p>
        </w:tc>
        <w:tc>
          <w:tcPr>
            <w:tcW w:w="1962" w:type="dxa"/>
            <w:noWrap w:val="0"/>
            <w:vAlign w:val="center"/>
          </w:tcPr>
          <w:p w14:paraId="4F9453A0">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无明显可见杂质</w:t>
            </w:r>
          </w:p>
        </w:tc>
        <w:tc>
          <w:tcPr>
            <w:tcW w:w="1290" w:type="dxa"/>
            <w:noWrap w:val="0"/>
            <w:vAlign w:val="center"/>
          </w:tcPr>
          <w:p w14:paraId="58DA3FA7">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 xml:space="preserve">同 </w:t>
            </w:r>
            <w:r>
              <w:rPr>
                <w:rFonts w:hint="eastAsia" w:ascii="宋体" w:hAnsi="宋体" w:eastAsia="宋体" w:cs="宋体"/>
                <w:sz w:val="18"/>
                <w:szCs w:val="18"/>
                <w:lang w:val="en-US" w:eastAsia="zh-CN"/>
              </w:rPr>
              <w:t>B</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C</w:t>
            </w:r>
            <w:r>
              <w:rPr>
                <w:rFonts w:hint="eastAsia" w:ascii="宋体" w:hAnsi="宋体" w:eastAsia="宋体" w:cs="宋体"/>
                <w:sz w:val="18"/>
                <w:szCs w:val="18"/>
                <w:lang w:eastAsia="zh-CN"/>
              </w:rPr>
              <w:t xml:space="preserve"> 级标准</w:t>
            </w:r>
          </w:p>
        </w:tc>
      </w:tr>
      <w:tr w14:paraId="40A0A9D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631" w:hRule="atLeast"/>
          <w:jc w:val="center"/>
        </w:trPr>
        <w:tc>
          <w:tcPr>
            <w:tcW w:w="880" w:type="dxa"/>
            <w:noWrap w:val="0"/>
            <w:vAlign w:val="center"/>
          </w:tcPr>
          <w:p w14:paraId="14F7CE25">
            <w:pPr>
              <w:jc w:val="center"/>
              <w:rPr>
                <w:rFonts w:hint="eastAsia" w:ascii="黑体" w:hAnsi="黑体" w:eastAsia="黑体" w:cs="黑体"/>
                <w:b w:val="0"/>
                <w:bCs w:val="0"/>
                <w:sz w:val="18"/>
                <w:szCs w:val="18"/>
              </w:rPr>
            </w:pPr>
            <w:r>
              <w:rPr>
                <w:rFonts w:hint="eastAsia" w:ascii="黑体" w:hAnsi="黑体" w:eastAsia="黑体" w:cs="黑体"/>
                <w:b w:val="0"/>
                <w:bCs w:val="0"/>
                <w:sz w:val="18"/>
                <w:szCs w:val="18"/>
              </w:rPr>
              <w:t>有害杂质</w:t>
            </w:r>
          </w:p>
        </w:tc>
        <w:tc>
          <w:tcPr>
            <w:tcW w:w="2625" w:type="dxa"/>
            <w:noWrap w:val="0"/>
            <w:vAlign w:val="center"/>
          </w:tcPr>
          <w:p w14:paraId="137BBC19">
            <w:pPr>
              <w:keepNext w:val="0"/>
              <w:keepLines w:val="0"/>
              <w:pageBreakBefore w:val="0"/>
              <w:widowControl w:val="0"/>
              <w:kinsoku/>
              <w:wordWrap/>
              <w:overflowPunct/>
              <w:topLinePunct w:val="0"/>
              <w:autoSpaceDE/>
              <w:autoSpaceDN/>
              <w:bidi w:val="0"/>
              <w:adjustRightInd/>
              <w:snapToGrid/>
              <w:jc w:val="both"/>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无毒药、活虫体、动物毛发和排泄物</w:t>
            </w:r>
          </w:p>
        </w:tc>
        <w:tc>
          <w:tcPr>
            <w:tcW w:w="2521" w:type="dxa"/>
            <w:noWrap w:val="0"/>
            <w:vAlign w:val="center"/>
          </w:tcPr>
          <w:p w14:paraId="29C2E06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无</w:t>
            </w:r>
          </w:p>
        </w:tc>
        <w:tc>
          <w:tcPr>
            <w:tcW w:w="1962" w:type="dxa"/>
            <w:noWrap w:val="0"/>
            <w:vAlign w:val="center"/>
          </w:tcPr>
          <w:p w14:paraId="4DE0D1C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无</w:t>
            </w:r>
          </w:p>
        </w:tc>
        <w:tc>
          <w:tcPr>
            <w:tcW w:w="1290" w:type="dxa"/>
            <w:noWrap w:val="0"/>
            <w:vAlign w:val="center"/>
          </w:tcPr>
          <w:p w14:paraId="3D2D7B76">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 xml:space="preserve">同 </w:t>
            </w:r>
            <w:r>
              <w:rPr>
                <w:rFonts w:hint="eastAsia" w:ascii="宋体" w:hAnsi="宋体" w:eastAsia="宋体" w:cs="宋体"/>
                <w:sz w:val="18"/>
                <w:szCs w:val="18"/>
                <w:lang w:val="en-US" w:eastAsia="zh-CN"/>
              </w:rPr>
              <w:t>B</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C</w:t>
            </w:r>
            <w:r>
              <w:rPr>
                <w:rFonts w:hint="eastAsia" w:ascii="宋体" w:hAnsi="宋体" w:eastAsia="宋体" w:cs="宋体"/>
                <w:sz w:val="18"/>
                <w:szCs w:val="18"/>
                <w:lang w:eastAsia="zh-CN"/>
              </w:rPr>
              <w:t xml:space="preserve"> 级标准</w:t>
            </w:r>
          </w:p>
        </w:tc>
      </w:tr>
    </w:tbl>
    <w:p w14:paraId="2609AC15">
      <w:pPr>
        <w:pStyle w:val="258"/>
        <w:rPr>
          <w:rFonts w:hint="eastAsia"/>
        </w:rPr>
      </w:pPr>
    </w:p>
    <w:p w14:paraId="3E04E039">
      <w:pPr>
        <w:pStyle w:val="260"/>
        <w:bidi w:val="0"/>
        <w:rPr>
          <w:rFonts w:hint="eastAsia"/>
        </w:rPr>
      </w:pPr>
      <w:r>
        <w:rPr>
          <w:rFonts w:hint="eastAsia"/>
        </w:rPr>
        <w:t>理化指标</w:t>
      </w:r>
    </w:p>
    <w:p w14:paraId="63008DFB">
      <w:pPr>
        <w:pStyle w:val="258"/>
        <w:bidi w:val="0"/>
        <w:rPr>
          <w:rFonts w:hint="eastAsia"/>
        </w:rPr>
      </w:pPr>
      <w:r>
        <w:rPr>
          <w:rFonts w:hint="eastAsia"/>
        </w:rPr>
        <w:t>理化指标及试验方法应符合表2规定。</w:t>
      </w:r>
    </w:p>
    <w:p w14:paraId="0EC9C27C">
      <w:pPr>
        <w:pStyle w:val="301"/>
        <w:bidi w:val="0"/>
        <w:rPr>
          <w:rFonts w:hint="eastAsia"/>
        </w:rPr>
      </w:pPr>
      <w:r>
        <w:rPr>
          <w:rFonts w:hint="eastAsia"/>
        </w:rPr>
        <w:t>理化指标</w:t>
      </w:r>
    </w:p>
    <w:tbl>
      <w:tblPr>
        <w:tblStyle w:val="88"/>
        <w:tblW w:w="70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780"/>
        <w:gridCol w:w="3240"/>
      </w:tblGrid>
      <w:tr w14:paraId="1595AB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3780" w:type="dxa"/>
            <w:noWrap w:val="0"/>
            <w:vAlign w:val="center"/>
          </w:tcPr>
          <w:p w14:paraId="1C1F7083">
            <w:pPr>
              <w:spacing w:line="300" w:lineRule="exact"/>
              <w:jc w:val="center"/>
              <w:rPr>
                <w:rFonts w:hint="eastAsia" w:ascii="黑体" w:hAnsi="黑体" w:eastAsia="黑体" w:cs="黑体"/>
                <w:sz w:val="18"/>
              </w:rPr>
            </w:pPr>
            <w:r>
              <w:rPr>
                <w:rFonts w:hint="eastAsia" w:ascii="黑体" w:hAnsi="黑体" w:eastAsia="黑体" w:cs="黑体"/>
                <w:sz w:val="18"/>
              </w:rPr>
              <w:t>项目</w:t>
            </w:r>
          </w:p>
        </w:tc>
        <w:tc>
          <w:tcPr>
            <w:tcW w:w="3240" w:type="dxa"/>
            <w:tcBorders>
              <w:right w:val="single" w:color="auto" w:sz="4" w:space="0"/>
            </w:tcBorders>
            <w:noWrap w:val="0"/>
            <w:vAlign w:val="center"/>
          </w:tcPr>
          <w:p w14:paraId="650096AE">
            <w:pPr>
              <w:spacing w:line="300" w:lineRule="exact"/>
              <w:jc w:val="center"/>
              <w:rPr>
                <w:rFonts w:hint="eastAsia" w:ascii="黑体" w:hAnsi="黑体" w:eastAsia="黑体" w:cs="黑体"/>
                <w:sz w:val="18"/>
              </w:rPr>
            </w:pPr>
            <w:r>
              <w:rPr>
                <w:rFonts w:hint="eastAsia" w:ascii="黑体" w:hAnsi="黑体" w:eastAsia="黑体" w:cs="黑体"/>
                <w:sz w:val="18"/>
              </w:rPr>
              <w:t>指标</w:t>
            </w:r>
          </w:p>
        </w:tc>
      </w:tr>
      <w:tr w14:paraId="7BA267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3780" w:type="dxa"/>
            <w:noWrap w:val="0"/>
            <w:vAlign w:val="center"/>
          </w:tcPr>
          <w:p w14:paraId="5B93F4B3">
            <w:pPr>
              <w:spacing w:line="300" w:lineRule="exact"/>
              <w:rPr>
                <w:rFonts w:hint="eastAsia" w:ascii="黑体" w:hAnsi="黑体" w:eastAsia="黑体" w:cs="黑体"/>
                <w:color w:val="000000"/>
                <w:sz w:val="18"/>
                <w:szCs w:val="18"/>
              </w:rPr>
            </w:pPr>
            <w:r>
              <w:rPr>
                <w:rFonts w:hint="eastAsia" w:ascii="黑体" w:hAnsi="黑体" w:eastAsia="黑体" w:cs="黑体"/>
                <w:color w:val="000000"/>
                <w:sz w:val="18"/>
                <w:szCs w:val="18"/>
              </w:rPr>
              <w:t>水分，g/100g                       ≤</w:t>
            </w:r>
          </w:p>
        </w:tc>
        <w:tc>
          <w:tcPr>
            <w:tcW w:w="3240" w:type="dxa"/>
            <w:tcBorders>
              <w:right w:val="single" w:color="auto" w:sz="4" w:space="0"/>
            </w:tcBorders>
            <w:noWrap w:val="0"/>
            <w:vAlign w:val="center"/>
          </w:tcPr>
          <w:p w14:paraId="64817535">
            <w:pPr>
              <w:spacing w:line="30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r>
      <w:tr w14:paraId="0C4000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3780" w:type="dxa"/>
            <w:noWrap w:val="0"/>
            <w:vAlign w:val="center"/>
          </w:tcPr>
          <w:p w14:paraId="2A9C6615">
            <w:pPr>
              <w:spacing w:line="300" w:lineRule="exact"/>
              <w:rPr>
                <w:rFonts w:hint="default" w:ascii="黑体" w:hAnsi="黑体" w:eastAsia="黑体" w:cs="黑体"/>
                <w:color w:val="000000"/>
                <w:sz w:val="18"/>
                <w:szCs w:val="18"/>
                <w:lang w:val="en-US" w:eastAsia="zh-CN"/>
              </w:rPr>
            </w:pPr>
            <w:r>
              <w:rPr>
                <w:rFonts w:hint="eastAsia" w:ascii="黑体" w:hAnsi="黑体" w:eastAsia="黑体" w:cs="黑体"/>
                <w:color w:val="000000"/>
                <w:sz w:val="18"/>
                <w:szCs w:val="18"/>
                <w:lang w:val="en-US" w:eastAsia="zh-CN"/>
              </w:rPr>
              <w:t>蛋白质g/100g</w:t>
            </w:r>
          </w:p>
        </w:tc>
        <w:tc>
          <w:tcPr>
            <w:tcW w:w="3240" w:type="dxa"/>
            <w:tcBorders>
              <w:right w:val="single" w:color="auto" w:sz="4" w:space="0"/>
            </w:tcBorders>
            <w:noWrap w:val="0"/>
            <w:vAlign w:val="center"/>
          </w:tcPr>
          <w:p w14:paraId="78ECD2EA">
            <w:pPr>
              <w:spacing w:line="300" w:lineRule="exact"/>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2.5</w:t>
            </w:r>
          </w:p>
        </w:tc>
      </w:tr>
      <w:tr w14:paraId="0181AF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3780" w:type="dxa"/>
            <w:noWrap w:val="0"/>
            <w:vAlign w:val="center"/>
          </w:tcPr>
          <w:p w14:paraId="6376ACA2">
            <w:pPr>
              <w:spacing w:line="300" w:lineRule="exact"/>
              <w:rPr>
                <w:rFonts w:hint="default" w:ascii="黑体" w:hAnsi="黑体" w:eastAsia="黑体" w:cs="黑体"/>
                <w:color w:val="000000"/>
                <w:sz w:val="18"/>
                <w:szCs w:val="18"/>
                <w:lang w:val="en-US" w:eastAsia="zh-CN"/>
              </w:rPr>
            </w:pPr>
            <w:r>
              <w:rPr>
                <w:rFonts w:hint="eastAsia" w:ascii="黑体" w:hAnsi="黑体" w:eastAsia="黑体" w:cs="黑体"/>
                <w:color w:val="000000"/>
                <w:sz w:val="18"/>
                <w:szCs w:val="18"/>
                <w:lang w:val="en-US" w:eastAsia="zh-CN"/>
              </w:rPr>
              <w:t xml:space="preserve">脂肪                               </w:t>
            </w:r>
            <w:r>
              <w:rPr>
                <w:rFonts w:hint="eastAsia" w:ascii="黑体" w:hAnsi="黑体" w:eastAsia="黑体" w:cs="黑体"/>
                <w:color w:val="000000"/>
                <w:sz w:val="18"/>
                <w:szCs w:val="18"/>
              </w:rPr>
              <w:t>≤</w:t>
            </w:r>
          </w:p>
        </w:tc>
        <w:tc>
          <w:tcPr>
            <w:tcW w:w="3240" w:type="dxa"/>
            <w:tcBorders>
              <w:right w:val="single" w:color="auto" w:sz="4" w:space="0"/>
            </w:tcBorders>
            <w:noWrap w:val="0"/>
            <w:vAlign w:val="center"/>
          </w:tcPr>
          <w:p w14:paraId="19C75770">
            <w:pPr>
              <w:spacing w:line="30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0.1</w:t>
            </w:r>
          </w:p>
        </w:tc>
      </w:tr>
      <w:tr w14:paraId="42E1CC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3780" w:type="dxa"/>
            <w:noWrap w:val="0"/>
            <w:vAlign w:val="center"/>
          </w:tcPr>
          <w:p w14:paraId="12F8FDD2">
            <w:pPr>
              <w:spacing w:line="300" w:lineRule="exact"/>
              <w:rPr>
                <w:rFonts w:hint="default" w:ascii="黑体" w:hAnsi="黑体" w:eastAsia="黑体" w:cs="黑体"/>
                <w:color w:val="000000"/>
                <w:sz w:val="18"/>
                <w:szCs w:val="18"/>
                <w:lang w:val="en-US" w:eastAsia="zh-CN"/>
              </w:rPr>
            </w:pPr>
            <w:r>
              <w:rPr>
                <w:rFonts w:hint="eastAsia" w:ascii="黑体" w:hAnsi="黑体" w:eastAsia="黑体" w:cs="黑体"/>
                <w:color w:val="000000"/>
                <w:sz w:val="18"/>
                <w:szCs w:val="18"/>
                <w:lang w:val="en-US" w:eastAsia="zh-CN"/>
              </w:rPr>
              <w:t xml:space="preserve">菌杂质 %                           </w:t>
            </w:r>
            <w:r>
              <w:rPr>
                <w:rFonts w:hint="eastAsia" w:ascii="黑体" w:hAnsi="黑体" w:eastAsia="黑体" w:cs="黑体"/>
                <w:color w:val="000000"/>
                <w:sz w:val="18"/>
                <w:szCs w:val="18"/>
              </w:rPr>
              <w:t>≤</w:t>
            </w:r>
          </w:p>
        </w:tc>
        <w:tc>
          <w:tcPr>
            <w:tcW w:w="3240" w:type="dxa"/>
            <w:tcBorders>
              <w:right w:val="single" w:color="auto" w:sz="4" w:space="0"/>
            </w:tcBorders>
            <w:noWrap w:val="0"/>
            <w:vAlign w:val="center"/>
          </w:tcPr>
          <w:p w14:paraId="1B7C9922">
            <w:pPr>
              <w:spacing w:line="30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w:t>
            </w:r>
          </w:p>
        </w:tc>
      </w:tr>
      <w:tr w14:paraId="6B1523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3780" w:type="dxa"/>
            <w:noWrap w:val="0"/>
            <w:vAlign w:val="center"/>
          </w:tcPr>
          <w:p w14:paraId="3FCFA84D">
            <w:pPr>
              <w:spacing w:line="300" w:lineRule="exact"/>
              <w:rPr>
                <w:rFonts w:hint="default" w:ascii="黑体" w:hAnsi="黑体" w:eastAsia="黑体" w:cs="黑体"/>
                <w:color w:val="000000"/>
                <w:sz w:val="18"/>
                <w:szCs w:val="18"/>
                <w:lang w:val="en-US" w:eastAsia="zh-CN"/>
              </w:rPr>
            </w:pPr>
            <w:r>
              <w:rPr>
                <w:rFonts w:hint="eastAsia" w:ascii="黑体" w:hAnsi="黑体" w:eastAsia="黑体" w:cs="黑体"/>
                <w:color w:val="000000"/>
                <w:sz w:val="18"/>
                <w:szCs w:val="18"/>
                <w:lang w:val="en-US" w:eastAsia="zh-CN"/>
              </w:rPr>
              <w:t>膳食纤维 g/100g                    ≥</w:t>
            </w:r>
          </w:p>
        </w:tc>
        <w:tc>
          <w:tcPr>
            <w:tcW w:w="3240" w:type="dxa"/>
            <w:tcBorders>
              <w:right w:val="single" w:color="auto" w:sz="4" w:space="0"/>
            </w:tcBorders>
            <w:noWrap w:val="0"/>
            <w:vAlign w:val="center"/>
          </w:tcPr>
          <w:p w14:paraId="02EBCE96">
            <w:pPr>
              <w:spacing w:line="30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3.0</w:t>
            </w:r>
          </w:p>
        </w:tc>
      </w:tr>
      <w:tr w14:paraId="3592CC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3780" w:type="dxa"/>
            <w:noWrap w:val="0"/>
            <w:vAlign w:val="center"/>
          </w:tcPr>
          <w:p w14:paraId="3391515C">
            <w:pPr>
              <w:spacing w:line="300" w:lineRule="exact"/>
              <w:rPr>
                <w:rFonts w:hint="default" w:ascii="黑体" w:hAnsi="黑体" w:eastAsia="黑体" w:cs="黑体"/>
                <w:color w:val="000000"/>
                <w:sz w:val="18"/>
                <w:szCs w:val="18"/>
                <w:lang w:val="en-US" w:eastAsia="zh-CN"/>
              </w:rPr>
            </w:pPr>
            <w:r>
              <w:rPr>
                <w:rFonts w:hint="eastAsia" w:ascii="黑体" w:hAnsi="黑体" w:eastAsia="黑体" w:cs="黑体"/>
                <w:color w:val="000000"/>
                <w:sz w:val="18"/>
                <w:szCs w:val="18"/>
                <w:lang w:val="en-US" w:eastAsia="zh-CN"/>
              </w:rPr>
              <w:t xml:space="preserve">灰分（以干基计）%                 </w:t>
            </w:r>
            <w:r>
              <w:rPr>
                <w:rFonts w:hint="eastAsia" w:ascii="黑体" w:hAnsi="黑体" w:eastAsia="黑体" w:cs="黑体"/>
                <w:color w:val="000000"/>
                <w:sz w:val="18"/>
                <w:szCs w:val="18"/>
              </w:rPr>
              <w:t>≤</w:t>
            </w:r>
          </w:p>
        </w:tc>
        <w:tc>
          <w:tcPr>
            <w:tcW w:w="3240" w:type="dxa"/>
            <w:tcBorders>
              <w:right w:val="single" w:color="auto" w:sz="4" w:space="0"/>
            </w:tcBorders>
            <w:noWrap w:val="0"/>
            <w:vAlign w:val="center"/>
          </w:tcPr>
          <w:p w14:paraId="3ABDF226">
            <w:pPr>
              <w:spacing w:line="30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8%</w:t>
            </w:r>
          </w:p>
        </w:tc>
      </w:tr>
      <w:tr w14:paraId="4F41B8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3780" w:type="dxa"/>
            <w:noWrap w:val="0"/>
            <w:vAlign w:val="center"/>
          </w:tcPr>
          <w:p w14:paraId="7A908BC5">
            <w:pPr>
              <w:spacing w:line="300" w:lineRule="exact"/>
              <w:rPr>
                <w:rFonts w:hint="default" w:ascii="黑体" w:hAnsi="黑体" w:eastAsia="黑体" w:cs="黑体"/>
                <w:color w:val="000000"/>
                <w:sz w:val="18"/>
                <w:szCs w:val="18"/>
                <w:lang w:val="en-US" w:eastAsia="zh-CN"/>
              </w:rPr>
            </w:pPr>
            <w:r>
              <w:rPr>
                <w:rFonts w:hint="eastAsia" w:ascii="黑体" w:hAnsi="黑体" w:eastAsia="黑体" w:cs="黑体"/>
                <w:color w:val="000000"/>
                <w:sz w:val="18"/>
                <w:szCs w:val="18"/>
                <w:lang w:val="en-US" w:eastAsia="zh-CN"/>
              </w:rPr>
              <w:t>荧光物质</w:t>
            </w:r>
          </w:p>
        </w:tc>
        <w:tc>
          <w:tcPr>
            <w:tcW w:w="3240" w:type="dxa"/>
            <w:tcBorders>
              <w:right w:val="single" w:color="auto" w:sz="4" w:space="0"/>
            </w:tcBorders>
            <w:noWrap w:val="0"/>
            <w:vAlign w:val="center"/>
          </w:tcPr>
          <w:p w14:paraId="2999CE8D">
            <w:pPr>
              <w:spacing w:line="300" w:lineRule="exact"/>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阴性</w:t>
            </w:r>
          </w:p>
        </w:tc>
      </w:tr>
    </w:tbl>
    <w:p w14:paraId="44CD7516">
      <w:pPr>
        <w:pStyle w:val="260"/>
        <w:bidi w:val="0"/>
        <w:rPr>
          <w:rFonts w:hint="eastAsia"/>
        </w:rPr>
      </w:pPr>
      <w:r>
        <w:rPr>
          <w:rFonts w:hint="eastAsia"/>
        </w:rPr>
        <w:t>净含量及试验方法</w:t>
      </w:r>
    </w:p>
    <w:p w14:paraId="5E235B22">
      <w:pPr>
        <w:pStyle w:val="258"/>
        <w:bidi w:val="0"/>
        <w:rPr>
          <w:rFonts w:hint="eastAsia"/>
        </w:rPr>
      </w:pPr>
      <w:r>
        <w:rPr>
          <w:rFonts w:hint="eastAsia"/>
        </w:rPr>
        <w:t>应符合《定量包装商品计量监督管理办法》的规定。单件净含量允许负偏差按JJF 1070规定的方法进行。</w:t>
      </w:r>
    </w:p>
    <w:p w14:paraId="16B82EE3">
      <w:pPr>
        <w:pStyle w:val="259"/>
        <w:bidi w:val="0"/>
        <w:rPr>
          <w:rFonts w:hint="eastAsia"/>
          <w:lang w:val="en-US" w:eastAsia="zh-CN"/>
        </w:rPr>
      </w:pPr>
      <w:r>
        <w:rPr>
          <w:rFonts w:hint="eastAsia"/>
          <w:lang w:val="en-US" w:eastAsia="zh-CN"/>
        </w:rPr>
        <w:t>试验方法</w:t>
      </w:r>
    </w:p>
    <w:p w14:paraId="293FBD7F">
      <w:pPr>
        <w:pStyle w:val="260"/>
        <w:bidi w:val="0"/>
        <w:rPr>
          <w:rFonts w:hint="eastAsia"/>
          <w:lang w:val="en-US" w:eastAsia="zh-CN"/>
        </w:rPr>
      </w:pPr>
      <w:r>
        <w:rPr>
          <w:rFonts w:hint="eastAsia"/>
          <w:lang w:val="en-US" w:eastAsia="zh-CN"/>
        </w:rPr>
        <w:t>外观</w:t>
      </w:r>
    </w:p>
    <w:p w14:paraId="0C88F56A">
      <w:pPr>
        <w:pStyle w:val="258"/>
        <w:bidi w:val="0"/>
        <w:rPr>
          <w:rFonts w:hint="eastAsia"/>
          <w:lang w:val="en-US" w:eastAsia="zh-CN"/>
        </w:rPr>
      </w:pPr>
      <w:r>
        <w:rPr>
          <w:rFonts w:hint="eastAsia"/>
          <w:lang w:val="en-US" w:eastAsia="zh-CN"/>
        </w:rPr>
        <w:t>肉眼、嗅觉、味觉辨别。</w:t>
      </w:r>
    </w:p>
    <w:p w14:paraId="5757F95B">
      <w:pPr>
        <w:pStyle w:val="260"/>
        <w:bidi w:val="0"/>
        <w:rPr>
          <w:rFonts w:hint="eastAsia"/>
          <w:lang w:val="en-US" w:eastAsia="zh-CN"/>
        </w:rPr>
      </w:pPr>
      <w:r>
        <w:rPr>
          <w:rFonts w:hint="eastAsia"/>
          <w:lang w:val="en-US" w:eastAsia="zh-CN"/>
        </w:rPr>
        <w:t>尺寸</w:t>
      </w:r>
    </w:p>
    <w:p w14:paraId="36CEA830">
      <w:pPr>
        <w:pStyle w:val="258"/>
        <w:rPr>
          <w:rFonts w:hint="eastAsia"/>
          <w:lang w:val="en-US" w:eastAsia="zh-CN"/>
        </w:rPr>
      </w:pPr>
      <w:r>
        <w:rPr>
          <w:rFonts w:hint="eastAsia"/>
          <w:lang w:val="en-US" w:eastAsia="zh-CN"/>
        </w:rPr>
        <w:t>用卡尺测量。</w:t>
      </w:r>
    </w:p>
    <w:p w14:paraId="28D7DE4A">
      <w:pPr>
        <w:pStyle w:val="260"/>
        <w:bidi w:val="0"/>
        <w:rPr>
          <w:rFonts w:hint="eastAsia"/>
          <w:lang w:val="en-US" w:eastAsia="zh-CN"/>
        </w:rPr>
      </w:pPr>
      <w:r>
        <w:rPr>
          <w:rFonts w:hint="eastAsia"/>
          <w:lang w:val="en-US" w:eastAsia="zh-CN"/>
        </w:rPr>
        <w:t>水分</w:t>
      </w:r>
    </w:p>
    <w:p w14:paraId="0377E31F">
      <w:pPr>
        <w:pStyle w:val="258"/>
        <w:rPr>
          <w:rFonts w:hint="eastAsia"/>
          <w:lang w:val="en-US" w:eastAsia="zh-CN"/>
        </w:rPr>
      </w:pPr>
      <w:r>
        <w:rPr>
          <w:rFonts w:hint="eastAsia"/>
          <w:lang w:val="en-US" w:eastAsia="zh-CN"/>
        </w:rPr>
        <w:t>按GB 5009.3执行。</w:t>
      </w:r>
    </w:p>
    <w:p w14:paraId="5745B308">
      <w:pPr>
        <w:pStyle w:val="260"/>
        <w:bidi w:val="0"/>
        <w:rPr>
          <w:rFonts w:hint="eastAsia"/>
          <w:lang w:val="en-US" w:eastAsia="zh-CN"/>
        </w:rPr>
      </w:pPr>
      <w:r>
        <w:rPr>
          <w:rFonts w:hint="eastAsia"/>
          <w:lang w:val="en-US" w:eastAsia="zh-CN"/>
        </w:rPr>
        <w:t>蛋白质</w:t>
      </w:r>
    </w:p>
    <w:p w14:paraId="12DDF4A5">
      <w:pPr>
        <w:pStyle w:val="258"/>
        <w:rPr>
          <w:rFonts w:hint="eastAsia"/>
          <w:lang w:val="en-US" w:eastAsia="zh-CN"/>
        </w:rPr>
      </w:pPr>
      <w:r>
        <w:rPr>
          <w:rFonts w:hint="eastAsia"/>
          <w:lang w:val="en-US" w:eastAsia="zh-CN"/>
        </w:rPr>
        <w:t>按GB 5009.5执行。</w:t>
      </w:r>
    </w:p>
    <w:p w14:paraId="26229F71">
      <w:pPr>
        <w:pStyle w:val="260"/>
        <w:bidi w:val="0"/>
        <w:rPr>
          <w:rFonts w:hint="eastAsia"/>
          <w:lang w:val="en-US" w:eastAsia="zh-CN"/>
        </w:rPr>
      </w:pPr>
      <w:r>
        <w:rPr>
          <w:rFonts w:hint="eastAsia"/>
          <w:lang w:val="en-US" w:eastAsia="zh-CN"/>
        </w:rPr>
        <w:t>脂肪</w:t>
      </w:r>
    </w:p>
    <w:p w14:paraId="435AC09F">
      <w:pPr>
        <w:pStyle w:val="258"/>
        <w:rPr>
          <w:rFonts w:hint="eastAsia"/>
          <w:lang w:val="en-US" w:eastAsia="zh-CN"/>
        </w:rPr>
      </w:pPr>
      <w:r>
        <w:rPr>
          <w:rFonts w:hint="eastAsia"/>
          <w:lang w:val="en-US" w:eastAsia="zh-CN"/>
        </w:rPr>
        <w:t>按GB 5009.6执行。</w:t>
      </w:r>
    </w:p>
    <w:p w14:paraId="157B6821">
      <w:pPr>
        <w:pStyle w:val="260"/>
        <w:bidi w:val="0"/>
        <w:rPr>
          <w:rFonts w:hint="eastAsia"/>
          <w:lang w:val="en-US" w:eastAsia="zh-CN"/>
        </w:rPr>
      </w:pPr>
      <w:r>
        <w:rPr>
          <w:rFonts w:hint="eastAsia"/>
          <w:lang w:val="en-US" w:eastAsia="zh-CN"/>
        </w:rPr>
        <w:t>菌杂质</w:t>
      </w:r>
    </w:p>
    <w:p w14:paraId="1685CA66">
      <w:pPr>
        <w:pStyle w:val="258"/>
        <w:rPr>
          <w:rFonts w:hint="eastAsia"/>
          <w:lang w:val="en-US" w:eastAsia="zh-CN"/>
        </w:rPr>
      </w:pPr>
      <w:r>
        <w:rPr>
          <w:rFonts w:hint="eastAsia"/>
          <w:lang w:val="en-US" w:eastAsia="zh-CN"/>
        </w:rPr>
        <w:t>按GB/T 12533执行。</w:t>
      </w:r>
    </w:p>
    <w:p w14:paraId="4276C510">
      <w:pPr>
        <w:pStyle w:val="260"/>
        <w:bidi w:val="0"/>
        <w:rPr>
          <w:rFonts w:hint="eastAsia"/>
          <w:lang w:val="en-US" w:eastAsia="zh-CN"/>
        </w:rPr>
      </w:pPr>
      <w:r>
        <w:rPr>
          <w:rFonts w:hint="eastAsia"/>
          <w:lang w:val="en-US" w:eastAsia="zh-CN"/>
        </w:rPr>
        <w:t>膳食纤维</w:t>
      </w:r>
    </w:p>
    <w:p w14:paraId="73AC9692">
      <w:pPr>
        <w:pStyle w:val="258"/>
        <w:rPr>
          <w:rFonts w:hint="eastAsia"/>
          <w:lang w:val="en-US" w:eastAsia="zh-CN"/>
        </w:rPr>
      </w:pPr>
      <w:r>
        <w:rPr>
          <w:rFonts w:hint="eastAsia"/>
          <w:lang w:val="en-US" w:eastAsia="zh-CN"/>
        </w:rPr>
        <w:t>按GB/T 5009.88执行。</w:t>
      </w:r>
    </w:p>
    <w:p w14:paraId="6585F90F">
      <w:pPr>
        <w:pStyle w:val="260"/>
        <w:bidi w:val="0"/>
        <w:rPr>
          <w:rFonts w:hint="eastAsia"/>
          <w:lang w:val="en-US" w:eastAsia="zh-CN"/>
        </w:rPr>
      </w:pPr>
      <w:r>
        <w:rPr>
          <w:rFonts w:hint="eastAsia"/>
          <w:lang w:val="en-US" w:eastAsia="zh-CN"/>
        </w:rPr>
        <w:t>灰分（以干基计）</w:t>
      </w:r>
    </w:p>
    <w:p w14:paraId="678D2686">
      <w:pPr>
        <w:pStyle w:val="258"/>
        <w:rPr>
          <w:rFonts w:hint="eastAsia"/>
          <w:lang w:val="en-US" w:eastAsia="zh-CN"/>
        </w:rPr>
      </w:pPr>
      <w:r>
        <w:rPr>
          <w:rFonts w:hint="eastAsia"/>
          <w:lang w:val="en-US" w:eastAsia="zh-CN"/>
        </w:rPr>
        <w:t>按GB/T 5009.4执行。</w:t>
      </w:r>
    </w:p>
    <w:p w14:paraId="591FE835">
      <w:pPr>
        <w:pStyle w:val="260"/>
        <w:bidi w:val="0"/>
        <w:rPr>
          <w:rFonts w:hint="eastAsia"/>
          <w:lang w:val="en-US" w:eastAsia="zh-CN"/>
        </w:rPr>
      </w:pPr>
      <w:r>
        <w:rPr>
          <w:rFonts w:hint="eastAsia"/>
          <w:lang w:val="en-US" w:eastAsia="zh-CN"/>
        </w:rPr>
        <w:t>荧光物质</w:t>
      </w:r>
    </w:p>
    <w:p w14:paraId="5413E9AA">
      <w:pPr>
        <w:pStyle w:val="258"/>
        <w:rPr>
          <w:rFonts w:hint="eastAsia"/>
          <w:lang w:val="en-US" w:eastAsia="zh-CN"/>
        </w:rPr>
      </w:pPr>
      <w:r>
        <w:rPr>
          <w:rFonts w:hint="eastAsia"/>
          <w:lang w:val="en-US" w:eastAsia="zh-CN"/>
        </w:rPr>
        <w:t>按</w:t>
      </w:r>
      <w:r>
        <w:rPr>
          <w:rFonts w:hint="eastAsia"/>
        </w:rPr>
        <w:t>NY/T 1257</w:t>
      </w:r>
      <w:r>
        <w:rPr>
          <w:rFonts w:hint="eastAsia"/>
          <w:lang w:val="en-US" w:eastAsia="zh-CN"/>
        </w:rPr>
        <w:t>执行。</w:t>
      </w:r>
    </w:p>
    <w:p w14:paraId="33E22F85">
      <w:pPr>
        <w:pStyle w:val="259"/>
        <w:bidi w:val="0"/>
        <w:rPr>
          <w:rFonts w:hint="eastAsia"/>
        </w:rPr>
      </w:pPr>
      <w:r>
        <w:rPr>
          <w:rFonts w:hint="eastAsia"/>
        </w:rPr>
        <w:t>检验规则</w:t>
      </w:r>
    </w:p>
    <w:p w14:paraId="3CB3BA36">
      <w:pPr>
        <w:pStyle w:val="260"/>
        <w:bidi w:val="0"/>
        <w:rPr>
          <w:rFonts w:hint="eastAsia"/>
        </w:rPr>
      </w:pPr>
      <w:r>
        <w:rPr>
          <w:rFonts w:hint="eastAsia"/>
        </w:rPr>
        <w:t>检验分类</w:t>
      </w:r>
    </w:p>
    <w:p w14:paraId="40A66160">
      <w:pPr>
        <w:pStyle w:val="258"/>
        <w:bidi w:val="0"/>
        <w:rPr>
          <w:rFonts w:hint="eastAsia"/>
        </w:rPr>
      </w:pPr>
      <w:r>
        <w:rPr>
          <w:rFonts w:hint="eastAsia"/>
        </w:rPr>
        <w:t>产品检验分出厂检验和型式检验。</w:t>
      </w:r>
    </w:p>
    <w:p w14:paraId="47E83FA8">
      <w:pPr>
        <w:pStyle w:val="260"/>
        <w:bidi w:val="0"/>
        <w:rPr>
          <w:rFonts w:hint="eastAsia"/>
        </w:rPr>
      </w:pPr>
      <w:r>
        <w:rPr>
          <w:rFonts w:hint="eastAsia"/>
        </w:rPr>
        <w:t>出厂检验</w:t>
      </w:r>
    </w:p>
    <w:p w14:paraId="310DFFA2">
      <w:pPr>
        <w:pStyle w:val="327"/>
        <w:bidi w:val="0"/>
        <w:rPr>
          <w:rFonts w:hint="eastAsia" w:ascii="宋体" w:hAnsi="宋体" w:eastAsia="宋体" w:cs="宋体"/>
        </w:rPr>
      </w:pPr>
      <w:r>
        <w:rPr>
          <w:rFonts w:hint="eastAsia"/>
        </w:rPr>
        <w:t>每批产品须由生产厂质量检验部门按本标准规定进行检验，合格后，签发合格证方可出厂。</w:t>
      </w:r>
    </w:p>
    <w:p w14:paraId="2956A852">
      <w:pPr>
        <w:pStyle w:val="327"/>
        <w:bidi w:val="0"/>
        <w:rPr>
          <w:rFonts w:hint="eastAsia" w:ascii="宋体" w:hAnsi="宋体" w:eastAsia="宋体" w:cs="宋体"/>
        </w:rPr>
      </w:pPr>
      <w:r>
        <w:rPr>
          <w:rFonts w:hint="eastAsia" w:ascii="宋体" w:hAnsi="宋体" w:eastAsia="宋体" w:cs="宋体"/>
        </w:rPr>
        <w:t>出厂检验项目为感官指标、净含量。</w:t>
      </w:r>
    </w:p>
    <w:p w14:paraId="011B776F">
      <w:pPr>
        <w:pStyle w:val="260"/>
        <w:bidi w:val="0"/>
        <w:rPr>
          <w:rFonts w:hint="eastAsia"/>
        </w:rPr>
      </w:pPr>
      <w:r>
        <w:rPr>
          <w:rFonts w:hint="eastAsia"/>
        </w:rPr>
        <w:t>型式检验</w:t>
      </w:r>
    </w:p>
    <w:p w14:paraId="156B9162">
      <w:pPr>
        <w:pStyle w:val="327"/>
        <w:bidi w:val="0"/>
        <w:rPr>
          <w:rFonts w:hint="eastAsia" w:ascii="宋体" w:hAnsi="宋体" w:eastAsia="宋体" w:cs="宋体"/>
        </w:rPr>
      </w:pPr>
      <w:r>
        <w:rPr>
          <w:rFonts w:hint="eastAsia"/>
        </w:rPr>
        <w:t>型式检验项目为本</w:t>
      </w:r>
      <w:r>
        <w:rPr>
          <w:rFonts w:hint="eastAsia"/>
          <w:lang w:val="en-US" w:eastAsia="zh-CN"/>
        </w:rPr>
        <w:t>文件</w:t>
      </w:r>
      <w:r>
        <w:rPr>
          <w:rFonts w:hint="eastAsia"/>
        </w:rPr>
        <w:t>规定的全项目。</w:t>
      </w:r>
    </w:p>
    <w:p w14:paraId="60F0C4F4">
      <w:pPr>
        <w:pStyle w:val="327"/>
        <w:bidi w:val="0"/>
        <w:rPr>
          <w:rFonts w:hint="eastAsia" w:ascii="宋体" w:hAnsi="宋体" w:eastAsia="宋体" w:cs="宋体"/>
        </w:rPr>
      </w:pPr>
      <w:r>
        <w:rPr>
          <w:rFonts w:hint="eastAsia" w:ascii="宋体" w:hAnsi="宋体" w:eastAsia="宋体" w:cs="宋体"/>
        </w:rPr>
        <w:t>在下列情况之一时应进行型式检验：</w:t>
      </w:r>
    </w:p>
    <w:p w14:paraId="1680A711">
      <w:pPr>
        <w:pStyle w:val="305"/>
        <w:bidi w:val="0"/>
        <w:ind w:left="839" w:leftChars="0" w:hanging="419" w:firstLineChars="0"/>
        <w:rPr>
          <w:rFonts w:hint="eastAsia" w:ascii="宋体" w:hAnsi="宋体" w:eastAsia="宋体" w:cs="宋体"/>
          <w:color w:val="000000"/>
        </w:rPr>
      </w:pPr>
      <w:r>
        <w:rPr>
          <w:rFonts w:hint="eastAsia"/>
        </w:rPr>
        <w:t>原料来源有较大改变，可能影响产品质量时；</w:t>
      </w:r>
    </w:p>
    <w:p w14:paraId="3F461BA9">
      <w:pPr>
        <w:pStyle w:val="305"/>
        <w:bidi w:val="0"/>
        <w:ind w:left="839" w:leftChars="0" w:hanging="419" w:firstLineChars="0"/>
        <w:rPr>
          <w:rFonts w:hint="eastAsia" w:ascii="宋体" w:hAnsi="宋体" w:eastAsia="宋体" w:cs="宋体"/>
          <w:color w:val="000000"/>
        </w:rPr>
      </w:pPr>
      <w:r>
        <w:rPr>
          <w:rFonts w:hint="eastAsia" w:ascii="宋体" w:hAnsi="宋体" w:eastAsia="宋体" w:cs="宋体"/>
          <w:color w:val="000000"/>
        </w:rPr>
        <w:t>正常生产，每半年进行一次；</w:t>
      </w:r>
    </w:p>
    <w:p w14:paraId="03F2CD7A">
      <w:pPr>
        <w:pStyle w:val="305"/>
        <w:bidi w:val="0"/>
        <w:ind w:left="839" w:leftChars="0" w:hanging="419" w:firstLineChars="0"/>
        <w:rPr>
          <w:rFonts w:hint="eastAsia" w:ascii="宋体" w:hAnsi="宋体" w:eastAsia="宋体" w:cs="宋体"/>
          <w:color w:val="000000"/>
        </w:rPr>
      </w:pPr>
      <w:r>
        <w:rPr>
          <w:rFonts w:hint="eastAsia" w:ascii="宋体" w:hAnsi="宋体" w:eastAsia="宋体" w:cs="宋体"/>
          <w:color w:val="000000"/>
        </w:rPr>
        <w:t>停产3个月以上恢复生产时；</w:t>
      </w:r>
    </w:p>
    <w:p w14:paraId="2A37CF2B">
      <w:pPr>
        <w:pStyle w:val="305"/>
        <w:bidi w:val="0"/>
        <w:ind w:left="839" w:leftChars="0" w:hanging="419" w:firstLineChars="0"/>
        <w:rPr>
          <w:rFonts w:hint="eastAsia" w:ascii="宋体" w:hAnsi="宋体" w:eastAsia="宋体" w:cs="宋体"/>
          <w:color w:val="000000"/>
        </w:rPr>
      </w:pPr>
      <w:r>
        <w:rPr>
          <w:rFonts w:hint="eastAsia" w:ascii="宋体" w:hAnsi="宋体" w:eastAsia="宋体" w:cs="宋体"/>
          <w:color w:val="000000"/>
        </w:rPr>
        <w:t>国家食品安全监管部门提出进行型式检验要求时；</w:t>
      </w:r>
    </w:p>
    <w:p w14:paraId="2300ACAD">
      <w:pPr>
        <w:pStyle w:val="305"/>
        <w:bidi w:val="0"/>
        <w:ind w:left="839" w:leftChars="0" w:hanging="419" w:firstLineChars="0"/>
        <w:rPr>
          <w:rFonts w:hint="eastAsia" w:ascii="宋体" w:hAnsi="宋体" w:eastAsia="宋体" w:cs="宋体"/>
          <w:color w:val="000000"/>
        </w:rPr>
      </w:pPr>
      <w:r>
        <w:rPr>
          <w:rFonts w:hint="eastAsia" w:ascii="宋体" w:hAnsi="宋体" w:eastAsia="宋体" w:cs="宋体"/>
          <w:color w:val="000000"/>
        </w:rPr>
        <w:t>本批次出厂检验结果与以往批次有较大波动时需增加型式检验。</w:t>
      </w:r>
    </w:p>
    <w:p w14:paraId="23EA224A">
      <w:pPr>
        <w:pStyle w:val="260"/>
        <w:bidi w:val="0"/>
        <w:rPr>
          <w:rFonts w:hint="eastAsia"/>
        </w:rPr>
      </w:pPr>
      <w:r>
        <w:rPr>
          <w:rFonts w:hint="eastAsia"/>
        </w:rPr>
        <w:t>组批与抽样</w:t>
      </w:r>
    </w:p>
    <w:p w14:paraId="167B9AB2">
      <w:pPr>
        <w:pStyle w:val="258"/>
        <w:bidi w:val="0"/>
        <w:rPr>
          <w:rFonts w:hint="eastAsia"/>
        </w:rPr>
      </w:pPr>
      <w:r>
        <w:rPr>
          <w:rFonts w:hint="eastAsia"/>
          <w:lang w:val="en-US" w:eastAsia="zh-CN"/>
        </w:rPr>
        <w:t>当天生产的同类同规格产品</w:t>
      </w:r>
      <w:r>
        <w:rPr>
          <w:rFonts w:hint="eastAsia"/>
        </w:rPr>
        <w:t>作为一个检验批次。每批随机抽取不少于1kg，作为检验和备用样本（净含量指标除外）。型式检验样本应从出厂检验合格的产品中随机抽取。</w:t>
      </w:r>
    </w:p>
    <w:p w14:paraId="6AE58523">
      <w:pPr>
        <w:pStyle w:val="260"/>
        <w:bidi w:val="0"/>
        <w:rPr>
          <w:rFonts w:hint="eastAsia"/>
        </w:rPr>
      </w:pPr>
      <w:r>
        <w:rPr>
          <w:rFonts w:hint="eastAsia"/>
        </w:rPr>
        <w:t>判定规则</w:t>
      </w:r>
    </w:p>
    <w:p w14:paraId="4B50EAA7">
      <w:pPr>
        <w:pStyle w:val="258"/>
        <w:bidi w:val="0"/>
        <w:rPr>
          <w:rFonts w:hint="eastAsia"/>
        </w:rPr>
      </w:pPr>
      <w:r>
        <w:rPr>
          <w:rFonts w:hint="eastAsia"/>
        </w:rPr>
        <w:t>检验项目全部符合本标准要求时，该批产品判定为合格；若有不合格项，使用备检样品对不合格项目进行复检，复检结果符合本标准要求时，则该产品判定为合格；如复检结果仍有1项不合格，则判该批产品为不合格。</w:t>
      </w:r>
    </w:p>
    <w:p w14:paraId="2A99091A">
      <w:pPr>
        <w:pStyle w:val="259"/>
        <w:bidi w:val="0"/>
        <w:rPr>
          <w:rFonts w:hint="eastAsia"/>
        </w:rPr>
      </w:pPr>
      <w:r>
        <w:rPr>
          <w:rFonts w:hint="eastAsia"/>
        </w:rPr>
        <w:t>标志、包装、运输、贮存</w:t>
      </w:r>
    </w:p>
    <w:p w14:paraId="666058DC">
      <w:pPr>
        <w:pStyle w:val="260"/>
        <w:bidi w:val="0"/>
        <w:rPr>
          <w:rFonts w:hint="eastAsia"/>
        </w:rPr>
      </w:pPr>
      <w:r>
        <w:rPr>
          <w:rFonts w:hint="eastAsia"/>
        </w:rPr>
        <w:t>标志</w:t>
      </w:r>
    </w:p>
    <w:p w14:paraId="04B0CED9">
      <w:pPr>
        <w:pStyle w:val="327"/>
        <w:bidi w:val="0"/>
        <w:rPr>
          <w:rFonts w:hint="eastAsia" w:ascii="宋体" w:hAnsi="宋体" w:eastAsia="宋体" w:cs="宋体"/>
        </w:rPr>
      </w:pPr>
      <w:r>
        <w:rPr>
          <w:rFonts w:hint="eastAsia"/>
        </w:rPr>
        <w:t>产品销售包装标志应符合GB 7718、GB 28050的规定。</w:t>
      </w:r>
    </w:p>
    <w:p w14:paraId="004961C4">
      <w:pPr>
        <w:pStyle w:val="327"/>
        <w:bidi w:val="0"/>
        <w:rPr>
          <w:rFonts w:hint="eastAsia" w:ascii="宋体" w:hAnsi="宋体" w:eastAsia="宋体" w:cs="宋体"/>
        </w:rPr>
      </w:pPr>
      <w:r>
        <w:rPr>
          <w:rFonts w:hint="eastAsia" w:ascii="宋体" w:hAnsi="宋体" w:eastAsia="宋体" w:cs="宋体"/>
        </w:rPr>
        <w:t>运输包装应标明：产品名称、生产厂名、厂址、生产日期、保质期、数量、质量（重量）、体积、标准号、许可证号及符合GB/T 191要求的图形类标志符号。</w:t>
      </w:r>
    </w:p>
    <w:p w14:paraId="498E213B">
      <w:pPr>
        <w:pStyle w:val="260"/>
        <w:bidi w:val="0"/>
        <w:rPr>
          <w:rFonts w:hint="eastAsia"/>
        </w:rPr>
      </w:pPr>
      <w:r>
        <w:rPr>
          <w:rFonts w:hint="eastAsia"/>
        </w:rPr>
        <w:t>包装</w:t>
      </w:r>
    </w:p>
    <w:p w14:paraId="46964D8E">
      <w:pPr>
        <w:pStyle w:val="327"/>
        <w:bidi w:val="0"/>
        <w:rPr>
          <w:rFonts w:hint="eastAsia" w:ascii="宋体" w:hAnsi="宋体" w:eastAsia="宋体" w:cs="宋体"/>
        </w:rPr>
      </w:pPr>
      <w:r>
        <w:rPr>
          <w:rFonts w:hint="eastAsia"/>
        </w:rPr>
        <w:t>包装容器如箱、筐等应按产品的大小规格设计，同一规格应大小一致，牢固、整洁、干燥、牢固、透气、无污染、无异味，内壁无尖突物，无虫蛀、腐烂、霉变等，纸箱无受潮、离层现象。塑料箱应符合NY/T 658的要求。</w:t>
      </w:r>
    </w:p>
    <w:p w14:paraId="335627DB">
      <w:pPr>
        <w:pStyle w:val="327"/>
        <w:bidi w:val="0"/>
        <w:rPr>
          <w:rFonts w:hint="eastAsia" w:ascii="宋体" w:hAnsi="宋体" w:eastAsia="宋体" w:cs="宋体"/>
        </w:rPr>
      </w:pPr>
      <w:r>
        <w:rPr>
          <w:rFonts w:hint="eastAsia" w:ascii="宋体" w:hAnsi="宋体" w:eastAsia="宋体" w:cs="宋体"/>
        </w:rPr>
        <w:t>按产品的品种、规格分别包装，同一件包装内的产品应摆放整齐紧密。每批产品所用的包装、单位质量应一致，每件包装净含量不应超过10kg。</w:t>
      </w:r>
    </w:p>
    <w:p w14:paraId="66FFE020">
      <w:pPr>
        <w:pStyle w:val="260"/>
        <w:bidi w:val="0"/>
        <w:rPr>
          <w:rFonts w:hint="eastAsia"/>
        </w:rPr>
      </w:pPr>
      <w:r>
        <w:rPr>
          <w:rFonts w:hint="eastAsia"/>
        </w:rPr>
        <w:t>运输</w:t>
      </w:r>
    </w:p>
    <w:p w14:paraId="32EE314D">
      <w:pPr>
        <w:pStyle w:val="327"/>
        <w:bidi w:val="0"/>
        <w:rPr>
          <w:rFonts w:hint="eastAsia" w:ascii="宋体" w:hAnsi="宋体" w:eastAsia="宋体" w:cs="宋体"/>
        </w:rPr>
      </w:pPr>
      <w:r>
        <w:rPr>
          <w:rFonts w:hint="eastAsia"/>
        </w:rPr>
        <w:t>运输时轻装、轻卸，避免机械损伤。</w:t>
      </w:r>
    </w:p>
    <w:p w14:paraId="22E12BA9">
      <w:pPr>
        <w:pStyle w:val="327"/>
        <w:bidi w:val="0"/>
        <w:rPr>
          <w:rFonts w:hint="eastAsia" w:ascii="宋体" w:hAnsi="宋体" w:eastAsia="宋体" w:cs="宋体"/>
        </w:rPr>
      </w:pPr>
      <w:r>
        <w:rPr>
          <w:rFonts w:hint="eastAsia" w:ascii="宋体" w:hAnsi="宋体" w:eastAsia="宋体" w:cs="宋体"/>
        </w:rPr>
        <w:t>运输工具要清洁、卫生，无污染物、无杂物。</w:t>
      </w:r>
    </w:p>
    <w:p w14:paraId="1CFC23E8">
      <w:pPr>
        <w:pStyle w:val="327"/>
        <w:bidi w:val="0"/>
        <w:rPr>
          <w:rFonts w:hint="eastAsia" w:ascii="宋体" w:hAnsi="宋体" w:eastAsia="宋体" w:cs="宋体"/>
        </w:rPr>
      </w:pPr>
      <w:r>
        <w:rPr>
          <w:rFonts w:hint="eastAsia" w:ascii="宋体" w:hAnsi="宋体" w:eastAsia="宋体" w:cs="宋体"/>
        </w:rPr>
        <w:t>防雨淋、防日晒、不可裸露运输。</w:t>
      </w:r>
    </w:p>
    <w:p w14:paraId="4667E90E">
      <w:pPr>
        <w:pStyle w:val="327"/>
        <w:bidi w:val="0"/>
        <w:rPr>
          <w:rFonts w:hint="eastAsia" w:ascii="宋体" w:hAnsi="宋体" w:eastAsia="宋体" w:cs="宋体"/>
        </w:rPr>
      </w:pPr>
      <w:r>
        <w:rPr>
          <w:rFonts w:hint="eastAsia" w:ascii="宋体" w:hAnsi="宋体" w:eastAsia="宋体" w:cs="宋体"/>
        </w:rPr>
        <w:t>不得与有毒有害物品、鲜活动物混装混运。</w:t>
      </w:r>
    </w:p>
    <w:p w14:paraId="28248B56">
      <w:pPr>
        <w:pStyle w:val="327"/>
        <w:bidi w:val="0"/>
        <w:rPr>
          <w:rFonts w:hint="eastAsia" w:ascii="宋体" w:hAnsi="宋体" w:eastAsia="宋体" w:cs="宋体"/>
        </w:rPr>
      </w:pPr>
      <w:r>
        <w:rPr>
          <w:rFonts w:hint="eastAsia" w:ascii="宋体" w:hAnsi="宋体" w:eastAsia="宋体" w:cs="宋体"/>
        </w:rPr>
        <w:t>鲜食用菌应在4℃～10℃条件下运输。</w:t>
      </w:r>
    </w:p>
    <w:p w14:paraId="4814BE36">
      <w:pPr>
        <w:pStyle w:val="260"/>
        <w:bidi w:val="0"/>
        <w:rPr>
          <w:rFonts w:hint="eastAsia"/>
        </w:rPr>
      </w:pPr>
      <w:r>
        <w:rPr>
          <w:rFonts w:hint="eastAsia"/>
        </w:rPr>
        <w:t>贮存</w:t>
      </w:r>
    </w:p>
    <w:p w14:paraId="61AACD02">
      <w:pPr>
        <w:pStyle w:val="258"/>
        <w:bidi w:val="0"/>
        <w:rPr>
          <w:rFonts w:hint="eastAsia"/>
        </w:rPr>
      </w:pPr>
      <w:r>
        <w:rPr>
          <w:rFonts w:hint="eastAsia"/>
        </w:rPr>
        <w:t>鲜食用菌在1℃～10℃贮存。不得与有毒、有害、有异味物品混贮。</w:t>
      </w:r>
    </w:p>
    <w:p w14:paraId="4306A210">
      <w:pPr>
        <w:pStyle w:val="259"/>
        <w:bidi w:val="0"/>
        <w:rPr>
          <w:rFonts w:hint="eastAsia"/>
        </w:rPr>
      </w:pPr>
      <w:r>
        <w:rPr>
          <w:rFonts w:hint="eastAsia"/>
        </w:rPr>
        <w:t>保质期</w:t>
      </w:r>
    </w:p>
    <w:p w14:paraId="06168C3F">
      <w:pPr>
        <w:pStyle w:val="258"/>
        <w:bidi w:val="0"/>
        <w:rPr>
          <w:rFonts w:hint="eastAsia"/>
        </w:rPr>
      </w:pPr>
      <w:r>
        <w:rPr>
          <w:rFonts w:hint="eastAsia"/>
        </w:rPr>
        <w:t>自生产之日起，在2℃～8℃的条件下，保质期为30天。</w:t>
      </w:r>
    </w:p>
    <w:p w14:paraId="48353DE0">
      <w:pPr>
        <w:tabs>
          <w:tab w:val="left" w:pos="5400"/>
        </w:tabs>
        <w:adjustRightInd w:val="0"/>
        <w:snapToGrid w:val="0"/>
        <w:spacing w:line="360" w:lineRule="auto"/>
        <w:ind w:firstLine="315" w:firstLineChars="150"/>
        <w:rPr>
          <w:rFonts w:hint="eastAsia" w:ascii="宋体" w:hAnsi="宋体" w:eastAsia="宋体" w:cs="宋体"/>
        </w:rPr>
      </w:pPr>
    </w:p>
    <w:p w14:paraId="52FE4BB4">
      <w:pPr>
        <w:tabs>
          <w:tab w:val="left" w:pos="5400"/>
        </w:tabs>
        <w:adjustRightInd w:val="0"/>
        <w:snapToGrid w:val="0"/>
        <w:spacing w:line="360" w:lineRule="auto"/>
        <w:ind w:firstLine="315" w:firstLineChars="150"/>
        <w:rPr>
          <w:rFonts w:hint="eastAsia" w:ascii="宋体" w:hAnsi="宋体" w:eastAsia="宋体" w:cs="宋体"/>
        </w:rPr>
      </w:pPr>
    </w:p>
    <w:p w14:paraId="453C2826">
      <w:pPr>
        <w:tabs>
          <w:tab w:val="left" w:pos="5400"/>
        </w:tabs>
        <w:adjustRightInd w:val="0"/>
        <w:snapToGrid w:val="0"/>
        <w:spacing w:line="360" w:lineRule="auto"/>
        <w:ind w:firstLine="315" w:firstLineChars="150"/>
        <w:rPr>
          <w:rFonts w:hint="eastAsia" w:ascii="宋体" w:hAnsi="宋体" w:eastAsia="宋体" w:cs="宋体"/>
        </w:rPr>
      </w:pPr>
    </w:p>
    <w:p w14:paraId="1A5E3531">
      <w:pPr>
        <w:tabs>
          <w:tab w:val="left" w:pos="5400"/>
        </w:tabs>
        <w:adjustRightInd w:val="0"/>
        <w:snapToGrid w:val="0"/>
        <w:spacing w:line="360" w:lineRule="auto"/>
        <w:ind w:firstLine="315" w:firstLineChars="150"/>
        <w:rPr>
          <w:rFonts w:hint="eastAsia" w:ascii="宋体" w:hAnsi="宋体" w:eastAsia="宋体" w:cs="宋体"/>
        </w:rPr>
      </w:pPr>
    </w:p>
    <w:p w14:paraId="7E7709A3">
      <w:pPr>
        <w:tabs>
          <w:tab w:val="left" w:pos="5400"/>
        </w:tabs>
        <w:adjustRightInd w:val="0"/>
        <w:snapToGrid w:val="0"/>
        <w:spacing w:line="360" w:lineRule="auto"/>
        <w:ind w:firstLine="315" w:firstLineChars="150"/>
        <w:rPr>
          <w:rFonts w:hint="eastAsia" w:ascii="宋体" w:hAnsi="宋体" w:eastAsia="宋体" w:cs="宋体"/>
        </w:rPr>
      </w:pPr>
    </w:p>
    <w:p w14:paraId="12D37A03">
      <w:pPr>
        <w:tabs>
          <w:tab w:val="left" w:pos="5400"/>
        </w:tabs>
        <w:adjustRightInd w:val="0"/>
        <w:snapToGrid w:val="0"/>
        <w:spacing w:line="360" w:lineRule="auto"/>
        <w:ind w:firstLine="315" w:firstLineChars="150"/>
        <w:rPr>
          <w:rFonts w:hint="eastAsia" w:ascii="宋体" w:hAnsi="宋体" w:eastAsia="宋体" w:cs="宋体"/>
        </w:rPr>
      </w:pPr>
    </w:p>
    <w:p w14:paraId="4C0564DC">
      <w:pPr>
        <w:tabs>
          <w:tab w:val="left" w:pos="5400"/>
        </w:tabs>
        <w:adjustRightInd w:val="0"/>
        <w:snapToGrid w:val="0"/>
        <w:spacing w:line="360" w:lineRule="auto"/>
        <w:ind w:firstLine="315" w:firstLineChars="150"/>
        <w:rPr>
          <w:rFonts w:hint="eastAsia" w:ascii="宋体" w:hAnsi="宋体" w:eastAsia="宋体" w:cs="宋体"/>
        </w:rPr>
      </w:pPr>
    </w:p>
    <w:p w14:paraId="15477BE0">
      <w:pPr>
        <w:tabs>
          <w:tab w:val="left" w:pos="5400"/>
        </w:tabs>
        <w:adjustRightInd w:val="0"/>
        <w:snapToGrid w:val="0"/>
        <w:spacing w:line="360" w:lineRule="auto"/>
        <w:ind w:firstLine="315" w:firstLineChars="150"/>
        <w:rPr>
          <w:rFonts w:hint="eastAsia" w:ascii="宋体" w:hAnsi="宋体" w:eastAsia="宋体" w:cs="宋体"/>
        </w:rPr>
      </w:pPr>
    </w:p>
    <w:p w14:paraId="4337DB10">
      <w:pPr>
        <w:tabs>
          <w:tab w:val="left" w:pos="5400"/>
        </w:tabs>
        <w:adjustRightInd w:val="0"/>
        <w:snapToGrid w:val="0"/>
        <w:spacing w:line="360" w:lineRule="auto"/>
        <w:ind w:firstLine="315" w:firstLineChars="150"/>
        <w:rPr>
          <w:rFonts w:hint="eastAsia" w:ascii="宋体" w:hAnsi="宋体" w:eastAsia="宋体" w:cs="宋体"/>
        </w:rPr>
      </w:pPr>
    </w:p>
    <w:p w14:paraId="768E88F7">
      <w:pPr>
        <w:tabs>
          <w:tab w:val="left" w:pos="5400"/>
        </w:tabs>
        <w:adjustRightInd w:val="0"/>
        <w:snapToGrid w:val="0"/>
        <w:spacing w:line="360" w:lineRule="auto"/>
        <w:ind w:firstLine="315" w:firstLineChars="150"/>
        <w:rPr>
          <w:rFonts w:hint="eastAsia" w:ascii="宋体" w:hAnsi="宋体" w:eastAsia="宋体" w:cs="宋体"/>
        </w:rPr>
      </w:pPr>
    </w:p>
    <w:p w14:paraId="64301EFF">
      <w:pPr>
        <w:tabs>
          <w:tab w:val="left" w:pos="5400"/>
        </w:tabs>
        <w:adjustRightInd w:val="0"/>
        <w:snapToGrid w:val="0"/>
        <w:spacing w:line="360" w:lineRule="auto"/>
        <w:ind w:firstLine="315" w:firstLineChars="150"/>
        <w:rPr>
          <w:rFonts w:hint="eastAsia" w:ascii="宋体" w:hAnsi="宋体" w:eastAsia="宋体" w:cs="宋体"/>
        </w:rPr>
      </w:pPr>
    </w:p>
    <w:p w14:paraId="18536E77">
      <w:pPr>
        <w:tabs>
          <w:tab w:val="left" w:pos="5400"/>
        </w:tabs>
        <w:adjustRightInd w:val="0"/>
        <w:snapToGrid w:val="0"/>
        <w:spacing w:line="360" w:lineRule="auto"/>
        <w:ind w:firstLine="315" w:firstLineChars="150"/>
        <w:rPr>
          <w:rFonts w:hint="eastAsia" w:ascii="宋体" w:hAnsi="宋体" w:eastAsia="宋体" w:cs="宋体"/>
        </w:rPr>
      </w:pPr>
    </w:p>
    <w:p w14:paraId="55907F5F">
      <w:pPr>
        <w:tabs>
          <w:tab w:val="left" w:pos="5400"/>
        </w:tabs>
        <w:adjustRightInd w:val="0"/>
        <w:snapToGrid w:val="0"/>
        <w:spacing w:line="360" w:lineRule="auto"/>
        <w:ind w:firstLine="315" w:firstLineChars="150"/>
        <w:rPr>
          <w:rFonts w:hint="eastAsia" w:ascii="宋体" w:hAnsi="宋体" w:eastAsia="宋体" w:cs="宋体"/>
        </w:rPr>
      </w:pPr>
    </w:p>
    <w:p w14:paraId="094E18F7">
      <w:pPr>
        <w:tabs>
          <w:tab w:val="left" w:pos="5400"/>
        </w:tabs>
        <w:adjustRightInd w:val="0"/>
        <w:snapToGrid w:val="0"/>
        <w:spacing w:line="360" w:lineRule="auto"/>
        <w:ind w:firstLine="315" w:firstLineChars="150"/>
        <w:rPr>
          <w:rFonts w:hint="eastAsia" w:ascii="宋体" w:hAnsi="宋体" w:eastAsia="宋体" w:cs="宋体"/>
        </w:rPr>
      </w:pPr>
    </w:p>
    <w:p w14:paraId="6238378F">
      <w:pPr>
        <w:tabs>
          <w:tab w:val="left" w:pos="5400"/>
        </w:tabs>
        <w:adjustRightInd w:val="0"/>
        <w:snapToGrid w:val="0"/>
        <w:spacing w:line="360" w:lineRule="auto"/>
        <w:ind w:firstLine="315" w:firstLineChars="150"/>
        <w:rPr>
          <w:rFonts w:hint="eastAsia" w:ascii="宋体" w:hAnsi="宋体" w:eastAsia="宋体" w:cs="宋体"/>
        </w:rPr>
      </w:pPr>
    </w:p>
    <w:p w14:paraId="3D6A1526">
      <w:pPr>
        <w:tabs>
          <w:tab w:val="left" w:pos="5400"/>
        </w:tabs>
        <w:adjustRightInd w:val="0"/>
        <w:snapToGrid w:val="0"/>
        <w:spacing w:line="360" w:lineRule="auto"/>
        <w:ind w:firstLine="315" w:firstLineChars="150"/>
        <w:rPr>
          <w:rFonts w:hint="eastAsia" w:ascii="宋体" w:hAnsi="宋体" w:eastAsia="宋体" w:cs="宋体"/>
        </w:rPr>
      </w:pPr>
    </w:p>
    <w:p w14:paraId="01E50763">
      <w:pPr>
        <w:tabs>
          <w:tab w:val="left" w:pos="5400"/>
        </w:tabs>
        <w:adjustRightInd w:val="0"/>
        <w:snapToGrid w:val="0"/>
        <w:spacing w:line="360" w:lineRule="auto"/>
        <w:ind w:firstLine="315" w:firstLineChars="150"/>
        <w:rPr>
          <w:rFonts w:hint="eastAsia" w:ascii="宋体" w:hAnsi="宋体" w:eastAsia="宋体" w:cs="宋体"/>
        </w:rPr>
      </w:pPr>
    </w:p>
    <w:p w14:paraId="296AE5AE">
      <w:pPr>
        <w:tabs>
          <w:tab w:val="left" w:pos="5400"/>
        </w:tabs>
        <w:adjustRightInd w:val="0"/>
        <w:snapToGrid w:val="0"/>
        <w:spacing w:line="360" w:lineRule="auto"/>
        <w:ind w:firstLine="315" w:firstLineChars="150"/>
        <w:rPr>
          <w:rFonts w:hint="eastAsia" w:ascii="宋体" w:hAnsi="宋体" w:eastAsia="宋体" w:cs="宋体"/>
        </w:rPr>
      </w:pPr>
    </w:p>
    <w:p w14:paraId="14276028">
      <w:pPr>
        <w:tabs>
          <w:tab w:val="left" w:pos="5400"/>
        </w:tabs>
        <w:adjustRightInd w:val="0"/>
        <w:snapToGrid w:val="0"/>
        <w:spacing w:line="360" w:lineRule="auto"/>
        <w:ind w:firstLine="315" w:firstLineChars="150"/>
        <w:rPr>
          <w:rFonts w:hint="eastAsia" w:ascii="宋体" w:hAnsi="宋体" w:eastAsia="宋体" w:cs="宋体"/>
        </w:rPr>
      </w:pPr>
    </w:p>
    <w:p w14:paraId="61773230">
      <w:pPr>
        <w:tabs>
          <w:tab w:val="left" w:pos="5400"/>
        </w:tabs>
        <w:adjustRightInd w:val="0"/>
        <w:snapToGrid w:val="0"/>
        <w:spacing w:line="360" w:lineRule="auto"/>
        <w:ind w:firstLine="315" w:firstLineChars="150"/>
        <w:rPr>
          <w:rFonts w:hint="eastAsia" w:ascii="宋体" w:hAnsi="宋体" w:eastAsia="宋体" w:cs="宋体"/>
        </w:rPr>
      </w:pPr>
    </w:p>
    <w:p w14:paraId="339EC3D8">
      <w:pPr>
        <w:tabs>
          <w:tab w:val="left" w:pos="5400"/>
        </w:tabs>
        <w:adjustRightInd w:val="0"/>
        <w:snapToGrid w:val="0"/>
        <w:spacing w:line="360" w:lineRule="auto"/>
        <w:ind w:firstLine="315" w:firstLineChars="150"/>
        <w:rPr>
          <w:rFonts w:hint="eastAsia" w:ascii="宋体" w:hAnsi="宋体" w:eastAsia="宋体" w:cs="宋体"/>
        </w:rPr>
      </w:pPr>
    </w:p>
    <w:p w14:paraId="505EECF9">
      <w:pPr>
        <w:tabs>
          <w:tab w:val="left" w:pos="5400"/>
        </w:tabs>
        <w:adjustRightInd w:val="0"/>
        <w:snapToGrid w:val="0"/>
        <w:spacing w:line="360" w:lineRule="auto"/>
        <w:ind w:firstLine="315" w:firstLineChars="150"/>
        <w:rPr>
          <w:rFonts w:hint="eastAsia" w:ascii="宋体" w:hAnsi="宋体" w:eastAsia="宋体" w:cs="宋体"/>
        </w:rPr>
      </w:pPr>
    </w:p>
    <w:p w14:paraId="170D2BCA">
      <w:pPr>
        <w:tabs>
          <w:tab w:val="left" w:pos="5400"/>
        </w:tabs>
        <w:adjustRightInd w:val="0"/>
        <w:snapToGrid w:val="0"/>
        <w:spacing w:line="360" w:lineRule="auto"/>
        <w:ind w:firstLine="315" w:firstLineChars="150"/>
        <w:rPr>
          <w:rFonts w:hint="eastAsia" w:ascii="宋体" w:hAnsi="宋体" w:eastAsia="宋体" w:cs="宋体"/>
        </w:rPr>
      </w:pPr>
    </w:p>
    <w:p w14:paraId="033E1E7E">
      <w:pPr>
        <w:tabs>
          <w:tab w:val="left" w:pos="5400"/>
        </w:tabs>
        <w:adjustRightInd w:val="0"/>
        <w:snapToGrid w:val="0"/>
        <w:spacing w:line="360" w:lineRule="auto"/>
        <w:ind w:firstLine="315" w:firstLineChars="150"/>
        <w:rPr>
          <w:rFonts w:hint="eastAsia" w:ascii="宋体" w:hAnsi="宋体" w:eastAsia="宋体" w:cs="宋体"/>
        </w:rPr>
      </w:pPr>
    </w:p>
    <w:p w14:paraId="797E94C8">
      <w:pPr>
        <w:tabs>
          <w:tab w:val="left" w:pos="5400"/>
        </w:tabs>
        <w:adjustRightInd w:val="0"/>
        <w:snapToGrid w:val="0"/>
        <w:spacing w:line="360" w:lineRule="auto"/>
        <w:ind w:firstLine="315" w:firstLineChars="150"/>
        <w:rPr>
          <w:rFonts w:hint="eastAsia" w:ascii="宋体" w:hAnsi="宋体" w:eastAsia="宋体" w:cs="宋体"/>
        </w:rPr>
      </w:pPr>
    </w:p>
    <w:p w14:paraId="66DABF88">
      <w:pPr>
        <w:tabs>
          <w:tab w:val="left" w:pos="5400"/>
        </w:tabs>
        <w:adjustRightInd w:val="0"/>
        <w:snapToGrid w:val="0"/>
        <w:spacing w:line="360" w:lineRule="auto"/>
        <w:ind w:firstLine="315" w:firstLineChars="150"/>
        <w:rPr>
          <w:rFonts w:hint="eastAsia" w:ascii="宋体" w:hAnsi="宋体" w:eastAsia="宋体" w:cs="宋体"/>
        </w:rPr>
      </w:pPr>
    </w:p>
    <w:p w14:paraId="60648378">
      <w:pPr>
        <w:tabs>
          <w:tab w:val="left" w:pos="5400"/>
        </w:tabs>
        <w:adjustRightInd w:val="0"/>
        <w:snapToGrid w:val="0"/>
        <w:spacing w:line="360" w:lineRule="auto"/>
        <w:ind w:firstLine="315" w:firstLineChars="150"/>
        <w:rPr>
          <w:rFonts w:hint="eastAsia" w:ascii="宋体" w:hAnsi="宋体" w:eastAsia="宋体" w:cs="宋体"/>
        </w:rPr>
      </w:pPr>
    </w:p>
    <w:p w14:paraId="1A9A3452">
      <w:pPr>
        <w:tabs>
          <w:tab w:val="left" w:pos="5400"/>
        </w:tabs>
        <w:adjustRightInd w:val="0"/>
        <w:snapToGrid w:val="0"/>
        <w:spacing w:line="360" w:lineRule="auto"/>
        <w:ind w:firstLine="315" w:firstLineChars="150"/>
        <w:rPr>
          <w:rFonts w:hint="eastAsia" w:ascii="宋体" w:hAnsi="宋体" w:eastAsia="宋体" w:cs="宋体"/>
        </w:rPr>
      </w:pPr>
    </w:p>
    <w:p w14:paraId="3FAECD21">
      <w:pPr>
        <w:tabs>
          <w:tab w:val="left" w:pos="5400"/>
        </w:tabs>
        <w:adjustRightInd w:val="0"/>
        <w:snapToGrid w:val="0"/>
        <w:spacing w:line="360" w:lineRule="auto"/>
        <w:ind w:firstLine="315" w:firstLineChars="150"/>
        <w:rPr>
          <w:rFonts w:hint="eastAsia" w:ascii="宋体" w:hAnsi="宋体" w:eastAsia="宋体" w:cs="宋体"/>
        </w:rPr>
      </w:pPr>
    </w:p>
    <w:p w14:paraId="540D05BF">
      <w:pPr>
        <w:numPr>
          <w:ilvl w:val="12"/>
          <w:numId w:val="0"/>
        </w:numPr>
        <w:spacing w:line="350" w:lineRule="atLeast"/>
        <w:rPr>
          <w:rFonts w:hint="eastAsia" w:ascii="宋体" w:hAnsi="宋体" w:eastAsia="宋体" w:cs="宋体"/>
          <w:color w:val="000000"/>
        </w:rPr>
      </w:pPr>
    </w:p>
    <w:p w14:paraId="7B0C8C86">
      <w:pPr>
        <w:numPr>
          <w:ilvl w:val="12"/>
          <w:numId w:val="0"/>
        </w:numPr>
        <w:spacing w:line="350" w:lineRule="atLeast"/>
        <w:rPr>
          <w:rFonts w:hint="eastAsia" w:ascii="宋体" w:hAnsi="宋体" w:eastAsia="宋体" w:cs="宋体"/>
          <w:color w:val="000000"/>
        </w:rPr>
      </w:pPr>
    </w:p>
    <w:p w14:paraId="66B36CF8">
      <w:pPr>
        <w:pStyle w:val="274"/>
        <w:bidi w:val="0"/>
        <w:jc w:val="center"/>
        <w:rPr>
          <w:rFonts w:hint="eastAsia" w:ascii="宋体" w:hAnsi="宋体" w:eastAsia="宋体" w:cs="宋体"/>
        </w:rPr>
      </w:pPr>
      <w:r>
        <w:rPr>
          <w:rFonts w:hint="eastAsia"/>
          <w:lang w:eastAsia="zh-CN"/>
        </w:rPr>
        <w:br w:type="textWrapping"/>
      </w:r>
      <w:r>
        <w:rPr>
          <w:rFonts w:hint="eastAsia"/>
          <w:lang w:eastAsia="zh-CN"/>
        </w:rPr>
        <w:t>（规范性）</w:t>
      </w:r>
      <w:r>
        <w:rPr>
          <w:rFonts w:hint="eastAsia"/>
          <w:lang w:eastAsia="zh-CN"/>
        </w:rPr>
        <w:br w:type="textWrapping"/>
      </w:r>
      <w:r>
        <w:rPr>
          <w:rFonts w:hint="eastAsia"/>
          <w:lang w:eastAsia="zh-CN"/>
        </w:rPr>
        <w:t>鹿茸菇菌种质量要求</w:t>
      </w:r>
    </w:p>
    <w:p w14:paraId="73F02349">
      <w:pPr>
        <w:pStyle w:val="276"/>
        <w:bidi w:val="0"/>
        <w:rPr>
          <w:rFonts w:hint="eastAsia"/>
        </w:rPr>
      </w:pPr>
      <w:r>
        <w:rPr>
          <w:rFonts w:hint="eastAsia"/>
        </w:rPr>
        <w:t>范围</w:t>
      </w:r>
    </w:p>
    <w:p w14:paraId="61A0E212">
      <w:pPr>
        <w:pStyle w:val="258"/>
        <w:bidi w:val="0"/>
        <w:rPr>
          <w:rFonts w:hint="eastAsia" w:ascii="宋体" w:hAnsi="宋体" w:eastAsia="宋体" w:cs="宋体"/>
        </w:rPr>
      </w:pPr>
      <w:r>
        <w:rPr>
          <w:rFonts w:hint="eastAsia" w:ascii="宋体" w:hAnsi="宋体" w:eastAsia="宋体" w:cs="宋体"/>
          <w:color w:val="000000"/>
          <w:szCs w:val="21"/>
          <w:shd w:val="clear" w:color="auto" w:fill="FFFFFF"/>
        </w:rPr>
        <w:t>栽培鹿茸菇使用的菌种是人工培育的纯菌丝体及其培养基的混合体。我公司采用三级扩大繁育程序（即母种、原种、栽培种）培育鹿茸菇菌种</w:t>
      </w:r>
      <w:r>
        <w:rPr>
          <w:rFonts w:hint="eastAsia" w:ascii="宋体" w:hAnsi="宋体" w:eastAsia="宋体" w:cs="宋体"/>
        </w:rPr>
        <w:t>。</w:t>
      </w:r>
    </w:p>
    <w:p w14:paraId="3485BDB1">
      <w:pPr>
        <w:pStyle w:val="276"/>
        <w:bidi w:val="0"/>
        <w:rPr>
          <w:rFonts w:hint="eastAsia"/>
        </w:rPr>
      </w:pPr>
      <w:r>
        <w:rPr>
          <w:rFonts w:hint="eastAsia"/>
        </w:rPr>
        <w:t>质量指标</w:t>
      </w:r>
    </w:p>
    <w:p w14:paraId="43BFAF02">
      <w:pPr>
        <w:pStyle w:val="277"/>
        <w:bidi w:val="0"/>
        <w:rPr>
          <w:rFonts w:hint="eastAsia"/>
        </w:rPr>
      </w:pPr>
      <w:r>
        <w:rPr>
          <w:rFonts w:hint="eastAsia"/>
        </w:rPr>
        <w:t>母种 </w:t>
      </w:r>
    </w:p>
    <w:p w14:paraId="4FCE3443">
      <w:pPr>
        <w:pStyle w:val="495"/>
        <w:bidi w:val="0"/>
        <w:rPr>
          <w:rFonts w:hint="eastAsia" w:ascii="宋体" w:hAnsi="宋体" w:eastAsia="宋体" w:cs="宋体"/>
        </w:rPr>
      </w:pPr>
      <w:r>
        <w:rPr>
          <w:rFonts w:hint="eastAsia" w:ascii="宋体" w:hAnsi="宋体" w:eastAsia="宋体" w:cs="宋体"/>
          <w:color w:val="000000"/>
          <w:szCs w:val="21"/>
          <w:shd w:val="clear" w:color="auto" w:fill="FFFFFF"/>
        </w:rPr>
        <w:t>容器规格：采用18mm</w:t>
      </w:r>
      <w:r>
        <w:rPr>
          <w:rFonts w:hint="eastAsia" w:ascii="宋体" w:hAnsi="宋体" w:eastAsia="宋体" w:cs="宋体"/>
          <w:sz w:val="18"/>
          <w:szCs w:val="18"/>
        </w:rPr>
        <w:t>×</w:t>
      </w:r>
      <w:r>
        <w:rPr>
          <w:rFonts w:hint="eastAsia" w:ascii="宋体" w:hAnsi="宋体" w:eastAsia="宋体" w:cs="宋体"/>
          <w:color w:val="000000"/>
          <w:szCs w:val="21"/>
          <w:shd w:val="clear" w:color="auto" w:fill="FFFFFF"/>
        </w:rPr>
        <w:t>180mm、20mm</w:t>
      </w:r>
      <w:r>
        <w:rPr>
          <w:rFonts w:hint="eastAsia" w:ascii="宋体" w:hAnsi="宋体" w:eastAsia="宋体" w:cs="宋体"/>
          <w:sz w:val="18"/>
          <w:szCs w:val="18"/>
        </w:rPr>
        <w:t>×</w:t>
      </w:r>
      <w:r>
        <w:rPr>
          <w:rFonts w:hint="eastAsia" w:ascii="宋体" w:hAnsi="宋体" w:eastAsia="宋体" w:cs="宋体"/>
          <w:color w:val="000000"/>
          <w:szCs w:val="21"/>
          <w:shd w:val="clear" w:color="auto" w:fill="FFFFFF"/>
        </w:rPr>
        <w:t>200mm的玻璃试管。 </w:t>
      </w:r>
    </w:p>
    <w:p w14:paraId="2815AE01">
      <w:pPr>
        <w:pStyle w:val="495"/>
        <w:bidi w:val="0"/>
        <w:rPr>
          <w:rFonts w:hint="eastAsia" w:ascii="宋体" w:hAnsi="宋体" w:eastAsia="宋体" w:cs="宋体"/>
        </w:rPr>
      </w:pPr>
      <w:r>
        <w:rPr>
          <w:rFonts w:hint="eastAsia" w:ascii="宋体" w:hAnsi="宋体" w:eastAsia="宋体" w:cs="宋体"/>
          <w:color w:val="000000"/>
          <w:szCs w:val="21"/>
          <w:shd w:val="clear" w:color="auto" w:fill="FFFFFF"/>
        </w:rPr>
        <w:t>培养基：马铃薯葡萄糖琼脂培养基（PDA培养基），按GB 4789.28中4.79规定配置。</w:t>
      </w:r>
      <w:r>
        <w:rPr>
          <w:rFonts w:hint="eastAsia" w:ascii="宋体" w:hAnsi="宋体" w:eastAsia="宋体" w:cs="宋体"/>
        </w:rPr>
        <w:t xml:space="preserve">    </w:t>
      </w:r>
    </w:p>
    <w:p w14:paraId="364C8659">
      <w:pPr>
        <w:pStyle w:val="495"/>
        <w:bidi w:val="0"/>
        <w:rPr>
          <w:rFonts w:hint="eastAsia" w:ascii="宋体" w:hAnsi="宋体" w:eastAsia="宋体" w:cs="宋体"/>
        </w:rPr>
      </w:pPr>
      <w:r>
        <w:rPr>
          <w:rFonts w:hint="eastAsia" w:ascii="宋体" w:hAnsi="宋体" w:eastAsia="宋体" w:cs="宋体"/>
        </w:rPr>
        <w:t>质量指标应符合表A.1的规定。</w:t>
      </w:r>
    </w:p>
    <w:p w14:paraId="75C1E5FB">
      <w:pPr>
        <w:pStyle w:val="275"/>
        <w:bidi w:val="0"/>
        <w:rPr>
          <w:rFonts w:hint="eastAsia"/>
        </w:rPr>
      </w:pPr>
      <w:r>
        <w:rPr>
          <w:rFonts w:hint="eastAsia"/>
        </w:rPr>
        <w:t>质量指标</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1"/>
        <w:gridCol w:w="6878"/>
      </w:tblGrid>
      <w:tr w14:paraId="06378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3501BCB3">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项 目</w:t>
            </w:r>
          </w:p>
        </w:tc>
        <w:tc>
          <w:tcPr>
            <w:tcW w:w="6878" w:type="dxa"/>
            <w:noWrap w:val="0"/>
            <w:vAlign w:val="center"/>
          </w:tcPr>
          <w:p w14:paraId="5290D8CC">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指 标</w:t>
            </w:r>
          </w:p>
        </w:tc>
      </w:tr>
      <w:tr w14:paraId="3B4D2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1E9C8FBE">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棉塞或无棉塑料盖</w:t>
            </w:r>
          </w:p>
        </w:tc>
        <w:tc>
          <w:tcPr>
            <w:tcW w:w="6878" w:type="dxa"/>
            <w:noWrap w:val="0"/>
            <w:vAlign w:val="center"/>
          </w:tcPr>
          <w:p w14:paraId="2AF8786D">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干燥、洁净、松紧适度，能满足透气和滤菌要求 </w:t>
            </w:r>
          </w:p>
        </w:tc>
      </w:tr>
      <w:tr w14:paraId="38BF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34F48476">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培养基灌入量</w:t>
            </w:r>
          </w:p>
        </w:tc>
        <w:tc>
          <w:tcPr>
            <w:tcW w:w="6878" w:type="dxa"/>
            <w:noWrap w:val="0"/>
            <w:vAlign w:val="center"/>
          </w:tcPr>
          <w:p w14:paraId="1D531ED3">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为试管总体积的十分之一至五分之一 </w:t>
            </w:r>
          </w:p>
        </w:tc>
      </w:tr>
      <w:tr w14:paraId="4EB5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0CED7496">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培养基斜面长度</w:t>
            </w:r>
          </w:p>
        </w:tc>
        <w:tc>
          <w:tcPr>
            <w:tcW w:w="6878" w:type="dxa"/>
            <w:noWrap w:val="0"/>
            <w:vAlign w:val="center"/>
          </w:tcPr>
          <w:p w14:paraId="3169CB96">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为试管总长度的二分之一至五分之一</w:t>
            </w:r>
          </w:p>
        </w:tc>
      </w:tr>
      <w:tr w14:paraId="7C89D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42AA662C">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斜面接种块大小</w:t>
            </w:r>
          </w:p>
        </w:tc>
        <w:tc>
          <w:tcPr>
            <w:tcW w:w="6878" w:type="dxa"/>
            <w:noWrap w:val="0"/>
            <w:vAlign w:val="center"/>
          </w:tcPr>
          <w:p w14:paraId="215557A5">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3～5mm×3～5mm</w:t>
            </w:r>
          </w:p>
        </w:tc>
      </w:tr>
      <w:tr w14:paraId="4E69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0E8ACF89">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菌丝体特征</w:t>
            </w:r>
          </w:p>
        </w:tc>
        <w:tc>
          <w:tcPr>
            <w:tcW w:w="6878" w:type="dxa"/>
            <w:noWrap w:val="0"/>
            <w:vAlign w:val="center"/>
          </w:tcPr>
          <w:p w14:paraId="305A9C06">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洁白或米白、浓密、羽毛状或叶脉状</w:t>
            </w:r>
          </w:p>
        </w:tc>
      </w:tr>
      <w:tr w14:paraId="7B1E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09D0159F">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菌丝体表面</w:t>
            </w:r>
          </w:p>
        </w:tc>
        <w:tc>
          <w:tcPr>
            <w:tcW w:w="6878" w:type="dxa"/>
            <w:noWrap w:val="0"/>
            <w:vAlign w:val="center"/>
          </w:tcPr>
          <w:p w14:paraId="1790F8D2">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均匀、平整、无角变 </w:t>
            </w:r>
          </w:p>
        </w:tc>
      </w:tr>
      <w:tr w14:paraId="23780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39E3C794">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菌丝分泌物</w:t>
            </w:r>
          </w:p>
        </w:tc>
        <w:tc>
          <w:tcPr>
            <w:tcW w:w="6878" w:type="dxa"/>
            <w:noWrap w:val="0"/>
            <w:vAlign w:val="center"/>
          </w:tcPr>
          <w:p w14:paraId="04332637">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无菌落边缘整齐，无膏状、蜡状细菌或酵母菌菌落及霉菌菌落</w:t>
            </w:r>
          </w:p>
        </w:tc>
      </w:tr>
      <w:tr w14:paraId="5B9D3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554B8201">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培养基斜面背面外观</w:t>
            </w:r>
          </w:p>
        </w:tc>
        <w:tc>
          <w:tcPr>
            <w:tcW w:w="6878" w:type="dxa"/>
            <w:noWrap w:val="0"/>
            <w:vAlign w:val="center"/>
          </w:tcPr>
          <w:p w14:paraId="3A3A415F">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培养基不干缩，颜色均匀、无暗斑、无色素</w:t>
            </w:r>
          </w:p>
        </w:tc>
      </w:tr>
      <w:tr w14:paraId="65283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0AB3871A">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培养物气味</w:t>
            </w:r>
          </w:p>
        </w:tc>
        <w:tc>
          <w:tcPr>
            <w:tcW w:w="6878" w:type="dxa"/>
            <w:noWrap w:val="0"/>
            <w:vAlign w:val="center"/>
          </w:tcPr>
          <w:p w14:paraId="215BFA7A">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有鹿茸菇菌种特有的香味，无酸、臭、霉等异味</w:t>
            </w:r>
          </w:p>
        </w:tc>
      </w:tr>
      <w:tr w14:paraId="7476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78F58A1F">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培养物镜检</w:t>
            </w:r>
          </w:p>
        </w:tc>
        <w:tc>
          <w:tcPr>
            <w:tcW w:w="6878" w:type="dxa"/>
            <w:noWrap w:val="0"/>
            <w:vAlign w:val="center"/>
          </w:tcPr>
          <w:p w14:paraId="28B65DBD">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菌丝粗壮，无杂菌菌丝及孢子，无虫及虫卵</w:t>
            </w:r>
          </w:p>
        </w:tc>
      </w:tr>
      <w:tr w14:paraId="7136D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1DEE2AA3">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菌丝生长速度</w:t>
            </w:r>
          </w:p>
        </w:tc>
        <w:tc>
          <w:tcPr>
            <w:tcW w:w="6878" w:type="dxa"/>
            <w:noWrap w:val="0"/>
            <w:vAlign w:val="center"/>
          </w:tcPr>
          <w:p w14:paraId="2E4F656A">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在适温（24℃±1℃）下，15－20天长满试管</w:t>
            </w:r>
          </w:p>
        </w:tc>
      </w:tr>
      <w:tr w14:paraId="25B85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2641" w:type="dxa"/>
            <w:noWrap w:val="0"/>
            <w:vAlign w:val="center"/>
          </w:tcPr>
          <w:p w14:paraId="16B78554">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母种遗传和栽培性状</w:t>
            </w:r>
          </w:p>
        </w:tc>
        <w:tc>
          <w:tcPr>
            <w:tcW w:w="6878" w:type="dxa"/>
            <w:noWrap w:val="0"/>
            <w:vAlign w:val="center"/>
          </w:tcPr>
          <w:p w14:paraId="45146BAF">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供种单位，母种需经酯酶(Est)同工酶类型鉴定，确认其遗传类型与对照相同后，需再经出菇试验确定产量及品质等栽培农艺性状合格后，方可用于扩大繁殖或出售</w:t>
            </w:r>
          </w:p>
        </w:tc>
      </w:tr>
      <w:tr w14:paraId="27B7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2641" w:type="dxa"/>
            <w:noWrap w:val="0"/>
            <w:vAlign w:val="center"/>
          </w:tcPr>
          <w:p w14:paraId="7D29F86D">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菌丝萌发、定植能力</w:t>
            </w:r>
          </w:p>
        </w:tc>
        <w:tc>
          <w:tcPr>
            <w:tcW w:w="6878" w:type="dxa"/>
            <w:noWrap w:val="0"/>
            <w:vAlign w:val="center"/>
          </w:tcPr>
          <w:p w14:paraId="12948AEB">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接种到适合的培养基后，在正常条件下24小时内萌发恢复，定植迅速、菌丝健壮，20天以内长满培养基</w:t>
            </w:r>
          </w:p>
        </w:tc>
      </w:tr>
      <w:tr w14:paraId="4748E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47A8667C">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结菇能力</w:t>
            </w:r>
          </w:p>
        </w:tc>
        <w:tc>
          <w:tcPr>
            <w:tcW w:w="6878" w:type="dxa"/>
            <w:noWrap w:val="0"/>
            <w:vAlign w:val="center"/>
          </w:tcPr>
          <w:p w14:paraId="7F682296">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搔菌后10～12天结菇，分布均匀；28～32天采菇</w:t>
            </w:r>
          </w:p>
        </w:tc>
      </w:tr>
      <w:tr w14:paraId="12B5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641" w:type="dxa"/>
            <w:noWrap w:val="0"/>
            <w:vAlign w:val="center"/>
          </w:tcPr>
          <w:p w14:paraId="4EAA8E16">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抗逆性</w:t>
            </w:r>
          </w:p>
        </w:tc>
        <w:tc>
          <w:tcPr>
            <w:tcW w:w="6878" w:type="dxa"/>
            <w:noWrap w:val="0"/>
            <w:vAlign w:val="center"/>
          </w:tcPr>
          <w:p w14:paraId="58DFBD5F">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对温度、湿度、酸碱度等生长条件变化耐受能力较强；对主要病虫害的抵抗能力较强</w:t>
            </w:r>
          </w:p>
        </w:tc>
      </w:tr>
      <w:tr w14:paraId="4377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2641" w:type="dxa"/>
            <w:noWrap w:val="0"/>
            <w:vAlign w:val="center"/>
          </w:tcPr>
          <w:p w14:paraId="6440AF5E">
            <w:pPr>
              <w:spacing w:line="300" w:lineRule="exact"/>
              <w:jc w:val="center"/>
              <w:rPr>
                <w:rFonts w:hint="eastAsia" w:ascii="黑体" w:hAnsi="黑体" w:eastAsia="黑体" w:cs="黑体"/>
                <w:sz w:val="18"/>
                <w:szCs w:val="18"/>
              </w:rPr>
            </w:pPr>
            <w:r>
              <w:rPr>
                <w:rFonts w:hint="eastAsia" w:ascii="黑体" w:hAnsi="黑体" w:eastAsia="黑体" w:cs="黑体"/>
                <w:sz w:val="18"/>
                <w:szCs w:val="18"/>
              </w:rPr>
              <w:t>生物学效率</w:t>
            </w:r>
          </w:p>
        </w:tc>
        <w:tc>
          <w:tcPr>
            <w:tcW w:w="6878" w:type="dxa"/>
            <w:noWrap w:val="0"/>
            <w:vAlign w:val="center"/>
          </w:tcPr>
          <w:p w14:paraId="0DDEF1B2">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在正常条件下生物学效率不低于80%</w:t>
            </w:r>
          </w:p>
        </w:tc>
      </w:tr>
    </w:tbl>
    <w:p w14:paraId="15682E1C">
      <w:pPr>
        <w:pStyle w:val="277"/>
        <w:bidi w:val="0"/>
        <w:rPr>
          <w:rFonts w:hint="eastAsia"/>
        </w:rPr>
      </w:pPr>
      <w:r>
        <w:rPr>
          <w:rFonts w:hint="eastAsia"/>
        </w:rPr>
        <w:t>原种</w:t>
      </w:r>
    </w:p>
    <w:p w14:paraId="2224D464">
      <w:pPr>
        <w:pStyle w:val="495"/>
        <w:bidi w:val="0"/>
        <w:rPr>
          <w:rFonts w:hint="eastAsia" w:ascii="宋体" w:hAnsi="宋体" w:eastAsia="宋体" w:cs="宋体"/>
          <w:color w:val="0D0D0D"/>
          <w:szCs w:val="21"/>
          <w:shd w:val="clear" w:color="auto" w:fill="FFFFFF"/>
        </w:rPr>
      </w:pPr>
      <w:r>
        <w:rPr>
          <w:rFonts w:hint="eastAsia"/>
        </w:rPr>
        <w:t>容器规格：1000ml三角瓶</w:t>
      </w:r>
      <w:r>
        <w:rPr>
          <w:rFonts w:hint="eastAsia"/>
          <w:lang w:eastAsia="zh-CN"/>
        </w:rPr>
        <w:t>。</w:t>
      </w:r>
    </w:p>
    <w:p w14:paraId="53E0BD59">
      <w:pPr>
        <w:pStyle w:val="495"/>
        <w:bidi w:val="0"/>
        <w:rPr>
          <w:rFonts w:hint="eastAsia" w:ascii="宋体" w:hAnsi="宋体" w:eastAsia="宋体" w:cs="宋体"/>
          <w:color w:val="0D0D0D"/>
        </w:rPr>
      </w:pPr>
      <w:r>
        <w:rPr>
          <w:rFonts w:hint="eastAsia" w:ascii="宋体" w:hAnsi="宋体" w:eastAsia="宋体" w:cs="宋体"/>
          <w:color w:val="0D0D0D"/>
          <w:szCs w:val="21"/>
          <w:shd w:val="clear" w:color="auto" w:fill="FFFFFF"/>
        </w:rPr>
        <w:t>培养基：土豆200g 葡萄糖20g 纯净水1000ml pH 自然。</w:t>
      </w:r>
    </w:p>
    <w:p w14:paraId="0E6D203A">
      <w:pPr>
        <w:pStyle w:val="495"/>
        <w:bidi w:val="0"/>
        <w:rPr>
          <w:rFonts w:hint="eastAsia" w:ascii="宋体" w:hAnsi="宋体" w:eastAsia="宋体" w:cs="宋体"/>
          <w:color w:val="0D0D0D"/>
        </w:rPr>
      </w:pPr>
      <w:r>
        <w:rPr>
          <w:rFonts w:hint="eastAsia" w:ascii="宋体" w:hAnsi="宋体" w:eastAsia="宋体" w:cs="宋体"/>
          <w:color w:val="0D0D0D"/>
        </w:rPr>
        <w:t>质量指标应符合表</w:t>
      </w:r>
      <w:r>
        <w:rPr>
          <w:rFonts w:hint="eastAsia" w:ascii="宋体" w:hAnsi="宋体" w:eastAsia="宋体" w:cs="宋体"/>
          <w:color w:val="0D0D0D"/>
          <w:lang w:val="en-US" w:eastAsia="zh-CN"/>
        </w:rPr>
        <w:t>A.2</w:t>
      </w:r>
      <w:r>
        <w:rPr>
          <w:rFonts w:hint="eastAsia" w:ascii="宋体" w:hAnsi="宋体" w:eastAsia="宋体" w:cs="宋体"/>
          <w:color w:val="0D0D0D"/>
        </w:rPr>
        <w:t>的规定。</w:t>
      </w:r>
    </w:p>
    <w:p w14:paraId="4A6C5E6B">
      <w:pPr>
        <w:pStyle w:val="275"/>
        <w:bidi w:val="0"/>
        <w:rPr>
          <w:rFonts w:hint="eastAsia"/>
        </w:rPr>
      </w:pPr>
      <w:r>
        <w:rPr>
          <w:rFonts w:hint="eastAsia"/>
        </w:rPr>
        <w:t xml:space="preserve"> 质量指标</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3"/>
        <w:gridCol w:w="6626"/>
      </w:tblGrid>
      <w:tr w14:paraId="31E4F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470FC317">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项 目</w:t>
            </w:r>
          </w:p>
        </w:tc>
        <w:tc>
          <w:tcPr>
            <w:tcW w:w="6626" w:type="dxa"/>
            <w:noWrap w:val="0"/>
            <w:vAlign w:val="center"/>
          </w:tcPr>
          <w:p w14:paraId="647809EE">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指 标</w:t>
            </w:r>
          </w:p>
        </w:tc>
      </w:tr>
      <w:tr w14:paraId="5B29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4495849D">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棉塞</w:t>
            </w:r>
          </w:p>
        </w:tc>
        <w:tc>
          <w:tcPr>
            <w:tcW w:w="6626" w:type="dxa"/>
            <w:noWrap w:val="0"/>
            <w:vAlign w:val="center"/>
          </w:tcPr>
          <w:p w14:paraId="14FC6C29">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干燥、洁净、松紧适度，能满足透气和滤菌要求</w:t>
            </w:r>
          </w:p>
        </w:tc>
      </w:tr>
      <w:tr w14:paraId="6FC9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3FBA474B">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培养基装液量</w:t>
            </w:r>
          </w:p>
        </w:tc>
        <w:tc>
          <w:tcPr>
            <w:tcW w:w="6626" w:type="dxa"/>
            <w:noWrap w:val="0"/>
            <w:vAlign w:val="center"/>
          </w:tcPr>
          <w:p w14:paraId="303C7D37">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500ml</w:t>
            </w:r>
          </w:p>
        </w:tc>
      </w:tr>
      <w:tr w14:paraId="31A5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70F5601D">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接种量</w:t>
            </w:r>
          </w:p>
        </w:tc>
        <w:tc>
          <w:tcPr>
            <w:tcW w:w="6626" w:type="dxa"/>
            <w:noWrap w:val="0"/>
            <w:vAlign w:val="center"/>
          </w:tcPr>
          <w:p w14:paraId="585674F7">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每支母种接原种 4－6瓶</w:t>
            </w:r>
          </w:p>
        </w:tc>
      </w:tr>
      <w:tr w14:paraId="35C8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29B12F95">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菌丝球形态</w:t>
            </w:r>
          </w:p>
        </w:tc>
        <w:tc>
          <w:tcPr>
            <w:tcW w:w="6626" w:type="dxa"/>
            <w:noWrap w:val="0"/>
            <w:vAlign w:val="center"/>
          </w:tcPr>
          <w:p w14:paraId="43698770">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圆绒球状，菌丝呈发散状</w:t>
            </w:r>
          </w:p>
        </w:tc>
      </w:tr>
      <w:tr w14:paraId="6D4E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1A8A5423">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菌含量-干重(g/100ml）</w:t>
            </w:r>
          </w:p>
        </w:tc>
        <w:tc>
          <w:tcPr>
            <w:tcW w:w="6626" w:type="dxa"/>
            <w:noWrap w:val="0"/>
            <w:vAlign w:val="center"/>
          </w:tcPr>
          <w:p w14:paraId="1427A67A">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2.0±0.2</w:t>
            </w:r>
          </w:p>
        </w:tc>
      </w:tr>
      <w:tr w14:paraId="738C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76D01BFA">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菌种外观</w:t>
            </w:r>
          </w:p>
        </w:tc>
        <w:tc>
          <w:tcPr>
            <w:tcW w:w="6626" w:type="dxa"/>
            <w:noWrap w:val="0"/>
            <w:vAlign w:val="center"/>
          </w:tcPr>
          <w:p w14:paraId="07FF4B6F">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液体澄清透明，表面积少量气泡</w:t>
            </w:r>
          </w:p>
        </w:tc>
      </w:tr>
      <w:tr w14:paraId="65C03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71A01739">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培养物表面分泌物</w:t>
            </w:r>
          </w:p>
        </w:tc>
        <w:tc>
          <w:tcPr>
            <w:tcW w:w="6626" w:type="dxa"/>
            <w:noWrap w:val="0"/>
            <w:vAlign w:val="center"/>
          </w:tcPr>
          <w:p w14:paraId="35E4E824">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无</w:t>
            </w:r>
          </w:p>
        </w:tc>
      </w:tr>
      <w:tr w14:paraId="6986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7BDEFAD7">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各种杂菌孢子、菌丝</w:t>
            </w:r>
          </w:p>
        </w:tc>
        <w:tc>
          <w:tcPr>
            <w:tcW w:w="6626" w:type="dxa"/>
            <w:noWrap w:val="0"/>
            <w:vAlign w:val="center"/>
          </w:tcPr>
          <w:p w14:paraId="303DDFDF">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无</w:t>
            </w:r>
          </w:p>
        </w:tc>
      </w:tr>
      <w:tr w14:paraId="0CBFF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680C624C">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培养物气味</w:t>
            </w:r>
          </w:p>
        </w:tc>
        <w:tc>
          <w:tcPr>
            <w:tcW w:w="6626" w:type="dxa"/>
            <w:noWrap w:val="0"/>
            <w:vAlign w:val="center"/>
          </w:tcPr>
          <w:p w14:paraId="3E6A1341">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有蘑菇菌种特有的香味，无酸、臭、霉等异味</w:t>
            </w:r>
          </w:p>
        </w:tc>
      </w:tr>
      <w:tr w14:paraId="33C36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793" w:type="dxa"/>
            <w:noWrap w:val="0"/>
            <w:vAlign w:val="center"/>
          </w:tcPr>
          <w:p w14:paraId="6F456840">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培养物镜检</w:t>
            </w:r>
          </w:p>
        </w:tc>
        <w:tc>
          <w:tcPr>
            <w:tcW w:w="6626" w:type="dxa"/>
            <w:noWrap w:val="0"/>
            <w:vAlign w:val="center"/>
          </w:tcPr>
          <w:p w14:paraId="77EDB46A">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菌丝粗壮、无杂菌菌丝和孢子、无虫及虫卵</w:t>
            </w:r>
          </w:p>
        </w:tc>
      </w:tr>
      <w:tr w14:paraId="70FA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793" w:type="dxa"/>
            <w:noWrap w:val="0"/>
            <w:vAlign w:val="center"/>
          </w:tcPr>
          <w:p w14:paraId="7B56E09E">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培养环境</w:t>
            </w:r>
          </w:p>
        </w:tc>
        <w:tc>
          <w:tcPr>
            <w:tcW w:w="6626" w:type="dxa"/>
            <w:noWrap w:val="0"/>
            <w:vAlign w:val="center"/>
          </w:tcPr>
          <w:p w14:paraId="56948AC1">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恒温摇床140转，在适温（24℃±1℃）12天</w:t>
            </w:r>
          </w:p>
        </w:tc>
      </w:tr>
    </w:tbl>
    <w:p w14:paraId="0B6D67AF">
      <w:pPr>
        <w:pStyle w:val="277"/>
        <w:bidi w:val="0"/>
        <w:rPr>
          <w:rFonts w:hint="eastAsia"/>
        </w:rPr>
      </w:pPr>
      <w:r>
        <w:rPr>
          <w:rFonts w:hint="eastAsia"/>
        </w:rPr>
        <w:t>栽培种 </w:t>
      </w:r>
    </w:p>
    <w:p w14:paraId="4620C4F0">
      <w:pPr>
        <w:pStyle w:val="495"/>
        <w:bidi w:val="0"/>
        <w:rPr>
          <w:rFonts w:hint="eastAsia" w:ascii="宋体" w:hAnsi="宋体" w:eastAsia="宋体" w:cs="宋体"/>
          <w:color w:val="0D0D0D"/>
          <w:szCs w:val="21"/>
          <w:shd w:val="clear" w:color="auto" w:fill="FFFFFF"/>
        </w:rPr>
      </w:pPr>
      <w:r>
        <w:rPr>
          <w:rFonts w:hint="eastAsia"/>
        </w:rPr>
        <w:t>容器规格： 700L发酵罐</w:t>
      </w:r>
      <w:r>
        <w:rPr>
          <w:rFonts w:hint="eastAsia"/>
          <w:lang w:val="en-US" w:eastAsia="zh-CN"/>
        </w:rPr>
        <w:t>。</w:t>
      </w:r>
    </w:p>
    <w:p w14:paraId="28F52C86">
      <w:pPr>
        <w:pStyle w:val="495"/>
        <w:bidi w:val="0"/>
        <w:rPr>
          <w:rFonts w:hint="eastAsia" w:ascii="宋体" w:hAnsi="宋体" w:eastAsia="宋体" w:cs="宋体"/>
          <w:color w:val="0D0D0D"/>
        </w:rPr>
      </w:pPr>
      <w:r>
        <w:rPr>
          <w:rFonts w:hint="eastAsia" w:ascii="宋体" w:hAnsi="宋体" w:eastAsia="宋体" w:cs="宋体"/>
          <w:color w:val="0D0D0D"/>
          <w:szCs w:val="21"/>
          <w:shd w:val="clear" w:color="auto" w:fill="FFFFFF"/>
        </w:rPr>
        <w:t>培养基：白砂糖3%，酵母膏0.5%，硫酸镁0.1%，磷酸二氢钾0.1%，pH6.5。</w:t>
      </w:r>
    </w:p>
    <w:p w14:paraId="078DE91B">
      <w:pPr>
        <w:pStyle w:val="495"/>
        <w:bidi w:val="0"/>
        <w:rPr>
          <w:rFonts w:hint="eastAsia" w:ascii="宋体" w:hAnsi="宋体" w:eastAsia="宋体" w:cs="宋体"/>
          <w:color w:val="0D0D0D"/>
        </w:rPr>
      </w:pPr>
      <w:r>
        <w:rPr>
          <w:rFonts w:hint="eastAsia" w:ascii="宋体" w:hAnsi="宋体" w:eastAsia="宋体" w:cs="宋体"/>
          <w:color w:val="0D0D0D"/>
        </w:rPr>
        <w:t>质量指标应符合表A.3的规定。</w:t>
      </w:r>
    </w:p>
    <w:p w14:paraId="1CC85060">
      <w:pPr>
        <w:pStyle w:val="275"/>
        <w:bidi w:val="0"/>
        <w:rPr>
          <w:rFonts w:hint="eastAsia"/>
        </w:rPr>
      </w:pPr>
      <w:r>
        <w:rPr>
          <w:rFonts w:hint="eastAsia"/>
        </w:rPr>
        <w:t>质量指标</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6660"/>
      </w:tblGrid>
      <w:tr w14:paraId="3275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2A25C0E6">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项 目</w:t>
            </w:r>
          </w:p>
        </w:tc>
        <w:tc>
          <w:tcPr>
            <w:tcW w:w="6660" w:type="dxa"/>
            <w:noWrap w:val="0"/>
            <w:vAlign w:val="center"/>
          </w:tcPr>
          <w:p w14:paraId="21441989">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指 标</w:t>
            </w:r>
          </w:p>
        </w:tc>
      </w:tr>
      <w:tr w14:paraId="0BB4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10A4CA5E">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发酵罐</w:t>
            </w:r>
          </w:p>
        </w:tc>
        <w:tc>
          <w:tcPr>
            <w:tcW w:w="6660" w:type="dxa"/>
            <w:noWrap w:val="0"/>
            <w:vAlign w:val="center"/>
          </w:tcPr>
          <w:p w14:paraId="6A377C31">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700L移动气升式液体发酵罐</w:t>
            </w:r>
          </w:p>
        </w:tc>
      </w:tr>
      <w:tr w14:paraId="55BF7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6D65C2F9">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装液量</w:t>
            </w:r>
          </w:p>
        </w:tc>
        <w:tc>
          <w:tcPr>
            <w:tcW w:w="6660" w:type="dxa"/>
            <w:noWrap w:val="0"/>
            <w:vAlign w:val="center"/>
          </w:tcPr>
          <w:p w14:paraId="4E4544D0">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600L</w:t>
            </w:r>
          </w:p>
        </w:tc>
      </w:tr>
      <w:tr w14:paraId="4BBF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2906077B">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接种量</w:t>
            </w:r>
          </w:p>
        </w:tc>
        <w:tc>
          <w:tcPr>
            <w:tcW w:w="6660" w:type="dxa"/>
            <w:noWrap w:val="0"/>
            <w:vAlign w:val="center"/>
          </w:tcPr>
          <w:p w14:paraId="1FFB269B">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每瓶2瓶原种接1个发酵罐</w:t>
            </w:r>
          </w:p>
        </w:tc>
      </w:tr>
      <w:tr w14:paraId="7527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3B4A9642">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菌丝球形态</w:t>
            </w:r>
          </w:p>
        </w:tc>
        <w:tc>
          <w:tcPr>
            <w:tcW w:w="6660" w:type="dxa"/>
            <w:noWrap w:val="0"/>
            <w:vAlign w:val="center"/>
          </w:tcPr>
          <w:p w14:paraId="4CDD6679">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圆绒球状，菌丝呈发散状</w:t>
            </w:r>
          </w:p>
        </w:tc>
      </w:tr>
      <w:tr w14:paraId="5538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1B06BE9A">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菌含量（干重g/100ml）</w:t>
            </w:r>
          </w:p>
        </w:tc>
        <w:tc>
          <w:tcPr>
            <w:tcW w:w="6660" w:type="dxa"/>
            <w:noWrap w:val="0"/>
            <w:vAlign w:val="center"/>
          </w:tcPr>
          <w:p w14:paraId="6BD5BA57">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2.0±0.2</w:t>
            </w:r>
          </w:p>
        </w:tc>
      </w:tr>
      <w:tr w14:paraId="5BAD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3A6DB0C4">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菌种外观</w:t>
            </w:r>
          </w:p>
        </w:tc>
        <w:tc>
          <w:tcPr>
            <w:tcW w:w="6660" w:type="dxa"/>
            <w:noWrap w:val="0"/>
            <w:vAlign w:val="center"/>
          </w:tcPr>
          <w:p w14:paraId="20B440F2">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液体澄清透明，表面积少量气泡</w:t>
            </w:r>
          </w:p>
        </w:tc>
      </w:tr>
      <w:tr w14:paraId="6B15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4FD24092">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培养物表面分泌物</w:t>
            </w:r>
          </w:p>
        </w:tc>
        <w:tc>
          <w:tcPr>
            <w:tcW w:w="6660" w:type="dxa"/>
            <w:noWrap w:val="0"/>
            <w:vAlign w:val="center"/>
          </w:tcPr>
          <w:p w14:paraId="2A589DC5">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无</w:t>
            </w:r>
          </w:p>
        </w:tc>
      </w:tr>
      <w:tr w14:paraId="7790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3F860CDC">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各种杂菌孢子、菌丝</w:t>
            </w:r>
          </w:p>
        </w:tc>
        <w:tc>
          <w:tcPr>
            <w:tcW w:w="6660" w:type="dxa"/>
            <w:noWrap w:val="0"/>
            <w:vAlign w:val="center"/>
          </w:tcPr>
          <w:p w14:paraId="5BF02CD7">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无</w:t>
            </w:r>
          </w:p>
        </w:tc>
      </w:tr>
      <w:tr w14:paraId="1F6C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482DBBF7">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培养物气味</w:t>
            </w:r>
          </w:p>
        </w:tc>
        <w:tc>
          <w:tcPr>
            <w:tcW w:w="6660" w:type="dxa"/>
            <w:noWrap w:val="0"/>
            <w:vAlign w:val="center"/>
          </w:tcPr>
          <w:p w14:paraId="050A6BC2">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有蘑菇菌种特有的香味，无酸、臭、霉等异味</w:t>
            </w:r>
          </w:p>
        </w:tc>
      </w:tr>
      <w:tr w14:paraId="7F8BE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6C6A99E2">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培养物镜检</w:t>
            </w:r>
          </w:p>
        </w:tc>
        <w:tc>
          <w:tcPr>
            <w:tcW w:w="6660" w:type="dxa"/>
            <w:noWrap w:val="0"/>
            <w:vAlign w:val="center"/>
          </w:tcPr>
          <w:p w14:paraId="00777BD7">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菌丝粗壮、无杂菌菌丝和孢子、无虫及虫卵</w:t>
            </w:r>
          </w:p>
        </w:tc>
      </w:tr>
      <w:tr w14:paraId="76AD0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08" w:type="dxa"/>
            <w:noWrap w:val="0"/>
            <w:vAlign w:val="center"/>
          </w:tcPr>
          <w:p w14:paraId="13B1F191">
            <w:pPr>
              <w:spacing w:line="300" w:lineRule="exact"/>
              <w:jc w:val="center"/>
              <w:rPr>
                <w:rFonts w:hint="eastAsia" w:ascii="黑体" w:hAnsi="黑体" w:eastAsia="黑体" w:cs="黑体"/>
                <w:color w:val="0D0D0D"/>
                <w:sz w:val="18"/>
                <w:szCs w:val="18"/>
              </w:rPr>
            </w:pPr>
            <w:r>
              <w:rPr>
                <w:rFonts w:hint="eastAsia" w:ascii="黑体" w:hAnsi="黑体" w:eastAsia="黑体" w:cs="黑体"/>
                <w:color w:val="0D0D0D"/>
                <w:sz w:val="18"/>
                <w:szCs w:val="18"/>
              </w:rPr>
              <w:t>培养环境</w:t>
            </w:r>
          </w:p>
        </w:tc>
        <w:tc>
          <w:tcPr>
            <w:tcW w:w="6660" w:type="dxa"/>
            <w:noWrap w:val="0"/>
            <w:vAlign w:val="center"/>
          </w:tcPr>
          <w:p w14:paraId="3BBAB770">
            <w:pPr>
              <w:spacing w:line="300" w:lineRule="exact"/>
              <w:jc w:val="center"/>
              <w:rPr>
                <w:rFonts w:hint="eastAsia" w:ascii="宋体" w:hAnsi="宋体" w:eastAsia="宋体" w:cs="宋体"/>
                <w:color w:val="0D0D0D"/>
                <w:sz w:val="18"/>
                <w:szCs w:val="18"/>
              </w:rPr>
            </w:pPr>
            <w:r>
              <w:rPr>
                <w:rFonts w:hint="eastAsia" w:ascii="宋体" w:hAnsi="宋体" w:eastAsia="宋体" w:cs="宋体"/>
                <w:color w:val="0D0D0D"/>
                <w:sz w:val="18"/>
                <w:szCs w:val="18"/>
              </w:rPr>
              <w:t>在适温（24℃±1℃）12天</w:t>
            </w:r>
          </w:p>
        </w:tc>
      </w:tr>
    </w:tbl>
    <w:p w14:paraId="3F3D0831">
      <w:pPr>
        <w:pStyle w:val="350"/>
        <w:bidi w:val="0"/>
        <w:rPr>
          <w:rFonts w:hint="eastAsia"/>
          <w:lang w:eastAsia="zh-CN"/>
        </w:rPr>
      </w:pPr>
      <w:bookmarkStart w:id="3" w:name="标准附录"/>
      <w:bookmarkEnd w:id="3"/>
    </w:p>
    <w:p w14:paraId="52C2F7FE">
      <w:pPr>
        <w:rPr>
          <w:rFonts w:hint="eastAsia"/>
          <w:lang w:eastAsia="zh-CN"/>
        </w:rPr>
      </w:pPr>
    </w:p>
    <w:sectPr>
      <w:headerReference r:id="rId10" w:type="default"/>
      <w:footerReference r:id="rId11" w:type="default"/>
      <w:pgSz w:w="11907" w:h="16839"/>
      <w:pgMar w:top="1417" w:right="1134" w:bottom="1134" w:left="1417" w:header="1418" w:footer="1134" w:gutter="0"/>
      <w:lnNumType w:countBy="0" w:restart="continuou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26193C1-4C3F-4EE5-801E-70C117E495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20000001" w:csb1="00000000"/>
  </w:font>
  <w:font w:name="华文细黑">
    <w:altName w:val="微软雅黑"/>
    <w:panose1 w:val="02010600040101010101"/>
    <w:charset w:val="86"/>
    <w:family w:val="auto"/>
    <w:pitch w:val="default"/>
    <w:sig w:usb0="00000000" w:usb1="0000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icrosoft Sans Serif">
    <w:panose1 w:val="020B0604020202020204"/>
    <w:charset w:val="00"/>
    <w:family w:val="auto"/>
    <w:pitch w:val="default"/>
    <w:sig w:usb0="E5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2" w:fontKey="{871E5109-85FF-4173-90E6-2A025365642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A70EF">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20484A00">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9B87">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7EB70BD7">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E6563">
    <w:pPr>
      <w:pStyle w:val="252"/>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14:paraId="26EBEC7B">
    <w:pPr>
      <w:pStyle w:val="252"/>
      <w:ind w:right="360" w:firstLine="36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194A2">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6D882970">
    <w:pPr>
      <w:pStyle w:val="252"/>
      <w:ind w:right="360" w:firstLine="360" w:firstLineChars="0"/>
      <w:rPr>
        <w:rStyle w:val="23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198AF">
    <w:pPr>
      <w:pStyle w:val="253"/>
      <w:bidi w:val="0"/>
      <w:rPr>
        <w:rFonts w:hint="eastAsia"/>
        <w:lang w:eastAsia="zh-CN"/>
      </w:rPr>
    </w:pPr>
    <w:r>
      <w:rPr>
        <w:rFonts w:hint="eastAsia"/>
        <w:lang w:eastAsia="zh-CN"/>
      </w:rPr>
      <w:t>DB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AFBA1">
    <w:pPr>
      <w:pStyle w:val="253"/>
      <w:jc w:val="left"/>
      <w:rPr>
        <w:rFonts w:hint="eastAsia"/>
        <w:lang w:eastAsia="zh-CN"/>
      </w:rPr>
    </w:pPr>
    <w:r>
      <w:rPr>
        <w:rFonts w:hint="eastAsia" w:ascii="黑体" w:hAnsi="黑体" w:eastAsia="黑体" w:cs="黑体"/>
        <w:sz w:val="21"/>
        <w:szCs w:val="21"/>
        <w:lang w:val="en-US" w:eastAsia="zh-CN"/>
      </w:rPr>
      <w:t>T/JSAS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A1588">
    <w:pPr>
      <w:pStyle w:val="253"/>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T/JSAS XXXX-2024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71B8F">
    <w:pPr>
      <w:pStyle w:val="6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3EE06">
    <w:pPr>
      <w:pStyle w:val="253"/>
      <w:rPr>
        <w:rFonts w:hint="default"/>
        <w:lang w:val="en-US" w:eastAsia="zh-CN"/>
      </w:rPr>
    </w:pPr>
    <w:r>
      <w:rPr>
        <w:rFonts w:hint="eastAsia" w:ascii="黑体" w:hAnsi="黑体" w:eastAsia="黑体" w:cs="黑体"/>
        <w:sz w:val="21"/>
        <w:szCs w:val="21"/>
        <w:lang w:val="en-US" w:eastAsia="zh-CN"/>
      </w:rPr>
      <w:t>T/JSAS XXXX-2024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0">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14:cntxtalts w14:val="0"/>
      </w:rPr>
    </w:lvl>
    <w:lvl w:ilvl="2" w:tentative="0">
      <w:start w:val="1"/>
      <w:numFmt w:val="none"/>
      <w:pStyle w:val="317"/>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2">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0D46713A"/>
    <w:multiLevelType w:val="multilevel"/>
    <w:tmpl w:val="0D46713A"/>
    <w:lvl w:ilvl="0" w:tentative="0">
      <w:start w:val="1"/>
      <w:numFmt w:val="bullet"/>
      <w:pStyle w:val="326"/>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4">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2A8F7113"/>
    <w:multiLevelType w:val="multilevel"/>
    <w:tmpl w:val="2A8F7113"/>
    <w:lvl w:ilvl="0" w:tentative="0">
      <w:start w:val="1"/>
      <w:numFmt w:val="upperLetter"/>
      <w:pStyle w:val="350"/>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6">
    <w:nsid w:val="41A64E98"/>
    <w:multiLevelType w:val="multilevel"/>
    <w:tmpl w:val="41A64E98"/>
    <w:lvl w:ilvl="0" w:tentative="0">
      <w:start w:val="1"/>
      <w:numFmt w:val="decimal"/>
      <w:pStyle w:val="306"/>
      <w:lvlText w:val="0.%1"/>
      <w:lvlJc w:val="left"/>
      <w:pPr>
        <w:tabs>
          <w:tab w:val="left" w:pos="360"/>
        </w:tabs>
        <w:ind w:left="0" w:firstLine="0"/>
      </w:pPr>
      <w:rPr>
        <w:rFonts w:hint="eastAsia" w:ascii="黑体" w:hAnsi="Times New Roman" w:eastAsia="黑体"/>
        <w:b w:val="0"/>
        <w:i w:val="0"/>
        <w:sz w:val="21"/>
      </w:rPr>
    </w:lvl>
    <w:lvl w:ilvl="1" w:tentative="0">
      <w:start w:val="1"/>
      <w:numFmt w:val="decimal"/>
      <w:pStyle w:val="347"/>
      <w:lvlText w:val="0.%1.%2"/>
      <w:lvlJc w:val="left"/>
      <w:pPr>
        <w:tabs>
          <w:tab w:val="left" w:pos="720"/>
        </w:tabs>
        <w:ind w:left="0" w:firstLine="0"/>
      </w:pPr>
      <w:rPr>
        <w:rFonts w:hint="eastAsia" w:ascii="黑体" w:hAnsi="Times New Roman" w:eastAsia="黑体"/>
        <w:b w:val="0"/>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7">
    <w:nsid w:val="4B733A5F"/>
    <w:multiLevelType w:val="multilevel"/>
    <w:tmpl w:val="4B733A5F"/>
    <w:lvl w:ilvl="0" w:tentative="0">
      <w:start w:val="1"/>
      <w:numFmt w:val="decimal"/>
      <w:pStyle w:val="30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8">
    <w:nsid w:val="55E02EF4"/>
    <w:multiLevelType w:val="multilevel"/>
    <w:tmpl w:val="55E02EF4"/>
    <w:lvl w:ilvl="0" w:tentative="0">
      <w:start w:val="1"/>
      <w:numFmt w:val="decimal"/>
      <w:pStyle w:val="302"/>
      <w:lvlText w:val="图%1"/>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0">
    <w:nsid w:val="60B55DC2"/>
    <w:multiLevelType w:val="multilevel"/>
    <w:tmpl w:val="60B55DC2"/>
    <w:lvl w:ilvl="0" w:tentative="0">
      <w:start w:val="1"/>
      <w:numFmt w:val="upperLetter"/>
      <w:pStyle w:val="349"/>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14:cntxtalts w14:val="0"/>
      </w:rPr>
    </w:lvl>
    <w:lvl w:ilvl="2" w:tentative="0">
      <w:start w:val="1"/>
      <w:numFmt w:val="none"/>
      <w:pStyle w:val="318"/>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1">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69B7012B"/>
    <w:multiLevelType w:val="multilevel"/>
    <w:tmpl w:val="69B7012B"/>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508"/>
      <w:suff w:val="nothing"/>
      <w:lvlText w:val="%1%2　"/>
      <w:lvlJc w:val="left"/>
      <w:pPr>
        <w:ind w:left="0" w:firstLine="0"/>
      </w:pPr>
      <w:rPr>
        <w:rFonts w:hint="eastAsia" w:ascii="黑体" w:hAnsi="Times New Roman" w:eastAsia="黑体"/>
        <w:b w:val="0"/>
        <w:i w:val="0"/>
        <w:sz w:val="21"/>
      </w:rPr>
    </w:lvl>
    <w:lvl w:ilvl="2" w:tentative="0">
      <w:start w:val="1"/>
      <w:numFmt w:val="decimal"/>
      <w:pStyle w:val="51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5">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8"/>
      <w:suff w:val="nothing"/>
      <w:lvlText w:val="%1%2 "/>
      <w:lvlJc w:val="left"/>
      <w:pPr>
        <w:ind w:left="0" w:firstLine="0"/>
      </w:pPr>
      <w:rPr>
        <w:rFonts w:hint="eastAsia" w:ascii="黑体" w:hAnsi="Times New Roman" w:eastAsia="黑体"/>
        <w:b/>
        <w:i w:val="0"/>
        <w:sz w:val="28"/>
      </w:rPr>
    </w:lvl>
    <w:lvl w:ilvl="2" w:tentative="0">
      <w:start w:val="1"/>
      <w:numFmt w:val="decimal"/>
      <w:pStyle w:val="309"/>
      <w:suff w:val="nothing"/>
      <w:lvlText w:val="%1%2.%3　"/>
      <w:lvlJc w:val="left"/>
      <w:pPr>
        <w:ind w:left="0" w:firstLine="0"/>
      </w:pPr>
      <w:rPr>
        <w:rFonts w:hint="eastAsia" w:ascii="黑体" w:hAnsi="Times New Roman" w:eastAsia="黑体"/>
        <w:b/>
        <w:i w:val="0"/>
        <w:sz w:val="21"/>
      </w:rPr>
    </w:lvl>
    <w:lvl w:ilvl="3" w:tentative="0">
      <w:start w:val="1"/>
      <w:numFmt w:val="decimal"/>
      <w:pStyle w:val="310"/>
      <w:suff w:val="nothing"/>
      <w:lvlText w:val="%1%2.%3.%4　"/>
      <w:lvlJc w:val="left"/>
      <w:pPr>
        <w:ind w:left="0" w:firstLine="0"/>
      </w:pPr>
      <w:rPr>
        <w:rFonts w:hint="eastAsia" w:ascii="黑体" w:hAnsi="Times New Roman" w:eastAsia="黑体"/>
        <w:b/>
        <w:i w:val="0"/>
        <w:sz w:val="21"/>
      </w:rPr>
    </w:lvl>
    <w:lvl w:ilvl="4" w:tentative="0">
      <w:start w:val="1"/>
      <w:numFmt w:val="decimal"/>
      <w:pStyle w:val="311"/>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2"/>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3"/>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5"/>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4"/>
      <w:lvlText w:val="%2.0.%9"/>
      <w:lvlJc w:val="left"/>
      <w:pPr>
        <w:tabs>
          <w:tab w:val="left" w:pos="720"/>
        </w:tabs>
        <w:ind w:left="0" w:firstLine="0"/>
      </w:pPr>
      <w:rPr>
        <w:rFonts w:hint="eastAsia" w:ascii="黑体" w:hAnsi="华文细黑" w:eastAsia="黑体"/>
        <w:b/>
        <w:i w:val="0"/>
        <w:sz w:val="21"/>
      </w:rPr>
    </w:lvl>
  </w:abstractNum>
  <w:abstractNum w:abstractNumId="26">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21"/>
  </w:num>
  <w:num w:numId="13">
    <w:abstractNumId w:val="20"/>
  </w:num>
  <w:num w:numId="14">
    <w:abstractNumId w:val="15"/>
  </w:num>
  <w:num w:numId="15">
    <w:abstractNumId w:val="26"/>
  </w:num>
  <w:num w:numId="16">
    <w:abstractNumId w:val="12"/>
  </w:num>
  <w:num w:numId="17">
    <w:abstractNumId w:val="22"/>
  </w:num>
  <w:num w:numId="18">
    <w:abstractNumId w:val="19"/>
  </w:num>
  <w:num w:numId="19">
    <w:abstractNumId w:val="11"/>
  </w:num>
  <w:num w:numId="20">
    <w:abstractNumId w:val="18"/>
  </w:num>
  <w:num w:numId="21">
    <w:abstractNumId w:val="24"/>
  </w:num>
  <w:num w:numId="22">
    <w:abstractNumId w:val="10"/>
  </w:num>
  <w:num w:numId="23">
    <w:abstractNumId w:val="16"/>
  </w:num>
  <w:num w:numId="24">
    <w:abstractNumId w:val="17"/>
  </w:num>
  <w:num w:numId="25">
    <w:abstractNumId w:val="25"/>
  </w:num>
  <w:num w:numId="26">
    <w:abstractNumId w:val="1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1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kMTNkNzlmZWFmY2ZjZWYzMGM1ZjhmOWJjOTcwNDkifQ=="/>
  </w:docVars>
  <w:rsids>
    <w:rsidRoot w:val="01BD55AE"/>
    <w:rsid w:val="00006548"/>
    <w:rsid w:val="00027BD3"/>
    <w:rsid w:val="00036B39"/>
    <w:rsid w:val="000372EA"/>
    <w:rsid w:val="00040BBF"/>
    <w:rsid w:val="00053FB5"/>
    <w:rsid w:val="00075DD9"/>
    <w:rsid w:val="00076F59"/>
    <w:rsid w:val="000810CB"/>
    <w:rsid w:val="00083185"/>
    <w:rsid w:val="0009271F"/>
    <w:rsid w:val="0009648F"/>
    <w:rsid w:val="000A568D"/>
    <w:rsid w:val="000A6E5F"/>
    <w:rsid w:val="000B6ECB"/>
    <w:rsid w:val="000C21DC"/>
    <w:rsid w:val="000C2EFF"/>
    <w:rsid w:val="000D2D03"/>
    <w:rsid w:val="000E2B29"/>
    <w:rsid w:val="000E7B1D"/>
    <w:rsid w:val="00123BF9"/>
    <w:rsid w:val="00127602"/>
    <w:rsid w:val="00144633"/>
    <w:rsid w:val="001517CF"/>
    <w:rsid w:val="00164C6D"/>
    <w:rsid w:val="00170B1F"/>
    <w:rsid w:val="00172236"/>
    <w:rsid w:val="001748CC"/>
    <w:rsid w:val="0017737E"/>
    <w:rsid w:val="001830DE"/>
    <w:rsid w:val="001A5BF9"/>
    <w:rsid w:val="001C2054"/>
    <w:rsid w:val="001D5AA4"/>
    <w:rsid w:val="001D71BA"/>
    <w:rsid w:val="001F0E09"/>
    <w:rsid w:val="00216264"/>
    <w:rsid w:val="00227E52"/>
    <w:rsid w:val="002310FD"/>
    <w:rsid w:val="00235CB0"/>
    <w:rsid w:val="00247E6D"/>
    <w:rsid w:val="00267674"/>
    <w:rsid w:val="00277D91"/>
    <w:rsid w:val="00282FBE"/>
    <w:rsid w:val="00287FD8"/>
    <w:rsid w:val="002917C0"/>
    <w:rsid w:val="002A3BE2"/>
    <w:rsid w:val="002A4DD0"/>
    <w:rsid w:val="002A6B18"/>
    <w:rsid w:val="002C6C4A"/>
    <w:rsid w:val="002E08C1"/>
    <w:rsid w:val="002E5F3F"/>
    <w:rsid w:val="002F1862"/>
    <w:rsid w:val="00303CA5"/>
    <w:rsid w:val="00316CBA"/>
    <w:rsid w:val="00324802"/>
    <w:rsid w:val="00337CA1"/>
    <w:rsid w:val="00366B99"/>
    <w:rsid w:val="00397925"/>
    <w:rsid w:val="003A4F7B"/>
    <w:rsid w:val="003B65E2"/>
    <w:rsid w:val="003C5C82"/>
    <w:rsid w:val="003D636C"/>
    <w:rsid w:val="003E7CE2"/>
    <w:rsid w:val="003F2DA8"/>
    <w:rsid w:val="003F764E"/>
    <w:rsid w:val="00406CC1"/>
    <w:rsid w:val="0041207A"/>
    <w:rsid w:val="00436ECC"/>
    <w:rsid w:val="004414E6"/>
    <w:rsid w:val="00447DDB"/>
    <w:rsid w:val="004548A9"/>
    <w:rsid w:val="004619AC"/>
    <w:rsid w:val="00463A10"/>
    <w:rsid w:val="00466FF2"/>
    <w:rsid w:val="00467339"/>
    <w:rsid w:val="004826C9"/>
    <w:rsid w:val="0048668C"/>
    <w:rsid w:val="00490088"/>
    <w:rsid w:val="004A3243"/>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D5966"/>
    <w:rsid w:val="00601445"/>
    <w:rsid w:val="00611BD0"/>
    <w:rsid w:val="0061695B"/>
    <w:rsid w:val="00630366"/>
    <w:rsid w:val="00630EC5"/>
    <w:rsid w:val="0065094C"/>
    <w:rsid w:val="00674639"/>
    <w:rsid w:val="00681844"/>
    <w:rsid w:val="006A01D7"/>
    <w:rsid w:val="006A2E8B"/>
    <w:rsid w:val="006B643E"/>
    <w:rsid w:val="006D12A2"/>
    <w:rsid w:val="006D6D2B"/>
    <w:rsid w:val="006E740A"/>
    <w:rsid w:val="006E7E4F"/>
    <w:rsid w:val="006F1FF9"/>
    <w:rsid w:val="007064A5"/>
    <w:rsid w:val="00715BD0"/>
    <w:rsid w:val="00743CC7"/>
    <w:rsid w:val="0074732A"/>
    <w:rsid w:val="00767B2F"/>
    <w:rsid w:val="00773A5E"/>
    <w:rsid w:val="00776408"/>
    <w:rsid w:val="0078233D"/>
    <w:rsid w:val="007D2FAA"/>
    <w:rsid w:val="007E0206"/>
    <w:rsid w:val="007E3F4F"/>
    <w:rsid w:val="007E661C"/>
    <w:rsid w:val="007F69B9"/>
    <w:rsid w:val="00811C33"/>
    <w:rsid w:val="00852FD6"/>
    <w:rsid w:val="0086798F"/>
    <w:rsid w:val="008708FD"/>
    <w:rsid w:val="008C0296"/>
    <w:rsid w:val="008C5347"/>
    <w:rsid w:val="008D2560"/>
    <w:rsid w:val="008D383F"/>
    <w:rsid w:val="008E1AE0"/>
    <w:rsid w:val="008E351F"/>
    <w:rsid w:val="00901DA3"/>
    <w:rsid w:val="009535DF"/>
    <w:rsid w:val="0095659D"/>
    <w:rsid w:val="009676B1"/>
    <w:rsid w:val="009721AF"/>
    <w:rsid w:val="00995610"/>
    <w:rsid w:val="009C0704"/>
    <w:rsid w:val="009D19E4"/>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F2B0D"/>
    <w:rsid w:val="00AF2DD6"/>
    <w:rsid w:val="00B01D8B"/>
    <w:rsid w:val="00B0338D"/>
    <w:rsid w:val="00B0682B"/>
    <w:rsid w:val="00B06F9F"/>
    <w:rsid w:val="00B13E76"/>
    <w:rsid w:val="00B23033"/>
    <w:rsid w:val="00B23075"/>
    <w:rsid w:val="00B454CA"/>
    <w:rsid w:val="00B55871"/>
    <w:rsid w:val="00B565EB"/>
    <w:rsid w:val="00B614B1"/>
    <w:rsid w:val="00B74D02"/>
    <w:rsid w:val="00B807AF"/>
    <w:rsid w:val="00B90349"/>
    <w:rsid w:val="00BC6C4C"/>
    <w:rsid w:val="00BE027D"/>
    <w:rsid w:val="00BF3DB8"/>
    <w:rsid w:val="00BF533F"/>
    <w:rsid w:val="00C12F1C"/>
    <w:rsid w:val="00C22264"/>
    <w:rsid w:val="00C231D9"/>
    <w:rsid w:val="00C26FF1"/>
    <w:rsid w:val="00C7294C"/>
    <w:rsid w:val="00C7721B"/>
    <w:rsid w:val="00C80B64"/>
    <w:rsid w:val="00C825D9"/>
    <w:rsid w:val="00CA1496"/>
    <w:rsid w:val="00CA612B"/>
    <w:rsid w:val="00CB182F"/>
    <w:rsid w:val="00CC19EC"/>
    <w:rsid w:val="00CE0378"/>
    <w:rsid w:val="00CF740D"/>
    <w:rsid w:val="00D10F52"/>
    <w:rsid w:val="00D20260"/>
    <w:rsid w:val="00D32102"/>
    <w:rsid w:val="00D679FB"/>
    <w:rsid w:val="00D77681"/>
    <w:rsid w:val="00DC300E"/>
    <w:rsid w:val="00DC5920"/>
    <w:rsid w:val="00DE6C5C"/>
    <w:rsid w:val="00DE79D1"/>
    <w:rsid w:val="00DF3719"/>
    <w:rsid w:val="00E04DBB"/>
    <w:rsid w:val="00E05C6A"/>
    <w:rsid w:val="00E05E73"/>
    <w:rsid w:val="00E12E32"/>
    <w:rsid w:val="00E245C7"/>
    <w:rsid w:val="00E307EE"/>
    <w:rsid w:val="00E30917"/>
    <w:rsid w:val="00E33A22"/>
    <w:rsid w:val="00E376DF"/>
    <w:rsid w:val="00E558DE"/>
    <w:rsid w:val="00E638E4"/>
    <w:rsid w:val="00E73319"/>
    <w:rsid w:val="00E83142"/>
    <w:rsid w:val="00E87A23"/>
    <w:rsid w:val="00E96E93"/>
    <w:rsid w:val="00ED1474"/>
    <w:rsid w:val="00ED7098"/>
    <w:rsid w:val="00EE4858"/>
    <w:rsid w:val="00EE4A1A"/>
    <w:rsid w:val="00F17B6A"/>
    <w:rsid w:val="00F252F0"/>
    <w:rsid w:val="00F25CA4"/>
    <w:rsid w:val="00F66499"/>
    <w:rsid w:val="00F73EF2"/>
    <w:rsid w:val="00F8041E"/>
    <w:rsid w:val="00FD74B3"/>
    <w:rsid w:val="0116386F"/>
    <w:rsid w:val="01331B85"/>
    <w:rsid w:val="01BD55AE"/>
    <w:rsid w:val="02B17D57"/>
    <w:rsid w:val="02B47281"/>
    <w:rsid w:val="047F13EB"/>
    <w:rsid w:val="05202F94"/>
    <w:rsid w:val="065F53EF"/>
    <w:rsid w:val="0706453D"/>
    <w:rsid w:val="08585740"/>
    <w:rsid w:val="091F4B4B"/>
    <w:rsid w:val="0A797821"/>
    <w:rsid w:val="0C4E3DE6"/>
    <w:rsid w:val="0DF728DE"/>
    <w:rsid w:val="10093E5F"/>
    <w:rsid w:val="10E221F5"/>
    <w:rsid w:val="10FE5858"/>
    <w:rsid w:val="118779A9"/>
    <w:rsid w:val="11D16BFE"/>
    <w:rsid w:val="11D34725"/>
    <w:rsid w:val="12C758FF"/>
    <w:rsid w:val="134742D6"/>
    <w:rsid w:val="143F381A"/>
    <w:rsid w:val="14B20F69"/>
    <w:rsid w:val="159A5853"/>
    <w:rsid w:val="15AA4B5B"/>
    <w:rsid w:val="179C73F7"/>
    <w:rsid w:val="1A130087"/>
    <w:rsid w:val="1B9E5DA3"/>
    <w:rsid w:val="1BFF60A7"/>
    <w:rsid w:val="1DFC1470"/>
    <w:rsid w:val="1F7538B6"/>
    <w:rsid w:val="21A97250"/>
    <w:rsid w:val="21D10CA8"/>
    <w:rsid w:val="2526682A"/>
    <w:rsid w:val="27813441"/>
    <w:rsid w:val="29573A1A"/>
    <w:rsid w:val="2B2C4703"/>
    <w:rsid w:val="2C690A78"/>
    <w:rsid w:val="2C892158"/>
    <w:rsid w:val="2F1B2550"/>
    <w:rsid w:val="31813D45"/>
    <w:rsid w:val="339B5ACE"/>
    <w:rsid w:val="34202B60"/>
    <w:rsid w:val="346E1DAF"/>
    <w:rsid w:val="36EC3AE9"/>
    <w:rsid w:val="36FC74B6"/>
    <w:rsid w:val="370945C1"/>
    <w:rsid w:val="376B0DD8"/>
    <w:rsid w:val="37D20007"/>
    <w:rsid w:val="388475BE"/>
    <w:rsid w:val="39E969BC"/>
    <w:rsid w:val="3AF408A9"/>
    <w:rsid w:val="3D09356D"/>
    <w:rsid w:val="3D537E59"/>
    <w:rsid w:val="3DFA4E64"/>
    <w:rsid w:val="3E876346"/>
    <w:rsid w:val="3F020E75"/>
    <w:rsid w:val="421043A1"/>
    <w:rsid w:val="4253779A"/>
    <w:rsid w:val="440C0554"/>
    <w:rsid w:val="443B271B"/>
    <w:rsid w:val="449649E5"/>
    <w:rsid w:val="4497145E"/>
    <w:rsid w:val="45FE550D"/>
    <w:rsid w:val="47E04B41"/>
    <w:rsid w:val="48BD1FF7"/>
    <w:rsid w:val="492359B6"/>
    <w:rsid w:val="49F962AD"/>
    <w:rsid w:val="49FC22B9"/>
    <w:rsid w:val="4A3D2CE2"/>
    <w:rsid w:val="4A981414"/>
    <w:rsid w:val="4C4179AC"/>
    <w:rsid w:val="4D10355D"/>
    <w:rsid w:val="4DB8639B"/>
    <w:rsid w:val="4E255D2C"/>
    <w:rsid w:val="4E617F69"/>
    <w:rsid w:val="4E7B76FB"/>
    <w:rsid w:val="4EFA6969"/>
    <w:rsid w:val="4F094051"/>
    <w:rsid w:val="50A215BE"/>
    <w:rsid w:val="514A60FC"/>
    <w:rsid w:val="521670A1"/>
    <w:rsid w:val="52A344EC"/>
    <w:rsid w:val="54F226E1"/>
    <w:rsid w:val="5517274A"/>
    <w:rsid w:val="5555355C"/>
    <w:rsid w:val="57237092"/>
    <w:rsid w:val="58E6255C"/>
    <w:rsid w:val="5A447C78"/>
    <w:rsid w:val="5ADE798F"/>
    <w:rsid w:val="5B247279"/>
    <w:rsid w:val="5B260CC2"/>
    <w:rsid w:val="5BE865EB"/>
    <w:rsid w:val="5F0D3DD3"/>
    <w:rsid w:val="5F667F53"/>
    <w:rsid w:val="5F82609D"/>
    <w:rsid w:val="60887A23"/>
    <w:rsid w:val="631657EC"/>
    <w:rsid w:val="635C5E14"/>
    <w:rsid w:val="63F33290"/>
    <w:rsid w:val="671C7951"/>
    <w:rsid w:val="67277FC8"/>
    <w:rsid w:val="68085DB5"/>
    <w:rsid w:val="68A467A0"/>
    <w:rsid w:val="69212871"/>
    <w:rsid w:val="6D68758C"/>
    <w:rsid w:val="6DA67786"/>
    <w:rsid w:val="740D281B"/>
    <w:rsid w:val="7537216E"/>
    <w:rsid w:val="78856ECF"/>
    <w:rsid w:val="795113A5"/>
    <w:rsid w:val="797F5A41"/>
    <w:rsid w:val="7B2A7B4E"/>
    <w:rsid w:val="7BFB1AC3"/>
    <w:rsid w:val="7C3C7A60"/>
    <w:rsid w:val="7D406E30"/>
    <w:rsid w:val="7E5E7FB7"/>
    <w:rsid w:val="7E761648"/>
    <w:rsid w:val="7F522C60"/>
    <w:rsid w:val="7F747BAD"/>
    <w:rsid w:val="7FB46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360"/>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4"/>
    <w:next w:val="1"/>
    <w:semiHidden/>
    <w:qFormat/>
    <w:uiPriority w:val="0"/>
    <w:pPr>
      <w:ind w:left="500" w:leftChars="500"/>
    </w:pPr>
  </w:style>
  <w:style w:type="paragraph" w:styleId="14">
    <w:name w:val="toc 6"/>
    <w:basedOn w:val="15"/>
    <w:next w:val="1"/>
    <w:semiHidden/>
    <w:qFormat/>
    <w:uiPriority w:val="0"/>
    <w:pPr>
      <w:ind w:left="400" w:leftChars="400"/>
    </w:pPr>
  </w:style>
  <w:style w:type="paragraph" w:styleId="15">
    <w:name w:val="toc 5"/>
    <w:basedOn w:val="16"/>
    <w:next w:val="1"/>
    <w:semiHidden/>
    <w:qFormat/>
    <w:uiPriority w:val="0"/>
    <w:pPr>
      <w:ind w:left="300" w:leftChars="300"/>
    </w:pPr>
  </w:style>
  <w:style w:type="paragraph" w:styleId="16">
    <w:name w:val="toc 4"/>
    <w:basedOn w:val="17"/>
    <w:next w:val="1"/>
    <w:semiHidden/>
    <w:qFormat/>
    <w:uiPriority w:val="0"/>
    <w:pPr>
      <w:ind w:left="200" w:leftChars="200"/>
    </w:pPr>
  </w:style>
  <w:style w:type="paragraph" w:styleId="17">
    <w:name w:val="toc 3"/>
    <w:basedOn w:val="18"/>
    <w:next w:val="1"/>
    <w:semiHidden/>
    <w:qFormat/>
    <w:uiPriority w:val="0"/>
    <w:pPr>
      <w:ind w:left="100" w:leftChars="100"/>
    </w:pPr>
  </w:style>
  <w:style w:type="paragraph" w:styleId="18">
    <w:name w:val="toc 2"/>
    <w:basedOn w:val="19"/>
    <w:next w:val="1"/>
    <w:qFormat/>
    <w:uiPriority w:val="39"/>
  </w:style>
  <w:style w:type="paragraph" w:styleId="19">
    <w:name w:val="toc 1"/>
    <w:next w:val="1"/>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92"/>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8"/>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4"/>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8"/>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6"/>
    <w:semiHidden/>
    <w:unhideWhenUsed/>
    <w:qFormat/>
    <w:uiPriority w:val="99"/>
  </w:style>
  <w:style w:type="paragraph" w:styleId="37">
    <w:name w:val="Body Text 3"/>
    <w:basedOn w:val="1"/>
    <w:link w:val="489"/>
    <w:semiHidden/>
    <w:unhideWhenUsed/>
    <w:qFormat/>
    <w:uiPriority w:val="99"/>
    <w:pPr>
      <w:spacing w:after="120"/>
    </w:pPr>
    <w:rPr>
      <w:sz w:val="16"/>
      <w:szCs w:val="16"/>
    </w:rPr>
  </w:style>
  <w:style w:type="paragraph" w:styleId="38">
    <w:name w:val="Closing"/>
    <w:basedOn w:val="1"/>
    <w:link w:val="361"/>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3"/>
    <w:semiHidden/>
    <w:unhideWhenUsed/>
    <w:qFormat/>
    <w:uiPriority w:val="99"/>
    <w:pPr>
      <w:spacing w:after="120"/>
    </w:pPr>
  </w:style>
  <w:style w:type="paragraph" w:styleId="41">
    <w:name w:val="Body Text Indent"/>
    <w:basedOn w:val="1"/>
    <w:link w:val="486"/>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qFormat/>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7"/>
    <w:semiHidden/>
    <w:unhideWhenUsed/>
    <w:qFormat/>
    <w:uiPriority w:val="99"/>
    <w:rPr>
      <w:rFonts w:ascii="宋体" w:hAnsi="Courier New" w:cs="Courier New"/>
      <w:szCs w:val="21"/>
    </w:rPr>
  </w:style>
  <w:style w:type="paragraph" w:styleId="50">
    <w:name w:val="List Bullet 5"/>
    <w:basedOn w:val="1"/>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next w:val="1"/>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20"/>
    <w:semiHidden/>
    <w:unhideWhenUsed/>
    <w:qFormat/>
    <w:uiPriority w:val="99"/>
    <w:pPr>
      <w:ind w:left="100" w:leftChars="2500"/>
    </w:pPr>
  </w:style>
  <w:style w:type="paragraph" w:styleId="55">
    <w:name w:val="Body Text Indent 2"/>
    <w:basedOn w:val="1"/>
    <w:link w:val="490"/>
    <w:semiHidden/>
    <w:unhideWhenUsed/>
    <w:qFormat/>
    <w:uiPriority w:val="99"/>
    <w:pPr>
      <w:spacing w:after="120" w:line="480" w:lineRule="auto"/>
      <w:ind w:left="420" w:leftChars="200"/>
    </w:pPr>
  </w:style>
  <w:style w:type="paragraph" w:styleId="56">
    <w:name w:val="endnote text"/>
    <w:basedOn w:val="1"/>
    <w:link w:val="473"/>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7"/>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70"/>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semiHidden/>
    <w:unhideWhenUsed/>
    <w:qFormat/>
    <w:uiPriority w:val="99"/>
    <w:rPr>
      <w:rFonts w:ascii="宋体" w:hAnsi="宋体"/>
    </w:rPr>
  </w:style>
  <w:style w:type="paragraph" w:styleId="66">
    <w:name w:val="Subtitle"/>
    <w:basedOn w:val="1"/>
    <w:next w:val="1"/>
    <w:link w:val="35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qFormat/>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91"/>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2"/>
    <w:next w:val="1"/>
    <w:semiHidden/>
    <w:qFormat/>
    <w:uiPriority w:val="0"/>
  </w:style>
  <w:style w:type="paragraph" w:styleId="76">
    <w:name w:val="Body Text 2"/>
    <w:basedOn w:val="1"/>
    <w:link w:val="488"/>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8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9"/>
    <w:semiHidden/>
    <w:unhideWhenUsed/>
    <w:qFormat/>
    <w:uiPriority w:val="99"/>
    <w:rPr>
      <w:b/>
      <w:bCs/>
    </w:rPr>
  </w:style>
  <w:style w:type="paragraph" w:styleId="86">
    <w:name w:val="Body Text First Indent"/>
    <w:basedOn w:val="40"/>
    <w:link w:val="485"/>
    <w:semiHidden/>
    <w:unhideWhenUsed/>
    <w:qFormat/>
    <w:uiPriority w:val="99"/>
    <w:pPr>
      <w:ind w:firstLine="420" w:firstLineChars="100"/>
    </w:pPr>
  </w:style>
  <w:style w:type="paragraph" w:styleId="87">
    <w:name w:val="Body Text First Indent 2"/>
    <w:basedOn w:val="41"/>
    <w:link w:val="487"/>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outlineLvl w:val="3"/>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2"/>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qFormat/>
    <w:uiPriority w:val="0"/>
    <w:pPr>
      <w:numPr>
        <w:ilvl w:val="4"/>
      </w:numPr>
      <w:outlineLvl w:val="4"/>
    </w:pPr>
  </w:style>
  <w:style w:type="paragraph" w:customStyle="1" w:styleId="280">
    <w:name w:val="附录四级条标题"/>
    <w:basedOn w:val="279"/>
    <w:next w:val="258"/>
    <w:qFormat/>
    <w:uiPriority w:val="0"/>
    <w:pPr>
      <w:numPr>
        <w:ilvl w:val="5"/>
      </w:numPr>
      <w:outlineLvl w:val="5"/>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4"/>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69"/>
    <w:link w:val="332"/>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6"/>
    </w:pPr>
  </w:style>
  <w:style w:type="paragraph" w:customStyle="1" w:styleId="301">
    <w:name w:val="正文表标题"/>
    <w:next w:val="258"/>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ascii="黑体" w:hAnsi="Times New Roman" w:cs="Times New Roman"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引言一级条标题"/>
    <w:basedOn w:val="1"/>
    <w:next w:val="258"/>
    <w:qFormat/>
    <w:uiPriority w:val="0"/>
    <w:pPr>
      <w:widowControl/>
      <w:numPr>
        <w:ilvl w:val="0"/>
        <w:numId w:val="23"/>
      </w:numPr>
      <w:tabs>
        <w:tab w:val="clear" w:pos="360"/>
      </w:tabs>
      <w:spacing w:before="50" w:beforeLines="50" w:after="50" w:afterLines="50"/>
    </w:pPr>
    <w:rPr>
      <w:rFonts w:eastAsia="黑体"/>
    </w:rPr>
  </w:style>
  <w:style w:type="paragraph" w:customStyle="1" w:styleId="307">
    <w:name w:val="示例×："/>
    <w:basedOn w:val="1"/>
    <w:next w:val="293"/>
    <w:qFormat/>
    <w:uiPriority w:val="0"/>
    <w:pPr>
      <w:widowControl/>
      <w:numPr>
        <w:ilvl w:val="0"/>
        <w:numId w:val="24"/>
      </w:numPr>
    </w:pPr>
    <w:rPr>
      <w:rFonts w:ascii="宋体"/>
      <w:kern w:val="0"/>
      <w:sz w:val="18"/>
      <w:szCs w:val="18"/>
    </w:rPr>
  </w:style>
  <w:style w:type="paragraph" w:customStyle="1" w:styleId="308">
    <w:name w:val="工程建设章标题"/>
    <w:next w:val="258"/>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9">
    <w:name w:val="工程建设节标题"/>
    <w:basedOn w:val="308"/>
    <w:next w:val="258"/>
    <w:qFormat/>
    <w:uiPriority w:val="0"/>
    <w:pPr>
      <w:numPr>
        <w:ilvl w:val="2"/>
      </w:numPr>
      <w:spacing w:before="400" w:after="400" w:line="240" w:lineRule="auto"/>
      <w:outlineLvl w:val="2"/>
    </w:pPr>
    <w:rPr>
      <w:sz w:val="21"/>
    </w:rPr>
  </w:style>
  <w:style w:type="paragraph" w:customStyle="1" w:styleId="310">
    <w:name w:val="工程建设条标题"/>
    <w:basedOn w:val="309"/>
    <w:next w:val="258"/>
    <w:qFormat/>
    <w:uiPriority w:val="0"/>
    <w:pPr>
      <w:numPr>
        <w:ilvl w:val="3"/>
      </w:numPr>
      <w:spacing w:before="0" w:after="0"/>
      <w:jc w:val="left"/>
      <w:outlineLvl w:val="3"/>
    </w:pPr>
    <w:rPr>
      <w:b w:val="0"/>
    </w:rPr>
  </w:style>
  <w:style w:type="paragraph" w:customStyle="1" w:styleId="311">
    <w:name w:val="工程建设表标题"/>
    <w:basedOn w:val="310"/>
    <w:qFormat/>
    <w:uiPriority w:val="0"/>
    <w:pPr>
      <w:numPr>
        <w:ilvl w:val="4"/>
      </w:numPr>
      <w:jc w:val="center"/>
      <w:outlineLvl w:val="4"/>
    </w:pPr>
  </w:style>
  <w:style w:type="paragraph" w:customStyle="1" w:styleId="312">
    <w:name w:val="工程建设图标题"/>
    <w:basedOn w:val="310"/>
    <w:qFormat/>
    <w:uiPriority w:val="0"/>
    <w:pPr>
      <w:numPr>
        <w:ilvl w:val="5"/>
      </w:numPr>
      <w:jc w:val="center"/>
      <w:outlineLvl w:val="5"/>
    </w:pPr>
  </w:style>
  <w:style w:type="paragraph" w:customStyle="1" w:styleId="313">
    <w:name w:val="工程建设公式标题"/>
    <w:basedOn w:val="310"/>
    <w:qFormat/>
    <w:uiPriority w:val="0"/>
    <w:pPr>
      <w:numPr>
        <w:ilvl w:val="6"/>
      </w:numPr>
      <w:jc w:val="center"/>
      <w:outlineLvl w:val="6"/>
    </w:pPr>
  </w:style>
  <w:style w:type="paragraph" w:customStyle="1" w:styleId="314">
    <w:name w:val="工程建设无节条标题"/>
    <w:basedOn w:val="1"/>
    <w:next w:val="258"/>
    <w:qFormat/>
    <w:uiPriority w:val="0"/>
    <w:pPr>
      <w:numPr>
        <w:ilvl w:val="8"/>
        <w:numId w:val="25"/>
      </w:numPr>
      <w:tabs>
        <w:tab w:val="clear" w:pos="720"/>
      </w:tabs>
      <w:outlineLvl w:val="3"/>
    </w:pPr>
  </w:style>
  <w:style w:type="paragraph" w:customStyle="1" w:styleId="315">
    <w:name w:val="工程建设款标题"/>
    <w:basedOn w:val="310"/>
    <w:qFormat/>
    <w:uiPriority w:val="0"/>
    <w:pPr>
      <w:numPr>
        <w:ilvl w:val="7"/>
      </w:numPr>
      <w:outlineLvl w:val="9"/>
    </w:pPr>
  </w:style>
  <w:style w:type="paragraph" w:customStyle="1" w:styleId="316">
    <w:name w:val="名称"/>
    <w:basedOn w:val="256"/>
    <w:next w:val="258"/>
    <w:qFormat/>
    <w:uiPriority w:val="0"/>
    <w:pPr>
      <w:spacing w:line="460" w:lineRule="exact"/>
      <w:outlineLvl w:val="9"/>
    </w:pPr>
  </w:style>
  <w:style w:type="paragraph" w:customStyle="1" w:styleId="317">
    <w:name w:val="正文表标题续表"/>
    <w:basedOn w:val="301"/>
    <w:next w:val="258"/>
    <w:qFormat/>
    <w:uiPriority w:val="0"/>
    <w:pPr>
      <w:numPr>
        <w:ilvl w:val="2"/>
      </w:numPr>
    </w:pPr>
  </w:style>
  <w:style w:type="paragraph" w:customStyle="1" w:styleId="318">
    <w:name w:val="附录表标题续表"/>
    <w:basedOn w:val="275"/>
    <w:next w:val="258"/>
    <w:qFormat/>
    <w:uiPriority w:val="0"/>
    <w:pPr>
      <w:numPr>
        <w:ilvl w:val="2"/>
      </w:numPr>
    </w:pPr>
  </w:style>
  <w:style w:type="paragraph" w:customStyle="1" w:styleId="319">
    <w:name w:val="术语定义二级条标题"/>
    <w:basedOn w:val="261"/>
    <w:next w:val="258"/>
    <w:qFormat/>
    <w:uiPriority w:val="0"/>
    <w:pPr>
      <w:spacing w:before="0" w:beforeLines="0" w:after="0" w:afterLines="0"/>
      <w:outlineLvl w:val="9"/>
    </w:pPr>
  </w:style>
  <w:style w:type="paragraph" w:customStyle="1" w:styleId="320">
    <w:name w:val="术语定义三级条标题"/>
    <w:basedOn w:val="290"/>
    <w:next w:val="258"/>
    <w:qFormat/>
    <w:uiPriority w:val="0"/>
    <w:pPr>
      <w:spacing w:before="0" w:beforeLines="0" w:after="0" w:afterLines="0"/>
      <w:outlineLvl w:val="9"/>
    </w:pPr>
  </w:style>
  <w:style w:type="paragraph" w:customStyle="1" w:styleId="321">
    <w:name w:val="式中"/>
    <w:qFormat/>
    <w:uiPriority w:val="0"/>
    <w:pPr>
      <w:ind w:left="200" w:leftChars="200"/>
    </w:pPr>
    <w:rPr>
      <w:rFonts w:ascii="宋体" w:hAnsi="Times New Roman" w:eastAsia="宋体" w:cs="Times New Roman"/>
      <w:sz w:val="21"/>
      <w:lang w:val="en-US" w:eastAsia="zh-CN" w:bidi="ar-SA"/>
    </w:rPr>
  </w:style>
  <w:style w:type="paragraph" w:customStyle="1" w:styleId="322">
    <w:name w:val="术语定义四级条标题"/>
    <w:basedOn w:val="295"/>
    <w:next w:val="258"/>
    <w:qFormat/>
    <w:uiPriority w:val="0"/>
    <w:pPr>
      <w:spacing w:before="0" w:beforeLines="0" w:after="0" w:afterLines="0"/>
      <w:outlineLvl w:val="9"/>
    </w:pPr>
  </w:style>
  <w:style w:type="paragraph" w:customStyle="1" w:styleId="323">
    <w:name w:val="术语定义五级条标题"/>
    <w:basedOn w:val="300"/>
    <w:next w:val="258"/>
    <w:qFormat/>
    <w:uiPriority w:val="0"/>
    <w:pPr>
      <w:spacing w:before="0" w:beforeLines="0" w:after="0" w:afterLines="0"/>
      <w:outlineLvl w:val="9"/>
    </w:pPr>
  </w:style>
  <w:style w:type="paragraph" w:customStyle="1" w:styleId="324">
    <w:name w:val="术语定义一级条标题"/>
    <w:basedOn w:val="260"/>
    <w:next w:val="258"/>
    <w:qFormat/>
    <w:uiPriority w:val="0"/>
    <w:pPr>
      <w:spacing w:before="0" w:beforeLines="0" w:after="0" w:afterLines="0"/>
      <w:outlineLvl w:val="9"/>
    </w:pPr>
  </w:style>
  <w:style w:type="paragraph" w:customStyle="1" w:styleId="325">
    <w:name w:val="条文说明"/>
    <w:basedOn w:val="316"/>
    <w:qFormat/>
    <w:uiPriority w:val="0"/>
  </w:style>
  <w:style w:type="paragraph" w:customStyle="1" w:styleId="326">
    <w:name w:val="列项·"/>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7">
    <w:name w:val="二级无标题条"/>
    <w:basedOn w:val="261"/>
    <w:qFormat/>
    <w:uiPriority w:val="0"/>
    <w:pPr>
      <w:spacing w:before="0" w:beforeLines="0" w:after="0" w:afterLines="0"/>
      <w:outlineLvl w:val="9"/>
    </w:pPr>
    <w:rPr>
      <w:rFonts w:eastAsiaTheme="majorEastAsia"/>
    </w:rPr>
  </w:style>
  <w:style w:type="paragraph" w:customStyle="1" w:styleId="328">
    <w:name w:val="三级无标题条"/>
    <w:basedOn w:val="290"/>
    <w:qFormat/>
    <w:uiPriority w:val="0"/>
    <w:pPr>
      <w:spacing w:before="0" w:beforeLines="0" w:after="0" w:afterLines="0"/>
      <w:outlineLvl w:val="9"/>
    </w:pPr>
    <w:rPr>
      <w:rFonts w:eastAsiaTheme="majorEastAsia"/>
    </w:rPr>
  </w:style>
  <w:style w:type="paragraph" w:customStyle="1" w:styleId="329">
    <w:name w:val="四级无标题条"/>
    <w:basedOn w:val="295"/>
    <w:qFormat/>
    <w:uiPriority w:val="0"/>
    <w:pPr>
      <w:spacing w:before="0" w:beforeLines="0" w:after="0" w:afterLines="0"/>
      <w:outlineLvl w:val="9"/>
    </w:pPr>
    <w:rPr>
      <w:rFonts w:eastAsiaTheme="majorEastAsia"/>
    </w:rPr>
  </w:style>
  <w:style w:type="paragraph" w:customStyle="1" w:styleId="330">
    <w:name w:val="五级无标题条"/>
    <w:basedOn w:val="300"/>
    <w:qFormat/>
    <w:uiPriority w:val="0"/>
    <w:pPr>
      <w:spacing w:before="0" w:beforeLines="0" w:after="0" w:afterLines="0"/>
      <w:outlineLvl w:val="9"/>
    </w:pPr>
    <w:rPr>
      <w:rFonts w:eastAsiaTheme="majorEastAsia"/>
    </w:rPr>
  </w:style>
  <w:style w:type="paragraph" w:customStyle="1" w:styleId="331">
    <w:name w:val="一级无标题条"/>
    <w:basedOn w:val="260"/>
    <w:qFormat/>
    <w:uiPriority w:val="0"/>
    <w:pPr>
      <w:spacing w:before="0" w:beforeLines="0" w:after="0" w:afterLines="0"/>
      <w:outlineLvl w:val="9"/>
    </w:pPr>
    <w:rPr>
      <w:rFonts w:eastAsiaTheme="majorEastAsia"/>
    </w:rPr>
  </w:style>
  <w:style w:type="character" w:customStyle="1" w:styleId="332">
    <w:name w:val="条文脚注 Char"/>
    <w:basedOn w:val="333"/>
    <w:link w:val="296"/>
    <w:qFormat/>
    <w:uiPriority w:val="0"/>
    <w:rPr>
      <w:rFonts w:ascii="宋体"/>
      <w:kern w:val="2"/>
      <w:sz w:val="18"/>
      <w:szCs w:val="18"/>
    </w:rPr>
  </w:style>
  <w:style w:type="character" w:customStyle="1" w:styleId="333">
    <w:name w:val="正文文本 Char"/>
    <w:basedOn w:val="231"/>
    <w:link w:val="40"/>
    <w:semiHidden/>
    <w:qFormat/>
    <w:uiPriority w:val="99"/>
    <w:rPr>
      <w:kern w:val="2"/>
      <w:sz w:val="21"/>
      <w:szCs w:val="24"/>
    </w:rPr>
  </w:style>
  <w:style w:type="paragraph" w:customStyle="1" w:styleId="334">
    <w:name w:val="ICS"/>
    <w:basedOn w:val="273"/>
    <w:qFormat/>
    <w:uiPriority w:val="0"/>
    <w:pPr>
      <w:jc w:val="left"/>
    </w:pPr>
    <w:rPr>
      <w:rFonts w:ascii="黑体" w:eastAsia="黑体"/>
      <w:sz w:val="21"/>
    </w:rPr>
  </w:style>
  <w:style w:type="paragraph" w:customStyle="1" w:styleId="335">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6">
    <w:name w:val="发布"/>
    <w:basedOn w:val="40"/>
    <w:qFormat/>
    <w:uiPriority w:val="0"/>
    <w:pPr>
      <w:spacing w:after="0" w:line="280" w:lineRule="exact"/>
      <w:ind w:left="567"/>
    </w:pPr>
    <w:rPr>
      <w:rFonts w:ascii="黑体" w:eastAsia="黑体"/>
      <w:sz w:val="28"/>
    </w:rPr>
  </w:style>
  <w:style w:type="paragraph" w:customStyle="1" w:styleId="337">
    <w:name w:val="标准称谓DB"/>
    <w:next w:val="1"/>
    <w:link w:val="338"/>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8">
    <w:name w:val="标准称谓DB Char"/>
    <w:basedOn w:val="231"/>
    <w:link w:val="337"/>
    <w:qFormat/>
    <w:uiPriority w:val="0"/>
    <w:rPr>
      <w:rFonts w:hint="eastAsia" w:ascii="黑体" w:hAnsi="黑体" w:eastAsia="黑体" w:cs="黑体"/>
      <w:b/>
      <w:bCs/>
      <w:w w:val="135"/>
      <w:sz w:val="52"/>
    </w:rPr>
  </w:style>
  <w:style w:type="paragraph" w:customStyle="1" w:styleId="339">
    <w:name w:val="标准称谓QB"/>
    <w:next w:val="1"/>
    <w:link w:val="340"/>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40">
    <w:name w:val="标准称谓QB Char"/>
    <w:basedOn w:val="231"/>
    <w:link w:val="339"/>
    <w:qFormat/>
    <w:uiPriority w:val="0"/>
    <w:rPr>
      <w:rFonts w:ascii="Arial Black" w:hAnsi="Arial Black" w:eastAsia="黑体"/>
      <w:bCs/>
      <w:w w:val="135"/>
      <w:sz w:val="44"/>
    </w:rPr>
  </w:style>
  <w:style w:type="paragraph" w:customStyle="1" w:styleId="341">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2">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3">
    <w:name w:val="发布部门Q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4">
    <w:name w:val="标准标志DB"/>
    <w:next w:val="1"/>
    <w:qFormat/>
    <w:uiPriority w:val="0"/>
    <w:pPr>
      <w:shd w:val="solid" w:color="FFFFFF" w:fill="FFFFFF"/>
      <w:spacing w:line="0" w:lineRule="atLeast"/>
      <w:jc w:val="right"/>
    </w:pPr>
    <w:rPr>
      <w:rFonts w:ascii="Microsoft Sans Serif" w:hAnsi="Microsoft Sans Serif" w:eastAsia="Britannic Bold" w:cs="Microsoft Sans Serif"/>
      <w:b/>
      <w:w w:val="110"/>
      <w:kern w:val="2"/>
      <w:sz w:val="160"/>
      <w:lang w:val="en-US" w:eastAsia="zh-CN" w:bidi="ar-SA"/>
    </w:rPr>
  </w:style>
  <w:style w:type="paragraph" w:customStyle="1" w:styleId="345">
    <w:name w:val="标准标志QB"/>
    <w:next w:val="1"/>
    <w:qFormat/>
    <w:uiPriority w:val="0"/>
    <w:pPr>
      <w:shd w:val="solid" w:color="FFFFFF" w:fill="FFFFFF"/>
      <w:spacing w:line="0" w:lineRule="atLeast"/>
      <w:jc w:val="right"/>
    </w:pPr>
    <w:rPr>
      <w:rFonts w:ascii="Arial Black" w:hAnsi="Britannic Bold" w:eastAsia="Arial Unicode MS" w:cs="Times New Roman"/>
      <w:b/>
      <w:w w:val="110"/>
      <w:kern w:val="2"/>
      <w:sz w:val="96"/>
      <w:lang w:val="en-US" w:eastAsia="zh-CN" w:bidi="ar-SA"/>
    </w:rPr>
  </w:style>
  <w:style w:type="paragraph" w:customStyle="1" w:styleId="346">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7">
    <w:name w:val="引言二级条标题"/>
    <w:basedOn w:val="306"/>
    <w:next w:val="258"/>
    <w:qFormat/>
    <w:uiPriority w:val="0"/>
    <w:pPr>
      <w:numPr>
        <w:ilvl w:val="1"/>
      </w:numPr>
      <w:spacing w:before="156" w:after="156"/>
    </w:pPr>
    <w:rPr>
      <w:rFonts w:ascii="黑体"/>
    </w:rPr>
  </w:style>
  <w:style w:type="paragraph" w:customStyle="1" w:styleId="348">
    <w:name w:val="示例X"/>
    <w:basedOn w:val="293"/>
    <w:next w:val="258"/>
    <w:qFormat/>
    <w:uiPriority w:val="0"/>
  </w:style>
  <w:style w:type="paragraph" w:customStyle="1" w:styleId="349">
    <w:name w:val="附录表标号"/>
    <w:basedOn w:val="1"/>
    <w:next w:val="258"/>
    <w:qFormat/>
    <w:uiPriority w:val="0"/>
    <w:pPr>
      <w:numPr>
        <w:ilvl w:val="0"/>
        <w:numId w:val="13"/>
      </w:numPr>
      <w:snapToGrid w:val="0"/>
      <w:spacing w:line="14" w:lineRule="exact"/>
      <w:jc w:val="center"/>
    </w:pPr>
    <w:rPr>
      <w:color w:val="FFFFFF"/>
    </w:rPr>
  </w:style>
  <w:style w:type="paragraph" w:customStyle="1" w:styleId="350">
    <w:name w:val="附录图标号"/>
    <w:basedOn w:val="1"/>
    <w:next w:val="258"/>
    <w:qFormat/>
    <w:uiPriority w:val="0"/>
    <w:pPr>
      <w:numPr>
        <w:ilvl w:val="0"/>
        <w:numId w:val="14"/>
      </w:numPr>
      <w:snapToGrid w:val="0"/>
      <w:spacing w:line="14" w:lineRule="exact"/>
      <w:jc w:val="center"/>
    </w:pPr>
    <w:rPr>
      <w:color w:val="FFFFFF"/>
    </w:rPr>
  </w:style>
  <w:style w:type="paragraph" w:customStyle="1" w:styleId="351">
    <w:name w:val="重要提示"/>
    <w:basedOn w:val="258"/>
    <w:next w:val="258"/>
    <w:qFormat/>
    <w:uiPriority w:val="0"/>
    <w:rPr>
      <w:rFonts w:eastAsia="黑体"/>
    </w:rPr>
  </w:style>
  <w:style w:type="paragraph" w:customStyle="1" w:styleId="352">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3">
    <w:name w:val="TOC Heading"/>
    <w:basedOn w:val="3"/>
    <w:next w:val="1"/>
    <w:semiHidden/>
    <w:unhideWhenUsed/>
    <w:qFormat/>
    <w:uiPriority w:val="39"/>
    <w:pPr>
      <w:outlineLvl w:val="9"/>
    </w:pPr>
  </w:style>
  <w:style w:type="character" w:customStyle="1" w:styleId="354">
    <w:name w:val="Subtle Reference"/>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5">
    <w:name w:val="Subtle Emphasis"/>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6">
    <w:name w:val="称呼 Char"/>
    <w:basedOn w:val="231"/>
    <w:link w:val="36"/>
    <w:semiHidden/>
    <w:qFormat/>
    <w:uiPriority w:val="99"/>
    <w:rPr>
      <w:kern w:val="2"/>
      <w:sz w:val="21"/>
      <w:szCs w:val="24"/>
    </w:rPr>
  </w:style>
  <w:style w:type="character" w:customStyle="1" w:styleId="357">
    <w:name w:val="纯文本 Char"/>
    <w:basedOn w:val="231"/>
    <w:link w:val="49"/>
    <w:semiHidden/>
    <w:qFormat/>
    <w:uiPriority w:val="99"/>
    <w:rPr>
      <w:rFonts w:ascii="宋体" w:hAnsi="Courier New" w:cs="Courier New"/>
      <w:kern w:val="2"/>
      <w:sz w:val="21"/>
      <w:szCs w:val="21"/>
    </w:rPr>
  </w:style>
  <w:style w:type="character" w:customStyle="1" w:styleId="358">
    <w:name w:val="电子邮件签名 Char"/>
    <w:basedOn w:val="231"/>
    <w:link w:val="25"/>
    <w:semiHidden/>
    <w:qFormat/>
    <w:uiPriority w:val="99"/>
    <w:rPr>
      <w:kern w:val="2"/>
      <w:sz w:val="21"/>
      <w:szCs w:val="24"/>
    </w:rPr>
  </w:style>
  <w:style w:type="character" w:customStyle="1" w:styleId="359">
    <w:name w:val="副标题 Char"/>
    <w:basedOn w:val="231"/>
    <w:link w:val="66"/>
    <w:qFormat/>
    <w:uiPriority w:val="11"/>
    <w:rPr>
      <w:rFonts w:asciiTheme="majorHAnsi" w:hAnsiTheme="majorHAnsi" w:cstheme="majorBidi"/>
      <w:b/>
      <w:bCs/>
      <w:kern w:val="28"/>
      <w:sz w:val="32"/>
      <w:szCs w:val="32"/>
    </w:rPr>
  </w:style>
  <w:style w:type="character" w:customStyle="1" w:styleId="360">
    <w:name w:val="宏文本 Char"/>
    <w:basedOn w:val="231"/>
    <w:link w:val="2"/>
    <w:semiHidden/>
    <w:qFormat/>
    <w:uiPriority w:val="99"/>
    <w:rPr>
      <w:rFonts w:ascii="Courier New" w:hAnsi="Courier New" w:cs="Courier New"/>
      <w:kern w:val="2"/>
      <w:sz w:val="24"/>
      <w:szCs w:val="24"/>
    </w:rPr>
  </w:style>
  <w:style w:type="character" w:customStyle="1" w:styleId="361">
    <w:name w:val="结束语 Char"/>
    <w:basedOn w:val="231"/>
    <w:link w:val="38"/>
    <w:semiHidden/>
    <w:qFormat/>
    <w:uiPriority w:val="99"/>
    <w:rPr>
      <w:kern w:val="2"/>
      <w:sz w:val="21"/>
      <w:szCs w:val="24"/>
    </w:rPr>
  </w:style>
  <w:style w:type="paragraph" w:styleId="362">
    <w:name w:val="List Paragraph"/>
    <w:basedOn w:val="1"/>
    <w:qFormat/>
    <w:uiPriority w:val="34"/>
    <w:pPr>
      <w:ind w:firstLine="420" w:firstLineChars="200"/>
    </w:pPr>
  </w:style>
  <w:style w:type="character" w:customStyle="1" w:styleId="363">
    <w:name w:val="Intense Reference"/>
    <w:basedOn w:val="231"/>
    <w:qFormat/>
    <w:uiPriority w:val="32"/>
    <w:rPr>
      <w:b/>
      <w:bCs/>
      <w:smallCaps/>
      <w:color w:val="5B9BD5" w:themeColor="accent1"/>
      <w:spacing w:val="5"/>
      <w14:textFill>
        <w14:solidFill>
          <w14:schemeClr w14:val="accent1"/>
        </w14:solidFill>
      </w14:textFill>
    </w:rPr>
  </w:style>
  <w:style w:type="character" w:customStyle="1" w:styleId="364">
    <w:name w:val="Intense Emphasis"/>
    <w:basedOn w:val="231"/>
    <w:qFormat/>
    <w:uiPriority w:val="21"/>
    <w:rPr>
      <w:i/>
      <w:iCs/>
      <w:color w:val="5B9BD5" w:themeColor="accent1"/>
      <w14:textFill>
        <w14:solidFill>
          <w14:schemeClr w14:val="accent1"/>
        </w14:solidFill>
      </w14:textFill>
    </w:rPr>
  </w:style>
  <w:style w:type="paragraph" w:styleId="365">
    <w:name w:val="Intense Quote"/>
    <w:basedOn w:val="1"/>
    <w:next w:val="1"/>
    <w:link w:val="366"/>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6">
    <w:name w:val="明显引用 Char"/>
    <w:basedOn w:val="231"/>
    <w:link w:val="365"/>
    <w:qFormat/>
    <w:uiPriority w:val="30"/>
    <w:rPr>
      <w:i/>
      <w:iCs/>
      <w:color w:val="5B9BD5" w:themeColor="accent1"/>
      <w:kern w:val="2"/>
      <w:sz w:val="21"/>
      <w:szCs w:val="24"/>
      <w14:textFill>
        <w14:solidFill>
          <w14:schemeClr w14:val="accent1"/>
        </w14:solidFill>
      </w14:textFill>
    </w:rPr>
  </w:style>
  <w:style w:type="character" w:customStyle="1" w:styleId="367">
    <w:name w:val="批注框文本 Char"/>
    <w:basedOn w:val="231"/>
    <w:link w:val="58"/>
    <w:semiHidden/>
    <w:qFormat/>
    <w:uiPriority w:val="99"/>
    <w:rPr>
      <w:kern w:val="2"/>
      <w:sz w:val="18"/>
      <w:szCs w:val="18"/>
    </w:rPr>
  </w:style>
  <w:style w:type="character" w:customStyle="1" w:styleId="368">
    <w:name w:val="批注文字 Char"/>
    <w:basedOn w:val="231"/>
    <w:link w:val="34"/>
    <w:semiHidden/>
    <w:qFormat/>
    <w:uiPriority w:val="99"/>
    <w:rPr>
      <w:kern w:val="2"/>
      <w:sz w:val="21"/>
      <w:szCs w:val="24"/>
    </w:rPr>
  </w:style>
  <w:style w:type="character" w:customStyle="1" w:styleId="369">
    <w:name w:val="批注主题 Char"/>
    <w:basedOn w:val="368"/>
    <w:link w:val="85"/>
    <w:semiHidden/>
    <w:qFormat/>
    <w:uiPriority w:val="99"/>
    <w:rPr>
      <w:b/>
      <w:bCs/>
      <w:kern w:val="2"/>
      <w:sz w:val="21"/>
      <w:szCs w:val="24"/>
    </w:rPr>
  </w:style>
  <w:style w:type="character" w:customStyle="1" w:styleId="370">
    <w:name w:val="签名 Char"/>
    <w:basedOn w:val="231"/>
    <w:link w:val="62"/>
    <w:semiHidden/>
    <w:qFormat/>
    <w:uiPriority w:val="99"/>
    <w:rPr>
      <w:kern w:val="2"/>
      <w:sz w:val="21"/>
      <w:szCs w:val="24"/>
    </w:rPr>
  </w:style>
  <w:style w:type="table" w:customStyle="1" w:styleId="371">
    <w:name w:val="List Table 1 Light"/>
    <w:basedOn w:val="88"/>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2">
    <w:name w:val="List Table 1 Light Accent 1"/>
    <w:basedOn w:val="88"/>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3">
    <w:name w:val="List Table 1 Light Accent 2"/>
    <w:basedOn w:val="88"/>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4">
    <w:name w:val="List Table 1 Light Accent 3"/>
    <w:basedOn w:val="88"/>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5">
    <w:name w:val="List Table 1 Light Accent 4"/>
    <w:basedOn w:val="88"/>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6">
    <w:name w:val="List Table 1 Light Accent 5"/>
    <w:basedOn w:val="88"/>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7">
    <w:name w:val="List Table 1 Light Accent 6"/>
    <w:basedOn w:val="88"/>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8">
    <w:name w:val="List Table 2"/>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9">
    <w:name w:val="List Table 2 Accent 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80">
    <w:name w:val="List Table 2 Accent 2"/>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81">
    <w:name w:val="List Table 2 Accent 3"/>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2">
    <w:name w:val="List Table 2 Accent 4"/>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3">
    <w:name w:val="List Table 2 Accent 5"/>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4">
    <w:name w:val="List Table 2 Accent 6"/>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5">
    <w:name w:val="List Table 3"/>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6">
    <w:name w:val="List Table 3 Accent 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7">
    <w:name w:val="List Table 3 Accent 2"/>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8">
    <w:name w:val="List Table 3 Accent 3"/>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9">
    <w:name w:val="List Table 3 Accent 4"/>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90">
    <w:name w:val="List Table 3 Accent 5"/>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91">
    <w:name w:val="List Table 3 Accent 6"/>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2">
    <w:name w:val="List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3">
    <w:name w:val="List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4">
    <w:name w:val="List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5">
    <w:name w:val="List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6">
    <w:name w:val="List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7">
    <w:name w:val="List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8">
    <w:name w:val="List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9">
    <w:name w:val="List Table 5 Dark"/>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List Table 5 Dark Accent 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List Table 5 Dark Accent 2"/>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List Table 5 Dark Accent 3"/>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List Table 5 Dark Accent 4"/>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List Table 5 Dark Accent 5"/>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5">
    <w:name w:val="List Table 5 Dark Accent 6"/>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6">
    <w:name w:val="List Table 6 Colorful"/>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7">
    <w:name w:val="List Table 6 Colorful Accent 1"/>
    <w:basedOn w:val="88"/>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8">
    <w:name w:val="List Table 6 Colorful Accent 2"/>
    <w:basedOn w:val="88"/>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9">
    <w:name w:val="List Table 6 Colorful Accent 3"/>
    <w:basedOn w:val="88"/>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10">
    <w:name w:val="List Table 6 Colorful Accent 4"/>
    <w:basedOn w:val="88"/>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11">
    <w:name w:val="List Table 6 Colorful Accent 5"/>
    <w:basedOn w:val="88"/>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2">
    <w:name w:val="List Table 6 Colorful Accent 6"/>
    <w:basedOn w:val="88"/>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3">
    <w:name w:val="List Table 7 Colorful"/>
    <w:basedOn w:val="88"/>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List Table 7 Colorful Accent 1"/>
    <w:basedOn w:val="88"/>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List Table 7 Colorful Accent 2"/>
    <w:basedOn w:val="88"/>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List Table 7 Colorful Accent 3"/>
    <w:basedOn w:val="88"/>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List Table 7 Colorful Accent 4"/>
    <w:basedOn w:val="88"/>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8">
    <w:name w:val="List Table 7 Colorful Accent 5"/>
    <w:basedOn w:val="88"/>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9">
    <w:name w:val="List Table 7 Colorful Accent 6"/>
    <w:basedOn w:val="88"/>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20">
    <w:name w:val="日期 Char"/>
    <w:basedOn w:val="231"/>
    <w:link w:val="54"/>
    <w:semiHidden/>
    <w:qFormat/>
    <w:uiPriority w:val="99"/>
    <w:rPr>
      <w:kern w:val="2"/>
      <w:sz w:val="21"/>
      <w:szCs w:val="24"/>
    </w:rPr>
  </w:style>
  <w:style w:type="character" w:customStyle="1" w:styleId="421">
    <w:name w:val="Book Title"/>
    <w:basedOn w:val="231"/>
    <w:qFormat/>
    <w:uiPriority w:val="33"/>
    <w:rPr>
      <w:b/>
      <w:bCs/>
      <w:i/>
      <w:iCs/>
      <w:spacing w:val="5"/>
    </w:rPr>
  </w:style>
  <w:style w:type="paragraph" w:customStyle="1" w:styleId="422">
    <w:name w:val="Bibliography"/>
    <w:basedOn w:val="1"/>
    <w:next w:val="1"/>
    <w:semiHidden/>
    <w:unhideWhenUsed/>
    <w:qFormat/>
    <w:uiPriority w:val="37"/>
  </w:style>
  <w:style w:type="table" w:customStyle="1" w:styleId="423">
    <w:name w:val="Grid Table 1 Light"/>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4">
    <w:name w:val="Grid Table 1 Light Accent 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5">
    <w:name w:val="Grid Table 1 Light Accent 2"/>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6">
    <w:name w:val="Grid Table 1 Light Accent 3"/>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7">
    <w:name w:val="Grid Table 1 Light Accent 4"/>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8">
    <w:name w:val="Grid Table 1 Light Accent 5"/>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9">
    <w:name w:val="Grid Table 1 Light Accent 6"/>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30">
    <w:name w:val="Grid Table 2"/>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1">
    <w:name w:val="Grid Table 2 Accent 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2">
    <w:name w:val="Grid Table 2 Accent 2"/>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3">
    <w:name w:val="Grid Table 2 Accent 3"/>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4">
    <w:name w:val="Grid Table 2 Accent 4"/>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5">
    <w:name w:val="Grid Table 2 Accent 5"/>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6">
    <w:name w:val="Grid Table 2 Accent 6"/>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7">
    <w:name w:val="Grid Table 3"/>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8">
    <w:name w:val="Grid Table 3 Accent 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9">
    <w:name w:val="Grid Table 3 Accent 2"/>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40">
    <w:name w:val="Grid Table 3 Accent 3"/>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41">
    <w:name w:val="Grid Table 3 Accent 4"/>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2">
    <w:name w:val="Grid Table 3 Accent 5"/>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3">
    <w:name w:val="Grid Table 3 Accent 6"/>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4">
    <w:name w:val="Grid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5">
    <w:name w:val="Grid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6">
    <w:name w:val="Grid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7">
    <w:name w:val="Grid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8">
    <w:name w:val="Grid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9">
    <w:name w:val="Grid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50">
    <w:name w:val="Grid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51">
    <w:name w:val="Grid Table 5 Dark"/>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2">
    <w:name w:val="Grid Table 5 Dark Accent 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3">
    <w:name w:val="Grid Table 5 Dark Accent 2"/>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4">
    <w:name w:val="Grid Table 5 Dark Accent 3"/>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5">
    <w:name w:val="Grid Table 5 Dark Accent 4"/>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6">
    <w:name w:val="Grid Table 5 Dark Accent 5"/>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7">
    <w:name w:val="Grid Table 5 Dark Accent 6"/>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8">
    <w:name w:val="Grid Table 6 Colorful"/>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9">
    <w:name w:val="Grid Table 6 Colorful Accent 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60">
    <w:name w:val="Grid Table 6 Colorful Accent 2"/>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61">
    <w:name w:val="Grid Table 6 Colorful Accent 3"/>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2">
    <w:name w:val="Grid Table 6 Colorful Accent 4"/>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3">
    <w:name w:val="Grid Table 6 Colorful Accent 5"/>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4">
    <w:name w:val="Grid Table 6 Colorful Accent 6"/>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5">
    <w:name w:val="Grid Table 7 Colorful"/>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6">
    <w:name w:val="Grid Table 7 Colorful Accent 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7">
    <w:name w:val="Grid Table 7 Colorful Accent 2"/>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8">
    <w:name w:val="Grid Table 7 Colorful Accent 3"/>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9">
    <w:name w:val="Grid Table 7 Colorful Accent 4"/>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70">
    <w:name w:val="Grid Table 7 Colorful Accent 5"/>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71">
    <w:name w:val="Grid Table 7 Colorful Accent 6"/>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2">
    <w:name w:val="Grid Table Light"/>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3">
    <w:name w:val="尾注文本 Char"/>
    <w:basedOn w:val="231"/>
    <w:link w:val="56"/>
    <w:semiHidden/>
    <w:qFormat/>
    <w:uiPriority w:val="99"/>
    <w:rPr>
      <w:kern w:val="2"/>
      <w:sz w:val="21"/>
      <w:szCs w:val="24"/>
    </w:rPr>
  </w:style>
  <w:style w:type="character" w:customStyle="1" w:styleId="474">
    <w:name w:val="文档结构图 Char"/>
    <w:basedOn w:val="231"/>
    <w:link w:val="32"/>
    <w:semiHidden/>
    <w:qFormat/>
    <w:uiPriority w:val="99"/>
    <w:rPr>
      <w:rFonts w:ascii="Microsoft YaHei UI" w:eastAsia="Microsoft YaHei UI"/>
      <w:kern w:val="2"/>
      <w:sz w:val="18"/>
      <w:szCs w:val="18"/>
    </w:rPr>
  </w:style>
  <w:style w:type="table" w:customStyle="1" w:styleId="475">
    <w:name w:val="Plain Table 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6">
    <w:name w:val="Plain Table 2"/>
    <w:basedOn w:val="8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7">
    <w:name w:val="Plain Table 3"/>
    <w:basedOn w:val="8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8">
    <w:name w:val="Plain Table 4"/>
    <w:basedOn w:val="8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9">
    <w:name w:val="Plain Table 5"/>
    <w:basedOn w:val="8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8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81">
    <w:name w:val="信息标题 Char"/>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82">
    <w:name w:val="Quote"/>
    <w:basedOn w:val="1"/>
    <w:next w:val="1"/>
    <w:link w:val="4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3">
    <w:name w:val="引用 Char"/>
    <w:basedOn w:val="231"/>
    <w:link w:val="482"/>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4">
    <w:name w:val="Placeholder Text"/>
    <w:basedOn w:val="231"/>
    <w:semiHidden/>
    <w:qFormat/>
    <w:uiPriority w:val="99"/>
    <w:rPr>
      <w:color w:val="808080"/>
    </w:rPr>
  </w:style>
  <w:style w:type="character" w:customStyle="1" w:styleId="485">
    <w:name w:val="正文首行缩进 Char"/>
    <w:basedOn w:val="333"/>
    <w:link w:val="86"/>
    <w:semiHidden/>
    <w:qFormat/>
    <w:uiPriority w:val="99"/>
    <w:rPr>
      <w:kern w:val="2"/>
      <w:sz w:val="21"/>
      <w:szCs w:val="24"/>
    </w:rPr>
  </w:style>
  <w:style w:type="character" w:customStyle="1" w:styleId="486">
    <w:name w:val="正文文本缩进 Char"/>
    <w:basedOn w:val="231"/>
    <w:link w:val="41"/>
    <w:semiHidden/>
    <w:qFormat/>
    <w:uiPriority w:val="99"/>
    <w:rPr>
      <w:kern w:val="2"/>
      <w:sz w:val="21"/>
      <w:szCs w:val="24"/>
    </w:rPr>
  </w:style>
  <w:style w:type="character" w:customStyle="1" w:styleId="487">
    <w:name w:val="正文首行缩进 2 Char"/>
    <w:basedOn w:val="486"/>
    <w:link w:val="87"/>
    <w:semiHidden/>
    <w:qFormat/>
    <w:uiPriority w:val="99"/>
    <w:rPr>
      <w:kern w:val="2"/>
      <w:sz w:val="21"/>
      <w:szCs w:val="24"/>
    </w:rPr>
  </w:style>
  <w:style w:type="character" w:customStyle="1" w:styleId="488">
    <w:name w:val="正文文本 2 Char"/>
    <w:basedOn w:val="231"/>
    <w:link w:val="76"/>
    <w:semiHidden/>
    <w:qFormat/>
    <w:uiPriority w:val="99"/>
    <w:rPr>
      <w:kern w:val="2"/>
      <w:sz w:val="21"/>
      <w:szCs w:val="24"/>
    </w:rPr>
  </w:style>
  <w:style w:type="character" w:customStyle="1" w:styleId="489">
    <w:name w:val="正文文本 3 Char"/>
    <w:basedOn w:val="231"/>
    <w:link w:val="37"/>
    <w:semiHidden/>
    <w:qFormat/>
    <w:uiPriority w:val="99"/>
    <w:rPr>
      <w:kern w:val="2"/>
      <w:sz w:val="16"/>
      <w:szCs w:val="16"/>
    </w:rPr>
  </w:style>
  <w:style w:type="character" w:customStyle="1" w:styleId="490">
    <w:name w:val="正文文本缩进 2 Char"/>
    <w:basedOn w:val="231"/>
    <w:link w:val="55"/>
    <w:semiHidden/>
    <w:qFormat/>
    <w:uiPriority w:val="99"/>
    <w:rPr>
      <w:kern w:val="2"/>
      <w:sz w:val="21"/>
      <w:szCs w:val="24"/>
    </w:rPr>
  </w:style>
  <w:style w:type="character" w:customStyle="1" w:styleId="491">
    <w:name w:val="正文文本缩进 3 Char"/>
    <w:basedOn w:val="231"/>
    <w:link w:val="71"/>
    <w:semiHidden/>
    <w:qFormat/>
    <w:uiPriority w:val="99"/>
    <w:rPr>
      <w:kern w:val="2"/>
      <w:sz w:val="16"/>
      <w:szCs w:val="16"/>
    </w:rPr>
  </w:style>
  <w:style w:type="character" w:customStyle="1" w:styleId="492">
    <w:name w:val="注释标题 Char"/>
    <w:basedOn w:val="231"/>
    <w:link w:val="22"/>
    <w:semiHidden/>
    <w:qFormat/>
    <w:uiPriority w:val="99"/>
    <w:rPr>
      <w:kern w:val="2"/>
      <w:sz w:val="21"/>
      <w:szCs w:val="24"/>
    </w:rPr>
  </w:style>
  <w:style w:type="paragraph" w:customStyle="1" w:styleId="493">
    <w:name w:val="附录无标题章"/>
    <w:basedOn w:val="276"/>
    <w:qFormat/>
    <w:uiPriority w:val="0"/>
    <w:pPr>
      <w:spacing w:before="0" w:beforeLines="0" w:after="0" w:afterLines="0"/>
      <w:outlineLvl w:val="9"/>
    </w:pPr>
    <w:rPr>
      <w:rFonts w:asciiTheme="majorEastAsia" w:eastAsiaTheme="majorEastAsia"/>
    </w:rPr>
  </w:style>
  <w:style w:type="paragraph" w:customStyle="1" w:styleId="494">
    <w:name w:val="附录一级无标题条"/>
    <w:basedOn w:val="277"/>
    <w:qFormat/>
    <w:uiPriority w:val="0"/>
    <w:pPr>
      <w:spacing w:before="0" w:beforeLines="0" w:after="0" w:afterLines="0"/>
      <w:outlineLvl w:val="9"/>
    </w:pPr>
    <w:rPr>
      <w:rFonts w:asciiTheme="majorEastAsia" w:eastAsiaTheme="majorEastAsia"/>
    </w:rPr>
  </w:style>
  <w:style w:type="paragraph" w:customStyle="1" w:styleId="495">
    <w:name w:val="附录二级无标题条"/>
    <w:basedOn w:val="278"/>
    <w:qFormat/>
    <w:uiPriority w:val="0"/>
    <w:pPr>
      <w:spacing w:before="0" w:beforeLines="0" w:after="0" w:afterLines="0"/>
      <w:outlineLvl w:val="9"/>
    </w:pPr>
    <w:rPr>
      <w:rFonts w:asciiTheme="majorEastAsia" w:eastAsiaTheme="majorEastAsia"/>
    </w:rPr>
  </w:style>
  <w:style w:type="paragraph" w:customStyle="1" w:styleId="496">
    <w:name w:val="附录三级无标题条"/>
    <w:basedOn w:val="279"/>
    <w:qFormat/>
    <w:uiPriority w:val="0"/>
    <w:pPr>
      <w:spacing w:before="0" w:beforeLines="0" w:after="0" w:afterLines="0"/>
      <w:outlineLvl w:val="9"/>
    </w:pPr>
    <w:rPr>
      <w:rFonts w:asciiTheme="majorEastAsia" w:eastAsiaTheme="majorEastAsia"/>
    </w:rPr>
  </w:style>
  <w:style w:type="paragraph" w:customStyle="1" w:styleId="497">
    <w:name w:val="附录四级无标题条"/>
    <w:basedOn w:val="280"/>
    <w:qFormat/>
    <w:uiPriority w:val="0"/>
    <w:pPr>
      <w:spacing w:before="0" w:beforeLines="0" w:after="0" w:afterLines="0"/>
      <w:outlineLvl w:val="9"/>
    </w:pPr>
    <w:rPr>
      <w:rFonts w:asciiTheme="majorEastAsia" w:eastAsiaTheme="majorEastAsia"/>
    </w:rPr>
  </w:style>
  <w:style w:type="paragraph" w:customStyle="1" w:styleId="498">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9">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500">
    <w:name w:val="发布GB"/>
    <w:basedOn w:val="40"/>
    <w:qFormat/>
    <w:uiPriority w:val="0"/>
    <w:pPr>
      <w:spacing w:after="0" w:line="280" w:lineRule="exact"/>
      <w:ind w:left="284"/>
    </w:pPr>
    <w:rPr>
      <w:rFonts w:ascii="黑体" w:eastAsia="黑体"/>
      <w:kern w:val="3"/>
      <w:sz w:val="28"/>
    </w:rPr>
  </w:style>
  <w:style w:type="paragraph" w:customStyle="1" w:styleId="501">
    <w:name w:val="发布DB"/>
    <w:basedOn w:val="500"/>
    <w:qFormat/>
    <w:uiPriority w:val="0"/>
    <w:pPr>
      <w:ind w:left="567"/>
    </w:pPr>
  </w:style>
  <w:style w:type="paragraph" w:customStyle="1" w:styleId="502">
    <w:name w:val="发布HB"/>
    <w:basedOn w:val="500"/>
    <w:qFormat/>
    <w:uiPriority w:val="0"/>
    <w:pPr>
      <w:ind w:left="567"/>
    </w:pPr>
  </w:style>
  <w:style w:type="paragraph" w:customStyle="1" w:styleId="503">
    <w:name w:val="发布QB"/>
    <w:basedOn w:val="500"/>
    <w:qFormat/>
    <w:uiPriority w:val="0"/>
    <w:pPr>
      <w:ind w:left="567"/>
    </w:pPr>
  </w:style>
  <w:style w:type="paragraph" w:customStyle="1" w:styleId="504">
    <w:name w:val="发布TB"/>
    <w:basedOn w:val="500"/>
    <w:qFormat/>
    <w:uiPriority w:val="0"/>
    <w:pPr>
      <w:ind w:left="567"/>
    </w:pPr>
  </w:style>
  <w:style w:type="paragraph" w:customStyle="1" w:styleId="505">
    <w:name w:val="发布部门TB"/>
    <w:basedOn w:val="1"/>
    <w:qFormat/>
    <w:uiPriority w:val="0"/>
    <w:pPr>
      <w:widowControl/>
      <w:spacing w:line="360" w:lineRule="exact"/>
      <w:jc w:val="center"/>
    </w:pPr>
    <w:rPr>
      <w:rFonts w:ascii="宋体"/>
      <w:b/>
      <w:kern w:val="0"/>
      <w:sz w:val="36"/>
      <w:szCs w:val="20"/>
    </w:rPr>
  </w:style>
  <w:style w:type="paragraph" w:customStyle="1" w:styleId="506">
    <w:name w:val="Body text|6"/>
    <w:basedOn w:val="1"/>
    <w:qFormat/>
    <w:uiPriority w:val="0"/>
    <w:pPr>
      <w:jc w:val="center"/>
    </w:pPr>
    <w:rPr>
      <w:rFonts w:ascii="宋体" w:hAnsi="宋体" w:cs="宋体"/>
      <w:sz w:val="15"/>
      <w:szCs w:val="15"/>
      <w:lang w:val="zh-TW" w:eastAsia="zh-TW" w:bidi="zh-TW"/>
    </w:rPr>
  </w:style>
  <w:style w:type="paragraph" w:customStyle="1" w:styleId="507">
    <w:name w:val="Body text|1"/>
    <w:basedOn w:val="1"/>
    <w:qFormat/>
    <w:uiPriority w:val="0"/>
    <w:pPr>
      <w:spacing w:line="338" w:lineRule="auto"/>
      <w:ind w:firstLine="380"/>
    </w:pPr>
    <w:rPr>
      <w:rFonts w:ascii="宋体" w:hAnsi="宋体" w:cs="宋体"/>
      <w:sz w:val="18"/>
      <w:szCs w:val="18"/>
      <w:lang w:val="zh-TW" w:eastAsia="zh-TW" w:bidi="zh-TW"/>
    </w:rPr>
  </w:style>
  <w:style w:type="paragraph" w:customStyle="1" w:styleId="508">
    <w:name w:val="标准文件_章标题"/>
    <w:next w:val="509"/>
    <w:qFormat/>
    <w:uiPriority w:val="0"/>
    <w:pPr>
      <w:numPr>
        <w:ilvl w:val="1"/>
        <w:numId w:val="27"/>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50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0">
    <w:name w:val="标准文件_一级条标题"/>
    <w:basedOn w:val="508"/>
    <w:next w:val="509"/>
    <w:qFormat/>
    <w:uiPriority w:val="0"/>
    <w:pPr>
      <w:numPr>
        <w:ilvl w:val="2"/>
      </w:numPr>
      <w:spacing w:before="50" w:beforeLines="50" w:after="50" w:afterLines="50"/>
      <w:outlineLvl w:val="1"/>
    </w:pPr>
  </w:style>
  <w:style w:type="paragraph" w:customStyle="1" w:styleId="511">
    <w:name w:val="Body text|2"/>
    <w:basedOn w:val="1"/>
    <w:qFormat/>
    <w:uiPriority w:val="0"/>
    <w:pPr>
      <w:spacing w:line="319" w:lineRule="auto"/>
      <w:ind w:firstLine="380"/>
    </w:pPr>
    <w:rPr>
      <w:sz w:val="19"/>
      <w:szCs w:val="19"/>
    </w:rPr>
  </w:style>
  <w:style w:type="paragraph" w:customStyle="1" w:styleId="512">
    <w:name w:val="Table caption|1"/>
    <w:basedOn w:val="1"/>
    <w:qFormat/>
    <w:uiPriority w:val="0"/>
    <w:rPr>
      <w:rFonts w:ascii="宋体" w:hAnsi="宋体" w:cs="宋体"/>
      <w:sz w:val="18"/>
      <w:szCs w:val="18"/>
      <w:lang w:val="zh-TW" w:eastAsia="zh-TW" w:bidi="zh-TW"/>
    </w:rPr>
  </w:style>
  <w:style w:type="paragraph" w:customStyle="1" w:styleId="513">
    <w:name w:val="Other|1"/>
    <w:basedOn w:val="1"/>
    <w:qFormat/>
    <w:uiPriority w:val="0"/>
    <w:pPr>
      <w:spacing w:line="338" w:lineRule="auto"/>
      <w:ind w:firstLine="380"/>
    </w:pPr>
    <w:rPr>
      <w:rFonts w:ascii="宋体" w:hAnsi="宋体" w:cs="宋体"/>
      <w:sz w:val="18"/>
      <w:szCs w:val="18"/>
      <w:lang w:val="zh-TW" w:eastAsia="zh-TW" w:bidi="zh-TW"/>
    </w:rPr>
  </w:style>
  <w:style w:type="paragraph" w:customStyle="1" w:styleId="514">
    <w:name w:val="Header or footer|1"/>
    <w:basedOn w:val="1"/>
    <w:qFormat/>
    <w:uiPriority w:val="0"/>
    <w:rPr>
      <w:b/>
      <w:bCs/>
      <w:sz w:val="19"/>
      <w:szCs w:val="19"/>
    </w:rPr>
  </w:style>
  <w:style w:type="paragraph" w:customStyle="1" w:styleId="515">
    <w:name w:val="Table Text"/>
    <w:basedOn w:val="1"/>
    <w:semiHidden/>
    <w:qFormat/>
    <w:uiPriority w:val="0"/>
    <w:rPr>
      <w:rFonts w:ascii="宋体" w:hAnsi="宋体" w:eastAsia="宋体" w:cs="宋体"/>
      <w:sz w:val="21"/>
      <w:szCs w:val="21"/>
      <w:lang w:val="en-US" w:eastAsia="en-US" w:bidi="ar-SA"/>
    </w:rPr>
  </w:style>
  <w:style w:type="table" w:customStyle="1" w:styleId="5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C0D5CE-5E97-4EFC-922C-F3E8EF5D4E1C}">
  <ds:schemaRefs/>
</ds:datastoreItem>
</file>

<file path=docProps/app.xml><?xml version="1.0" encoding="utf-8"?>
<Properties xmlns="http://schemas.openxmlformats.org/officeDocument/2006/extended-properties" xmlns:vt="http://schemas.openxmlformats.org/officeDocument/2006/docPropsVTypes">
  <Template>bzbx20.dotx</Template>
  <Pages>10</Pages>
  <Words>3970</Words>
  <Characters>4451</Characters>
  <Lines>1</Lines>
  <Paragraphs>1</Paragraphs>
  <TotalTime>15</TotalTime>
  <ScaleCrop>false</ScaleCrop>
  <LinksUpToDate>false</LinksUpToDate>
  <CharactersWithSpaces>4692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2023-03-28T06:39:00Z</dcterms:created>
  <dc:creator>爱幻想的假行僧</dc:creator>
  <cp:lastModifiedBy>爱幻想的假行僧</cp:lastModifiedBy>
  <cp:lastPrinted>2024-11-12T02:12:00Z</cp:lastPrinted>
  <dcterms:modified xsi:type="dcterms:W3CDTF">2024-11-12T06:29:37Z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BBADB2B1A4F64B0F97E2202E240D81F8_13</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ICS" linkTarget="ICS">
    <vt:lpwstr>ICS</vt:lpwstr>
  </property>
  <property fmtid="{D5CDD505-2E9C-101B-9397-08002B2CF9AE}" pid="7" name="CCS" linkTarget="CCS">
    <vt:lpwstr>CCS</vt:lpwstr>
  </property>
  <property fmtid="{D5CDD505-2E9C-101B-9397-08002B2CF9AE}" pid="8" name="BAH" linkTarget="BAH">
    <vt:lpwstr>备案号：</vt:lpwstr>
  </property>
  <property fmtid="{D5CDD505-2E9C-101B-9397-08002B2CF9AE}" pid="9" name="BT" linkTarget="BT">
    <vt:lpwstr>泰州市地方标准</vt:lpwstr>
  </property>
  <property fmtid="{D5CDD505-2E9C-101B-9397-08002B2CF9AE}" pid="10" name="BZBH" linkTarget="BZBH">
    <vt:lpwstr>DB</vt:lpwstr>
  </property>
  <property fmtid="{D5CDD505-2E9C-101B-9397-08002B2CF9AE}" pid="11" name="TDBH" linkTarget="TDBH">
    <vt:lpwstr/>
  </property>
  <property fmtid="{D5CDD505-2E9C-101B-9397-08002B2CF9AE}" pid="12" name="BZMC" linkTarget="BZMC">
    <vt:lpwstr>公务用车
公务用车服务保障规范</vt:lpwstr>
  </property>
  <property fmtid="{D5CDD505-2E9C-101B-9397-08002B2CF9AE}" pid="13" name="YWMC" linkTarget="YWMC">
    <vt:lpwstr>英文名称</vt:lpwstr>
  </property>
  <property fmtid="{D5CDD505-2E9C-101B-9397-08002B2CF9AE}" pid="14" name="CBCD" linkTarget="CBCD">
    <vt:lpwstr>（与国际标准一致性程度的标识）</vt:lpwstr>
  </property>
  <property fmtid="{D5CDD505-2E9C-101B-9397-08002B2CF9AE}" pid="15" name="WGLB" linkTarget="WGLB">
    <vt:lpwstr>（不设文稿类别）</vt:lpwstr>
  </property>
  <property fmtid="{D5CDD505-2E9C-101B-9397-08002B2CF9AE}" pid="16" name="FBRQ" linkTarget="FBRQ">
    <vt:lpwstr>2023—XX—XX</vt:lpwstr>
  </property>
  <property fmtid="{D5CDD505-2E9C-101B-9397-08002B2CF9AE}" pid="17" name="SSRQ" linkTarget="SSRQ">
    <vt:lpwstr>2023—XX—XX</vt:lpwstr>
  </property>
  <property fmtid="{D5CDD505-2E9C-101B-9397-08002B2CF9AE}" pid="18" name="BZLX" linkTarget="BZLX">
    <vt:lpwstr>DB32</vt:lpwstr>
  </property>
  <property fmtid="{D5CDD505-2E9C-101B-9397-08002B2CF9AE}" pid="19" name="标准类型" linkTarget="标准类型">
    <vt:lpwstr>DB</vt:lpwstr>
  </property>
  <property fmtid="{D5CDD505-2E9C-101B-9397-08002B2CF9AE}" pid="20" name="FBDW" linkTarget="FBDW">
    <vt:lpwstr>泰州市市场监督管理局</vt:lpwstr>
  </property>
  <property fmtid="{D5CDD505-2E9C-101B-9397-08002B2CF9AE}" pid="21" name="IMAGE" linkTarget="IMAGE">
    <vt:lpwstr/>
  </property>
  <property fmtid="{D5CDD505-2E9C-101B-9397-08002B2CF9AE}" pid="22" name="KSOProductBuildVer">
    <vt:lpwstr>2052-12.1.0.18608</vt:lpwstr>
  </property>
</Properties>
</file>