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framePr w:wrap="around"/>
        <w:rPr>
          <w:rFonts w:hint="default" w:ascii="Times New Roman" w:eastAsia="黑体"/>
          <w:color w:val="auto"/>
          <w:lang w:val="en-US" w:eastAsia="zh-CN"/>
        </w:rPr>
      </w:pPr>
      <w:r>
        <w:rPr>
          <w:rFonts w:hint="default" w:ascii="Times New Roman"/>
          <w:color w:val="auto"/>
          <w:lang w:val="en-US" w:eastAsia="zh-CN"/>
        </w:rPr>
        <w:t>CCS 13.020.10</w:t>
      </w:r>
    </w:p>
    <w:p>
      <w:pPr>
        <w:pStyle w:val="35"/>
        <w:framePr w:wrap="around"/>
        <w:rPr>
          <w:color w:val="auto"/>
        </w:rPr>
      </w:pPr>
      <w:r>
        <w:rPr>
          <w:rFonts w:ascii="Times New Roman"/>
          <w:color w:val="auto"/>
        </w:rPr>
        <w:t>ICS</w:t>
      </w:r>
      <w:r>
        <w:rPr>
          <w:rFonts w:hAnsi="黑体"/>
          <w:color w:val="auto"/>
        </w:rPr>
        <w:t> </w:t>
      </w:r>
      <w:r>
        <w:rPr>
          <w:rFonts w:hint="eastAsia" w:hAnsi="黑体"/>
          <w:color w:val="auto"/>
          <w:lang w:val="en-US" w:eastAsia="zh-CN"/>
        </w:rPr>
        <w:t>Z 01</w:t>
      </w:r>
    </w:p>
    <w:p>
      <w:pPr>
        <w:pStyle w:val="36"/>
        <w:framePr w:wrap="around"/>
      </w:pPr>
      <w:r>
        <w:t>D</w:t>
      </w:r>
      <w:r>
        <w:rPr>
          <w:spacing w:val="100"/>
        </w:rPr>
        <w:t>B</w:t>
      </w:r>
      <w:r>
        <w:fldChar w:fldCharType="begin"/>
      </w:r>
      <w:bookmarkStart w:id="0" w:name="c3"/>
      <w:r>
        <w:instrText xml:space="preserve"> FORMTEXT </w:instrText>
      </w:r>
      <w:r>
        <w:fldChar w:fldCharType="separate"/>
      </w:r>
      <w:r>
        <w:t>62</w:t>
      </w:r>
      <w:r>
        <w:fldChar w:fldCharType="end"/>
      </w:r>
      <w:bookmarkEnd w:id="0"/>
    </w:p>
    <w:p>
      <w:pPr>
        <w:pStyle w:val="38"/>
        <w:framePr w:wrap="around"/>
      </w:pPr>
      <w:r>
        <w:rPr>
          <w:rFonts w:hint="eastAsia"/>
        </w:rPr>
        <w:t>甘肃省</w:t>
      </w:r>
      <w:r>
        <w:t>地方标准</w:t>
      </w:r>
    </w:p>
    <w:p>
      <w:pPr>
        <w:pStyle w:val="39"/>
        <w:framePr w:wrap="around"/>
        <w:rPr>
          <w:rFonts w:hAnsi="黑体"/>
        </w:rPr>
      </w:pPr>
      <w:r>
        <w:rPr>
          <w:rFonts w:ascii="Times New Roman"/>
        </w:rPr>
        <w:t xml:space="preserve">DB </w:t>
      </w:r>
      <w:r>
        <w:rPr>
          <w:rFonts w:hAnsi="黑体"/>
        </w:rPr>
        <w:fldChar w:fldCharType="begin"/>
      </w:r>
      <w:bookmarkStart w:id="1" w:name="StdNo0"/>
      <w:r>
        <w:rPr>
          <w:rFonts w:hAnsi="黑体"/>
        </w:rPr>
        <w:instrText xml:space="preserve"> FORMTEXT </w:instrText>
      </w:r>
      <w:r>
        <w:rPr>
          <w:rFonts w:hAnsi="黑体"/>
        </w:rPr>
        <w:fldChar w:fldCharType="separate"/>
      </w:r>
      <w:r>
        <w:rPr>
          <w:rFonts w:hAnsi="黑体"/>
        </w:rPr>
        <w:t>62</w:t>
      </w:r>
      <w:r>
        <w:rPr>
          <w:rFonts w:ascii="Times New Roman"/>
        </w:rPr>
        <w:t>/T</w:t>
      </w:r>
      <w:r>
        <w:rPr>
          <w:rFonts w:hAnsi="黑体"/>
        </w:rPr>
        <w:fldChar w:fldCharType="end"/>
      </w:r>
      <w:bookmarkEnd w:id="1"/>
      <w:r>
        <w:rPr>
          <w:rFonts w:hAnsi="黑体"/>
        </w:rPr>
        <w:fldChar w:fldCharType="begin"/>
      </w:r>
      <w:bookmarkStart w:id="2" w:name="StdNo1"/>
      <w:r>
        <w:rPr>
          <w:rFonts w:hAnsi="黑体"/>
        </w:rPr>
        <w:instrText xml:space="preserve"> FORMTEXT </w:instrText>
      </w:r>
      <w:r>
        <w:rPr>
          <w:rFonts w:hAnsi="黑体"/>
        </w:rPr>
        <w:fldChar w:fldCharType="separate"/>
      </w:r>
      <w:r>
        <w:rPr>
          <w:rFonts w:hAnsi="黑体"/>
        </w:rPr>
        <w:t>××××</w:t>
      </w:r>
      <w:r>
        <w:rPr>
          <w:rFonts w:hAnsi="黑体"/>
        </w:rPr>
        <w:fldChar w:fldCharType="end"/>
      </w:r>
      <w:bookmarkEnd w:id="2"/>
      <w:r>
        <w:rPr>
          <w:rFonts w:hAnsi="黑体"/>
        </w:rPr>
        <w:t>—</w:t>
      </w:r>
      <w:r>
        <w:rPr>
          <w:rFonts w:hAnsi="黑体"/>
        </w:rPr>
        <w:fldChar w:fldCharType="begin"/>
      </w:r>
      <w:bookmarkStart w:id="3" w:name="StdNo2"/>
      <w:r>
        <w:rPr>
          <w:rFonts w:hAnsi="黑体"/>
        </w:rPr>
        <w:instrText xml:space="preserve"> FORMTEXT </w:instrText>
      </w:r>
      <w:r>
        <w:rPr>
          <w:rFonts w:hAnsi="黑体"/>
        </w:rPr>
        <w:fldChar w:fldCharType="separate"/>
      </w:r>
      <w:r>
        <w:rPr>
          <w:rFonts w:hAnsi="黑体"/>
        </w:rPr>
        <w:t>××××</w:t>
      </w:r>
      <w:r>
        <w:rPr>
          <w:rFonts w:hAnsi="黑体"/>
        </w:rPr>
        <w:fldChar w:fldCharType="end"/>
      </w:r>
      <w:bookmarkEnd w:id="3"/>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0" w:type="dxa"/>
            <w:tcBorders>
              <w:top w:val="nil"/>
              <w:left w:val="nil"/>
              <w:bottom w:val="nil"/>
              <w:right w:val="nil"/>
            </w:tcBorders>
          </w:tcPr>
          <w:p>
            <w:pPr>
              <w:pStyle w:val="40"/>
              <w:framePr w:wrap="around"/>
            </w:pPr>
            <w:r>
              <mc:AlternateContent>
                <mc:Choice Requires="wps">
                  <w:drawing>
                    <wp:anchor distT="0" distB="0" distL="0" distR="0" simplePos="0" relativeHeight="251659264"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1026"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pPr>
                                    <w:jc w:val="center"/>
                                  </w:pPr>
                                </w:p>
                              </w:txbxContent>
                            </wps:txbx>
                            <wps:bodyPr vert="horz" wrap="square" lIns="91440" tIns="45720" rIns="91440" bIns="45720" anchor="ctr">
                              <a:noAutofit/>
                            </wps:bodyPr>
                          </wps:wsp>
                        </a:graphicData>
                      </a:graphic>
                    </wp:anchor>
                  </w:drawing>
                </mc:Choice>
                <mc:Fallback>
                  <w:pict>
                    <v:rect id="DT" o:spid="_x0000_s1026" o:spt="1" style="position:absolute;left:0pt;margin-left:367.4pt;margin-top:2.7pt;height:18pt;width:90pt;z-index:-251657216;v-text-anchor:middle;mso-width-relative:page;mso-height-relative:page;" fillcolor="#FFFFFF" filled="t" stroked="f" coordsize="21600,21600" o:gfxdata="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ju9tLWAAAACAEAAA8AAAAA&#10;AAAAAQAgAAAAIgAAAGRycy9kb3ducmV2LnhtbFBLAQIUABQAAAAIAIdO4kAeqv0q3QEAANADAAAO&#10;AAAAAAAAAAEAIAAAACUBAABkcnMvZTJvRG9jLnhtbFBLBQYAAAAABgAGAFkBAAB0BQAAAAA=&#10;">
                      <v:fill on="t" focussize="0,0"/>
                      <v:stroke on="f"/>
                      <v:imagedata o:title=""/>
                      <o:lock v:ext="edit" aspectratio="f"/>
                      <v:textbox>
                        <w:txbxContent>
                          <w:p>
                            <w:pPr>
                              <w:jc w:val="center"/>
                            </w:pPr>
                          </w:p>
                        </w:txbxContent>
                      </v:textbox>
                    </v:rect>
                  </w:pict>
                </mc:Fallback>
              </mc:AlternateContent>
            </w:r>
            <w:r>
              <w:fldChar w:fldCharType="begin"/>
            </w:r>
            <w:bookmarkStart w:id="4" w:name="DT"/>
            <w:r>
              <w:instrText xml:space="preserve"> FORMTEXT </w:instrText>
            </w:r>
            <w:r>
              <w:fldChar w:fldCharType="separate"/>
            </w:r>
            <w:r>
              <w:t>     </w:t>
            </w:r>
            <w:r>
              <w:fldChar w:fldCharType="end"/>
            </w:r>
            <w:bookmarkEnd w:id="4"/>
          </w:p>
        </w:tc>
      </w:tr>
    </w:tbl>
    <w:p>
      <w:pPr>
        <w:pStyle w:val="39"/>
        <w:framePr w:wrap="around"/>
        <w:rPr>
          <w:rFonts w:hAnsi="黑体"/>
        </w:rPr>
      </w:pPr>
    </w:p>
    <w:p>
      <w:pPr>
        <w:pStyle w:val="39"/>
        <w:framePr w:wrap="around"/>
        <w:rPr>
          <w:rFonts w:hAnsi="黑体"/>
        </w:rPr>
      </w:pPr>
    </w:p>
    <w:p>
      <w:pPr>
        <w:pStyle w:val="41"/>
        <w:framePr w:wrap="around" w:x="1488" w:y="6290"/>
        <w:rPr>
          <w:rFonts w:hint="eastAsia" w:eastAsia="黑体"/>
          <w:spacing w:val="-20"/>
          <w:lang w:eastAsia="zh-CN"/>
        </w:rPr>
      </w:pPr>
      <w:r>
        <w:rPr>
          <w:rFonts w:hint="eastAsia"/>
          <w:spacing w:val="-20"/>
        </w:rPr>
        <w:t>工业园区突发环境事件风险评估</w:t>
      </w:r>
      <w:r>
        <w:rPr>
          <w:rFonts w:hint="eastAsia"/>
          <w:spacing w:val="-20"/>
          <w:lang w:val="en-US" w:eastAsia="zh-CN"/>
        </w:rPr>
        <w:t>技术规范</w:t>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tcPr>
          <w:p>
            <w:pPr>
              <w:pStyle w:val="42"/>
              <w:framePr w:wrap="around" w:x="1488" w:y="6290"/>
            </w:pPr>
            <w:r>
              <w:rPr>
                <w:rFonts w:ascii="Times New Roman"/>
              </w:rPr>
              <w:t>（</w:t>
            </w:r>
            <w:r>
              <w:rPr>
                <w:rFonts w:hint="eastAsia" w:ascii="Times New Roman"/>
                <w:lang w:val="en-US" w:eastAsia="zh-CN"/>
              </w:rPr>
              <w:t>征求意见稿</w:t>
            </w:r>
            <w:r>
              <w:rPr>
                <w:rFonts w:ascii="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tcPr>
          <w:p>
            <w:pPr>
              <w:pStyle w:val="45"/>
              <w:framePr w:wrap="around" w:x="1488" w:y="6290"/>
              <w:rPr>
                <w:sz w:val="24"/>
              </w:rPr>
            </w:pPr>
          </w:p>
          <w:p>
            <w:pPr>
              <w:pStyle w:val="45"/>
              <w:framePr w:wrap="around" w:x="1488" w:y="6290"/>
              <w:rPr>
                <w:sz w:val="24"/>
              </w:rPr>
            </w:pPr>
          </w:p>
          <w:p>
            <w:pPr>
              <w:pStyle w:val="45"/>
              <w:framePr w:wrap="around" w:x="1488" w:y="6290"/>
              <w:rPr>
                <w:sz w:val="24"/>
              </w:rPr>
            </w:pPr>
          </w:p>
          <w:p>
            <w:pPr>
              <w:pStyle w:val="45"/>
              <w:framePr w:wrap="around" w:x="1488" w:y="6290"/>
              <w:rPr>
                <w:sz w:val="24"/>
              </w:rPr>
            </w:pPr>
          </w:p>
          <w:p>
            <w:pPr>
              <w:pStyle w:val="45"/>
              <w:framePr w:wrap="around" w:x="1488" w:y="6290"/>
              <w:rPr>
                <w:sz w:val="24"/>
              </w:rPr>
            </w:pPr>
          </w:p>
          <w:p>
            <w:pPr>
              <w:pStyle w:val="45"/>
              <w:framePr w:wrap="around" w:x="1488" w:y="6290"/>
              <w:rPr>
                <w:sz w:val="24"/>
              </w:rPr>
            </w:pPr>
          </w:p>
          <w:p>
            <w:pPr>
              <w:pStyle w:val="45"/>
              <w:framePr w:wrap="around" w:x="1488" w:y="6290"/>
              <w:rPr>
                <w:sz w:val="24"/>
              </w:rPr>
            </w:pPr>
          </w:p>
          <w:p>
            <w:pPr>
              <w:pStyle w:val="45"/>
              <w:framePr w:wrap="around" w:x="1488" w:y="6290"/>
              <w:rPr>
                <w:sz w:val="24"/>
              </w:rPr>
            </w:pPr>
            <w:r>
              <w:rPr>
                <w:rFonts w:hint="eastAsia"/>
                <w:sz w:val="24"/>
              </w:rPr>
              <w:t>起草单位：甘肃省生态环境应急与事故调查中心</w:t>
            </w:r>
          </w:p>
        </w:tc>
      </w:tr>
    </w:tbl>
    <w:p>
      <w:pPr>
        <w:pStyle w:val="46"/>
        <w:framePr w:wrap="around"/>
      </w:pPr>
      <w:r>
        <w:rPr>
          <w:rFonts w:ascii="黑体"/>
        </w:rPr>
        <w:fldChar w:fldCharType="begin"/>
      </w:r>
      <w:bookmarkStart w:id="5" w:name="FY"/>
      <w:r>
        <w:rPr>
          <w:rFonts w:ascii="黑体"/>
        </w:rPr>
        <w:instrText xml:space="preserve"> FORMTEXT </w:instrText>
      </w:r>
      <w:r>
        <w:rPr>
          <w:rFonts w:ascii="黑体"/>
        </w:rPr>
        <w:fldChar w:fldCharType="separate"/>
      </w:r>
      <w:r>
        <w:rPr>
          <w:rFonts w:ascii="黑体"/>
        </w:rPr>
        <w:t>××××</w:t>
      </w:r>
      <w:r>
        <w:rPr>
          <w:rFonts w:ascii="黑体"/>
        </w:rPr>
        <w:fldChar w:fldCharType="end"/>
      </w:r>
      <w:bookmarkEnd w:id="5"/>
      <w:r>
        <w:rPr>
          <w:rFonts w:ascii="黑体"/>
        </w:rPr>
        <w:t>-</w:t>
      </w:r>
      <w:r>
        <w:rPr>
          <w:rFonts w:ascii="黑体"/>
        </w:rPr>
        <w:fldChar w:fldCharType="begin"/>
      </w:r>
      <w:r>
        <w:rPr>
          <w:rFonts w:ascii="黑体"/>
        </w:rPr>
        <w:instrText xml:space="preserve"> FORMTEXT </w:instrText>
      </w:r>
      <w:r>
        <w:rPr>
          <w:rFonts w:ascii="黑体"/>
        </w:rPr>
        <w:fldChar w:fldCharType="separate"/>
      </w:r>
      <w:r>
        <w:rPr>
          <w:rFonts w:ascii="黑体"/>
        </w:rPr>
        <w:t>××</w:t>
      </w:r>
      <w:r>
        <w:rPr>
          <w:rFonts w:ascii="黑体"/>
        </w:rPr>
        <w:fldChar w:fldCharType="end"/>
      </w:r>
      <w:r>
        <w:rPr>
          <w:rFonts w:ascii="黑体"/>
        </w:rPr>
        <w:t>-</w:t>
      </w:r>
      <w:r>
        <w:rPr>
          <w:rFonts w:ascii="黑体"/>
        </w:rPr>
        <w:fldChar w:fldCharType="begin"/>
      </w:r>
      <w:bookmarkStart w:id="6" w:name="FD"/>
      <w:r>
        <w:rPr>
          <w:rFonts w:ascii="黑体"/>
        </w:rPr>
        <w:instrText xml:space="preserve"> FORMTEXT </w:instrText>
      </w:r>
      <w:r>
        <w:rPr>
          <w:rFonts w:ascii="黑体"/>
        </w:rPr>
        <w:fldChar w:fldCharType="separate"/>
      </w:r>
      <w:r>
        <w:rPr>
          <w:rFonts w:ascii="黑体"/>
        </w:rPr>
        <w:t>××</w:t>
      </w:r>
      <w:r>
        <w:rPr>
          <w:rFonts w:ascii="黑体"/>
        </w:rPr>
        <w:fldChar w:fldCharType="end"/>
      </w:r>
      <w:bookmarkEnd w:id="6"/>
      <w:r>
        <w:rPr>
          <w:rFonts w:hint="eastAsia"/>
        </w:rPr>
        <w:t>发布</w:t>
      </w:r>
      <w:r>
        <mc:AlternateContent>
          <mc:Choice Requires="wps">
            <w:drawing>
              <wp:anchor distT="0" distB="0" distL="0" distR="0" simplePos="0" relativeHeight="251660288" behindDoc="0" locked="0" layoutInCell="1" allowOverlap="1">
                <wp:simplePos x="0" y="0"/>
                <wp:positionH relativeFrom="column">
                  <wp:posOffset>-243205</wp:posOffset>
                </wp:positionH>
                <wp:positionV relativeFrom="paragraph">
                  <wp:posOffset>2339975</wp:posOffset>
                </wp:positionV>
                <wp:extent cx="6120130" cy="0"/>
                <wp:effectExtent l="0" t="4445" r="0" b="5080"/>
                <wp:wrapNone/>
                <wp:docPr id="1027" name="直接连接符 25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3" o:spid="_x0000_s1026" o:spt="20" style="position:absolute;left:0pt;margin-left:-19.15pt;margin-top:184.25pt;height:0pt;width:481.9pt;z-index:251660288;mso-width-relative:page;mso-height-relative:page;" filled="f" stroked="t" coordsize="21600,21600" o:gfxdata="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Tze/P1wAAAAsBAAAPAAAAAAAAAAEAIAAA&#10;ACIAAABkcnMvZG93bnJldi54bWxQSwECFAAUAAAACACHTuJAOsUCb9QBAACTAwAADgAAAAAAAAAB&#10;ACAAAAAmAQAAZHJzL2Uyb0RvYy54bWxQSwUGAAAAAAYABgBZAQAAbAUAAAAA&#10;">
                <v:fill on="f" focussize="0,0"/>
                <v:stroke color="#000000" joinstyle="round"/>
                <v:imagedata o:title=""/>
                <o:lock v:ext="edit" aspectratio="f"/>
              </v:line>
            </w:pict>
          </mc:Fallback>
        </mc:AlternateContent>
      </w:r>
      <w:r>
        <mc:AlternateContent>
          <mc:Choice Requires="wps">
            <w:drawing>
              <wp:anchor distT="0" distB="0" distL="0" distR="0" simplePos="0" relativeHeight="251661312" behindDoc="0" locked="0" layoutInCell="1" allowOverlap="1">
                <wp:simplePos x="0" y="0"/>
                <wp:positionH relativeFrom="column">
                  <wp:posOffset>-243205</wp:posOffset>
                </wp:positionH>
                <wp:positionV relativeFrom="paragraph">
                  <wp:posOffset>8891905</wp:posOffset>
                </wp:positionV>
                <wp:extent cx="6120130" cy="0"/>
                <wp:effectExtent l="0" t="4445" r="0" b="5080"/>
                <wp:wrapNone/>
                <wp:docPr id="1028" name="直接连接符 25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2" o:spid="_x0000_s1026" o:spt="20" style="position:absolute;left:0pt;margin-left:-19.15pt;margin-top:700.15pt;height:0pt;width:481.9pt;z-index:251661312;mso-width-relative:page;mso-height-relative:page;" filled="f" stroked="t" coordsize="21600,21600" o:gfxdata="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1CQk2AAAAA0BAAAPAAAAAAAAAAEAIAAA&#10;ACIAAABkcnMvZG93bnJldi54bWxQSwECFAAUAAAACACHTuJA6HR1CNMBAACTAwAADgAAAAAAAAAB&#10;ACAAAAAnAQAAZHJzL2Uyb0RvYy54bWxQSwUGAAAAAAYABgBZAQAAbAUAAAAA&#10;">
                <v:fill on="f" focussize="0,0"/>
                <v:stroke color="#000000" joinstyle="round"/>
                <v:imagedata o:title=""/>
                <o:lock v:ext="edit" aspectratio="f"/>
              </v:line>
            </w:pict>
          </mc:Fallback>
        </mc:AlternateContent>
      </w:r>
    </w:p>
    <w:p>
      <w:pPr>
        <w:pStyle w:val="47"/>
        <w:framePr w:wrap="around"/>
      </w:pPr>
      <w:r>
        <w:rPr>
          <w:rFonts w:ascii="黑体"/>
        </w:rPr>
        <w:fldChar w:fldCharType="begin"/>
      </w:r>
      <w:bookmarkStart w:id="7" w:name="SY"/>
      <w:r>
        <w:rPr>
          <w:rFonts w:ascii="黑体"/>
        </w:rPr>
        <w:instrText xml:space="preserve"> FORMTEXT </w:instrText>
      </w:r>
      <w:r>
        <w:rPr>
          <w:rFonts w:ascii="黑体"/>
        </w:rPr>
        <w:fldChar w:fldCharType="separate"/>
      </w:r>
      <w:r>
        <w:rPr>
          <w:rFonts w:ascii="黑体"/>
        </w:rPr>
        <w:t>××××</w:t>
      </w:r>
      <w:r>
        <w:rPr>
          <w:rFonts w:ascii="黑体"/>
        </w:rPr>
        <w:fldChar w:fldCharType="end"/>
      </w:r>
      <w:bookmarkEnd w:id="7"/>
      <w:r>
        <w:rPr>
          <w:rFonts w:ascii="黑体"/>
        </w:rPr>
        <w:t>-</w:t>
      </w:r>
      <w:r>
        <w:rPr>
          <w:rFonts w:ascii="黑体"/>
        </w:rPr>
        <w:fldChar w:fldCharType="begin"/>
      </w:r>
      <w:bookmarkStart w:id="8" w:name="SM"/>
      <w:r>
        <w:rPr>
          <w:rFonts w:ascii="黑体"/>
        </w:rPr>
        <w:instrText xml:space="preserve"> FORMTEXT </w:instrText>
      </w:r>
      <w:r>
        <w:rPr>
          <w:rFonts w:ascii="黑体"/>
        </w:rPr>
        <w:fldChar w:fldCharType="separate"/>
      </w:r>
      <w:r>
        <w:rPr>
          <w:rFonts w:ascii="黑体"/>
        </w:rPr>
        <w:t>××</w:t>
      </w:r>
      <w:r>
        <w:rPr>
          <w:rFonts w:ascii="黑体"/>
        </w:rPr>
        <w:fldChar w:fldCharType="end"/>
      </w:r>
      <w:bookmarkEnd w:id="8"/>
      <w:r>
        <w:rPr>
          <w:rFonts w:ascii="黑体"/>
        </w:rPr>
        <w:t>-</w:t>
      </w:r>
      <w:r>
        <w:rPr>
          <w:rFonts w:ascii="黑体"/>
        </w:rPr>
        <w:fldChar w:fldCharType="begin"/>
      </w:r>
      <w:bookmarkStart w:id="9" w:name="SD"/>
      <w:r>
        <w:rPr>
          <w:rFonts w:ascii="黑体"/>
        </w:rPr>
        <w:instrText xml:space="preserve"> FORMTEXT </w:instrText>
      </w:r>
      <w:r>
        <w:rPr>
          <w:rFonts w:ascii="黑体"/>
        </w:rPr>
        <w:fldChar w:fldCharType="separate"/>
      </w:r>
      <w:r>
        <w:rPr>
          <w:rFonts w:ascii="黑体"/>
        </w:rPr>
        <w:t>××</w:t>
      </w:r>
      <w:r>
        <w:rPr>
          <w:rFonts w:ascii="黑体"/>
        </w:rPr>
        <w:fldChar w:fldCharType="end"/>
      </w:r>
      <w:bookmarkEnd w:id="9"/>
      <w:r>
        <w:rPr>
          <w:rFonts w:hint="eastAsia"/>
        </w:rPr>
        <w:t>实施</w:t>
      </w:r>
    </w:p>
    <w:p>
      <w:pPr>
        <w:pStyle w:val="49"/>
        <w:framePr w:wrap="around"/>
      </w:pPr>
      <w:r>
        <w:fldChar w:fldCharType="begin"/>
      </w:r>
      <w:bookmarkStart w:id="10" w:name="fm"/>
      <w:r>
        <w:instrText xml:space="preserve"> FORMTEXT </w:instrText>
      </w:r>
      <w:r>
        <w:fldChar w:fldCharType="separate"/>
      </w:r>
      <w:r>
        <w:t>     </w:t>
      </w:r>
      <w:r>
        <w:fldChar w:fldCharType="end"/>
      </w:r>
      <w:bookmarkEnd w:id="10"/>
      <w:r>
        <w:rPr>
          <w:rStyle w:val="52"/>
          <w:rFonts w:hint="eastAsia"/>
        </w:rPr>
        <w:t>发布</w:t>
      </w:r>
    </w:p>
    <w:p>
      <w:pPr>
        <w:pStyle w:val="51"/>
        <w:sectPr>
          <w:pgSz w:w="11906" w:h="16838"/>
          <w:pgMar w:top="567" w:right="850" w:bottom="1440" w:left="1800" w:header="0" w:footer="0" w:gutter="0"/>
          <w:pgNumType w:fmt="upperRoman" w:start="1"/>
          <w:cols w:space="720" w:num="1"/>
          <w:docGrid w:type="lines" w:linePitch="312" w:charSpace="0"/>
        </w:sectPr>
      </w:pPr>
      <w:r>
        <mc:AlternateContent>
          <mc:Choice Requires="wps">
            <w:drawing>
              <wp:anchor distT="0" distB="0" distL="0" distR="0" simplePos="0" relativeHeight="251662336" behindDoc="1" locked="0" layoutInCell="1" allowOverlap="1">
                <wp:simplePos x="0" y="0"/>
                <wp:positionH relativeFrom="column">
                  <wp:posOffset>-309245</wp:posOffset>
                </wp:positionH>
                <wp:positionV relativeFrom="paragraph">
                  <wp:posOffset>396240</wp:posOffset>
                </wp:positionV>
                <wp:extent cx="866775" cy="198120"/>
                <wp:effectExtent l="0" t="0" r="9525" b="11430"/>
                <wp:wrapNone/>
                <wp:docPr id="1029"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pPr>
                              <w:jc w:val="center"/>
                            </w:pPr>
                          </w:p>
                        </w:txbxContent>
                      </wps:txbx>
                      <wps:bodyPr vert="horz" wrap="square" lIns="91440" tIns="45720" rIns="91440" bIns="45720" anchor="ctr">
                        <a:noAutofit/>
                      </wps:bodyPr>
                    </wps:wsp>
                  </a:graphicData>
                </a:graphic>
              </wp:anchor>
            </w:drawing>
          </mc:Choice>
          <mc:Fallback>
            <w:pict>
              <v:rect id="BAH" o:spid="_x0000_s1026" o:spt="1" style="position:absolute;left:0pt;margin-left:-24.35pt;margin-top:31.2pt;height:15.6pt;width:68.25pt;z-index:-251654144;v-text-anchor:middle;mso-width-relative:page;mso-height-relative:page;" fillcolor="#FFFFFF" filled="t" stroked="f" coordsize="21600,21600" o:gfxdata="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see8n2AAAAAgB&#10;AAAPAAAAAAAAAAEAIAAAACIAAABkcnMvZG93bnJldi54bWxQSwECFAAUAAAACACHTuJAr8boquIB&#10;AADQAwAADgAAAAAAAAABACAAAAAnAQAAZHJzL2Uyb0RvYy54bWxQSwUGAAAAAAYABgBZAQAAewUA&#10;AAAA&#10;">
                <v:fill on="t" focussize="0,0"/>
                <v:stroke on="f"/>
                <v:imagedata o:title=""/>
                <o:lock v:ext="edit" aspectratio="f"/>
                <v:textbox>
                  <w:txbxContent>
                    <w:p>
                      <w:pPr>
                        <w:jc w:val="center"/>
                      </w:pPr>
                    </w:p>
                  </w:txbxContent>
                </v:textbox>
              </v:rect>
            </w:pict>
          </mc:Fallback>
        </mc:AlternateContent>
      </w:r>
      <w:r>
        <mc:AlternateContent>
          <mc:Choice Requires="wps">
            <w:drawing>
              <wp:anchor distT="0" distB="0" distL="0" distR="0" simplePos="0" relativeHeight="251662336" behindDoc="0" locked="0" layoutInCell="1" allowOverlap="1">
                <wp:simplePos x="0" y="0"/>
                <wp:positionH relativeFrom="column">
                  <wp:posOffset>-243205</wp:posOffset>
                </wp:positionH>
                <wp:positionV relativeFrom="paragraph">
                  <wp:posOffset>2339975</wp:posOffset>
                </wp:positionV>
                <wp:extent cx="6120130" cy="0"/>
                <wp:effectExtent l="0" t="4445" r="0" b="5080"/>
                <wp:wrapNone/>
                <wp:docPr id="1030" name="直接连接符 25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5" o:spid="_x0000_s1026" o:spt="20" style="position:absolute;left:0pt;margin-left:-19.15pt;margin-top:184.25pt;height:0pt;width:481.9pt;z-index:251662336;mso-width-relative:page;mso-height-relative:page;" filled="f" stroked="t" coordsize="21600,21600" o:gfxdata="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083vz9cAAAALAQAADwAAAAAAAAABACAAAAAi&#10;AAAAZHJzL2Rvd25yZXYueG1sUEsBAhQAFAAAAAgAh07iQDMnfVDSAQAAkwMAAA4AAAAAAAAAAQAg&#10;AAAAJgEAAGRycy9lMm9Eb2MueG1sUEsFBgAAAAAGAAYAWQEAAGoFAAAAAA==&#10;">
                <v:fill on="f" focussize="0,0"/>
                <v:stroke color="#000000" joinstyle="round"/>
                <v:imagedata o:title=""/>
                <o:lock v:ext="edit" aspectratio="f"/>
              </v:line>
            </w:pict>
          </mc:Fallback>
        </mc:AlternateContent>
      </w:r>
      <w:r>
        <mc:AlternateContent>
          <mc:Choice Requires="wps">
            <w:drawing>
              <wp:anchor distT="0" distB="0" distL="0" distR="0" simplePos="0" relativeHeight="251663360" behindDoc="0" locked="0" layoutInCell="1" allowOverlap="1">
                <wp:simplePos x="0" y="0"/>
                <wp:positionH relativeFrom="column">
                  <wp:posOffset>-243205</wp:posOffset>
                </wp:positionH>
                <wp:positionV relativeFrom="paragraph">
                  <wp:posOffset>8891905</wp:posOffset>
                </wp:positionV>
                <wp:extent cx="6120130" cy="0"/>
                <wp:effectExtent l="0" t="4445" r="0" b="5080"/>
                <wp:wrapNone/>
                <wp:docPr id="1031" name="直接连接符 25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4" o:spid="_x0000_s1026" o:spt="20" style="position:absolute;left:0pt;margin-left:-19.15pt;margin-top:700.15pt;height:0pt;width:481.9pt;z-index:251663360;mso-width-relative:page;mso-height-relative:page;" filled="f" stroked="t" coordsize="21600,21600" o:gfxdata="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tQkJNgAAAANAQAADwAAAAAAAAABACAA&#10;AAAiAAAAZHJzL2Rvd25yZXYueG1sUEsBAhQAFAAAAAgAh07iQA1vJlzUAQAAkwMAAA4AAAAAAAAA&#10;AQAgAAAAJwEAAGRycy9lMm9Eb2MueG1sUEsFBgAAAAAGAAYAWQEAAG0FAAAAAA==&#10;">
                <v:fill on="f" focussize="0,0"/>
                <v:stroke color="#000000" joinstyle="round"/>
                <v:imagedata o:title=""/>
                <o:lock v:ext="edit" aspectratio="f"/>
              </v:line>
            </w:pict>
          </mc:Fallback>
        </mc:AlternateContent>
      </w:r>
    </w:p>
    <w:p>
      <w:pPr>
        <w:jc w:val="center"/>
        <w:rPr>
          <w:rFonts w:ascii="黑体" w:hAnsi="黑体" w:eastAsia="黑体"/>
          <w:sz w:val="28"/>
          <w:szCs w:val="28"/>
        </w:rPr>
      </w:pPr>
      <w:r>
        <w:rPr>
          <w:rFonts w:ascii="黑体" w:hAnsi="黑体" w:eastAsia="黑体"/>
          <w:sz w:val="28"/>
          <w:szCs w:val="28"/>
        </w:rPr>
        <w:t>目</w:t>
      </w:r>
      <w:r>
        <w:rPr>
          <w:rFonts w:hint="eastAsia" w:ascii="黑体" w:hAnsi="黑体" w:eastAsia="黑体"/>
          <w:sz w:val="28"/>
          <w:szCs w:val="28"/>
        </w:rPr>
        <w:t xml:space="preserve"> </w:t>
      </w:r>
      <w:r>
        <w:rPr>
          <w:rFonts w:ascii="黑体" w:hAnsi="黑体" w:eastAsia="黑体"/>
          <w:sz w:val="28"/>
          <w:szCs w:val="28"/>
        </w:rPr>
        <w:t xml:space="preserve"> 录</w:t>
      </w:r>
    </w:p>
    <w:p>
      <w:pPr>
        <w:jc w:val="center"/>
        <w:rPr>
          <w:rFonts w:ascii="黑体" w:hAnsi="黑体" w:eastAsia="黑体"/>
          <w:sz w:val="28"/>
          <w:szCs w:val="28"/>
        </w:rPr>
      </w:pPr>
    </w:p>
    <w:p>
      <w:pPr>
        <w:pStyle w:val="13"/>
        <w:tabs>
          <w:tab w:val="right" w:leader="dot" w:pos="8901"/>
        </w:tabs>
        <w:rPr>
          <w:b w:val="0"/>
        </w:rPr>
      </w:pPr>
      <w:r>
        <w:rPr>
          <w:rFonts w:ascii="Times New Roman" w:hAnsi="Times New Roman" w:cs="Times New Roman"/>
          <w:b w:val="0"/>
          <w:bCs w:val="0"/>
          <w:sz w:val="21"/>
          <w:szCs w:val="21"/>
        </w:rPr>
        <w:fldChar w:fldCharType="begin"/>
      </w:r>
      <w:r>
        <w:rPr>
          <w:rFonts w:ascii="Times New Roman" w:hAnsi="Times New Roman" w:cs="Times New Roman"/>
          <w:b w:val="0"/>
          <w:bCs w:val="0"/>
          <w:sz w:val="21"/>
          <w:szCs w:val="21"/>
        </w:rPr>
        <w:instrText xml:space="preserve"> TOC \o "1-1" \h \z \u </w:instrText>
      </w:r>
      <w:r>
        <w:rPr>
          <w:rFonts w:ascii="Times New Roman" w:hAnsi="Times New Roman" w:cs="Times New Roman"/>
          <w:b w:val="0"/>
          <w:bCs w:val="0"/>
          <w:sz w:val="21"/>
          <w:szCs w:val="21"/>
        </w:rPr>
        <w:fldChar w:fldCharType="separate"/>
      </w:r>
      <w:r>
        <w:fldChar w:fldCharType="begin"/>
      </w:r>
      <w:r>
        <w:instrText xml:space="preserve"> HYPERLINK \l "_Toc17902" </w:instrText>
      </w:r>
      <w:r>
        <w:fldChar w:fldCharType="separate"/>
      </w:r>
      <w:r>
        <w:rPr>
          <w:rFonts w:hint="eastAsia"/>
          <w:b w:val="0"/>
          <w:szCs w:val="28"/>
        </w:rPr>
        <w:t>前</w:t>
      </w:r>
      <w:r>
        <w:rPr>
          <w:b w:val="0"/>
          <w:szCs w:val="28"/>
        </w:rPr>
        <w:t xml:space="preserve">  </w:t>
      </w:r>
      <w:r>
        <w:rPr>
          <w:rFonts w:hint="eastAsia"/>
          <w:b w:val="0"/>
          <w:szCs w:val="28"/>
        </w:rPr>
        <w:t>言</w:t>
      </w:r>
      <w:r>
        <w:rPr>
          <w:b w:val="0"/>
        </w:rPr>
        <w:tab/>
      </w:r>
      <w:r>
        <w:rPr>
          <w:b w:val="0"/>
        </w:rPr>
        <w:fldChar w:fldCharType="begin"/>
      </w:r>
      <w:r>
        <w:rPr>
          <w:b w:val="0"/>
        </w:rPr>
        <w:instrText xml:space="preserve"> PAGEREF _Toc17902 \h </w:instrText>
      </w:r>
      <w:r>
        <w:rPr>
          <w:b w:val="0"/>
        </w:rPr>
        <w:fldChar w:fldCharType="separate"/>
      </w:r>
      <w:r>
        <w:rPr>
          <w:b w:val="0"/>
        </w:rPr>
        <w:t>1</w:t>
      </w:r>
      <w:r>
        <w:rPr>
          <w:b w:val="0"/>
        </w:rPr>
        <w:fldChar w:fldCharType="end"/>
      </w:r>
      <w:r>
        <w:rPr>
          <w:b w:val="0"/>
        </w:rPr>
        <w:fldChar w:fldCharType="end"/>
      </w:r>
    </w:p>
    <w:p>
      <w:pPr>
        <w:pStyle w:val="13"/>
        <w:tabs>
          <w:tab w:val="right" w:leader="dot" w:pos="8901"/>
        </w:tabs>
        <w:rPr>
          <w:b w:val="0"/>
        </w:rPr>
      </w:pPr>
      <w:r>
        <w:fldChar w:fldCharType="begin"/>
      </w:r>
      <w:r>
        <w:instrText xml:space="preserve"> HYPERLINK \l "_Toc25102" </w:instrText>
      </w:r>
      <w:r>
        <w:fldChar w:fldCharType="separate"/>
      </w:r>
      <w:r>
        <w:rPr>
          <w:b w:val="0"/>
          <w:szCs w:val="28"/>
        </w:rPr>
        <w:t>1  范围</w:t>
      </w:r>
      <w:r>
        <w:rPr>
          <w:b w:val="0"/>
        </w:rPr>
        <w:tab/>
      </w:r>
      <w:r>
        <w:rPr>
          <w:b w:val="0"/>
        </w:rPr>
        <w:fldChar w:fldCharType="begin"/>
      </w:r>
      <w:r>
        <w:rPr>
          <w:b w:val="0"/>
        </w:rPr>
        <w:instrText xml:space="preserve"> PAGEREF _Toc25102 \h </w:instrText>
      </w:r>
      <w:r>
        <w:rPr>
          <w:b w:val="0"/>
        </w:rPr>
        <w:fldChar w:fldCharType="separate"/>
      </w:r>
      <w:r>
        <w:rPr>
          <w:b w:val="0"/>
        </w:rPr>
        <w:t>2</w:t>
      </w:r>
      <w:r>
        <w:rPr>
          <w:b w:val="0"/>
        </w:rPr>
        <w:fldChar w:fldCharType="end"/>
      </w:r>
      <w:r>
        <w:rPr>
          <w:b w:val="0"/>
        </w:rPr>
        <w:fldChar w:fldCharType="end"/>
      </w:r>
    </w:p>
    <w:p>
      <w:pPr>
        <w:pStyle w:val="13"/>
        <w:tabs>
          <w:tab w:val="right" w:leader="dot" w:pos="8901"/>
        </w:tabs>
        <w:rPr>
          <w:b w:val="0"/>
        </w:rPr>
      </w:pPr>
      <w:r>
        <w:fldChar w:fldCharType="begin"/>
      </w:r>
      <w:r>
        <w:instrText xml:space="preserve"> HYPERLINK \l "_Toc17619" </w:instrText>
      </w:r>
      <w:r>
        <w:fldChar w:fldCharType="separate"/>
      </w:r>
      <w:r>
        <w:rPr>
          <w:b w:val="0"/>
          <w:szCs w:val="28"/>
        </w:rPr>
        <w:t>2  规范性引用文件</w:t>
      </w:r>
      <w:r>
        <w:rPr>
          <w:b w:val="0"/>
        </w:rPr>
        <w:tab/>
      </w:r>
      <w:r>
        <w:rPr>
          <w:b w:val="0"/>
        </w:rPr>
        <w:fldChar w:fldCharType="begin"/>
      </w:r>
      <w:r>
        <w:rPr>
          <w:b w:val="0"/>
        </w:rPr>
        <w:instrText xml:space="preserve"> PAGEREF _Toc17619 \h </w:instrText>
      </w:r>
      <w:r>
        <w:rPr>
          <w:b w:val="0"/>
        </w:rPr>
        <w:fldChar w:fldCharType="separate"/>
      </w:r>
      <w:r>
        <w:rPr>
          <w:b w:val="0"/>
        </w:rPr>
        <w:t>2</w:t>
      </w:r>
      <w:r>
        <w:rPr>
          <w:b w:val="0"/>
        </w:rPr>
        <w:fldChar w:fldCharType="end"/>
      </w:r>
      <w:r>
        <w:rPr>
          <w:b w:val="0"/>
        </w:rPr>
        <w:fldChar w:fldCharType="end"/>
      </w:r>
    </w:p>
    <w:p>
      <w:pPr>
        <w:pStyle w:val="13"/>
        <w:tabs>
          <w:tab w:val="right" w:leader="dot" w:pos="8901"/>
        </w:tabs>
        <w:rPr>
          <w:b w:val="0"/>
        </w:rPr>
      </w:pPr>
      <w:r>
        <w:fldChar w:fldCharType="begin"/>
      </w:r>
      <w:r>
        <w:instrText xml:space="preserve"> HYPERLINK \l "_Toc17220" </w:instrText>
      </w:r>
      <w:r>
        <w:fldChar w:fldCharType="separate"/>
      </w:r>
      <w:r>
        <w:rPr>
          <w:b w:val="0"/>
          <w:szCs w:val="28"/>
        </w:rPr>
        <w:t>3  术语和定义</w:t>
      </w:r>
      <w:r>
        <w:rPr>
          <w:b w:val="0"/>
        </w:rPr>
        <w:tab/>
      </w:r>
      <w:r>
        <w:rPr>
          <w:b w:val="0"/>
        </w:rPr>
        <w:fldChar w:fldCharType="begin"/>
      </w:r>
      <w:r>
        <w:rPr>
          <w:b w:val="0"/>
        </w:rPr>
        <w:instrText xml:space="preserve"> PAGEREF _Toc17220 \h </w:instrText>
      </w:r>
      <w:r>
        <w:rPr>
          <w:b w:val="0"/>
        </w:rPr>
        <w:fldChar w:fldCharType="separate"/>
      </w:r>
      <w:r>
        <w:rPr>
          <w:b w:val="0"/>
        </w:rPr>
        <w:t>2</w:t>
      </w:r>
      <w:r>
        <w:rPr>
          <w:b w:val="0"/>
        </w:rPr>
        <w:fldChar w:fldCharType="end"/>
      </w:r>
      <w:r>
        <w:rPr>
          <w:b w:val="0"/>
        </w:rPr>
        <w:fldChar w:fldCharType="end"/>
      </w:r>
    </w:p>
    <w:p>
      <w:pPr>
        <w:pStyle w:val="13"/>
        <w:tabs>
          <w:tab w:val="right" w:leader="dot" w:pos="8901"/>
        </w:tabs>
        <w:rPr>
          <w:rFonts w:hint="eastAsia" w:eastAsia="宋体"/>
          <w:b w:val="0"/>
          <w:lang w:eastAsia="zh-CN"/>
        </w:rPr>
      </w:pPr>
      <w:r>
        <w:fldChar w:fldCharType="begin"/>
      </w:r>
      <w:r>
        <w:instrText xml:space="preserve"> HYPERLINK \l "_Toc12065" </w:instrText>
      </w:r>
      <w:r>
        <w:fldChar w:fldCharType="separate"/>
      </w:r>
      <w:r>
        <w:rPr>
          <w:b w:val="0"/>
          <w:szCs w:val="28"/>
        </w:rPr>
        <w:t xml:space="preserve">4  </w:t>
      </w:r>
      <w:r>
        <w:rPr>
          <w:rFonts w:hint="eastAsia"/>
          <w:b w:val="0"/>
          <w:szCs w:val="28"/>
          <w:lang w:val="en-US" w:eastAsia="zh-CN"/>
        </w:rPr>
        <w:t>总体原则</w:t>
      </w:r>
      <w:r>
        <w:rPr>
          <w:b w:val="0"/>
        </w:rPr>
        <w:tab/>
      </w:r>
      <w:r>
        <w:rPr>
          <w:b w:val="0"/>
        </w:rPr>
        <w:fldChar w:fldCharType="end"/>
      </w:r>
      <w:r>
        <w:rPr>
          <w:rFonts w:hint="eastAsia"/>
          <w:b w:val="0"/>
          <w:lang w:val="en-US" w:eastAsia="zh-CN"/>
        </w:rPr>
        <w:t>4</w:t>
      </w:r>
    </w:p>
    <w:p>
      <w:pPr>
        <w:pStyle w:val="13"/>
        <w:tabs>
          <w:tab w:val="right" w:leader="dot" w:pos="8901"/>
        </w:tabs>
        <w:rPr>
          <w:b w:val="0"/>
        </w:rPr>
      </w:pPr>
      <w:r>
        <w:fldChar w:fldCharType="begin"/>
      </w:r>
      <w:r>
        <w:instrText xml:space="preserve"> HYPERLINK \l "_Toc25515" </w:instrText>
      </w:r>
      <w:r>
        <w:fldChar w:fldCharType="separate"/>
      </w:r>
      <w:r>
        <w:rPr>
          <w:b w:val="0"/>
          <w:szCs w:val="28"/>
        </w:rPr>
        <w:t xml:space="preserve">5  </w:t>
      </w:r>
      <w:r>
        <w:rPr>
          <w:rFonts w:hint="eastAsia"/>
          <w:b w:val="0"/>
          <w:szCs w:val="28"/>
          <w:lang w:val="en-US" w:eastAsia="zh-CN"/>
        </w:rPr>
        <w:t>评估</w:t>
      </w:r>
      <w:r>
        <w:rPr>
          <w:b w:val="0"/>
          <w:szCs w:val="28"/>
        </w:rPr>
        <w:t>程序</w:t>
      </w:r>
      <w:r>
        <w:rPr>
          <w:b w:val="0"/>
        </w:rPr>
        <w:tab/>
      </w:r>
      <w:r>
        <w:rPr>
          <w:b w:val="0"/>
        </w:rPr>
        <w:fldChar w:fldCharType="begin"/>
      </w:r>
      <w:r>
        <w:rPr>
          <w:b w:val="0"/>
        </w:rPr>
        <w:instrText xml:space="preserve"> PAGEREF _Toc25515 \h </w:instrText>
      </w:r>
      <w:r>
        <w:rPr>
          <w:b w:val="0"/>
        </w:rPr>
        <w:fldChar w:fldCharType="separate"/>
      </w:r>
      <w:r>
        <w:rPr>
          <w:b w:val="0"/>
        </w:rPr>
        <w:t>4</w:t>
      </w:r>
      <w:r>
        <w:rPr>
          <w:b w:val="0"/>
        </w:rPr>
        <w:fldChar w:fldCharType="end"/>
      </w:r>
      <w:r>
        <w:rPr>
          <w:b w:val="0"/>
        </w:rPr>
        <w:fldChar w:fldCharType="end"/>
      </w:r>
    </w:p>
    <w:p>
      <w:pPr>
        <w:pStyle w:val="13"/>
        <w:tabs>
          <w:tab w:val="right" w:leader="dot" w:pos="8901"/>
        </w:tabs>
        <w:rPr>
          <w:b w:val="0"/>
        </w:rPr>
      </w:pPr>
      <w:r>
        <w:fldChar w:fldCharType="begin"/>
      </w:r>
      <w:r>
        <w:instrText xml:space="preserve"> HYPERLINK \l "_Toc5276" </w:instrText>
      </w:r>
      <w:r>
        <w:fldChar w:fldCharType="separate"/>
      </w:r>
      <w:r>
        <w:rPr>
          <w:rFonts w:hint="eastAsia"/>
          <w:b w:val="0"/>
          <w:szCs w:val="28"/>
        </w:rPr>
        <w:t>6</w:t>
      </w:r>
      <w:r>
        <w:rPr>
          <w:b w:val="0"/>
          <w:szCs w:val="28"/>
        </w:rPr>
        <w:t xml:space="preserve"> </w:t>
      </w:r>
      <w:r>
        <w:rPr>
          <w:rFonts w:hint="eastAsia"/>
          <w:b w:val="0"/>
          <w:szCs w:val="28"/>
        </w:rPr>
        <w:t xml:space="preserve"> 基础资料调查</w:t>
      </w:r>
      <w:r>
        <w:rPr>
          <w:b w:val="0"/>
        </w:rPr>
        <w:tab/>
      </w:r>
      <w:r>
        <w:rPr>
          <w:b w:val="0"/>
        </w:rPr>
        <w:fldChar w:fldCharType="begin"/>
      </w:r>
      <w:r>
        <w:rPr>
          <w:b w:val="0"/>
        </w:rPr>
        <w:instrText xml:space="preserve"> PAGEREF _Toc5276 \h </w:instrText>
      </w:r>
      <w:r>
        <w:rPr>
          <w:b w:val="0"/>
        </w:rPr>
        <w:fldChar w:fldCharType="separate"/>
      </w:r>
      <w:r>
        <w:rPr>
          <w:b w:val="0"/>
        </w:rPr>
        <w:t>5</w:t>
      </w:r>
      <w:r>
        <w:rPr>
          <w:b w:val="0"/>
        </w:rPr>
        <w:fldChar w:fldCharType="end"/>
      </w:r>
      <w:r>
        <w:rPr>
          <w:b w:val="0"/>
        </w:rPr>
        <w:fldChar w:fldCharType="end"/>
      </w:r>
    </w:p>
    <w:p>
      <w:pPr>
        <w:pStyle w:val="13"/>
        <w:tabs>
          <w:tab w:val="right" w:leader="dot" w:pos="8901"/>
        </w:tabs>
        <w:rPr>
          <w:rFonts w:hint="eastAsia" w:eastAsia="宋体"/>
          <w:b w:val="0"/>
          <w:lang w:eastAsia="zh-CN"/>
        </w:rPr>
      </w:pPr>
      <w:r>
        <w:fldChar w:fldCharType="begin"/>
      </w:r>
      <w:r>
        <w:instrText xml:space="preserve"> HYPERLINK \l "_Toc12625" </w:instrText>
      </w:r>
      <w:r>
        <w:fldChar w:fldCharType="separate"/>
      </w:r>
      <w:r>
        <w:rPr>
          <w:rFonts w:hint="eastAsia"/>
          <w:b w:val="0"/>
          <w:szCs w:val="28"/>
        </w:rPr>
        <w:t>7</w:t>
      </w:r>
      <w:r>
        <w:rPr>
          <w:b w:val="0"/>
          <w:szCs w:val="28"/>
        </w:rPr>
        <w:t xml:space="preserve"> </w:t>
      </w:r>
      <w:r>
        <w:rPr>
          <w:rFonts w:hint="eastAsia"/>
          <w:b w:val="0"/>
          <w:szCs w:val="28"/>
        </w:rPr>
        <w:t xml:space="preserve"> 环境风险识别</w:t>
      </w:r>
      <w:r>
        <w:rPr>
          <w:b w:val="0"/>
        </w:rPr>
        <w:tab/>
      </w:r>
      <w:r>
        <w:rPr>
          <w:b w:val="0"/>
        </w:rPr>
        <w:fldChar w:fldCharType="end"/>
      </w:r>
      <w:r>
        <w:rPr>
          <w:rFonts w:hint="eastAsia"/>
          <w:b w:val="0"/>
          <w:lang w:val="en-US" w:eastAsia="zh-CN"/>
        </w:rPr>
        <w:t>7</w:t>
      </w:r>
    </w:p>
    <w:p>
      <w:pPr>
        <w:pStyle w:val="13"/>
        <w:tabs>
          <w:tab w:val="right" w:leader="dot" w:pos="8901"/>
        </w:tabs>
        <w:rPr>
          <w:rFonts w:hint="eastAsia" w:eastAsia="宋体"/>
          <w:b w:val="0"/>
          <w:lang w:eastAsia="zh-CN"/>
        </w:rPr>
      </w:pPr>
      <w:r>
        <w:fldChar w:fldCharType="begin"/>
      </w:r>
      <w:r>
        <w:instrText xml:space="preserve"> HYPERLINK \l "_Toc15111" </w:instrText>
      </w:r>
      <w:r>
        <w:fldChar w:fldCharType="separate"/>
      </w:r>
      <w:r>
        <w:rPr>
          <w:rFonts w:hint="eastAsia"/>
          <w:b w:val="0"/>
          <w:szCs w:val="28"/>
        </w:rPr>
        <w:t>8</w:t>
      </w:r>
      <w:r>
        <w:rPr>
          <w:b w:val="0"/>
          <w:szCs w:val="28"/>
        </w:rPr>
        <w:t xml:space="preserve">  </w:t>
      </w:r>
      <w:r>
        <w:rPr>
          <w:rFonts w:hint="eastAsia"/>
          <w:b w:val="0"/>
          <w:szCs w:val="28"/>
          <w:lang w:val="en-US" w:eastAsia="zh-CN"/>
        </w:rPr>
        <w:t>典型突发环境事件</w:t>
      </w:r>
      <w:r>
        <w:rPr>
          <w:rFonts w:hint="eastAsia"/>
          <w:b w:val="0"/>
          <w:szCs w:val="28"/>
        </w:rPr>
        <w:t>情景分析</w:t>
      </w:r>
      <w:r>
        <w:rPr>
          <w:b w:val="0"/>
        </w:rPr>
        <w:tab/>
      </w:r>
      <w:r>
        <w:rPr>
          <w:b w:val="0"/>
        </w:rPr>
        <w:fldChar w:fldCharType="end"/>
      </w:r>
      <w:r>
        <w:rPr>
          <w:rFonts w:hint="eastAsia"/>
          <w:b w:val="0"/>
          <w:lang w:val="en-US" w:eastAsia="zh-CN"/>
        </w:rPr>
        <w:t>8</w:t>
      </w:r>
    </w:p>
    <w:p>
      <w:pPr>
        <w:pStyle w:val="13"/>
        <w:tabs>
          <w:tab w:val="right" w:leader="dot" w:pos="8901"/>
        </w:tabs>
        <w:rPr>
          <w:rFonts w:hint="eastAsia" w:eastAsia="宋体"/>
          <w:b w:val="0"/>
          <w:lang w:eastAsia="zh-CN"/>
        </w:rPr>
      </w:pPr>
      <w:r>
        <w:fldChar w:fldCharType="begin"/>
      </w:r>
      <w:r>
        <w:instrText xml:space="preserve"> HYPERLINK \l "_Toc29461" </w:instrText>
      </w:r>
      <w:r>
        <w:fldChar w:fldCharType="separate"/>
      </w:r>
      <w:r>
        <w:rPr>
          <w:rFonts w:hint="eastAsia"/>
          <w:b w:val="0"/>
          <w:szCs w:val="28"/>
        </w:rPr>
        <w:t>9</w:t>
      </w:r>
      <w:r>
        <w:rPr>
          <w:b w:val="0"/>
          <w:szCs w:val="28"/>
        </w:rPr>
        <w:t xml:space="preserve">  </w:t>
      </w:r>
      <w:r>
        <w:rPr>
          <w:rFonts w:hint="eastAsia"/>
          <w:b w:val="0"/>
          <w:szCs w:val="28"/>
        </w:rPr>
        <w:t>环境风险分级表征</w:t>
      </w:r>
      <w:r>
        <w:rPr>
          <w:b w:val="0"/>
        </w:rPr>
        <w:tab/>
      </w:r>
      <w:r>
        <w:rPr>
          <w:b w:val="0"/>
        </w:rPr>
        <w:fldChar w:fldCharType="end"/>
      </w:r>
      <w:r>
        <w:rPr>
          <w:rFonts w:hint="eastAsia"/>
          <w:b w:val="0"/>
          <w:lang w:val="en-US" w:eastAsia="zh-CN"/>
        </w:rPr>
        <w:t>8</w:t>
      </w:r>
    </w:p>
    <w:p>
      <w:pPr>
        <w:pStyle w:val="13"/>
        <w:tabs>
          <w:tab w:val="right" w:leader="dot" w:pos="8901"/>
        </w:tabs>
        <w:rPr>
          <w:b w:val="0"/>
        </w:rPr>
      </w:pPr>
      <w:r>
        <w:fldChar w:fldCharType="begin"/>
      </w:r>
      <w:r>
        <w:instrText xml:space="preserve"> HYPERLINK \l "_Toc11594" </w:instrText>
      </w:r>
      <w:r>
        <w:fldChar w:fldCharType="separate"/>
      </w:r>
      <w:r>
        <w:rPr>
          <w:rFonts w:hint="eastAsia"/>
          <w:b w:val="0"/>
          <w:szCs w:val="24"/>
        </w:rPr>
        <w:t>1</w:t>
      </w:r>
      <w:r>
        <w:rPr>
          <w:rFonts w:hint="eastAsia"/>
          <w:b w:val="0"/>
          <w:szCs w:val="24"/>
          <w:lang w:val="en-US" w:eastAsia="zh-CN"/>
        </w:rPr>
        <w:t>1</w:t>
      </w:r>
      <w:r>
        <w:rPr>
          <w:rFonts w:hint="eastAsia"/>
          <w:b w:val="0"/>
          <w:szCs w:val="24"/>
        </w:rPr>
        <w:t xml:space="preserve">  </w:t>
      </w:r>
      <w:r>
        <w:rPr>
          <w:rFonts w:hint="eastAsia" w:ascii="Calibri" w:hAnsi="Calibri" w:cs="Calibri"/>
          <w:b w:val="0"/>
          <w:sz w:val="20"/>
          <w:szCs w:val="28"/>
        </w:rPr>
        <w:t>环境风险防控与应急</w:t>
      </w:r>
      <w:r>
        <w:rPr>
          <w:rFonts w:hint="eastAsia" w:ascii="Calibri" w:hAnsi="Calibri" w:cs="Calibri"/>
          <w:b w:val="0"/>
          <w:sz w:val="20"/>
          <w:szCs w:val="28"/>
          <w:lang w:val="en-US" w:eastAsia="zh-CN"/>
        </w:rPr>
        <w:t>能力</w:t>
      </w:r>
      <w:r>
        <w:rPr>
          <w:rFonts w:hint="eastAsia" w:ascii="Calibri" w:hAnsi="Calibri" w:cs="Calibri"/>
          <w:b w:val="0"/>
          <w:sz w:val="20"/>
          <w:szCs w:val="28"/>
        </w:rPr>
        <w:t>差距分析</w:t>
      </w:r>
      <w:r>
        <w:rPr>
          <w:b w:val="0"/>
        </w:rPr>
        <w:tab/>
      </w:r>
      <w:r>
        <w:rPr>
          <w:rFonts w:hint="eastAsia"/>
          <w:b w:val="0"/>
          <w:lang w:val="en-US" w:eastAsia="zh-CN"/>
        </w:rPr>
        <w:t>15</w:t>
      </w:r>
      <w:r>
        <w:rPr>
          <w:b w:val="0"/>
        </w:rPr>
        <w:fldChar w:fldCharType="end"/>
      </w:r>
    </w:p>
    <w:p>
      <w:pPr>
        <w:pStyle w:val="13"/>
        <w:tabs>
          <w:tab w:val="right" w:leader="dot" w:pos="8901"/>
        </w:tabs>
        <w:rPr>
          <w:rFonts w:hint="default" w:eastAsia="宋体"/>
          <w:b w:val="0"/>
          <w:lang w:val="en-US" w:eastAsia="zh-CN"/>
        </w:rPr>
      </w:pPr>
      <w:r>
        <w:fldChar w:fldCharType="begin"/>
      </w:r>
      <w:r>
        <w:instrText xml:space="preserve"> HYPERLINK \l "_Toc11594" </w:instrText>
      </w:r>
      <w:r>
        <w:fldChar w:fldCharType="separate"/>
      </w:r>
      <w:r>
        <w:rPr>
          <w:rFonts w:hint="eastAsia"/>
          <w:b w:val="0"/>
          <w:szCs w:val="24"/>
        </w:rPr>
        <w:t>10  评估报告编制</w:t>
      </w:r>
      <w:r>
        <w:rPr>
          <w:b w:val="0"/>
        </w:rPr>
        <w:tab/>
      </w:r>
      <w:r>
        <w:rPr>
          <w:b w:val="0"/>
        </w:rPr>
        <w:fldChar w:fldCharType="end"/>
      </w:r>
      <w:r>
        <w:rPr>
          <w:rFonts w:hint="eastAsia"/>
          <w:b w:val="0"/>
          <w:lang w:val="en-US" w:eastAsia="zh-CN"/>
        </w:rPr>
        <w:t>15</w:t>
      </w:r>
    </w:p>
    <w:p>
      <w:pPr>
        <w:pStyle w:val="13"/>
        <w:tabs>
          <w:tab w:val="right" w:leader="dot" w:pos="8901"/>
        </w:tabs>
        <w:rPr>
          <w:rFonts w:hint="default" w:eastAsia="宋体"/>
          <w:lang w:val="en-US" w:eastAsia="zh-CN"/>
        </w:rPr>
      </w:pPr>
      <w:r>
        <w:fldChar w:fldCharType="begin"/>
      </w:r>
      <w:r>
        <w:instrText xml:space="preserve"> HYPERLINK \l "_Toc29113" </w:instrText>
      </w:r>
      <w:r>
        <w:fldChar w:fldCharType="separate"/>
      </w:r>
      <w:r>
        <w:rPr>
          <w:rFonts w:hint="eastAsia" w:ascii="宋体" w:hAnsi="宋体" w:cs="楷体"/>
          <w:b w:val="0"/>
          <w:szCs w:val="32"/>
        </w:rPr>
        <w:t>附 录 A</w:t>
      </w:r>
      <w:r>
        <w:rPr>
          <w:rFonts w:hint="eastAsia" w:ascii="宋体" w:hAnsi="宋体" w:cs="楷体"/>
          <w:b w:val="0"/>
          <w:szCs w:val="32"/>
        </w:rPr>
        <w:fldChar w:fldCharType="end"/>
      </w:r>
      <w:r>
        <w:rPr>
          <w:rFonts w:hint="eastAsia" w:ascii="Times New Roman" w:hAnsi="Times New Roman" w:cs="Times New Roman"/>
          <w:b w:val="0"/>
          <w:szCs w:val="21"/>
        </w:rPr>
        <w:t xml:space="preserve"> </w:t>
      </w:r>
      <w:r>
        <w:fldChar w:fldCharType="begin"/>
      </w:r>
      <w:r>
        <w:instrText xml:space="preserve"> HYPERLINK \l "_Toc15539" </w:instrText>
      </w:r>
      <w:r>
        <w:fldChar w:fldCharType="separate"/>
      </w:r>
      <w:r>
        <w:rPr>
          <w:rFonts w:hint="eastAsia" w:ascii="宋体" w:hAnsi="宋体" w:cs="宋体"/>
          <w:b w:val="0"/>
        </w:rPr>
        <w:t>（资料性）</w:t>
      </w:r>
      <w:r>
        <w:rPr>
          <w:rFonts w:hint="eastAsia" w:ascii="宋体" w:hAnsi="宋体" w:cs="宋体"/>
          <w:b w:val="0"/>
        </w:rPr>
        <w:fldChar w:fldCharType="end"/>
      </w:r>
      <w:r>
        <w:fldChar w:fldCharType="begin"/>
      </w:r>
      <w:r>
        <w:instrText xml:space="preserve"> HYPERLINK \l "_Toc32417" </w:instrText>
      </w:r>
      <w:r>
        <w:fldChar w:fldCharType="separate"/>
      </w:r>
      <w:r>
        <w:rPr>
          <w:rFonts w:hint="eastAsia" w:ascii="宋体" w:hAnsi="宋体" w:cs="宋体"/>
          <w:b w:val="0"/>
        </w:rPr>
        <w:t>工业园区突发环境事件风险评估报告大纲</w:t>
      </w:r>
      <w:r>
        <w:rPr>
          <w:b w:val="0"/>
        </w:rPr>
        <w:tab/>
      </w:r>
      <w:r>
        <w:rPr>
          <w:b w:val="0"/>
        </w:rPr>
        <w:fldChar w:fldCharType="end"/>
      </w:r>
      <w:r>
        <w:rPr>
          <w:rFonts w:hint="eastAsia"/>
          <w:b w:val="0"/>
          <w:lang w:val="en-US" w:eastAsia="zh-CN"/>
        </w:rPr>
        <w:t>16</w:t>
      </w:r>
    </w:p>
    <w:p>
      <w:pPr>
        <w:jc w:val="left"/>
        <w:rPr>
          <w:rFonts w:ascii="Times New Roman" w:hAnsi="Times New Roman" w:cs="Times New Roman"/>
          <w:szCs w:val="21"/>
        </w:rPr>
        <w:sectPr>
          <w:headerReference r:id="rId3" w:type="default"/>
          <w:footerReference r:id="rId4" w:type="default"/>
          <w:pgSz w:w="11906" w:h="16838"/>
          <w:pgMar w:top="1871" w:right="1474" w:bottom="1701" w:left="1531" w:header="851" w:footer="992" w:gutter="0"/>
          <w:pgNumType w:start="1"/>
          <w:cols w:space="425" w:num="1"/>
          <w:docGrid w:type="lines" w:linePitch="312" w:charSpace="0"/>
        </w:sectPr>
      </w:pPr>
      <w:r>
        <w:rPr>
          <w:rFonts w:ascii="Times New Roman" w:hAnsi="Times New Roman" w:cs="Times New Roman"/>
          <w:szCs w:val="21"/>
        </w:rPr>
        <w:fldChar w:fldCharType="end"/>
      </w:r>
    </w:p>
    <w:p>
      <w:pPr>
        <w:pStyle w:val="2"/>
        <w:jc w:val="center"/>
        <w:rPr>
          <w:sz w:val="28"/>
          <w:szCs w:val="28"/>
        </w:rPr>
      </w:pPr>
      <w:bookmarkStart w:id="11" w:name="_Toc17902"/>
      <w:bookmarkStart w:id="12" w:name="_Toc115019937"/>
      <w:bookmarkStart w:id="13" w:name="_Toc115019656"/>
      <w:r>
        <w:rPr>
          <w:rFonts w:hint="eastAsia"/>
          <w:sz w:val="28"/>
          <w:szCs w:val="28"/>
        </w:rPr>
        <w:t>前</w:t>
      </w:r>
      <w:bookmarkStart w:id="14" w:name="BKQY"/>
      <w:r>
        <w:rPr>
          <w:sz w:val="28"/>
          <w:szCs w:val="28"/>
        </w:rPr>
        <w:t xml:space="preserve">  </w:t>
      </w:r>
      <w:r>
        <w:rPr>
          <w:rFonts w:hint="eastAsia"/>
          <w:sz w:val="28"/>
          <w:szCs w:val="28"/>
        </w:rPr>
        <w:t>言</w:t>
      </w:r>
      <w:bookmarkEnd w:id="11"/>
      <w:bookmarkEnd w:id="12"/>
      <w:bookmarkEnd w:id="13"/>
      <w:bookmarkEnd w:id="14"/>
    </w:p>
    <w:p>
      <w:pPr>
        <w:pStyle w:val="51"/>
      </w:pPr>
      <w:r>
        <w:rPr>
          <w:rFonts w:hint="eastAsia"/>
        </w:rPr>
        <w:t>本文件按照 GB/T l.l</w:t>
      </w:r>
      <w:r>
        <w:rPr>
          <w:rFonts w:hint="eastAsia"/>
          <w:lang w:eastAsia="zh-CN"/>
        </w:rPr>
        <w:t>—</w:t>
      </w:r>
      <w:r>
        <w:rPr>
          <w:rFonts w:hint="eastAsia"/>
        </w:rPr>
        <w:t>2020给出的规则起草。</w:t>
      </w:r>
    </w:p>
    <w:p>
      <w:pPr>
        <w:pStyle w:val="51"/>
        <w:rPr>
          <w:rFonts w:hint="eastAsia"/>
        </w:rPr>
      </w:pPr>
      <w:r>
        <w:rPr>
          <w:rFonts w:hint="eastAsia"/>
        </w:rPr>
        <w:t>本文件由甘肃省生态环境标准化技术委员会</w:t>
      </w:r>
      <w:r>
        <w:rPr>
          <w:rFonts w:hint="eastAsia"/>
          <w:lang w:val="en-US" w:eastAsia="zh-CN"/>
        </w:rPr>
        <w:t>提出</w:t>
      </w:r>
      <w:r>
        <w:rPr>
          <w:rFonts w:hint="eastAsia"/>
        </w:rPr>
        <w:t>归口。</w:t>
      </w:r>
    </w:p>
    <w:p>
      <w:pPr>
        <w:pStyle w:val="51"/>
      </w:pPr>
      <w:r>
        <w:rPr>
          <w:rFonts w:hint="eastAsia"/>
        </w:rPr>
        <w:t>本文件由甘肃省生态环境厅监督实施。</w:t>
      </w:r>
    </w:p>
    <w:p>
      <w:pPr>
        <w:pStyle w:val="51"/>
      </w:pPr>
      <w:r>
        <w:rPr>
          <w:rFonts w:hint="eastAsia"/>
        </w:rPr>
        <w:t>本文件起草单位：甘肃省生态环境应急与事故调查中心。</w:t>
      </w:r>
    </w:p>
    <w:p>
      <w:pPr>
        <w:pStyle w:val="51"/>
        <w:rPr>
          <w:rFonts w:hint="default" w:eastAsia="宋体"/>
          <w:lang w:val="en-US" w:eastAsia="zh-CN"/>
        </w:rPr>
      </w:pPr>
      <w:r>
        <w:rPr>
          <w:rFonts w:hint="eastAsia"/>
        </w:rPr>
        <w:t>本文件主要起草人：</w:t>
      </w:r>
      <w:r>
        <w:rPr>
          <w:rFonts w:hint="eastAsia"/>
          <w:lang w:val="en-US" w:eastAsia="zh-CN"/>
        </w:rPr>
        <w:t>毛国辉、魏斌、王亚变、薛丽洋、李芳亮、张志宏、陈浩</w:t>
      </w:r>
    </w:p>
    <w:p>
      <w:r>
        <w:rPr>
          <w:rFonts w:hint="eastAsia"/>
        </w:rPr>
        <w:br w:type="page"/>
      </w:r>
    </w:p>
    <w:p>
      <w:pPr>
        <w:jc w:val="center"/>
        <w:rPr>
          <w:rFonts w:ascii="黑体" w:hAnsi="黑体" w:eastAsia="黑体" w:cs="楷体"/>
          <w:sz w:val="30"/>
          <w:szCs w:val="30"/>
        </w:rPr>
      </w:pPr>
      <w:bookmarkStart w:id="15" w:name="StandardName"/>
      <w:bookmarkEnd w:id="15"/>
      <w:r>
        <w:rPr>
          <w:rFonts w:hint="eastAsia" w:ascii="黑体" w:hAnsi="黑体" w:eastAsia="黑体" w:cs="楷体"/>
          <w:sz w:val="30"/>
          <w:szCs w:val="30"/>
        </w:rPr>
        <w:t>工业园区突发环境事件风险评估技术规范</w:t>
      </w:r>
    </w:p>
    <w:p>
      <w:pPr>
        <w:pStyle w:val="2"/>
        <w:rPr>
          <w:sz w:val="28"/>
          <w:szCs w:val="28"/>
        </w:rPr>
      </w:pPr>
      <w:bookmarkStart w:id="16" w:name="_Toc115019938"/>
      <w:bookmarkStart w:id="17" w:name="_Toc25102"/>
      <w:bookmarkStart w:id="18" w:name="_Toc115019657"/>
      <w:r>
        <w:rPr>
          <w:sz w:val="28"/>
          <w:szCs w:val="28"/>
        </w:rPr>
        <w:t>1  范围</w:t>
      </w:r>
      <w:bookmarkEnd w:id="16"/>
      <w:bookmarkEnd w:id="17"/>
      <w:bookmarkEnd w:id="18"/>
    </w:p>
    <w:p>
      <w:pPr>
        <w:spacing w:line="340" w:lineRule="exact"/>
        <w:ind w:firstLine="420" w:firstLineChars="200"/>
      </w:pPr>
      <w:r>
        <w:rPr>
          <w:rFonts w:hint="eastAsia"/>
        </w:rPr>
        <w:t>本文件确立了工业园区突发环境事件风险评估的程序，规定了风险评估的原则、内容和技术要点。</w:t>
      </w:r>
    </w:p>
    <w:p>
      <w:pPr>
        <w:spacing w:line="340" w:lineRule="exact"/>
        <w:ind w:firstLine="420" w:firstLineChars="200"/>
      </w:pPr>
      <w:r>
        <w:rPr>
          <w:rFonts w:hint="eastAsia"/>
        </w:rPr>
        <w:t>本文件适用</w:t>
      </w:r>
      <w:r>
        <w:rPr>
          <w:rFonts w:hint="eastAsia"/>
          <w:lang w:val="en-US" w:eastAsia="zh-CN"/>
        </w:rPr>
        <w:t>于</w:t>
      </w:r>
      <w:r>
        <w:rPr>
          <w:rFonts w:hint="eastAsia"/>
        </w:rPr>
        <w:t>涉及生产、加工、使用、存储或释放环境风险物质的设区的市级以上人民政府批准设立的工业园区</w:t>
      </w:r>
      <w:r>
        <w:rPr>
          <w:rFonts w:hint="eastAsia"/>
          <w:lang w:val="en-US" w:eastAsia="zh-CN"/>
        </w:rPr>
        <w:t>突发环境事件</w:t>
      </w:r>
      <w:r>
        <w:rPr>
          <w:rFonts w:hint="eastAsia"/>
        </w:rPr>
        <w:t>风险评估。不适用于核与辐射、生物物种安全等突发环境事件的风险评估。</w:t>
      </w:r>
    </w:p>
    <w:p>
      <w:pPr>
        <w:pStyle w:val="2"/>
        <w:rPr>
          <w:sz w:val="28"/>
          <w:szCs w:val="28"/>
        </w:rPr>
      </w:pPr>
      <w:bookmarkStart w:id="19" w:name="_Toc17619"/>
      <w:bookmarkStart w:id="20" w:name="_Toc115019939"/>
      <w:bookmarkStart w:id="21" w:name="_Toc115019658"/>
      <w:r>
        <w:rPr>
          <w:sz w:val="28"/>
          <w:szCs w:val="28"/>
        </w:rPr>
        <w:t>2  规范性引用文件</w:t>
      </w:r>
      <w:bookmarkEnd w:id="19"/>
      <w:bookmarkEnd w:id="20"/>
      <w:bookmarkEnd w:id="21"/>
    </w:p>
    <w:p>
      <w:pPr>
        <w:spacing w:line="340" w:lineRule="exact"/>
        <w:ind w:firstLine="420" w:firstLineChars="200"/>
        <w:rPr>
          <w:rFonts w:hint="eastAsia"/>
        </w:rPr>
      </w:pPr>
      <w:r>
        <w:rPr>
          <w:rFonts w:hint="eastAsia"/>
        </w:rPr>
        <w:t xml:space="preserve">下列文件中的内容通过文中的规范性引用而构成本文件必不可少的条款。其中，注日期的引用文件，仅该日期对应的版本适用于本文件；不注日期的引用文件，其最新版本（包括所有的修改单）适用于本文件。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rPr>
      </w:pPr>
      <w:r>
        <w:rPr>
          <w:rFonts w:hint="eastAsia" w:ascii="宋体" w:hAnsi="宋体" w:cs="楷体"/>
          <w:szCs w:val="21"/>
        </w:rPr>
        <w:t>GB18218</w:t>
      </w:r>
      <w:r>
        <w:rPr>
          <w:rFonts w:hint="eastAsia" w:ascii="宋体" w:hAnsi="宋体" w:cs="楷体"/>
          <w:szCs w:val="21"/>
          <w:lang w:eastAsia="zh-CN"/>
        </w:rPr>
        <w:t>—</w:t>
      </w:r>
      <w:r>
        <w:rPr>
          <w:rFonts w:hint="eastAsia" w:ascii="宋体" w:hAnsi="宋体" w:cs="楷体"/>
          <w:szCs w:val="21"/>
        </w:rPr>
        <w:t xml:space="preserve">2018  </w:t>
      </w:r>
      <w:r>
        <w:rPr>
          <w:rFonts w:hint="eastAsia"/>
        </w:rPr>
        <w:t>危险化学品重大危险源辨识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s="楷体"/>
          <w:szCs w:val="21"/>
        </w:rPr>
      </w:pPr>
      <w:r>
        <w:rPr>
          <w:rFonts w:hint="eastAsia" w:ascii="宋体" w:hAnsi="宋体" w:cs="楷体"/>
          <w:szCs w:val="21"/>
        </w:rPr>
        <w:t>GB/T39217</w:t>
      </w:r>
      <w:r>
        <w:rPr>
          <w:rFonts w:hint="eastAsia" w:ascii="宋体" w:hAnsi="宋体" w:cs="楷体"/>
          <w:szCs w:val="21"/>
          <w:lang w:eastAsia="zh-CN"/>
        </w:rPr>
        <w:t>—</w:t>
      </w:r>
      <w:r>
        <w:rPr>
          <w:rFonts w:hint="eastAsia" w:ascii="宋体" w:hAnsi="宋体" w:cs="楷体"/>
          <w:szCs w:val="21"/>
        </w:rPr>
        <w:t>2020  化工园区综合评价导则</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cs="楷体"/>
          <w:szCs w:val="21"/>
        </w:rPr>
      </w:pPr>
      <w:r>
        <w:rPr>
          <w:rFonts w:hint="eastAsia" w:ascii="宋体" w:hAnsi="宋体" w:cs="楷体"/>
          <w:szCs w:val="21"/>
        </w:rPr>
        <w:t>GB50016</w:t>
      </w:r>
      <w:r>
        <w:rPr>
          <w:rFonts w:hint="eastAsia" w:ascii="宋体" w:hAnsi="宋体" w:cs="楷体"/>
          <w:szCs w:val="21"/>
          <w:lang w:eastAsia="zh-CN"/>
        </w:rPr>
        <w:t>—</w:t>
      </w:r>
      <w:r>
        <w:rPr>
          <w:rFonts w:hint="eastAsia" w:ascii="宋体" w:hAnsi="宋体" w:cs="楷体"/>
          <w:szCs w:val="21"/>
        </w:rPr>
        <w:t>2014  《建筑设计防火规范》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cs="楷体"/>
          <w:szCs w:val="21"/>
        </w:rPr>
      </w:pPr>
      <w:r>
        <w:rPr>
          <w:rFonts w:hint="eastAsia" w:ascii="宋体" w:hAnsi="宋体" w:cs="楷体"/>
          <w:szCs w:val="21"/>
        </w:rPr>
        <w:t>GB50160</w:t>
      </w:r>
      <w:r>
        <w:rPr>
          <w:rFonts w:hint="eastAsia" w:ascii="宋体" w:hAnsi="宋体" w:cs="楷体"/>
          <w:szCs w:val="21"/>
          <w:lang w:eastAsia="zh-CN"/>
        </w:rPr>
        <w:t>—</w:t>
      </w:r>
      <w:r>
        <w:rPr>
          <w:rFonts w:hint="eastAsia" w:ascii="宋体" w:hAnsi="宋体" w:cs="楷体"/>
          <w:szCs w:val="21"/>
        </w:rPr>
        <w:t>2018  《石油化工企业设计防火规范》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s="楷体"/>
          <w:szCs w:val="21"/>
        </w:rPr>
      </w:pPr>
      <w:r>
        <w:rPr>
          <w:rFonts w:hint="eastAsia" w:ascii="宋体" w:hAnsi="宋体" w:cs="楷体"/>
          <w:szCs w:val="21"/>
        </w:rPr>
        <w:t>HJ 2.2—20</w:t>
      </w:r>
      <w:r>
        <w:rPr>
          <w:rFonts w:hint="eastAsia" w:ascii="宋体" w:hAnsi="宋体" w:cs="楷体"/>
          <w:szCs w:val="21"/>
          <w:lang w:val="en-US" w:eastAsia="zh-CN"/>
        </w:rPr>
        <w:t>18</w:t>
      </w:r>
      <w:r>
        <w:rPr>
          <w:rFonts w:hint="eastAsia" w:ascii="宋体" w:hAnsi="宋体" w:cs="楷体"/>
          <w:szCs w:val="21"/>
        </w:rPr>
        <w:t xml:space="preserve">  环境影响评价技术导则 大气环境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s="楷体"/>
          <w:szCs w:val="21"/>
        </w:rPr>
      </w:pPr>
      <w:r>
        <w:rPr>
          <w:rFonts w:hint="eastAsia" w:ascii="宋体" w:hAnsi="宋体" w:cs="楷体"/>
          <w:szCs w:val="21"/>
        </w:rPr>
        <w:t>HJ 2.3—20</w:t>
      </w:r>
      <w:r>
        <w:rPr>
          <w:rFonts w:hint="eastAsia" w:ascii="宋体" w:hAnsi="宋体" w:cs="楷体"/>
          <w:szCs w:val="21"/>
          <w:lang w:val="en-US" w:eastAsia="zh-CN"/>
        </w:rPr>
        <w:t>18</w:t>
      </w:r>
      <w:r>
        <w:rPr>
          <w:rFonts w:hint="eastAsia" w:ascii="宋体" w:hAnsi="宋体" w:cs="楷体"/>
          <w:szCs w:val="21"/>
        </w:rPr>
        <w:t xml:space="preserve">  环境影响评价技术导则 地表水环境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cs="楷体"/>
          <w:szCs w:val="21"/>
        </w:rPr>
      </w:pPr>
      <w:r>
        <w:rPr>
          <w:rFonts w:hint="eastAsia" w:ascii="宋体" w:hAnsi="宋体" w:cs="楷体"/>
          <w:szCs w:val="21"/>
        </w:rPr>
        <w:t>HJ 131—2021  规划环境影响评价技术导则</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pPr>
      <w:r>
        <w:rPr>
          <w:rFonts w:hint="eastAsia" w:ascii="宋体" w:hAnsi="宋体" w:cs="楷体"/>
          <w:szCs w:val="21"/>
        </w:rPr>
        <w:t xml:space="preserve">HJ 169  </w:t>
      </w:r>
      <w:r>
        <w:rPr>
          <w:rFonts w:hint="eastAsia"/>
        </w:rPr>
        <w:t>建设项目环境风险评价技术导则</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cs="楷体"/>
          <w:szCs w:val="21"/>
        </w:rPr>
      </w:pPr>
      <w:r>
        <w:rPr>
          <w:rFonts w:hint="eastAsia" w:ascii="宋体" w:hAnsi="宋体" w:cs="楷体"/>
          <w:szCs w:val="21"/>
        </w:rPr>
        <w:t>HJ 192  生态环境状况评价技术规范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s="楷体"/>
          <w:szCs w:val="21"/>
        </w:rPr>
      </w:pPr>
      <w:r>
        <w:rPr>
          <w:rFonts w:hint="eastAsia" w:ascii="宋体" w:hAnsi="宋体" w:cs="楷体"/>
          <w:szCs w:val="21"/>
        </w:rPr>
        <w:t>HJ 610  环境影响评价技术导则 地下水环境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cs="楷体"/>
          <w:szCs w:val="21"/>
        </w:rPr>
      </w:pPr>
      <w:r>
        <w:rPr>
          <w:rFonts w:hint="eastAsia" w:ascii="宋体" w:hAnsi="宋体" w:cs="楷体"/>
          <w:szCs w:val="21"/>
        </w:rPr>
        <w:t>HJ 964  环境影响评价技术导则 土壤环境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pPr>
      <w:r>
        <w:rPr>
          <w:rFonts w:hint="eastAsia" w:ascii="宋体" w:hAnsi="宋体" w:cs="楷体"/>
          <w:szCs w:val="21"/>
        </w:rPr>
        <w:t>HJ 941</w:t>
      </w:r>
      <w:r>
        <w:rPr>
          <w:rFonts w:hint="eastAsia"/>
        </w:rPr>
        <w:t xml:space="preserve">  企业突发环境事件风险分级方法</w:t>
      </w:r>
    </w:p>
    <w:p>
      <w:pPr>
        <w:pStyle w:val="2"/>
        <w:rPr>
          <w:sz w:val="28"/>
          <w:szCs w:val="28"/>
        </w:rPr>
      </w:pPr>
      <w:bookmarkStart w:id="22" w:name="_Toc17220"/>
      <w:bookmarkStart w:id="23" w:name="_Toc115019659"/>
      <w:bookmarkStart w:id="24" w:name="_Toc115019940"/>
      <w:r>
        <w:rPr>
          <w:sz w:val="28"/>
          <w:szCs w:val="28"/>
        </w:rPr>
        <w:t>3  术语和定义</w:t>
      </w:r>
      <w:bookmarkEnd w:id="22"/>
      <w:bookmarkEnd w:id="23"/>
      <w:bookmarkEnd w:id="24"/>
    </w:p>
    <w:p>
      <w:pPr>
        <w:spacing w:before="156" w:beforeLines="50" w:after="156" w:afterLines="50" w:line="340" w:lineRule="exact"/>
        <w:ind w:firstLine="420" w:firstLineChars="200"/>
        <w:rPr>
          <w:rFonts w:ascii="宋体" w:hAnsi="宋体" w:cs="楷体"/>
          <w:szCs w:val="21"/>
        </w:rPr>
      </w:pPr>
      <w:r>
        <w:rPr>
          <w:rFonts w:ascii="宋体" w:hAnsi="宋体" w:cs="楷体"/>
          <w:szCs w:val="21"/>
        </w:rPr>
        <w:t>下列术语和定义适用于本文件。</w:t>
      </w:r>
    </w:p>
    <w:p>
      <w:pPr>
        <w:widowControl/>
        <w:spacing w:before="156" w:beforeLines="50" w:after="156" w:afterLines="50" w:line="340" w:lineRule="exact"/>
        <w:jc w:val="left"/>
        <w:outlineLvl w:val="1"/>
        <w:rPr>
          <w:rFonts w:ascii="宋体" w:hAnsi="宋体" w:cs="楷体"/>
          <w:b/>
          <w:szCs w:val="21"/>
        </w:rPr>
      </w:pPr>
      <w:bookmarkStart w:id="25" w:name="_Toc29718"/>
      <w:bookmarkStart w:id="26" w:name="_Toc115019660"/>
      <w:r>
        <w:rPr>
          <w:rFonts w:ascii="宋体" w:hAnsi="宋体" w:cs="楷体"/>
          <w:b/>
          <w:szCs w:val="21"/>
        </w:rPr>
        <w:t xml:space="preserve">3.1  </w:t>
      </w:r>
      <w:bookmarkEnd w:id="25"/>
    </w:p>
    <w:p>
      <w:pPr>
        <w:spacing w:before="156" w:beforeLines="50" w:after="156" w:afterLines="50" w:line="340" w:lineRule="exact"/>
        <w:ind w:firstLine="422" w:firstLineChars="200"/>
        <w:outlineLvl w:val="1"/>
        <w:rPr>
          <w:rFonts w:ascii="Times New Roman" w:hAnsi="Times New Roman" w:cs="Times New Roman"/>
          <w:b/>
          <w:szCs w:val="21"/>
        </w:rPr>
      </w:pPr>
      <w:r>
        <w:rPr>
          <w:rFonts w:ascii="宋体" w:hAnsi="宋体" w:cs="楷体"/>
          <w:b/>
          <w:szCs w:val="21"/>
        </w:rPr>
        <w:t>工业园区</w:t>
      </w:r>
      <w:bookmarkEnd w:id="26"/>
      <w:r>
        <w:rPr>
          <w:rFonts w:hint="eastAsia" w:ascii="宋体" w:hAnsi="宋体" w:cs="楷体"/>
          <w:b/>
          <w:szCs w:val="21"/>
        </w:rPr>
        <w:t xml:space="preserve"> </w:t>
      </w:r>
      <w:r>
        <w:rPr>
          <w:rFonts w:hint="eastAsia" w:ascii="Times New Roman" w:eastAsia="黑体"/>
        </w:rPr>
        <w:t xml:space="preserve"> industrial park </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县级及以上人民政府或部门批准设立、认定的，具有明确地理边界的开发区、保税区、出口加工区、生态工业园区或示范园区、产业园区、工业集聚区等。</w:t>
      </w:r>
    </w:p>
    <w:p>
      <w:pPr>
        <w:widowControl/>
        <w:spacing w:before="156" w:beforeLines="50" w:after="156" w:afterLines="50" w:line="340" w:lineRule="exact"/>
        <w:jc w:val="left"/>
        <w:outlineLvl w:val="1"/>
        <w:rPr>
          <w:rFonts w:hint="eastAsia" w:ascii="宋体" w:hAnsi="宋体" w:cs="楷体"/>
          <w:b/>
          <w:szCs w:val="21"/>
        </w:rPr>
      </w:pPr>
      <w:r>
        <w:rPr>
          <w:rFonts w:hint="eastAsia" w:ascii="宋体" w:hAnsi="宋体" w:cs="楷体"/>
          <w:b/>
          <w:szCs w:val="21"/>
        </w:rPr>
        <w:t xml:space="preserve">3.2  </w:t>
      </w:r>
    </w:p>
    <w:p>
      <w:pPr>
        <w:spacing w:before="156" w:beforeLines="50" w:after="156" w:afterLines="50" w:line="340" w:lineRule="exact"/>
        <w:ind w:firstLine="422" w:firstLineChars="200"/>
        <w:outlineLvl w:val="1"/>
        <w:rPr>
          <w:rFonts w:ascii="宋体" w:hAnsi="宋体" w:cs="楷体"/>
          <w:b/>
          <w:szCs w:val="21"/>
        </w:rPr>
      </w:pPr>
      <w:r>
        <w:rPr>
          <w:rFonts w:hint="eastAsia" w:ascii="宋体" w:hAnsi="宋体" w:cs="楷体"/>
          <w:b/>
          <w:szCs w:val="21"/>
        </w:rPr>
        <w:t xml:space="preserve">工业园区边界  </w:t>
      </w:r>
      <w:r>
        <w:rPr>
          <w:rFonts w:hint="eastAsia" w:ascii="Times New Roman" w:eastAsia="黑体"/>
        </w:rPr>
        <w:t>boundary of industrial park</w:t>
      </w:r>
    </w:p>
    <w:p>
      <w:pPr>
        <w:spacing w:before="156" w:beforeLines="50" w:after="156" w:afterLines="50" w:line="340" w:lineRule="exact"/>
        <w:ind w:firstLine="420"/>
        <w:rPr>
          <w:rFonts w:ascii="宋体" w:hAnsi="宋体" w:cs="楷体"/>
          <w:szCs w:val="21"/>
        </w:rPr>
      </w:pPr>
      <w:r>
        <w:rPr>
          <w:rFonts w:hint="eastAsia" w:ascii="宋体" w:hAnsi="宋体" w:cs="楷体"/>
          <w:szCs w:val="21"/>
        </w:rPr>
        <w:t>工业园区内部环境和外部环境之间的界线</w:t>
      </w:r>
      <w:r>
        <w:rPr>
          <w:rFonts w:hint="eastAsia" w:ascii="宋体" w:hAnsi="宋体" w:cs="楷体"/>
          <w:szCs w:val="21"/>
          <w:lang w:eastAsia="zh-CN"/>
        </w:rPr>
        <w:t>。</w:t>
      </w:r>
      <w:r>
        <w:rPr>
          <w:rFonts w:hint="eastAsia" w:ascii="宋体" w:hAnsi="宋体" w:cs="楷体"/>
          <w:szCs w:val="21"/>
        </w:rPr>
        <w:t>可依据人民政府设立文件的四至范围、规划批准建设范围或者有管理权限的政府部门认定的管辖范围来确定。</w:t>
      </w:r>
    </w:p>
    <w:p>
      <w:pPr>
        <w:widowControl/>
        <w:spacing w:before="156" w:beforeLines="50" w:after="156" w:afterLines="50" w:line="340" w:lineRule="exact"/>
        <w:jc w:val="left"/>
        <w:outlineLvl w:val="1"/>
        <w:rPr>
          <w:rFonts w:ascii="宋体" w:hAnsi="宋体" w:cs="楷体"/>
          <w:b/>
          <w:szCs w:val="21"/>
        </w:rPr>
      </w:pPr>
      <w:bookmarkStart w:id="27" w:name="_Toc30128"/>
      <w:bookmarkStart w:id="28" w:name="_Toc115019661"/>
      <w:r>
        <w:rPr>
          <w:rFonts w:ascii="宋体" w:hAnsi="宋体" w:cs="楷体"/>
          <w:b/>
          <w:szCs w:val="21"/>
        </w:rPr>
        <w:t>3.</w:t>
      </w:r>
      <w:r>
        <w:rPr>
          <w:rFonts w:hint="eastAsia" w:ascii="宋体" w:hAnsi="宋体" w:cs="楷体"/>
          <w:b/>
          <w:szCs w:val="21"/>
        </w:rPr>
        <w:t>3</w:t>
      </w:r>
      <w:r>
        <w:rPr>
          <w:rFonts w:ascii="宋体" w:hAnsi="宋体" w:cs="楷体"/>
          <w:b/>
          <w:szCs w:val="21"/>
        </w:rPr>
        <w:t xml:space="preserve">  </w:t>
      </w:r>
    </w:p>
    <w:p>
      <w:pPr>
        <w:spacing w:before="156" w:beforeLines="50" w:after="156" w:afterLines="50" w:line="340" w:lineRule="exact"/>
        <w:ind w:firstLine="422" w:firstLineChars="200"/>
        <w:outlineLvl w:val="1"/>
        <w:rPr>
          <w:rFonts w:ascii="宋体" w:hAnsi="宋体" w:cs="楷体"/>
          <w:b/>
          <w:szCs w:val="21"/>
        </w:rPr>
      </w:pPr>
      <w:r>
        <w:rPr>
          <w:rFonts w:ascii="宋体" w:hAnsi="宋体" w:cs="楷体"/>
          <w:b/>
          <w:szCs w:val="21"/>
        </w:rPr>
        <w:t>突发环境事件</w:t>
      </w:r>
      <w:bookmarkEnd w:id="27"/>
      <w:r>
        <w:rPr>
          <w:rFonts w:hint="eastAsia" w:ascii="宋体" w:hAnsi="宋体" w:cs="楷体"/>
          <w:b/>
          <w:szCs w:val="21"/>
        </w:rPr>
        <w:t xml:space="preserve"> </w:t>
      </w:r>
      <w:r>
        <w:rPr>
          <w:rFonts w:ascii="宋体" w:hAnsi="宋体" w:cs="楷体"/>
          <w:b/>
          <w:szCs w:val="21"/>
        </w:rPr>
        <w:t xml:space="preserve"> </w:t>
      </w:r>
      <w:r>
        <w:rPr>
          <w:rFonts w:ascii="Times New Roman" w:hAnsi="Times New Roman" w:eastAsia="黑体" w:cs="Times New Roman"/>
        </w:rPr>
        <w:t xml:space="preserve">environmental </w:t>
      </w:r>
      <w:r>
        <w:rPr>
          <w:rFonts w:ascii="Times New Roman" w:eastAsia="黑体"/>
        </w:rPr>
        <w:t>emergency</w:t>
      </w:r>
      <w:bookmarkEnd w:id="28"/>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由于污染物排放或者自然灾害、生产安全事故等因素，导致污染物或者放射性物质等有毒有害物质进入大气、水体、土壤等环境介质，突然造成或者可能造成环境质量下降，危及公众身体健康和财产安全，或者造成生态环境破坏，或者造成重大社会影响，需要采取紧急措施予以应对的事件。</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lang w:val="en-US" w:eastAsia="zh-CN"/>
        </w:rPr>
        <w:t>注：突发环境事件</w:t>
      </w:r>
      <w:r>
        <w:rPr>
          <w:rFonts w:hint="eastAsia" w:ascii="宋体" w:hAnsi="宋体" w:cs="楷体"/>
          <w:szCs w:val="21"/>
        </w:rPr>
        <w:t>主要包括大气污染、水体污染、土壤污染等突发性环境污染事件和辐射污染事件</w:t>
      </w:r>
      <w:r>
        <w:rPr>
          <w:rFonts w:ascii="宋体" w:hAnsi="宋体" w:cs="楷体"/>
          <w:szCs w:val="21"/>
        </w:rPr>
        <w:t>。</w:t>
      </w:r>
    </w:p>
    <w:p>
      <w:pPr>
        <w:spacing w:before="156" w:beforeLines="50" w:after="156" w:afterLines="50" w:line="340" w:lineRule="exact"/>
        <w:ind w:firstLine="420" w:firstLineChars="200"/>
        <w:rPr>
          <w:rFonts w:hint="eastAsia" w:ascii="宋体" w:hAnsi="宋体" w:cs="楷体"/>
          <w:szCs w:val="21"/>
        </w:rPr>
      </w:pPr>
    </w:p>
    <w:p>
      <w:pPr>
        <w:widowControl/>
        <w:spacing w:before="156" w:beforeLines="50" w:after="156" w:afterLines="50" w:line="340" w:lineRule="exact"/>
        <w:jc w:val="left"/>
        <w:outlineLvl w:val="1"/>
        <w:rPr>
          <w:rFonts w:hint="eastAsia" w:ascii="宋体" w:hAnsi="宋体" w:cs="楷体"/>
          <w:b/>
          <w:szCs w:val="21"/>
        </w:rPr>
      </w:pPr>
      <w:r>
        <w:rPr>
          <w:rFonts w:ascii="宋体" w:hAnsi="宋体" w:cs="楷体"/>
          <w:b/>
          <w:szCs w:val="21"/>
        </w:rPr>
        <w:t>3.</w:t>
      </w:r>
      <w:r>
        <w:rPr>
          <w:rFonts w:hint="eastAsia" w:ascii="宋体" w:hAnsi="宋体" w:cs="楷体"/>
          <w:b/>
          <w:szCs w:val="21"/>
        </w:rPr>
        <w:t>4</w:t>
      </w:r>
      <w:r>
        <w:rPr>
          <w:rFonts w:ascii="宋体" w:hAnsi="宋体" w:cs="楷体"/>
          <w:b/>
          <w:szCs w:val="21"/>
        </w:rPr>
        <w:t xml:space="preserve"> </w:t>
      </w:r>
      <w:r>
        <w:rPr>
          <w:rFonts w:hint="eastAsia" w:ascii="宋体" w:hAnsi="宋体" w:cs="楷体"/>
          <w:b/>
          <w:szCs w:val="21"/>
        </w:rPr>
        <w:t xml:space="preserve"> </w:t>
      </w:r>
    </w:p>
    <w:p>
      <w:pPr>
        <w:spacing w:before="156" w:beforeLines="50" w:after="156" w:afterLines="50" w:line="340" w:lineRule="exact"/>
        <w:ind w:firstLine="422" w:firstLineChars="200"/>
        <w:outlineLvl w:val="1"/>
        <w:rPr>
          <w:rFonts w:ascii="Times New Roman" w:hAnsi="Times New Roman" w:eastAsia="黑体" w:cs="Times New Roman"/>
        </w:rPr>
      </w:pPr>
      <w:r>
        <w:rPr>
          <w:rFonts w:hint="eastAsia" w:ascii="宋体" w:hAnsi="宋体" w:cs="楷体"/>
          <w:b/>
          <w:szCs w:val="21"/>
        </w:rPr>
        <w:t xml:space="preserve">突发环境事件风险  </w:t>
      </w:r>
      <w:r>
        <w:rPr>
          <w:rFonts w:ascii="Times New Roman" w:hAnsi="Times New Roman" w:eastAsia="黑体" w:cs="Times New Roman"/>
        </w:rPr>
        <w:t xml:space="preserve">environmental </w:t>
      </w:r>
      <w:r>
        <w:rPr>
          <w:rFonts w:hint="eastAsia" w:ascii="Times New Roman" w:hAnsi="Times New Roman" w:eastAsia="黑体" w:cs="Times New Roman"/>
        </w:rPr>
        <w:t>accident</w:t>
      </w:r>
      <w:r>
        <w:rPr>
          <w:rFonts w:ascii="Times New Roman" w:hAnsi="Times New Roman" w:eastAsia="黑体" w:cs="Times New Roman"/>
        </w:rPr>
        <w:t xml:space="preserve"> </w:t>
      </w:r>
      <w:r>
        <w:rPr>
          <w:rFonts w:hint="eastAsia" w:ascii="Times New Roman" w:hAnsi="Times New Roman" w:eastAsia="黑体" w:cs="Times New Roman"/>
        </w:rPr>
        <w:t>risk</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工业园区内发生突发环境事件的可能性及可能造成的危害程度。</w:t>
      </w:r>
    </w:p>
    <w:p>
      <w:pPr>
        <w:spacing w:before="156" w:beforeLines="50" w:after="156" w:afterLines="50" w:line="340" w:lineRule="exact"/>
        <w:outlineLvl w:val="1"/>
        <w:rPr>
          <w:rFonts w:ascii="宋体" w:hAnsi="宋体" w:cs="楷体"/>
          <w:b/>
          <w:szCs w:val="21"/>
        </w:rPr>
      </w:pPr>
      <w:r>
        <w:rPr>
          <w:rFonts w:ascii="宋体" w:hAnsi="宋体" w:cs="楷体"/>
          <w:b/>
          <w:szCs w:val="21"/>
        </w:rPr>
        <w:t>3.</w:t>
      </w:r>
      <w:r>
        <w:rPr>
          <w:rFonts w:hint="eastAsia" w:ascii="宋体" w:hAnsi="宋体" w:cs="楷体"/>
          <w:b/>
          <w:szCs w:val="21"/>
        </w:rPr>
        <w:t>5</w:t>
      </w:r>
      <w:r>
        <w:rPr>
          <w:rFonts w:ascii="宋体" w:hAnsi="宋体" w:cs="楷体"/>
          <w:b/>
          <w:szCs w:val="21"/>
        </w:rPr>
        <w:t xml:space="preserve">  </w:t>
      </w:r>
    </w:p>
    <w:p>
      <w:pPr>
        <w:spacing w:before="156" w:beforeLines="50" w:after="156" w:afterLines="50" w:line="340" w:lineRule="exact"/>
        <w:ind w:firstLine="422" w:firstLineChars="200"/>
        <w:outlineLvl w:val="1"/>
        <w:rPr>
          <w:rFonts w:ascii="Times New Roman" w:hAnsi="Times New Roman" w:eastAsia="黑体" w:cs="Times New Roman"/>
        </w:rPr>
      </w:pPr>
      <w:r>
        <w:rPr>
          <w:rFonts w:hint="eastAsia" w:ascii="宋体" w:hAnsi="宋体" w:cs="楷体"/>
          <w:b/>
          <w:szCs w:val="21"/>
        </w:rPr>
        <w:t xml:space="preserve">突发环境事件风险物质  </w:t>
      </w:r>
      <w:r>
        <w:rPr>
          <w:rFonts w:ascii="Times New Roman" w:hAnsi="Times New Roman" w:eastAsia="黑体" w:cs="Times New Roman"/>
        </w:rPr>
        <w:t xml:space="preserve">environmental </w:t>
      </w:r>
      <w:r>
        <w:rPr>
          <w:rFonts w:hint="eastAsia" w:ascii="Times New Roman" w:hAnsi="Times New Roman" w:eastAsia="黑体" w:cs="Times New Roman"/>
        </w:rPr>
        <w:t>accident</w:t>
      </w:r>
      <w:r>
        <w:rPr>
          <w:rFonts w:ascii="Times New Roman" w:hAnsi="Times New Roman" w:eastAsia="黑体" w:cs="Times New Roman"/>
        </w:rPr>
        <w:t xml:space="preserve"> </w:t>
      </w:r>
      <w:r>
        <w:rPr>
          <w:rFonts w:hint="eastAsia" w:ascii="Times New Roman" w:hAnsi="Times New Roman" w:eastAsia="黑体" w:cs="Times New Roman"/>
        </w:rPr>
        <w:t>risk substance</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具有有毒、有害、易燃易爆、易扩散等特性，在意外释放条件下可能对工业园区内部与周边人群和环境造成伤害、污染的化学物质。</w:t>
      </w:r>
    </w:p>
    <w:p>
      <w:pPr>
        <w:widowControl/>
        <w:spacing w:before="156" w:beforeLines="50" w:after="156" w:afterLines="50" w:line="340" w:lineRule="exact"/>
        <w:jc w:val="left"/>
        <w:outlineLvl w:val="1"/>
        <w:rPr>
          <w:rFonts w:ascii="宋体" w:hAnsi="宋体" w:cs="楷体"/>
          <w:b/>
          <w:szCs w:val="21"/>
        </w:rPr>
      </w:pPr>
      <w:r>
        <w:rPr>
          <w:rFonts w:ascii="宋体" w:hAnsi="宋体" w:cs="楷体"/>
          <w:b/>
          <w:szCs w:val="21"/>
        </w:rPr>
        <w:t>3.</w:t>
      </w:r>
      <w:r>
        <w:rPr>
          <w:rFonts w:hint="eastAsia" w:ascii="宋体" w:hAnsi="宋体" w:cs="楷体"/>
          <w:b/>
          <w:szCs w:val="21"/>
        </w:rPr>
        <w:t>6</w:t>
      </w:r>
      <w:r>
        <w:rPr>
          <w:rFonts w:ascii="宋体" w:hAnsi="宋体" w:cs="楷体"/>
          <w:b/>
          <w:szCs w:val="21"/>
        </w:rPr>
        <w:t xml:space="preserve">  </w:t>
      </w:r>
    </w:p>
    <w:p>
      <w:pPr>
        <w:widowControl/>
        <w:ind w:firstLine="422" w:firstLineChars="200"/>
        <w:jc w:val="left"/>
      </w:pPr>
      <w:r>
        <w:rPr>
          <w:rFonts w:hint="eastAsia" w:ascii="宋体" w:hAnsi="宋体" w:cs="楷体"/>
          <w:b/>
          <w:szCs w:val="21"/>
        </w:rPr>
        <w:t xml:space="preserve">突发环境事件风险源 </w:t>
      </w:r>
      <w:r>
        <w:rPr>
          <w:rFonts w:ascii="Times New Roman" w:hAnsi="Times New Roman" w:eastAsia="黑体" w:cs="Times New Roman"/>
        </w:rPr>
        <w:t>environmental accident risk sources</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存在物质或能量意外释放，并可产生环境危害的源，包括工业园区内可能造成突发环境事件的各类生产、加工、储存、使用、运输环境风险物质的装置、设施和场所。简称“环境风险源”。</w:t>
      </w:r>
    </w:p>
    <w:p>
      <w:pPr>
        <w:widowControl/>
        <w:spacing w:before="156" w:beforeLines="50" w:after="156" w:afterLines="50" w:line="340" w:lineRule="exact"/>
        <w:jc w:val="left"/>
        <w:outlineLvl w:val="1"/>
        <w:rPr>
          <w:rFonts w:hint="eastAsia" w:ascii="宋体" w:hAnsi="宋体" w:cs="楷体"/>
          <w:b/>
          <w:szCs w:val="21"/>
        </w:rPr>
      </w:pPr>
      <w:r>
        <w:rPr>
          <w:rFonts w:hint="eastAsia" w:ascii="宋体" w:hAnsi="宋体" w:cs="楷体"/>
          <w:b/>
          <w:szCs w:val="21"/>
        </w:rPr>
        <w:t xml:space="preserve">3.7  </w:t>
      </w:r>
    </w:p>
    <w:p>
      <w:pPr>
        <w:widowControl/>
        <w:ind w:firstLine="422" w:firstLineChars="200"/>
        <w:jc w:val="left"/>
      </w:pPr>
      <w:r>
        <w:rPr>
          <w:rFonts w:hint="eastAsia" w:ascii="宋体" w:hAnsi="宋体" w:cs="楷体"/>
          <w:b/>
          <w:szCs w:val="21"/>
        </w:rPr>
        <w:t xml:space="preserve">突发环境事件风险受体 </w:t>
      </w:r>
      <w:r>
        <w:rPr>
          <w:rFonts w:ascii="Times New Roman" w:hAnsi="Times New Roman" w:eastAsia="黑体" w:cs="Times New Roman"/>
        </w:rPr>
        <w:t xml:space="preserve">environmental accident risk </w:t>
      </w:r>
      <w:r>
        <w:rPr>
          <w:rFonts w:hint="eastAsia" w:ascii="Times New Roman" w:hAnsi="Times New Roman" w:eastAsia="黑体" w:cs="Times New Roman"/>
        </w:rPr>
        <w:t>receptors</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突发环境事件中可能受到环境危害的人群集中居住区、行政办公区等具有一定社会价值或生态环境功能的单位或区域</w:t>
      </w:r>
      <w:r>
        <w:rPr>
          <w:rFonts w:hint="eastAsia" w:ascii="宋体" w:hAnsi="宋体" w:cs="楷体"/>
          <w:szCs w:val="21"/>
          <w:lang w:eastAsia="zh-CN"/>
        </w:rPr>
        <w:t>，</w:t>
      </w:r>
      <w:r>
        <w:rPr>
          <w:rFonts w:hint="eastAsia" w:ascii="宋体" w:hAnsi="宋体" w:cs="楷体"/>
          <w:szCs w:val="21"/>
        </w:rPr>
        <w:t>简称“环境风险受体”。</w:t>
      </w:r>
    </w:p>
    <w:p>
      <w:pPr>
        <w:widowControl/>
        <w:spacing w:before="156" w:beforeLines="50" w:after="156" w:afterLines="50" w:line="340" w:lineRule="exact"/>
        <w:jc w:val="left"/>
        <w:outlineLvl w:val="1"/>
        <w:rPr>
          <w:rFonts w:hint="eastAsia" w:ascii="宋体" w:hAnsi="宋体" w:cs="楷体"/>
          <w:b/>
          <w:szCs w:val="21"/>
        </w:rPr>
      </w:pPr>
      <w:r>
        <w:rPr>
          <w:rFonts w:hint="eastAsia" w:ascii="宋体" w:hAnsi="宋体" w:cs="楷体"/>
          <w:b/>
          <w:szCs w:val="21"/>
        </w:rPr>
        <w:t xml:space="preserve">3.8  </w:t>
      </w:r>
    </w:p>
    <w:p>
      <w:pPr>
        <w:widowControl/>
        <w:ind w:firstLine="422" w:firstLineChars="200"/>
        <w:jc w:val="left"/>
        <w:rPr>
          <w:rFonts w:ascii="宋体" w:hAnsi="宋体" w:cs="楷体"/>
          <w:b/>
          <w:szCs w:val="21"/>
        </w:rPr>
      </w:pPr>
      <w:r>
        <w:rPr>
          <w:rFonts w:hint="eastAsia" w:ascii="宋体" w:hAnsi="宋体" w:cs="楷体"/>
          <w:b/>
          <w:szCs w:val="21"/>
        </w:rPr>
        <w:t xml:space="preserve">环境风险控制机制  </w:t>
      </w:r>
      <w:r>
        <w:rPr>
          <w:rFonts w:hint="eastAsia" w:ascii="Times New Roman" w:hAnsi="Times New Roman" w:eastAsia="黑体" w:cs="Times New Roman"/>
        </w:rPr>
        <w:t>environmental risk control mechanism</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管理与控制环境风险源环境风险物质的释放以及对环境风险因子传播途径的</w:t>
      </w:r>
      <w:r>
        <w:rPr>
          <w:rFonts w:hint="eastAsia" w:ascii="宋体" w:hAnsi="宋体" w:cs="楷体"/>
          <w:szCs w:val="21"/>
          <w:lang w:val="en-US" w:eastAsia="zh-CN"/>
        </w:rPr>
        <w:t>机制</w:t>
      </w:r>
      <w:r>
        <w:rPr>
          <w:rFonts w:hint="eastAsia" w:ascii="宋体" w:hAnsi="宋体" w:cs="楷体"/>
          <w:szCs w:val="21"/>
        </w:rPr>
        <w:t>。</w:t>
      </w:r>
    </w:p>
    <w:p>
      <w:pPr>
        <w:widowControl/>
        <w:spacing w:before="156" w:beforeLines="50" w:after="156" w:afterLines="50" w:line="340" w:lineRule="exact"/>
        <w:jc w:val="left"/>
        <w:outlineLvl w:val="1"/>
        <w:rPr>
          <w:rFonts w:hint="eastAsia" w:ascii="宋体" w:hAnsi="宋体" w:cs="楷体"/>
          <w:b/>
          <w:szCs w:val="21"/>
        </w:rPr>
      </w:pPr>
      <w:r>
        <w:rPr>
          <w:rFonts w:hint="eastAsia" w:ascii="宋体" w:hAnsi="宋体" w:cs="楷体"/>
          <w:b/>
          <w:szCs w:val="21"/>
        </w:rPr>
        <w:t xml:space="preserve">3.9  </w:t>
      </w:r>
    </w:p>
    <w:p>
      <w:pPr>
        <w:widowControl/>
        <w:ind w:firstLine="422" w:firstLineChars="200"/>
        <w:jc w:val="left"/>
        <w:rPr>
          <w:rFonts w:ascii="宋体" w:hAnsi="宋体" w:cs="楷体"/>
          <w:b/>
          <w:szCs w:val="21"/>
        </w:rPr>
      </w:pPr>
      <w:r>
        <w:rPr>
          <w:rFonts w:hint="eastAsia" w:ascii="宋体" w:hAnsi="宋体" w:cs="楷体"/>
          <w:b/>
          <w:szCs w:val="21"/>
        </w:rPr>
        <w:t xml:space="preserve">多米诺效应  </w:t>
      </w:r>
      <w:r>
        <w:rPr>
          <w:rFonts w:hint="eastAsia" w:ascii="Times New Roman" w:hAnsi="Times New Roman" w:eastAsia="黑体" w:cs="Times New Roman"/>
        </w:rPr>
        <w:t>domino effect</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化工园区内风险源引发的突发事故波及附近的一个或多个风险源，引起的二次事故或多次事故，导致比初始事故更为严重事故</w:t>
      </w:r>
      <w:r>
        <w:rPr>
          <w:rFonts w:hint="eastAsia" w:ascii="宋体" w:hAnsi="宋体" w:cs="楷体"/>
          <w:szCs w:val="21"/>
          <w:lang w:val="en-US" w:eastAsia="zh-CN"/>
        </w:rPr>
        <w:t>的现象</w:t>
      </w:r>
      <w:r>
        <w:rPr>
          <w:rFonts w:hint="eastAsia" w:ascii="宋体" w:hAnsi="宋体" w:cs="楷体"/>
          <w:szCs w:val="21"/>
        </w:rPr>
        <w:t>。</w:t>
      </w:r>
    </w:p>
    <w:p>
      <w:pPr>
        <w:widowControl/>
        <w:spacing w:before="156" w:beforeLines="50" w:after="156" w:afterLines="50" w:line="340" w:lineRule="exact"/>
        <w:ind w:firstLine="0" w:firstLineChars="0"/>
        <w:jc w:val="left"/>
        <w:outlineLvl w:val="1"/>
        <w:rPr>
          <w:rFonts w:hint="eastAsia" w:ascii="宋体" w:hAnsi="宋体" w:cs="楷体"/>
          <w:b/>
          <w:szCs w:val="21"/>
        </w:rPr>
      </w:pPr>
      <w:r>
        <w:rPr>
          <w:rFonts w:hint="eastAsia" w:ascii="宋体" w:hAnsi="宋体" w:cs="楷体"/>
          <w:b/>
          <w:szCs w:val="21"/>
        </w:rPr>
        <w:t>3.</w:t>
      </w:r>
      <w:r>
        <w:rPr>
          <w:rFonts w:hint="eastAsia" w:ascii="宋体" w:hAnsi="宋体" w:cs="楷体"/>
          <w:b/>
          <w:szCs w:val="21"/>
          <w:lang w:val="en-US" w:eastAsia="zh-CN"/>
        </w:rPr>
        <w:t>10</w:t>
      </w:r>
      <w:r>
        <w:rPr>
          <w:rFonts w:hint="eastAsia" w:ascii="宋体" w:hAnsi="宋体" w:cs="楷体"/>
          <w:b/>
          <w:szCs w:val="21"/>
        </w:rPr>
        <w:t xml:space="preserve"> </w:t>
      </w:r>
    </w:p>
    <w:p>
      <w:pPr>
        <w:spacing w:before="156" w:beforeLines="50" w:after="156" w:afterLines="50" w:line="340" w:lineRule="exact"/>
        <w:ind w:firstLine="422" w:firstLineChars="200"/>
        <w:rPr>
          <w:rFonts w:hint="eastAsia" w:ascii="Times New Roman" w:hAnsi="Times New Roman" w:eastAsia="黑体" w:cs="Times New Roman"/>
          <w:szCs w:val="22"/>
        </w:rPr>
      </w:pPr>
      <w:r>
        <w:rPr>
          <w:rFonts w:hint="eastAsia" w:ascii="宋体" w:hAnsi="宋体" w:cs="楷体"/>
          <w:b/>
          <w:szCs w:val="21"/>
        </w:rPr>
        <w:t xml:space="preserve">环境风险单元 </w:t>
      </w:r>
      <w:r>
        <w:rPr>
          <w:rFonts w:hint="eastAsia" w:ascii="Times New Roman" w:hAnsi="Times New Roman" w:eastAsia="黑体" w:cs="Times New Roman"/>
          <w:szCs w:val="22"/>
        </w:rPr>
        <w:t>environmental risk unit</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lang w:val="en-US" w:eastAsia="zh-CN"/>
        </w:rPr>
        <w:t>指</w:t>
      </w:r>
      <w:r>
        <w:rPr>
          <w:rFonts w:hint="eastAsia" w:ascii="宋体" w:hAnsi="宋体" w:cs="楷体"/>
          <w:szCs w:val="21"/>
        </w:rPr>
        <w:t>长期地或临时地生产、加工、使用或储存风险物质的一个（套）装置、设施或场所，或同属一个企业的且边缘距离小于500米的几个（套）装置、设施或场所。</w:t>
      </w:r>
    </w:p>
    <w:p>
      <w:pPr>
        <w:widowControl/>
        <w:spacing w:before="156" w:beforeLines="50" w:after="156" w:afterLines="50" w:line="340" w:lineRule="exact"/>
        <w:ind w:firstLine="0" w:firstLineChars="0"/>
        <w:jc w:val="left"/>
        <w:outlineLvl w:val="1"/>
        <w:rPr>
          <w:rFonts w:hint="eastAsia" w:ascii="宋体" w:hAnsi="宋体" w:cs="楷体"/>
          <w:b/>
          <w:szCs w:val="21"/>
        </w:rPr>
      </w:pPr>
      <w:r>
        <w:rPr>
          <w:rFonts w:hint="eastAsia" w:ascii="宋体" w:hAnsi="宋体" w:cs="楷体"/>
          <w:b/>
          <w:szCs w:val="21"/>
        </w:rPr>
        <w:t>3.</w:t>
      </w:r>
      <w:r>
        <w:rPr>
          <w:rFonts w:hint="eastAsia" w:ascii="宋体" w:hAnsi="宋体" w:cs="楷体"/>
          <w:b/>
          <w:szCs w:val="21"/>
          <w:lang w:val="en-US" w:eastAsia="zh-CN"/>
        </w:rPr>
        <w:t>11</w:t>
      </w:r>
      <w:r>
        <w:rPr>
          <w:rFonts w:hint="eastAsia" w:ascii="宋体" w:hAnsi="宋体" w:cs="楷体"/>
          <w:b/>
          <w:szCs w:val="21"/>
        </w:rPr>
        <w:t xml:space="preserve"> </w:t>
      </w:r>
    </w:p>
    <w:p>
      <w:pPr>
        <w:spacing w:before="156" w:beforeLines="50" w:after="156" w:afterLines="50" w:line="340" w:lineRule="exact"/>
        <w:ind w:firstLine="422" w:firstLineChars="200"/>
        <w:rPr>
          <w:rFonts w:hint="eastAsia" w:ascii="Times New Roman" w:hAnsi="Times New Roman" w:eastAsia="黑体" w:cs="Times New Roman"/>
          <w:szCs w:val="22"/>
        </w:rPr>
      </w:pPr>
      <w:r>
        <w:rPr>
          <w:rFonts w:hint="eastAsia" w:ascii="宋体" w:hAnsi="宋体" w:cs="楷体"/>
          <w:b/>
          <w:szCs w:val="21"/>
        </w:rPr>
        <w:t>风险物质的临界量</w:t>
      </w:r>
      <w:r>
        <w:rPr>
          <w:rFonts w:hint="eastAsia" w:ascii="宋体" w:hAnsi="宋体" w:cs="楷体"/>
          <w:szCs w:val="21"/>
        </w:rPr>
        <w:t xml:space="preserve"> </w:t>
      </w:r>
      <w:r>
        <w:rPr>
          <w:rFonts w:hint="eastAsia" w:ascii="Times New Roman" w:hAnsi="Times New Roman" w:eastAsia="黑体" w:cs="Times New Roman"/>
          <w:szCs w:val="22"/>
        </w:rPr>
        <w:t>threshold quantity of risk substance</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指根据物质毒性、环境危害性以及易扩散特性，对某种或某类突发环境事件风险物质规定的数量。</w:t>
      </w:r>
    </w:p>
    <w:p>
      <w:pPr>
        <w:pStyle w:val="2"/>
        <w:rPr>
          <w:rFonts w:hint="default" w:eastAsia="宋体"/>
          <w:sz w:val="28"/>
          <w:szCs w:val="28"/>
          <w:lang w:val="en-US" w:eastAsia="zh-CN"/>
        </w:rPr>
      </w:pPr>
      <w:bookmarkStart w:id="29" w:name="_Toc115019941"/>
      <w:bookmarkStart w:id="30" w:name="_Toc115019663"/>
      <w:bookmarkStart w:id="31" w:name="_Toc12065"/>
      <w:r>
        <w:rPr>
          <w:sz w:val="28"/>
          <w:szCs w:val="28"/>
        </w:rPr>
        <w:t xml:space="preserve">4  </w:t>
      </w:r>
      <w:bookmarkEnd w:id="29"/>
      <w:bookmarkEnd w:id="30"/>
      <w:r>
        <w:rPr>
          <w:rFonts w:hint="eastAsia"/>
          <w:sz w:val="28"/>
          <w:szCs w:val="28"/>
        </w:rPr>
        <w:t>总体原则</w:t>
      </w:r>
      <w:bookmarkEnd w:id="31"/>
      <w:r>
        <w:rPr>
          <w:rFonts w:hint="eastAsia"/>
          <w:sz w:val="28"/>
          <w:szCs w:val="28"/>
          <w:lang w:val="en-US" w:eastAsia="zh-CN"/>
        </w:rPr>
        <w:t xml:space="preserve">  </w:t>
      </w:r>
    </w:p>
    <w:p>
      <w:pPr>
        <w:spacing w:before="156" w:beforeLines="50" w:after="156" w:afterLines="50" w:line="340" w:lineRule="exact"/>
        <w:ind w:firstLine="0" w:firstLineChars="0"/>
        <w:outlineLvl w:val="1"/>
        <w:rPr>
          <w:rFonts w:hint="default" w:ascii="宋体" w:hAnsi="宋体" w:cs="楷体"/>
          <w:b/>
          <w:szCs w:val="21"/>
          <w:lang w:val="en-US" w:eastAsia="zh-CN"/>
        </w:rPr>
      </w:pPr>
      <w:bookmarkStart w:id="32" w:name="_Toc115019664"/>
      <w:bookmarkStart w:id="33" w:name="_Toc29410"/>
      <w:r>
        <w:rPr>
          <w:rFonts w:ascii="宋体" w:hAnsi="宋体" w:cs="楷体"/>
          <w:b/>
          <w:szCs w:val="21"/>
        </w:rPr>
        <w:t>4.1</w:t>
      </w:r>
      <w:r>
        <w:rPr>
          <w:rFonts w:hint="eastAsia" w:ascii="宋体" w:hAnsi="宋体" w:cs="楷体"/>
          <w:szCs w:val="21"/>
        </w:rPr>
        <w:t xml:space="preserve"> </w:t>
      </w:r>
      <w:bookmarkEnd w:id="32"/>
      <w:bookmarkEnd w:id="33"/>
      <w:r>
        <w:rPr>
          <w:rFonts w:hint="eastAsia" w:ascii="宋体" w:hAnsi="宋体" w:cs="楷体"/>
          <w:b/>
          <w:szCs w:val="21"/>
          <w:lang w:val="en-US" w:eastAsia="zh-CN"/>
        </w:rPr>
        <w:t>衔接性原则</w:t>
      </w:r>
    </w:p>
    <w:p>
      <w:pPr>
        <w:spacing w:before="156" w:beforeLines="50" w:after="156" w:afterLines="50" w:line="340" w:lineRule="exact"/>
        <w:ind w:firstLine="420" w:firstLineChars="200"/>
        <w:outlineLvl w:val="1"/>
        <w:rPr>
          <w:rFonts w:ascii="宋体" w:hAnsi="宋体" w:cs="楷体"/>
          <w:szCs w:val="21"/>
        </w:rPr>
      </w:pPr>
      <w:r>
        <w:rPr>
          <w:rFonts w:hint="eastAsia" w:ascii="宋体" w:hAnsi="宋体" w:cs="楷体"/>
          <w:szCs w:val="21"/>
          <w:lang w:val="en-US" w:eastAsia="zh-CN"/>
        </w:rPr>
        <w:t>工业园区突环境事件</w:t>
      </w:r>
      <w:r>
        <w:rPr>
          <w:rFonts w:hint="eastAsia" w:ascii="宋体" w:hAnsi="宋体" w:cs="楷体"/>
          <w:szCs w:val="21"/>
        </w:rPr>
        <w:t>风险</w:t>
      </w:r>
      <w:r>
        <w:rPr>
          <w:rFonts w:hint="eastAsia" w:ascii="宋体" w:hAnsi="宋体" w:cs="楷体"/>
          <w:szCs w:val="21"/>
          <w:lang w:val="en-US" w:eastAsia="zh-CN"/>
        </w:rPr>
        <w:t>评估应</w:t>
      </w:r>
      <w:r>
        <w:rPr>
          <w:rFonts w:hint="eastAsia" w:ascii="宋体" w:hAnsi="宋体" w:cs="楷体"/>
          <w:szCs w:val="21"/>
        </w:rPr>
        <w:t>衔接</w:t>
      </w:r>
      <w:r>
        <w:rPr>
          <w:rFonts w:hint="eastAsia" w:ascii="宋体" w:hAnsi="宋体" w:cs="楷体"/>
          <w:szCs w:val="21"/>
          <w:lang w:val="en-US" w:eastAsia="zh-CN"/>
        </w:rPr>
        <w:t>工业</w:t>
      </w:r>
      <w:r>
        <w:rPr>
          <w:rFonts w:hint="eastAsia" w:ascii="宋体" w:hAnsi="宋体" w:cs="楷体"/>
          <w:szCs w:val="21"/>
        </w:rPr>
        <w:t>园区规划环评</w:t>
      </w:r>
      <w:r>
        <w:rPr>
          <w:rFonts w:hint="eastAsia" w:ascii="宋体" w:hAnsi="宋体" w:cs="楷体"/>
          <w:szCs w:val="21"/>
          <w:lang w:eastAsia="zh-CN"/>
        </w:rPr>
        <w:t>、</w:t>
      </w:r>
      <w:r>
        <w:rPr>
          <w:rFonts w:hint="eastAsia" w:ascii="宋体" w:hAnsi="宋体" w:cs="楷体"/>
          <w:szCs w:val="21"/>
        </w:rPr>
        <w:t>生态环境功能区划、安全防护距离、污染防治措施（气、水、土）、环境风险防控体系等，综合分析事故水防控体系、有毒有害气体预警体系、危险废物管控体系有效性。</w:t>
      </w:r>
    </w:p>
    <w:p>
      <w:pPr>
        <w:spacing w:before="156" w:beforeLines="50" w:after="156" w:afterLines="50" w:line="340" w:lineRule="exact"/>
        <w:ind w:firstLine="0" w:firstLineChars="0"/>
        <w:outlineLvl w:val="1"/>
        <w:rPr>
          <w:rFonts w:hint="default" w:ascii="宋体" w:hAnsi="宋体" w:eastAsia="宋体" w:cs="楷体"/>
          <w:b/>
          <w:szCs w:val="21"/>
          <w:lang w:val="en-US" w:eastAsia="zh-CN"/>
        </w:rPr>
      </w:pPr>
      <w:bookmarkStart w:id="34" w:name="_Toc115019666"/>
      <w:bookmarkStart w:id="35" w:name="_Toc10108"/>
      <w:r>
        <w:rPr>
          <w:rFonts w:ascii="宋体" w:hAnsi="宋体" w:cs="楷体"/>
          <w:b/>
          <w:szCs w:val="21"/>
        </w:rPr>
        <w:t>4.</w:t>
      </w:r>
      <w:r>
        <w:rPr>
          <w:rFonts w:hint="eastAsia" w:ascii="宋体" w:hAnsi="宋体" w:cs="楷体"/>
          <w:b/>
          <w:szCs w:val="21"/>
          <w:lang w:val="en-US" w:eastAsia="zh-CN"/>
        </w:rPr>
        <w:t>2 关联性原则</w:t>
      </w:r>
    </w:p>
    <w:p>
      <w:pPr>
        <w:spacing w:before="156" w:beforeLines="50" w:after="156" w:afterLines="50" w:line="340" w:lineRule="exact"/>
        <w:ind w:firstLine="420" w:firstLineChars="200"/>
        <w:outlineLvl w:val="1"/>
        <w:rPr>
          <w:rFonts w:hint="eastAsia" w:ascii="宋体" w:hAnsi="宋体" w:cs="楷体"/>
          <w:szCs w:val="21"/>
        </w:rPr>
      </w:pPr>
      <w:r>
        <w:rPr>
          <w:rFonts w:hint="eastAsia" w:ascii="宋体" w:hAnsi="宋体" w:cs="楷体"/>
          <w:szCs w:val="21"/>
        </w:rPr>
        <w:t>工业园区</w:t>
      </w:r>
      <w:r>
        <w:rPr>
          <w:rFonts w:hint="eastAsia" w:ascii="宋体" w:hAnsi="宋体" w:cs="楷体"/>
          <w:szCs w:val="21"/>
          <w:lang w:val="en-US" w:eastAsia="zh-CN"/>
        </w:rPr>
        <w:t>突发</w:t>
      </w:r>
      <w:r>
        <w:rPr>
          <w:rFonts w:hint="eastAsia" w:ascii="宋体" w:hAnsi="宋体" w:cs="楷体"/>
          <w:szCs w:val="21"/>
        </w:rPr>
        <w:t>环境</w:t>
      </w:r>
      <w:r>
        <w:rPr>
          <w:rFonts w:hint="eastAsia" w:ascii="宋体" w:hAnsi="宋体" w:cs="楷体"/>
          <w:szCs w:val="21"/>
          <w:lang w:val="en-US" w:eastAsia="zh-CN"/>
        </w:rPr>
        <w:t>事件</w:t>
      </w:r>
      <w:r>
        <w:rPr>
          <w:rFonts w:hint="eastAsia" w:ascii="宋体" w:hAnsi="宋体" w:cs="楷体"/>
          <w:szCs w:val="21"/>
        </w:rPr>
        <w:t>风险</w:t>
      </w:r>
      <w:r>
        <w:rPr>
          <w:rFonts w:hint="eastAsia" w:ascii="宋体" w:hAnsi="宋体" w:cs="楷体"/>
          <w:szCs w:val="21"/>
          <w:lang w:val="en-US" w:eastAsia="zh-CN"/>
        </w:rPr>
        <w:t>评估</w:t>
      </w:r>
      <w:r>
        <w:rPr>
          <w:rFonts w:hint="eastAsia" w:ascii="宋体" w:hAnsi="宋体" w:cs="楷体"/>
          <w:szCs w:val="21"/>
        </w:rPr>
        <w:t>应重点考虑</w:t>
      </w:r>
      <w:r>
        <w:rPr>
          <w:rFonts w:hint="eastAsia" w:ascii="宋体" w:hAnsi="宋体" w:cs="楷体"/>
          <w:szCs w:val="21"/>
          <w:lang w:val="en-US" w:eastAsia="zh-CN"/>
        </w:rPr>
        <w:t>多个环境</w:t>
      </w:r>
      <w:r>
        <w:rPr>
          <w:rFonts w:hint="eastAsia" w:ascii="宋体" w:hAnsi="宋体" w:cs="楷体"/>
          <w:szCs w:val="21"/>
        </w:rPr>
        <w:t>风险源</w:t>
      </w:r>
      <w:r>
        <w:rPr>
          <w:rFonts w:hint="eastAsia" w:ascii="宋体" w:hAnsi="宋体" w:cs="楷体"/>
          <w:szCs w:val="21"/>
          <w:lang w:val="en-US" w:eastAsia="zh-CN"/>
        </w:rPr>
        <w:t>之间存在的关联性影响，以及发生突发环境事件后，可能造成的</w:t>
      </w:r>
      <w:r>
        <w:rPr>
          <w:rFonts w:hint="eastAsia" w:ascii="宋体" w:hAnsi="宋体" w:cs="楷体"/>
          <w:szCs w:val="21"/>
        </w:rPr>
        <w:t>多米诺效应</w:t>
      </w:r>
      <w:bookmarkEnd w:id="34"/>
      <w:bookmarkEnd w:id="35"/>
      <w:r>
        <w:rPr>
          <w:rFonts w:hint="eastAsia" w:ascii="宋体" w:hAnsi="宋体" w:cs="楷体"/>
          <w:szCs w:val="21"/>
        </w:rPr>
        <w:t>。</w:t>
      </w:r>
    </w:p>
    <w:p>
      <w:pPr>
        <w:spacing w:before="156" w:beforeLines="50" w:after="156" w:afterLines="50" w:line="340" w:lineRule="exact"/>
        <w:ind w:firstLine="0" w:firstLineChars="0"/>
        <w:outlineLvl w:val="1"/>
        <w:rPr>
          <w:rFonts w:hint="default" w:ascii="宋体" w:hAnsi="宋体" w:cs="楷体"/>
          <w:b/>
          <w:szCs w:val="21"/>
          <w:lang w:val="en-US" w:eastAsia="zh-CN"/>
        </w:rPr>
      </w:pPr>
      <w:bookmarkStart w:id="36" w:name="_Toc1389"/>
      <w:bookmarkStart w:id="37" w:name="_Toc115019667"/>
      <w:r>
        <w:rPr>
          <w:rFonts w:ascii="宋体" w:hAnsi="宋体" w:cs="楷体"/>
          <w:b/>
          <w:szCs w:val="21"/>
        </w:rPr>
        <w:t>4.</w:t>
      </w:r>
      <w:r>
        <w:rPr>
          <w:rFonts w:hint="eastAsia" w:ascii="宋体" w:hAnsi="宋体" w:cs="楷体"/>
          <w:b/>
          <w:szCs w:val="21"/>
          <w:lang w:val="en-US" w:eastAsia="zh-CN"/>
        </w:rPr>
        <w:t>3</w:t>
      </w:r>
      <w:r>
        <w:rPr>
          <w:rFonts w:ascii="宋体" w:hAnsi="宋体" w:cs="楷体"/>
          <w:b/>
          <w:szCs w:val="21"/>
        </w:rPr>
        <w:t xml:space="preserve"> </w:t>
      </w:r>
      <w:bookmarkEnd w:id="36"/>
      <w:bookmarkEnd w:id="37"/>
      <w:r>
        <w:rPr>
          <w:rFonts w:hint="eastAsia" w:ascii="宋体" w:hAnsi="宋体" w:cs="楷体"/>
          <w:b/>
          <w:szCs w:val="21"/>
          <w:lang w:val="en-US" w:eastAsia="zh-CN"/>
        </w:rPr>
        <w:t>典型性原则</w:t>
      </w:r>
    </w:p>
    <w:p>
      <w:pPr>
        <w:widowControl/>
        <w:ind w:firstLine="420" w:firstLineChars="200"/>
        <w:jc w:val="left"/>
        <w:rPr>
          <w:rFonts w:ascii="宋体" w:hAnsi="宋体" w:cs="楷体"/>
          <w:szCs w:val="21"/>
        </w:rPr>
      </w:pPr>
      <w:r>
        <w:rPr>
          <w:rFonts w:hint="eastAsia" w:ascii="宋体" w:hAnsi="宋体" w:cs="宋体"/>
          <w:color w:val="000000"/>
          <w:kern w:val="0"/>
          <w:szCs w:val="21"/>
        </w:rPr>
        <w:t>考虑社会关注度高、环境风险隐患排查与环保督察发现的典型问题</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重点关注</w:t>
      </w:r>
      <w:r>
        <w:rPr>
          <w:rFonts w:hint="eastAsia" w:ascii="宋体" w:hAnsi="宋体" w:cs="宋体"/>
          <w:color w:val="000000"/>
          <w:kern w:val="0"/>
          <w:szCs w:val="21"/>
        </w:rPr>
        <w:t>历史突发环境事件以及同类工业园区多发、频发事件</w:t>
      </w:r>
      <w:r>
        <w:rPr>
          <w:rFonts w:hint="eastAsia" w:ascii="宋体" w:hAnsi="宋体" w:cs="楷体"/>
          <w:szCs w:val="21"/>
        </w:rPr>
        <w:t>。</w:t>
      </w:r>
    </w:p>
    <w:p>
      <w:pPr>
        <w:pStyle w:val="2"/>
        <w:rPr>
          <w:sz w:val="28"/>
          <w:szCs w:val="28"/>
        </w:rPr>
      </w:pPr>
      <w:bookmarkStart w:id="38" w:name="_Toc25515"/>
      <w:bookmarkStart w:id="39" w:name="_Toc115019668"/>
      <w:bookmarkStart w:id="40" w:name="_Toc115019942"/>
      <w:r>
        <w:rPr>
          <w:sz w:val="28"/>
          <w:szCs w:val="28"/>
        </w:rPr>
        <w:t xml:space="preserve">5  </w:t>
      </w:r>
      <w:r>
        <w:rPr>
          <w:rFonts w:hint="eastAsia"/>
          <w:sz w:val="28"/>
          <w:szCs w:val="28"/>
          <w:lang w:val="en-US" w:eastAsia="zh-CN"/>
        </w:rPr>
        <w:t>评估</w:t>
      </w:r>
      <w:r>
        <w:rPr>
          <w:sz w:val="28"/>
          <w:szCs w:val="28"/>
        </w:rPr>
        <w:t>程序</w:t>
      </w:r>
      <w:bookmarkEnd w:id="38"/>
      <w:bookmarkEnd w:id="39"/>
      <w:bookmarkEnd w:id="40"/>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工业园区</w:t>
      </w:r>
      <w:r>
        <w:rPr>
          <w:rFonts w:hint="eastAsia" w:ascii="宋体" w:hAnsi="宋体" w:cs="楷体"/>
          <w:szCs w:val="21"/>
          <w:lang w:val="en-US" w:eastAsia="zh-CN"/>
        </w:rPr>
        <w:t>突发环境事件</w:t>
      </w:r>
      <w:r>
        <w:rPr>
          <w:rFonts w:hint="eastAsia" w:ascii="宋体" w:hAnsi="宋体" w:cs="楷体"/>
          <w:szCs w:val="21"/>
        </w:rPr>
        <w:t>风险评估按照</w:t>
      </w:r>
      <w:r>
        <w:rPr>
          <w:rFonts w:hint="eastAsia" w:ascii="宋体" w:hAnsi="宋体" w:cs="楷体"/>
          <w:szCs w:val="21"/>
          <w:lang w:val="en-US" w:eastAsia="zh-CN"/>
        </w:rPr>
        <w:t>环境风险评估</w:t>
      </w:r>
      <w:r>
        <w:rPr>
          <w:rFonts w:hint="eastAsia" w:ascii="宋体" w:hAnsi="宋体" w:cs="楷体"/>
          <w:szCs w:val="21"/>
        </w:rPr>
        <w:t>资料调查、环境风险识别、环境风险情景分析、环境风险</w:t>
      </w:r>
      <w:r>
        <w:rPr>
          <w:rFonts w:hint="eastAsia" w:ascii="宋体" w:hAnsi="宋体" w:cs="楷体"/>
          <w:szCs w:val="21"/>
          <w:lang w:val="en-US" w:eastAsia="zh-CN"/>
        </w:rPr>
        <w:t>等级确定</w:t>
      </w:r>
      <w:r>
        <w:rPr>
          <w:rFonts w:hint="eastAsia" w:ascii="宋体" w:hAnsi="宋体" w:cs="楷体"/>
          <w:szCs w:val="21"/>
        </w:rPr>
        <w:t>、环境风险评估报告编制5个步骤</w:t>
      </w:r>
      <w:r>
        <w:rPr>
          <w:rFonts w:hint="eastAsia" w:ascii="宋体" w:hAnsi="宋体" w:cs="楷体"/>
          <w:szCs w:val="21"/>
          <w:lang w:val="en-US" w:eastAsia="zh-CN"/>
        </w:rPr>
        <w:t>实施</w:t>
      </w:r>
      <w:r>
        <w:rPr>
          <w:rFonts w:hint="eastAsia" w:ascii="宋体" w:hAnsi="宋体" w:cs="楷体"/>
          <w:szCs w:val="21"/>
        </w:rPr>
        <w:t>，工作流程见图1。</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lang w:val="en-US" w:eastAsia="zh-CN"/>
        </w:rPr>
        <w:t>注：</w:t>
      </w:r>
      <w:r>
        <w:rPr>
          <w:rFonts w:hint="eastAsia" w:ascii="宋体" w:hAnsi="宋体" w:cs="楷体"/>
          <w:szCs w:val="21"/>
        </w:rPr>
        <w:t>本</w:t>
      </w:r>
      <w:r>
        <w:rPr>
          <w:rFonts w:hint="eastAsia" w:ascii="宋体" w:hAnsi="宋体" w:cs="楷体"/>
          <w:szCs w:val="21"/>
          <w:lang w:val="en-US" w:eastAsia="zh-CN"/>
        </w:rPr>
        <w:t>文件</w:t>
      </w:r>
      <w:r>
        <w:rPr>
          <w:rFonts w:hint="eastAsia" w:ascii="宋体" w:hAnsi="宋体" w:cs="楷体"/>
          <w:szCs w:val="21"/>
        </w:rPr>
        <w:t>参照HJ964</w:t>
      </w:r>
      <w:r>
        <w:rPr>
          <w:rFonts w:hint="eastAsia" w:ascii="宋体" w:hAnsi="宋体" w:cs="楷体"/>
          <w:szCs w:val="21"/>
          <w:lang w:eastAsia="zh-CN"/>
        </w:rPr>
        <w:t>，</w:t>
      </w:r>
      <w:r>
        <w:rPr>
          <w:rFonts w:hint="eastAsia" w:ascii="宋体" w:hAnsi="宋体" w:cs="楷体"/>
          <w:szCs w:val="21"/>
        </w:rPr>
        <w:t>不单独设定</w:t>
      </w:r>
      <w:r>
        <w:rPr>
          <w:rFonts w:hint="eastAsia" w:ascii="宋体" w:hAnsi="宋体" w:cs="楷体"/>
          <w:szCs w:val="21"/>
          <w:lang w:val="en-US" w:eastAsia="zh-CN"/>
        </w:rPr>
        <w:t>工业园区</w:t>
      </w:r>
      <w:r>
        <w:rPr>
          <w:rFonts w:hint="eastAsia" w:ascii="宋体" w:hAnsi="宋体" w:cs="楷体"/>
          <w:szCs w:val="21"/>
        </w:rPr>
        <w:t>土壤突发环境事件风险</w:t>
      </w:r>
      <w:r>
        <w:rPr>
          <w:rFonts w:hint="eastAsia" w:ascii="宋体" w:hAnsi="宋体" w:cs="楷体"/>
          <w:szCs w:val="21"/>
          <w:lang w:val="en-US" w:eastAsia="zh-CN"/>
        </w:rPr>
        <w:t>评估</w:t>
      </w:r>
      <w:r>
        <w:rPr>
          <w:rFonts w:hint="eastAsia" w:ascii="宋体" w:hAnsi="宋体" w:cs="楷体"/>
          <w:szCs w:val="21"/>
        </w:rPr>
        <w:t>指标</w:t>
      </w:r>
      <w:r>
        <w:rPr>
          <w:rFonts w:hint="eastAsia" w:ascii="宋体" w:hAnsi="宋体" w:cs="楷体"/>
          <w:szCs w:val="21"/>
          <w:lang w:eastAsia="zh-CN"/>
        </w:rPr>
        <w:t>，</w:t>
      </w:r>
      <w:r>
        <w:rPr>
          <w:rFonts w:hint="eastAsia" w:ascii="宋体" w:hAnsi="宋体" w:cs="楷体"/>
          <w:szCs w:val="21"/>
          <w:lang w:val="en-US" w:eastAsia="zh-CN"/>
        </w:rPr>
        <w:t>不判断土壤环境风险等级。</w:t>
      </w:r>
    </w:p>
    <w:p>
      <w:pPr>
        <w:keepNext w:val="0"/>
        <w:keepLines w:val="0"/>
        <w:pageBreakBefore w:val="0"/>
        <w:widowControl w:val="0"/>
        <w:kinsoku/>
        <w:wordWrap/>
        <w:overflowPunct/>
        <w:topLinePunct w:val="0"/>
        <w:autoSpaceDE/>
        <w:autoSpaceDN/>
        <w:bidi w:val="0"/>
        <w:adjustRightInd/>
        <w:snapToGrid/>
        <w:spacing w:before="156" w:beforeLines="50" w:after="156" w:afterLines="50" w:line="340" w:lineRule="exact"/>
        <w:ind w:firstLine="0" w:firstLineChars="0"/>
        <w:textAlignment w:val="auto"/>
        <w:rPr>
          <w:rFonts w:ascii="宋体" w:hAnsi="宋体" w:cs="楷体"/>
          <w:szCs w:val="21"/>
        </w:rPr>
      </w:pPr>
      <w:r>
        <w:rPr>
          <w:rFonts w:ascii="宋体" w:hAnsi="宋体" w:cs="楷体"/>
          <w:szCs w:val="21"/>
        </w:rPr>
        <w:pict>
          <v:shape id="1032" o:spid="_x0000_s1026" o:spt="75" type="#_x0000_t75" style="position:absolute;left:0pt;margin-left:1.85pt;margin-top:6.6pt;height:456.9pt;width:445.05pt;z-index:251664384;mso-width-relative:page;mso-height-relative:page;" o:ole="t" filled="f" o:preferrelative="t" stroked="f" coordsize="21600,21600">
            <v:path/>
            <v:fill on="f" focussize="0,0"/>
            <v:stroke on="f"/>
            <v:imagedata r:id="rId7" o:title=""/>
            <o:lock v:ext="edit" aspectratio="t"/>
          </v:shape>
          <o:OLEObject Type="Embed" ProgID="Visio.Drawing.11" ShapeID="1032" DrawAspect="Content" ObjectID="_1468075725" r:id="rId6">
            <o:LockedField>false</o:LockedField>
          </o:OLEObject>
        </w:pict>
      </w: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2" w:firstLineChars="200"/>
        <w:jc w:val="center"/>
        <w:rPr>
          <w:rFonts w:hint="eastAsia" w:ascii="宋体" w:hAnsi="宋体" w:cs="楷体"/>
          <w:b/>
          <w:bCs/>
          <w:szCs w:val="21"/>
        </w:rPr>
      </w:pPr>
    </w:p>
    <w:p>
      <w:pPr>
        <w:spacing w:before="156" w:beforeLines="50" w:after="156" w:afterLines="50" w:line="340" w:lineRule="exact"/>
        <w:ind w:firstLine="422" w:firstLineChars="200"/>
        <w:jc w:val="center"/>
        <w:rPr>
          <w:rFonts w:hint="eastAsia" w:ascii="宋体" w:hAnsi="宋体" w:cs="楷体"/>
          <w:b/>
          <w:bCs/>
          <w:szCs w:val="21"/>
        </w:rPr>
      </w:pPr>
    </w:p>
    <w:p>
      <w:pPr>
        <w:spacing w:before="156" w:beforeLines="50" w:after="156" w:afterLines="50" w:line="340" w:lineRule="exact"/>
        <w:ind w:firstLine="422" w:firstLineChars="200"/>
        <w:jc w:val="center"/>
        <w:rPr>
          <w:rFonts w:hint="eastAsia" w:ascii="宋体" w:hAnsi="宋体" w:cs="楷体"/>
          <w:b/>
          <w:bCs/>
          <w:szCs w:val="21"/>
        </w:rPr>
      </w:pPr>
    </w:p>
    <w:p>
      <w:pPr>
        <w:spacing w:before="156" w:beforeLines="50" w:after="156" w:afterLines="50" w:line="340" w:lineRule="exact"/>
        <w:ind w:firstLine="422" w:firstLineChars="200"/>
        <w:jc w:val="center"/>
        <w:rPr>
          <w:rFonts w:ascii="宋体" w:hAnsi="宋体" w:cs="楷体"/>
          <w:b/>
          <w:bCs/>
          <w:szCs w:val="21"/>
        </w:rPr>
      </w:pPr>
      <w:r>
        <w:rPr>
          <w:rFonts w:hint="eastAsia" w:ascii="宋体" w:hAnsi="宋体" w:cs="楷体"/>
          <w:b/>
          <w:bCs/>
          <w:szCs w:val="21"/>
        </w:rPr>
        <w:t>图1  环境风险评估工作流程</w:t>
      </w:r>
    </w:p>
    <w:p>
      <w:pPr>
        <w:pStyle w:val="2"/>
        <w:rPr>
          <w:sz w:val="28"/>
          <w:szCs w:val="28"/>
        </w:rPr>
      </w:pPr>
      <w:bookmarkStart w:id="41" w:name="_Toc115019669"/>
      <w:bookmarkStart w:id="42" w:name="_Toc5276"/>
      <w:r>
        <w:rPr>
          <w:rFonts w:hint="eastAsia"/>
          <w:sz w:val="28"/>
          <w:szCs w:val="28"/>
        </w:rPr>
        <w:t>6</w:t>
      </w:r>
      <w:r>
        <w:rPr>
          <w:sz w:val="28"/>
          <w:szCs w:val="28"/>
        </w:rPr>
        <w:t xml:space="preserve"> </w:t>
      </w:r>
      <w:bookmarkEnd w:id="41"/>
      <w:r>
        <w:rPr>
          <w:rFonts w:hint="eastAsia"/>
          <w:sz w:val="28"/>
          <w:szCs w:val="28"/>
        </w:rPr>
        <w:t xml:space="preserve"> 基础资料调查</w:t>
      </w:r>
      <w:bookmarkEnd w:id="42"/>
    </w:p>
    <w:p>
      <w:pPr>
        <w:spacing w:before="156" w:beforeLines="50" w:after="156" w:afterLines="50" w:line="340" w:lineRule="exact"/>
        <w:rPr>
          <w:rFonts w:hint="eastAsia" w:ascii="宋体" w:hAnsi="宋体" w:eastAsia="宋体" w:cs="楷体"/>
          <w:b/>
          <w:szCs w:val="21"/>
          <w:lang w:val="en-US" w:eastAsia="zh-CN"/>
        </w:rPr>
      </w:pPr>
      <w:r>
        <w:rPr>
          <w:rFonts w:hint="eastAsia" w:ascii="宋体" w:hAnsi="宋体" w:cs="楷体"/>
          <w:b/>
          <w:szCs w:val="21"/>
        </w:rPr>
        <w:t xml:space="preserve">6.1 </w:t>
      </w:r>
      <w:r>
        <w:rPr>
          <w:rFonts w:hint="eastAsia" w:ascii="宋体" w:hAnsi="宋体" w:cs="楷体"/>
          <w:b/>
          <w:szCs w:val="21"/>
          <w:lang w:val="en-US" w:eastAsia="zh-CN"/>
        </w:rPr>
        <w:t>调查方法</w:t>
      </w:r>
    </w:p>
    <w:p>
      <w:pPr>
        <w:spacing w:before="156" w:beforeLines="50" w:after="156" w:afterLines="50" w:line="340" w:lineRule="exact"/>
        <w:ind w:firstLine="420" w:firstLineChars="200"/>
        <w:rPr>
          <w:rFonts w:hint="eastAsia" w:ascii="宋体" w:hAnsi="宋体" w:eastAsia="宋体" w:cs="楷体"/>
          <w:b/>
          <w:szCs w:val="21"/>
          <w:lang w:val="en-US" w:eastAsia="zh-CN"/>
        </w:rPr>
      </w:pPr>
      <w:r>
        <w:rPr>
          <w:rFonts w:hint="eastAsia" w:ascii="宋体" w:hAnsi="宋体" w:cs="楷体"/>
          <w:szCs w:val="21"/>
          <w:lang w:val="en-US" w:eastAsia="zh-CN"/>
        </w:rPr>
        <w:t>主要包括</w:t>
      </w:r>
      <w:r>
        <w:rPr>
          <w:rFonts w:hint="eastAsia" w:ascii="宋体" w:hAnsi="宋体" w:cs="楷体"/>
          <w:szCs w:val="21"/>
        </w:rPr>
        <w:t>资料收集、现场踏勘、问卷调查、专家访谈、座谈会等方式方法</w:t>
      </w:r>
      <w:r>
        <w:rPr>
          <w:rFonts w:hint="eastAsia" w:ascii="宋体" w:hAnsi="宋体" w:cs="楷体"/>
          <w:szCs w:val="21"/>
          <w:lang w:eastAsia="zh-CN"/>
        </w:rPr>
        <w:t>。</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szCs w:val="21"/>
        </w:rPr>
        <w:t>6.</w:t>
      </w:r>
      <w:r>
        <w:rPr>
          <w:rFonts w:hint="eastAsia" w:ascii="宋体" w:hAnsi="宋体" w:cs="楷体"/>
          <w:b/>
          <w:szCs w:val="21"/>
          <w:lang w:val="en-US" w:eastAsia="zh-CN"/>
        </w:rPr>
        <w:t>2</w:t>
      </w:r>
      <w:r>
        <w:rPr>
          <w:rFonts w:hint="eastAsia" w:ascii="宋体" w:hAnsi="宋体" w:cs="楷体"/>
          <w:b/>
          <w:szCs w:val="21"/>
        </w:rPr>
        <w:t xml:space="preserve"> </w:t>
      </w:r>
      <w:r>
        <w:rPr>
          <w:rFonts w:hint="eastAsia" w:ascii="宋体" w:hAnsi="宋体" w:cs="楷体"/>
          <w:b/>
          <w:szCs w:val="21"/>
          <w:lang w:val="en-US" w:eastAsia="zh-CN"/>
        </w:rPr>
        <w:t>工业园区资料</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2</w:t>
      </w:r>
      <w:r>
        <w:rPr>
          <w:rFonts w:hint="eastAsia" w:ascii="宋体" w:hAnsi="宋体" w:cs="楷体"/>
          <w:b/>
          <w:bCs/>
          <w:szCs w:val="21"/>
        </w:rPr>
        <w:t>.</w:t>
      </w:r>
      <w:r>
        <w:rPr>
          <w:rFonts w:hint="eastAsia" w:ascii="宋体" w:hAnsi="宋体" w:cs="楷体"/>
          <w:b/>
          <w:bCs/>
          <w:szCs w:val="21"/>
          <w:lang w:val="en-US" w:eastAsia="zh-CN"/>
        </w:rPr>
        <w:t>1 基础资料</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包括</w:t>
      </w:r>
      <w:r>
        <w:rPr>
          <w:rFonts w:hint="eastAsia" w:ascii="宋体" w:hAnsi="宋体" w:cs="楷体"/>
          <w:szCs w:val="21"/>
          <w:lang w:val="en-US" w:eastAsia="zh-CN"/>
        </w:rPr>
        <w:t>工业园区</w:t>
      </w:r>
      <w:r>
        <w:rPr>
          <w:rFonts w:hint="eastAsia" w:ascii="宋体" w:hAnsi="宋体" w:cs="楷体"/>
          <w:szCs w:val="21"/>
        </w:rPr>
        <w:t>总体规划、产业规划、规划环境影响报告书及审查文件，园区及周边区域地形地貌和气候类型、水文地质情况、地表水分布情况、人口数量及空间分布、园区面积、土地利用现状</w:t>
      </w:r>
      <w:r>
        <w:rPr>
          <w:rFonts w:hint="eastAsia" w:ascii="宋体" w:hAnsi="宋体" w:cs="楷体"/>
          <w:szCs w:val="21"/>
          <w:lang w:val="en-US" w:eastAsia="zh-CN"/>
        </w:rPr>
        <w:t>及近三年</w:t>
      </w:r>
      <w:r>
        <w:rPr>
          <w:rFonts w:hint="eastAsia" w:ascii="宋体" w:hAnsi="宋体" w:cs="楷体"/>
          <w:szCs w:val="21"/>
        </w:rPr>
        <w:t>环境质量现状，突发环境事件应急防控体系建设情况等内容。</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2</w:t>
      </w:r>
      <w:r>
        <w:rPr>
          <w:rFonts w:hint="eastAsia" w:ascii="宋体" w:hAnsi="宋体" w:cs="楷体"/>
          <w:b/>
          <w:bCs/>
          <w:szCs w:val="21"/>
        </w:rPr>
        <w:t>.</w:t>
      </w:r>
      <w:r>
        <w:rPr>
          <w:rFonts w:hint="eastAsia" w:ascii="宋体" w:hAnsi="宋体" w:cs="楷体"/>
          <w:b/>
          <w:bCs/>
          <w:szCs w:val="21"/>
          <w:lang w:val="en-US" w:eastAsia="zh-CN"/>
        </w:rPr>
        <w:t>2 图件资料</w:t>
      </w:r>
    </w:p>
    <w:p>
      <w:pPr>
        <w:spacing w:before="156" w:beforeLines="50" w:after="156" w:afterLines="50" w:line="340" w:lineRule="exact"/>
        <w:ind w:firstLine="420" w:firstLineChars="200"/>
        <w:rPr>
          <w:rFonts w:hint="eastAsia" w:ascii="宋体" w:hAnsi="宋体" w:cs="楷体"/>
          <w:b/>
          <w:bCs/>
          <w:szCs w:val="21"/>
        </w:rPr>
      </w:pPr>
      <w:r>
        <w:rPr>
          <w:rFonts w:hint="eastAsia" w:ascii="宋体" w:hAnsi="宋体" w:cs="楷体"/>
          <w:szCs w:val="21"/>
          <w:lang w:val="en-US" w:eastAsia="zh-CN"/>
        </w:rPr>
        <w:t>包括</w:t>
      </w:r>
      <w:r>
        <w:rPr>
          <w:rFonts w:hint="eastAsia" w:ascii="宋体" w:hAnsi="宋体" w:cs="楷体"/>
          <w:szCs w:val="21"/>
        </w:rPr>
        <w:t>工业园区地理位置图、企业分布图、</w:t>
      </w:r>
      <w:r>
        <w:rPr>
          <w:rFonts w:hint="eastAsia" w:ascii="宋体" w:hAnsi="宋体" w:cs="楷体"/>
          <w:szCs w:val="21"/>
          <w:lang w:val="en-US" w:eastAsia="zh-CN"/>
        </w:rPr>
        <w:t>道路管线分布图、</w:t>
      </w:r>
      <w:r>
        <w:rPr>
          <w:rFonts w:hint="eastAsia" w:ascii="宋体" w:hAnsi="宋体" w:cs="楷体"/>
          <w:szCs w:val="21"/>
        </w:rPr>
        <w:t>风向玫瑰图、地形图、地表水系图、环境功能区划图和生态保护红线图等。</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2</w:t>
      </w:r>
      <w:r>
        <w:rPr>
          <w:rFonts w:hint="eastAsia" w:ascii="宋体" w:hAnsi="宋体" w:cs="楷体"/>
          <w:b/>
          <w:bCs/>
          <w:szCs w:val="21"/>
        </w:rPr>
        <w:t>.</w:t>
      </w:r>
      <w:r>
        <w:rPr>
          <w:rFonts w:hint="eastAsia" w:ascii="宋体" w:hAnsi="宋体" w:cs="楷体"/>
          <w:b/>
          <w:bCs/>
          <w:szCs w:val="21"/>
          <w:lang w:val="en-US" w:eastAsia="zh-CN"/>
        </w:rPr>
        <w:t>3 其他资料</w:t>
      </w:r>
    </w:p>
    <w:p>
      <w:pPr>
        <w:spacing w:before="156" w:beforeLines="50" w:after="156" w:afterLines="50" w:line="340" w:lineRule="exact"/>
        <w:ind w:firstLine="420" w:firstLineChars="200"/>
        <w:rPr>
          <w:rFonts w:hint="eastAsia" w:ascii="宋体" w:hAnsi="宋体" w:cs="楷体"/>
          <w:szCs w:val="21"/>
          <w:lang w:eastAsia="zh-CN"/>
        </w:rPr>
      </w:pPr>
      <w:r>
        <w:rPr>
          <w:rFonts w:hint="eastAsia" w:ascii="宋体" w:hAnsi="宋体" w:cs="楷体"/>
          <w:szCs w:val="21"/>
          <w:lang w:val="en-US" w:eastAsia="zh-CN"/>
        </w:rPr>
        <w:t>包括</w:t>
      </w:r>
      <w:r>
        <w:rPr>
          <w:rFonts w:hint="eastAsia" w:ascii="宋体" w:hAnsi="宋体" w:cs="楷体"/>
          <w:szCs w:val="21"/>
        </w:rPr>
        <w:t>工业园区内企业突发环境事件风险评估报告、应急预案和备案文件</w:t>
      </w:r>
      <w:r>
        <w:rPr>
          <w:rFonts w:hint="eastAsia" w:ascii="宋体" w:hAnsi="宋体" w:cs="楷体"/>
          <w:szCs w:val="21"/>
          <w:lang w:val="en-US" w:eastAsia="zh-CN"/>
        </w:rPr>
        <w:t>、</w:t>
      </w:r>
      <w:r>
        <w:rPr>
          <w:rFonts w:hint="eastAsia" w:ascii="宋体" w:hAnsi="宋体" w:cs="楷体"/>
          <w:szCs w:val="21"/>
        </w:rPr>
        <w:t>环境风险隐患排查和环保督察发现的问题等</w:t>
      </w:r>
      <w:r>
        <w:rPr>
          <w:rFonts w:hint="eastAsia" w:ascii="宋体" w:hAnsi="宋体" w:cs="楷体"/>
          <w:szCs w:val="21"/>
          <w:lang w:eastAsia="zh-CN"/>
        </w:rPr>
        <w:t>，</w:t>
      </w:r>
      <w:r>
        <w:rPr>
          <w:rFonts w:hint="eastAsia" w:ascii="宋体" w:hAnsi="宋体" w:cs="楷体"/>
          <w:szCs w:val="21"/>
          <w:lang w:val="en-US" w:eastAsia="zh-CN"/>
        </w:rPr>
        <w:t>以及</w:t>
      </w:r>
      <w:r>
        <w:rPr>
          <w:rFonts w:ascii="宋体" w:hAnsi="宋体" w:cs="楷体"/>
          <w:szCs w:val="21"/>
        </w:rPr>
        <w:t>工业园区及国内外同类工业园区近五年以来发生的突发环境事件典型案例，案例内容</w:t>
      </w:r>
      <w:r>
        <w:rPr>
          <w:rFonts w:hint="eastAsia" w:ascii="宋体" w:hAnsi="宋体" w:cs="楷体"/>
          <w:szCs w:val="21"/>
        </w:rPr>
        <w:t>重点</w:t>
      </w:r>
      <w:r>
        <w:rPr>
          <w:rFonts w:ascii="宋体" w:hAnsi="宋体" w:cs="楷体"/>
          <w:szCs w:val="21"/>
        </w:rPr>
        <w:t>包括</w:t>
      </w:r>
      <w:r>
        <w:rPr>
          <w:rFonts w:hint="eastAsia" w:ascii="宋体" w:hAnsi="宋体" w:cs="楷体"/>
          <w:szCs w:val="21"/>
        </w:rPr>
        <w:t>：事件</w:t>
      </w:r>
      <w:r>
        <w:rPr>
          <w:rFonts w:ascii="宋体" w:hAnsi="宋体" w:cs="楷体"/>
          <w:szCs w:val="21"/>
        </w:rPr>
        <w:t>发生</w:t>
      </w:r>
      <w:r>
        <w:rPr>
          <w:rFonts w:hint="eastAsia" w:ascii="宋体" w:hAnsi="宋体" w:cs="楷体"/>
          <w:szCs w:val="21"/>
        </w:rPr>
        <w:t>时间</w:t>
      </w:r>
      <w:r>
        <w:rPr>
          <w:rFonts w:ascii="宋体" w:hAnsi="宋体" w:cs="楷体"/>
          <w:szCs w:val="21"/>
        </w:rPr>
        <w:t>、地点、引发原因、物料泄漏量、采取的应急措施、事件影响情况等</w:t>
      </w:r>
      <w:r>
        <w:rPr>
          <w:rFonts w:hint="eastAsia" w:ascii="宋体" w:hAnsi="宋体" w:cs="楷体"/>
          <w:szCs w:val="21"/>
        </w:rPr>
        <w:t>。</w:t>
      </w:r>
    </w:p>
    <w:p>
      <w:pPr>
        <w:spacing w:before="156" w:beforeLines="50" w:after="156" w:afterLines="50" w:line="340" w:lineRule="exact"/>
        <w:rPr>
          <w:rFonts w:hint="eastAsia" w:ascii="宋体" w:hAnsi="宋体" w:cs="楷体"/>
          <w:b/>
          <w:bCs/>
          <w:szCs w:val="21"/>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 xml:space="preserve"> 环境风险源</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w:t>
      </w:r>
      <w:r>
        <w:rPr>
          <w:rFonts w:hint="eastAsia" w:ascii="宋体" w:hAnsi="宋体" w:cs="楷体"/>
          <w:b/>
          <w:bCs/>
          <w:szCs w:val="21"/>
          <w:lang w:val="en-US" w:eastAsia="zh-CN"/>
        </w:rPr>
        <w:t>1 环境风险物质</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lang w:val="en-US" w:eastAsia="zh-CN"/>
        </w:rPr>
        <w:t>包括</w:t>
      </w:r>
      <w:r>
        <w:rPr>
          <w:rFonts w:hint="eastAsia" w:ascii="宋体" w:hAnsi="宋体" w:cs="楷体"/>
          <w:szCs w:val="21"/>
        </w:rPr>
        <w:t>工业园区内企业涉及HJ941</w:t>
      </w:r>
      <w:r>
        <w:rPr>
          <w:rFonts w:hint="eastAsia" w:ascii="宋体" w:hAnsi="宋体" w:cs="楷体"/>
          <w:szCs w:val="21"/>
          <w:lang w:val="en-US" w:eastAsia="zh-CN"/>
        </w:rPr>
        <w:t>所列</w:t>
      </w:r>
      <w:r>
        <w:rPr>
          <w:rFonts w:hint="eastAsia" w:ascii="宋体" w:hAnsi="宋体" w:cs="楷体"/>
          <w:szCs w:val="21"/>
        </w:rPr>
        <w:t>环境风险物质</w:t>
      </w:r>
      <w:r>
        <w:rPr>
          <w:rFonts w:hint="eastAsia" w:ascii="宋体" w:hAnsi="宋体" w:cs="楷体"/>
          <w:szCs w:val="21"/>
          <w:lang w:eastAsia="zh-CN"/>
        </w:rPr>
        <w:t>。</w:t>
      </w:r>
      <w:r>
        <w:rPr>
          <w:rFonts w:hint="eastAsia" w:ascii="宋体" w:hAnsi="宋体" w:cs="楷体"/>
          <w:szCs w:val="21"/>
        </w:rPr>
        <w:t xml:space="preserve">重点调查工业园区内环境风险等级为较大及以上企业的环境风险物质名称、种类、最大存储量、存储方式、存储位置和所属企业等。 </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w:t>
      </w:r>
      <w:r>
        <w:rPr>
          <w:rFonts w:hint="eastAsia" w:ascii="宋体" w:hAnsi="宋体" w:cs="楷体"/>
          <w:b/>
          <w:bCs/>
          <w:szCs w:val="21"/>
          <w:lang w:val="en-US" w:eastAsia="zh-CN"/>
        </w:rPr>
        <w:t>2 固定源</w:t>
      </w:r>
    </w:p>
    <w:p>
      <w:pPr>
        <w:spacing w:before="156" w:beforeLines="50" w:after="156" w:afterLines="50" w:line="340" w:lineRule="exact"/>
        <w:ind w:firstLine="420" w:firstLineChars="200"/>
        <w:rPr>
          <w:rFonts w:hint="eastAsia" w:ascii="宋体" w:hAnsi="宋体" w:eastAsia="宋体" w:cs="楷体"/>
          <w:szCs w:val="21"/>
          <w:lang w:val="en-US" w:eastAsia="zh-CN"/>
        </w:rPr>
      </w:pPr>
      <w:r>
        <w:rPr>
          <w:rFonts w:hint="eastAsia" w:ascii="宋体" w:hAnsi="宋体" w:cs="楷体"/>
          <w:szCs w:val="21"/>
          <w:lang w:val="en-US" w:eastAsia="zh-CN"/>
        </w:rPr>
        <w:t>包括</w:t>
      </w:r>
      <w:r>
        <w:rPr>
          <w:rFonts w:hint="eastAsia" w:ascii="宋体" w:hAnsi="宋体" w:cs="楷体"/>
          <w:szCs w:val="21"/>
        </w:rPr>
        <w:t>工业园区内</w:t>
      </w:r>
      <w:r>
        <w:rPr>
          <w:rFonts w:hint="eastAsia" w:ascii="宋体" w:hAnsi="宋体" w:cs="楷体"/>
          <w:szCs w:val="21"/>
          <w:lang w:val="en-US" w:eastAsia="zh-CN"/>
        </w:rPr>
        <w:t>突发环境事件风险</w:t>
      </w:r>
      <w:r>
        <w:rPr>
          <w:rFonts w:hint="eastAsia" w:ascii="宋体" w:hAnsi="宋体" w:cs="楷体"/>
          <w:szCs w:val="21"/>
        </w:rPr>
        <w:t>企业的数量、类型及分布，工业废水处理和回用、危险废物贮存和处置、一般工业固体废物贮存和处置等</w:t>
      </w:r>
      <w:r>
        <w:rPr>
          <w:rFonts w:hint="eastAsia" w:ascii="宋体" w:hAnsi="宋体" w:cs="楷体"/>
          <w:szCs w:val="21"/>
          <w:lang w:eastAsia="zh-CN"/>
        </w:rPr>
        <w:t>。</w:t>
      </w:r>
      <w:r>
        <w:rPr>
          <w:rFonts w:hint="eastAsia" w:ascii="宋体" w:hAnsi="宋体" w:cs="楷体"/>
          <w:szCs w:val="21"/>
          <w:lang w:val="en-US" w:eastAsia="zh-CN"/>
        </w:rPr>
        <w:t>重点调查工业园区内突发环境事件风险环境为较大及以上企业及其环境风险源分布</w:t>
      </w:r>
      <w:r>
        <w:rPr>
          <w:rFonts w:hint="eastAsia" w:ascii="宋体" w:hAnsi="宋体" w:cs="楷体"/>
          <w:szCs w:val="21"/>
        </w:rPr>
        <w:t>。</w:t>
      </w:r>
      <w:r>
        <w:rPr>
          <w:rFonts w:hint="eastAsia" w:ascii="宋体" w:hAnsi="宋体" w:cs="楷体"/>
          <w:szCs w:val="21"/>
          <w:lang w:val="en-US" w:eastAsia="zh-CN"/>
        </w:rPr>
        <w:t xml:space="preserve"> </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w:t>
      </w:r>
      <w:r>
        <w:rPr>
          <w:rFonts w:hint="eastAsia" w:ascii="宋体" w:hAnsi="宋体" w:cs="楷体"/>
          <w:b/>
          <w:bCs/>
          <w:szCs w:val="21"/>
          <w:lang w:val="en-US" w:eastAsia="zh-CN"/>
        </w:rPr>
        <w:t>3 移动源</w:t>
      </w:r>
    </w:p>
    <w:p>
      <w:pPr>
        <w:spacing w:before="156" w:beforeLines="50" w:after="156" w:afterLines="50" w:line="340" w:lineRule="exact"/>
        <w:ind w:firstLine="420" w:firstLineChars="200"/>
        <w:rPr>
          <w:rFonts w:hint="eastAsia" w:ascii="宋体" w:hAnsi="宋体" w:eastAsia="宋体" w:cs="楷体"/>
          <w:szCs w:val="21"/>
          <w:lang w:eastAsia="zh-CN"/>
        </w:rPr>
      </w:pPr>
      <w:r>
        <w:rPr>
          <w:rFonts w:hint="eastAsia" w:ascii="宋体" w:hAnsi="宋体" w:cs="楷体"/>
          <w:szCs w:val="21"/>
          <w:lang w:val="en-US" w:eastAsia="zh-CN"/>
        </w:rPr>
        <w:t>包括工业园区内</w:t>
      </w:r>
      <w:r>
        <w:rPr>
          <w:rFonts w:hint="eastAsia" w:ascii="宋体" w:hAnsi="宋体" w:cs="楷体"/>
          <w:szCs w:val="21"/>
        </w:rPr>
        <w:t>涉及环境风险物质运输的道路</w:t>
      </w:r>
      <w:r>
        <w:rPr>
          <w:rFonts w:hint="eastAsia" w:ascii="宋体" w:hAnsi="宋体" w:cs="楷体"/>
          <w:szCs w:val="21"/>
          <w:lang w:eastAsia="zh-CN"/>
        </w:rPr>
        <w:t>、</w:t>
      </w:r>
      <w:r>
        <w:rPr>
          <w:rFonts w:hint="eastAsia" w:ascii="宋体" w:hAnsi="宋体" w:cs="楷体"/>
          <w:szCs w:val="21"/>
        </w:rPr>
        <w:t>管线</w:t>
      </w:r>
      <w:r>
        <w:rPr>
          <w:rFonts w:hint="eastAsia" w:ascii="宋体" w:hAnsi="宋体" w:cs="楷体"/>
          <w:szCs w:val="21"/>
          <w:lang w:val="en-US" w:eastAsia="zh-CN"/>
        </w:rPr>
        <w:t>等</w:t>
      </w:r>
      <w:r>
        <w:rPr>
          <w:rFonts w:hint="eastAsia" w:ascii="宋体" w:hAnsi="宋体" w:cs="楷体"/>
          <w:szCs w:val="21"/>
        </w:rPr>
        <w:t>。</w:t>
      </w:r>
    </w:p>
    <w:p>
      <w:pPr>
        <w:spacing w:before="156" w:beforeLines="50" w:after="156" w:afterLines="50" w:line="340" w:lineRule="exact"/>
        <w:rPr>
          <w:rFonts w:hint="eastAsia" w:ascii="宋体" w:hAnsi="宋体" w:cs="楷体"/>
          <w:b/>
          <w:bCs/>
          <w:szCs w:val="21"/>
        </w:rPr>
      </w:pPr>
      <w:r>
        <w:rPr>
          <w:rFonts w:hint="eastAsia" w:ascii="宋体" w:hAnsi="宋体" w:cs="楷体"/>
          <w:b/>
          <w:bCs/>
          <w:szCs w:val="21"/>
        </w:rPr>
        <w:t>6.</w:t>
      </w:r>
      <w:r>
        <w:rPr>
          <w:rFonts w:hint="eastAsia" w:ascii="宋体" w:hAnsi="宋体" w:cs="楷体"/>
          <w:b/>
          <w:bCs/>
          <w:szCs w:val="21"/>
          <w:lang w:val="en-US" w:eastAsia="zh-CN"/>
        </w:rPr>
        <w:t>4</w:t>
      </w:r>
      <w:r>
        <w:rPr>
          <w:rFonts w:hint="eastAsia" w:ascii="宋体" w:hAnsi="宋体" w:cs="楷体"/>
          <w:b/>
          <w:bCs/>
          <w:szCs w:val="21"/>
        </w:rPr>
        <w:t xml:space="preserve"> 环境风险受体</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b w:val="0"/>
          <w:bCs w:val="0"/>
          <w:szCs w:val="21"/>
          <w:lang w:val="en-US" w:eastAsia="zh-CN"/>
        </w:rPr>
        <w:t>环境风险受体调查范围和内容参照</w:t>
      </w:r>
      <w:r>
        <w:rPr>
          <w:rFonts w:hint="eastAsia" w:ascii="宋体" w:hAnsi="宋体" w:cs="楷体"/>
          <w:szCs w:val="21"/>
        </w:rPr>
        <w:t>HJ941</w:t>
      </w:r>
      <w:r>
        <w:rPr>
          <w:rFonts w:hint="eastAsia" w:ascii="宋体" w:hAnsi="宋体" w:cs="楷体"/>
          <w:szCs w:val="21"/>
          <w:lang w:val="en-US" w:eastAsia="zh-CN"/>
        </w:rPr>
        <w:t>执行。内容包括</w:t>
      </w:r>
      <w:r>
        <w:rPr>
          <w:rFonts w:hint="eastAsia" w:ascii="宋体" w:hAnsi="宋体" w:cs="楷体"/>
          <w:szCs w:val="21"/>
        </w:rPr>
        <w:t>水环境风险受体</w:t>
      </w:r>
      <w:r>
        <w:rPr>
          <w:rFonts w:hint="eastAsia" w:ascii="宋体" w:hAnsi="宋体" w:cs="楷体"/>
          <w:szCs w:val="21"/>
          <w:lang w:val="en-US" w:eastAsia="zh-CN"/>
        </w:rPr>
        <w:t>和</w:t>
      </w:r>
      <w:r>
        <w:rPr>
          <w:rFonts w:hint="eastAsia" w:ascii="宋体" w:hAnsi="宋体" w:cs="楷体"/>
          <w:szCs w:val="21"/>
        </w:rPr>
        <w:t>大气环境风险受体受体类别、名称、地理坐标、规模、保护要求</w:t>
      </w:r>
      <w:r>
        <w:rPr>
          <w:rFonts w:hint="eastAsia" w:ascii="宋体" w:hAnsi="宋体" w:cs="楷体"/>
          <w:szCs w:val="21"/>
          <w:lang w:eastAsia="zh-CN"/>
        </w:rPr>
        <w:t>、</w:t>
      </w:r>
      <w:r>
        <w:rPr>
          <w:rFonts w:hint="eastAsia" w:ascii="宋体" w:hAnsi="宋体" w:cs="楷体"/>
          <w:szCs w:val="21"/>
        </w:rPr>
        <w:t>位置关系</w:t>
      </w:r>
      <w:r>
        <w:rPr>
          <w:rFonts w:hint="eastAsia" w:ascii="宋体" w:hAnsi="宋体" w:cs="楷体"/>
          <w:szCs w:val="21"/>
          <w:lang w:val="en-US" w:eastAsia="zh-CN"/>
        </w:rPr>
        <w:t>等</w:t>
      </w:r>
      <w:r>
        <w:rPr>
          <w:rFonts w:hint="eastAsia" w:ascii="宋体" w:hAnsi="宋体" w:cs="楷体"/>
          <w:szCs w:val="21"/>
        </w:rPr>
        <w:t>。</w:t>
      </w:r>
    </w:p>
    <w:p>
      <w:pPr>
        <w:spacing w:before="156" w:beforeLines="50" w:after="156" w:afterLines="50" w:line="340" w:lineRule="exact"/>
        <w:rPr>
          <w:rFonts w:hint="eastAsia" w:ascii="宋体" w:hAnsi="宋体" w:cs="楷体"/>
          <w:b/>
          <w:bCs/>
          <w:szCs w:val="21"/>
        </w:rPr>
      </w:pPr>
      <w:r>
        <w:rPr>
          <w:rFonts w:hint="eastAsia" w:ascii="宋体" w:hAnsi="宋体" w:cs="楷体"/>
          <w:b/>
          <w:bCs/>
          <w:szCs w:val="21"/>
        </w:rPr>
        <w:t>6.</w:t>
      </w:r>
      <w:r>
        <w:rPr>
          <w:rFonts w:hint="eastAsia" w:ascii="宋体" w:hAnsi="宋体" w:cs="楷体"/>
          <w:b/>
          <w:bCs/>
          <w:szCs w:val="21"/>
          <w:lang w:val="en-US" w:eastAsia="zh-CN"/>
        </w:rPr>
        <w:t>5</w:t>
      </w:r>
      <w:r>
        <w:rPr>
          <w:rFonts w:hint="eastAsia" w:ascii="宋体" w:hAnsi="宋体" w:cs="楷体"/>
          <w:b/>
          <w:bCs/>
          <w:szCs w:val="21"/>
        </w:rPr>
        <w:t xml:space="preserve"> 环境风险控制机制</w:t>
      </w:r>
    </w:p>
    <w:p>
      <w:pPr>
        <w:spacing w:before="156" w:beforeLines="50" w:after="156" w:afterLines="50" w:line="340" w:lineRule="exact"/>
        <w:ind w:firstLine="420" w:firstLineChars="200"/>
        <w:rPr>
          <w:rFonts w:hint="eastAsia" w:ascii="宋体" w:hAnsi="宋体" w:eastAsia="宋体" w:cs="楷体"/>
          <w:szCs w:val="21"/>
          <w:lang w:val="en-US" w:eastAsia="zh-CN"/>
        </w:rPr>
      </w:pPr>
      <w:r>
        <w:rPr>
          <w:rFonts w:hint="eastAsia" w:ascii="宋体" w:hAnsi="宋体" w:cs="楷体"/>
          <w:szCs w:val="21"/>
          <w:lang w:val="en-US" w:eastAsia="zh-CN"/>
        </w:rPr>
        <w:t>包括</w:t>
      </w:r>
      <w:r>
        <w:rPr>
          <w:rFonts w:hint="eastAsia" w:ascii="宋体" w:hAnsi="宋体" w:cs="楷体"/>
          <w:szCs w:val="21"/>
        </w:rPr>
        <w:t>工业园区环境应急监控预警、救援</w:t>
      </w:r>
      <w:r>
        <w:rPr>
          <w:rFonts w:hint="eastAsia" w:ascii="宋体" w:hAnsi="宋体" w:cs="楷体"/>
          <w:szCs w:val="21"/>
          <w:lang w:val="en-US" w:eastAsia="zh-CN"/>
        </w:rPr>
        <w:t>处置</w:t>
      </w:r>
      <w:r>
        <w:rPr>
          <w:rFonts w:hint="eastAsia" w:ascii="宋体" w:hAnsi="宋体" w:cs="楷体"/>
          <w:szCs w:val="21"/>
        </w:rPr>
        <w:t>、应急管理和响应以及联动机制建设</w:t>
      </w:r>
      <w:r>
        <w:rPr>
          <w:rFonts w:hint="eastAsia" w:ascii="宋体" w:hAnsi="宋体" w:cs="楷体"/>
          <w:szCs w:val="21"/>
          <w:lang w:val="en-US" w:eastAsia="zh-CN"/>
        </w:rPr>
        <w:t>等。</w:t>
      </w:r>
    </w:p>
    <w:p>
      <w:pPr>
        <w:numPr>
          <w:ilvl w:val="0"/>
          <w:numId w:val="3"/>
        </w:num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应急监测、预警设备设施，明确风险源监测监控点位布设情况；</w:t>
      </w:r>
    </w:p>
    <w:p>
      <w:pPr>
        <w:numPr>
          <w:ilvl w:val="0"/>
          <w:numId w:val="3"/>
        </w:num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应急物资数量、分布、管理、维护、获得方式与保存时限等内容；</w:t>
      </w:r>
    </w:p>
    <w:p>
      <w:pPr>
        <w:numPr>
          <w:ilvl w:val="0"/>
          <w:numId w:val="3"/>
        </w:num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环境风险防控工程措施，包括水污染物拦截、上游调水、导流、物化反应等应急处理处置方式和能力，有毒有害气体泄漏应急疏散方案及路线等情况；</w:t>
      </w:r>
    </w:p>
    <w:p>
      <w:pPr>
        <w:numPr>
          <w:ilvl w:val="0"/>
          <w:numId w:val="3"/>
        </w:num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环境应急决策支持系统、监测机构及队伍能力、专家队伍与救援队伍、应急技术储备与资金投入等建设运行情况；</w:t>
      </w:r>
    </w:p>
    <w:p>
      <w:pPr>
        <w:numPr>
          <w:ilvl w:val="0"/>
          <w:numId w:val="3"/>
        </w:num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园区内部相关部门环境应急联动机制、与周边行政区域环境应急联动机制等建立情况。</w:t>
      </w:r>
    </w:p>
    <w:p>
      <w:pPr>
        <w:pStyle w:val="2"/>
        <w:rPr>
          <w:sz w:val="28"/>
          <w:szCs w:val="28"/>
        </w:rPr>
      </w:pPr>
      <w:bookmarkStart w:id="43" w:name="_Toc115019670"/>
      <w:bookmarkStart w:id="44" w:name="_Toc12625"/>
      <w:r>
        <w:rPr>
          <w:rFonts w:hint="eastAsia"/>
          <w:sz w:val="28"/>
          <w:szCs w:val="28"/>
        </w:rPr>
        <w:t>7</w:t>
      </w:r>
      <w:r>
        <w:rPr>
          <w:sz w:val="28"/>
          <w:szCs w:val="28"/>
        </w:rPr>
        <w:t xml:space="preserve"> </w:t>
      </w:r>
      <w:bookmarkEnd w:id="43"/>
      <w:r>
        <w:rPr>
          <w:rFonts w:hint="eastAsia"/>
          <w:sz w:val="28"/>
          <w:szCs w:val="28"/>
        </w:rPr>
        <w:t xml:space="preserve"> 环境风险识别</w:t>
      </w:r>
      <w:bookmarkEnd w:id="44"/>
    </w:p>
    <w:p>
      <w:pPr>
        <w:spacing w:before="156" w:beforeLines="50" w:after="156" w:afterLines="50" w:line="340" w:lineRule="exact"/>
        <w:rPr>
          <w:rFonts w:ascii="宋体" w:hAnsi="宋体" w:cs="楷体"/>
          <w:b/>
          <w:bCs/>
          <w:szCs w:val="21"/>
        </w:rPr>
      </w:pPr>
      <w:r>
        <w:rPr>
          <w:rFonts w:hint="eastAsia" w:ascii="宋体" w:hAnsi="宋体" w:cs="楷体"/>
          <w:b/>
          <w:bCs/>
          <w:szCs w:val="21"/>
        </w:rPr>
        <w:t>7.1  环境风险源识别</w:t>
      </w:r>
    </w:p>
    <w:p>
      <w:pPr>
        <w:spacing w:before="156" w:beforeLines="50" w:after="156" w:afterLines="50" w:line="340" w:lineRule="exact"/>
        <w:ind w:firstLine="421"/>
        <w:rPr>
          <w:rFonts w:ascii="宋体" w:hAnsi="宋体" w:cs="楷体"/>
          <w:szCs w:val="21"/>
        </w:rPr>
      </w:pPr>
      <w:r>
        <w:rPr>
          <w:rFonts w:hint="eastAsia" w:ascii="宋体" w:hAnsi="宋体" w:cs="楷体"/>
          <w:szCs w:val="21"/>
        </w:rPr>
        <w:t>对工业园区可能涉及HJ941附录A中环境风险物质的固定源、移动源进行识别，形成大气、水环境风险源清单</w:t>
      </w:r>
      <w:r>
        <w:rPr>
          <w:rFonts w:hint="eastAsia" w:ascii="宋体" w:hAnsi="宋体" w:cs="楷体"/>
          <w:szCs w:val="21"/>
          <w:lang w:eastAsia="zh-CN"/>
        </w:rPr>
        <w:t>。</w:t>
      </w:r>
      <w:r>
        <w:rPr>
          <w:rFonts w:hint="eastAsia" w:ascii="宋体" w:hAnsi="宋体" w:cs="楷体"/>
          <w:szCs w:val="21"/>
        </w:rPr>
        <w:t>主要包括：环境风险源类别、名称、地理位置、规模、主要环境风险物质名称及数量、所属企业及环境风险等级等信息。</w:t>
      </w:r>
    </w:p>
    <w:p>
      <w:pPr>
        <w:spacing w:before="156" w:beforeLines="50" w:after="156" w:afterLines="50" w:line="340" w:lineRule="exact"/>
        <w:rPr>
          <w:rFonts w:ascii="宋体" w:hAnsi="宋体" w:cs="楷体"/>
          <w:b/>
          <w:bCs/>
          <w:szCs w:val="21"/>
        </w:rPr>
      </w:pPr>
      <w:r>
        <w:rPr>
          <w:rFonts w:hint="eastAsia" w:ascii="宋体" w:hAnsi="宋体" w:cs="楷体"/>
          <w:b/>
          <w:bCs/>
          <w:szCs w:val="21"/>
        </w:rPr>
        <w:t>7.2  环境风险受体识别</w:t>
      </w:r>
    </w:p>
    <w:p>
      <w:pPr>
        <w:spacing w:before="156" w:beforeLines="50" w:after="156" w:afterLines="50" w:line="340" w:lineRule="exact"/>
        <w:ind w:firstLine="420" w:firstLineChars="200"/>
        <w:rPr>
          <w:rFonts w:ascii="宋体" w:hAnsi="宋体" w:cs="楷体"/>
          <w:szCs w:val="21"/>
        </w:rPr>
      </w:pPr>
      <w:r>
        <w:rPr>
          <w:rFonts w:hint="eastAsia" w:ascii="宋体" w:hAnsi="宋体" w:cs="楷体"/>
          <w:b w:val="0"/>
          <w:bCs w:val="0"/>
          <w:szCs w:val="21"/>
          <w:lang w:val="en-US" w:eastAsia="zh-CN"/>
        </w:rPr>
        <w:t>环境风险受体识别参照</w:t>
      </w:r>
      <w:r>
        <w:rPr>
          <w:rFonts w:hint="eastAsia" w:ascii="宋体" w:hAnsi="宋体" w:cs="楷体"/>
          <w:szCs w:val="21"/>
        </w:rPr>
        <w:t>HJ941</w:t>
      </w:r>
      <w:r>
        <w:rPr>
          <w:rFonts w:hint="eastAsia" w:ascii="宋体" w:hAnsi="宋体" w:cs="楷体"/>
          <w:szCs w:val="21"/>
          <w:lang w:val="en-US" w:eastAsia="zh-CN"/>
        </w:rPr>
        <w:t>执行。</w:t>
      </w:r>
      <w:r>
        <w:rPr>
          <w:rFonts w:hint="eastAsia" w:ascii="宋体" w:hAnsi="宋体" w:cs="楷体"/>
          <w:szCs w:val="21"/>
        </w:rPr>
        <w:t>通过列表法、矩阵法、地理信息系统支持下的叠图法等方法，绘制环境风险受体分布位置关系图</w:t>
      </w:r>
      <w:r>
        <w:rPr>
          <w:rFonts w:hint="eastAsia" w:ascii="宋体" w:hAnsi="宋体" w:cs="楷体"/>
          <w:szCs w:val="21"/>
          <w:lang w:eastAsia="zh-CN"/>
        </w:rPr>
        <w:t>，</w:t>
      </w:r>
      <w:r>
        <w:rPr>
          <w:rFonts w:hint="eastAsia" w:ascii="宋体" w:hAnsi="宋体" w:cs="楷体"/>
          <w:szCs w:val="21"/>
        </w:rPr>
        <w:t>列表给出清单，主要包括：环境风险受体类别、名称、地理位置、规模、保护要求</w:t>
      </w:r>
      <w:r>
        <w:rPr>
          <w:rFonts w:hint="eastAsia" w:ascii="宋体" w:hAnsi="宋体" w:cs="楷体"/>
          <w:szCs w:val="21"/>
          <w:lang w:eastAsia="zh-CN"/>
        </w:rPr>
        <w:t>、</w:t>
      </w:r>
      <w:r>
        <w:rPr>
          <w:rFonts w:hint="eastAsia" w:ascii="宋体" w:hAnsi="宋体" w:cs="楷体"/>
          <w:szCs w:val="21"/>
          <w:lang w:val="en-US" w:eastAsia="zh-CN"/>
        </w:rPr>
        <w:t>位置关系</w:t>
      </w:r>
      <w:r>
        <w:rPr>
          <w:rFonts w:hint="eastAsia" w:ascii="宋体" w:hAnsi="宋体" w:cs="楷体"/>
          <w:szCs w:val="21"/>
        </w:rPr>
        <w:t>等。</w:t>
      </w:r>
    </w:p>
    <w:p>
      <w:pPr>
        <w:spacing w:before="156" w:beforeLines="50" w:after="156" w:afterLines="50" w:line="340" w:lineRule="exact"/>
        <w:rPr>
          <w:rFonts w:ascii="宋体" w:hAnsi="宋体" w:cs="楷体"/>
          <w:b/>
          <w:bCs/>
          <w:szCs w:val="21"/>
        </w:rPr>
      </w:pPr>
      <w:r>
        <w:rPr>
          <w:rFonts w:hint="eastAsia" w:ascii="宋体" w:hAnsi="宋体" w:cs="楷体"/>
          <w:b/>
          <w:bCs/>
          <w:szCs w:val="21"/>
        </w:rPr>
        <w:t>7.3  环境风险控制机制</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编制工业园区应急监测预警设备设施、应急物资、环境风险防控工程措施、应急救援装备以及队伍等清单和分布图；绘制拦截点位置图，园区应急疏散通道以及安置场所布置图等。</w:t>
      </w:r>
    </w:p>
    <w:p>
      <w:pPr>
        <w:spacing w:before="156" w:beforeLines="50" w:after="156" w:afterLines="50" w:line="340" w:lineRule="exact"/>
        <w:rPr>
          <w:rFonts w:hint="default" w:ascii="宋体" w:hAnsi="宋体" w:cs="楷体"/>
          <w:b/>
          <w:bCs/>
          <w:szCs w:val="21"/>
          <w:lang w:val="en-US" w:eastAsia="zh-CN"/>
        </w:rPr>
      </w:pPr>
      <w:r>
        <w:rPr>
          <w:rFonts w:hint="eastAsia" w:ascii="宋体" w:hAnsi="宋体" w:cs="楷体"/>
          <w:b/>
          <w:bCs/>
          <w:szCs w:val="21"/>
        </w:rPr>
        <w:t xml:space="preserve">7.4  </w:t>
      </w:r>
      <w:r>
        <w:rPr>
          <w:rFonts w:hint="eastAsia" w:ascii="宋体" w:hAnsi="宋体" w:cs="楷体"/>
          <w:b/>
          <w:bCs/>
          <w:szCs w:val="21"/>
          <w:lang w:val="en-US" w:eastAsia="zh-CN"/>
        </w:rPr>
        <w:t>典型事件案例</w:t>
      </w:r>
    </w:p>
    <w:p>
      <w:pPr>
        <w:spacing w:before="156" w:beforeLines="50" w:after="156" w:afterLines="50" w:line="340" w:lineRule="exact"/>
        <w:ind w:firstLine="420" w:firstLineChars="200"/>
        <w:rPr>
          <w:rFonts w:hint="default" w:ascii="宋体" w:hAnsi="宋体" w:eastAsia="宋体" w:cs="楷体"/>
          <w:szCs w:val="21"/>
          <w:lang w:val="en-US" w:eastAsia="zh-CN"/>
        </w:rPr>
      </w:pPr>
      <w:r>
        <w:rPr>
          <w:rFonts w:hint="eastAsia" w:ascii="宋体" w:hAnsi="宋体" w:cs="楷体"/>
          <w:szCs w:val="21"/>
        </w:rPr>
        <w:t>分析、总结</w:t>
      </w:r>
      <w:r>
        <w:rPr>
          <w:rFonts w:hint="eastAsia" w:ascii="宋体" w:hAnsi="宋体" w:cs="楷体"/>
          <w:szCs w:val="21"/>
          <w:lang w:val="en-US" w:eastAsia="zh-CN"/>
        </w:rPr>
        <w:t>工业园区</w:t>
      </w:r>
      <w:r>
        <w:rPr>
          <w:rFonts w:hint="eastAsia" w:ascii="宋体" w:hAnsi="宋体" w:cs="楷体"/>
          <w:szCs w:val="21"/>
        </w:rPr>
        <w:t>历史突发环境事件</w:t>
      </w:r>
      <w:r>
        <w:rPr>
          <w:rFonts w:hint="eastAsia" w:ascii="宋体" w:hAnsi="宋体" w:cs="楷体"/>
          <w:szCs w:val="21"/>
          <w:lang w:eastAsia="zh-CN"/>
        </w:rPr>
        <w:t>，</w:t>
      </w:r>
      <w:r>
        <w:rPr>
          <w:rFonts w:hint="eastAsia" w:ascii="宋体" w:hAnsi="宋体" w:cs="楷体"/>
          <w:szCs w:val="21"/>
          <w:lang w:val="en-US" w:eastAsia="zh-CN"/>
        </w:rPr>
        <w:t>以及</w:t>
      </w:r>
      <w:r>
        <w:rPr>
          <w:rFonts w:hint="eastAsia" w:ascii="宋体" w:hAnsi="宋体" w:cs="楷体"/>
          <w:szCs w:val="21"/>
        </w:rPr>
        <w:t>同类型</w:t>
      </w:r>
      <w:r>
        <w:rPr>
          <w:rFonts w:hint="eastAsia" w:ascii="宋体" w:hAnsi="宋体" w:cs="楷体"/>
          <w:szCs w:val="21"/>
          <w:lang w:val="en-US" w:eastAsia="zh-CN"/>
        </w:rPr>
        <w:t>工业园区</w:t>
      </w:r>
      <w:r>
        <w:rPr>
          <w:rFonts w:hint="eastAsia" w:ascii="宋体" w:hAnsi="宋体" w:cs="楷体"/>
          <w:szCs w:val="21"/>
        </w:rPr>
        <w:t>或涉及相同环境风险物质的</w:t>
      </w:r>
      <w:r>
        <w:rPr>
          <w:rFonts w:hint="eastAsia" w:ascii="宋体" w:hAnsi="宋体" w:cs="楷体"/>
          <w:szCs w:val="21"/>
          <w:lang w:val="en-US" w:eastAsia="zh-CN"/>
        </w:rPr>
        <w:t>工业园区</w:t>
      </w:r>
      <w:r>
        <w:rPr>
          <w:rFonts w:hint="eastAsia" w:ascii="宋体" w:hAnsi="宋体" w:cs="楷体"/>
          <w:szCs w:val="21"/>
        </w:rPr>
        <w:t>发生突发环境事件的经验教训，对照检查是否有</w:t>
      </w:r>
      <w:r>
        <w:rPr>
          <w:rFonts w:hint="eastAsia" w:ascii="宋体" w:hAnsi="宋体" w:cs="楷体"/>
          <w:szCs w:val="21"/>
          <w:lang w:val="en-US" w:eastAsia="zh-CN"/>
        </w:rPr>
        <w:t>类似突发环境事件风险和</w:t>
      </w:r>
      <w:r>
        <w:rPr>
          <w:rFonts w:hint="eastAsia" w:ascii="宋体" w:hAnsi="宋体" w:cs="楷体"/>
          <w:szCs w:val="21"/>
        </w:rPr>
        <w:t>防止类似事件发生的措施。</w:t>
      </w:r>
    </w:p>
    <w:p>
      <w:pPr>
        <w:pStyle w:val="2"/>
        <w:rPr>
          <w:rFonts w:hint="default" w:eastAsia="宋体"/>
          <w:sz w:val="28"/>
          <w:szCs w:val="28"/>
          <w:lang w:val="en-US" w:eastAsia="zh-CN"/>
        </w:rPr>
      </w:pPr>
      <w:bookmarkStart w:id="45" w:name="_Toc115019671"/>
      <w:bookmarkStart w:id="46" w:name="_Toc15111"/>
      <w:r>
        <w:rPr>
          <w:rFonts w:hint="eastAsia"/>
          <w:sz w:val="28"/>
          <w:szCs w:val="28"/>
        </w:rPr>
        <w:t>8</w:t>
      </w:r>
      <w:r>
        <w:rPr>
          <w:sz w:val="28"/>
          <w:szCs w:val="28"/>
        </w:rPr>
        <w:t xml:space="preserve">  </w:t>
      </w:r>
      <w:bookmarkEnd w:id="45"/>
      <w:r>
        <w:rPr>
          <w:rFonts w:hint="eastAsia" w:cs="宋体"/>
          <w:sz w:val="28"/>
          <w:szCs w:val="28"/>
          <w:lang w:val="en-US" w:eastAsia="zh-CN"/>
        </w:rPr>
        <w:t>典型突发环境事件</w:t>
      </w:r>
      <w:r>
        <w:rPr>
          <w:rFonts w:hint="eastAsia" w:ascii="宋体" w:hAnsi="宋体" w:cs="宋体"/>
          <w:sz w:val="28"/>
          <w:szCs w:val="28"/>
        </w:rPr>
        <w:t>情景分析</w:t>
      </w:r>
      <w:bookmarkEnd w:id="46"/>
    </w:p>
    <w:p>
      <w:pPr>
        <w:spacing w:before="156" w:beforeLines="50" w:after="156" w:afterLines="50" w:line="340" w:lineRule="exact"/>
        <w:rPr>
          <w:rFonts w:ascii="宋体" w:hAnsi="宋体" w:cs="楷体"/>
          <w:b/>
          <w:bCs/>
          <w:szCs w:val="21"/>
        </w:rPr>
      </w:pPr>
      <w:r>
        <w:rPr>
          <w:rFonts w:hint="eastAsia" w:ascii="宋体" w:hAnsi="宋体" w:cs="楷体"/>
          <w:b/>
          <w:bCs/>
          <w:szCs w:val="21"/>
        </w:rPr>
        <w:t>8.</w:t>
      </w:r>
      <w:r>
        <w:rPr>
          <w:rFonts w:hint="eastAsia" w:ascii="宋体" w:hAnsi="宋体" w:cs="楷体"/>
          <w:b/>
          <w:bCs/>
          <w:szCs w:val="21"/>
          <w:lang w:val="en-US" w:eastAsia="zh-CN"/>
        </w:rPr>
        <w:t>1</w:t>
      </w:r>
      <w:r>
        <w:rPr>
          <w:rFonts w:hint="eastAsia" w:ascii="宋体" w:hAnsi="宋体" w:cs="楷体"/>
          <w:b/>
          <w:bCs/>
          <w:szCs w:val="21"/>
        </w:rPr>
        <w:t xml:space="preserve"> 筛选原则</w:t>
      </w:r>
    </w:p>
    <w:p>
      <w:pPr>
        <w:spacing w:before="156" w:beforeLines="50" w:after="156" w:afterLines="50" w:line="340" w:lineRule="exact"/>
        <w:ind w:firstLine="420" w:firstLineChars="200"/>
        <w:rPr>
          <w:rFonts w:hint="eastAsia" w:ascii="宋体" w:hAnsi="宋体" w:cs="楷体"/>
          <w:szCs w:val="21"/>
          <w:lang w:eastAsia="zh-CN"/>
        </w:rPr>
      </w:pPr>
      <w:r>
        <w:rPr>
          <w:rFonts w:hint="eastAsia" w:ascii="宋体" w:hAnsi="宋体" w:cs="楷体"/>
          <w:szCs w:val="21"/>
        </w:rPr>
        <w:t>针对</w:t>
      </w:r>
      <w:r>
        <w:rPr>
          <w:rFonts w:hint="eastAsia" w:ascii="宋体" w:hAnsi="宋体" w:cs="楷体"/>
          <w:szCs w:val="21"/>
          <w:lang w:val="en-US" w:eastAsia="zh-CN"/>
        </w:rPr>
        <w:t>工业</w:t>
      </w:r>
      <w:r>
        <w:rPr>
          <w:rFonts w:hint="eastAsia" w:ascii="宋体" w:hAnsi="宋体" w:cs="楷体"/>
          <w:szCs w:val="21"/>
        </w:rPr>
        <w:t>园区可能对园区外环境风险受体造成影响的环境风险源</w:t>
      </w:r>
      <w:r>
        <w:rPr>
          <w:rFonts w:hint="eastAsia" w:ascii="宋体" w:hAnsi="宋体" w:cs="楷体"/>
          <w:szCs w:val="21"/>
          <w:lang w:eastAsia="zh-CN"/>
        </w:rPr>
        <w:t>，以环境风险受体为出发点梳理</w:t>
      </w:r>
      <w:r>
        <w:rPr>
          <w:rFonts w:hint="eastAsia" w:ascii="宋体" w:hAnsi="宋体" w:cs="楷体"/>
          <w:szCs w:val="21"/>
          <w:lang w:val="en-US" w:eastAsia="zh-CN"/>
        </w:rPr>
        <w:t>工业园区内重点环境风险源</w:t>
      </w:r>
      <w:r>
        <w:rPr>
          <w:rFonts w:hint="eastAsia" w:ascii="宋体" w:hAnsi="宋体" w:cs="楷体"/>
          <w:szCs w:val="21"/>
          <w:lang w:eastAsia="zh-CN"/>
        </w:rPr>
        <w:t>针对该环境风险受体的所有典型突发环境事件情景。</w:t>
      </w:r>
      <w:r>
        <w:rPr>
          <w:rFonts w:hint="eastAsia" w:ascii="宋体" w:hAnsi="宋体" w:cs="楷体"/>
          <w:szCs w:val="21"/>
          <w:lang w:val="en-US" w:eastAsia="zh-CN"/>
        </w:rPr>
        <w:t>结合突发环境事件风险危害性和环境风险受体敏感性，</w:t>
      </w:r>
      <w:r>
        <w:rPr>
          <w:rFonts w:hint="eastAsia" w:ascii="宋体" w:hAnsi="宋体" w:cs="楷体"/>
          <w:szCs w:val="21"/>
        </w:rPr>
        <w:t>判断突发环境事件的影响范围和程度</w:t>
      </w:r>
      <w:r>
        <w:rPr>
          <w:rFonts w:hint="eastAsia" w:ascii="宋体" w:hAnsi="宋体" w:cs="楷体"/>
          <w:szCs w:val="21"/>
          <w:lang w:eastAsia="zh-CN"/>
        </w:rPr>
        <w:t>，汇总</w:t>
      </w:r>
      <w:r>
        <w:rPr>
          <w:rFonts w:hint="eastAsia" w:ascii="宋体" w:hAnsi="宋体" w:cs="楷体"/>
          <w:szCs w:val="21"/>
        </w:rPr>
        <w:t>分析可能发生的突发环境事件情景</w:t>
      </w:r>
      <w:r>
        <w:rPr>
          <w:rFonts w:hint="eastAsia" w:ascii="宋体" w:hAnsi="宋体" w:cs="楷体"/>
          <w:szCs w:val="21"/>
          <w:lang w:eastAsia="zh-CN"/>
        </w:rPr>
        <w:t>。</w:t>
      </w:r>
    </w:p>
    <w:p>
      <w:pPr>
        <w:spacing w:before="156" w:beforeLines="50" w:after="156" w:afterLines="50" w:line="340" w:lineRule="exact"/>
        <w:rPr>
          <w:rFonts w:ascii="宋体" w:hAnsi="宋体" w:cs="楷体"/>
          <w:b/>
          <w:bCs/>
          <w:szCs w:val="21"/>
        </w:rPr>
      </w:pPr>
      <w:r>
        <w:rPr>
          <w:rFonts w:hint="eastAsia" w:ascii="宋体" w:hAnsi="宋体" w:cs="楷体"/>
          <w:b/>
          <w:bCs/>
          <w:szCs w:val="21"/>
        </w:rPr>
        <w:t>8.</w:t>
      </w:r>
      <w:r>
        <w:rPr>
          <w:rFonts w:hint="eastAsia" w:ascii="宋体" w:hAnsi="宋体" w:cs="楷体"/>
          <w:b/>
          <w:bCs/>
          <w:szCs w:val="21"/>
          <w:lang w:val="en-US" w:eastAsia="zh-CN"/>
        </w:rPr>
        <w:t>2</w:t>
      </w:r>
      <w:r>
        <w:rPr>
          <w:rFonts w:hint="eastAsia" w:ascii="宋体" w:hAnsi="宋体" w:cs="楷体"/>
          <w:b/>
          <w:bCs/>
          <w:szCs w:val="21"/>
        </w:rPr>
        <w:t xml:space="preserve"> 情景设置</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列表综合分析工业园区可能发生的突发环境事件类型、特征污染物、环境风险单元、环境风险物质和影响途径等。典型突发环境事件情景包括但不限于：突发大气环境事件情景、突发水环境事件情景、群发或链发（多米诺效应）的突发环境事件情景、复合突发环境事件情景等。</w:t>
      </w:r>
    </w:p>
    <w:p>
      <w:pPr>
        <w:spacing w:before="156" w:beforeLines="50" w:after="156" w:afterLines="50" w:line="340" w:lineRule="exact"/>
        <w:rPr>
          <w:rFonts w:ascii="宋体" w:hAnsi="宋体" w:cs="楷体"/>
          <w:b/>
          <w:bCs/>
          <w:szCs w:val="21"/>
        </w:rPr>
      </w:pPr>
      <w:r>
        <w:rPr>
          <w:rFonts w:hint="eastAsia" w:ascii="宋体" w:hAnsi="宋体" w:cs="楷体"/>
          <w:b/>
          <w:bCs/>
          <w:szCs w:val="21"/>
        </w:rPr>
        <w:t>8.</w:t>
      </w:r>
      <w:r>
        <w:rPr>
          <w:rFonts w:hint="eastAsia" w:ascii="宋体" w:hAnsi="宋体" w:cs="楷体"/>
          <w:b/>
          <w:bCs/>
          <w:szCs w:val="21"/>
          <w:lang w:val="en-US" w:eastAsia="zh-CN"/>
        </w:rPr>
        <w:t>3</w:t>
      </w:r>
      <w:r>
        <w:rPr>
          <w:rFonts w:hint="eastAsia" w:ascii="宋体" w:hAnsi="宋体" w:cs="楷体"/>
          <w:b/>
          <w:bCs/>
          <w:szCs w:val="21"/>
        </w:rPr>
        <w:t xml:space="preserve"> 事件影响与后果分析</w:t>
      </w:r>
    </w:p>
    <w:p>
      <w:pPr>
        <w:spacing w:before="156" w:beforeLines="50" w:after="156" w:afterLines="50" w:line="340" w:lineRule="exact"/>
        <w:rPr>
          <w:rFonts w:hint="default" w:ascii="宋体" w:hAnsi="宋体" w:eastAsia="宋体" w:cs="楷体"/>
          <w:b/>
          <w:bCs/>
          <w:szCs w:val="21"/>
          <w:lang w:val="en-US" w:eastAsia="zh-CN"/>
        </w:rPr>
      </w:pPr>
      <w:r>
        <w:rPr>
          <w:rFonts w:hint="eastAsia" w:ascii="宋体" w:hAnsi="宋体" w:cs="楷体"/>
          <w:b/>
          <w:bCs/>
          <w:szCs w:val="21"/>
        </w:rPr>
        <w:t>8.</w:t>
      </w:r>
      <w:r>
        <w:rPr>
          <w:rFonts w:hint="eastAsia" w:ascii="宋体" w:hAnsi="宋体" w:cs="楷体"/>
          <w:b/>
          <w:bCs/>
          <w:szCs w:val="21"/>
          <w:lang w:val="en-US" w:eastAsia="zh-CN"/>
        </w:rPr>
        <w:t>3</w:t>
      </w:r>
      <w:r>
        <w:rPr>
          <w:rFonts w:hint="eastAsia" w:ascii="宋体" w:hAnsi="宋体" w:cs="楷体"/>
          <w:b/>
          <w:bCs/>
          <w:szCs w:val="21"/>
        </w:rPr>
        <w:t xml:space="preserve">.1 </w:t>
      </w:r>
      <w:r>
        <w:rPr>
          <w:rFonts w:hint="eastAsia" w:ascii="宋体" w:hAnsi="宋体" w:cs="楷体"/>
          <w:b/>
          <w:bCs/>
          <w:szCs w:val="21"/>
          <w:lang w:val="en-US" w:eastAsia="zh-CN"/>
        </w:rPr>
        <w:t>事件影响范围分析</w:t>
      </w:r>
    </w:p>
    <w:p>
      <w:pPr>
        <w:spacing w:before="156" w:beforeLines="50" w:after="156" w:afterLines="50" w:line="340" w:lineRule="exact"/>
        <w:ind w:firstLine="420" w:firstLineChars="200"/>
        <w:rPr>
          <w:rFonts w:ascii="宋体" w:hAnsi="宋体" w:cs="楷体"/>
          <w:szCs w:val="21"/>
        </w:rPr>
      </w:pPr>
      <w:r>
        <w:rPr>
          <w:rFonts w:ascii="宋体" w:hAnsi="宋体" w:cs="楷体"/>
          <w:szCs w:val="21"/>
        </w:rPr>
        <w:t>重点分析环境风险物质泄漏可能影响的范围以及对环境的影响程度</w:t>
      </w:r>
      <w:r>
        <w:rPr>
          <w:rFonts w:hint="eastAsia" w:ascii="宋体" w:hAnsi="宋体" w:cs="楷体"/>
          <w:szCs w:val="21"/>
        </w:rPr>
        <w:t>，可以参照HJ169中相关技术要求，也可引用工业园区企业环境风险评估报告的分析结果。</w:t>
      </w:r>
    </w:p>
    <w:p>
      <w:pPr>
        <w:spacing w:before="156" w:beforeLines="50" w:after="156" w:afterLines="50" w:line="340" w:lineRule="exact"/>
        <w:rPr>
          <w:rFonts w:hint="default" w:ascii="宋体" w:hAnsi="宋体" w:cs="楷体"/>
          <w:b/>
          <w:bCs/>
          <w:szCs w:val="21"/>
          <w:lang w:val="en-US" w:eastAsia="zh-CN"/>
        </w:rPr>
      </w:pPr>
      <w:r>
        <w:rPr>
          <w:rFonts w:hint="eastAsia" w:ascii="宋体" w:hAnsi="宋体" w:cs="楷体"/>
          <w:b/>
          <w:bCs/>
          <w:szCs w:val="21"/>
          <w:lang w:val="en-US" w:eastAsia="zh-CN"/>
        </w:rPr>
        <w:t>8.3.2 事件对水体影响分析</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对可能造成水体污染的，分析受影响的饮用水水源地数量、受影响的生态敏感区、水质影响程度与持续时间、是否造成跨界影响，并预估突发环境事件级别。</w:t>
      </w:r>
    </w:p>
    <w:p>
      <w:pPr>
        <w:spacing w:before="156" w:beforeLines="50" w:after="156" w:afterLines="50" w:line="340" w:lineRule="exact"/>
        <w:rPr>
          <w:rFonts w:hint="eastAsia" w:ascii="宋体" w:hAnsi="宋体" w:cs="楷体"/>
          <w:szCs w:val="21"/>
        </w:rPr>
      </w:pPr>
      <w:r>
        <w:rPr>
          <w:rFonts w:hint="eastAsia" w:ascii="宋体" w:hAnsi="宋体" w:cs="楷体"/>
          <w:b/>
          <w:bCs/>
          <w:szCs w:val="21"/>
        </w:rPr>
        <w:t>8.</w:t>
      </w:r>
      <w:r>
        <w:rPr>
          <w:rFonts w:hint="eastAsia" w:ascii="宋体" w:hAnsi="宋体" w:cs="楷体"/>
          <w:b/>
          <w:bCs/>
          <w:szCs w:val="21"/>
          <w:lang w:val="en-US" w:eastAsia="zh-CN"/>
        </w:rPr>
        <w:t>3</w:t>
      </w:r>
      <w:r>
        <w:rPr>
          <w:rFonts w:hint="eastAsia" w:ascii="宋体" w:hAnsi="宋体" w:cs="楷体"/>
          <w:b/>
          <w:bCs/>
          <w:szCs w:val="21"/>
        </w:rPr>
        <w:t>.3</w:t>
      </w:r>
      <w:r>
        <w:rPr>
          <w:rFonts w:hint="eastAsia" w:ascii="宋体" w:hAnsi="宋体" w:cs="楷体"/>
          <w:szCs w:val="21"/>
        </w:rPr>
        <w:t xml:space="preserve"> </w:t>
      </w:r>
      <w:r>
        <w:rPr>
          <w:rFonts w:hint="eastAsia" w:ascii="宋体" w:hAnsi="宋体" w:cs="楷体"/>
          <w:b/>
          <w:bCs/>
          <w:szCs w:val="21"/>
          <w:lang w:val="en-US" w:eastAsia="zh-CN"/>
        </w:rPr>
        <w:t>事件对大气影响分析</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对可能造成大气污染的，分析受影响和需要疏散的人口数量，确定事故发生点周边的人员紧急隔离距离、防护距离、疏散距离，预估突发环境事件级别。</w:t>
      </w:r>
    </w:p>
    <w:p>
      <w:pPr>
        <w:pStyle w:val="2"/>
        <w:rPr>
          <w:sz w:val="28"/>
          <w:szCs w:val="28"/>
        </w:rPr>
      </w:pPr>
      <w:bookmarkStart w:id="47" w:name="_Toc115019943"/>
      <w:bookmarkStart w:id="48" w:name="_Toc115019674"/>
      <w:bookmarkStart w:id="49" w:name="_Toc29461"/>
      <w:r>
        <w:rPr>
          <w:rFonts w:hint="eastAsia"/>
          <w:sz w:val="28"/>
          <w:szCs w:val="28"/>
        </w:rPr>
        <w:t>9</w:t>
      </w:r>
      <w:r>
        <w:rPr>
          <w:sz w:val="28"/>
          <w:szCs w:val="28"/>
        </w:rPr>
        <w:t xml:space="preserve">  </w:t>
      </w:r>
      <w:bookmarkEnd w:id="47"/>
      <w:bookmarkEnd w:id="48"/>
      <w:r>
        <w:rPr>
          <w:rFonts w:hint="eastAsia"/>
          <w:sz w:val="28"/>
          <w:szCs w:val="28"/>
        </w:rPr>
        <w:t>环境风险分级表征</w:t>
      </w:r>
      <w:bookmarkEnd w:id="49"/>
    </w:p>
    <w:p>
      <w:pPr>
        <w:spacing w:before="156" w:beforeLines="50" w:after="156" w:afterLines="50" w:line="340" w:lineRule="exact"/>
        <w:rPr>
          <w:rFonts w:ascii="宋体" w:hAnsi="宋体" w:cs="楷体"/>
          <w:b/>
          <w:szCs w:val="21"/>
        </w:rPr>
      </w:pPr>
      <w:r>
        <w:rPr>
          <w:rFonts w:hint="eastAsia" w:ascii="宋体" w:hAnsi="宋体" w:cs="楷体"/>
          <w:b/>
          <w:szCs w:val="21"/>
        </w:rPr>
        <w:t>9.1 工业园区</w:t>
      </w:r>
      <w:r>
        <w:rPr>
          <w:rFonts w:hint="eastAsia" w:ascii="宋体" w:hAnsi="宋体" w:cs="楷体"/>
          <w:b/>
          <w:szCs w:val="21"/>
          <w:lang w:val="en-US" w:eastAsia="zh-CN"/>
        </w:rPr>
        <w:t>突发环境事件</w:t>
      </w:r>
      <w:r>
        <w:rPr>
          <w:rFonts w:hint="eastAsia" w:ascii="宋体" w:hAnsi="宋体" w:cs="楷体"/>
          <w:b/>
          <w:szCs w:val="21"/>
        </w:rPr>
        <w:t>风险评估指标</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lang w:val="en-US" w:eastAsia="zh-CN"/>
        </w:rPr>
        <w:t>工业园区突发环境事件风险评估主要是</w:t>
      </w:r>
      <w:r>
        <w:rPr>
          <w:rFonts w:hint="eastAsia" w:ascii="宋体" w:hAnsi="宋体" w:cs="楷体"/>
          <w:szCs w:val="21"/>
        </w:rPr>
        <w:t>对</w:t>
      </w:r>
      <w:r>
        <w:rPr>
          <w:rFonts w:hint="eastAsia" w:ascii="宋体" w:hAnsi="宋体" w:cs="楷体"/>
          <w:szCs w:val="21"/>
          <w:lang w:val="en-US" w:eastAsia="zh-CN"/>
        </w:rPr>
        <w:t>工业园区大</w:t>
      </w:r>
      <w:r>
        <w:rPr>
          <w:rFonts w:hint="eastAsia" w:ascii="宋体" w:hAnsi="宋体" w:cs="楷体"/>
          <w:b w:val="0"/>
          <w:szCs w:val="21"/>
        </w:rPr>
        <w:t>气</w:t>
      </w:r>
      <w:r>
        <w:rPr>
          <w:rFonts w:hint="eastAsia" w:ascii="宋体" w:hAnsi="宋体" w:cs="楷体"/>
          <w:b w:val="0"/>
          <w:szCs w:val="21"/>
          <w:lang w:val="en-US" w:eastAsia="zh-CN"/>
        </w:rPr>
        <w:t>和</w:t>
      </w:r>
      <w:r>
        <w:rPr>
          <w:rFonts w:hint="eastAsia" w:ascii="宋体" w:hAnsi="宋体" w:cs="楷体"/>
          <w:b w:val="0"/>
          <w:szCs w:val="21"/>
        </w:rPr>
        <w:t>水</w:t>
      </w:r>
      <w:r>
        <w:rPr>
          <w:rFonts w:hint="eastAsia" w:ascii="宋体" w:hAnsi="宋体" w:cs="楷体"/>
          <w:szCs w:val="21"/>
        </w:rPr>
        <w:t>环境风险源强度指数（</w:t>
      </w:r>
      <w:r>
        <w:rPr>
          <w:rFonts w:hint="eastAsia" w:ascii="宋体" w:hAnsi="宋体" w:cs="楷体"/>
          <w:szCs w:val="21"/>
          <w:lang w:val="en-US" w:eastAsia="zh-CN"/>
        </w:rPr>
        <w:t>S</w:t>
      </w:r>
      <w:r>
        <w:rPr>
          <w:rFonts w:ascii="宋体" w:hAnsi="宋体" w:cs="楷体"/>
          <w:szCs w:val="21"/>
          <w:vertAlign w:val="subscript"/>
        </w:rPr>
        <w:t>气</w:t>
      </w:r>
      <w:r>
        <w:rPr>
          <w:rFonts w:hint="eastAsia" w:ascii="宋体" w:hAnsi="宋体" w:cs="楷体"/>
          <w:szCs w:val="21"/>
          <w:vertAlign w:val="subscript"/>
          <w:lang w:eastAsia="zh-CN"/>
        </w:rPr>
        <w:t>、</w:t>
      </w:r>
      <w:r>
        <w:rPr>
          <w:rFonts w:hint="eastAsia" w:ascii="宋体" w:hAnsi="宋体" w:cs="楷体"/>
          <w:szCs w:val="21"/>
        </w:rPr>
        <w:t>S</w:t>
      </w:r>
      <w:r>
        <w:rPr>
          <w:rFonts w:hint="eastAsia" w:ascii="宋体" w:hAnsi="宋体" w:cs="楷体"/>
          <w:szCs w:val="21"/>
          <w:vertAlign w:val="subscript"/>
          <w:lang w:val="en-US" w:eastAsia="zh-CN"/>
        </w:rPr>
        <w:t>水</w:t>
      </w:r>
      <w:r>
        <w:rPr>
          <w:rFonts w:hint="eastAsia" w:ascii="宋体" w:hAnsi="宋体" w:cs="楷体"/>
          <w:szCs w:val="21"/>
        </w:rPr>
        <w:t>）、</w:t>
      </w:r>
      <w:r>
        <w:rPr>
          <w:rFonts w:hint="eastAsia" w:ascii="宋体" w:hAnsi="宋体" w:cs="楷体"/>
          <w:szCs w:val="21"/>
          <w:lang w:val="en-US" w:eastAsia="zh-CN"/>
        </w:rPr>
        <w:t>大</w:t>
      </w:r>
      <w:r>
        <w:rPr>
          <w:rFonts w:hint="eastAsia" w:ascii="宋体" w:hAnsi="宋体" w:cs="楷体"/>
          <w:b w:val="0"/>
          <w:szCs w:val="21"/>
        </w:rPr>
        <w:t>气</w:t>
      </w:r>
      <w:r>
        <w:rPr>
          <w:rFonts w:hint="eastAsia" w:ascii="宋体" w:hAnsi="宋体" w:cs="楷体"/>
          <w:b w:val="0"/>
          <w:szCs w:val="21"/>
          <w:lang w:val="en-US" w:eastAsia="zh-CN"/>
        </w:rPr>
        <w:t>和</w:t>
      </w:r>
      <w:r>
        <w:rPr>
          <w:rFonts w:hint="eastAsia" w:ascii="宋体" w:hAnsi="宋体" w:cs="楷体"/>
          <w:b w:val="0"/>
          <w:szCs w:val="21"/>
        </w:rPr>
        <w:t>水</w:t>
      </w:r>
      <w:r>
        <w:rPr>
          <w:rFonts w:hint="eastAsia" w:ascii="宋体" w:hAnsi="宋体" w:cs="楷体"/>
          <w:szCs w:val="21"/>
        </w:rPr>
        <w:t>环境风险受体脆弱性指数（V</w:t>
      </w:r>
      <w:r>
        <w:rPr>
          <w:rFonts w:ascii="宋体" w:hAnsi="宋体" w:cs="楷体"/>
          <w:szCs w:val="21"/>
          <w:vertAlign w:val="subscript"/>
        </w:rPr>
        <w:t>气</w:t>
      </w:r>
      <w:r>
        <w:rPr>
          <w:rFonts w:hint="eastAsia" w:ascii="宋体" w:hAnsi="宋体" w:cs="楷体"/>
          <w:szCs w:val="21"/>
          <w:vertAlign w:val="subscript"/>
          <w:lang w:eastAsia="zh-CN"/>
        </w:rPr>
        <w:t>、</w:t>
      </w:r>
      <w:r>
        <w:rPr>
          <w:rFonts w:hint="eastAsia" w:ascii="宋体" w:hAnsi="宋体" w:cs="楷体"/>
          <w:szCs w:val="21"/>
        </w:rPr>
        <w:t>V</w:t>
      </w:r>
      <w:r>
        <w:rPr>
          <w:rFonts w:hint="eastAsia" w:ascii="宋体" w:hAnsi="宋体" w:cs="楷体"/>
          <w:szCs w:val="21"/>
          <w:vertAlign w:val="subscript"/>
          <w:lang w:val="en-US" w:eastAsia="zh-CN"/>
        </w:rPr>
        <w:t>水</w:t>
      </w:r>
      <w:r>
        <w:rPr>
          <w:rFonts w:hint="eastAsia" w:ascii="宋体" w:hAnsi="宋体" w:cs="楷体"/>
          <w:szCs w:val="21"/>
        </w:rPr>
        <w:t>）、</w:t>
      </w:r>
      <w:r>
        <w:rPr>
          <w:rFonts w:hint="eastAsia" w:ascii="宋体" w:hAnsi="宋体" w:cs="楷体"/>
          <w:szCs w:val="21"/>
          <w:lang w:val="en-US" w:eastAsia="zh-CN"/>
        </w:rPr>
        <w:t>大</w:t>
      </w:r>
      <w:r>
        <w:rPr>
          <w:rFonts w:hint="eastAsia" w:ascii="宋体" w:hAnsi="宋体" w:cs="楷体"/>
          <w:b w:val="0"/>
          <w:szCs w:val="21"/>
        </w:rPr>
        <w:t>气</w:t>
      </w:r>
      <w:r>
        <w:rPr>
          <w:rFonts w:hint="eastAsia" w:ascii="宋体" w:hAnsi="宋体" w:cs="楷体"/>
          <w:b w:val="0"/>
          <w:szCs w:val="21"/>
          <w:lang w:val="en-US" w:eastAsia="zh-CN"/>
        </w:rPr>
        <w:t>和</w:t>
      </w:r>
      <w:r>
        <w:rPr>
          <w:rFonts w:hint="eastAsia" w:ascii="宋体" w:hAnsi="宋体" w:cs="楷体"/>
          <w:b w:val="0"/>
          <w:szCs w:val="21"/>
        </w:rPr>
        <w:t>水</w:t>
      </w:r>
      <w:r>
        <w:rPr>
          <w:rFonts w:hint="eastAsia" w:ascii="宋体" w:hAnsi="宋体" w:cs="楷体"/>
          <w:szCs w:val="21"/>
        </w:rPr>
        <w:t>环境风险防控与应急能力指数（M</w:t>
      </w:r>
      <w:r>
        <w:rPr>
          <w:rFonts w:ascii="宋体" w:hAnsi="宋体" w:cs="楷体"/>
          <w:szCs w:val="21"/>
          <w:vertAlign w:val="subscript"/>
        </w:rPr>
        <w:t>气</w:t>
      </w:r>
      <w:r>
        <w:rPr>
          <w:rFonts w:hint="eastAsia" w:ascii="宋体" w:hAnsi="宋体" w:cs="楷体"/>
          <w:szCs w:val="21"/>
          <w:vertAlign w:val="subscript"/>
          <w:lang w:eastAsia="zh-CN"/>
        </w:rPr>
        <w:t>、</w:t>
      </w:r>
      <w:r>
        <w:rPr>
          <w:rFonts w:hint="eastAsia" w:ascii="宋体" w:hAnsi="宋体" w:cs="楷体"/>
          <w:szCs w:val="21"/>
          <w:lang w:val="en-US" w:eastAsia="zh-CN"/>
        </w:rPr>
        <w:t>M</w:t>
      </w:r>
      <w:r>
        <w:rPr>
          <w:rFonts w:hint="eastAsia" w:ascii="宋体" w:hAnsi="宋体" w:cs="楷体"/>
          <w:szCs w:val="21"/>
          <w:vertAlign w:val="subscript"/>
          <w:lang w:val="en-US" w:eastAsia="zh-CN"/>
        </w:rPr>
        <w:t>水</w:t>
      </w:r>
      <w:r>
        <w:rPr>
          <w:rFonts w:hint="eastAsia" w:ascii="宋体" w:hAnsi="宋体" w:cs="楷体"/>
          <w:szCs w:val="21"/>
        </w:rPr>
        <w:t>）的各项指标分别打分并加和，得出指数值；</w:t>
      </w:r>
      <w:r>
        <w:rPr>
          <w:rFonts w:hint="eastAsia" w:ascii="宋体" w:hAnsi="宋体" w:cs="楷体"/>
          <w:szCs w:val="21"/>
          <w:lang w:val="en-US" w:eastAsia="zh-CN"/>
        </w:rPr>
        <w:t>结合</w:t>
      </w:r>
      <w:r>
        <w:rPr>
          <w:rFonts w:hint="eastAsia" w:ascii="宋体" w:hAnsi="宋体" w:cs="楷体"/>
          <w:b w:val="0"/>
          <w:szCs w:val="21"/>
        </w:rPr>
        <w:t>大气、水环境风险多米诺效应系数(D)</w:t>
      </w:r>
      <w:r>
        <w:rPr>
          <w:rFonts w:hint="eastAsia" w:ascii="宋体" w:hAnsi="宋体" w:cs="楷体"/>
          <w:b w:val="0"/>
          <w:szCs w:val="21"/>
          <w:lang w:eastAsia="zh-CN"/>
        </w:rPr>
        <w:t>，</w:t>
      </w:r>
      <w:r>
        <w:rPr>
          <w:rFonts w:hint="eastAsia" w:ascii="宋体" w:hAnsi="宋体" w:cs="楷体"/>
          <w:szCs w:val="21"/>
          <w:lang w:val="en-US" w:eastAsia="zh-CN"/>
        </w:rPr>
        <w:t>分别计算得出</w:t>
      </w:r>
      <w:r>
        <w:rPr>
          <w:rFonts w:ascii="宋体" w:hAnsi="宋体" w:cs="楷体"/>
          <w:szCs w:val="21"/>
        </w:rPr>
        <w:t>大气</w:t>
      </w:r>
      <w:r>
        <w:rPr>
          <w:rFonts w:hint="eastAsia" w:ascii="宋体" w:hAnsi="宋体" w:cs="楷体"/>
          <w:szCs w:val="21"/>
          <w:lang w:val="en-US" w:eastAsia="zh-CN"/>
        </w:rPr>
        <w:t>和水</w:t>
      </w:r>
      <w:r>
        <w:rPr>
          <w:rFonts w:ascii="宋体" w:hAnsi="宋体" w:cs="楷体"/>
          <w:szCs w:val="21"/>
        </w:rPr>
        <w:t>环境</w:t>
      </w:r>
      <w:r>
        <w:rPr>
          <w:rFonts w:hint="eastAsia" w:ascii="宋体" w:hAnsi="宋体" w:cs="楷体"/>
          <w:szCs w:val="21"/>
        </w:rPr>
        <w:t>风险指数</w:t>
      </w:r>
      <w:r>
        <w:rPr>
          <w:rFonts w:ascii="宋体" w:hAnsi="宋体" w:cs="楷体"/>
          <w:szCs w:val="21"/>
        </w:rPr>
        <w:t>（R</w:t>
      </w:r>
      <w:r>
        <w:rPr>
          <w:rFonts w:ascii="宋体" w:hAnsi="宋体" w:cs="楷体"/>
          <w:szCs w:val="21"/>
          <w:vertAlign w:val="subscript"/>
        </w:rPr>
        <w:t>气</w:t>
      </w:r>
      <w:r>
        <w:rPr>
          <w:rFonts w:hint="eastAsia" w:ascii="宋体" w:hAnsi="宋体" w:cs="楷体"/>
          <w:szCs w:val="21"/>
          <w:lang w:eastAsia="zh-CN"/>
        </w:rPr>
        <w:t>、</w:t>
      </w:r>
      <w:r>
        <w:rPr>
          <w:rFonts w:hint="eastAsia" w:ascii="宋体" w:hAnsi="宋体" w:cs="楷体"/>
          <w:szCs w:val="21"/>
        </w:rPr>
        <w:t>R</w:t>
      </w:r>
      <w:r>
        <w:rPr>
          <w:rFonts w:hint="eastAsia" w:ascii="宋体" w:hAnsi="宋体" w:cs="楷体"/>
          <w:szCs w:val="21"/>
          <w:vertAlign w:val="subscript"/>
          <w:lang w:val="en-US" w:eastAsia="zh-CN"/>
        </w:rPr>
        <w:t>水</w:t>
      </w:r>
      <w:r>
        <w:rPr>
          <w:rFonts w:hint="eastAsia" w:ascii="宋体" w:hAnsi="宋体" w:cs="楷体"/>
          <w:szCs w:val="21"/>
        </w:rPr>
        <w:t>）</w:t>
      </w:r>
      <w:r>
        <w:rPr>
          <w:rFonts w:hint="eastAsia" w:ascii="宋体" w:hAnsi="宋体" w:cs="楷体"/>
          <w:szCs w:val="21"/>
          <w:lang w:eastAsia="zh-CN"/>
        </w:rPr>
        <w:t>，</w:t>
      </w:r>
      <w:r>
        <w:rPr>
          <w:rFonts w:hint="eastAsia" w:ascii="宋体" w:hAnsi="宋体" w:cs="楷体"/>
          <w:szCs w:val="21"/>
          <w:lang w:val="en-US" w:eastAsia="zh-CN"/>
        </w:rPr>
        <w:t>并</w:t>
      </w:r>
      <w:r>
        <w:rPr>
          <w:rFonts w:hint="eastAsia" w:ascii="宋体" w:hAnsi="宋体" w:cs="楷体"/>
          <w:szCs w:val="21"/>
        </w:rPr>
        <w:t>按照</w:t>
      </w:r>
      <w:r>
        <w:rPr>
          <w:rFonts w:ascii="宋体" w:hAnsi="宋体" w:cs="楷体"/>
          <w:szCs w:val="21"/>
        </w:rPr>
        <w:t>环境</w:t>
      </w:r>
      <w:r>
        <w:rPr>
          <w:rFonts w:hint="eastAsia" w:ascii="宋体" w:hAnsi="宋体" w:cs="楷体"/>
          <w:szCs w:val="21"/>
        </w:rPr>
        <w:t>风险指数判定环境风险等级。</w:t>
      </w:r>
    </w:p>
    <w:p>
      <w:pPr>
        <w:spacing w:before="156" w:beforeLines="50" w:after="156" w:afterLines="50" w:line="340" w:lineRule="exact"/>
        <w:outlineLvl w:val="1"/>
        <w:rPr>
          <w:rFonts w:ascii="宋体" w:hAnsi="宋体" w:cs="楷体"/>
          <w:b/>
          <w:szCs w:val="21"/>
        </w:rPr>
      </w:pPr>
      <w:bookmarkStart w:id="50" w:name="_Toc115019675"/>
      <w:r>
        <w:rPr>
          <w:rFonts w:hint="eastAsia" w:ascii="宋体" w:hAnsi="宋体" w:cs="楷体"/>
          <w:b/>
          <w:szCs w:val="21"/>
        </w:rPr>
        <w:t>9</w:t>
      </w:r>
      <w:r>
        <w:rPr>
          <w:rFonts w:ascii="宋体" w:hAnsi="宋体" w:cs="楷体"/>
          <w:b/>
          <w:szCs w:val="21"/>
        </w:rPr>
        <w:t>.</w:t>
      </w:r>
      <w:r>
        <w:rPr>
          <w:rFonts w:hint="eastAsia" w:ascii="宋体" w:hAnsi="宋体" w:cs="楷体"/>
          <w:b/>
          <w:szCs w:val="21"/>
        </w:rPr>
        <w:t>2</w:t>
      </w:r>
      <w:r>
        <w:rPr>
          <w:rFonts w:ascii="宋体" w:hAnsi="宋体" w:cs="楷体"/>
          <w:b/>
          <w:szCs w:val="21"/>
        </w:rPr>
        <w:t xml:space="preserve">  </w:t>
      </w:r>
      <w:bookmarkEnd w:id="50"/>
      <w:r>
        <w:rPr>
          <w:rFonts w:ascii="宋体" w:hAnsi="宋体" w:cs="楷体"/>
          <w:b/>
          <w:szCs w:val="21"/>
        </w:rPr>
        <w:t>大气环境风险评估</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9.2.1 大气环境风险源强度（S</w:t>
      </w:r>
      <w:r>
        <w:rPr>
          <w:rFonts w:hint="eastAsia" w:ascii="宋体" w:hAnsi="宋体" w:cs="楷体"/>
          <w:b/>
          <w:szCs w:val="21"/>
          <w:vertAlign w:val="subscript"/>
        </w:rPr>
        <w:t>气</w:t>
      </w:r>
      <w:r>
        <w:rPr>
          <w:rFonts w:hint="eastAsia" w:ascii="宋体" w:hAnsi="宋体" w:cs="楷体"/>
          <w:b/>
          <w:szCs w:val="21"/>
        </w:rPr>
        <w:t>）评估</w:t>
      </w:r>
    </w:p>
    <w:p>
      <w:pPr>
        <w:spacing w:before="156" w:beforeLines="50" w:after="156" w:afterLines="50" w:line="340" w:lineRule="exact"/>
        <w:ind w:firstLine="420" w:firstLineChars="200"/>
        <w:rPr>
          <w:rFonts w:hint="eastAsia" w:ascii="宋体" w:hAnsi="宋体" w:cs="楷体"/>
          <w:szCs w:val="21"/>
        </w:rPr>
      </w:pPr>
      <w:r>
        <w:rPr>
          <w:rFonts w:ascii="宋体" w:hAnsi="宋体" w:cs="楷体"/>
          <w:szCs w:val="21"/>
        </w:rPr>
        <w:t>采用评分法对工业园区固定源、移动源环境风险源强度进行评估，将各项指标分值累加，确定大气环境风险源强度（S</w:t>
      </w:r>
      <w:r>
        <w:rPr>
          <w:rFonts w:ascii="宋体" w:hAnsi="宋体" w:cs="楷体"/>
          <w:szCs w:val="21"/>
          <w:vertAlign w:val="subscript"/>
        </w:rPr>
        <w:t>气</w:t>
      </w:r>
      <w:r>
        <w:rPr>
          <w:rFonts w:ascii="宋体" w:hAnsi="宋体" w:cs="楷体"/>
          <w:szCs w:val="21"/>
        </w:rPr>
        <w:t>）评估指标值，最高为100分。具体指标和参考分值见表1</w:t>
      </w:r>
      <w:r>
        <w:rPr>
          <w:rFonts w:hint="eastAsia" w:ascii="宋体" w:hAnsi="宋体" w:cs="楷体"/>
          <w:szCs w:val="21"/>
        </w:rPr>
        <w:t>。</w:t>
      </w:r>
    </w:p>
    <w:p>
      <w:pPr>
        <w:spacing w:before="156" w:beforeLines="50" w:after="156" w:afterLines="50" w:line="340" w:lineRule="exact"/>
        <w:jc w:val="center"/>
        <w:rPr>
          <w:rFonts w:ascii="宋体" w:hAnsi="宋体" w:cs="楷体"/>
          <w:szCs w:val="21"/>
        </w:rPr>
      </w:pPr>
      <w:r>
        <w:rPr>
          <w:rFonts w:ascii="宋体" w:hAnsi="宋体" w:cs="楷体"/>
          <w:b/>
          <w:bCs/>
          <w:szCs w:val="21"/>
        </w:rPr>
        <w:t>表1</w:t>
      </w:r>
      <w:r>
        <w:rPr>
          <w:rFonts w:hint="eastAsia" w:ascii="宋体" w:hAnsi="宋体" w:cs="楷体"/>
          <w:b/>
          <w:bCs/>
          <w:szCs w:val="21"/>
        </w:rPr>
        <w:t xml:space="preserve"> </w:t>
      </w:r>
      <w:r>
        <w:rPr>
          <w:rFonts w:ascii="宋体" w:hAnsi="宋体" w:cs="楷体"/>
          <w:b/>
          <w:bCs/>
          <w:szCs w:val="21"/>
        </w:rPr>
        <w:t xml:space="preserve"> 工业园区大气环境风险源强度（S</w:t>
      </w:r>
      <w:r>
        <w:rPr>
          <w:rFonts w:ascii="宋体" w:hAnsi="宋体" w:cs="楷体"/>
          <w:b/>
          <w:bCs/>
          <w:szCs w:val="21"/>
          <w:vertAlign w:val="subscript"/>
        </w:rPr>
        <w:t>气</w:t>
      </w:r>
      <w:r>
        <w:rPr>
          <w:rFonts w:ascii="宋体" w:hAnsi="宋体" w:cs="楷体"/>
          <w:b/>
          <w:bCs/>
          <w:szCs w:val="21"/>
        </w:rPr>
        <w:t>）评估</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45"/>
        <w:gridCol w:w="2745"/>
        <w:gridCol w:w="298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981"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类 别</w:t>
            </w:r>
          </w:p>
        </w:tc>
        <w:tc>
          <w:tcPr>
            <w:tcW w:w="1545"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评估指标</w:t>
            </w:r>
          </w:p>
        </w:tc>
        <w:tc>
          <w:tcPr>
            <w:tcW w:w="2745"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指标说明</w:t>
            </w:r>
          </w:p>
        </w:tc>
        <w:tc>
          <w:tcPr>
            <w:tcW w:w="2986"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860"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固定源</w:t>
            </w: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较大及以上环境风险企业</w:t>
            </w:r>
            <w:r>
              <w:rPr>
                <w:rFonts w:hint="eastAsia" w:ascii="宋体" w:hAnsi="宋体" w:cs="楷体"/>
                <w:sz w:val="18"/>
                <w:szCs w:val="18"/>
                <w:vertAlign w:val="superscript"/>
              </w:rPr>
              <w:t>c</w:t>
            </w:r>
            <w:r>
              <w:rPr>
                <w:rFonts w:ascii="宋体" w:hAnsi="宋体" w:cs="楷体"/>
                <w:sz w:val="18"/>
                <w:szCs w:val="18"/>
              </w:rPr>
              <w:t>所占百分比</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大气环境风险等级为较大及以上企业数量占工业园区所有环境风险企业数量的百分数（%）</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＞50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(30,50]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(10,30]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单位面积环境风险物质存量与临界量的比值</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工业园区内涉气环境风险物质数量与临界量</w:t>
            </w:r>
            <w:r>
              <w:rPr>
                <w:rFonts w:hint="eastAsia" w:ascii="宋体" w:hAnsi="宋体" w:cs="楷体"/>
                <w:sz w:val="18"/>
                <w:szCs w:val="18"/>
                <w:vertAlign w:val="superscript"/>
              </w:rPr>
              <w:t>a</w:t>
            </w:r>
            <w:r>
              <w:rPr>
                <w:rFonts w:ascii="宋体" w:hAnsi="宋体" w:cs="楷体"/>
                <w:sz w:val="18"/>
                <w:szCs w:val="18"/>
              </w:rPr>
              <w:t>的比值除以评估区域面积（面积单位：平方公里）</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(10,100]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restart"/>
            <w:vAlign w:val="center"/>
          </w:tcPr>
          <w:p>
            <w:pPr>
              <w:spacing w:line="120" w:lineRule="atLeast"/>
              <w:jc w:val="center"/>
              <w:rPr>
                <w:rFonts w:hint="eastAsia" w:ascii="宋体" w:hAnsi="宋体" w:eastAsia="宋体" w:cs="楷体"/>
                <w:sz w:val="18"/>
                <w:szCs w:val="18"/>
                <w:lang w:val="en-US" w:eastAsia="zh-CN"/>
              </w:rPr>
            </w:pPr>
            <w:bookmarkStart w:id="51" w:name="OLE_LINK2"/>
            <w:r>
              <w:rPr>
                <w:rFonts w:hint="eastAsia" w:ascii="宋体" w:hAnsi="宋体" w:cs="楷体"/>
                <w:sz w:val="18"/>
                <w:szCs w:val="18"/>
                <w:lang w:val="en-US" w:eastAsia="zh-CN"/>
              </w:rPr>
              <w:t>生产工艺过程含有风险工艺和设备</w:t>
            </w:r>
            <w:bookmarkEnd w:id="51"/>
            <w:r>
              <w:rPr>
                <w:rFonts w:hint="eastAsia" w:ascii="宋体" w:hAnsi="宋体" w:cs="楷体"/>
                <w:sz w:val="18"/>
                <w:szCs w:val="18"/>
                <w:vertAlign w:val="superscript"/>
                <w:lang w:val="en-US" w:eastAsia="zh-CN"/>
              </w:rPr>
              <w:t>d</w:t>
            </w:r>
            <w:r>
              <w:rPr>
                <w:rFonts w:ascii="宋体" w:hAnsi="宋体" w:cs="楷体"/>
                <w:sz w:val="18"/>
                <w:szCs w:val="18"/>
              </w:rPr>
              <w:t>情况</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工业园区内</w:t>
            </w:r>
            <w:r>
              <w:rPr>
                <w:rFonts w:hint="eastAsia" w:ascii="宋体" w:hAnsi="宋体" w:cs="楷体"/>
                <w:sz w:val="18"/>
                <w:szCs w:val="18"/>
                <w:lang w:val="en-US" w:eastAsia="zh-CN"/>
              </w:rPr>
              <w:t>生产工艺过程含有风险工艺和设备</w:t>
            </w:r>
            <w:r>
              <w:rPr>
                <w:rFonts w:ascii="宋体" w:hAnsi="宋体" w:cs="楷体"/>
                <w:sz w:val="18"/>
                <w:szCs w:val="18"/>
              </w:rPr>
              <w:t>数量（个）</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(5,10]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w:t>
            </w:r>
            <w:r>
              <w:rPr>
                <w:rFonts w:hint="eastAsia" w:ascii="宋体" w:hAnsi="宋体" w:cs="楷体"/>
                <w:sz w:val="18"/>
                <w:szCs w:val="18"/>
                <w:lang w:val="en-US" w:eastAsia="zh-CN"/>
              </w:rPr>
              <w:t>3</w:t>
            </w:r>
            <w:r>
              <w:rPr>
                <w:rFonts w:ascii="宋体" w:hAnsi="宋体" w:cs="楷体"/>
                <w:sz w:val="18"/>
                <w:szCs w:val="18"/>
              </w:rPr>
              <w:t>,5]</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hint="eastAsia" w:ascii="宋体" w:hAnsi="宋体" w:eastAsia="宋体" w:cs="楷体"/>
                <w:sz w:val="18"/>
                <w:szCs w:val="18"/>
                <w:lang w:eastAsia="zh-CN"/>
              </w:rPr>
            </w:pPr>
            <w:r>
              <w:rPr>
                <w:rFonts w:ascii="宋体" w:hAnsi="宋体" w:cs="楷体"/>
                <w:sz w:val="18"/>
                <w:szCs w:val="18"/>
              </w:rPr>
              <w:t>≤</w:t>
            </w:r>
            <w:r>
              <w:rPr>
                <w:rFonts w:hint="eastAsia" w:ascii="宋体" w:hAnsi="宋体" w:cs="楷体"/>
                <w:sz w:val="18"/>
                <w:szCs w:val="18"/>
                <w:lang w:val="en-US" w:eastAsia="zh-CN"/>
              </w:rPr>
              <w:t>3</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移动源</w:t>
            </w: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道路年运输环境风险物质数量</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园区内每年以道路运输方式运输涉气环境风险物质</w:t>
            </w:r>
            <w:r>
              <w:rPr>
                <w:rFonts w:hint="eastAsia" w:ascii="宋体" w:hAnsi="宋体" w:cs="楷体"/>
                <w:sz w:val="18"/>
                <w:szCs w:val="18"/>
                <w:vertAlign w:val="superscript"/>
              </w:rPr>
              <w:t>b</w:t>
            </w:r>
            <w:r>
              <w:rPr>
                <w:rFonts w:ascii="宋体" w:hAnsi="宋体" w:cs="楷体"/>
                <w:sz w:val="18"/>
                <w:szCs w:val="18"/>
              </w:rPr>
              <w:t>数量（万吨）</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＞300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(30,300]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(10,30]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Align w:val="center"/>
          </w:tcPr>
          <w:p>
            <w:pPr>
              <w:spacing w:line="120" w:lineRule="atLeast"/>
              <w:jc w:val="center"/>
              <w:rPr>
                <w:rFonts w:ascii="宋体" w:hAnsi="宋体" w:cs="楷体"/>
                <w:sz w:val="18"/>
                <w:szCs w:val="18"/>
              </w:rPr>
            </w:pPr>
            <w:r>
              <w:rPr>
                <w:rFonts w:ascii="宋体" w:hAnsi="宋体" w:cs="楷体"/>
                <w:sz w:val="18"/>
                <w:szCs w:val="18"/>
              </w:rPr>
              <w:t>分布在企业边界外</w:t>
            </w:r>
            <w:r>
              <w:rPr>
                <w:rFonts w:hint="eastAsia" w:ascii="宋体" w:hAnsi="宋体" w:cs="楷体"/>
                <w:sz w:val="18"/>
                <w:szCs w:val="18"/>
                <w:lang w:val="en-US" w:eastAsia="zh-CN"/>
              </w:rPr>
              <w:t>的</w:t>
            </w:r>
            <w:r>
              <w:rPr>
                <w:rFonts w:ascii="宋体" w:hAnsi="宋体" w:cs="楷体"/>
                <w:sz w:val="18"/>
                <w:szCs w:val="18"/>
              </w:rPr>
              <w:t>环境风险物质公共</w:t>
            </w:r>
            <w:r>
              <w:rPr>
                <w:rFonts w:hint="eastAsia" w:ascii="宋体" w:hAnsi="宋体" w:cs="楷体"/>
                <w:sz w:val="18"/>
                <w:szCs w:val="18"/>
              </w:rPr>
              <w:t>输送</w:t>
            </w:r>
            <w:r>
              <w:rPr>
                <w:rFonts w:ascii="宋体" w:hAnsi="宋体" w:cs="楷体"/>
                <w:sz w:val="18"/>
                <w:szCs w:val="18"/>
              </w:rPr>
              <w:t>管线</w:t>
            </w:r>
          </w:p>
        </w:tc>
        <w:tc>
          <w:tcPr>
            <w:tcW w:w="2745" w:type="dxa"/>
            <w:vAlign w:val="center"/>
          </w:tcPr>
          <w:p>
            <w:pPr>
              <w:spacing w:line="120" w:lineRule="atLeast"/>
              <w:jc w:val="center"/>
              <w:rPr>
                <w:rFonts w:ascii="宋体" w:hAnsi="宋体" w:cs="楷体"/>
                <w:sz w:val="18"/>
                <w:szCs w:val="18"/>
              </w:rPr>
            </w:pPr>
            <w:r>
              <w:rPr>
                <w:rFonts w:ascii="宋体" w:hAnsi="宋体" w:cs="楷体"/>
                <w:sz w:val="18"/>
                <w:szCs w:val="18"/>
              </w:rPr>
              <w:t>分布在企业边界外的输送涉气环境风险物质管线长度（千米）</w:t>
            </w:r>
          </w:p>
        </w:tc>
        <w:tc>
          <w:tcPr>
            <w:tcW w:w="2986" w:type="dxa"/>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每千米0.5分，最高20分</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9117" w:type="dxa"/>
            <w:gridSpan w:val="5"/>
            <w:vAlign w:val="center"/>
          </w:tcPr>
          <w:p>
            <w:pPr>
              <w:spacing w:line="120" w:lineRule="atLeast"/>
              <w:jc w:val="left"/>
              <w:rPr>
                <w:rFonts w:hint="eastAsia" w:ascii="宋体" w:hAnsi="宋体" w:cs="楷体"/>
                <w:sz w:val="18"/>
                <w:szCs w:val="18"/>
                <w:lang w:eastAsia="zh-CN"/>
              </w:rPr>
            </w:pPr>
            <w:r>
              <w:rPr>
                <w:rFonts w:hint="eastAsia" w:ascii="宋体" w:hAnsi="宋体" w:cs="楷体"/>
                <w:sz w:val="18"/>
                <w:szCs w:val="18"/>
              </w:rPr>
              <w:t>注:</w:t>
            </w:r>
            <w:r>
              <w:rPr>
                <w:rFonts w:hint="eastAsia" w:ascii="宋体" w:hAnsi="宋体" w:cs="楷体"/>
                <w:sz w:val="18"/>
                <w:szCs w:val="18"/>
                <w:vertAlign w:val="superscript"/>
                <w:lang w:val="en-US" w:eastAsia="zh-CN"/>
              </w:rPr>
              <w:t xml:space="preserve"> </w:t>
            </w:r>
            <w:r>
              <w:rPr>
                <w:rFonts w:hint="eastAsia" w:ascii="宋体" w:hAnsi="宋体" w:cs="楷体"/>
                <w:sz w:val="18"/>
                <w:szCs w:val="18"/>
                <w:vertAlign w:val="superscript"/>
              </w:rPr>
              <w:t>a</w:t>
            </w:r>
            <w:r>
              <w:rPr>
                <w:rFonts w:hint="eastAsia" w:ascii="宋体" w:hAnsi="宋体" w:cs="楷体"/>
                <w:sz w:val="18"/>
                <w:szCs w:val="18"/>
              </w:rPr>
              <w:t>临界量根据HJ941附录A中突发环境事件风险物质临界量确定</w:t>
            </w:r>
            <w:r>
              <w:rPr>
                <w:rFonts w:hint="eastAsia" w:ascii="宋体" w:hAnsi="宋体" w:cs="楷体"/>
                <w:sz w:val="18"/>
                <w:szCs w:val="18"/>
                <w:lang w:eastAsia="zh-CN"/>
              </w:rPr>
              <w:t>；</w:t>
            </w:r>
          </w:p>
          <w:p>
            <w:pPr>
              <w:spacing w:line="120" w:lineRule="atLeast"/>
              <w:ind w:firstLine="360" w:firstLineChars="200"/>
              <w:jc w:val="left"/>
              <w:rPr>
                <w:rFonts w:hint="eastAsia" w:ascii="宋体" w:hAnsi="宋体" w:cs="楷体"/>
                <w:sz w:val="18"/>
                <w:szCs w:val="18"/>
                <w:lang w:eastAsia="zh-CN"/>
              </w:rPr>
            </w:pPr>
            <w:r>
              <w:rPr>
                <w:rFonts w:hint="eastAsia" w:ascii="宋体" w:hAnsi="宋体" w:cs="楷体"/>
                <w:sz w:val="18"/>
                <w:szCs w:val="18"/>
                <w:vertAlign w:val="superscript"/>
              </w:rPr>
              <w:t>b</w:t>
            </w:r>
            <w:r>
              <w:rPr>
                <w:rFonts w:hint="eastAsia" w:ascii="宋体" w:hAnsi="宋体" w:cs="楷体"/>
                <w:sz w:val="18"/>
                <w:szCs w:val="18"/>
              </w:rPr>
              <w:t>涉气环境风险物质指HJ941中6.1章节规定的相应环境风险物质</w:t>
            </w:r>
            <w:r>
              <w:rPr>
                <w:rFonts w:hint="eastAsia" w:ascii="宋体" w:hAnsi="宋体" w:cs="楷体"/>
                <w:sz w:val="18"/>
                <w:szCs w:val="18"/>
                <w:lang w:eastAsia="zh-CN"/>
              </w:rPr>
              <w:t>；</w:t>
            </w:r>
          </w:p>
          <w:p>
            <w:pPr>
              <w:spacing w:line="120" w:lineRule="atLeast"/>
              <w:ind w:firstLine="360" w:firstLineChars="200"/>
              <w:jc w:val="left"/>
              <w:rPr>
                <w:rFonts w:hint="eastAsia" w:ascii="宋体" w:hAnsi="宋体" w:cs="楷体"/>
                <w:sz w:val="18"/>
                <w:szCs w:val="18"/>
                <w:lang w:eastAsia="zh-CN"/>
              </w:rPr>
            </w:pPr>
            <w:r>
              <w:rPr>
                <w:rFonts w:hint="eastAsia" w:ascii="宋体" w:hAnsi="宋体" w:cs="楷体"/>
                <w:sz w:val="18"/>
                <w:szCs w:val="18"/>
                <w:vertAlign w:val="superscript"/>
              </w:rPr>
              <w:t>c</w:t>
            </w:r>
            <w:r>
              <w:rPr>
                <w:rFonts w:hint="eastAsia" w:ascii="宋体" w:hAnsi="宋体" w:cs="楷体"/>
                <w:sz w:val="18"/>
                <w:szCs w:val="18"/>
              </w:rPr>
              <w:t>环境风险企业指HJ941中所规定的企业</w:t>
            </w:r>
            <w:r>
              <w:rPr>
                <w:rFonts w:hint="eastAsia" w:ascii="宋体" w:hAnsi="宋体" w:cs="楷体"/>
                <w:sz w:val="18"/>
                <w:szCs w:val="18"/>
                <w:lang w:eastAsia="zh-CN"/>
              </w:rPr>
              <w:t>；</w:t>
            </w:r>
          </w:p>
          <w:p>
            <w:pPr>
              <w:spacing w:line="120" w:lineRule="atLeast"/>
              <w:ind w:firstLine="360" w:firstLineChars="200"/>
              <w:jc w:val="left"/>
              <w:rPr>
                <w:rFonts w:hint="eastAsia" w:ascii="宋体" w:hAnsi="宋体" w:cs="楷体"/>
                <w:sz w:val="18"/>
                <w:szCs w:val="18"/>
              </w:rPr>
            </w:pPr>
            <w:r>
              <w:rPr>
                <w:rFonts w:hint="eastAsia" w:ascii="宋体" w:hAnsi="宋体" w:cs="楷体"/>
                <w:sz w:val="18"/>
                <w:szCs w:val="18"/>
                <w:vertAlign w:val="superscript"/>
                <w:lang w:val="en-US" w:eastAsia="zh-CN"/>
              </w:rPr>
              <w:t>d</w:t>
            </w:r>
            <w:r>
              <w:rPr>
                <w:rFonts w:hint="eastAsia" w:ascii="宋体" w:hAnsi="宋体" w:cs="楷体"/>
                <w:sz w:val="18"/>
                <w:szCs w:val="18"/>
                <w:lang w:val="en-US" w:eastAsia="zh-CN"/>
              </w:rPr>
              <w:t>生产工艺过程含有风险工艺和设备</w:t>
            </w:r>
            <w:r>
              <w:rPr>
                <w:rFonts w:ascii="宋体" w:hAnsi="宋体" w:cs="楷体"/>
                <w:sz w:val="18"/>
                <w:szCs w:val="18"/>
              </w:rPr>
              <w:t>情况</w:t>
            </w:r>
            <w:r>
              <w:rPr>
                <w:rFonts w:hint="eastAsia" w:ascii="宋体" w:hAnsi="宋体" w:cs="楷体"/>
                <w:sz w:val="18"/>
                <w:szCs w:val="18"/>
              </w:rPr>
              <w:t>指HJ941中6.</w:t>
            </w:r>
            <w:r>
              <w:rPr>
                <w:rFonts w:hint="eastAsia" w:ascii="宋体" w:hAnsi="宋体" w:cs="楷体"/>
                <w:sz w:val="18"/>
                <w:szCs w:val="18"/>
                <w:lang w:val="en-US" w:eastAsia="zh-CN"/>
              </w:rPr>
              <w:t>2.1</w:t>
            </w:r>
            <w:r>
              <w:rPr>
                <w:rFonts w:hint="eastAsia" w:ascii="宋体" w:hAnsi="宋体" w:cs="楷体"/>
                <w:sz w:val="18"/>
                <w:szCs w:val="18"/>
              </w:rPr>
              <w:t>章节规定的</w:t>
            </w:r>
            <w:r>
              <w:rPr>
                <w:rFonts w:hint="eastAsia" w:ascii="宋体" w:hAnsi="宋体" w:cs="楷体"/>
                <w:sz w:val="18"/>
                <w:szCs w:val="18"/>
                <w:lang w:val="en-US" w:eastAsia="zh-CN"/>
              </w:rPr>
              <w:t>工艺和设备。</w:t>
            </w:r>
          </w:p>
        </w:tc>
      </w:tr>
    </w:tbl>
    <w:p>
      <w:pPr>
        <w:spacing w:before="156" w:beforeLines="50" w:after="156" w:afterLines="50" w:line="340" w:lineRule="exact"/>
        <w:outlineLvl w:val="1"/>
        <w:rPr>
          <w:rFonts w:ascii="宋体" w:hAnsi="宋体" w:cs="楷体"/>
          <w:b/>
          <w:szCs w:val="21"/>
        </w:rPr>
      </w:pPr>
      <w:r>
        <w:rPr>
          <w:rFonts w:hint="eastAsia" w:ascii="宋体" w:hAnsi="宋体" w:cs="楷体"/>
          <w:b/>
          <w:szCs w:val="21"/>
        </w:rPr>
        <w:t xml:space="preserve">9.2.2 </w:t>
      </w:r>
      <w:r>
        <w:rPr>
          <w:rFonts w:ascii="宋体" w:hAnsi="宋体" w:cs="楷体"/>
          <w:b/>
          <w:szCs w:val="21"/>
        </w:rPr>
        <w:t>大气环境风险受体脆弱性（V</w:t>
      </w:r>
      <w:r>
        <w:rPr>
          <w:rFonts w:ascii="宋体" w:hAnsi="宋体" w:cs="楷体"/>
          <w:b/>
          <w:szCs w:val="21"/>
          <w:vertAlign w:val="subscript"/>
        </w:rPr>
        <w:t>气</w:t>
      </w:r>
      <w:r>
        <w:rPr>
          <w:rFonts w:ascii="宋体" w:hAnsi="宋体" w:cs="楷体"/>
          <w:b/>
          <w:szCs w:val="21"/>
        </w:rPr>
        <w:t>）评估</w:t>
      </w:r>
    </w:p>
    <w:p>
      <w:pPr>
        <w:spacing w:before="156" w:beforeLines="50" w:after="156" w:afterLines="50" w:line="340" w:lineRule="exact"/>
        <w:ind w:firstLine="420" w:firstLineChars="200"/>
        <w:rPr>
          <w:rFonts w:ascii="宋体" w:hAnsi="宋体" w:cs="楷体"/>
          <w:szCs w:val="21"/>
        </w:rPr>
      </w:pPr>
      <w:r>
        <w:rPr>
          <w:rFonts w:ascii="宋体" w:hAnsi="宋体" w:cs="楷体"/>
          <w:szCs w:val="21"/>
        </w:rPr>
        <w:t>采用评分法对工业园区大气环境风险受体数量及周边人口密度进行评估，将各项指标分值累加，确定大气环境风险受体脆弱性（V</w:t>
      </w:r>
      <w:r>
        <w:rPr>
          <w:rFonts w:ascii="宋体" w:hAnsi="宋体" w:cs="楷体"/>
          <w:szCs w:val="21"/>
          <w:vertAlign w:val="subscript"/>
        </w:rPr>
        <w:t>气</w:t>
      </w:r>
      <w:r>
        <w:rPr>
          <w:rFonts w:ascii="宋体" w:hAnsi="宋体" w:cs="楷体"/>
          <w:szCs w:val="21"/>
        </w:rPr>
        <w:t>）评估指标数值，最高为100分</w:t>
      </w:r>
      <w:r>
        <w:rPr>
          <w:rFonts w:hint="eastAsia" w:ascii="宋体" w:hAnsi="宋体" w:cs="楷体"/>
          <w:szCs w:val="21"/>
        </w:rPr>
        <w:t>。</w:t>
      </w:r>
    </w:p>
    <w:p>
      <w:pPr>
        <w:spacing w:before="156" w:beforeLines="50" w:after="156" w:afterLines="50" w:line="340" w:lineRule="exact"/>
        <w:jc w:val="center"/>
        <w:rPr>
          <w:rFonts w:ascii="宋体" w:hAnsi="宋体" w:cs="楷体"/>
          <w:szCs w:val="21"/>
        </w:rPr>
      </w:pPr>
      <w:r>
        <w:rPr>
          <w:rFonts w:ascii="宋体" w:hAnsi="宋体" w:cs="楷体"/>
          <w:b/>
          <w:bCs/>
          <w:szCs w:val="21"/>
        </w:rPr>
        <w:t xml:space="preserve">表 </w:t>
      </w:r>
      <w:r>
        <w:rPr>
          <w:rFonts w:hint="eastAsia" w:ascii="宋体" w:hAnsi="宋体" w:cs="楷体"/>
          <w:b/>
          <w:bCs/>
          <w:szCs w:val="21"/>
        </w:rPr>
        <w:t xml:space="preserve"> </w:t>
      </w:r>
      <w:r>
        <w:rPr>
          <w:rFonts w:ascii="宋体" w:hAnsi="宋体" w:cs="楷体"/>
          <w:b/>
          <w:bCs/>
          <w:szCs w:val="21"/>
        </w:rPr>
        <w:t>2 工业园区大气环境风险受体脆弱性（V</w:t>
      </w:r>
      <w:r>
        <w:rPr>
          <w:rFonts w:ascii="宋体" w:hAnsi="宋体" w:cs="楷体"/>
          <w:b/>
          <w:bCs/>
          <w:szCs w:val="21"/>
          <w:vertAlign w:val="subscript"/>
        </w:rPr>
        <w:t>气</w:t>
      </w:r>
      <w:r>
        <w:rPr>
          <w:rFonts w:ascii="宋体" w:hAnsi="宋体" w:cs="楷体"/>
          <w:b/>
          <w:bCs/>
          <w:szCs w:val="21"/>
        </w:rPr>
        <w:t>）评估</w:t>
      </w:r>
    </w:p>
    <w:tbl>
      <w:tblPr>
        <w:tblStyle w:val="20"/>
        <w:tblW w:w="49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4462"/>
        <w:gridCol w:w="1938"/>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1696"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评估指标</w:t>
            </w:r>
          </w:p>
        </w:tc>
        <w:tc>
          <w:tcPr>
            <w:tcW w:w="4463"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指标说明</w:t>
            </w:r>
          </w:p>
        </w:tc>
        <w:tc>
          <w:tcPr>
            <w:tcW w:w="1938"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925"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restart"/>
            <w:vAlign w:val="center"/>
          </w:tcPr>
          <w:p>
            <w:pPr>
              <w:spacing w:line="120" w:lineRule="atLeast"/>
              <w:jc w:val="center"/>
              <w:rPr>
                <w:rFonts w:ascii="宋体" w:hAnsi="宋体" w:cs="楷体"/>
                <w:sz w:val="18"/>
                <w:szCs w:val="18"/>
              </w:rPr>
            </w:pPr>
            <w:r>
              <w:rPr>
                <w:rFonts w:ascii="宋体" w:hAnsi="宋体" w:cs="楷体"/>
                <w:sz w:val="18"/>
                <w:szCs w:val="18"/>
              </w:rPr>
              <w:t>环境风险受体数量</w:t>
            </w:r>
          </w:p>
        </w:tc>
        <w:tc>
          <w:tcPr>
            <w:tcW w:w="4463"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工业园区外部5公里半径区域内大气环境风险受体中人口数量（万人）,包括</w:t>
            </w:r>
            <w:r>
              <w:rPr>
                <w:rFonts w:hint="eastAsia" w:ascii="宋体" w:hAnsi="宋体" w:cs="楷体"/>
                <w:sz w:val="18"/>
                <w:szCs w:val="18"/>
              </w:rPr>
              <w:t>：</w:t>
            </w:r>
            <w:r>
              <w:rPr>
                <w:rFonts w:ascii="宋体" w:hAnsi="宋体" w:cs="楷体"/>
                <w:sz w:val="18"/>
                <w:szCs w:val="18"/>
              </w:rPr>
              <w:t>居住区、医疗卫生机构、文化教育机构、科研机构、行政机关、企事业单位、商场、公园</w:t>
            </w:r>
            <w:r>
              <w:rPr>
                <w:rFonts w:hint="eastAsia" w:ascii="宋体" w:hAnsi="宋体" w:cs="楷体"/>
                <w:sz w:val="18"/>
                <w:szCs w:val="18"/>
              </w:rPr>
              <w:t>、</w:t>
            </w:r>
            <w:r>
              <w:rPr>
                <w:rFonts w:ascii="宋体" w:hAnsi="宋体" w:cs="楷体"/>
                <w:sz w:val="18"/>
                <w:szCs w:val="18"/>
              </w:rPr>
              <w:t>涉及军事禁区</w:t>
            </w:r>
            <w:r>
              <w:rPr>
                <w:rFonts w:hint="eastAsia" w:ascii="宋体" w:hAnsi="宋体" w:cs="楷体"/>
                <w:sz w:val="18"/>
                <w:szCs w:val="18"/>
              </w:rPr>
              <w:t>与</w:t>
            </w:r>
            <w:r>
              <w:rPr>
                <w:rFonts w:ascii="宋体" w:hAnsi="宋体" w:cs="楷体"/>
                <w:sz w:val="18"/>
                <w:szCs w:val="18"/>
              </w:rPr>
              <w:t>军事管理区、国家保密相关区域</w:t>
            </w: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w:t>
            </w:r>
            <w:r>
              <w:rPr>
                <w:rFonts w:hint="eastAsia" w:ascii="宋体" w:hAnsi="宋体" w:cs="楷体"/>
                <w:sz w:val="18"/>
                <w:szCs w:val="18"/>
              </w:rPr>
              <w:t>25</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pPr>
          </w:p>
        </w:tc>
        <w:tc>
          <w:tcPr>
            <w:tcW w:w="4463" w:type="dxa"/>
            <w:vMerge w:val="continue"/>
            <w:vAlign w:val="center"/>
          </w:tcPr>
          <w:p>
            <w:pPr>
              <w:spacing w:line="120" w:lineRule="atLeast"/>
              <w:jc w:val="cente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w:t>
            </w:r>
            <w:r>
              <w:rPr>
                <w:rFonts w:hint="eastAsia" w:ascii="宋体" w:hAnsi="宋体" w:cs="楷体"/>
                <w:sz w:val="18"/>
                <w:szCs w:val="18"/>
              </w:rPr>
              <w:t>20</w:t>
            </w:r>
            <w:r>
              <w:rPr>
                <w:rFonts w:ascii="宋体" w:hAnsi="宋体" w:cs="楷体"/>
                <w:sz w:val="18"/>
                <w:szCs w:val="18"/>
              </w:rPr>
              <w:t>,</w:t>
            </w:r>
            <w:r>
              <w:rPr>
                <w:rFonts w:hint="eastAsia" w:ascii="宋体" w:hAnsi="宋体" w:cs="楷体"/>
                <w:sz w:val="18"/>
                <w:szCs w:val="18"/>
              </w:rPr>
              <w:t>25</w:t>
            </w:r>
            <w:r>
              <w:rPr>
                <w:rFonts w:ascii="宋体" w:hAnsi="宋体" w:cs="楷体"/>
                <w:sz w:val="18"/>
                <w:szCs w:val="18"/>
              </w:rPr>
              <w:t>]</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rPr>
                <w:rFonts w:ascii="宋体" w:hAnsi="宋体" w:cs="楷体"/>
                <w:sz w:val="18"/>
                <w:szCs w:val="18"/>
              </w:rPr>
            </w:pPr>
          </w:p>
        </w:tc>
        <w:tc>
          <w:tcPr>
            <w:tcW w:w="4463" w:type="dxa"/>
            <w:vMerge w:val="continue"/>
            <w:vAlign w:val="center"/>
          </w:tcPr>
          <w:p>
            <w:pPr>
              <w:spacing w:line="120" w:lineRule="atLeast"/>
              <w:jc w:val="center"/>
              <w:rPr>
                <w:rFonts w:ascii="宋体" w:hAnsi="宋体" w:cs="楷体"/>
                <w:sz w:val="18"/>
                <w:szCs w:val="18"/>
              </w:rP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(10,</w:t>
            </w:r>
            <w:r>
              <w:rPr>
                <w:rFonts w:hint="eastAsia" w:ascii="宋体" w:hAnsi="宋体" w:cs="楷体"/>
                <w:sz w:val="18"/>
                <w:szCs w:val="18"/>
              </w:rPr>
              <w:t>20</w:t>
            </w:r>
            <w:r>
              <w:rPr>
                <w:rFonts w:ascii="宋体" w:hAnsi="宋体" w:cs="楷体"/>
                <w:sz w:val="18"/>
                <w:szCs w:val="18"/>
              </w:rPr>
              <w:t>]</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rPr>
                <w:rFonts w:ascii="宋体" w:hAnsi="宋体" w:cs="楷体"/>
                <w:sz w:val="18"/>
                <w:szCs w:val="18"/>
              </w:rPr>
            </w:pPr>
          </w:p>
        </w:tc>
        <w:tc>
          <w:tcPr>
            <w:tcW w:w="4463" w:type="dxa"/>
            <w:vMerge w:val="continue"/>
            <w:vAlign w:val="center"/>
          </w:tcPr>
          <w:p>
            <w:pPr>
              <w:spacing w:line="120" w:lineRule="atLeast"/>
              <w:jc w:val="center"/>
              <w:rPr>
                <w:rFonts w:ascii="宋体" w:hAnsi="宋体" w:cs="楷体"/>
                <w:sz w:val="18"/>
                <w:szCs w:val="18"/>
              </w:rP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(5,10]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rPr>
                <w:rFonts w:ascii="宋体" w:hAnsi="宋体" w:cs="楷体"/>
                <w:sz w:val="18"/>
                <w:szCs w:val="18"/>
              </w:rPr>
            </w:pPr>
          </w:p>
        </w:tc>
        <w:tc>
          <w:tcPr>
            <w:tcW w:w="4463" w:type="dxa"/>
            <w:vMerge w:val="continue"/>
            <w:vAlign w:val="center"/>
          </w:tcPr>
          <w:p>
            <w:pPr>
              <w:spacing w:line="120" w:lineRule="atLeast"/>
              <w:jc w:val="center"/>
              <w:rPr>
                <w:rFonts w:ascii="宋体" w:hAnsi="宋体" w:cs="楷体"/>
                <w:sz w:val="18"/>
                <w:szCs w:val="18"/>
              </w:rP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≤5</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周边人口密度</w:t>
            </w:r>
          </w:p>
        </w:tc>
        <w:tc>
          <w:tcPr>
            <w:tcW w:w="4463"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工业园区外部5公里半径区域内可能受园区突发环境事件影响人口密度（人/平方公里）</w:t>
            </w: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w:t>
            </w:r>
            <w:r>
              <w:rPr>
                <w:rFonts w:hint="eastAsia" w:ascii="宋体" w:hAnsi="宋体" w:cs="楷体"/>
                <w:sz w:val="18"/>
                <w:szCs w:val="18"/>
              </w:rPr>
              <w:t>2000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pPr>
          </w:p>
        </w:tc>
        <w:tc>
          <w:tcPr>
            <w:tcW w:w="4463" w:type="dxa"/>
            <w:vMerge w:val="continue"/>
            <w:vAlign w:val="center"/>
          </w:tcPr>
          <w:p>
            <w:pPr>
              <w:spacing w:line="120" w:lineRule="atLeast"/>
              <w:jc w:val="cente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(1</w:t>
            </w:r>
            <w:r>
              <w:rPr>
                <w:rFonts w:hint="eastAsia" w:ascii="宋体" w:hAnsi="宋体" w:cs="楷体"/>
                <w:sz w:val="18"/>
                <w:szCs w:val="18"/>
              </w:rPr>
              <w:t>500</w:t>
            </w:r>
            <w:r>
              <w:rPr>
                <w:rFonts w:ascii="宋体" w:hAnsi="宋体" w:cs="楷体"/>
                <w:sz w:val="18"/>
                <w:szCs w:val="18"/>
              </w:rPr>
              <w:t>,</w:t>
            </w:r>
            <w:r>
              <w:rPr>
                <w:rFonts w:hint="eastAsia" w:ascii="宋体" w:hAnsi="宋体" w:cs="楷体"/>
                <w:sz w:val="18"/>
                <w:szCs w:val="18"/>
              </w:rPr>
              <w:t>20</w:t>
            </w:r>
            <w:r>
              <w:rPr>
                <w:rFonts w:ascii="宋体" w:hAnsi="宋体" w:cs="楷体"/>
                <w:sz w:val="18"/>
                <w:szCs w:val="18"/>
              </w:rPr>
              <w:t>00]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rPr>
                <w:rFonts w:ascii="宋体" w:hAnsi="宋体" w:cs="楷体"/>
                <w:sz w:val="18"/>
                <w:szCs w:val="18"/>
              </w:rPr>
            </w:pPr>
          </w:p>
        </w:tc>
        <w:tc>
          <w:tcPr>
            <w:tcW w:w="4463" w:type="dxa"/>
            <w:vMerge w:val="continue"/>
            <w:vAlign w:val="center"/>
          </w:tcPr>
          <w:p>
            <w:pPr>
              <w:spacing w:line="120" w:lineRule="atLeast"/>
              <w:jc w:val="center"/>
              <w:rPr>
                <w:rFonts w:ascii="宋体" w:hAnsi="宋体" w:cs="楷体"/>
                <w:sz w:val="18"/>
                <w:szCs w:val="18"/>
              </w:rP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(1</w:t>
            </w:r>
            <w:r>
              <w:rPr>
                <w:rFonts w:hint="eastAsia" w:ascii="宋体" w:hAnsi="宋体" w:cs="楷体"/>
                <w:sz w:val="18"/>
                <w:szCs w:val="18"/>
              </w:rPr>
              <w:t>00</w:t>
            </w:r>
            <w:r>
              <w:rPr>
                <w:rFonts w:hint="eastAsia" w:ascii="宋体" w:hAnsi="宋体" w:cs="楷体"/>
                <w:sz w:val="18"/>
                <w:szCs w:val="18"/>
                <w:lang w:val="en-US" w:eastAsia="zh-CN"/>
              </w:rPr>
              <w:t>0</w:t>
            </w:r>
            <w:r>
              <w:rPr>
                <w:rFonts w:ascii="宋体" w:hAnsi="宋体" w:cs="楷体"/>
                <w:sz w:val="18"/>
                <w:szCs w:val="18"/>
              </w:rPr>
              <w:t>,1</w:t>
            </w:r>
            <w:r>
              <w:rPr>
                <w:rFonts w:hint="eastAsia" w:ascii="宋体" w:hAnsi="宋体" w:cs="楷体"/>
                <w:sz w:val="18"/>
                <w:szCs w:val="18"/>
              </w:rPr>
              <w:t>500</w:t>
            </w:r>
            <w:r>
              <w:rPr>
                <w:rFonts w:ascii="宋体" w:hAnsi="宋体" w:cs="楷体"/>
                <w:sz w:val="18"/>
                <w:szCs w:val="18"/>
              </w:rPr>
              <w:t>]</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rPr>
                <w:rFonts w:ascii="宋体" w:hAnsi="宋体" w:cs="楷体"/>
                <w:sz w:val="18"/>
                <w:szCs w:val="18"/>
              </w:rPr>
            </w:pPr>
          </w:p>
        </w:tc>
        <w:tc>
          <w:tcPr>
            <w:tcW w:w="4463" w:type="dxa"/>
            <w:vMerge w:val="continue"/>
            <w:vAlign w:val="center"/>
          </w:tcPr>
          <w:p>
            <w:pPr>
              <w:spacing w:line="120" w:lineRule="atLeast"/>
              <w:jc w:val="center"/>
              <w:rPr>
                <w:rFonts w:ascii="宋体" w:hAnsi="宋体" w:cs="楷体"/>
                <w:sz w:val="18"/>
                <w:szCs w:val="18"/>
              </w:rP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(500,1000]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696" w:type="dxa"/>
            <w:vMerge w:val="continue"/>
            <w:vAlign w:val="center"/>
          </w:tcPr>
          <w:p>
            <w:pPr>
              <w:spacing w:line="120" w:lineRule="atLeast"/>
              <w:jc w:val="center"/>
              <w:rPr>
                <w:rFonts w:ascii="宋体" w:hAnsi="宋体" w:cs="楷体"/>
                <w:sz w:val="18"/>
                <w:szCs w:val="18"/>
              </w:rPr>
            </w:pPr>
          </w:p>
        </w:tc>
        <w:tc>
          <w:tcPr>
            <w:tcW w:w="4463" w:type="dxa"/>
            <w:vMerge w:val="continue"/>
            <w:vAlign w:val="center"/>
          </w:tcPr>
          <w:p>
            <w:pPr>
              <w:spacing w:line="120" w:lineRule="atLeast"/>
              <w:jc w:val="center"/>
              <w:rPr>
                <w:rFonts w:ascii="宋体" w:hAnsi="宋体" w:cs="楷体"/>
                <w:sz w:val="18"/>
                <w:szCs w:val="18"/>
              </w:rPr>
            </w:pPr>
          </w:p>
        </w:tc>
        <w:tc>
          <w:tcPr>
            <w:tcW w:w="1938" w:type="dxa"/>
            <w:vAlign w:val="center"/>
          </w:tcPr>
          <w:p>
            <w:pPr>
              <w:spacing w:line="120" w:lineRule="atLeast"/>
              <w:jc w:val="center"/>
              <w:rPr>
                <w:rFonts w:ascii="宋体" w:hAnsi="宋体" w:cs="楷体"/>
                <w:sz w:val="18"/>
                <w:szCs w:val="18"/>
              </w:rPr>
            </w:pPr>
            <w:r>
              <w:rPr>
                <w:rFonts w:ascii="宋体" w:hAnsi="宋体" w:cs="楷体"/>
                <w:sz w:val="18"/>
                <w:szCs w:val="18"/>
              </w:rPr>
              <w:t>≤500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10</w:t>
            </w:r>
          </w:p>
        </w:tc>
      </w:tr>
    </w:tbl>
    <w:p>
      <w:pPr>
        <w:spacing w:before="156" w:beforeLines="50" w:after="156" w:afterLines="50" w:line="340" w:lineRule="exact"/>
        <w:outlineLvl w:val="1"/>
        <w:rPr>
          <w:rFonts w:hint="eastAsia" w:ascii="宋体" w:hAnsi="宋体" w:cs="楷体"/>
          <w:b/>
          <w:szCs w:val="21"/>
        </w:rPr>
      </w:pPr>
    </w:p>
    <w:p>
      <w:pPr>
        <w:spacing w:before="156" w:beforeLines="50" w:after="156" w:afterLines="50" w:line="340" w:lineRule="exact"/>
        <w:outlineLvl w:val="1"/>
        <w:rPr>
          <w:rFonts w:ascii="宋体" w:hAnsi="宋体" w:cs="楷体"/>
          <w:b/>
          <w:szCs w:val="21"/>
        </w:rPr>
      </w:pPr>
      <w:r>
        <w:rPr>
          <w:rFonts w:hint="eastAsia" w:ascii="宋体" w:hAnsi="宋体" w:cs="楷体"/>
          <w:b/>
          <w:szCs w:val="21"/>
        </w:rPr>
        <w:t>9.2.3 大气</w:t>
      </w:r>
      <w:r>
        <w:rPr>
          <w:rFonts w:ascii="宋体" w:hAnsi="宋体" w:cs="楷体"/>
          <w:b/>
          <w:szCs w:val="21"/>
        </w:rPr>
        <w:t>环境风险防控与应急能力（</w:t>
      </w:r>
      <w:r>
        <w:rPr>
          <w:rFonts w:hint="eastAsia" w:ascii="宋体" w:hAnsi="宋体" w:cs="楷体"/>
          <w:b/>
          <w:szCs w:val="21"/>
        </w:rPr>
        <w:t>M</w:t>
      </w:r>
      <w:r>
        <w:rPr>
          <w:rFonts w:hint="eastAsia" w:ascii="宋体" w:hAnsi="宋体" w:cs="楷体"/>
          <w:b/>
          <w:szCs w:val="21"/>
          <w:vertAlign w:val="subscript"/>
        </w:rPr>
        <w:t>气</w:t>
      </w:r>
      <w:r>
        <w:rPr>
          <w:rFonts w:ascii="宋体" w:hAnsi="宋体" w:cs="楷体"/>
          <w:b/>
          <w:szCs w:val="21"/>
        </w:rPr>
        <w:t>）评估</w:t>
      </w:r>
    </w:p>
    <w:p>
      <w:pPr>
        <w:spacing w:before="156" w:beforeLines="50" w:after="156" w:afterLines="50" w:line="340" w:lineRule="exact"/>
        <w:ind w:firstLine="420" w:firstLineChars="200"/>
        <w:outlineLvl w:val="1"/>
        <w:rPr>
          <w:rFonts w:ascii="宋体" w:hAnsi="宋体" w:cs="楷体"/>
          <w:bCs/>
          <w:szCs w:val="21"/>
        </w:rPr>
      </w:pPr>
      <w:r>
        <w:rPr>
          <w:rFonts w:ascii="宋体" w:hAnsi="宋体" w:cs="楷体"/>
          <w:bCs/>
          <w:szCs w:val="21"/>
        </w:rPr>
        <w:t>采用评分法对工业园区大气环境风险防控能力进行评估，将各项指标分值累加，确定大气环境风险防控能力（M</w:t>
      </w:r>
      <w:r>
        <w:rPr>
          <w:rFonts w:ascii="宋体" w:hAnsi="宋体" w:cs="楷体"/>
          <w:bCs/>
          <w:szCs w:val="21"/>
          <w:vertAlign w:val="subscript"/>
        </w:rPr>
        <w:t>气</w:t>
      </w:r>
      <w:r>
        <w:rPr>
          <w:rFonts w:ascii="宋体" w:hAnsi="宋体" w:cs="楷体"/>
          <w:bCs/>
          <w:szCs w:val="21"/>
        </w:rPr>
        <w:t>）评估指标数值，最高为100分</w:t>
      </w:r>
      <w:r>
        <w:rPr>
          <w:rFonts w:hint="eastAsia" w:ascii="宋体" w:hAnsi="宋体" w:cs="楷体"/>
          <w:bCs/>
          <w:szCs w:val="21"/>
        </w:rPr>
        <w:t>。</w:t>
      </w:r>
    </w:p>
    <w:p>
      <w:pPr>
        <w:spacing w:before="156" w:beforeLines="50" w:after="156" w:afterLines="50" w:line="340" w:lineRule="exact"/>
        <w:jc w:val="center"/>
        <w:outlineLvl w:val="1"/>
        <w:rPr>
          <w:rFonts w:ascii="宋体" w:hAnsi="宋体" w:cs="楷体"/>
          <w:bCs/>
          <w:szCs w:val="21"/>
        </w:rPr>
      </w:pPr>
      <w:r>
        <w:rPr>
          <w:rFonts w:ascii="宋体" w:hAnsi="宋体" w:cs="楷体"/>
          <w:b/>
          <w:szCs w:val="21"/>
        </w:rPr>
        <w:t xml:space="preserve">表 </w:t>
      </w:r>
      <w:r>
        <w:rPr>
          <w:rFonts w:hint="eastAsia" w:ascii="宋体" w:hAnsi="宋体" w:cs="楷体"/>
          <w:b/>
          <w:szCs w:val="21"/>
        </w:rPr>
        <w:t xml:space="preserve"> </w:t>
      </w:r>
      <w:r>
        <w:rPr>
          <w:rFonts w:ascii="宋体" w:hAnsi="宋体" w:cs="楷体"/>
          <w:b/>
          <w:szCs w:val="21"/>
        </w:rPr>
        <w:t>3 工业园区大气环境风险防控能力（M</w:t>
      </w:r>
      <w:r>
        <w:rPr>
          <w:rFonts w:ascii="宋体" w:hAnsi="宋体" w:cs="楷体"/>
          <w:b/>
          <w:szCs w:val="21"/>
          <w:vertAlign w:val="subscript"/>
        </w:rPr>
        <w:t>气</w:t>
      </w:r>
      <w:r>
        <w:rPr>
          <w:rFonts w:ascii="宋体" w:hAnsi="宋体" w:cs="楷体"/>
          <w:b/>
          <w:szCs w:val="21"/>
        </w:rPr>
        <w:t>）评估</w:t>
      </w:r>
    </w:p>
    <w:tbl>
      <w:tblPr>
        <w:tblStyle w:val="20"/>
        <w:tblW w:w="45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2998"/>
        <w:gridCol w:w="2893"/>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1583"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评估指标</w:t>
            </w:r>
          </w:p>
        </w:tc>
        <w:tc>
          <w:tcPr>
            <w:tcW w:w="2998"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指标说明</w:t>
            </w:r>
          </w:p>
        </w:tc>
        <w:tc>
          <w:tcPr>
            <w:tcW w:w="2893"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883"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3" w:type="dxa"/>
            <w:vMerge w:val="restart"/>
            <w:vAlign w:val="center"/>
          </w:tcPr>
          <w:p>
            <w:pPr>
              <w:spacing w:line="120" w:lineRule="atLeast"/>
              <w:jc w:val="center"/>
              <w:rPr>
                <w:rFonts w:ascii="宋体" w:hAnsi="宋体" w:cs="楷体"/>
                <w:sz w:val="18"/>
                <w:szCs w:val="18"/>
              </w:rPr>
            </w:pPr>
            <w:r>
              <w:rPr>
                <w:rFonts w:ascii="宋体" w:hAnsi="宋体" w:cs="楷体"/>
                <w:sz w:val="18"/>
                <w:szCs w:val="18"/>
              </w:rPr>
              <w:t>监测预警能力</w:t>
            </w:r>
          </w:p>
        </w:tc>
        <w:tc>
          <w:tcPr>
            <w:tcW w:w="2998" w:type="dxa"/>
            <w:vMerge w:val="restart"/>
            <w:vAlign w:val="center"/>
          </w:tcPr>
          <w:p>
            <w:pPr>
              <w:spacing w:line="120" w:lineRule="atLeast"/>
              <w:jc w:val="center"/>
              <w:rPr>
                <w:rFonts w:hint="default" w:ascii="宋体" w:hAnsi="宋体" w:eastAsia="宋体" w:cs="楷体"/>
                <w:sz w:val="18"/>
                <w:szCs w:val="18"/>
                <w:lang w:val="en-US" w:eastAsia="zh-CN"/>
              </w:rPr>
            </w:pPr>
            <w:r>
              <w:rPr>
                <w:rFonts w:ascii="宋体" w:hAnsi="宋体" w:cs="楷体"/>
                <w:sz w:val="18"/>
                <w:szCs w:val="18"/>
              </w:rPr>
              <w:t>工业园区内涉及有毒有害气体环境风险企业厂界预警装置安装率（%）</w:t>
            </w: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＜50</w:t>
            </w:r>
          </w:p>
        </w:tc>
        <w:tc>
          <w:tcPr>
            <w:tcW w:w="883" w:type="dxa"/>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3" w:type="dxa"/>
            <w:vMerge w:val="continue"/>
            <w:vAlign w:val="center"/>
          </w:tcPr>
          <w:p>
            <w:pPr>
              <w:spacing w:line="120" w:lineRule="atLeast"/>
              <w:jc w:val="center"/>
            </w:pPr>
          </w:p>
        </w:tc>
        <w:tc>
          <w:tcPr>
            <w:tcW w:w="2998" w:type="dxa"/>
            <w:vMerge w:val="continue"/>
            <w:vAlign w:val="center"/>
          </w:tcPr>
          <w:p>
            <w:pPr>
              <w:spacing w:line="120" w:lineRule="atLeast"/>
              <w:jc w:val="cente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[50,100)</w:t>
            </w:r>
          </w:p>
        </w:tc>
        <w:tc>
          <w:tcPr>
            <w:tcW w:w="883" w:type="dxa"/>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3" w:type="dxa"/>
            <w:vMerge w:val="continue"/>
            <w:vAlign w:val="center"/>
          </w:tcPr>
          <w:p>
            <w:pPr>
              <w:spacing w:line="120" w:lineRule="atLeast"/>
              <w:jc w:val="center"/>
              <w:rPr>
                <w:rFonts w:ascii="宋体" w:hAnsi="宋体" w:cs="楷体"/>
                <w:sz w:val="18"/>
                <w:szCs w:val="18"/>
              </w:rPr>
            </w:pPr>
          </w:p>
        </w:tc>
        <w:tc>
          <w:tcPr>
            <w:tcW w:w="2998" w:type="dxa"/>
            <w:vMerge w:val="continue"/>
            <w:vAlign w:val="center"/>
          </w:tcPr>
          <w:p>
            <w:pPr>
              <w:spacing w:line="120" w:lineRule="atLeast"/>
              <w:jc w:val="center"/>
              <w:rPr>
                <w:rFonts w:ascii="宋体" w:hAnsi="宋体" w:cs="楷体"/>
                <w:sz w:val="18"/>
                <w:szCs w:val="18"/>
              </w:rP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100</w:t>
            </w:r>
          </w:p>
        </w:tc>
        <w:tc>
          <w:tcPr>
            <w:tcW w:w="883" w:type="dxa"/>
            <w:vAlign w:val="center"/>
          </w:tcPr>
          <w:p>
            <w:pPr>
              <w:spacing w:line="120" w:lineRule="atLeast"/>
              <w:jc w:val="center"/>
              <w:rPr>
                <w:rFonts w:hint="eastAsia" w:ascii="宋体" w:hAnsi="宋体" w:eastAsia="宋体" w:cs="楷体"/>
                <w:sz w:val="18"/>
                <w:szCs w:val="18"/>
                <w:lang w:eastAsia="zh-CN"/>
              </w:rPr>
            </w:pPr>
            <w:r>
              <w:rPr>
                <w:rFonts w:hint="eastAsia" w:ascii="宋体" w:hAnsi="宋体" w:cs="楷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583" w:type="dxa"/>
            <w:vMerge w:val="restart"/>
            <w:vAlign w:val="center"/>
          </w:tcPr>
          <w:p>
            <w:pPr>
              <w:spacing w:line="120" w:lineRule="atLeast"/>
              <w:jc w:val="center"/>
              <w:rPr>
                <w:rFonts w:ascii="宋体" w:hAnsi="宋体" w:cs="楷体"/>
                <w:sz w:val="18"/>
                <w:szCs w:val="18"/>
              </w:rPr>
            </w:pPr>
            <w:r>
              <w:rPr>
                <w:rFonts w:ascii="宋体" w:hAnsi="宋体" w:cs="楷体"/>
                <w:sz w:val="18"/>
                <w:szCs w:val="18"/>
              </w:rPr>
              <w:t>生产工艺过程与大气环境风险控制水平</w:t>
            </w:r>
          </w:p>
        </w:tc>
        <w:tc>
          <w:tcPr>
            <w:tcW w:w="2998" w:type="dxa"/>
            <w:vMerge w:val="restart"/>
            <w:vAlign w:val="center"/>
          </w:tcPr>
          <w:p>
            <w:pPr>
              <w:spacing w:line="120" w:lineRule="atLeast"/>
              <w:jc w:val="center"/>
              <w:rPr>
                <w:rFonts w:ascii="宋体" w:hAnsi="宋体" w:cs="楷体"/>
                <w:sz w:val="18"/>
                <w:szCs w:val="18"/>
              </w:rPr>
            </w:pPr>
            <w:r>
              <w:rPr>
                <w:rFonts w:ascii="宋体" w:hAnsi="宋体" w:cs="楷体"/>
                <w:sz w:val="18"/>
                <w:szCs w:val="18"/>
              </w:rPr>
              <w:t>依据HJ941确定生产工艺过程与大气环境风险控制水平为M3、M4的企业个数占比（%）</w:t>
            </w: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≥50</w:t>
            </w:r>
          </w:p>
        </w:tc>
        <w:tc>
          <w:tcPr>
            <w:tcW w:w="883" w:type="dxa"/>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3</w:t>
            </w: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1583" w:type="dxa"/>
            <w:vMerge w:val="continue"/>
            <w:vAlign w:val="center"/>
          </w:tcPr>
          <w:p>
            <w:pPr>
              <w:spacing w:line="120" w:lineRule="atLeast"/>
              <w:jc w:val="center"/>
            </w:pPr>
          </w:p>
        </w:tc>
        <w:tc>
          <w:tcPr>
            <w:tcW w:w="2998" w:type="dxa"/>
            <w:vMerge w:val="continue"/>
            <w:vAlign w:val="center"/>
          </w:tcPr>
          <w:p>
            <w:pPr>
              <w:spacing w:line="120" w:lineRule="atLeast"/>
              <w:jc w:val="cente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[25,50）</w:t>
            </w:r>
          </w:p>
        </w:tc>
        <w:tc>
          <w:tcPr>
            <w:tcW w:w="883" w:type="dxa"/>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jc w:val="center"/>
        </w:trPr>
        <w:tc>
          <w:tcPr>
            <w:tcW w:w="1583" w:type="dxa"/>
            <w:vMerge w:val="continue"/>
            <w:vAlign w:val="center"/>
          </w:tcPr>
          <w:p>
            <w:pPr>
              <w:spacing w:line="120" w:lineRule="atLeast"/>
              <w:jc w:val="center"/>
              <w:rPr>
                <w:rFonts w:ascii="宋体" w:hAnsi="宋体" w:cs="楷体"/>
                <w:sz w:val="18"/>
                <w:szCs w:val="18"/>
              </w:rPr>
            </w:pPr>
          </w:p>
        </w:tc>
        <w:tc>
          <w:tcPr>
            <w:tcW w:w="2998" w:type="dxa"/>
            <w:vMerge w:val="continue"/>
            <w:vAlign w:val="center"/>
          </w:tcPr>
          <w:p>
            <w:pPr>
              <w:spacing w:line="120" w:lineRule="atLeast"/>
              <w:jc w:val="center"/>
              <w:rPr>
                <w:rFonts w:ascii="宋体" w:hAnsi="宋体" w:cs="楷体"/>
                <w:sz w:val="18"/>
                <w:szCs w:val="18"/>
              </w:rP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＜25</w:t>
            </w:r>
          </w:p>
        </w:tc>
        <w:tc>
          <w:tcPr>
            <w:tcW w:w="883" w:type="dxa"/>
            <w:vAlign w:val="center"/>
          </w:tcPr>
          <w:p>
            <w:pPr>
              <w:spacing w:line="120" w:lineRule="atLeast"/>
              <w:jc w:val="center"/>
              <w:rPr>
                <w:rFonts w:ascii="宋体" w:hAnsi="宋体" w:cs="楷体"/>
                <w:sz w:val="18"/>
                <w:szCs w:val="18"/>
              </w:rPr>
            </w:pP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583"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环境</w:t>
            </w:r>
            <w:r>
              <w:rPr>
                <w:rFonts w:ascii="宋体" w:hAnsi="宋体" w:cs="楷体"/>
                <w:sz w:val="18"/>
                <w:szCs w:val="18"/>
              </w:rPr>
              <w:t>应急物资储备</w:t>
            </w:r>
          </w:p>
        </w:tc>
        <w:tc>
          <w:tcPr>
            <w:tcW w:w="2998"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评估</w:t>
            </w:r>
            <w:r>
              <w:rPr>
                <w:rFonts w:ascii="宋体" w:hAnsi="宋体" w:cs="楷体"/>
                <w:sz w:val="18"/>
                <w:szCs w:val="18"/>
              </w:rPr>
              <w:t>突发大气环境事件应急物资实物储备、协议储备、生产能力储备情况及其他区域内应急物资储备信息，是否满足事件应急需求</w:t>
            </w: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不能满足突发环境事件应急需求，无其他区域物资储备信息</w:t>
            </w:r>
          </w:p>
        </w:tc>
        <w:tc>
          <w:tcPr>
            <w:tcW w:w="883" w:type="dxa"/>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1</w:t>
            </w: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583" w:type="dxa"/>
            <w:vMerge w:val="continue"/>
            <w:vAlign w:val="center"/>
          </w:tcPr>
          <w:p>
            <w:pPr>
              <w:spacing w:line="120" w:lineRule="atLeast"/>
              <w:jc w:val="center"/>
            </w:pPr>
          </w:p>
        </w:tc>
        <w:tc>
          <w:tcPr>
            <w:tcW w:w="2998" w:type="dxa"/>
            <w:vMerge w:val="continue"/>
            <w:vAlign w:val="center"/>
          </w:tcPr>
          <w:p>
            <w:pPr>
              <w:spacing w:line="120" w:lineRule="atLeast"/>
              <w:jc w:val="cente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不能满足突发环境事件应急需求，但有其他区域物资储备信息，可以进行调用</w:t>
            </w:r>
          </w:p>
        </w:tc>
        <w:tc>
          <w:tcPr>
            <w:tcW w:w="883" w:type="dxa"/>
            <w:vAlign w:val="center"/>
          </w:tcPr>
          <w:p>
            <w:pPr>
              <w:spacing w:line="120" w:lineRule="atLeast"/>
              <w:jc w:val="center"/>
              <w:rPr>
                <w:rFonts w:hint="eastAsia" w:ascii="宋体" w:hAnsi="宋体" w:eastAsia="宋体" w:cs="楷体"/>
                <w:sz w:val="18"/>
                <w:szCs w:val="18"/>
                <w:lang w:val="en-US" w:eastAsia="zh-CN"/>
              </w:rPr>
            </w:pPr>
            <w:r>
              <w:rPr>
                <w:rFonts w:hint="eastAsia" w:ascii="宋体" w:hAnsi="宋体" w:cs="楷体"/>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583" w:type="dxa"/>
            <w:vMerge w:val="continue"/>
            <w:vAlign w:val="center"/>
          </w:tcPr>
          <w:p>
            <w:pPr>
              <w:spacing w:line="120" w:lineRule="atLeast"/>
              <w:jc w:val="center"/>
              <w:rPr>
                <w:rFonts w:ascii="宋体" w:hAnsi="宋体" w:cs="楷体"/>
                <w:sz w:val="18"/>
                <w:szCs w:val="18"/>
              </w:rPr>
            </w:pPr>
          </w:p>
        </w:tc>
        <w:tc>
          <w:tcPr>
            <w:tcW w:w="2998" w:type="dxa"/>
            <w:vMerge w:val="continue"/>
            <w:vAlign w:val="center"/>
          </w:tcPr>
          <w:p>
            <w:pPr>
              <w:spacing w:line="120" w:lineRule="atLeast"/>
              <w:jc w:val="center"/>
              <w:rPr>
                <w:rFonts w:ascii="宋体" w:hAnsi="宋体" w:cs="楷体"/>
                <w:sz w:val="18"/>
                <w:szCs w:val="18"/>
              </w:rP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物资满足突发环境事件应急需求，并可从其他区域调用</w:t>
            </w:r>
          </w:p>
        </w:tc>
        <w:tc>
          <w:tcPr>
            <w:tcW w:w="883" w:type="dxa"/>
            <w:vAlign w:val="center"/>
          </w:tcPr>
          <w:p>
            <w:pPr>
              <w:spacing w:line="120" w:lineRule="atLeast"/>
              <w:jc w:val="center"/>
              <w:rPr>
                <w:rFonts w:hint="eastAsia" w:ascii="宋体" w:hAnsi="宋体" w:eastAsia="宋体" w:cs="楷体"/>
                <w:sz w:val="18"/>
                <w:szCs w:val="18"/>
                <w:lang w:eastAsia="zh-CN"/>
              </w:rPr>
            </w:pPr>
            <w:r>
              <w:rPr>
                <w:rFonts w:hint="eastAsia" w:ascii="宋体" w:hAnsi="宋体" w:cs="楷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583" w:type="dxa"/>
            <w:vMerge w:val="restart"/>
            <w:vAlign w:val="center"/>
          </w:tcPr>
          <w:p>
            <w:pPr>
              <w:widowControl/>
              <w:jc w:val="center"/>
              <w:rPr>
                <w:rFonts w:ascii="宋体" w:hAnsi="宋体" w:cs="楷体"/>
                <w:sz w:val="18"/>
                <w:szCs w:val="18"/>
              </w:rPr>
            </w:pPr>
            <w:r>
              <w:rPr>
                <w:rFonts w:hint="eastAsia" w:ascii="宋体" w:hAnsi="宋体" w:cs="宋体"/>
                <w:color w:val="000000"/>
                <w:kern w:val="0"/>
                <w:sz w:val="18"/>
                <w:szCs w:val="18"/>
              </w:rPr>
              <w:t xml:space="preserve">可能受有毒有害气体影响的人员疏散方案编制及落实情况 </w:t>
            </w:r>
          </w:p>
        </w:tc>
        <w:tc>
          <w:tcPr>
            <w:tcW w:w="2998"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大气突发环境事件应急疏散方案制定及落实情况</w:t>
            </w:r>
          </w:p>
        </w:tc>
        <w:tc>
          <w:tcPr>
            <w:tcW w:w="2893" w:type="dxa"/>
            <w:vAlign w:val="center"/>
          </w:tcPr>
          <w:p>
            <w:pPr>
              <w:spacing w:line="120" w:lineRule="atLeast"/>
              <w:jc w:val="center"/>
              <w:rPr>
                <w:rFonts w:ascii="宋体" w:hAnsi="宋体" w:cs="楷体"/>
                <w:sz w:val="18"/>
                <w:szCs w:val="18"/>
              </w:rPr>
            </w:pPr>
            <w:r>
              <w:rPr>
                <w:rFonts w:hint="eastAsia" w:ascii="宋体" w:hAnsi="宋体" w:cs="楷体"/>
                <w:sz w:val="18"/>
                <w:szCs w:val="18"/>
              </w:rPr>
              <w:t>未</w:t>
            </w:r>
            <w:r>
              <w:rPr>
                <w:rFonts w:ascii="宋体" w:hAnsi="宋体" w:cs="楷体"/>
                <w:sz w:val="18"/>
                <w:szCs w:val="18"/>
              </w:rPr>
              <w:t>制定大气突发环境事件应急疏 散方案</w:t>
            </w:r>
          </w:p>
        </w:tc>
        <w:tc>
          <w:tcPr>
            <w:tcW w:w="883" w:type="dxa"/>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2</w:t>
            </w: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83" w:type="dxa"/>
            <w:vMerge w:val="continue"/>
            <w:vAlign w:val="center"/>
          </w:tcPr>
          <w:p>
            <w:pPr>
              <w:spacing w:line="120" w:lineRule="atLeast"/>
              <w:jc w:val="center"/>
            </w:pPr>
          </w:p>
        </w:tc>
        <w:tc>
          <w:tcPr>
            <w:tcW w:w="2998" w:type="dxa"/>
            <w:vMerge w:val="continue"/>
            <w:vAlign w:val="center"/>
          </w:tcPr>
          <w:p>
            <w:pPr>
              <w:spacing w:line="120" w:lineRule="atLeast"/>
              <w:jc w:val="cente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已制定大气突发环境事件应急疏散方案，未组织演练</w:t>
            </w:r>
          </w:p>
        </w:tc>
        <w:tc>
          <w:tcPr>
            <w:tcW w:w="883" w:type="dxa"/>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583" w:type="dxa"/>
            <w:vMerge w:val="continue"/>
            <w:vAlign w:val="center"/>
          </w:tcPr>
          <w:p>
            <w:pPr>
              <w:spacing w:line="120" w:lineRule="atLeast"/>
              <w:jc w:val="center"/>
              <w:rPr>
                <w:rFonts w:ascii="宋体" w:hAnsi="宋体" w:cs="楷体"/>
                <w:sz w:val="18"/>
                <w:szCs w:val="18"/>
              </w:rPr>
            </w:pPr>
          </w:p>
        </w:tc>
        <w:tc>
          <w:tcPr>
            <w:tcW w:w="2998" w:type="dxa"/>
            <w:vMerge w:val="continue"/>
            <w:vAlign w:val="center"/>
          </w:tcPr>
          <w:p>
            <w:pPr>
              <w:spacing w:line="120" w:lineRule="atLeast"/>
              <w:jc w:val="center"/>
              <w:rPr>
                <w:rFonts w:ascii="宋体" w:hAnsi="宋体" w:cs="楷体"/>
                <w:sz w:val="18"/>
                <w:szCs w:val="18"/>
              </w:rPr>
            </w:pPr>
          </w:p>
        </w:tc>
        <w:tc>
          <w:tcPr>
            <w:tcW w:w="2893" w:type="dxa"/>
            <w:vAlign w:val="center"/>
          </w:tcPr>
          <w:p>
            <w:pPr>
              <w:spacing w:line="120" w:lineRule="atLeast"/>
              <w:jc w:val="center"/>
              <w:rPr>
                <w:rFonts w:ascii="宋体" w:hAnsi="宋体" w:cs="楷体"/>
                <w:sz w:val="18"/>
                <w:szCs w:val="18"/>
              </w:rPr>
            </w:pPr>
            <w:r>
              <w:rPr>
                <w:rFonts w:ascii="宋体" w:hAnsi="宋体" w:cs="楷体"/>
                <w:sz w:val="18"/>
                <w:szCs w:val="18"/>
              </w:rPr>
              <w:t>已制定大气突发环境事件应急疏散方案并组织演练</w:t>
            </w:r>
          </w:p>
        </w:tc>
        <w:tc>
          <w:tcPr>
            <w:tcW w:w="883" w:type="dxa"/>
            <w:vAlign w:val="center"/>
          </w:tcPr>
          <w:p>
            <w:pPr>
              <w:spacing w:line="120" w:lineRule="atLeast"/>
              <w:jc w:val="center"/>
              <w:rPr>
                <w:rFonts w:hint="eastAsia" w:ascii="宋体" w:hAnsi="宋体" w:eastAsia="宋体" w:cs="楷体"/>
                <w:sz w:val="18"/>
                <w:szCs w:val="18"/>
                <w:lang w:val="en-US" w:eastAsia="zh-CN"/>
              </w:rPr>
            </w:pPr>
            <w:r>
              <w:rPr>
                <w:rFonts w:hint="eastAsia" w:ascii="宋体" w:hAnsi="宋体" w:cs="楷体"/>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583"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 xml:space="preserve">规划环境影响评价中其他环境风险防控要求的落实情况 </w:t>
            </w:r>
          </w:p>
        </w:tc>
        <w:tc>
          <w:tcPr>
            <w:tcW w:w="2998"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 xml:space="preserve">大气环境风险防控要求落实情况 </w:t>
            </w:r>
          </w:p>
        </w:tc>
        <w:tc>
          <w:tcPr>
            <w:tcW w:w="2893" w:type="dxa"/>
            <w:vAlign w:val="center"/>
          </w:tcPr>
          <w:p>
            <w:pPr>
              <w:spacing w:line="120" w:lineRule="atLeast"/>
              <w:jc w:val="center"/>
              <w:rPr>
                <w:rFonts w:ascii="宋体" w:hAnsi="宋体" w:cs="楷体"/>
                <w:sz w:val="18"/>
                <w:szCs w:val="18"/>
              </w:rPr>
            </w:pPr>
            <w:r>
              <w:rPr>
                <w:rFonts w:hint="eastAsia" w:ascii="宋体" w:hAnsi="宋体" w:cs="楷体"/>
                <w:sz w:val="18"/>
                <w:szCs w:val="18"/>
              </w:rPr>
              <w:t xml:space="preserve">尚未落实 </w:t>
            </w:r>
          </w:p>
        </w:tc>
        <w:tc>
          <w:tcPr>
            <w:tcW w:w="883" w:type="dxa"/>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583" w:type="dxa"/>
            <w:vMerge w:val="continue"/>
            <w:vAlign w:val="center"/>
          </w:tcPr>
          <w:p>
            <w:pPr>
              <w:spacing w:line="120" w:lineRule="atLeast"/>
              <w:jc w:val="center"/>
              <w:rPr>
                <w:rFonts w:ascii="宋体" w:hAnsi="宋体" w:cs="楷体"/>
                <w:sz w:val="18"/>
                <w:szCs w:val="18"/>
              </w:rPr>
            </w:pPr>
          </w:p>
        </w:tc>
        <w:tc>
          <w:tcPr>
            <w:tcW w:w="2998" w:type="dxa"/>
            <w:vMerge w:val="continue"/>
            <w:vAlign w:val="center"/>
          </w:tcPr>
          <w:p>
            <w:pPr>
              <w:spacing w:line="120" w:lineRule="atLeast"/>
              <w:jc w:val="center"/>
              <w:rPr>
                <w:rFonts w:ascii="宋体" w:hAnsi="宋体" w:cs="楷体"/>
                <w:sz w:val="18"/>
                <w:szCs w:val="18"/>
              </w:rPr>
            </w:pPr>
          </w:p>
        </w:tc>
        <w:tc>
          <w:tcPr>
            <w:tcW w:w="2893" w:type="dxa"/>
            <w:vAlign w:val="center"/>
          </w:tcPr>
          <w:p>
            <w:pPr>
              <w:spacing w:line="120" w:lineRule="atLeast"/>
              <w:jc w:val="center"/>
              <w:rPr>
                <w:rFonts w:ascii="宋体" w:hAnsi="宋体" w:cs="楷体"/>
                <w:sz w:val="18"/>
                <w:szCs w:val="18"/>
              </w:rPr>
            </w:pPr>
            <w:r>
              <w:rPr>
                <w:rFonts w:hint="eastAsia" w:ascii="宋体" w:hAnsi="宋体" w:cs="楷体"/>
                <w:sz w:val="18"/>
                <w:szCs w:val="18"/>
              </w:rPr>
              <w:t xml:space="preserve">已部分落实 </w:t>
            </w:r>
          </w:p>
        </w:tc>
        <w:tc>
          <w:tcPr>
            <w:tcW w:w="883" w:type="dxa"/>
            <w:vAlign w:val="center"/>
          </w:tcPr>
          <w:p>
            <w:pPr>
              <w:spacing w:line="120" w:lineRule="atLeast"/>
              <w:jc w:val="center"/>
              <w:rPr>
                <w:rFonts w:hint="eastAsia" w:ascii="宋体" w:hAnsi="宋体" w:eastAsia="宋体" w:cs="楷体"/>
                <w:sz w:val="18"/>
                <w:szCs w:val="18"/>
                <w:lang w:val="en-US" w:eastAsia="zh-CN"/>
              </w:rPr>
            </w:pPr>
            <w:r>
              <w:rPr>
                <w:rFonts w:hint="eastAsia" w:ascii="宋体" w:hAnsi="宋体" w:cs="楷体"/>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583" w:type="dxa"/>
            <w:vMerge w:val="continue"/>
            <w:vAlign w:val="center"/>
          </w:tcPr>
          <w:p>
            <w:pPr>
              <w:spacing w:line="120" w:lineRule="atLeast"/>
              <w:jc w:val="center"/>
              <w:rPr>
                <w:rFonts w:ascii="宋体" w:hAnsi="宋体" w:cs="楷体"/>
                <w:sz w:val="18"/>
                <w:szCs w:val="18"/>
              </w:rPr>
            </w:pPr>
          </w:p>
        </w:tc>
        <w:tc>
          <w:tcPr>
            <w:tcW w:w="2998" w:type="dxa"/>
            <w:vMerge w:val="continue"/>
            <w:vAlign w:val="center"/>
          </w:tcPr>
          <w:p>
            <w:pPr>
              <w:spacing w:line="120" w:lineRule="atLeast"/>
              <w:jc w:val="center"/>
              <w:rPr>
                <w:rFonts w:ascii="宋体" w:hAnsi="宋体" w:cs="楷体"/>
                <w:sz w:val="18"/>
                <w:szCs w:val="18"/>
              </w:rPr>
            </w:pPr>
          </w:p>
        </w:tc>
        <w:tc>
          <w:tcPr>
            <w:tcW w:w="2893" w:type="dxa"/>
            <w:vAlign w:val="center"/>
          </w:tcPr>
          <w:p>
            <w:pPr>
              <w:spacing w:line="120" w:lineRule="atLeast"/>
              <w:jc w:val="center"/>
              <w:rPr>
                <w:rFonts w:ascii="宋体" w:hAnsi="宋体" w:cs="楷体"/>
                <w:sz w:val="18"/>
                <w:szCs w:val="18"/>
              </w:rPr>
            </w:pPr>
            <w:r>
              <w:rPr>
                <w:rFonts w:hint="eastAsia" w:ascii="宋体" w:hAnsi="宋体" w:cs="楷体"/>
                <w:sz w:val="18"/>
                <w:szCs w:val="18"/>
              </w:rPr>
              <w:t>全部落实</w:t>
            </w:r>
          </w:p>
        </w:tc>
        <w:tc>
          <w:tcPr>
            <w:tcW w:w="883" w:type="dxa"/>
            <w:vAlign w:val="center"/>
          </w:tcPr>
          <w:p>
            <w:pPr>
              <w:spacing w:line="120" w:lineRule="atLeast"/>
              <w:jc w:val="center"/>
              <w:rPr>
                <w:rFonts w:hint="eastAsia" w:ascii="宋体" w:hAnsi="宋体" w:eastAsia="宋体" w:cs="楷体"/>
                <w:sz w:val="18"/>
                <w:szCs w:val="18"/>
                <w:lang w:val="en-US" w:eastAsia="zh-CN"/>
              </w:rPr>
            </w:pPr>
            <w:r>
              <w:rPr>
                <w:rFonts w:hint="eastAsia" w:ascii="宋体" w:hAnsi="宋体" w:cs="楷体"/>
                <w:sz w:val="18"/>
                <w:szCs w:val="18"/>
                <w:lang w:val="en-US" w:eastAsia="zh-CN"/>
              </w:rPr>
              <w:t>3</w:t>
            </w:r>
          </w:p>
        </w:tc>
      </w:tr>
    </w:tbl>
    <w:p>
      <w:pPr>
        <w:spacing w:before="156" w:beforeLines="50" w:after="156" w:afterLines="50" w:line="340" w:lineRule="exact"/>
        <w:outlineLvl w:val="1"/>
        <w:rPr>
          <w:rFonts w:ascii="宋体" w:hAnsi="宋体" w:cs="楷体"/>
          <w:b/>
          <w:szCs w:val="21"/>
        </w:rPr>
      </w:pPr>
      <w:r>
        <w:rPr>
          <w:rFonts w:hint="eastAsia" w:ascii="宋体" w:hAnsi="宋体" w:cs="楷体"/>
          <w:b/>
          <w:szCs w:val="21"/>
        </w:rPr>
        <w:t xml:space="preserve">9.3 </w:t>
      </w:r>
      <w:r>
        <w:rPr>
          <w:rFonts w:ascii="宋体" w:hAnsi="宋体" w:cs="楷体"/>
          <w:b/>
          <w:szCs w:val="21"/>
        </w:rPr>
        <w:t>水环境风险评估</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9.3.1 水环境风险源强度（S</w:t>
      </w:r>
      <w:r>
        <w:rPr>
          <w:rFonts w:hint="eastAsia" w:ascii="宋体" w:hAnsi="宋体" w:cs="楷体"/>
          <w:b/>
          <w:szCs w:val="21"/>
          <w:vertAlign w:val="subscript"/>
        </w:rPr>
        <w:t>水</w:t>
      </w:r>
      <w:r>
        <w:rPr>
          <w:rFonts w:hint="eastAsia" w:ascii="宋体" w:hAnsi="宋体" w:cs="楷体"/>
          <w:b/>
          <w:szCs w:val="21"/>
        </w:rPr>
        <w:t>）评估</w:t>
      </w:r>
    </w:p>
    <w:p>
      <w:pPr>
        <w:spacing w:before="156" w:beforeLines="50" w:after="156" w:afterLines="50" w:line="340" w:lineRule="exact"/>
        <w:ind w:firstLine="420" w:firstLineChars="200"/>
        <w:outlineLvl w:val="1"/>
        <w:rPr>
          <w:rFonts w:ascii="宋体" w:hAnsi="宋体" w:cs="楷体"/>
          <w:bCs/>
          <w:szCs w:val="21"/>
        </w:rPr>
      </w:pPr>
      <w:r>
        <w:rPr>
          <w:rFonts w:ascii="宋体" w:hAnsi="宋体" w:cs="楷体"/>
          <w:bCs/>
          <w:szCs w:val="21"/>
        </w:rPr>
        <w:t>采用评分法对工业园区水环境固定源、移动源</w:t>
      </w:r>
      <w:r>
        <w:rPr>
          <w:rFonts w:hint="eastAsia" w:ascii="宋体" w:hAnsi="宋体" w:cs="楷体"/>
          <w:bCs/>
          <w:szCs w:val="21"/>
        </w:rPr>
        <w:t>风险</w:t>
      </w:r>
      <w:r>
        <w:rPr>
          <w:rFonts w:ascii="宋体" w:hAnsi="宋体" w:cs="楷体"/>
          <w:bCs/>
          <w:szCs w:val="21"/>
        </w:rPr>
        <w:t>强度进行评估，将各项指标分值累加，确定工业园区水环境风险源强度（S</w:t>
      </w:r>
      <w:r>
        <w:rPr>
          <w:rFonts w:ascii="宋体" w:hAnsi="宋体" w:cs="楷体"/>
          <w:bCs/>
          <w:szCs w:val="21"/>
          <w:vertAlign w:val="subscript"/>
        </w:rPr>
        <w:t>水</w:t>
      </w:r>
      <w:r>
        <w:rPr>
          <w:rFonts w:ascii="宋体" w:hAnsi="宋体" w:cs="楷体"/>
          <w:bCs/>
          <w:szCs w:val="21"/>
        </w:rPr>
        <w:t>）评估指标数值，最高为100分</w:t>
      </w:r>
      <w:r>
        <w:rPr>
          <w:rFonts w:hint="eastAsia" w:ascii="宋体" w:hAnsi="宋体" w:cs="楷体"/>
          <w:bCs/>
          <w:szCs w:val="21"/>
        </w:rPr>
        <w:t>。</w:t>
      </w:r>
    </w:p>
    <w:p>
      <w:pPr>
        <w:spacing w:before="156" w:beforeLines="50" w:after="156" w:afterLines="50" w:line="340" w:lineRule="exact"/>
        <w:jc w:val="center"/>
        <w:outlineLvl w:val="1"/>
        <w:rPr>
          <w:rFonts w:ascii="宋体" w:hAnsi="宋体" w:cs="楷体"/>
          <w:b/>
          <w:szCs w:val="21"/>
        </w:rPr>
      </w:pPr>
      <w:r>
        <w:rPr>
          <w:rFonts w:ascii="宋体" w:hAnsi="宋体" w:cs="楷体"/>
          <w:b/>
          <w:szCs w:val="21"/>
        </w:rPr>
        <w:t xml:space="preserve">表 </w:t>
      </w:r>
      <w:r>
        <w:rPr>
          <w:rFonts w:hint="eastAsia" w:ascii="宋体" w:hAnsi="宋体" w:cs="楷体"/>
          <w:b/>
          <w:szCs w:val="21"/>
        </w:rPr>
        <w:t xml:space="preserve"> </w:t>
      </w:r>
      <w:r>
        <w:rPr>
          <w:rFonts w:ascii="宋体" w:hAnsi="宋体" w:cs="楷体"/>
          <w:b/>
          <w:szCs w:val="21"/>
        </w:rPr>
        <w:t>4 工业园区水环境风险源强度（S</w:t>
      </w:r>
      <w:r>
        <w:rPr>
          <w:rFonts w:ascii="宋体" w:hAnsi="宋体" w:cs="楷体"/>
          <w:b/>
          <w:szCs w:val="21"/>
          <w:vertAlign w:val="subscript"/>
        </w:rPr>
        <w:t>水</w:t>
      </w:r>
      <w:r>
        <w:rPr>
          <w:rFonts w:ascii="宋体" w:hAnsi="宋体" w:cs="楷体"/>
          <w:b/>
          <w:szCs w:val="21"/>
        </w:rPr>
        <w:t>）评估</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45"/>
        <w:gridCol w:w="2745"/>
        <w:gridCol w:w="298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981"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类 别</w:t>
            </w:r>
          </w:p>
        </w:tc>
        <w:tc>
          <w:tcPr>
            <w:tcW w:w="1545"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评估指标</w:t>
            </w:r>
          </w:p>
        </w:tc>
        <w:tc>
          <w:tcPr>
            <w:tcW w:w="2745"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指标说明</w:t>
            </w:r>
          </w:p>
        </w:tc>
        <w:tc>
          <w:tcPr>
            <w:tcW w:w="2986"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860"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固定源</w:t>
            </w: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较大及以上环境风险企业</w:t>
            </w:r>
            <w:r>
              <w:rPr>
                <w:rFonts w:hint="eastAsia" w:ascii="宋体" w:hAnsi="宋体" w:cs="楷体"/>
                <w:sz w:val="18"/>
                <w:szCs w:val="18"/>
                <w:vertAlign w:val="superscript"/>
                <w:lang w:val="en-US" w:eastAsia="zh-CN"/>
              </w:rPr>
              <w:t>b</w:t>
            </w:r>
            <w:r>
              <w:rPr>
                <w:rFonts w:ascii="宋体" w:hAnsi="宋体" w:cs="楷体"/>
                <w:sz w:val="18"/>
                <w:szCs w:val="18"/>
              </w:rPr>
              <w:t>所占百分比</w:t>
            </w:r>
          </w:p>
        </w:tc>
        <w:tc>
          <w:tcPr>
            <w:tcW w:w="2745"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水</w:t>
            </w:r>
            <w:r>
              <w:rPr>
                <w:rFonts w:ascii="宋体" w:hAnsi="宋体" w:cs="楷体"/>
                <w:sz w:val="18"/>
                <w:szCs w:val="18"/>
              </w:rPr>
              <w:t>环境风险等级为较大及以上企业数量占工业园区所有环境风险企业数量的百分数（%）</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＞50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(30,50]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(10,30]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单位面积环境风险物质存量与临界量的比值</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工业园区内涉</w:t>
            </w:r>
            <w:r>
              <w:rPr>
                <w:rFonts w:hint="eastAsia" w:ascii="宋体" w:hAnsi="宋体" w:cs="楷体"/>
                <w:sz w:val="18"/>
                <w:szCs w:val="18"/>
              </w:rPr>
              <w:t>水</w:t>
            </w:r>
            <w:r>
              <w:rPr>
                <w:rFonts w:ascii="宋体" w:hAnsi="宋体" w:cs="楷体"/>
                <w:sz w:val="18"/>
                <w:szCs w:val="18"/>
              </w:rPr>
              <w:t>环境风险物质数量与临界量</w:t>
            </w:r>
            <w:r>
              <w:rPr>
                <w:rFonts w:hint="eastAsia" w:ascii="宋体" w:hAnsi="宋体" w:cs="楷体"/>
                <w:sz w:val="18"/>
                <w:szCs w:val="18"/>
                <w:vertAlign w:val="superscript"/>
                <w:lang w:val="en-US" w:eastAsia="zh-CN"/>
              </w:rPr>
              <w:t>a</w:t>
            </w:r>
            <w:r>
              <w:rPr>
                <w:rFonts w:ascii="宋体" w:hAnsi="宋体" w:cs="楷体"/>
                <w:sz w:val="18"/>
                <w:szCs w:val="18"/>
              </w:rPr>
              <w:t>的比值除以评估区域面积（面积单位：平方公里）</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(10,100]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单位企业危险废物产生情况</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工业园区内危险废物年产生量除以企业数量（吨/个）</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(50,100]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(10,50]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移动源</w:t>
            </w:r>
          </w:p>
        </w:tc>
        <w:tc>
          <w:tcPr>
            <w:tcW w:w="15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道路年运输环境风险物质数量</w:t>
            </w:r>
          </w:p>
        </w:tc>
        <w:tc>
          <w:tcPr>
            <w:tcW w:w="2745"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园区内每年以道路运输方式运输涉</w:t>
            </w:r>
            <w:r>
              <w:rPr>
                <w:rFonts w:hint="eastAsia" w:ascii="宋体" w:hAnsi="宋体" w:cs="楷体"/>
                <w:sz w:val="18"/>
                <w:szCs w:val="18"/>
              </w:rPr>
              <w:t>水</w:t>
            </w:r>
            <w:r>
              <w:rPr>
                <w:rFonts w:ascii="宋体" w:hAnsi="宋体" w:cs="楷体"/>
                <w:sz w:val="18"/>
                <w:szCs w:val="18"/>
              </w:rPr>
              <w:t>环境风险物质数量（万吨）</w:t>
            </w: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＞300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pPr>
          </w:p>
        </w:tc>
        <w:tc>
          <w:tcPr>
            <w:tcW w:w="1545" w:type="dxa"/>
            <w:vMerge w:val="continue"/>
            <w:vAlign w:val="center"/>
          </w:tcPr>
          <w:p>
            <w:pPr>
              <w:spacing w:line="120" w:lineRule="atLeast"/>
              <w:jc w:val="center"/>
            </w:pPr>
          </w:p>
        </w:tc>
        <w:tc>
          <w:tcPr>
            <w:tcW w:w="2745" w:type="dxa"/>
            <w:vMerge w:val="continue"/>
            <w:vAlign w:val="center"/>
          </w:tcPr>
          <w:p>
            <w:pPr>
              <w:spacing w:line="120" w:lineRule="atLeast"/>
              <w:jc w:val="cente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(30,300]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(10,30]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Merge w:val="continue"/>
            <w:vAlign w:val="center"/>
          </w:tcPr>
          <w:p>
            <w:pPr>
              <w:spacing w:line="120" w:lineRule="atLeast"/>
              <w:jc w:val="center"/>
              <w:rPr>
                <w:rFonts w:ascii="宋体" w:hAnsi="宋体" w:cs="楷体"/>
                <w:sz w:val="18"/>
                <w:szCs w:val="18"/>
              </w:rPr>
            </w:pPr>
          </w:p>
        </w:tc>
        <w:tc>
          <w:tcPr>
            <w:tcW w:w="2745" w:type="dxa"/>
            <w:vMerge w:val="continue"/>
            <w:vAlign w:val="center"/>
          </w:tcPr>
          <w:p>
            <w:pPr>
              <w:spacing w:line="120" w:lineRule="atLeast"/>
              <w:jc w:val="center"/>
              <w:rPr>
                <w:rFonts w:ascii="宋体" w:hAnsi="宋体" w:cs="楷体"/>
                <w:sz w:val="18"/>
                <w:szCs w:val="18"/>
              </w:rPr>
            </w:pPr>
          </w:p>
        </w:tc>
        <w:tc>
          <w:tcPr>
            <w:tcW w:w="2986"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81" w:type="dxa"/>
            <w:vMerge w:val="continue"/>
            <w:vAlign w:val="center"/>
          </w:tcPr>
          <w:p>
            <w:pPr>
              <w:spacing w:line="120" w:lineRule="atLeast"/>
              <w:jc w:val="center"/>
              <w:rPr>
                <w:rFonts w:ascii="宋体" w:hAnsi="宋体" w:cs="楷体"/>
                <w:sz w:val="18"/>
                <w:szCs w:val="18"/>
              </w:rPr>
            </w:pPr>
          </w:p>
        </w:tc>
        <w:tc>
          <w:tcPr>
            <w:tcW w:w="1545" w:type="dxa"/>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分布在</w:t>
            </w:r>
            <w:r>
              <w:rPr>
                <w:rFonts w:ascii="宋体" w:hAnsi="宋体" w:cs="楷体"/>
                <w:sz w:val="18"/>
                <w:szCs w:val="18"/>
              </w:rPr>
              <w:t>企业边界</w:t>
            </w:r>
            <w:r>
              <w:rPr>
                <w:rFonts w:hint="eastAsia" w:ascii="宋体" w:hAnsi="宋体" w:cs="楷体"/>
                <w:sz w:val="18"/>
                <w:szCs w:val="18"/>
                <w:lang w:val="en-US" w:eastAsia="zh-CN"/>
              </w:rPr>
              <w:t>外</w:t>
            </w:r>
            <w:r>
              <w:rPr>
                <w:rFonts w:ascii="宋体" w:hAnsi="宋体" w:cs="楷体"/>
                <w:sz w:val="18"/>
                <w:szCs w:val="18"/>
              </w:rPr>
              <w:t>环境风险物质公共</w:t>
            </w:r>
            <w:r>
              <w:rPr>
                <w:rFonts w:hint="eastAsia" w:ascii="宋体" w:hAnsi="宋体" w:cs="楷体"/>
                <w:sz w:val="18"/>
                <w:szCs w:val="18"/>
              </w:rPr>
              <w:t>输送</w:t>
            </w:r>
            <w:r>
              <w:rPr>
                <w:rFonts w:ascii="宋体" w:hAnsi="宋体" w:cs="楷体"/>
                <w:sz w:val="18"/>
                <w:szCs w:val="18"/>
              </w:rPr>
              <w:t>管线</w:t>
            </w:r>
          </w:p>
        </w:tc>
        <w:tc>
          <w:tcPr>
            <w:tcW w:w="2745" w:type="dxa"/>
            <w:vAlign w:val="center"/>
          </w:tcPr>
          <w:p>
            <w:pPr>
              <w:spacing w:line="120" w:lineRule="atLeast"/>
              <w:jc w:val="center"/>
              <w:rPr>
                <w:rFonts w:ascii="宋体" w:hAnsi="宋体" w:cs="楷体"/>
                <w:sz w:val="18"/>
                <w:szCs w:val="18"/>
              </w:rPr>
            </w:pPr>
            <w:r>
              <w:rPr>
                <w:rFonts w:ascii="宋体" w:hAnsi="宋体" w:cs="楷体"/>
                <w:sz w:val="18"/>
                <w:szCs w:val="18"/>
              </w:rPr>
              <w:t>分布在企业边界外的输送涉</w:t>
            </w:r>
            <w:r>
              <w:rPr>
                <w:rFonts w:hint="eastAsia" w:ascii="宋体" w:hAnsi="宋体" w:cs="楷体"/>
                <w:sz w:val="18"/>
                <w:szCs w:val="18"/>
              </w:rPr>
              <w:t>水</w:t>
            </w:r>
            <w:r>
              <w:rPr>
                <w:rFonts w:ascii="宋体" w:hAnsi="宋体" w:cs="楷体"/>
                <w:sz w:val="18"/>
                <w:szCs w:val="18"/>
              </w:rPr>
              <w:t>环境风险物质管线长度（千米）</w:t>
            </w:r>
          </w:p>
        </w:tc>
        <w:tc>
          <w:tcPr>
            <w:tcW w:w="2986" w:type="dxa"/>
            <w:vAlign w:val="center"/>
          </w:tcPr>
          <w:p>
            <w:pPr>
              <w:spacing w:line="120" w:lineRule="atLeast"/>
              <w:jc w:val="center"/>
              <w:rPr>
                <w:rFonts w:ascii="宋体" w:hAnsi="宋体" w:cs="楷体"/>
                <w:sz w:val="18"/>
                <w:szCs w:val="18"/>
              </w:rPr>
            </w:pPr>
            <w:r>
              <w:rPr>
                <w:rFonts w:hint="eastAsia" w:ascii="宋体" w:hAnsi="宋体" w:cs="楷体"/>
                <w:sz w:val="18"/>
                <w:szCs w:val="18"/>
                <w:lang w:val="en-US" w:eastAsia="zh-CN"/>
              </w:rPr>
              <w:t>每千米0.5分，最高20分</w:t>
            </w:r>
          </w:p>
        </w:tc>
        <w:tc>
          <w:tcPr>
            <w:tcW w:w="86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117" w:type="dxa"/>
            <w:gridSpan w:val="5"/>
            <w:vAlign w:val="center"/>
          </w:tcPr>
          <w:p>
            <w:pPr>
              <w:spacing w:line="120" w:lineRule="atLeast"/>
              <w:ind w:firstLine="0" w:firstLineChars="0"/>
              <w:jc w:val="left"/>
              <w:rPr>
                <w:rFonts w:hint="eastAsia" w:ascii="宋体" w:hAnsi="宋体" w:cs="楷体"/>
                <w:sz w:val="18"/>
                <w:szCs w:val="18"/>
                <w:lang w:eastAsia="zh-CN"/>
              </w:rPr>
            </w:pPr>
            <w:r>
              <w:rPr>
                <w:rFonts w:hint="eastAsia" w:ascii="宋体" w:hAnsi="宋体" w:cs="楷体"/>
                <w:sz w:val="18"/>
                <w:szCs w:val="18"/>
              </w:rPr>
              <w:t>注:</w:t>
            </w:r>
            <w:r>
              <w:rPr>
                <w:rFonts w:hint="eastAsia" w:ascii="宋体" w:hAnsi="宋体" w:cs="楷体"/>
                <w:sz w:val="18"/>
                <w:szCs w:val="18"/>
                <w:lang w:val="en-US" w:eastAsia="zh-CN"/>
              </w:rPr>
              <w:t xml:space="preserve"> </w:t>
            </w:r>
            <w:r>
              <w:rPr>
                <w:rFonts w:hint="eastAsia" w:ascii="宋体" w:hAnsi="宋体" w:cs="楷体"/>
                <w:sz w:val="18"/>
                <w:szCs w:val="18"/>
                <w:vertAlign w:val="superscript"/>
                <w:lang w:val="en-US" w:eastAsia="zh-CN"/>
              </w:rPr>
              <w:t>a</w:t>
            </w:r>
            <w:r>
              <w:rPr>
                <w:rFonts w:hint="eastAsia" w:ascii="宋体" w:hAnsi="宋体" w:cs="楷体"/>
                <w:sz w:val="18"/>
                <w:szCs w:val="18"/>
              </w:rPr>
              <w:t>涉</w:t>
            </w:r>
            <w:r>
              <w:rPr>
                <w:rFonts w:hint="eastAsia" w:ascii="宋体" w:hAnsi="宋体" w:cs="楷体"/>
                <w:sz w:val="18"/>
                <w:szCs w:val="18"/>
                <w:lang w:val="en-US" w:eastAsia="zh-CN"/>
              </w:rPr>
              <w:t>水</w:t>
            </w:r>
            <w:r>
              <w:rPr>
                <w:rFonts w:hint="eastAsia" w:ascii="宋体" w:hAnsi="宋体" w:cs="楷体"/>
                <w:sz w:val="18"/>
                <w:szCs w:val="18"/>
              </w:rPr>
              <w:t>环境风险物质指HJ941中</w:t>
            </w:r>
            <w:r>
              <w:rPr>
                <w:rFonts w:hint="eastAsia" w:ascii="宋体" w:hAnsi="宋体" w:cs="楷体"/>
                <w:sz w:val="18"/>
                <w:szCs w:val="18"/>
                <w:lang w:val="en-US" w:eastAsia="zh-CN"/>
              </w:rPr>
              <w:t>7</w:t>
            </w:r>
            <w:r>
              <w:rPr>
                <w:rFonts w:hint="eastAsia" w:ascii="宋体" w:hAnsi="宋体" w:cs="楷体"/>
                <w:sz w:val="18"/>
                <w:szCs w:val="18"/>
              </w:rPr>
              <w:t>.1章节规定的相应环境风险物质</w:t>
            </w:r>
            <w:r>
              <w:rPr>
                <w:rFonts w:hint="eastAsia" w:ascii="宋体" w:hAnsi="宋体" w:cs="楷体"/>
                <w:sz w:val="18"/>
                <w:szCs w:val="18"/>
                <w:lang w:eastAsia="zh-CN"/>
              </w:rPr>
              <w:t>；</w:t>
            </w:r>
          </w:p>
          <w:p>
            <w:pPr>
              <w:spacing w:line="120" w:lineRule="atLeast"/>
              <w:ind w:firstLine="360" w:firstLineChars="200"/>
              <w:jc w:val="left"/>
              <w:rPr>
                <w:rFonts w:hint="eastAsia" w:ascii="宋体" w:hAnsi="宋体" w:cs="楷体"/>
                <w:sz w:val="18"/>
                <w:szCs w:val="18"/>
              </w:rPr>
            </w:pPr>
            <w:r>
              <w:rPr>
                <w:rFonts w:hint="eastAsia" w:ascii="宋体" w:hAnsi="宋体" w:cs="楷体"/>
                <w:sz w:val="18"/>
                <w:szCs w:val="18"/>
                <w:vertAlign w:val="superscript"/>
                <w:lang w:val="en-US" w:eastAsia="zh-CN"/>
              </w:rPr>
              <w:t>b</w:t>
            </w:r>
            <w:r>
              <w:rPr>
                <w:rFonts w:hint="eastAsia" w:ascii="宋体" w:hAnsi="宋体" w:cs="楷体"/>
                <w:sz w:val="18"/>
                <w:szCs w:val="18"/>
              </w:rPr>
              <w:t>环境风险企业指HJ941中所规定的企业</w:t>
            </w:r>
            <w:r>
              <w:rPr>
                <w:rFonts w:hint="eastAsia" w:ascii="宋体" w:hAnsi="宋体" w:cs="楷体"/>
                <w:sz w:val="18"/>
                <w:szCs w:val="18"/>
                <w:lang w:eastAsia="zh-CN"/>
              </w:rPr>
              <w:t>；</w:t>
            </w:r>
          </w:p>
        </w:tc>
      </w:tr>
    </w:tbl>
    <w:p>
      <w:pPr>
        <w:spacing w:before="156" w:beforeLines="50" w:after="156" w:afterLines="50" w:line="340" w:lineRule="exact"/>
        <w:outlineLvl w:val="1"/>
        <w:rPr>
          <w:rFonts w:ascii="宋体" w:hAnsi="宋体" w:cs="楷体"/>
          <w:b/>
          <w:szCs w:val="21"/>
        </w:rPr>
      </w:pPr>
      <w:r>
        <w:rPr>
          <w:rFonts w:hint="eastAsia" w:ascii="宋体" w:hAnsi="宋体" w:cs="楷体"/>
          <w:b/>
          <w:szCs w:val="21"/>
        </w:rPr>
        <w:t xml:space="preserve">9.3.2 </w:t>
      </w:r>
      <w:r>
        <w:rPr>
          <w:rFonts w:ascii="宋体" w:hAnsi="宋体" w:cs="楷体"/>
          <w:b/>
          <w:szCs w:val="21"/>
        </w:rPr>
        <w:t>水环境风险受体脆弱性（V</w:t>
      </w:r>
      <w:r>
        <w:rPr>
          <w:rFonts w:ascii="宋体" w:hAnsi="宋体" w:cs="楷体"/>
          <w:b/>
          <w:szCs w:val="21"/>
          <w:vertAlign w:val="subscript"/>
        </w:rPr>
        <w:t>水</w:t>
      </w:r>
      <w:r>
        <w:rPr>
          <w:rFonts w:ascii="宋体" w:hAnsi="宋体" w:cs="楷体"/>
          <w:b/>
          <w:szCs w:val="21"/>
        </w:rPr>
        <w:t>）评估</w:t>
      </w:r>
    </w:p>
    <w:p>
      <w:pPr>
        <w:spacing w:before="156" w:beforeLines="50" w:after="156" w:afterLines="50" w:line="340" w:lineRule="exact"/>
        <w:ind w:firstLine="420" w:firstLineChars="200"/>
        <w:outlineLvl w:val="1"/>
        <w:rPr>
          <w:rFonts w:ascii="宋体" w:hAnsi="宋体" w:cs="楷体"/>
          <w:bCs/>
          <w:szCs w:val="21"/>
        </w:rPr>
      </w:pPr>
      <w:r>
        <w:rPr>
          <w:rFonts w:ascii="宋体" w:hAnsi="宋体" w:cs="楷体"/>
          <w:bCs/>
          <w:szCs w:val="21"/>
        </w:rPr>
        <w:t>采用评分法对工业园区水环境风险受体数量</w:t>
      </w:r>
      <w:r>
        <w:rPr>
          <w:rFonts w:hint="eastAsia" w:ascii="宋体" w:hAnsi="宋体" w:cs="楷体"/>
          <w:bCs/>
          <w:szCs w:val="21"/>
        </w:rPr>
        <w:t>与</w:t>
      </w:r>
      <w:r>
        <w:rPr>
          <w:rFonts w:ascii="宋体" w:hAnsi="宋体" w:cs="楷体"/>
          <w:bCs/>
          <w:szCs w:val="21"/>
        </w:rPr>
        <w:t>水网密度进行评估，将各项指标分值累加，确定园区水环境风险受体脆弱性（V</w:t>
      </w:r>
      <w:r>
        <w:rPr>
          <w:rFonts w:ascii="宋体" w:hAnsi="宋体" w:cs="楷体"/>
          <w:bCs/>
          <w:szCs w:val="21"/>
          <w:vertAlign w:val="subscript"/>
        </w:rPr>
        <w:t>水</w:t>
      </w:r>
      <w:r>
        <w:rPr>
          <w:rFonts w:ascii="宋体" w:hAnsi="宋体" w:cs="楷体"/>
          <w:bCs/>
          <w:szCs w:val="21"/>
        </w:rPr>
        <w:t>）评估指标数值，最高为100分</w:t>
      </w:r>
      <w:r>
        <w:rPr>
          <w:rFonts w:hint="eastAsia" w:ascii="宋体" w:hAnsi="宋体" w:cs="楷体"/>
          <w:bCs/>
          <w:szCs w:val="21"/>
        </w:rPr>
        <w:t>。</w:t>
      </w:r>
    </w:p>
    <w:p>
      <w:pPr>
        <w:spacing w:before="156" w:beforeLines="50" w:after="156" w:afterLines="50" w:line="340" w:lineRule="exact"/>
        <w:jc w:val="center"/>
        <w:outlineLvl w:val="1"/>
        <w:rPr>
          <w:rFonts w:ascii="宋体" w:hAnsi="宋体" w:cs="楷体"/>
          <w:b/>
          <w:szCs w:val="21"/>
        </w:rPr>
      </w:pPr>
      <w:r>
        <w:rPr>
          <w:rFonts w:ascii="宋体" w:hAnsi="宋体" w:cs="楷体"/>
          <w:b/>
          <w:szCs w:val="21"/>
        </w:rPr>
        <w:t>表</w:t>
      </w:r>
      <w:r>
        <w:rPr>
          <w:rFonts w:hint="eastAsia" w:ascii="宋体" w:hAnsi="宋体" w:cs="楷体"/>
          <w:b/>
          <w:szCs w:val="21"/>
        </w:rPr>
        <w:t xml:space="preserve"> </w:t>
      </w:r>
      <w:r>
        <w:rPr>
          <w:rFonts w:ascii="宋体" w:hAnsi="宋体" w:cs="楷体"/>
          <w:b/>
          <w:szCs w:val="21"/>
        </w:rPr>
        <w:t xml:space="preserve"> 5 </w:t>
      </w:r>
      <w:r>
        <w:rPr>
          <w:rFonts w:hint="eastAsia" w:ascii="宋体" w:hAnsi="宋体" w:cs="楷体"/>
          <w:b/>
          <w:szCs w:val="21"/>
        </w:rPr>
        <w:t xml:space="preserve"> </w:t>
      </w:r>
      <w:r>
        <w:rPr>
          <w:rFonts w:ascii="宋体" w:hAnsi="宋体" w:cs="楷体"/>
          <w:b/>
          <w:szCs w:val="21"/>
        </w:rPr>
        <w:t>水环境风险受体脆弱性（V</w:t>
      </w:r>
      <w:r>
        <w:rPr>
          <w:rFonts w:ascii="宋体" w:hAnsi="宋体" w:cs="楷体"/>
          <w:b/>
          <w:szCs w:val="21"/>
          <w:vertAlign w:val="subscript"/>
        </w:rPr>
        <w:t>水</w:t>
      </w:r>
      <w:r>
        <w:rPr>
          <w:rFonts w:ascii="宋体" w:hAnsi="宋体" w:cs="楷体"/>
          <w:b/>
          <w:szCs w:val="21"/>
        </w:rPr>
        <w:t>）评估</w:t>
      </w:r>
    </w:p>
    <w:tbl>
      <w:tblPr>
        <w:tblStyle w:val="20"/>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950"/>
        <w:gridCol w:w="4791"/>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1278" w:type="dxa"/>
            <w:vAlign w:val="center"/>
          </w:tcPr>
          <w:p>
            <w:pPr>
              <w:spacing w:line="120" w:lineRule="atLeast"/>
              <w:jc w:val="center"/>
              <w:rPr>
                <w:rFonts w:ascii="宋体" w:hAnsi="宋体" w:cs="楷体"/>
                <w:b/>
                <w:bCs/>
                <w:sz w:val="18"/>
                <w:szCs w:val="18"/>
              </w:rPr>
            </w:pPr>
            <w:bookmarkStart w:id="52" w:name="_Toc115019682"/>
            <w:bookmarkStart w:id="53" w:name="_Toc115019945"/>
            <w:r>
              <w:rPr>
                <w:rFonts w:hint="eastAsia" w:ascii="宋体" w:hAnsi="宋体" w:cs="楷体"/>
                <w:b/>
                <w:bCs/>
                <w:sz w:val="18"/>
                <w:szCs w:val="18"/>
              </w:rPr>
              <w:t>评估指标</w:t>
            </w:r>
          </w:p>
        </w:tc>
        <w:tc>
          <w:tcPr>
            <w:tcW w:w="1950"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指标说明</w:t>
            </w:r>
          </w:p>
        </w:tc>
        <w:tc>
          <w:tcPr>
            <w:tcW w:w="4791"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925"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78" w:type="dxa"/>
            <w:vMerge w:val="restart"/>
            <w:vAlign w:val="center"/>
          </w:tcPr>
          <w:p>
            <w:pPr>
              <w:spacing w:line="120" w:lineRule="atLeast"/>
              <w:jc w:val="center"/>
              <w:rPr>
                <w:rFonts w:ascii="宋体" w:hAnsi="宋体" w:cs="楷体"/>
                <w:sz w:val="18"/>
                <w:szCs w:val="18"/>
              </w:rPr>
            </w:pPr>
            <w:r>
              <w:rPr>
                <w:rFonts w:hint="eastAsia" w:ascii="宋体" w:hAnsi="宋体" w:cs="楷体"/>
                <w:sz w:val="18"/>
                <w:szCs w:val="18"/>
              </w:rPr>
              <w:t xml:space="preserve">水环境风险受体敏感性 </w:t>
            </w:r>
          </w:p>
        </w:tc>
        <w:tc>
          <w:tcPr>
            <w:tcW w:w="1950" w:type="dxa"/>
            <w:vMerge w:val="restart"/>
            <w:vAlign w:val="center"/>
          </w:tcPr>
          <w:p>
            <w:pPr>
              <w:spacing w:line="120" w:lineRule="atLeast"/>
              <w:jc w:val="center"/>
              <w:rPr>
                <w:rFonts w:ascii="宋体" w:hAnsi="宋体" w:cs="楷体"/>
                <w:sz w:val="18"/>
                <w:szCs w:val="18"/>
              </w:rPr>
            </w:pPr>
            <w:r>
              <w:rPr>
                <w:rFonts w:ascii="宋体" w:hAnsi="宋体" w:cs="楷体"/>
                <w:sz w:val="18"/>
                <w:szCs w:val="18"/>
              </w:rPr>
              <w:t>水环境风险受体分布</w:t>
            </w:r>
          </w:p>
        </w:tc>
        <w:tc>
          <w:tcPr>
            <w:tcW w:w="4791" w:type="dxa"/>
            <w:vAlign w:val="center"/>
          </w:tcPr>
          <w:p>
            <w:pPr>
              <w:spacing w:line="120" w:lineRule="atLeast"/>
              <w:rPr>
                <w:rFonts w:ascii="宋体" w:hAnsi="宋体" w:cs="楷体"/>
                <w:sz w:val="18"/>
                <w:szCs w:val="18"/>
              </w:rPr>
            </w:pPr>
            <w:r>
              <w:rPr>
                <w:rFonts w:hint="eastAsia" w:ascii="宋体" w:hAnsi="宋体" w:cs="楷体"/>
                <w:sz w:val="18"/>
                <w:szCs w:val="18"/>
                <w:lang w:val="en-US" w:eastAsia="zh-CN"/>
              </w:rPr>
              <w:t>工业</w:t>
            </w:r>
            <w:r>
              <w:rPr>
                <w:rFonts w:ascii="宋体" w:hAnsi="宋体" w:cs="楷体"/>
                <w:sz w:val="18"/>
                <w:szCs w:val="18"/>
              </w:rPr>
              <w:t>园区雨水排口、清净废水排口、污水排口下游10公里范围内有如下一类或多类环境风险受体：集中式地表水、地下水饮用水水源保护区（包括一级保护区、二级保护区及准保护区）；农村及分散式饮用水水源保护区；废水排入受纳水体后24小时流经范围（按受纳河流最大日均流量计算）内涉及跨省界的。</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78" w:type="dxa"/>
            <w:vMerge w:val="continue"/>
            <w:vAlign w:val="center"/>
          </w:tcPr>
          <w:p>
            <w:pPr>
              <w:spacing w:line="120" w:lineRule="atLeast"/>
              <w:jc w:val="center"/>
            </w:pPr>
          </w:p>
        </w:tc>
        <w:tc>
          <w:tcPr>
            <w:tcW w:w="1950" w:type="dxa"/>
            <w:vMerge w:val="continue"/>
            <w:vAlign w:val="center"/>
          </w:tcPr>
          <w:p>
            <w:pPr>
              <w:spacing w:line="120" w:lineRule="atLeast"/>
              <w:jc w:val="center"/>
            </w:pPr>
          </w:p>
        </w:tc>
        <w:tc>
          <w:tcPr>
            <w:tcW w:w="4791" w:type="dxa"/>
            <w:vAlign w:val="center"/>
          </w:tcPr>
          <w:p>
            <w:pPr>
              <w:spacing w:line="120" w:lineRule="atLeast"/>
              <w:rPr>
                <w:rFonts w:ascii="宋体" w:hAnsi="宋体" w:cs="楷体"/>
                <w:sz w:val="18"/>
                <w:szCs w:val="18"/>
              </w:rPr>
            </w:pPr>
            <w:r>
              <w:rPr>
                <w:rFonts w:ascii="宋体" w:hAnsi="宋体" w:cs="楷体"/>
                <w:sz w:val="18"/>
                <w:szCs w:val="18"/>
              </w:rPr>
              <w:t>园区雨水排口、清净废水排口、污水排口下游10公里流经范围内有生态保护红线划定的或具有水生态功能区的其他水生态环境敏感区和脆弱区</w:t>
            </w:r>
            <w:r>
              <w:rPr>
                <w:rFonts w:hint="eastAsia" w:ascii="宋体" w:hAnsi="宋体" w:cs="楷体"/>
                <w:sz w:val="18"/>
                <w:szCs w:val="18"/>
              </w:rPr>
              <w:t>；</w:t>
            </w:r>
            <w:r>
              <w:rPr>
                <w:rFonts w:hint="eastAsia" w:ascii="宋体" w:hAnsi="宋体" w:cs="楷体"/>
                <w:sz w:val="18"/>
                <w:szCs w:val="18"/>
                <w:lang w:val="en-US" w:eastAsia="zh-CN"/>
              </w:rPr>
              <w:t>或</w:t>
            </w:r>
            <w:r>
              <w:rPr>
                <w:rFonts w:ascii="宋体" w:hAnsi="宋体" w:cs="楷体"/>
                <w:sz w:val="18"/>
                <w:szCs w:val="18"/>
              </w:rPr>
              <w:t>工业园区雨水排口、清净废水排口、污水排口下游10公里流经范围内涉及跨市界的</w:t>
            </w:r>
            <w:r>
              <w:rPr>
                <w:rFonts w:hint="eastAsia" w:ascii="宋体" w:hAnsi="宋体" w:cs="楷体"/>
                <w:sz w:val="18"/>
                <w:szCs w:val="18"/>
              </w:rPr>
              <w:t>；</w:t>
            </w:r>
            <w:r>
              <w:rPr>
                <w:rFonts w:hint="eastAsia" w:ascii="宋体" w:hAnsi="宋体" w:cs="楷体"/>
                <w:sz w:val="18"/>
                <w:szCs w:val="18"/>
                <w:lang w:val="en-US" w:eastAsia="zh-CN"/>
              </w:rPr>
              <w:t>或</w:t>
            </w:r>
            <w:r>
              <w:rPr>
                <w:rFonts w:ascii="宋体" w:hAnsi="宋体" w:cs="楷体"/>
                <w:sz w:val="18"/>
                <w:szCs w:val="18"/>
              </w:rPr>
              <w:t>工业园区位于溶岩地貌、泄洪区、泥石流多发等地区</w:t>
            </w:r>
            <w:r>
              <w:rPr>
                <w:rFonts w:hint="eastAsia" w:ascii="宋体" w:hAnsi="宋体" w:cs="楷体"/>
                <w:sz w:val="18"/>
                <w:szCs w:val="18"/>
              </w:rPr>
              <w:t>。</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78" w:type="dxa"/>
            <w:vMerge w:val="continue"/>
            <w:vAlign w:val="center"/>
          </w:tcPr>
          <w:p>
            <w:pPr>
              <w:spacing w:line="120" w:lineRule="atLeast"/>
              <w:jc w:val="center"/>
              <w:rPr>
                <w:rFonts w:ascii="宋体" w:hAnsi="宋体" w:cs="楷体"/>
                <w:sz w:val="18"/>
                <w:szCs w:val="18"/>
              </w:rPr>
            </w:pPr>
          </w:p>
        </w:tc>
        <w:tc>
          <w:tcPr>
            <w:tcW w:w="1950" w:type="dxa"/>
            <w:vMerge w:val="continue"/>
            <w:vAlign w:val="center"/>
          </w:tcPr>
          <w:p>
            <w:pPr>
              <w:spacing w:line="120" w:lineRule="atLeast"/>
              <w:jc w:val="center"/>
              <w:rPr>
                <w:rFonts w:ascii="宋体" w:hAnsi="宋体" w:cs="楷体"/>
                <w:sz w:val="18"/>
                <w:szCs w:val="18"/>
              </w:rPr>
            </w:pPr>
          </w:p>
        </w:tc>
        <w:tc>
          <w:tcPr>
            <w:tcW w:w="4791" w:type="dxa"/>
            <w:vAlign w:val="center"/>
          </w:tcPr>
          <w:p>
            <w:pPr>
              <w:spacing w:line="120" w:lineRule="atLeast"/>
              <w:jc w:val="center"/>
              <w:rPr>
                <w:rFonts w:ascii="宋体" w:hAnsi="宋体" w:cs="楷体"/>
                <w:sz w:val="18"/>
                <w:szCs w:val="18"/>
              </w:rPr>
            </w:pPr>
            <w:r>
              <w:rPr>
                <w:rFonts w:ascii="宋体" w:hAnsi="宋体" w:cs="楷体"/>
                <w:sz w:val="18"/>
                <w:szCs w:val="18"/>
              </w:rPr>
              <w:t>不涉及以上情况</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78" w:type="dxa"/>
            <w:vMerge w:val="restart"/>
            <w:vAlign w:val="center"/>
          </w:tcPr>
          <w:p>
            <w:pPr>
              <w:spacing w:line="120" w:lineRule="atLeast"/>
              <w:jc w:val="center"/>
              <w:rPr>
                <w:rFonts w:ascii="宋体" w:hAnsi="宋体" w:cs="楷体"/>
                <w:sz w:val="18"/>
                <w:szCs w:val="18"/>
              </w:rPr>
            </w:pPr>
            <w:r>
              <w:rPr>
                <w:rFonts w:ascii="宋体" w:hAnsi="宋体" w:cs="楷体"/>
                <w:sz w:val="18"/>
                <w:szCs w:val="18"/>
              </w:rPr>
              <w:t>水网密度指数</w:t>
            </w:r>
          </w:p>
        </w:tc>
        <w:tc>
          <w:tcPr>
            <w:tcW w:w="1950" w:type="dxa"/>
            <w:vMerge w:val="restart"/>
            <w:vAlign w:val="center"/>
          </w:tcPr>
          <w:p>
            <w:pPr>
              <w:spacing w:line="120" w:lineRule="atLeast"/>
              <w:jc w:val="center"/>
              <w:rPr>
                <w:rFonts w:ascii="宋体" w:hAnsi="宋体" w:cs="楷体"/>
                <w:sz w:val="18"/>
                <w:szCs w:val="18"/>
              </w:rPr>
            </w:pPr>
            <w:r>
              <w:rPr>
                <w:rFonts w:ascii="宋体" w:hAnsi="宋体" w:cs="楷体"/>
                <w:sz w:val="18"/>
                <w:szCs w:val="18"/>
              </w:rPr>
              <w:t>根据HJ192</w:t>
            </w:r>
            <w:r>
              <w:rPr>
                <w:rFonts w:hint="eastAsia" w:ascii="宋体" w:hAnsi="宋体" w:cs="楷体"/>
                <w:sz w:val="18"/>
                <w:szCs w:val="18"/>
                <w:lang w:eastAsia="zh-CN"/>
              </w:rPr>
              <w:t>，</w:t>
            </w:r>
            <w:r>
              <w:rPr>
                <w:rFonts w:ascii="宋体" w:hAnsi="宋体" w:cs="楷体"/>
                <w:sz w:val="18"/>
                <w:szCs w:val="18"/>
              </w:rPr>
              <w:t>计算</w:t>
            </w:r>
            <w:r>
              <w:rPr>
                <w:rFonts w:hint="default" w:ascii="宋体" w:hAnsi="宋体" w:cs="楷体"/>
                <w:i w:val="0"/>
                <w:iCs w:val="0"/>
                <w:caps w:val="0"/>
                <w:spacing w:val="0"/>
                <w:sz w:val="18"/>
                <w:szCs w:val="18"/>
                <w:shd w:val="clear"/>
                <w:lang w:val="en-US" w:eastAsia="zh-CN"/>
              </w:rPr>
              <w:t>工业园区范围</w:t>
            </w:r>
            <w:r>
              <w:rPr>
                <w:rFonts w:ascii="宋体" w:hAnsi="宋体" w:eastAsia="宋体" w:cs="楷体"/>
                <w:i w:val="0"/>
                <w:iCs w:val="0"/>
                <w:caps w:val="0"/>
                <w:spacing w:val="0"/>
                <w:sz w:val="18"/>
                <w:szCs w:val="18"/>
                <w:shd w:val="clear"/>
              </w:rPr>
              <w:t>内河流总长度、水域面积</w:t>
            </w:r>
            <w:r>
              <w:rPr>
                <w:rFonts w:hint="default" w:ascii="宋体" w:hAnsi="宋体" w:cs="楷体"/>
                <w:i w:val="0"/>
                <w:iCs w:val="0"/>
                <w:caps w:val="0"/>
                <w:spacing w:val="0"/>
                <w:sz w:val="18"/>
                <w:szCs w:val="18"/>
                <w:shd w:val="clear"/>
                <w:lang w:val="en-US" w:eastAsia="zh-CN"/>
              </w:rPr>
              <w:t>与</w:t>
            </w:r>
            <w:r>
              <w:rPr>
                <w:rFonts w:ascii="宋体" w:hAnsi="宋体" w:eastAsia="宋体" w:cs="楷体"/>
                <w:i w:val="0"/>
                <w:iCs w:val="0"/>
                <w:caps w:val="0"/>
                <w:spacing w:val="0"/>
                <w:sz w:val="18"/>
                <w:szCs w:val="18"/>
                <w:shd w:val="clear"/>
              </w:rPr>
              <w:t>水资源量占被</w:t>
            </w:r>
            <w:r>
              <w:rPr>
                <w:rFonts w:hint="default" w:ascii="宋体" w:hAnsi="宋体" w:cs="楷体"/>
                <w:i w:val="0"/>
                <w:iCs w:val="0"/>
                <w:caps w:val="0"/>
                <w:spacing w:val="0"/>
                <w:sz w:val="18"/>
                <w:szCs w:val="18"/>
                <w:shd w:val="clear"/>
                <w:lang w:val="en-US" w:eastAsia="zh-CN"/>
              </w:rPr>
              <w:t>工业园区总</w:t>
            </w:r>
            <w:r>
              <w:rPr>
                <w:rFonts w:ascii="宋体" w:hAnsi="宋体" w:eastAsia="宋体" w:cs="楷体"/>
                <w:i w:val="0"/>
                <w:iCs w:val="0"/>
                <w:caps w:val="0"/>
                <w:spacing w:val="0"/>
                <w:sz w:val="18"/>
                <w:szCs w:val="18"/>
                <w:shd w:val="clear"/>
              </w:rPr>
              <w:t>面积的</w:t>
            </w:r>
            <w:r>
              <w:rPr>
                <w:rFonts w:hint="default" w:ascii="宋体" w:hAnsi="宋体" w:cs="楷体"/>
                <w:i w:val="0"/>
                <w:iCs w:val="0"/>
                <w:caps w:val="0"/>
                <w:spacing w:val="0"/>
                <w:sz w:val="18"/>
                <w:szCs w:val="18"/>
                <w:shd w:val="clear"/>
                <w:lang w:val="en-US" w:eastAsia="zh-CN"/>
              </w:rPr>
              <w:t>比值</w:t>
            </w:r>
            <w:r>
              <w:rPr>
                <w:rFonts w:ascii="宋体" w:hAnsi="宋体" w:eastAsia="宋体" w:cs="楷体"/>
                <w:i w:val="0"/>
                <w:iCs w:val="0"/>
                <w:caps w:val="0"/>
                <w:spacing w:val="0"/>
                <w:sz w:val="18"/>
                <w:szCs w:val="18"/>
                <w:shd w:val="clear"/>
              </w:rPr>
              <w:t>。</w:t>
            </w:r>
          </w:p>
        </w:tc>
        <w:tc>
          <w:tcPr>
            <w:tcW w:w="4791" w:type="dxa"/>
            <w:vAlign w:val="center"/>
          </w:tcPr>
          <w:p>
            <w:pPr>
              <w:spacing w:line="120" w:lineRule="atLeast"/>
              <w:jc w:val="center"/>
              <w:rPr>
                <w:rFonts w:ascii="宋体" w:hAnsi="宋体" w:cs="楷体"/>
                <w:sz w:val="18"/>
                <w:szCs w:val="18"/>
              </w:rPr>
            </w:pPr>
            <w:r>
              <w:rPr>
                <w:rFonts w:ascii="宋体" w:hAnsi="宋体" w:cs="楷体"/>
                <w:sz w:val="18"/>
                <w:szCs w:val="18"/>
              </w:rPr>
              <w:t>＞50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78" w:type="dxa"/>
            <w:vMerge w:val="continue"/>
            <w:vAlign w:val="center"/>
          </w:tcPr>
          <w:p>
            <w:pPr>
              <w:spacing w:line="120" w:lineRule="atLeast"/>
              <w:jc w:val="center"/>
            </w:pPr>
          </w:p>
        </w:tc>
        <w:tc>
          <w:tcPr>
            <w:tcW w:w="1950" w:type="dxa"/>
            <w:vMerge w:val="continue"/>
            <w:vAlign w:val="center"/>
          </w:tcPr>
          <w:p>
            <w:pPr>
              <w:spacing w:line="120" w:lineRule="atLeast"/>
              <w:jc w:val="center"/>
            </w:pPr>
          </w:p>
        </w:tc>
        <w:tc>
          <w:tcPr>
            <w:tcW w:w="4791" w:type="dxa"/>
            <w:vAlign w:val="center"/>
          </w:tcPr>
          <w:p>
            <w:pPr>
              <w:spacing w:line="120" w:lineRule="atLeast"/>
              <w:jc w:val="center"/>
              <w:rPr>
                <w:rFonts w:ascii="宋体" w:hAnsi="宋体" w:cs="楷体"/>
                <w:sz w:val="18"/>
                <w:szCs w:val="18"/>
              </w:rPr>
            </w:pPr>
            <w:r>
              <w:rPr>
                <w:rFonts w:ascii="宋体" w:hAnsi="宋体" w:cs="楷体"/>
                <w:sz w:val="18"/>
                <w:szCs w:val="18"/>
              </w:rPr>
              <w:t>（25,50]</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78" w:type="dxa"/>
            <w:vMerge w:val="continue"/>
            <w:vAlign w:val="center"/>
          </w:tcPr>
          <w:p>
            <w:pPr>
              <w:spacing w:line="120" w:lineRule="atLeast"/>
              <w:jc w:val="center"/>
              <w:rPr>
                <w:rFonts w:ascii="宋体" w:hAnsi="宋体" w:cs="楷体"/>
                <w:sz w:val="18"/>
                <w:szCs w:val="18"/>
              </w:rPr>
            </w:pPr>
          </w:p>
        </w:tc>
        <w:tc>
          <w:tcPr>
            <w:tcW w:w="1950" w:type="dxa"/>
            <w:vMerge w:val="continue"/>
            <w:vAlign w:val="center"/>
          </w:tcPr>
          <w:p>
            <w:pPr>
              <w:spacing w:line="120" w:lineRule="atLeast"/>
              <w:jc w:val="center"/>
              <w:rPr>
                <w:rFonts w:ascii="宋体" w:hAnsi="宋体" w:cs="楷体"/>
                <w:sz w:val="18"/>
                <w:szCs w:val="18"/>
              </w:rPr>
            </w:pPr>
          </w:p>
        </w:tc>
        <w:tc>
          <w:tcPr>
            <w:tcW w:w="4791" w:type="dxa"/>
            <w:vAlign w:val="center"/>
          </w:tcPr>
          <w:p>
            <w:pPr>
              <w:spacing w:line="120" w:lineRule="atLeast"/>
              <w:jc w:val="center"/>
              <w:rPr>
                <w:rFonts w:ascii="宋体" w:hAnsi="宋体" w:cs="楷体"/>
                <w:sz w:val="18"/>
                <w:szCs w:val="18"/>
              </w:rPr>
            </w:pPr>
            <w:r>
              <w:rPr>
                <w:rFonts w:ascii="宋体" w:hAnsi="宋体" w:cs="楷体"/>
                <w:sz w:val="18"/>
                <w:szCs w:val="18"/>
              </w:rPr>
              <w:t>≤25</w:t>
            </w:r>
          </w:p>
        </w:tc>
        <w:tc>
          <w:tcPr>
            <w:tcW w:w="925" w:type="dxa"/>
            <w:vAlign w:val="center"/>
          </w:tcPr>
          <w:p>
            <w:pPr>
              <w:spacing w:line="120" w:lineRule="atLeast"/>
              <w:jc w:val="center"/>
              <w:rPr>
                <w:rFonts w:ascii="宋体" w:hAnsi="宋体" w:cs="楷体"/>
                <w:sz w:val="18"/>
                <w:szCs w:val="18"/>
              </w:rPr>
            </w:pPr>
            <w:r>
              <w:rPr>
                <w:rFonts w:hint="eastAsia" w:ascii="宋体" w:hAnsi="宋体" w:cs="楷体"/>
                <w:sz w:val="18"/>
                <w:szCs w:val="18"/>
              </w:rPr>
              <w:t>10</w:t>
            </w:r>
          </w:p>
        </w:tc>
      </w:tr>
    </w:tbl>
    <w:p>
      <w:pPr>
        <w:spacing w:before="156" w:beforeLines="50" w:after="156" w:afterLines="50" w:line="340" w:lineRule="exact"/>
        <w:outlineLvl w:val="1"/>
        <w:rPr>
          <w:rFonts w:ascii="宋体" w:hAnsi="宋体" w:cs="楷体"/>
          <w:b/>
          <w:szCs w:val="21"/>
        </w:rPr>
      </w:pPr>
      <w:r>
        <w:rPr>
          <w:rFonts w:hint="eastAsia" w:ascii="宋体" w:hAnsi="宋体" w:cs="楷体"/>
          <w:b/>
          <w:szCs w:val="21"/>
        </w:rPr>
        <w:t>9.3.3 水环境风险防控能力（M</w:t>
      </w:r>
      <w:r>
        <w:rPr>
          <w:rFonts w:hint="eastAsia" w:ascii="宋体" w:hAnsi="宋体" w:cs="楷体"/>
          <w:b/>
          <w:szCs w:val="21"/>
          <w:vertAlign w:val="subscript"/>
        </w:rPr>
        <w:t>水</w:t>
      </w:r>
      <w:r>
        <w:rPr>
          <w:rFonts w:hint="eastAsia" w:ascii="宋体" w:hAnsi="宋体" w:cs="楷体"/>
          <w:b/>
          <w:szCs w:val="21"/>
        </w:rPr>
        <w:t>）评估</w:t>
      </w:r>
    </w:p>
    <w:p>
      <w:pPr>
        <w:spacing w:before="156" w:beforeLines="50" w:after="156" w:afterLines="50" w:line="340" w:lineRule="exact"/>
        <w:ind w:firstLine="420" w:firstLineChars="200"/>
        <w:outlineLvl w:val="1"/>
        <w:rPr>
          <w:rFonts w:ascii="宋体" w:hAnsi="宋体" w:cs="楷体"/>
          <w:bCs/>
          <w:szCs w:val="21"/>
        </w:rPr>
      </w:pPr>
      <w:r>
        <w:rPr>
          <w:rFonts w:hint="eastAsia" w:ascii="宋体" w:hAnsi="宋体" w:cs="楷体"/>
          <w:bCs/>
          <w:szCs w:val="21"/>
        </w:rPr>
        <w:t>采用评分法对工业园区水环境风险防控能力进行评估，将各项指标分值累加，确定园区水环境风险防控能力（M</w:t>
      </w:r>
      <w:r>
        <w:rPr>
          <w:rFonts w:hint="eastAsia" w:ascii="宋体" w:hAnsi="宋体" w:cs="楷体"/>
          <w:bCs/>
          <w:szCs w:val="21"/>
          <w:vertAlign w:val="subscript"/>
        </w:rPr>
        <w:t>水</w:t>
      </w:r>
      <w:r>
        <w:rPr>
          <w:rFonts w:hint="eastAsia" w:ascii="宋体" w:hAnsi="宋体" w:cs="楷体"/>
          <w:bCs/>
          <w:szCs w:val="21"/>
        </w:rPr>
        <w:t>）指标数值，最高为100分。</w:t>
      </w:r>
    </w:p>
    <w:p>
      <w:pPr>
        <w:spacing w:before="156" w:beforeLines="50" w:after="156" w:afterLines="50" w:line="340" w:lineRule="exact"/>
        <w:jc w:val="center"/>
        <w:outlineLvl w:val="1"/>
        <w:rPr>
          <w:rFonts w:ascii="宋体" w:hAnsi="宋体" w:cs="楷体"/>
          <w:b/>
          <w:szCs w:val="21"/>
        </w:rPr>
      </w:pPr>
      <w:r>
        <w:rPr>
          <w:rFonts w:hint="eastAsia" w:ascii="宋体" w:hAnsi="宋体" w:cs="楷体"/>
          <w:b/>
          <w:szCs w:val="21"/>
        </w:rPr>
        <w:t>表 6  工业园区水环境风险防控能力（M</w:t>
      </w:r>
      <w:r>
        <w:rPr>
          <w:rFonts w:hint="eastAsia" w:ascii="宋体" w:hAnsi="宋体" w:cs="楷体"/>
          <w:b/>
          <w:szCs w:val="21"/>
          <w:vertAlign w:val="subscript"/>
        </w:rPr>
        <w:t>水</w:t>
      </w:r>
      <w:r>
        <w:rPr>
          <w:rFonts w:hint="eastAsia" w:ascii="宋体" w:hAnsi="宋体" w:cs="楷体"/>
          <w:b/>
          <w:szCs w:val="21"/>
        </w:rPr>
        <w:t>）评估</w:t>
      </w:r>
    </w:p>
    <w:tbl>
      <w:tblPr>
        <w:tblStyle w:val="20"/>
        <w:tblW w:w="47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2228"/>
        <w:gridCol w:w="3988"/>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1666"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评估指标</w:t>
            </w:r>
          </w:p>
        </w:tc>
        <w:tc>
          <w:tcPr>
            <w:tcW w:w="2228"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指标说明</w:t>
            </w:r>
          </w:p>
        </w:tc>
        <w:tc>
          <w:tcPr>
            <w:tcW w:w="3988"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730" w:type="dxa"/>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6" w:type="dxa"/>
            <w:vMerge w:val="restart"/>
            <w:vAlign w:val="center"/>
          </w:tcPr>
          <w:p>
            <w:pPr>
              <w:spacing w:line="120" w:lineRule="atLeast"/>
              <w:jc w:val="center"/>
              <w:rPr>
                <w:rFonts w:ascii="宋体" w:hAnsi="宋体" w:cs="楷体"/>
                <w:sz w:val="18"/>
                <w:szCs w:val="18"/>
              </w:rPr>
            </w:pPr>
            <w:r>
              <w:rPr>
                <w:rFonts w:ascii="宋体" w:hAnsi="宋体" w:cs="楷体"/>
                <w:sz w:val="18"/>
                <w:szCs w:val="18"/>
              </w:rPr>
              <w:t>监测预警能力</w:t>
            </w:r>
          </w:p>
        </w:tc>
        <w:tc>
          <w:tcPr>
            <w:tcW w:w="2228" w:type="dxa"/>
            <w:vMerge w:val="restart"/>
            <w:vAlign w:val="center"/>
          </w:tcPr>
          <w:p>
            <w:pPr>
              <w:spacing w:line="120" w:lineRule="atLeast"/>
              <w:jc w:val="center"/>
              <w:rPr>
                <w:rFonts w:ascii="宋体" w:hAnsi="宋体" w:cs="楷体"/>
                <w:sz w:val="18"/>
                <w:szCs w:val="18"/>
              </w:rPr>
            </w:pPr>
            <w:r>
              <w:rPr>
                <w:rFonts w:ascii="宋体" w:hAnsi="宋体" w:cs="楷体"/>
                <w:sz w:val="18"/>
                <w:szCs w:val="18"/>
              </w:rPr>
              <w:t>采取水环境应急监测、预测预警等措施，具备</w:t>
            </w:r>
            <w:r>
              <w:rPr>
                <w:rFonts w:hint="eastAsia" w:ascii="宋体" w:hAnsi="宋体" w:cs="楷体"/>
                <w:sz w:val="18"/>
                <w:szCs w:val="18"/>
              </w:rPr>
              <w:t>园区</w:t>
            </w:r>
            <w:r>
              <w:rPr>
                <w:rFonts w:ascii="宋体" w:hAnsi="宋体" w:cs="楷体"/>
                <w:sz w:val="18"/>
                <w:szCs w:val="18"/>
              </w:rPr>
              <w:t>突发水环境事件预警能力</w:t>
            </w: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未采取应急监控、预警措施</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6" w:type="dxa"/>
            <w:vMerge w:val="continue"/>
            <w:vAlign w:val="center"/>
          </w:tcPr>
          <w:p>
            <w:pPr>
              <w:spacing w:line="120" w:lineRule="atLeast"/>
              <w:jc w:val="center"/>
            </w:pPr>
          </w:p>
        </w:tc>
        <w:tc>
          <w:tcPr>
            <w:tcW w:w="2228" w:type="dxa"/>
            <w:vMerge w:val="continue"/>
            <w:vAlign w:val="center"/>
          </w:tcPr>
          <w:p>
            <w:pPr>
              <w:spacing w:line="120" w:lineRule="atLeast"/>
              <w:jc w:val="cente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在排放口设置应急监控、预警设施并开展监测、监控工作</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6" w:type="dxa"/>
            <w:vMerge w:val="continue"/>
            <w:vAlign w:val="center"/>
          </w:tcPr>
          <w:p>
            <w:pPr>
              <w:spacing w:line="120" w:lineRule="atLeast"/>
              <w:jc w:val="center"/>
              <w:rPr>
                <w:rFonts w:ascii="宋体" w:hAnsi="宋体" w:cs="楷体"/>
                <w:sz w:val="18"/>
                <w:szCs w:val="18"/>
              </w:rPr>
            </w:pPr>
          </w:p>
        </w:tc>
        <w:tc>
          <w:tcPr>
            <w:tcW w:w="2228" w:type="dxa"/>
            <w:vMerge w:val="continue"/>
            <w:vAlign w:val="center"/>
          </w:tcPr>
          <w:p>
            <w:pPr>
              <w:spacing w:line="120" w:lineRule="atLeast"/>
              <w:jc w:val="center"/>
              <w:rPr>
                <w:rFonts w:ascii="宋体" w:hAnsi="宋体" w:cs="楷体"/>
                <w:sz w:val="18"/>
                <w:szCs w:val="18"/>
              </w:rP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在排放口、水体均设置应急监测、预警设施，并开展监测、监控工作</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666" w:type="dxa"/>
            <w:vMerge w:val="restart"/>
            <w:vAlign w:val="center"/>
          </w:tcPr>
          <w:p>
            <w:pPr>
              <w:spacing w:line="120" w:lineRule="atLeast"/>
              <w:jc w:val="center"/>
              <w:rPr>
                <w:rFonts w:ascii="宋体" w:hAnsi="宋体" w:cs="楷体"/>
                <w:sz w:val="18"/>
                <w:szCs w:val="18"/>
              </w:rPr>
            </w:pPr>
            <w:r>
              <w:rPr>
                <w:rFonts w:ascii="宋体" w:hAnsi="宋体" w:cs="楷体"/>
                <w:sz w:val="18"/>
                <w:szCs w:val="18"/>
              </w:rPr>
              <w:t>生产工艺过程与</w:t>
            </w:r>
            <w:r>
              <w:rPr>
                <w:rFonts w:hint="eastAsia" w:ascii="宋体" w:hAnsi="宋体" w:cs="楷体"/>
                <w:sz w:val="18"/>
                <w:szCs w:val="18"/>
              </w:rPr>
              <w:t>水</w:t>
            </w:r>
            <w:r>
              <w:rPr>
                <w:rFonts w:ascii="宋体" w:hAnsi="宋体" w:cs="楷体"/>
                <w:sz w:val="18"/>
                <w:szCs w:val="18"/>
              </w:rPr>
              <w:t>环境风险控制水平</w:t>
            </w:r>
          </w:p>
        </w:tc>
        <w:tc>
          <w:tcPr>
            <w:tcW w:w="2228" w:type="dxa"/>
            <w:vMerge w:val="restart"/>
            <w:vAlign w:val="center"/>
          </w:tcPr>
          <w:p>
            <w:pPr>
              <w:spacing w:line="120" w:lineRule="atLeast"/>
              <w:jc w:val="center"/>
              <w:rPr>
                <w:rFonts w:ascii="宋体" w:hAnsi="宋体" w:cs="楷体"/>
                <w:sz w:val="18"/>
                <w:szCs w:val="18"/>
              </w:rPr>
            </w:pPr>
            <w:r>
              <w:rPr>
                <w:rFonts w:ascii="宋体" w:hAnsi="宋体" w:cs="楷体"/>
                <w:sz w:val="18"/>
                <w:szCs w:val="18"/>
              </w:rPr>
              <w:t>依据HJ 941确定生产工艺过程与</w:t>
            </w:r>
            <w:r>
              <w:rPr>
                <w:rFonts w:hint="eastAsia" w:ascii="宋体" w:hAnsi="宋体" w:cs="楷体"/>
                <w:sz w:val="18"/>
                <w:szCs w:val="18"/>
              </w:rPr>
              <w:t>水</w:t>
            </w:r>
            <w:r>
              <w:rPr>
                <w:rFonts w:ascii="宋体" w:hAnsi="宋体" w:cs="楷体"/>
                <w:sz w:val="18"/>
                <w:szCs w:val="18"/>
              </w:rPr>
              <w:t>环境风险控制水平为M3、M4企业数占比（%）</w:t>
            </w: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＞50</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1666" w:type="dxa"/>
            <w:vMerge w:val="continue"/>
            <w:vAlign w:val="center"/>
          </w:tcPr>
          <w:p>
            <w:pPr>
              <w:spacing w:line="120" w:lineRule="atLeast"/>
              <w:jc w:val="center"/>
            </w:pPr>
          </w:p>
        </w:tc>
        <w:tc>
          <w:tcPr>
            <w:tcW w:w="2228" w:type="dxa"/>
            <w:vMerge w:val="continue"/>
            <w:vAlign w:val="center"/>
          </w:tcPr>
          <w:p>
            <w:pPr>
              <w:spacing w:line="120" w:lineRule="atLeast"/>
              <w:jc w:val="cente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(30,50]</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jc w:val="center"/>
        </w:trPr>
        <w:tc>
          <w:tcPr>
            <w:tcW w:w="1666" w:type="dxa"/>
            <w:vMerge w:val="continue"/>
            <w:vAlign w:val="center"/>
          </w:tcPr>
          <w:p>
            <w:pPr>
              <w:spacing w:line="120" w:lineRule="atLeast"/>
              <w:jc w:val="center"/>
              <w:rPr>
                <w:rFonts w:ascii="宋体" w:hAnsi="宋体" w:cs="楷体"/>
                <w:sz w:val="18"/>
                <w:szCs w:val="18"/>
              </w:rPr>
            </w:pPr>
          </w:p>
        </w:tc>
        <w:tc>
          <w:tcPr>
            <w:tcW w:w="2228" w:type="dxa"/>
            <w:vMerge w:val="continue"/>
            <w:vAlign w:val="center"/>
          </w:tcPr>
          <w:p>
            <w:pPr>
              <w:spacing w:line="120" w:lineRule="atLeast"/>
              <w:jc w:val="center"/>
              <w:rPr>
                <w:rFonts w:ascii="宋体" w:hAnsi="宋体" w:cs="楷体"/>
                <w:sz w:val="18"/>
                <w:szCs w:val="18"/>
              </w:rP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(10,30]</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jc w:val="center"/>
        </w:trPr>
        <w:tc>
          <w:tcPr>
            <w:tcW w:w="1666" w:type="dxa"/>
            <w:vMerge w:val="continue"/>
            <w:vAlign w:val="center"/>
          </w:tcPr>
          <w:p>
            <w:pPr>
              <w:spacing w:line="120" w:lineRule="atLeast"/>
              <w:jc w:val="center"/>
              <w:rPr>
                <w:rFonts w:ascii="宋体" w:hAnsi="宋体" w:cs="楷体"/>
                <w:sz w:val="18"/>
                <w:szCs w:val="18"/>
              </w:rPr>
            </w:pPr>
          </w:p>
        </w:tc>
        <w:tc>
          <w:tcPr>
            <w:tcW w:w="2228" w:type="dxa"/>
            <w:vMerge w:val="continue"/>
            <w:vAlign w:val="center"/>
          </w:tcPr>
          <w:p>
            <w:pPr>
              <w:spacing w:line="120" w:lineRule="atLeast"/>
              <w:jc w:val="center"/>
              <w:rPr>
                <w:rFonts w:ascii="宋体" w:hAnsi="宋体" w:cs="楷体"/>
                <w:sz w:val="18"/>
                <w:szCs w:val="18"/>
              </w:rP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≤10</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66" w:type="dxa"/>
            <w:vMerge w:val="restart"/>
            <w:vAlign w:val="center"/>
          </w:tcPr>
          <w:p>
            <w:pPr>
              <w:spacing w:line="120" w:lineRule="atLeast"/>
              <w:jc w:val="center"/>
              <w:rPr>
                <w:rFonts w:ascii="宋体" w:hAnsi="宋体" w:cs="楷体"/>
                <w:sz w:val="18"/>
                <w:szCs w:val="18"/>
              </w:rPr>
            </w:pPr>
            <w:r>
              <w:rPr>
                <w:rFonts w:ascii="宋体" w:hAnsi="宋体" w:cs="楷体"/>
                <w:sz w:val="18"/>
                <w:szCs w:val="18"/>
              </w:rPr>
              <w:t>污染物拦截、处置能力</w:t>
            </w:r>
          </w:p>
        </w:tc>
        <w:tc>
          <w:tcPr>
            <w:tcW w:w="2228" w:type="dxa"/>
            <w:vMerge w:val="restart"/>
            <w:vAlign w:val="center"/>
          </w:tcPr>
          <w:p>
            <w:pPr>
              <w:spacing w:line="120" w:lineRule="atLeast"/>
              <w:rPr>
                <w:rFonts w:ascii="宋体" w:hAnsi="宋体" w:cs="楷体"/>
                <w:sz w:val="18"/>
                <w:szCs w:val="18"/>
              </w:rPr>
            </w:pPr>
            <w:r>
              <w:rPr>
                <w:rFonts w:ascii="宋体" w:hAnsi="宋体" w:cs="楷体"/>
                <w:sz w:val="18"/>
                <w:szCs w:val="18"/>
              </w:rPr>
              <w:t>通过筑坝、导流等方式对污染物的拦截能力；通过上游调水降低水体中污染物浓度的能力；通过物化处理、吸附等方式对污染物就地处置或异地处置能力</w:t>
            </w: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拦截、导流、</w:t>
            </w:r>
            <w:r>
              <w:rPr>
                <w:rFonts w:hint="eastAsia" w:ascii="宋体" w:hAnsi="宋体" w:cs="楷体"/>
                <w:sz w:val="18"/>
                <w:szCs w:val="18"/>
                <w:lang w:val="en-US" w:eastAsia="zh-CN"/>
              </w:rPr>
              <w:t>稀释</w:t>
            </w:r>
            <w:r>
              <w:rPr>
                <w:rFonts w:hint="eastAsia" w:ascii="宋体" w:hAnsi="宋体" w:cs="楷体"/>
                <w:sz w:val="18"/>
                <w:szCs w:val="18"/>
              </w:rPr>
              <w:t>、</w:t>
            </w:r>
            <w:r>
              <w:rPr>
                <w:rFonts w:hint="eastAsia" w:ascii="宋体" w:hAnsi="宋体" w:cs="楷体"/>
                <w:sz w:val="18"/>
                <w:szCs w:val="18"/>
                <w:lang w:val="en-US" w:eastAsia="zh-CN"/>
              </w:rPr>
              <w:t>物理化学</w:t>
            </w:r>
            <w:r>
              <w:rPr>
                <w:rFonts w:ascii="宋体" w:hAnsi="宋体" w:cs="楷体"/>
                <w:sz w:val="18"/>
                <w:szCs w:val="18"/>
              </w:rPr>
              <w:t>处理能力皆不具备</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jc w:val="center"/>
        </w:trPr>
        <w:tc>
          <w:tcPr>
            <w:tcW w:w="1666" w:type="dxa"/>
            <w:vMerge w:val="continue"/>
            <w:vAlign w:val="center"/>
          </w:tcPr>
          <w:p>
            <w:pPr>
              <w:spacing w:line="120" w:lineRule="atLeast"/>
              <w:jc w:val="center"/>
            </w:pPr>
          </w:p>
        </w:tc>
        <w:tc>
          <w:tcPr>
            <w:tcW w:w="2228" w:type="dxa"/>
            <w:vMerge w:val="continue"/>
            <w:vAlign w:val="center"/>
          </w:tcPr>
          <w:p>
            <w:pPr>
              <w:spacing w:line="120" w:lineRule="atLeast"/>
              <w:jc w:val="center"/>
            </w:pPr>
          </w:p>
        </w:tc>
        <w:tc>
          <w:tcPr>
            <w:tcW w:w="3988" w:type="dxa"/>
            <w:vAlign w:val="center"/>
          </w:tcPr>
          <w:p>
            <w:pPr>
              <w:spacing w:line="120" w:lineRule="atLeast"/>
              <w:rPr>
                <w:rFonts w:ascii="宋体" w:hAnsi="宋体" w:cs="楷体"/>
                <w:sz w:val="18"/>
                <w:szCs w:val="18"/>
              </w:rPr>
            </w:pPr>
            <w:r>
              <w:rPr>
                <w:rFonts w:ascii="宋体" w:hAnsi="宋体" w:cs="楷体"/>
                <w:sz w:val="18"/>
                <w:szCs w:val="18"/>
              </w:rPr>
              <w:t>拦截、导流、</w:t>
            </w:r>
            <w:r>
              <w:rPr>
                <w:rFonts w:hint="eastAsia" w:ascii="宋体" w:hAnsi="宋体" w:cs="楷体"/>
                <w:sz w:val="18"/>
                <w:szCs w:val="18"/>
                <w:lang w:val="en-US" w:eastAsia="zh-CN"/>
              </w:rPr>
              <w:t>稀释</w:t>
            </w:r>
            <w:r>
              <w:rPr>
                <w:rFonts w:hint="eastAsia" w:ascii="宋体" w:hAnsi="宋体" w:cs="楷体"/>
                <w:sz w:val="18"/>
                <w:szCs w:val="18"/>
              </w:rPr>
              <w:t>、</w:t>
            </w:r>
            <w:r>
              <w:rPr>
                <w:rFonts w:hint="eastAsia" w:ascii="宋体" w:hAnsi="宋体" w:cs="楷体"/>
                <w:sz w:val="18"/>
                <w:szCs w:val="18"/>
                <w:lang w:val="en-US" w:eastAsia="zh-CN"/>
              </w:rPr>
              <w:t>物理化学</w:t>
            </w:r>
            <w:r>
              <w:rPr>
                <w:rFonts w:ascii="宋体" w:hAnsi="宋体" w:cs="楷体"/>
                <w:sz w:val="18"/>
                <w:szCs w:val="18"/>
              </w:rPr>
              <w:t>处理其中一种能力</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666" w:type="dxa"/>
            <w:vMerge w:val="continue"/>
            <w:vAlign w:val="center"/>
          </w:tcPr>
          <w:p>
            <w:pPr>
              <w:spacing w:line="120" w:lineRule="atLeast"/>
              <w:jc w:val="center"/>
              <w:rPr>
                <w:rFonts w:ascii="宋体" w:hAnsi="宋体" w:cs="楷体"/>
                <w:sz w:val="18"/>
                <w:szCs w:val="18"/>
              </w:rPr>
            </w:pPr>
          </w:p>
        </w:tc>
        <w:tc>
          <w:tcPr>
            <w:tcW w:w="2228" w:type="dxa"/>
            <w:vMerge w:val="continue"/>
            <w:vAlign w:val="center"/>
          </w:tcPr>
          <w:p>
            <w:pPr>
              <w:spacing w:line="120" w:lineRule="atLeast"/>
              <w:jc w:val="center"/>
              <w:rPr>
                <w:rFonts w:ascii="宋体" w:hAnsi="宋体" w:cs="楷体"/>
                <w:sz w:val="18"/>
                <w:szCs w:val="18"/>
              </w:rPr>
            </w:pPr>
          </w:p>
        </w:tc>
        <w:tc>
          <w:tcPr>
            <w:tcW w:w="3988" w:type="dxa"/>
            <w:vAlign w:val="center"/>
          </w:tcPr>
          <w:p>
            <w:pPr>
              <w:spacing w:line="120" w:lineRule="atLeast"/>
              <w:rPr>
                <w:rFonts w:ascii="宋体" w:hAnsi="宋体" w:cs="楷体"/>
                <w:sz w:val="18"/>
                <w:szCs w:val="18"/>
              </w:rPr>
            </w:pPr>
            <w:r>
              <w:rPr>
                <w:rFonts w:ascii="宋体" w:hAnsi="宋体" w:cs="楷体"/>
                <w:sz w:val="18"/>
                <w:szCs w:val="18"/>
              </w:rPr>
              <w:t>拦截、导流、</w:t>
            </w:r>
            <w:r>
              <w:rPr>
                <w:rFonts w:hint="eastAsia" w:ascii="宋体" w:hAnsi="宋体" w:cs="楷体"/>
                <w:sz w:val="18"/>
                <w:szCs w:val="18"/>
                <w:lang w:val="en-US" w:eastAsia="zh-CN"/>
              </w:rPr>
              <w:t>稀释</w:t>
            </w:r>
            <w:r>
              <w:rPr>
                <w:rFonts w:hint="eastAsia" w:ascii="宋体" w:hAnsi="宋体" w:cs="楷体"/>
                <w:sz w:val="18"/>
                <w:szCs w:val="18"/>
              </w:rPr>
              <w:t>、</w:t>
            </w:r>
            <w:r>
              <w:rPr>
                <w:rFonts w:hint="eastAsia" w:ascii="宋体" w:hAnsi="宋体" w:cs="楷体"/>
                <w:sz w:val="18"/>
                <w:szCs w:val="18"/>
                <w:lang w:val="en-US" w:eastAsia="zh-CN"/>
              </w:rPr>
              <w:t>物理化学</w:t>
            </w:r>
            <w:r>
              <w:rPr>
                <w:rFonts w:ascii="宋体" w:hAnsi="宋体" w:cs="楷体"/>
                <w:sz w:val="18"/>
                <w:szCs w:val="18"/>
              </w:rPr>
              <w:t>处理其中</w:t>
            </w:r>
            <w:r>
              <w:rPr>
                <w:rFonts w:hint="eastAsia" w:ascii="宋体" w:hAnsi="宋体" w:cs="楷体"/>
                <w:sz w:val="18"/>
                <w:szCs w:val="18"/>
              </w:rPr>
              <w:t>2</w:t>
            </w:r>
            <w:r>
              <w:rPr>
                <w:rFonts w:ascii="宋体" w:hAnsi="宋体" w:cs="楷体"/>
                <w:sz w:val="18"/>
                <w:szCs w:val="18"/>
              </w:rPr>
              <w:t>种能力</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666" w:type="dxa"/>
            <w:vMerge w:val="restart"/>
            <w:vAlign w:val="center"/>
          </w:tcPr>
          <w:p>
            <w:pPr>
              <w:spacing w:line="120" w:lineRule="atLeast"/>
              <w:jc w:val="center"/>
              <w:rPr>
                <w:rFonts w:ascii="宋体" w:hAnsi="宋体" w:cs="楷体"/>
                <w:sz w:val="18"/>
                <w:szCs w:val="18"/>
              </w:rPr>
            </w:pPr>
            <w:r>
              <w:rPr>
                <w:rFonts w:ascii="宋体" w:hAnsi="宋体" w:cs="楷体"/>
                <w:sz w:val="18"/>
                <w:szCs w:val="18"/>
              </w:rPr>
              <w:t>应急物资储备</w:t>
            </w:r>
          </w:p>
        </w:tc>
        <w:tc>
          <w:tcPr>
            <w:tcW w:w="2228" w:type="dxa"/>
            <w:vMerge w:val="restart"/>
            <w:vAlign w:val="center"/>
          </w:tcPr>
          <w:p>
            <w:pPr>
              <w:spacing w:line="120" w:lineRule="atLeast"/>
              <w:rPr>
                <w:rFonts w:ascii="宋体" w:hAnsi="宋体" w:cs="楷体"/>
                <w:sz w:val="18"/>
                <w:szCs w:val="18"/>
              </w:rPr>
            </w:pPr>
            <w:r>
              <w:rPr>
                <w:rFonts w:hint="eastAsia" w:ascii="宋体" w:hAnsi="宋体" w:cs="楷体"/>
                <w:sz w:val="18"/>
                <w:szCs w:val="18"/>
                <w:lang w:val="en-US" w:eastAsia="zh-CN"/>
              </w:rPr>
              <w:t>评估</w:t>
            </w:r>
            <w:r>
              <w:rPr>
                <w:rFonts w:ascii="宋体" w:hAnsi="宋体" w:cs="楷体"/>
                <w:sz w:val="18"/>
                <w:szCs w:val="18"/>
              </w:rPr>
              <w:t>突发</w:t>
            </w:r>
            <w:r>
              <w:rPr>
                <w:rFonts w:hint="eastAsia" w:ascii="宋体" w:hAnsi="宋体" w:cs="楷体"/>
                <w:sz w:val="18"/>
                <w:szCs w:val="18"/>
              </w:rPr>
              <w:t>水</w:t>
            </w:r>
            <w:r>
              <w:rPr>
                <w:rFonts w:ascii="宋体" w:hAnsi="宋体" w:cs="楷体"/>
                <w:sz w:val="18"/>
                <w:szCs w:val="18"/>
              </w:rPr>
              <w:t>环境事件应急物资实物储备、协议储备、生产能力储备情况及其他区域内应急物资储备信息，是否满足事件应急需求</w:t>
            </w: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不能满足</w:t>
            </w:r>
            <w:r>
              <w:rPr>
                <w:rFonts w:hint="eastAsia" w:ascii="宋体" w:hAnsi="宋体" w:cs="楷体"/>
                <w:sz w:val="18"/>
                <w:szCs w:val="18"/>
                <w:lang w:val="en-US" w:eastAsia="zh-CN"/>
              </w:rPr>
              <w:t>主要环境风险物质</w:t>
            </w:r>
            <w:r>
              <w:rPr>
                <w:rFonts w:ascii="宋体" w:hAnsi="宋体" w:cs="楷体"/>
                <w:sz w:val="18"/>
                <w:szCs w:val="18"/>
              </w:rPr>
              <w:t>突发环境事件应急需求，无其他区域物资储备信息</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666" w:type="dxa"/>
            <w:vMerge w:val="continue"/>
            <w:vAlign w:val="center"/>
          </w:tcPr>
          <w:p>
            <w:pPr>
              <w:spacing w:line="120" w:lineRule="atLeast"/>
              <w:jc w:val="center"/>
            </w:pPr>
          </w:p>
        </w:tc>
        <w:tc>
          <w:tcPr>
            <w:tcW w:w="2228" w:type="dxa"/>
            <w:vMerge w:val="continue"/>
            <w:vAlign w:val="center"/>
          </w:tcPr>
          <w:p>
            <w:pPr>
              <w:spacing w:line="120" w:lineRule="atLeast"/>
              <w:jc w:val="cente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不能满足</w:t>
            </w:r>
            <w:r>
              <w:rPr>
                <w:rFonts w:hint="eastAsia" w:ascii="宋体" w:hAnsi="宋体" w:cs="楷体"/>
                <w:sz w:val="18"/>
                <w:szCs w:val="18"/>
                <w:lang w:val="en-US" w:eastAsia="zh-CN"/>
              </w:rPr>
              <w:t>主要环境风险物质</w:t>
            </w:r>
            <w:r>
              <w:rPr>
                <w:rFonts w:ascii="宋体" w:hAnsi="宋体" w:cs="楷体"/>
                <w:sz w:val="18"/>
                <w:szCs w:val="18"/>
              </w:rPr>
              <w:t>突发环境事件应急需求，但有其他区域物资储备信息，可以进行调用</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666" w:type="dxa"/>
            <w:vMerge w:val="continue"/>
            <w:vAlign w:val="center"/>
          </w:tcPr>
          <w:p>
            <w:pPr>
              <w:spacing w:line="120" w:lineRule="atLeast"/>
              <w:jc w:val="center"/>
              <w:rPr>
                <w:rFonts w:ascii="宋体" w:hAnsi="宋体" w:cs="楷体"/>
                <w:sz w:val="18"/>
                <w:szCs w:val="18"/>
              </w:rPr>
            </w:pPr>
          </w:p>
        </w:tc>
        <w:tc>
          <w:tcPr>
            <w:tcW w:w="2228" w:type="dxa"/>
            <w:vMerge w:val="continue"/>
            <w:vAlign w:val="center"/>
          </w:tcPr>
          <w:p>
            <w:pPr>
              <w:spacing w:line="120" w:lineRule="atLeast"/>
              <w:jc w:val="center"/>
              <w:rPr>
                <w:rFonts w:ascii="宋体" w:hAnsi="宋体" w:cs="楷体"/>
                <w:sz w:val="18"/>
                <w:szCs w:val="18"/>
              </w:rP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物资基本满足</w:t>
            </w:r>
            <w:r>
              <w:rPr>
                <w:rFonts w:hint="eastAsia" w:ascii="宋体" w:hAnsi="宋体" w:cs="楷体"/>
                <w:sz w:val="18"/>
                <w:szCs w:val="18"/>
                <w:lang w:val="en-US" w:eastAsia="zh-CN"/>
              </w:rPr>
              <w:t>主要环境风险物质</w:t>
            </w:r>
            <w:bookmarkStart w:id="60" w:name="_GoBack"/>
            <w:bookmarkEnd w:id="60"/>
            <w:r>
              <w:rPr>
                <w:rFonts w:ascii="宋体" w:hAnsi="宋体" w:cs="楷体"/>
                <w:sz w:val="18"/>
                <w:szCs w:val="18"/>
              </w:rPr>
              <w:t>突发环境事件应急需求，并可从其他区域调用</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666" w:type="dxa"/>
            <w:vMerge w:val="restart"/>
            <w:vAlign w:val="center"/>
          </w:tcPr>
          <w:p>
            <w:pPr>
              <w:widowControl/>
              <w:jc w:val="left"/>
              <w:rPr>
                <w:rFonts w:ascii="宋体" w:hAnsi="宋体" w:cs="楷体"/>
                <w:sz w:val="18"/>
                <w:szCs w:val="18"/>
              </w:rPr>
            </w:pPr>
            <w:r>
              <w:rPr>
                <w:rFonts w:hint="eastAsia" w:ascii="宋体" w:hAnsi="宋体" w:cs="宋体"/>
                <w:color w:val="000000"/>
                <w:kern w:val="0"/>
                <w:sz w:val="18"/>
                <w:szCs w:val="18"/>
              </w:rPr>
              <w:t>突发环境事件应急预案编制情况</w:t>
            </w:r>
          </w:p>
        </w:tc>
        <w:tc>
          <w:tcPr>
            <w:tcW w:w="2228" w:type="dxa"/>
            <w:vMerge w:val="restart"/>
            <w:vAlign w:val="center"/>
          </w:tcPr>
          <w:p>
            <w:pPr>
              <w:spacing w:line="120" w:lineRule="atLeast"/>
              <w:rPr>
                <w:rFonts w:ascii="宋体" w:hAnsi="宋体" w:cs="楷体"/>
                <w:sz w:val="18"/>
                <w:szCs w:val="18"/>
              </w:rPr>
            </w:pPr>
            <w:r>
              <w:rPr>
                <w:rFonts w:ascii="宋体" w:hAnsi="宋体" w:cs="楷体"/>
                <w:sz w:val="18"/>
                <w:szCs w:val="18"/>
              </w:rPr>
              <w:t>工业园区是否编制突发环境事件应急预案；政府环境应急预案和部门环境应急预案有无相关内容</w:t>
            </w: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未编制突发环境事件应急预案，在部门和政府预案中无相关内容</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6" w:type="dxa"/>
            <w:vMerge w:val="continue"/>
            <w:vAlign w:val="center"/>
          </w:tcPr>
          <w:p>
            <w:pPr>
              <w:spacing w:line="120" w:lineRule="atLeast"/>
              <w:jc w:val="center"/>
            </w:pPr>
          </w:p>
        </w:tc>
        <w:tc>
          <w:tcPr>
            <w:tcW w:w="2228" w:type="dxa"/>
            <w:vMerge w:val="continue"/>
            <w:vAlign w:val="center"/>
          </w:tcPr>
          <w:p>
            <w:pPr>
              <w:spacing w:line="120" w:lineRule="atLeast"/>
              <w:jc w:val="cente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未编制突发环境事件应急预案，在部门和政府预案中有相关内容</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666" w:type="dxa"/>
            <w:vMerge w:val="continue"/>
            <w:vAlign w:val="center"/>
          </w:tcPr>
          <w:p>
            <w:pPr>
              <w:spacing w:line="120" w:lineRule="atLeast"/>
              <w:jc w:val="center"/>
              <w:rPr>
                <w:rFonts w:ascii="宋体" w:hAnsi="宋体" w:cs="楷体"/>
                <w:sz w:val="18"/>
                <w:szCs w:val="18"/>
              </w:rPr>
            </w:pPr>
          </w:p>
        </w:tc>
        <w:tc>
          <w:tcPr>
            <w:tcW w:w="2228" w:type="dxa"/>
            <w:vMerge w:val="continue"/>
            <w:vAlign w:val="center"/>
          </w:tcPr>
          <w:p>
            <w:pPr>
              <w:spacing w:line="120" w:lineRule="atLeast"/>
              <w:jc w:val="center"/>
              <w:rPr>
                <w:rFonts w:ascii="宋体" w:hAnsi="宋体" w:cs="楷体"/>
                <w:sz w:val="18"/>
                <w:szCs w:val="18"/>
              </w:rPr>
            </w:pPr>
          </w:p>
        </w:tc>
        <w:tc>
          <w:tcPr>
            <w:tcW w:w="3988" w:type="dxa"/>
            <w:vAlign w:val="center"/>
          </w:tcPr>
          <w:p>
            <w:pPr>
              <w:spacing w:line="120" w:lineRule="atLeast"/>
              <w:jc w:val="center"/>
              <w:rPr>
                <w:rFonts w:ascii="宋体" w:hAnsi="宋体" w:cs="楷体"/>
                <w:sz w:val="18"/>
                <w:szCs w:val="18"/>
              </w:rPr>
            </w:pPr>
            <w:r>
              <w:rPr>
                <w:rFonts w:ascii="宋体" w:hAnsi="宋体" w:cs="楷体"/>
                <w:sz w:val="18"/>
                <w:szCs w:val="18"/>
              </w:rPr>
              <w:t>已编制突发环境事件应急预案</w:t>
            </w:r>
          </w:p>
        </w:tc>
        <w:tc>
          <w:tcPr>
            <w:tcW w:w="730" w:type="dxa"/>
            <w:vAlign w:val="center"/>
          </w:tcPr>
          <w:p>
            <w:pPr>
              <w:spacing w:line="120" w:lineRule="atLeast"/>
              <w:jc w:val="center"/>
              <w:rPr>
                <w:rFonts w:ascii="宋体" w:hAnsi="宋体" w:cs="楷体"/>
                <w:sz w:val="18"/>
                <w:szCs w:val="18"/>
              </w:rPr>
            </w:pPr>
            <w:r>
              <w:rPr>
                <w:rFonts w:hint="eastAsia" w:ascii="宋体" w:hAnsi="宋体" w:cs="楷体"/>
                <w:sz w:val="18"/>
                <w:szCs w:val="18"/>
              </w:rPr>
              <w:t>6</w:t>
            </w:r>
          </w:p>
        </w:tc>
      </w:tr>
    </w:tbl>
    <w:p>
      <w:pPr>
        <w:spacing w:before="156" w:beforeLines="50" w:after="156" w:afterLines="50" w:line="340" w:lineRule="exact"/>
        <w:outlineLvl w:val="1"/>
        <w:rPr>
          <w:rFonts w:ascii="宋体" w:hAnsi="宋体" w:cs="楷体"/>
          <w:b/>
          <w:szCs w:val="21"/>
        </w:rPr>
      </w:pPr>
      <w:r>
        <w:rPr>
          <w:rFonts w:hint="eastAsia" w:ascii="宋体" w:hAnsi="宋体" w:cs="楷体"/>
          <w:b/>
          <w:szCs w:val="21"/>
        </w:rPr>
        <w:t>9.4  确定大气、水环境风险多米诺效应系数(D)</w:t>
      </w:r>
    </w:p>
    <w:p>
      <w:pPr>
        <w:keepNext w:val="0"/>
        <w:keepLines w:val="0"/>
        <w:pageBreakBefore w:val="0"/>
        <w:widowControl w:val="0"/>
        <w:kinsoku/>
        <w:wordWrap/>
        <w:overflowPunct/>
        <w:topLinePunct w:val="0"/>
        <w:autoSpaceDE/>
        <w:autoSpaceDN/>
        <w:bidi w:val="0"/>
        <w:adjustRightInd/>
        <w:snapToGrid/>
        <w:spacing w:line="340" w:lineRule="exact"/>
        <w:ind w:firstLine="420"/>
        <w:textAlignment w:val="auto"/>
        <w:outlineLvl w:val="1"/>
        <w:rPr>
          <w:rFonts w:hint="default" w:ascii="宋体" w:hAnsi="宋体" w:cs="楷体"/>
          <w:bCs/>
          <w:szCs w:val="21"/>
          <w:lang w:val="en-US"/>
        </w:rPr>
      </w:pPr>
      <w:r>
        <w:rPr>
          <w:rFonts w:hint="eastAsia" w:ascii="宋体" w:hAnsi="宋体" w:cs="楷体"/>
          <w:bCs/>
          <w:szCs w:val="21"/>
        </w:rPr>
        <w:t>工业园区相邻</w:t>
      </w:r>
      <w:r>
        <w:rPr>
          <w:rFonts w:hint="eastAsia" w:ascii="宋体" w:hAnsi="宋体" w:cs="楷体"/>
          <w:bCs/>
          <w:szCs w:val="21"/>
          <w:lang w:val="en-US" w:eastAsia="zh-CN"/>
        </w:rPr>
        <w:t>企业环境风险单元节点是指不同企业两个环境风险单元</w:t>
      </w:r>
      <w:r>
        <w:rPr>
          <w:rFonts w:hint="eastAsia" w:ascii="宋体" w:hAnsi="宋体" w:cs="楷体"/>
          <w:bCs/>
          <w:szCs w:val="21"/>
        </w:rPr>
        <w:t>(如涉及环境风险物质的</w:t>
      </w:r>
      <w:r>
        <w:rPr>
          <w:rFonts w:hint="eastAsia" w:ascii="宋体" w:hAnsi="宋体" w:cs="楷体"/>
          <w:bCs/>
          <w:szCs w:val="21"/>
          <w:lang w:val="en-US" w:eastAsia="zh-CN"/>
        </w:rPr>
        <w:t>装置、</w:t>
      </w:r>
      <w:r>
        <w:rPr>
          <w:rFonts w:hint="eastAsia" w:ascii="宋体" w:hAnsi="宋体" w:cs="楷体"/>
          <w:bCs/>
          <w:szCs w:val="21"/>
        </w:rPr>
        <w:t>仓库、厂房、储罐以及可燃材料堆场等)</w:t>
      </w:r>
      <w:r>
        <w:rPr>
          <w:rFonts w:hint="eastAsia" w:ascii="宋体" w:hAnsi="宋体" w:cs="楷体"/>
          <w:bCs/>
          <w:szCs w:val="21"/>
          <w:lang w:val="en-US" w:eastAsia="zh-CN"/>
        </w:rPr>
        <w:t>之间的连接点，如图2所示。</w:t>
      </w:r>
    </w:p>
    <w:p>
      <w:pPr>
        <w:keepNext w:val="0"/>
        <w:keepLines w:val="0"/>
        <w:pageBreakBefore w:val="0"/>
        <w:widowControl w:val="0"/>
        <w:kinsoku/>
        <w:wordWrap/>
        <w:overflowPunct/>
        <w:topLinePunct w:val="0"/>
        <w:autoSpaceDE/>
        <w:autoSpaceDN/>
        <w:bidi w:val="0"/>
        <w:adjustRightInd/>
        <w:snapToGrid/>
        <w:spacing w:line="340" w:lineRule="exact"/>
        <w:ind w:firstLine="420"/>
        <w:textAlignment w:val="auto"/>
        <w:outlineLvl w:val="1"/>
        <w:rPr>
          <w:rFonts w:hint="eastAsia" w:ascii="宋体" w:hAnsi="宋体" w:cs="楷体"/>
          <w:bCs/>
          <w:szCs w:val="21"/>
        </w:rPr>
      </w:pPr>
      <w:r>
        <w:rPr>
          <w:rFonts w:hint="eastAsia" w:ascii="宋体" w:hAnsi="宋体" w:cs="楷体"/>
          <w:bCs/>
          <w:szCs w:val="21"/>
          <w:lang w:val="en-US" w:eastAsia="zh-CN"/>
        </w:rPr>
        <w:t>以</w:t>
      </w:r>
      <w:r>
        <w:rPr>
          <w:rFonts w:hint="eastAsia" w:ascii="宋体" w:hAnsi="宋体" w:cs="楷体"/>
          <w:bCs/>
          <w:szCs w:val="21"/>
        </w:rPr>
        <w:t>工业园区相邻</w:t>
      </w:r>
      <w:r>
        <w:rPr>
          <w:rFonts w:hint="eastAsia" w:ascii="宋体" w:hAnsi="宋体" w:cs="楷体"/>
          <w:bCs/>
          <w:szCs w:val="21"/>
          <w:lang w:val="en-US" w:eastAsia="zh-CN"/>
        </w:rPr>
        <w:t>企业环境风险单元</w:t>
      </w:r>
      <w:r>
        <w:rPr>
          <w:rFonts w:hint="eastAsia" w:ascii="宋体" w:hAnsi="宋体" w:cs="楷体"/>
          <w:bCs/>
          <w:szCs w:val="21"/>
        </w:rPr>
        <w:t>之间实际距离</w:t>
      </w:r>
      <w:r>
        <w:rPr>
          <w:rFonts w:hint="eastAsia" w:ascii="宋体" w:hAnsi="宋体" w:cs="楷体"/>
          <w:bCs/>
          <w:szCs w:val="21"/>
          <w:lang w:val="en-US" w:eastAsia="zh-CN"/>
        </w:rPr>
        <w:t>小于</w:t>
      </w:r>
      <w:r>
        <w:rPr>
          <w:rFonts w:hint="eastAsia" w:ascii="宋体" w:hAnsi="宋体" w:cs="楷体"/>
          <w:bCs/>
          <w:szCs w:val="21"/>
        </w:rPr>
        <w:t>GB50160</w:t>
      </w:r>
      <w:r>
        <w:rPr>
          <w:rFonts w:hint="eastAsia" w:ascii="宋体" w:hAnsi="宋体" w:cs="楷体"/>
          <w:bCs/>
          <w:szCs w:val="21"/>
          <w:lang w:eastAsia="zh-CN"/>
        </w:rPr>
        <w:t>—</w:t>
      </w:r>
      <w:r>
        <w:rPr>
          <w:rFonts w:hint="eastAsia" w:ascii="宋体" w:hAnsi="宋体" w:cs="楷体"/>
          <w:bCs/>
          <w:szCs w:val="21"/>
        </w:rPr>
        <w:t>2008</w:t>
      </w:r>
      <w:r>
        <w:rPr>
          <w:rFonts w:hint="eastAsia" w:ascii="宋体" w:hAnsi="宋体" w:cs="楷体"/>
          <w:bCs/>
          <w:szCs w:val="21"/>
          <w:lang w:eastAsia="zh-CN"/>
        </w:rPr>
        <w:t>、</w:t>
      </w:r>
      <w:r>
        <w:rPr>
          <w:rFonts w:hint="eastAsia" w:ascii="宋体" w:hAnsi="宋体" w:cs="楷体"/>
          <w:bCs/>
          <w:szCs w:val="21"/>
        </w:rPr>
        <w:t>GB50016</w:t>
      </w:r>
      <w:r>
        <w:rPr>
          <w:rFonts w:hint="eastAsia" w:ascii="宋体" w:hAnsi="宋体" w:cs="楷体"/>
          <w:bCs/>
          <w:szCs w:val="21"/>
          <w:lang w:eastAsia="zh-CN"/>
        </w:rPr>
        <w:t>—</w:t>
      </w:r>
      <w:r>
        <w:rPr>
          <w:rFonts w:hint="eastAsia" w:ascii="宋体" w:hAnsi="宋体" w:cs="楷体"/>
          <w:bCs/>
          <w:szCs w:val="21"/>
        </w:rPr>
        <w:t>2012</w:t>
      </w:r>
      <w:r>
        <w:rPr>
          <w:rFonts w:hint="eastAsia" w:ascii="宋体" w:hAnsi="宋体" w:cs="楷体"/>
          <w:bCs/>
          <w:szCs w:val="21"/>
          <w:lang w:val="en-US" w:eastAsia="zh-CN"/>
        </w:rPr>
        <w:t>所规定</w:t>
      </w:r>
      <w:r>
        <w:rPr>
          <w:rFonts w:hint="eastAsia" w:ascii="宋体" w:hAnsi="宋体" w:cs="楷体"/>
          <w:bCs/>
          <w:szCs w:val="21"/>
        </w:rPr>
        <w:t>防火安全距离</w:t>
      </w:r>
      <w:r>
        <w:rPr>
          <w:rFonts w:hint="eastAsia" w:ascii="宋体" w:hAnsi="宋体" w:cs="楷体"/>
          <w:bCs/>
          <w:szCs w:val="21"/>
          <w:lang w:val="en-US" w:eastAsia="zh-CN"/>
        </w:rPr>
        <w:t>的节点数量n</w:t>
      </w:r>
      <w:r>
        <w:rPr>
          <w:rFonts w:hint="eastAsia" w:ascii="宋体" w:hAnsi="宋体" w:cs="楷体"/>
          <w:bCs/>
          <w:szCs w:val="21"/>
        </w:rPr>
        <w:t>作为评估依据</w:t>
      </w:r>
      <w:r>
        <w:rPr>
          <w:rFonts w:hint="eastAsia" w:ascii="宋体" w:hAnsi="宋体" w:cs="楷体"/>
          <w:bCs/>
          <w:szCs w:val="21"/>
          <w:lang w:eastAsia="zh-CN"/>
        </w:rPr>
        <w:t>。</w:t>
      </w:r>
      <w:r>
        <w:rPr>
          <w:rFonts w:hint="eastAsia" w:ascii="宋体" w:hAnsi="宋体" w:cs="楷体"/>
          <w:bCs/>
          <w:szCs w:val="21"/>
        </w:rPr>
        <w:t>根据表7确定工业园区多米诺效应系数(D)。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宋体" w:hAnsi="宋体" w:eastAsia="宋体" w:cs="楷体"/>
          <w:bCs/>
          <w:szCs w:val="21"/>
          <w:lang w:eastAsia="zh-CN"/>
        </w:rPr>
      </w:pPr>
      <w:r>
        <w:rPr>
          <w:rFonts w:hint="eastAsia" w:ascii="宋体" w:hAnsi="宋体" w:eastAsia="宋体" w:cs="楷体"/>
          <w:bCs/>
          <w:szCs w:val="21"/>
          <w:lang w:eastAsia="zh-CN"/>
        </w:rPr>
        <w:drawing>
          <wp:inline distT="0" distB="0" distL="114300" distR="114300">
            <wp:extent cx="5041265" cy="3607435"/>
            <wp:effectExtent l="0" t="0" r="6985" b="12065"/>
            <wp:docPr id="2" name="图片 2" descr="示意图2024080617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示意图20240806173701"/>
                    <pic:cNvPicPr>
                      <a:picLocks noChangeAspect="1"/>
                    </pic:cNvPicPr>
                  </pic:nvPicPr>
                  <pic:blipFill>
                    <a:blip r:embed="rId8"/>
                    <a:stretch>
                      <a:fillRect/>
                    </a:stretch>
                  </pic:blipFill>
                  <pic:spPr>
                    <a:xfrm>
                      <a:off x="0" y="0"/>
                      <a:ext cx="5041265" cy="3607435"/>
                    </a:xfrm>
                    <a:prstGeom prst="rect">
                      <a:avLst/>
                    </a:prstGeom>
                  </pic:spPr>
                </pic:pic>
              </a:graphicData>
            </a:graphic>
          </wp:inline>
        </w:drawing>
      </w:r>
    </w:p>
    <w:p>
      <w:pPr>
        <w:spacing w:before="156" w:beforeLines="50" w:after="156" w:afterLines="50" w:line="340" w:lineRule="exact"/>
        <w:ind w:firstLine="422" w:firstLineChars="200"/>
        <w:jc w:val="center"/>
        <w:rPr>
          <w:rFonts w:hint="default" w:ascii="宋体" w:hAnsi="宋体" w:cs="楷体"/>
          <w:b/>
          <w:bCs/>
          <w:szCs w:val="21"/>
          <w:lang w:val="en-US"/>
        </w:rPr>
      </w:pPr>
      <w:r>
        <w:rPr>
          <w:rFonts w:hint="eastAsia" w:ascii="宋体" w:hAnsi="宋体" w:cs="楷体"/>
          <w:b/>
          <w:bCs/>
          <w:szCs w:val="21"/>
        </w:rPr>
        <w:t>图</w:t>
      </w:r>
      <w:r>
        <w:rPr>
          <w:rFonts w:hint="eastAsia" w:ascii="宋体" w:hAnsi="宋体" w:cs="楷体"/>
          <w:b/>
          <w:bCs/>
          <w:szCs w:val="21"/>
          <w:lang w:val="en-US" w:eastAsia="zh-CN"/>
        </w:rPr>
        <w:t>2</w:t>
      </w:r>
      <w:r>
        <w:rPr>
          <w:rFonts w:hint="eastAsia" w:ascii="宋体" w:hAnsi="宋体" w:cs="楷体"/>
          <w:b/>
          <w:bCs/>
          <w:szCs w:val="21"/>
        </w:rPr>
        <w:t xml:space="preserve">  </w:t>
      </w:r>
      <w:r>
        <w:rPr>
          <w:rFonts w:hint="eastAsia" w:ascii="宋体" w:hAnsi="宋体" w:cs="楷体"/>
          <w:bCs/>
          <w:szCs w:val="21"/>
        </w:rPr>
        <w:t>工业园区相邻</w:t>
      </w:r>
      <w:r>
        <w:rPr>
          <w:rFonts w:hint="eastAsia" w:ascii="宋体" w:hAnsi="宋体" w:cs="楷体"/>
          <w:bCs/>
          <w:szCs w:val="21"/>
          <w:lang w:val="en-US" w:eastAsia="zh-CN"/>
        </w:rPr>
        <w:t>企业环境风险单元节点数量示意图</w:t>
      </w:r>
    </w:p>
    <w:p>
      <w:pPr>
        <w:spacing w:before="156" w:beforeLines="50" w:after="156" w:afterLines="50" w:line="340" w:lineRule="exact"/>
        <w:jc w:val="center"/>
        <w:outlineLvl w:val="1"/>
        <w:rPr>
          <w:rFonts w:ascii="宋体" w:hAnsi="宋体" w:cs="楷体"/>
          <w:b/>
          <w:szCs w:val="21"/>
        </w:rPr>
      </w:pPr>
      <w:r>
        <w:rPr>
          <w:rFonts w:ascii="宋体" w:hAnsi="宋体" w:cs="楷体"/>
          <w:b/>
          <w:szCs w:val="21"/>
        </w:rPr>
        <w:t xml:space="preserve">表 </w:t>
      </w:r>
      <w:r>
        <w:rPr>
          <w:rFonts w:hint="eastAsia" w:ascii="宋体" w:hAnsi="宋体" w:cs="楷体"/>
          <w:b/>
          <w:szCs w:val="21"/>
        </w:rPr>
        <w:t>7</w:t>
      </w:r>
      <w:r>
        <w:rPr>
          <w:rFonts w:ascii="宋体" w:hAnsi="宋体" w:cs="楷体"/>
          <w:b/>
          <w:szCs w:val="21"/>
        </w:rPr>
        <w:t xml:space="preserve"> </w:t>
      </w:r>
      <w:r>
        <w:rPr>
          <w:rFonts w:hint="eastAsia" w:ascii="宋体" w:hAnsi="宋体" w:cs="楷体"/>
          <w:b/>
          <w:szCs w:val="21"/>
        </w:rPr>
        <w:t xml:space="preserve"> 工业</w:t>
      </w:r>
      <w:r>
        <w:rPr>
          <w:rFonts w:ascii="宋体" w:hAnsi="宋体" w:cs="楷体"/>
          <w:b/>
          <w:szCs w:val="21"/>
        </w:rPr>
        <w:t>园区多米诺效应系数(D)</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3218"/>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pct"/>
            <w:vAlign w:val="center"/>
          </w:tcPr>
          <w:p>
            <w:pPr>
              <w:spacing w:line="120" w:lineRule="atLeast"/>
              <w:jc w:val="center"/>
              <w:rPr>
                <w:rFonts w:ascii="宋体" w:hAnsi="宋体" w:cs="楷体"/>
                <w:b/>
                <w:bCs/>
                <w:sz w:val="18"/>
                <w:szCs w:val="18"/>
              </w:rPr>
            </w:pPr>
            <w:r>
              <w:rPr>
                <w:rFonts w:ascii="宋体" w:hAnsi="宋体" w:cs="楷体"/>
                <w:b/>
                <w:bCs/>
                <w:sz w:val="18"/>
                <w:szCs w:val="18"/>
              </w:rPr>
              <w:t>评估指标</w:t>
            </w:r>
          </w:p>
        </w:tc>
        <w:tc>
          <w:tcPr>
            <w:tcW w:w="1765" w:type="pct"/>
            <w:vAlign w:val="center"/>
          </w:tcPr>
          <w:p>
            <w:pPr>
              <w:spacing w:line="120" w:lineRule="atLeast"/>
              <w:jc w:val="center"/>
              <w:rPr>
                <w:rFonts w:ascii="宋体" w:hAnsi="宋体" w:cs="楷体"/>
                <w:b/>
                <w:bCs/>
                <w:sz w:val="18"/>
                <w:szCs w:val="18"/>
              </w:rPr>
            </w:pPr>
            <w:r>
              <w:rPr>
                <w:rFonts w:hint="eastAsia" w:ascii="宋体" w:hAnsi="宋体" w:cs="楷体"/>
                <w:b/>
                <w:bCs/>
                <w:sz w:val="18"/>
                <w:szCs w:val="18"/>
              </w:rPr>
              <w:t>评估依据</w:t>
            </w:r>
          </w:p>
        </w:tc>
        <w:tc>
          <w:tcPr>
            <w:tcW w:w="1765" w:type="pct"/>
            <w:vAlign w:val="center"/>
          </w:tcPr>
          <w:p>
            <w:pPr>
              <w:spacing w:line="120" w:lineRule="atLeast"/>
              <w:jc w:val="center"/>
              <w:rPr>
                <w:rFonts w:ascii="宋体" w:hAnsi="宋体" w:cs="楷体"/>
                <w:b/>
                <w:bCs/>
                <w:sz w:val="18"/>
                <w:szCs w:val="18"/>
              </w:rPr>
            </w:pPr>
            <w:r>
              <w:rPr>
                <w:rFonts w:ascii="宋体" w:hAnsi="宋体" w:cs="楷体"/>
                <w:b/>
                <w:szCs w:val="21"/>
              </w:rPr>
              <w:t>多米诺效应系数(D)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pct"/>
            <w:vMerge w:val="restart"/>
            <w:vAlign w:val="center"/>
          </w:tcPr>
          <w:p>
            <w:pPr>
              <w:spacing w:line="120" w:lineRule="atLeast"/>
              <w:jc w:val="center"/>
              <w:rPr>
                <w:rFonts w:hint="eastAsia" w:ascii="宋体" w:hAnsi="宋体" w:eastAsia="宋体" w:cs="楷体"/>
                <w:sz w:val="18"/>
                <w:szCs w:val="18"/>
                <w:lang w:eastAsia="zh-CN"/>
              </w:rPr>
            </w:pPr>
            <w:r>
              <w:rPr>
                <w:rFonts w:ascii="宋体" w:hAnsi="宋体" w:cs="楷体"/>
                <w:sz w:val="18"/>
                <w:szCs w:val="18"/>
              </w:rPr>
              <w:t>园区内</w:t>
            </w:r>
            <w:r>
              <w:rPr>
                <w:rFonts w:hint="eastAsia" w:ascii="宋体" w:hAnsi="宋体" w:cs="楷体"/>
                <w:sz w:val="18"/>
                <w:szCs w:val="18"/>
                <w:lang w:val="en-US" w:eastAsia="zh-CN"/>
              </w:rPr>
              <w:t>相邻</w:t>
            </w:r>
            <w:r>
              <w:rPr>
                <w:rFonts w:ascii="宋体" w:hAnsi="宋体" w:cs="楷体"/>
                <w:sz w:val="18"/>
                <w:szCs w:val="18"/>
              </w:rPr>
              <w:t>企业</w:t>
            </w:r>
            <w:r>
              <w:rPr>
                <w:rFonts w:hint="eastAsia" w:ascii="宋体" w:hAnsi="宋体" w:cs="楷体"/>
                <w:sz w:val="18"/>
                <w:szCs w:val="18"/>
                <w:lang w:val="en-US" w:eastAsia="zh-CN"/>
              </w:rPr>
              <w:t>环境</w:t>
            </w:r>
            <w:r>
              <w:rPr>
                <w:rFonts w:ascii="宋体" w:hAnsi="宋体" w:cs="楷体"/>
                <w:sz w:val="18"/>
                <w:szCs w:val="18"/>
              </w:rPr>
              <w:t>风险单元</w:t>
            </w:r>
            <w:r>
              <w:rPr>
                <w:rFonts w:hint="eastAsia" w:ascii="宋体" w:hAnsi="宋体" w:cs="楷体"/>
                <w:sz w:val="18"/>
                <w:szCs w:val="18"/>
                <w:lang w:val="en-US" w:eastAsia="zh-CN"/>
              </w:rPr>
              <w:t>实际</w:t>
            </w:r>
            <w:r>
              <w:rPr>
                <w:rFonts w:ascii="宋体" w:hAnsi="宋体" w:cs="楷体"/>
                <w:sz w:val="18"/>
                <w:szCs w:val="18"/>
              </w:rPr>
              <w:t>距离</w:t>
            </w:r>
            <w:r>
              <w:rPr>
                <w:rFonts w:hint="eastAsia" w:ascii="宋体" w:hAnsi="宋体" w:cs="楷体"/>
                <w:sz w:val="18"/>
                <w:szCs w:val="18"/>
                <w:lang w:val="en-US" w:eastAsia="zh-CN"/>
              </w:rPr>
              <w:t>小于</w:t>
            </w:r>
            <w:r>
              <w:rPr>
                <w:rFonts w:ascii="宋体" w:hAnsi="宋体" w:cs="楷体"/>
                <w:sz w:val="18"/>
                <w:szCs w:val="18"/>
              </w:rPr>
              <w:t>安全防火间距</w:t>
            </w:r>
            <w:r>
              <w:rPr>
                <w:rFonts w:hint="eastAsia" w:ascii="宋体" w:hAnsi="宋体" w:cs="楷体"/>
                <w:sz w:val="18"/>
                <w:szCs w:val="18"/>
                <w:lang w:val="en-US" w:eastAsia="zh-CN"/>
              </w:rPr>
              <w:t>节点数量</w:t>
            </w:r>
            <w:r>
              <w:rPr>
                <w:rFonts w:hint="eastAsia" w:ascii="宋体" w:hAnsi="宋体" w:cs="楷体"/>
                <w:sz w:val="18"/>
                <w:szCs w:val="18"/>
                <w:lang w:eastAsia="zh-CN"/>
              </w:rPr>
              <w:t>（</w:t>
            </w:r>
            <w:r>
              <w:rPr>
                <w:rFonts w:hint="eastAsia" w:ascii="宋体" w:hAnsi="宋体" w:cs="楷体"/>
                <w:sz w:val="18"/>
                <w:szCs w:val="18"/>
                <w:lang w:val="en-US" w:eastAsia="zh-CN"/>
              </w:rPr>
              <w:t>n</w:t>
            </w:r>
            <w:r>
              <w:rPr>
                <w:rFonts w:hint="eastAsia" w:ascii="宋体" w:hAnsi="宋体" w:cs="楷体"/>
                <w:sz w:val="18"/>
                <w:szCs w:val="18"/>
                <w:lang w:eastAsia="zh-CN"/>
              </w:rPr>
              <w:t>）</w:t>
            </w:r>
          </w:p>
        </w:tc>
        <w:tc>
          <w:tcPr>
            <w:tcW w:w="1765" w:type="pct"/>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n=0</w:t>
            </w:r>
          </w:p>
        </w:tc>
        <w:tc>
          <w:tcPr>
            <w:tcW w:w="1765" w:type="pct"/>
            <w:vAlign w:val="center"/>
          </w:tcPr>
          <w:p>
            <w:pPr>
              <w:spacing w:line="120" w:lineRule="atLeast"/>
              <w:jc w:val="center"/>
              <w:rPr>
                <w:rFonts w:hint="default" w:ascii="宋体" w:hAnsi="宋体" w:cs="楷体"/>
                <w:sz w:val="18"/>
                <w:szCs w:val="18"/>
                <w:lang w:val="en-US" w:eastAsia="zh-CN"/>
              </w:rPr>
            </w:pPr>
            <w:r>
              <w:rPr>
                <w:rFonts w:hint="eastAsia" w:ascii="宋体" w:hAnsi="宋体" w:cs="楷体"/>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pct"/>
            <w:vMerge w:val="continue"/>
            <w:vAlign w:val="center"/>
          </w:tcPr>
          <w:p>
            <w:pPr>
              <w:spacing w:line="120" w:lineRule="atLeast"/>
              <w:jc w:val="center"/>
              <w:rPr>
                <w:rFonts w:hint="eastAsia" w:ascii="宋体" w:hAnsi="宋体" w:eastAsia="宋体" w:cs="楷体"/>
                <w:sz w:val="18"/>
                <w:szCs w:val="18"/>
                <w:lang w:eastAsia="zh-CN"/>
              </w:rPr>
            </w:pPr>
          </w:p>
        </w:tc>
        <w:tc>
          <w:tcPr>
            <w:tcW w:w="1765" w:type="pct"/>
            <w:vAlign w:val="center"/>
          </w:tcPr>
          <w:p>
            <w:pPr>
              <w:spacing w:line="120" w:lineRule="atLeast"/>
              <w:jc w:val="center"/>
              <w:rPr>
                <w:rFonts w:hint="eastAsia" w:ascii="宋体" w:hAnsi="宋体" w:eastAsia="宋体" w:cs="楷体"/>
                <w:sz w:val="18"/>
                <w:szCs w:val="18"/>
                <w:lang w:eastAsia="zh-CN"/>
              </w:rPr>
            </w:pPr>
            <w:r>
              <w:rPr>
                <w:rFonts w:hint="eastAsia" w:ascii="宋体" w:hAnsi="宋体" w:cs="楷体"/>
                <w:sz w:val="18"/>
                <w:szCs w:val="18"/>
              </w:rPr>
              <w:t>1≤</w:t>
            </w:r>
            <w:r>
              <w:rPr>
                <w:rFonts w:hint="eastAsia" w:ascii="宋体" w:hAnsi="宋体" w:cs="楷体"/>
                <w:sz w:val="18"/>
                <w:szCs w:val="18"/>
                <w:lang w:val="en-US" w:eastAsia="zh-CN"/>
              </w:rPr>
              <w:t>n</w:t>
            </w:r>
            <w:r>
              <w:rPr>
                <w:rFonts w:hint="eastAsia" w:ascii="宋体" w:hAnsi="宋体" w:cs="楷体"/>
                <w:sz w:val="18"/>
                <w:szCs w:val="18"/>
              </w:rPr>
              <w:t>﹤</w:t>
            </w:r>
            <w:r>
              <w:rPr>
                <w:rFonts w:hint="eastAsia" w:ascii="宋体" w:hAnsi="宋体" w:cs="楷体"/>
                <w:sz w:val="18"/>
                <w:szCs w:val="18"/>
                <w:lang w:val="en-US" w:eastAsia="zh-CN"/>
              </w:rPr>
              <w:t>3</w:t>
            </w:r>
          </w:p>
        </w:tc>
        <w:tc>
          <w:tcPr>
            <w:tcW w:w="1765" w:type="pct"/>
            <w:vAlign w:val="center"/>
          </w:tcPr>
          <w:p>
            <w:pPr>
              <w:spacing w:line="120" w:lineRule="atLeast"/>
              <w:jc w:val="center"/>
              <w:rPr>
                <w:rFonts w:hint="eastAsia" w:ascii="宋体" w:hAnsi="宋体" w:eastAsia="宋体" w:cs="楷体"/>
                <w:sz w:val="18"/>
                <w:szCs w:val="18"/>
                <w:lang w:val="en-US" w:eastAsia="zh-CN"/>
              </w:rPr>
            </w:pPr>
            <w:r>
              <w:rPr>
                <w:rFonts w:hint="eastAsia" w:ascii="宋体" w:hAnsi="宋体" w:cs="楷体"/>
                <w:sz w:val="18"/>
                <w:szCs w:val="18"/>
                <w:lang w:val="en-US" w:eastAsia="zh-CN"/>
              </w:rPr>
              <w:t>1</w:t>
            </w:r>
            <w:r>
              <w:rPr>
                <w:rFonts w:hint="eastAsia" w:ascii="宋体" w:hAnsi="宋体" w:cs="楷体"/>
                <w:sz w:val="18"/>
                <w:szCs w:val="18"/>
              </w:rPr>
              <w:t>.</w:t>
            </w:r>
            <w:r>
              <w:rPr>
                <w:rFonts w:hint="eastAsia" w:ascii="宋体" w:hAnsi="宋体" w:cs="楷体"/>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8" w:type="pct"/>
            <w:vMerge w:val="continue"/>
            <w:vAlign w:val="center"/>
          </w:tcPr>
          <w:p>
            <w:pPr>
              <w:spacing w:line="120" w:lineRule="atLeast"/>
              <w:rPr>
                <w:rFonts w:ascii="宋体" w:hAnsi="宋体" w:cs="楷体"/>
                <w:sz w:val="18"/>
                <w:szCs w:val="18"/>
              </w:rPr>
            </w:pPr>
          </w:p>
        </w:tc>
        <w:tc>
          <w:tcPr>
            <w:tcW w:w="1765" w:type="pct"/>
            <w:vAlign w:val="center"/>
          </w:tcPr>
          <w:p>
            <w:pPr>
              <w:spacing w:line="120" w:lineRule="atLeast"/>
              <w:jc w:val="center"/>
              <w:rPr>
                <w:rFonts w:ascii="宋体" w:hAnsi="宋体" w:cs="楷体"/>
                <w:b/>
                <w:bCs/>
                <w:sz w:val="18"/>
                <w:szCs w:val="18"/>
              </w:rPr>
            </w:pPr>
            <w:r>
              <w:rPr>
                <w:rFonts w:hint="eastAsia" w:ascii="宋体" w:hAnsi="宋体" w:cs="楷体"/>
                <w:sz w:val="18"/>
                <w:szCs w:val="18"/>
                <w:lang w:val="en-US" w:eastAsia="zh-CN"/>
              </w:rPr>
              <w:t>3</w:t>
            </w:r>
            <w:r>
              <w:rPr>
                <w:rFonts w:hint="eastAsia" w:ascii="宋体" w:hAnsi="宋体" w:cs="楷体"/>
                <w:sz w:val="18"/>
                <w:szCs w:val="18"/>
              </w:rPr>
              <w:t>≤</w:t>
            </w:r>
            <w:r>
              <w:rPr>
                <w:rFonts w:hint="eastAsia" w:ascii="宋体" w:hAnsi="宋体" w:cs="楷体"/>
                <w:sz w:val="18"/>
                <w:szCs w:val="18"/>
                <w:lang w:val="en-US" w:eastAsia="zh-CN"/>
              </w:rPr>
              <w:t>n</w:t>
            </w:r>
            <w:r>
              <w:rPr>
                <w:rFonts w:hint="eastAsia" w:ascii="宋体" w:hAnsi="宋体" w:cs="楷体"/>
                <w:sz w:val="18"/>
                <w:szCs w:val="18"/>
              </w:rPr>
              <w:t>﹤</w:t>
            </w:r>
            <w:r>
              <w:rPr>
                <w:rFonts w:hint="eastAsia" w:ascii="宋体" w:hAnsi="宋体" w:cs="楷体"/>
                <w:sz w:val="18"/>
                <w:szCs w:val="18"/>
                <w:lang w:val="en-US" w:eastAsia="zh-CN"/>
              </w:rPr>
              <w:t>5</w:t>
            </w:r>
          </w:p>
        </w:tc>
        <w:tc>
          <w:tcPr>
            <w:tcW w:w="1765" w:type="pct"/>
            <w:vAlign w:val="center"/>
          </w:tcPr>
          <w:p>
            <w:pPr>
              <w:spacing w:line="120" w:lineRule="atLeast"/>
              <w:jc w:val="center"/>
              <w:rPr>
                <w:rFonts w:hint="eastAsia" w:ascii="宋体" w:hAnsi="宋体" w:eastAsia="宋体" w:cs="楷体"/>
                <w:sz w:val="18"/>
                <w:szCs w:val="18"/>
                <w:lang w:val="en-US" w:eastAsia="zh-CN"/>
              </w:rPr>
            </w:pPr>
            <w:r>
              <w:rPr>
                <w:rFonts w:hint="eastAsia" w:ascii="宋体" w:hAnsi="宋体" w:cs="楷体"/>
                <w:sz w:val="18"/>
                <w:szCs w:val="18"/>
                <w:lang w:val="en-US" w:eastAsia="zh-CN"/>
              </w:rPr>
              <w:t>1</w:t>
            </w:r>
            <w:r>
              <w:rPr>
                <w:rFonts w:hint="eastAsia" w:ascii="宋体" w:hAnsi="宋体" w:cs="楷体"/>
                <w:sz w:val="18"/>
                <w:szCs w:val="18"/>
              </w:rPr>
              <w:t>.</w:t>
            </w:r>
            <w:r>
              <w:rPr>
                <w:rFonts w:hint="eastAsia" w:ascii="宋体" w:hAnsi="宋体" w:cs="楷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pct"/>
            <w:vMerge w:val="continue"/>
            <w:vAlign w:val="center"/>
          </w:tcPr>
          <w:p>
            <w:pPr>
              <w:spacing w:line="120" w:lineRule="atLeast"/>
              <w:rPr>
                <w:rFonts w:ascii="宋体" w:hAnsi="宋体" w:cs="楷体"/>
                <w:sz w:val="18"/>
                <w:szCs w:val="18"/>
              </w:rPr>
            </w:pPr>
          </w:p>
        </w:tc>
        <w:tc>
          <w:tcPr>
            <w:tcW w:w="1765" w:type="pct"/>
            <w:vAlign w:val="center"/>
          </w:tcPr>
          <w:p>
            <w:pPr>
              <w:spacing w:line="120" w:lineRule="atLeast"/>
              <w:jc w:val="center"/>
              <w:rPr>
                <w:rFonts w:hint="default" w:ascii="宋体" w:hAnsi="宋体" w:cs="楷体"/>
                <w:sz w:val="18"/>
                <w:szCs w:val="18"/>
                <w:lang w:val="en-US"/>
              </w:rPr>
            </w:pPr>
            <w:r>
              <w:rPr>
                <w:rFonts w:hint="eastAsia" w:ascii="宋体" w:hAnsi="宋体" w:cs="楷体"/>
                <w:sz w:val="18"/>
                <w:szCs w:val="18"/>
                <w:lang w:val="en-US" w:eastAsia="zh-CN"/>
              </w:rPr>
              <w:t>5</w:t>
            </w:r>
            <w:r>
              <w:rPr>
                <w:rFonts w:hint="eastAsia" w:ascii="宋体" w:hAnsi="宋体" w:cs="楷体"/>
                <w:sz w:val="18"/>
                <w:szCs w:val="18"/>
              </w:rPr>
              <w:t>≤</w:t>
            </w:r>
            <w:r>
              <w:rPr>
                <w:rFonts w:hint="eastAsia" w:ascii="宋体" w:hAnsi="宋体" w:cs="楷体"/>
                <w:sz w:val="18"/>
                <w:szCs w:val="18"/>
                <w:lang w:val="en-US" w:eastAsia="zh-CN"/>
              </w:rPr>
              <w:t>n</w:t>
            </w:r>
            <w:r>
              <w:rPr>
                <w:rFonts w:hint="eastAsia" w:ascii="宋体" w:hAnsi="宋体" w:cs="楷体"/>
                <w:sz w:val="18"/>
                <w:szCs w:val="18"/>
              </w:rPr>
              <w:t>﹤</w:t>
            </w:r>
            <w:r>
              <w:rPr>
                <w:rFonts w:hint="eastAsia" w:ascii="宋体" w:hAnsi="宋体" w:cs="楷体"/>
                <w:sz w:val="18"/>
                <w:szCs w:val="18"/>
                <w:lang w:val="en-US" w:eastAsia="zh-CN"/>
              </w:rPr>
              <w:t>10</w:t>
            </w:r>
          </w:p>
        </w:tc>
        <w:tc>
          <w:tcPr>
            <w:tcW w:w="1765" w:type="pct"/>
            <w:vAlign w:val="center"/>
          </w:tcPr>
          <w:p>
            <w:pPr>
              <w:spacing w:line="120" w:lineRule="atLeast"/>
              <w:jc w:val="center"/>
              <w:rPr>
                <w:rFonts w:hint="eastAsia" w:ascii="宋体" w:hAnsi="宋体" w:eastAsia="宋体" w:cs="楷体"/>
                <w:sz w:val="18"/>
                <w:szCs w:val="18"/>
                <w:lang w:eastAsia="zh-CN"/>
              </w:rPr>
            </w:pPr>
            <w:r>
              <w:rPr>
                <w:rFonts w:hint="eastAsia" w:ascii="宋体" w:hAnsi="宋体" w:cs="楷体"/>
                <w:sz w:val="18"/>
                <w:szCs w:val="18"/>
                <w:lang w:val="en-US" w:eastAsia="zh-CN"/>
              </w:rPr>
              <w:t>1</w:t>
            </w:r>
            <w:r>
              <w:rPr>
                <w:rFonts w:hint="eastAsia" w:ascii="宋体" w:hAnsi="宋体" w:cs="楷体"/>
                <w:sz w:val="18"/>
                <w:szCs w:val="18"/>
              </w:rPr>
              <w:t>.</w:t>
            </w:r>
            <w:r>
              <w:rPr>
                <w:rFonts w:hint="eastAsia" w:ascii="宋体" w:hAnsi="宋体" w:cs="楷体"/>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pct"/>
            <w:vMerge w:val="continue"/>
            <w:vAlign w:val="center"/>
          </w:tcPr>
          <w:p>
            <w:pPr>
              <w:spacing w:line="120" w:lineRule="atLeast"/>
              <w:rPr>
                <w:rFonts w:ascii="宋体" w:hAnsi="宋体" w:cs="楷体"/>
                <w:sz w:val="18"/>
                <w:szCs w:val="18"/>
              </w:rPr>
            </w:pPr>
          </w:p>
        </w:tc>
        <w:tc>
          <w:tcPr>
            <w:tcW w:w="1765" w:type="pct"/>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n</w:t>
            </w:r>
            <w:r>
              <w:rPr>
                <w:rFonts w:hint="eastAsia" w:ascii="宋体" w:hAnsi="宋体" w:cs="楷体"/>
                <w:sz w:val="18"/>
                <w:szCs w:val="18"/>
              </w:rPr>
              <w:t>≥</w:t>
            </w:r>
            <w:r>
              <w:rPr>
                <w:rFonts w:hint="eastAsia" w:ascii="宋体" w:hAnsi="宋体" w:cs="楷体"/>
                <w:sz w:val="18"/>
                <w:szCs w:val="18"/>
                <w:lang w:val="en-US" w:eastAsia="zh-CN"/>
              </w:rPr>
              <w:t>10</w:t>
            </w:r>
          </w:p>
        </w:tc>
        <w:tc>
          <w:tcPr>
            <w:tcW w:w="1765" w:type="pct"/>
            <w:vAlign w:val="center"/>
          </w:tcPr>
          <w:p>
            <w:pPr>
              <w:spacing w:line="120" w:lineRule="atLeast"/>
              <w:jc w:val="center"/>
              <w:rPr>
                <w:rFonts w:hint="default" w:ascii="宋体" w:hAnsi="宋体" w:eastAsia="宋体" w:cs="楷体"/>
                <w:sz w:val="18"/>
                <w:szCs w:val="18"/>
                <w:lang w:val="en-US" w:eastAsia="zh-CN"/>
              </w:rPr>
            </w:pPr>
            <w:r>
              <w:rPr>
                <w:rFonts w:hint="eastAsia" w:ascii="宋体" w:hAnsi="宋体" w:cs="楷体"/>
                <w:sz w:val="18"/>
                <w:szCs w:val="18"/>
                <w:lang w:val="en-US" w:eastAsia="zh-CN"/>
              </w:rPr>
              <w:t>1.4</w:t>
            </w:r>
          </w:p>
        </w:tc>
      </w:tr>
    </w:tbl>
    <w:p>
      <w:pPr>
        <w:spacing w:before="156" w:beforeLines="50" w:after="156" w:afterLines="50" w:line="340" w:lineRule="exact"/>
        <w:outlineLvl w:val="1"/>
        <w:rPr>
          <w:rFonts w:ascii="宋体" w:hAnsi="宋体" w:cs="楷体"/>
          <w:bCs/>
          <w:szCs w:val="21"/>
        </w:rPr>
      </w:pPr>
      <w:bookmarkStart w:id="54" w:name="OLE_LINK1"/>
      <w:r>
        <w:rPr>
          <w:rFonts w:hint="eastAsia" w:ascii="宋体" w:hAnsi="宋体" w:cs="楷体"/>
          <w:b/>
          <w:szCs w:val="21"/>
        </w:rPr>
        <w:t>9.5  环境风险分级与表征</w:t>
      </w:r>
    </w:p>
    <w:bookmarkEnd w:id="54"/>
    <w:p>
      <w:pPr>
        <w:spacing w:before="156" w:beforeLines="50" w:after="156" w:afterLines="50" w:line="340" w:lineRule="exact"/>
        <w:outlineLvl w:val="1"/>
        <w:rPr>
          <w:rFonts w:hint="default" w:ascii="宋体" w:hAnsi="宋体" w:eastAsia="宋体" w:cs="楷体"/>
          <w:bCs/>
          <w:szCs w:val="21"/>
          <w:lang w:val="en-US" w:eastAsia="zh-CN"/>
        </w:rPr>
      </w:pPr>
      <w:r>
        <w:rPr>
          <w:rFonts w:hint="eastAsia" w:ascii="宋体" w:hAnsi="宋体" w:cs="楷体"/>
          <w:b/>
          <w:szCs w:val="21"/>
        </w:rPr>
        <w:t>9.5.1 环境风险</w:t>
      </w:r>
      <w:r>
        <w:rPr>
          <w:rFonts w:hint="eastAsia" w:ascii="宋体" w:hAnsi="宋体" w:cs="楷体"/>
          <w:b/>
          <w:szCs w:val="21"/>
          <w:lang w:val="en-US" w:eastAsia="zh-CN"/>
        </w:rPr>
        <w:t>指数计算</w:t>
      </w:r>
    </w:p>
    <w:p>
      <w:pPr>
        <w:spacing w:before="156" w:beforeLines="50" w:after="156" w:afterLines="50" w:line="340" w:lineRule="exact"/>
        <w:ind w:firstLine="420" w:firstLineChars="200"/>
        <w:outlineLvl w:val="1"/>
        <w:rPr>
          <w:rFonts w:hint="default" w:ascii="宋体" w:hAnsi="宋体" w:eastAsia="宋体" w:cs="楷体"/>
          <w:b/>
          <w:szCs w:val="21"/>
          <w:lang w:val="en-US" w:eastAsia="zh-CN"/>
        </w:rPr>
      </w:pPr>
      <w:r>
        <w:rPr>
          <w:rFonts w:hint="eastAsia" w:ascii="宋体" w:hAnsi="宋体" w:cs="楷体"/>
          <w:bCs/>
          <w:szCs w:val="21"/>
        </w:rPr>
        <w:t>根据</w:t>
      </w:r>
      <w:r>
        <w:rPr>
          <w:rFonts w:hint="eastAsia" w:ascii="宋体" w:hAnsi="宋体" w:cs="楷体"/>
          <w:b w:val="0"/>
          <w:bCs/>
          <w:szCs w:val="21"/>
        </w:rPr>
        <w:t>水环境风险源强度（S</w:t>
      </w:r>
      <w:r>
        <w:rPr>
          <w:rFonts w:hint="eastAsia" w:ascii="宋体" w:hAnsi="宋体" w:cs="楷体"/>
          <w:b w:val="0"/>
          <w:bCs/>
          <w:szCs w:val="21"/>
          <w:vertAlign w:val="subscript"/>
        </w:rPr>
        <w:t>水</w:t>
      </w:r>
      <w:r>
        <w:rPr>
          <w:rFonts w:hint="eastAsia" w:ascii="宋体" w:hAnsi="宋体" w:cs="楷体"/>
          <w:b w:val="0"/>
          <w:bCs/>
          <w:szCs w:val="21"/>
        </w:rPr>
        <w:t>）</w:t>
      </w:r>
      <w:r>
        <w:rPr>
          <w:rFonts w:hint="eastAsia" w:ascii="宋体" w:hAnsi="宋体" w:cs="楷体"/>
          <w:b w:val="0"/>
          <w:bCs/>
          <w:szCs w:val="21"/>
          <w:lang w:eastAsia="zh-CN"/>
        </w:rPr>
        <w:t>、</w:t>
      </w:r>
      <w:r>
        <w:rPr>
          <w:rFonts w:hint="eastAsia" w:ascii="宋体" w:hAnsi="宋体" w:cs="楷体"/>
          <w:b w:val="0"/>
          <w:bCs/>
          <w:szCs w:val="21"/>
        </w:rPr>
        <w:t>水环境风险受体脆弱性（V</w:t>
      </w:r>
      <w:r>
        <w:rPr>
          <w:rFonts w:hint="eastAsia" w:ascii="宋体" w:hAnsi="宋体" w:cs="楷体"/>
          <w:b w:val="0"/>
          <w:bCs/>
          <w:szCs w:val="21"/>
          <w:vertAlign w:val="subscript"/>
        </w:rPr>
        <w:t>水</w:t>
      </w:r>
      <w:r>
        <w:rPr>
          <w:rFonts w:hint="eastAsia" w:ascii="宋体" w:hAnsi="宋体" w:cs="楷体"/>
          <w:b w:val="0"/>
          <w:bCs/>
          <w:szCs w:val="21"/>
        </w:rPr>
        <w:t>）</w:t>
      </w:r>
      <w:r>
        <w:rPr>
          <w:rFonts w:hint="eastAsia" w:ascii="宋体" w:hAnsi="宋体" w:cs="楷体"/>
          <w:b w:val="0"/>
          <w:bCs/>
          <w:szCs w:val="21"/>
          <w:lang w:eastAsia="zh-CN"/>
        </w:rPr>
        <w:t>、</w:t>
      </w:r>
      <w:r>
        <w:rPr>
          <w:rFonts w:hint="eastAsia" w:ascii="宋体" w:hAnsi="宋体" w:cs="楷体"/>
          <w:b w:val="0"/>
          <w:bCs/>
          <w:szCs w:val="21"/>
        </w:rPr>
        <w:t>水环境风险防控能力（M</w:t>
      </w:r>
      <w:r>
        <w:rPr>
          <w:rFonts w:hint="eastAsia" w:ascii="宋体" w:hAnsi="宋体" w:cs="楷体"/>
          <w:b w:val="0"/>
          <w:bCs/>
          <w:szCs w:val="21"/>
          <w:vertAlign w:val="subscript"/>
        </w:rPr>
        <w:t>水</w:t>
      </w:r>
      <w:r>
        <w:rPr>
          <w:rFonts w:hint="eastAsia" w:ascii="宋体" w:hAnsi="宋体" w:cs="楷体"/>
          <w:b w:val="0"/>
          <w:bCs/>
          <w:szCs w:val="21"/>
        </w:rPr>
        <w:t>）</w:t>
      </w:r>
      <w:r>
        <w:rPr>
          <w:rFonts w:hint="eastAsia" w:ascii="宋体" w:hAnsi="宋体" w:cs="楷体"/>
          <w:b w:val="0"/>
          <w:bCs/>
          <w:szCs w:val="21"/>
          <w:lang w:eastAsia="zh-CN"/>
        </w:rPr>
        <w:t>，</w:t>
      </w:r>
      <w:r>
        <w:rPr>
          <w:rFonts w:hint="eastAsia" w:ascii="宋体" w:hAnsi="宋体" w:cs="楷体"/>
          <w:bCs/>
          <w:szCs w:val="21"/>
        </w:rPr>
        <w:t>以及多米诺效应系数D</w:t>
      </w:r>
      <w:r>
        <w:rPr>
          <w:rFonts w:hint="eastAsia" w:ascii="宋体" w:hAnsi="宋体" w:cs="楷体"/>
          <w:bCs/>
          <w:szCs w:val="21"/>
          <w:lang w:eastAsia="zh-CN"/>
        </w:rPr>
        <w:t>，</w:t>
      </w:r>
      <w:r>
        <w:rPr>
          <w:rFonts w:hint="eastAsia" w:ascii="宋体" w:hAnsi="宋体" w:cs="楷体"/>
          <w:bCs/>
          <w:szCs w:val="21"/>
          <w:lang w:val="en-US" w:eastAsia="zh-CN"/>
        </w:rPr>
        <w:t>按照公式</w:t>
      </w:r>
      <w:r>
        <w:rPr>
          <w:rFonts w:hint="eastAsia" w:ascii="宋体" w:hAnsi="宋体" w:cs="楷体"/>
          <w:bCs/>
          <w:szCs w:val="21"/>
        </w:rPr>
        <w:t>（</w:t>
      </w:r>
      <w:r>
        <w:rPr>
          <w:rFonts w:hint="eastAsia" w:ascii="宋体" w:hAnsi="宋体" w:cs="楷体"/>
          <w:bCs/>
          <w:szCs w:val="21"/>
          <w:lang w:val="en-US" w:eastAsia="zh-CN"/>
        </w:rPr>
        <w:t>1</w:t>
      </w:r>
      <w:r>
        <w:rPr>
          <w:rFonts w:hint="eastAsia" w:ascii="宋体" w:hAnsi="宋体" w:cs="楷体"/>
          <w:bCs/>
          <w:szCs w:val="21"/>
        </w:rPr>
        <w:t>）</w:t>
      </w:r>
      <w:r>
        <w:rPr>
          <w:rFonts w:hint="eastAsia" w:ascii="宋体" w:hAnsi="宋体" w:cs="楷体"/>
          <w:bCs/>
          <w:szCs w:val="21"/>
          <w:lang w:eastAsia="zh-CN"/>
        </w:rPr>
        <w:t>，</w:t>
      </w:r>
      <w:r>
        <w:rPr>
          <w:rFonts w:hint="eastAsia" w:ascii="宋体" w:hAnsi="宋体" w:cs="楷体"/>
          <w:bCs/>
          <w:szCs w:val="21"/>
          <w:lang w:val="en-US" w:eastAsia="zh-CN"/>
        </w:rPr>
        <w:t>计算得出</w:t>
      </w:r>
      <w:r>
        <w:rPr>
          <w:rFonts w:hint="eastAsia" w:ascii="宋体" w:hAnsi="宋体" w:cs="楷体"/>
          <w:bCs/>
          <w:szCs w:val="21"/>
        </w:rPr>
        <w:t>水</w:t>
      </w:r>
      <w:r>
        <w:rPr>
          <w:rFonts w:ascii="宋体" w:hAnsi="宋体" w:cs="楷体"/>
          <w:bCs/>
          <w:szCs w:val="21"/>
        </w:rPr>
        <w:t>环境风险指数(R</w:t>
      </w:r>
      <w:r>
        <w:rPr>
          <w:rFonts w:hint="eastAsia" w:ascii="宋体" w:hAnsi="宋体" w:cs="楷体"/>
          <w:bCs/>
          <w:szCs w:val="21"/>
          <w:vertAlign w:val="subscript"/>
          <w:lang w:val="en-US" w:eastAsia="zh-CN"/>
        </w:rPr>
        <w:t>水</w:t>
      </w:r>
      <w:r>
        <w:rPr>
          <w:rFonts w:ascii="宋体" w:hAnsi="宋体" w:cs="楷体"/>
          <w:bCs/>
          <w:szCs w:val="21"/>
        </w:rPr>
        <w:t>)。</w:t>
      </w:r>
    </w:p>
    <w:p>
      <w:pPr>
        <w:spacing w:before="156" w:beforeLines="50" w:after="156" w:afterLines="50" w:line="340" w:lineRule="exact"/>
        <w:ind w:firstLine="420" w:firstLineChars="200"/>
        <w:outlineLvl w:val="1"/>
        <w:rPr>
          <w:rFonts w:ascii="宋体" w:hAnsi="宋体" w:cs="楷体"/>
          <w:bCs/>
          <w:szCs w:val="21"/>
        </w:rPr>
      </w:pPr>
      <w:r>
        <w:rPr>
          <w:rFonts w:hint="eastAsia" w:ascii="宋体" w:hAnsi="宋体" w:cs="楷体"/>
          <w:bCs/>
          <w:szCs w:val="21"/>
        </w:rPr>
        <w:t>根据</w:t>
      </w:r>
      <w:r>
        <w:rPr>
          <w:rFonts w:hint="eastAsia" w:ascii="宋体" w:hAnsi="宋体" w:cs="楷体"/>
          <w:b w:val="0"/>
          <w:bCs/>
          <w:szCs w:val="21"/>
        </w:rPr>
        <w:t>大气环境风险源强度（S</w:t>
      </w:r>
      <w:r>
        <w:rPr>
          <w:rFonts w:hint="eastAsia" w:ascii="宋体" w:hAnsi="宋体" w:cs="楷体"/>
          <w:b w:val="0"/>
          <w:bCs/>
          <w:szCs w:val="21"/>
          <w:vertAlign w:val="subscript"/>
        </w:rPr>
        <w:t>气</w:t>
      </w:r>
      <w:r>
        <w:rPr>
          <w:rFonts w:hint="eastAsia" w:ascii="宋体" w:hAnsi="宋体" w:cs="楷体"/>
          <w:b w:val="0"/>
          <w:bCs/>
          <w:szCs w:val="21"/>
        </w:rPr>
        <w:t>）</w:t>
      </w:r>
      <w:r>
        <w:rPr>
          <w:rFonts w:hint="eastAsia" w:ascii="宋体" w:hAnsi="宋体" w:cs="楷体"/>
          <w:b w:val="0"/>
          <w:bCs/>
          <w:szCs w:val="21"/>
          <w:lang w:eastAsia="zh-CN"/>
        </w:rPr>
        <w:t>、</w:t>
      </w:r>
      <w:r>
        <w:rPr>
          <w:rFonts w:ascii="宋体" w:hAnsi="宋体" w:cs="楷体"/>
          <w:b w:val="0"/>
          <w:bCs/>
          <w:szCs w:val="21"/>
        </w:rPr>
        <w:t>大气环境风险受体脆弱性（V</w:t>
      </w:r>
      <w:r>
        <w:rPr>
          <w:rFonts w:ascii="宋体" w:hAnsi="宋体" w:cs="楷体"/>
          <w:b w:val="0"/>
          <w:bCs/>
          <w:szCs w:val="21"/>
          <w:vertAlign w:val="subscript"/>
        </w:rPr>
        <w:t>气</w:t>
      </w:r>
      <w:r>
        <w:rPr>
          <w:rFonts w:ascii="宋体" w:hAnsi="宋体" w:cs="楷体"/>
          <w:b w:val="0"/>
          <w:bCs/>
          <w:szCs w:val="21"/>
        </w:rPr>
        <w:t>）</w:t>
      </w:r>
      <w:r>
        <w:rPr>
          <w:rFonts w:hint="eastAsia" w:ascii="宋体" w:hAnsi="宋体" w:cs="楷体"/>
          <w:b w:val="0"/>
          <w:bCs/>
          <w:szCs w:val="21"/>
          <w:lang w:eastAsia="zh-CN"/>
        </w:rPr>
        <w:t>、</w:t>
      </w:r>
      <w:r>
        <w:rPr>
          <w:rFonts w:hint="eastAsia" w:ascii="宋体" w:hAnsi="宋体" w:cs="楷体"/>
          <w:b w:val="0"/>
          <w:bCs/>
          <w:szCs w:val="21"/>
        </w:rPr>
        <w:t>大气</w:t>
      </w:r>
      <w:r>
        <w:rPr>
          <w:rFonts w:ascii="宋体" w:hAnsi="宋体" w:cs="楷体"/>
          <w:b w:val="0"/>
          <w:bCs/>
          <w:szCs w:val="21"/>
        </w:rPr>
        <w:t>环境风险防控与应急能力（</w:t>
      </w:r>
      <w:r>
        <w:rPr>
          <w:rFonts w:hint="eastAsia" w:ascii="宋体" w:hAnsi="宋体" w:cs="楷体"/>
          <w:b w:val="0"/>
          <w:bCs/>
          <w:szCs w:val="21"/>
        </w:rPr>
        <w:t>M</w:t>
      </w:r>
      <w:r>
        <w:rPr>
          <w:rFonts w:hint="eastAsia" w:ascii="宋体" w:hAnsi="宋体" w:cs="楷体"/>
          <w:b w:val="0"/>
          <w:bCs/>
          <w:szCs w:val="21"/>
          <w:vertAlign w:val="subscript"/>
        </w:rPr>
        <w:t>气</w:t>
      </w:r>
      <w:r>
        <w:rPr>
          <w:rFonts w:ascii="宋体" w:hAnsi="宋体" w:cs="楷体"/>
          <w:b w:val="0"/>
          <w:bCs/>
          <w:szCs w:val="21"/>
        </w:rPr>
        <w:t>）</w:t>
      </w:r>
      <w:r>
        <w:rPr>
          <w:rFonts w:hint="eastAsia" w:ascii="宋体" w:hAnsi="宋体" w:cs="楷体"/>
          <w:b w:val="0"/>
          <w:bCs/>
          <w:szCs w:val="21"/>
          <w:lang w:eastAsia="zh-CN"/>
        </w:rPr>
        <w:t>，</w:t>
      </w:r>
      <w:r>
        <w:rPr>
          <w:rFonts w:hint="eastAsia" w:ascii="宋体" w:hAnsi="宋体" w:cs="楷体"/>
          <w:bCs/>
          <w:szCs w:val="21"/>
        </w:rPr>
        <w:t>以及多米诺效应系数D</w:t>
      </w:r>
      <w:r>
        <w:rPr>
          <w:rFonts w:hint="eastAsia" w:ascii="宋体" w:hAnsi="宋体" w:cs="楷体"/>
          <w:bCs/>
          <w:szCs w:val="21"/>
          <w:lang w:eastAsia="zh-CN"/>
        </w:rPr>
        <w:t>，</w:t>
      </w:r>
      <w:r>
        <w:rPr>
          <w:rFonts w:hint="eastAsia" w:ascii="宋体" w:hAnsi="宋体" w:cs="楷体"/>
          <w:bCs/>
          <w:szCs w:val="21"/>
          <w:lang w:val="en-US" w:eastAsia="zh-CN"/>
        </w:rPr>
        <w:t>按照公式</w:t>
      </w:r>
      <w:r>
        <w:rPr>
          <w:rFonts w:hint="eastAsia" w:ascii="宋体" w:hAnsi="宋体" w:cs="楷体"/>
          <w:bCs/>
          <w:szCs w:val="21"/>
        </w:rPr>
        <w:t>（</w:t>
      </w:r>
      <w:r>
        <w:rPr>
          <w:rFonts w:hint="eastAsia" w:ascii="宋体" w:hAnsi="宋体" w:cs="楷体"/>
          <w:bCs/>
          <w:szCs w:val="21"/>
          <w:lang w:val="en-US" w:eastAsia="zh-CN"/>
        </w:rPr>
        <w:t>2</w:t>
      </w:r>
      <w:r>
        <w:rPr>
          <w:rFonts w:hint="eastAsia" w:ascii="宋体" w:hAnsi="宋体" w:cs="楷体"/>
          <w:bCs/>
          <w:szCs w:val="21"/>
        </w:rPr>
        <w:t>）</w:t>
      </w:r>
      <w:r>
        <w:rPr>
          <w:rFonts w:hint="eastAsia" w:ascii="宋体" w:hAnsi="宋体" w:cs="楷体"/>
          <w:bCs/>
          <w:szCs w:val="21"/>
          <w:lang w:eastAsia="zh-CN"/>
        </w:rPr>
        <w:t>，</w:t>
      </w:r>
      <w:r>
        <w:rPr>
          <w:rFonts w:hint="eastAsia" w:ascii="宋体" w:hAnsi="宋体" w:cs="楷体"/>
          <w:bCs/>
          <w:szCs w:val="21"/>
          <w:lang w:val="en-US" w:eastAsia="zh-CN"/>
        </w:rPr>
        <w:t>计算得出大气</w:t>
      </w:r>
      <w:r>
        <w:rPr>
          <w:rFonts w:ascii="宋体" w:hAnsi="宋体" w:cs="楷体"/>
          <w:bCs/>
          <w:szCs w:val="21"/>
        </w:rPr>
        <w:t>环境风险指数(R</w:t>
      </w:r>
      <w:r>
        <w:rPr>
          <w:rFonts w:hint="eastAsia" w:ascii="宋体" w:hAnsi="宋体" w:cs="楷体"/>
          <w:bCs/>
          <w:szCs w:val="21"/>
          <w:vertAlign w:val="subscript"/>
          <w:lang w:val="en-US" w:eastAsia="zh-CN"/>
        </w:rPr>
        <w:t>气</w:t>
      </w:r>
      <w:r>
        <w:rPr>
          <w:rFonts w:ascii="宋体" w:hAnsi="宋体" w:cs="楷体"/>
          <w:bCs/>
          <w:szCs w:val="21"/>
        </w:rPr>
        <w:t>)。</w:t>
      </w:r>
    </w:p>
    <w:p>
      <w:pPr>
        <w:spacing w:before="156" w:beforeLines="50" w:after="156" w:afterLines="50" w:line="340" w:lineRule="exact"/>
        <w:jc w:val="center"/>
        <w:outlineLvl w:val="1"/>
        <w:rPr>
          <w:rFonts w:hint="eastAsia"/>
          <w:lang w:val="en-US" w:eastAsia="zh-CN"/>
        </w:rPr>
      </w:pPr>
      <w:r>
        <w:rPr>
          <w:rFonts w:hint="eastAsia" w:ascii="宋体" w:hAnsi="宋体" w:cs="楷体"/>
          <w:bCs/>
          <w:szCs w:val="21"/>
          <w:lang w:val="en-US" w:eastAsia="zh-CN"/>
        </w:rPr>
        <w:t xml:space="preserve">                             </w:t>
      </w:r>
      <w:r>
        <w:rPr>
          <w:rFonts w:hint="eastAsia" w:ascii="宋体" w:hAnsi="宋体" w:cs="楷体"/>
          <w:bCs/>
          <w:szCs w:val="21"/>
        </w:rPr>
        <w:t>R</w:t>
      </w:r>
      <w:r>
        <w:rPr>
          <w:rFonts w:hint="eastAsia" w:ascii="宋体" w:hAnsi="宋体" w:cs="楷体"/>
          <w:bCs/>
          <w:szCs w:val="21"/>
          <w:vertAlign w:val="subscript"/>
          <w:lang w:val="en-US" w:eastAsia="zh-CN"/>
        </w:rPr>
        <w:t>气</w:t>
      </w:r>
      <w:r>
        <w:rPr>
          <w:rFonts w:hint="eastAsia" w:ascii="宋体" w:hAnsi="宋体" w:cs="楷体"/>
          <w:bCs/>
          <w:szCs w:val="21"/>
        </w:rPr>
        <w:t>=</w:t>
      </w:r>
      <m:oMath>
        <m:rad>
          <m:radPr>
            <m:ctrlPr>
              <w:rPr>
                <w:rFonts w:ascii="Cambria Math" w:hAnsi="Cambria Math" w:cs="楷体"/>
                <w:bCs/>
                <w:i/>
                <w:szCs w:val="21"/>
              </w:rPr>
            </m:ctrlPr>
          </m:radPr>
          <m:deg>
            <m:r>
              <m:rPr/>
              <w:rPr>
                <w:rFonts w:ascii="Cambria Math" w:hAnsi="Cambria Math" w:cs="楷体"/>
                <w:szCs w:val="21"/>
              </w:rPr>
              <m:t>3</m:t>
            </m:r>
            <m:ctrlPr>
              <w:rPr>
                <w:rFonts w:ascii="Cambria Math" w:hAnsi="Cambria Math" w:cs="楷体"/>
                <w:bCs/>
                <w:i/>
                <w:szCs w:val="21"/>
              </w:rPr>
            </m:ctrlPr>
          </m:deg>
          <m:e>
            <m:sSub>
              <m:sSubPr>
                <m:ctrlPr>
                  <w:rPr>
                    <w:rFonts w:ascii="Cambria Math" w:hAnsi="Cambria Math" w:cs="楷体"/>
                    <w:bCs/>
                    <w:i/>
                    <w:szCs w:val="21"/>
                  </w:rPr>
                </m:ctrlPr>
              </m:sSubPr>
              <m:e>
                <m:r>
                  <m:rPr/>
                  <w:rPr>
                    <w:rFonts w:hint="default" w:ascii="Cambria Math" w:hAnsi="Cambria Math" w:cs="楷体"/>
                    <w:szCs w:val="21"/>
                    <w:lang w:val="en-US" w:eastAsia="zh-CN"/>
                  </w:rPr>
                  <m:t>S</m:t>
                </m:r>
                <m:ctrlPr>
                  <w:rPr>
                    <w:rFonts w:ascii="Cambria Math" w:hAnsi="Cambria Math" w:cs="楷体"/>
                    <w:bCs/>
                    <w:i/>
                    <w:szCs w:val="21"/>
                  </w:rPr>
                </m:ctrlPr>
              </m:e>
              <m:sub>
                <m:r>
                  <m:rPr/>
                  <w:rPr>
                    <w:rFonts w:hint="eastAsia" w:ascii="Cambria Math" w:hAnsi="Cambria Math" w:cs="楷体"/>
                    <w:szCs w:val="21"/>
                    <w:lang w:val="en-US" w:eastAsia="zh-CN"/>
                  </w:rPr>
                  <m:t>气</m:t>
                </m:r>
                <m:ctrlPr>
                  <w:rPr>
                    <w:rFonts w:ascii="Cambria Math" w:hAnsi="Cambria Math" w:cs="楷体"/>
                    <w:bCs/>
                    <w:i/>
                    <w:szCs w:val="21"/>
                  </w:rPr>
                </m:ctrlPr>
              </m:sub>
            </m:sSub>
            <m:r>
              <m:rPr/>
              <w:rPr>
                <w:rFonts w:ascii="Cambria Math" w:hAnsi="Cambria Math" w:cs="楷体"/>
                <w:szCs w:val="21"/>
              </w:rPr>
              <m:t>×</m:t>
            </m:r>
            <m:sSub>
              <m:sSubPr>
                <m:ctrlPr>
                  <w:rPr>
                    <w:rFonts w:ascii="Cambria Math" w:hAnsi="Cambria Math" w:cs="楷体"/>
                    <w:bCs/>
                    <w:i/>
                    <w:szCs w:val="21"/>
                  </w:rPr>
                </m:ctrlPr>
              </m:sSubPr>
              <m:e>
                <m:r>
                  <m:rPr/>
                  <w:rPr>
                    <w:rFonts w:hint="default" w:ascii="Cambria Math" w:hAnsi="Cambria Math" w:cs="楷体"/>
                    <w:szCs w:val="21"/>
                    <w:lang w:val="en-US" w:eastAsia="zh-CN"/>
                  </w:rPr>
                  <m:t>E</m:t>
                </m:r>
                <m:ctrlPr>
                  <w:rPr>
                    <w:rFonts w:ascii="Cambria Math" w:hAnsi="Cambria Math" w:cs="楷体"/>
                    <w:bCs/>
                    <w:i/>
                    <w:szCs w:val="21"/>
                  </w:rPr>
                </m:ctrlPr>
              </m:e>
              <m:sub>
                <m:r>
                  <m:rPr/>
                  <w:rPr>
                    <w:rFonts w:hint="eastAsia" w:ascii="Cambria Math" w:hAnsi="Cambria Math" w:cs="楷体"/>
                    <w:szCs w:val="21"/>
                    <w:lang w:val="en-US" w:eastAsia="zh-CN"/>
                  </w:rPr>
                  <m:t>气</m:t>
                </m:r>
                <m:ctrlPr>
                  <w:rPr>
                    <w:rFonts w:ascii="Cambria Math" w:hAnsi="Cambria Math" w:cs="楷体"/>
                    <w:bCs/>
                    <w:i/>
                    <w:szCs w:val="21"/>
                  </w:rPr>
                </m:ctrlPr>
              </m:sub>
            </m:sSub>
            <m:r>
              <m:rPr/>
              <w:rPr>
                <w:rFonts w:ascii="Cambria Math" w:hAnsi="Cambria Math" w:cs="楷体"/>
                <w:szCs w:val="21"/>
              </w:rPr>
              <m:t>×</m:t>
            </m:r>
            <m:sSub>
              <m:sSubPr>
                <m:ctrlPr>
                  <w:rPr>
                    <w:rFonts w:ascii="Cambria Math" w:hAnsi="Cambria Math" w:cs="楷体"/>
                    <w:bCs/>
                    <w:i/>
                    <w:szCs w:val="21"/>
                  </w:rPr>
                </m:ctrlPr>
              </m:sSubPr>
              <m:e>
                <m:r>
                  <m:rPr/>
                  <w:rPr>
                    <w:rFonts w:hint="default" w:ascii="Cambria Math" w:hAnsi="Cambria Math" w:cs="楷体"/>
                    <w:szCs w:val="21"/>
                    <w:lang w:val="en-US" w:eastAsia="zh-CN"/>
                  </w:rPr>
                  <m:t>M</m:t>
                </m:r>
                <m:ctrlPr>
                  <w:rPr>
                    <w:rFonts w:ascii="Cambria Math" w:hAnsi="Cambria Math" w:cs="楷体"/>
                    <w:bCs/>
                    <w:i/>
                    <w:szCs w:val="21"/>
                  </w:rPr>
                </m:ctrlPr>
              </m:e>
              <m:sub>
                <m:r>
                  <m:rPr/>
                  <w:rPr>
                    <w:rFonts w:hint="eastAsia" w:ascii="Cambria Math" w:hAnsi="Cambria Math" w:cs="楷体"/>
                    <w:szCs w:val="21"/>
                    <w:lang w:val="en-US" w:eastAsia="zh-CN"/>
                  </w:rPr>
                  <m:t>气</m:t>
                </m:r>
                <m:ctrlPr>
                  <w:rPr>
                    <w:rFonts w:ascii="Cambria Math" w:hAnsi="Cambria Math" w:cs="楷体"/>
                    <w:bCs/>
                    <w:i/>
                    <w:szCs w:val="21"/>
                  </w:rPr>
                </m:ctrlPr>
              </m:sub>
            </m:sSub>
            <m:ctrlPr>
              <w:rPr>
                <w:rFonts w:ascii="Cambria Math" w:hAnsi="Cambria Math" w:cs="楷体"/>
                <w:bCs/>
                <w:i/>
                <w:szCs w:val="21"/>
              </w:rPr>
            </m:ctrlPr>
          </m:e>
        </m:rad>
      </m:oMath>
      <w:r>
        <w:rPr>
          <w:rFonts w:hint="eastAsia" w:ascii="宋体" w:hAnsi="宋体" w:cs="楷体"/>
          <w:bCs/>
          <w:szCs w:val="21"/>
        </w:rPr>
        <w:t>×D</w:t>
      </w:r>
      <w:r>
        <w:rPr>
          <w:rFonts w:hint="eastAsia"/>
          <w:lang w:val="en-US" w:eastAsia="zh-CN"/>
        </w:rPr>
        <w:t xml:space="preserve">                           （1）</w:t>
      </w:r>
    </w:p>
    <w:p>
      <w:pPr>
        <w:spacing w:before="156" w:beforeLines="50" w:after="156" w:afterLines="50" w:line="340" w:lineRule="exact"/>
        <w:jc w:val="center"/>
        <w:outlineLvl w:val="1"/>
        <w:rPr>
          <w:rFonts w:hint="eastAsia"/>
          <w:lang w:val="en-US" w:eastAsia="zh-CN"/>
        </w:rPr>
      </w:pPr>
      <w:r>
        <w:rPr>
          <w:rFonts w:hint="eastAsia" w:ascii="宋体" w:hAnsi="宋体" w:cs="楷体"/>
          <w:bCs/>
          <w:szCs w:val="21"/>
          <w:lang w:val="en-US" w:eastAsia="zh-CN"/>
        </w:rPr>
        <w:t xml:space="preserve">                             </w:t>
      </w:r>
      <w:r>
        <w:rPr>
          <w:rFonts w:hint="eastAsia" w:ascii="宋体" w:hAnsi="宋体" w:cs="楷体"/>
          <w:bCs/>
          <w:szCs w:val="21"/>
        </w:rPr>
        <w:t>R</w:t>
      </w:r>
      <w:r>
        <w:rPr>
          <w:rFonts w:hint="eastAsia" w:ascii="宋体" w:hAnsi="宋体" w:cs="楷体"/>
          <w:bCs/>
          <w:szCs w:val="21"/>
          <w:vertAlign w:val="subscript"/>
          <w:lang w:val="en-US" w:eastAsia="zh-CN"/>
        </w:rPr>
        <w:t>水</w:t>
      </w:r>
      <w:r>
        <w:rPr>
          <w:rFonts w:hint="eastAsia" w:ascii="宋体" w:hAnsi="宋体" w:cs="楷体"/>
          <w:bCs/>
          <w:szCs w:val="21"/>
        </w:rPr>
        <w:t>=</w:t>
      </w:r>
      <m:oMath>
        <m:rad>
          <m:radPr>
            <m:ctrlPr>
              <w:rPr>
                <w:rFonts w:ascii="Cambria Math" w:hAnsi="Cambria Math" w:cs="楷体"/>
                <w:bCs/>
                <w:i/>
                <w:szCs w:val="21"/>
              </w:rPr>
            </m:ctrlPr>
          </m:radPr>
          <m:deg>
            <m:r>
              <m:rPr/>
              <w:rPr>
                <w:rFonts w:ascii="Cambria Math" w:hAnsi="Cambria Math" w:cs="楷体"/>
                <w:szCs w:val="21"/>
              </w:rPr>
              <m:t>3</m:t>
            </m:r>
            <m:ctrlPr>
              <w:rPr>
                <w:rFonts w:ascii="Cambria Math" w:hAnsi="Cambria Math" w:cs="楷体"/>
                <w:bCs/>
                <w:i/>
                <w:szCs w:val="21"/>
              </w:rPr>
            </m:ctrlPr>
          </m:deg>
          <m:e>
            <m:sSub>
              <m:sSubPr>
                <m:ctrlPr>
                  <w:rPr>
                    <w:rFonts w:ascii="Cambria Math" w:hAnsi="Cambria Math" w:cs="楷体"/>
                    <w:bCs/>
                    <w:i/>
                    <w:szCs w:val="21"/>
                  </w:rPr>
                </m:ctrlPr>
              </m:sSubPr>
              <m:e>
                <m:r>
                  <m:rPr/>
                  <w:rPr>
                    <w:rFonts w:hint="default" w:ascii="Cambria Math" w:hAnsi="Cambria Math" w:cs="楷体"/>
                    <w:szCs w:val="21"/>
                    <w:lang w:val="en-US" w:eastAsia="zh-CN"/>
                  </w:rPr>
                  <m:t>S</m:t>
                </m:r>
                <m:ctrlPr>
                  <w:rPr>
                    <w:rFonts w:ascii="Cambria Math" w:hAnsi="Cambria Math" w:cs="楷体"/>
                    <w:bCs/>
                    <w:i/>
                    <w:szCs w:val="21"/>
                  </w:rPr>
                </m:ctrlPr>
              </m:e>
              <m:sub>
                <m:r>
                  <m:rPr/>
                  <w:rPr>
                    <w:rFonts w:hint="eastAsia" w:ascii="Cambria Math" w:hAnsi="Cambria Math" w:cs="楷体"/>
                    <w:szCs w:val="21"/>
                    <w:lang w:val="en-US" w:eastAsia="zh-CN"/>
                  </w:rPr>
                  <m:t>水</m:t>
                </m:r>
                <m:ctrlPr>
                  <w:rPr>
                    <w:rFonts w:ascii="Cambria Math" w:hAnsi="Cambria Math" w:cs="楷体"/>
                    <w:bCs/>
                    <w:i/>
                    <w:szCs w:val="21"/>
                  </w:rPr>
                </m:ctrlPr>
              </m:sub>
            </m:sSub>
            <m:r>
              <m:rPr/>
              <w:rPr>
                <w:rFonts w:ascii="Cambria Math" w:hAnsi="Cambria Math" w:cs="楷体"/>
                <w:szCs w:val="21"/>
              </w:rPr>
              <m:t>×</m:t>
            </m:r>
            <m:sSub>
              <m:sSubPr>
                <m:ctrlPr>
                  <w:rPr>
                    <w:rFonts w:ascii="Cambria Math" w:hAnsi="Cambria Math" w:cs="楷体"/>
                    <w:bCs/>
                    <w:i/>
                    <w:szCs w:val="21"/>
                  </w:rPr>
                </m:ctrlPr>
              </m:sSubPr>
              <m:e>
                <m:r>
                  <m:rPr/>
                  <w:rPr>
                    <w:rFonts w:hint="default" w:ascii="Cambria Math" w:hAnsi="Cambria Math" w:cs="楷体"/>
                    <w:szCs w:val="21"/>
                    <w:lang w:val="en-US" w:eastAsia="zh-CN"/>
                  </w:rPr>
                  <m:t>E</m:t>
                </m:r>
                <m:ctrlPr>
                  <w:rPr>
                    <w:rFonts w:ascii="Cambria Math" w:hAnsi="Cambria Math" w:cs="楷体"/>
                    <w:bCs/>
                    <w:i/>
                    <w:szCs w:val="21"/>
                  </w:rPr>
                </m:ctrlPr>
              </m:e>
              <m:sub>
                <m:r>
                  <m:rPr/>
                  <w:rPr>
                    <w:rFonts w:hint="eastAsia" w:ascii="Cambria Math" w:hAnsi="Cambria Math" w:cs="楷体"/>
                    <w:szCs w:val="21"/>
                    <w:lang w:val="en-US" w:eastAsia="zh-CN"/>
                  </w:rPr>
                  <m:t>水</m:t>
                </m:r>
                <m:ctrlPr>
                  <w:rPr>
                    <w:rFonts w:ascii="Cambria Math" w:hAnsi="Cambria Math" w:cs="楷体"/>
                    <w:bCs/>
                    <w:i/>
                    <w:szCs w:val="21"/>
                  </w:rPr>
                </m:ctrlPr>
              </m:sub>
            </m:sSub>
            <m:r>
              <m:rPr/>
              <w:rPr>
                <w:rFonts w:ascii="Cambria Math" w:hAnsi="Cambria Math" w:cs="楷体"/>
                <w:szCs w:val="21"/>
              </w:rPr>
              <m:t>×</m:t>
            </m:r>
            <m:sSub>
              <m:sSubPr>
                <m:ctrlPr>
                  <w:rPr>
                    <w:rFonts w:ascii="Cambria Math" w:hAnsi="Cambria Math" w:cs="楷体"/>
                    <w:bCs/>
                    <w:i/>
                    <w:szCs w:val="21"/>
                  </w:rPr>
                </m:ctrlPr>
              </m:sSubPr>
              <m:e>
                <m:r>
                  <m:rPr/>
                  <w:rPr>
                    <w:rFonts w:hint="default" w:ascii="Cambria Math" w:hAnsi="Cambria Math" w:cs="楷体"/>
                    <w:szCs w:val="21"/>
                    <w:lang w:val="en-US" w:eastAsia="zh-CN"/>
                  </w:rPr>
                  <m:t>M</m:t>
                </m:r>
                <m:ctrlPr>
                  <w:rPr>
                    <w:rFonts w:ascii="Cambria Math" w:hAnsi="Cambria Math" w:cs="楷体"/>
                    <w:bCs/>
                    <w:i/>
                    <w:szCs w:val="21"/>
                  </w:rPr>
                </m:ctrlPr>
              </m:e>
              <m:sub>
                <m:r>
                  <m:rPr/>
                  <w:rPr>
                    <w:rFonts w:hint="eastAsia" w:ascii="Cambria Math" w:hAnsi="Cambria Math" w:cs="楷体"/>
                    <w:szCs w:val="21"/>
                    <w:lang w:val="en-US" w:eastAsia="zh-CN"/>
                  </w:rPr>
                  <m:t>水</m:t>
                </m:r>
                <m:ctrlPr>
                  <w:rPr>
                    <w:rFonts w:ascii="Cambria Math" w:hAnsi="Cambria Math" w:cs="楷体"/>
                    <w:bCs/>
                    <w:i/>
                    <w:szCs w:val="21"/>
                  </w:rPr>
                </m:ctrlPr>
              </m:sub>
            </m:sSub>
            <m:ctrlPr>
              <w:rPr>
                <w:rFonts w:ascii="Cambria Math" w:hAnsi="Cambria Math" w:cs="楷体"/>
                <w:bCs/>
                <w:i/>
                <w:szCs w:val="21"/>
              </w:rPr>
            </m:ctrlPr>
          </m:e>
        </m:rad>
      </m:oMath>
      <w:r>
        <w:rPr>
          <w:rFonts w:hint="eastAsia" w:ascii="宋体" w:hAnsi="宋体" w:cs="楷体"/>
          <w:bCs/>
          <w:szCs w:val="21"/>
        </w:rPr>
        <w:t>×D</w:t>
      </w:r>
      <w:r>
        <w:rPr>
          <w:rFonts w:hint="eastAsia"/>
          <w:lang w:val="en-US" w:eastAsia="zh-CN"/>
        </w:rPr>
        <w:t xml:space="preserve">                           （2）</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9.5.2 环境风险等级表征</w:t>
      </w:r>
    </w:p>
    <w:p>
      <w:pPr>
        <w:spacing w:before="156" w:beforeLines="50" w:after="156" w:afterLines="50" w:line="340" w:lineRule="exact"/>
        <w:ind w:firstLine="420" w:firstLineChars="200"/>
        <w:jc w:val="both"/>
        <w:outlineLvl w:val="1"/>
        <w:rPr>
          <w:rFonts w:hint="eastAsia" w:ascii="宋体" w:hAnsi="宋体" w:cs="楷体"/>
          <w:b/>
          <w:szCs w:val="21"/>
        </w:rPr>
      </w:pPr>
      <w:r>
        <w:rPr>
          <w:rFonts w:ascii="宋体" w:hAnsi="宋体" w:cs="楷体"/>
          <w:bCs/>
          <w:szCs w:val="21"/>
        </w:rPr>
        <w:t>工业园区</w:t>
      </w:r>
      <w:r>
        <w:rPr>
          <w:rFonts w:hint="eastAsia" w:ascii="宋体" w:hAnsi="宋体" w:cs="楷体"/>
          <w:bCs/>
          <w:szCs w:val="21"/>
          <w:lang w:val="en-US" w:eastAsia="zh-CN"/>
        </w:rPr>
        <w:t>突发环境事件</w:t>
      </w:r>
      <w:r>
        <w:rPr>
          <w:rFonts w:ascii="宋体" w:hAnsi="宋体" w:cs="楷体"/>
          <w:bCs/>
          <w:szCs w:val="21"/>
        </w:rPr>
        <w:t>风险等级</w:t>
      </w:r>
      <w:r>
        <w:rPr>
          <w:rFonts w:hint="eastAsia" w:ascii="宋体" w:hAnsi="宋体" w:cs="楷体"/>
          <w:bCs/>
          <w:szCs w:val="21"/>
          <w:lang w:val="en-US" w:eastAsia="zh-CN"/>
        </w:rPr>
        <w:t>根据大气</w:t>
      </w:r>
      <w:r>
        <w:rPr>
          <w:rFonts w:ascii="宋体" w:hAnsi="宋体" w:cs="楷体"/>
          <w:bCs/>
          <w:szCs w:val="21"/>
        </w:rPr>
        <w:t>环境风险指数(R</w:t>
      </w:r>
      <w:r>
        <w:rPr>
          <w:rFonts w:hint="eastAsia" w:ascii="宋体" w:hAnsi="宋体" w:cs="楷体"/>
          <w:bCs/>
          <w:szCs w:val="21"/>
          <w:vertAlign w:val="subscript"/>
          <w:lang w:val="en-US" w:eastAsia="zh-CN"/>
        </w:rPr>
        <w:t>气</w:t>
      </w:r>
      <w:r>
        <w:rPr>
          <w:rFonts w:ascii="宋体" w:hAnsi="宋体" w:cs="楷体"/>
          <w:bCs/>
          <w:szCs w:val="21"/>
        </w:rPr>
        <w:t>)</w:t>
      </w:r>
      <w:r>
        <w:rPr>
          <w:rFonts w:hint="eastAsia" w:ascii="宋体" w:hAnsi="宋体" w:cs="楷体"/>
          <w:bCs/>
          <w:szCs w:val="21"/>
          <w:lang w:eastAsia="zh-CN"/>
        </w:rPr>
        <w:t>、</w:t>
      </w:r>
      <w:r>
        <w:rPr>
          <w:rFonts w:hint="eastAsia" w:ascii="宋体" w:hAnsi="宋体" w:cs="楷体"/>
          <w:bCs/>
          <w:szCs w:val="21"/>
        </w:rPr>
        <w:t>水</w:t>
      </w:r>
      <w:r>
        <w:rPr>
          <w:rFonts w:ascii="宋体" w:hAnsi="宋体" w:cs="楷体"/>
          <w:bCs/>
          <w:szCs w:val="21"/>
        </w:rPr>
        <w:t>环境风险指数(R</w:t>
      </w:r>
      <w:r>
        <w:rPr>
          <w:rFonts w:hint="eastAsia" w:ascii="宋体" w:hAnsi="宋体" w:cs="楷体"/>
          <w:bCs/>
          <w:szCs w:val="21"/>
          <w:vertAlign w:val="subscript"/>
          <w:lang w:val="en-US" w:eastAsia="zh-CN"/>
        </w:rPr>
        <w:t>气</w:t>
      </w:r>
      <w:r>
        <w:rPr>
          <w:rFonts w:ascii="宋体" w:hAnsi="宋体" w:cs="楷体"/>
          <w:bCs/>
          <w:szCs w:val="21"/>
        </w:rPr>
        <w:t>)</w:t>
      </w:r>
      <w:r>
        <w:rPr>
          <w:rFonts w:hint="eastAsia" w:ascii="宋体" w:hAnsi="宋体" w:cs="楷体"/>
          <w:bCs/>
          <w:szCs w:val="21"/>
          <w:lang w:eastAsia="zh-CN"/>
        </w:rPr>
        <w:t>，</w:t>
      </w:r>
      <w:r>
        <w:rPr>
          <w:rFonts w:hint="eastAsia" w:ascii="宋体" w:hAnsi="宋体" w:cs="楷体"/>
          <w:bCs/>
          <w:szCs w:val="21"/>
          <w:lang w:val="en-US" w:eastAsia="zh-CN"/>
        </w:rPr>
        <w:t>按照表8</w:t>
      </w:r>
      <w:r>
        <w:rPr>
          <w:rFonts w:ascii="宋体" w:hAnsi="宋体" w:cs="楷体"/>
          <w:bCs/>
          <w:szCs w:val="21"/>
        </w:rPr>
        <w:t>划分为</w:t>
      </w:r>
      <w:r>
        <w:rPr>
          <w:rFonts w:hint="eastAsia" w:ascii="宋体" w:hAnsi="宋体" w:cs="楷体"/>
          <w:bCs/>
          <w:szCs w:val="21"/>
          <w:lang w:val="en-US" w:eastAsia="zh-CN"/>
        </w:rPr>
        <w:t>重大</w:t>
      </w:r>
      <w:r>
        <w:rPr>
          <w:rFonts w:ascii="宋体" w:hAnsi="宋体" w:cs="楷体"/>
          <w:bCs/>
          <w:szCs w:val="21"/>
        </w:rPr>
        <w:t>、</w:t>
      </w:r>
      <w:r>
        <w:rPr>
          <w:rFonts w:hint="eastAsia" w:ascii="宋体" w:hAnsi="宋体" w:cs="楷体"/>
          <w:bCs/>
          <w:szCs w:val="21"/>
          <w:lang w:val="en-US" w:eastAsia="zh-CN"/>
        </w:rPr>
        <w:t>较大</w:t>
      </w:r>
      <w:r>
        <w:rPr>
          <w:rFonts w:ascii="宋体" w:hAnsi="宋体" w:cs="楷体"/>
          <w:bCs/>
          <w:szCs w:val="21"/>
        </w:rPr>
        <w:t>、</w:t>
      </w:r>
      <w:r>
        <w:rPr>
          <w:rFonts w:hint="eastAsia" w:ascii="宋体" w:hAnsi="宋体" w:cs="楷体"/>
          <w:bCs/>
          <w:szCs w:val="21"/>
          <w:lang w:val="en-US" w:eastAsia="zh-CN"/>
        </w:rPr>
        <w:t>一般</w:t>
      </w:r>
      <w:r>
        <w:rPr>
          <w:rFonts w:ascii="宋体" w:hAnsi="宋体" w:cs="楷体"/>
          <w:bCs/>
          <w:szCs w:val="21"/>
        </w:rPr>
        <w:t>三个等级。工业园区内近三年内发生过重大、特大突发环境事件的，相应水或大气环境风险等级为重大；近三年内发生过较大突发环境事件的，相应水或大气环境风险等级调高一级</w:t>
      </w:r>
      <w:r>
        <w:rPr>
          <w:rFonts w:hint="eastAsia" w:ascii="宋体" w:hAnsi="宋体" w:cs="楷体"/>
          <w:bCs/>
          <w:szCs w:val="21"/>
        </w:rPr>
        <w:t>。</w:t>
      </w:r>
    </w:p>
    <w:p>
      <w:pPr>
        <w:spacing w:before="156" w:beforeLines="50" w:after="156" w:afterLines="50" w:line="340" w:lineRule="exact"/>
        <w:jc w:val="center"/>
        <w:outlineLvl w:val="1"/>
        <w:rPr>
          <w:rFonts w:ascii="宋体" w:hAnsi="宋体" w:cs="楷体"/>
          <w:b/>
          <w:szCs w:val="21"/>
        </w:rPr>
      </w:pPr>
      <w:r>
        <w:rPr>
          <w:rFonts w:hint="eastAsia" w:ascii="宋体" w:hAnsi="宋体" w:cs="楷体"/>
          <w:b/>
          <w:szCs w:val="21"/>
        </w:rPr>
        <w:t>表 8  工业</w:t>
      </w:r>
      <w:r>
        <w:rPr>
          <w:rFonts w:ascii="宋体" w:hAnsi="宋体" w:cs="楷体"/>
          <w:b/>
          <w:szCs w:val="21"/>
        </w:rPr>
        <w:t>园区突发环境事件风险等级划分标准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9"/>
        <w:gridCol w:w="3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339" w:type="dxa"/>
          </w:tcPr>
          <w:p>
            <w:pPr>
              <w:spacing w:line="340" w:lineRule="exact"/>
              <w:jc w:val="center"/>
              <w:outlineLvl w:val="1"/>
              <w:rPr>
                <w:rFonts w:ascii="宋体" w:hAnsi="宋体" w:cs="楷体"/>
                <w:b/>
                <w:sz w:val="18"/>
                <w:szCs w:val="18"/>
              </w:rPr>
            </w:pPr>
            <w:r>
              <w:rPr>
                <w:rFonts w:hint="eastAsia" w:ascii="宋体" w:hAnsi="宋体" w:cs="楷体"/>
                <w:b/>
                <w:bCs w:val="0"/>
                <w:sz w:val="18"/>
                <w:szCs w:val="18"/>
              </w:rPr>
              <w:t>工业</w:t>
            </w:r>
            <w:r>
              <w:rPr>
                <w:rFonts w:ascii="宋体" w:hAnsi="宋体" w:cs="楷体"/>
                <w:b/>
                <w:bCs w:val="0"/>
                <w:sz w:val="18"/>
                <w:szCs w:val="18"/>
              </w:rPr>
              <w:t>园区环境风险指数</w:t>
            </w:r>
            <w:r>
              <w:rPr>
                <w:rFonts w:hint="eastAsia" w:ascii="宋体" w:hAnsi="宋体" w:cs="楷体"/>
                <w:b/>
                <w:bCs w:val="0"/>
                <w:sz w:val="18"/>
                <w:szCs w:val="18"/>
              </w:rPr>
              <w:t>R</w:t>
            </w:r>
            <w:r>
              <w:rPr>
                <w:rFonts w:hint="eastAsia" w:ascii="宋体" w:hAnsi="宋体" w:cs="楷体"/>
                <w:b/>
                <w:bCs w:val="0"/>
                <w:sz w:val="18"/>
                <w:szCs w:val="18"/>
                <w:vertAlign w:val="subscript"/>
                <w:lang w:val="en-US" w:eastAsia="zh-CN"/>
              </w:rPr>
              <w:t>水、气</w:t>
            </w:r>
          </w:p>
        </w:tc>
        <w:tc>
          <w:tcPr>
            <w:tcW w:w="3941" w:type="dxa"/>
          </w:tcPr>
          <w:p>
            <w:pPr>
              <w:spacing w:line="340" w:lineRule="exact"/>
              <w:jc w:val="center"/>
              <w:outlineLvl w:val="1"/>
              <w:rPr>
                <w:rFonts w:ascii="宋体" w:hAnsi="宋体" w:cs="楷体"/>
                <w:b/>
                <w:sz w:val="18"/>
                <w:szCs w:val="18"/>
              </w:rPr>
            </w:pPr>
            <w:r>
              <w:rPr>
                <w:rFonts w:hint="eastAsia" w:ascii="宋体" w:hAnsi="宋体" w:cs="楷体"/>
                <w:b/>
                <w:sz w:val="18"/>
                <w:szCs w:val="18"/>
                <w:lang w:val="en-US" w:eastAsia="zh-CN"/>
              </w:rPr>
              <w:t>突发环境事件</w:t>
            </w:r>
            <w:r>
              <w:rPr>
                <w:rFonts w:hint="eastAsia" w:ascii="宋体" w:hAnsi="宋体" w:cs="楷体"/>
                <w:b/>
                <w:sz w:val="18"/>
                <w:szCs w:val="18"/>
              </w:rPr>
              <w:t>风险等级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339" w:type="dxa"/>
          </w:tcPr>
          <w:p>
            <w:pPr>
              <w:spacing w:line="340" w:lineRule="exact"/>
              <w:jc w:val="center"/>
              <w:outlineLvl w:val="1"/>
              <w:rPr>
                <w:rFonts w:ascii="宋体" w:hAnsi="宋体" w:cs="楷体"/>
                <w:bCs/>
                <w:sz w:val="18"/>
                <w:szCs w:val="18"/>
              </w:rPr>
            </w:pPr>
            <w:r>
              <w:rPr>
                <w:rFonts w:hint="eastAsia" w:ascii="宋体" w:hAnsi="宋体" w:cs="楷体"/>
                <w:bCs/>
                <w:sz w:val="18"/>
                <w:szCs w:val="18"/>
              </w:rPr>
              <w:t>R</w:t>
            </w:r>
            <w:r>
              <w:rPr>
                <w:rFonts w:hint="eastAsia" w:ascii="宋体" w:hAnsi="宋体" w:cs="楷体"/>
                <w:bCs/>
                <w:sz w:val="18"/>
                <w:szCs w:val="18"/>
                <w:vertAlign w:val="subscript"/>
                <w:lang w:val="en-US" w:eastAsia="zh-CN"/>
              </w:rPr>
              <w:t>水、气</w:t>
            </w:r>
            <m:oMath>
              <m:r>
                <m:rPr>
                  <m:sty m:val="p"/>
                </m:rPr>
                <w:rPr>
                  <w:rFonts w:ascii="Cambria Math" w:hAnsi="Cambria Math" w:cs="楷体"/>
                  <w:sz w:val="18"/>
                  <w:szCs w:val="18"/>
                </w:rPr>
                <m:t>≥80</m:t>
              </m:r>
            </m:oMath>
          </w:p>
        </w:tc>
        <w:tc>
          <w:tcPr>
            <w:tcW w:w="3941" w:type="dxa"/>
          </w:tcPr>
          <w:p>
            <w:pPr>
              <w:spacing w:line="340" w:lineRule="exact"/>
              <w:jc w:val="center"/>
              <w:outlineLvl w:val="1"/>
              <w:rPr>
                <w:rFonts w:ascii="宋体" w:hAnsi="宋体" w:cs="楷体"/>
                <w:bCs/>
                <w:sz w:val="18"/>
                <w:szCs w:val="18"/>
              </w:rPr>
            </w:pPr>
            <w:r>
              <w:rPr>
                <w:rFonts w:hint="eastAsia" w:ascii="宋体" w:hAnsi="宋体" w:cs="楷体"/>
                <w:bCs/>
                <w:sz w:val="18"/>
                <w:szCs w:val="18"/>
              </w:rPr>
              <w:t>重大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339" w:type="dxa"/>
          </w:tcPr>
          <w:p>
            <w:pPr>
              <w:spacing w:line="340" w:lineRule="exact"/>
              <w:jc w:val="center"/>
              <w:outlineLvl w:val="1"/>
              <w:rPr>
                <w:rFonts w:ascii="宋体" w:hAnsi="宋体" w:cs="楷体"/>
                <w:bCs/>
                <w:sz w:val="18"/>
                <w:szCs w:val="18"/>
              </w:rPr>
            </w:pPr>
            <w:r>
              <w:rPr>
                <w:rFonts w:hint="eastAsia" w:hAnsi="Cambria Math" w:cs="楷体"/>
                <w:bCs/>
                <w:sz w:val="18"/>
                <w:szCs w:val="18"/>
              </w:rPr>
              <w:t>40</w:t>
            </w:r>
            <m:oMath>
              <m:r>
                <m:rPr>
                  <m:sty m:val="p"/>
                </m:rPr>
                <w:rPr>
                  <w:rFonts w:ascii="Cambria Math" w:hAnsi="Cambria Math" w:cs="楷体"/>
                  <w:sz w:val="18"/>
                  <w:szCs w:val="18"/>
                </w:rPr>
                <m:t>≤</m:t>
              </m:r>
            </m:oMath>
            <w:r>
              <w:rPr>
                <w:rFonts w:hint="eastAsia" w:ascii="宋体" w:hAnsi="宋体" w:cs="楷体"/>
                <w:bCs/>
                <w:sz w:val="18"/>
                <w:szCs w:val="18"/>
              </w:rPr>
              <w:t>R</w:t>
            </w:r>
            <w:r>
              <w:rPr>
                <w:rFonts w:hint="eastAsia" w:ascii="宋体" w:hAnsi="宋体" w:cs="楷体"/>
                <w:bCs/>
                <w:sz w:val="18"/>
                <w:szCs w:val="18"/>
                <w:vertAlign w:val="subscript"/>
                <w:lang w:val="en-US" w:eastAsia="zh-CN"/>
              </w:rPr>
              <w:t>水、气</w:t>
            </w:r>
            <m:oMath>
              <m:r>
                <m:rPr>
                  <m:sty m:val="p"/>
                </m:rPr>
                <w:rPr>
                  <w:rFonts w:ascii="Cambria Math" w:hAnsi="Cambria Math" w:cs="楷体"/>
                  <w:sz w:val="18"/>
                  <w:szCs w:val="18"/>
                </w:rPr>
                <m:t>&lt;80</m:t>
              </m:r>
            </m:oMath>
          </w:p>
        </w:tc>
        <w:tc>
          <w:tcPr>
            <w:tcW w:w="3941" w:type="dxa"/>
          </w:tcPr>
          <w:p>
            <w:pPr>
              <w:spacing w:line="340" w:lineRule="exact"/>
              <w:jc w:val="center"/>
              <w:outlineLvl w:val="1"/>
              <w:rPr>
                <w:rFonts w:ascii="宋体" w:hAnsi="宋体" w:cs="楷体"/>
                <w:bCs/>
                <w:sz w:val="18"/>
                <w:szCs w:val="18"/>
              </w:rPr>
            </w:pPr>
            <w:r>
              <w:rPr>
                <w:rFonts w:hint="eastAsia" w:ascii="宋体" w:hAnsi="宋体" w:cs="楷体"/>
                <w:bCs/>
                <w:sz w:val="18"/>
                <w:szCs w:val="18"/>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339" w:type="dxa"/>
          </w:tcPr>
          <w:p>
            <w:pPr>
              <w:spacing w:line="340" w:lineRule="exact"/>
              <w:jc w:val="center"/>
              <w:outlineLvl w:val="1"/>
              <w:rPr>
                <w:rFonts w:ascii="宋体" w:hAnsi="宋体" w:cs="楷体"/>
                <w:bCs/>
                <w:sz w:val="18"/>
                <w:szCs w:val="18"/>
              </w:rPr>
            </w:pPr>
            <w:r>
              <w:rPr>
                <w:rFonts w:hint="eastAsia" w:hAnsi="Cambria Math" w:cs="楷体"/>
                <w:bCs/>
                <w:sz w:val="18"/>
                <w:szCs w:val="18"/>
              </w:rPr>
              <w:t>40﹥</w:t>
            </w:r>
            <w:r>
              <w:rPr>
                <w:rFonts w:hint="eastAsia" w:ascii="宋体" w:hAnsi="宋体" w:cs="楷体"/>
                <w:bCs/>
                <w:sz w:val="18"/>
                <w:szCs w:val="18"/>
              </w:rPr>
              <w:t>R</w:t>
            </w:r>
            <w:r>
              <w:rPr>
                <w:rFonts w:hint="eastAsia" w:ascii="宋体" w:hAnsi="宋体" w:cs="楷体"/>
                <w:bCs/>
                <w:sz w:val="18"/>
                <w:szCs w:val="18"/>
                <w:vertAlign w:val="subscript"/>
                <w:lang w:val="en-US" w:eastAsia="zh-CN"/>
              </w:rPr>
              <w:t>水、气</w:t>
            </w:r>
          </w:p>
        </w:tc>
        <w:tc>
          <w:tcPr>
            <w:tcW w:w="3941" w:type="dxa"/>
          </w:tcPr>
          <w:p>
            <w:pPr>
              <w:spacing w:line="340" w:lineRule="exact"/>
              <w:jc w:val="center"/>
              <w:outlineLvl w:val="1"/>
              <w:rPr>
                <w:rFonts w:ascii="宋体" w:hAnsi="宋体" w:cs="楷体"/>
                <w:bCs/>
                <w:sz w:val="18"/>
                <w:szCs w:val="18"/>
              </w:rPr>
            </w:pPr>
            <w:r>
              <w:rPr>
                <w:rFonts w:hint="eastAsia" w:ascii="宋体" w:hAnsi="宋体" w:cs="楷体"/>
                <w:bCs/>
                <w:sz w:val="18"/>
                <w:szCs w:val="18"/>
              </w:rPr>
              <w:t>一般</w:t>
            </w:r>
          </w:p>
        </w:tc>
      </w:tr>
    </w:tbl>
    <w:p>
      <w:pPr>
        <w:spacing w:before="156" w:beforeLines="50" w:after="156" w:afterLines="50" w:line="340" w:lineRule="exact"/>
        <w:outlineLvl w:val="1"/>
        <w:rPr>
          <w:rFonts w:hint="default" w:ascii="宋体" w:hAnsi="宋体" w:cs="楷体"/>
          <w:b/>
          <w:szCs w:val="21"/>
          <w:lang w:val="en-US" w:eastAsia="zh-CN"/>
        </w:rPr>
      </w:pPr>
      <w:r>
        <w:rPr>
          <w:rFonts w:hint="eastAsia" w:ascii="宋体" w:hAnsi="宋体" w:cs="楷体"/>
          <w:b/>
          <w:szCs w:val="21"/>
        </w:rPr>
        <w:t xml:space="preserve">9.5.2.1  </w:t>
      </w:r>
      <w:r>
        <w:rPr>
          <w:rFonts w:hint="eastAsia" w:ascii="宋体" w:hAnsi="宋体" w:cs="楷体"/>
          <w:b/>
          <w:szCs w:val="21"/>
          <w:lang w:val="en-US" w:eastAsia="zh-CN"/>
        </w:rPr>
        <w:t>分区表征</w:t>
      </w:r>
    </w:p>
    <w:p>
      <w:pPr>
        <w:spacing w:before="156" w:beforeLines="50" w:after="156" w:afterLines="50" w:line="340" w:lineRule="exact"/>
        <w:ind w:firstLine="420" w:firstLineChars="200"/>
        <w:outlineLvl w:val="1"/>
        <w:rPr>
          <w:rFonts w:ascii="宋体" w:hAnsi="宋体" w:cs="楷体"/>
          <w:bCs/>
          <w:szCs w:val="21"/>
        </w:rPr>
      </w:pPr>
      <w:r>
        <w:rPr>
          <w:rFonts w:ascii="宋体" w:hAnsi="宋体" w:cs="楷体"/>
          <w:bCs/>
          <w:szCs w:val="21"/>
        </w:rPr>
        <w:t>工业园区分区评估时，应对各分区分别按照分级结果进行表征，</w:t>
      </w:r>
      <w:r>
        <w:rPr>
          <w:rFonts w:hint="eastAsia" w:ascii="宋体" w:hAnsi="宋体" w:cs="楷体"/>
          <w:bCs/>
          <w:szCs w:val="21"/>
          <w:lang w:val="en-US" w:eastAsia="zh-CN"/>
        </w:rPr>
        <w:t>并</w:t>
      </w:r>
      <w:r>
        <w:rPr>
          <w:rFonts w:ascii="宋体" w:hAnsi="宋体" w:cs="楷体"/>
          <w:bCs/>
          <w:szCs w:val="21"/>
        </w:rPr>
        <w:t>绘制大气、水环境风险不同等级分区图。</w:t>
      </w:r>
    </w:p>
    <w:p>
      <w:pPr>
        <w:spacing w:before="156" w:beforeLines="50" w:after="156" w:afterLines="50" w:line="340" w:lineRule="exact"/>
        <w:outlineLvl w:val="1"/>
        <w:rPr>
          <w:rFonts w:hint="default" w:ascii="宋体" w:hAnsi="宋体" w:eastAsia="宋体" w:cs="楷体"/>
          <w:bCs/>
          <w:szCs w:val="21"/>
          <w:lang w:val="en-US" w:eastAsia="zh-CN"/>
        </w:rPr>
      </w:pPr>
      <w:r>
        <w:rPr>
          <w:rFonts w:hint="eastAsia" w:ascii="宋体" w:hAnsi="宋体" w:cs="楷体"/>
          <w:b/>
          <w:szCs w:val="21"/>
        </w:rPr>
        <w:t>9</w:t>
      </w:r>
      <w:r>
        <w:rPr>
          <w:rFonts w:hint="eastAsia" w:ascii="宋体" w:hAnsi="宋体" w:cs="楷体"/>
          <w:b/>
          <w:szCs w:val="21"/>
          <w:lang w:val="en-US" w:eastAsia="zh-CN"/>
        </w:rPr>
        <w:t>.5.2.2  分要素表征</w:t>
      </w:r>
    </w:p>
    <w:p>
      <w:pPr>
        <w:spacing w:before="156" w:beforeLines="50" w:after="156" w:afterLines="50" w:line="340" w:lineRule="exact"/>
        <w:ind w:firstLine="420" w:firstLineChars="200"/>
        <w:outlineLvl w:val="1"/>
        <w:rPr>
          <w:rFonts w:ascii="宋体" w:hAnsi="宋体" w:cs="楷体"/>
          <w:bCs/>
          <w:szCs w:val="21"/>
        </w:rPr>
      </w:pPr>
      <w:r>
        <w:rPr>
          <w:rFonts w:hint="eastAsia" w:ascii="宋体" w:hAnsi="宋体" w:cs="楷体"/>
          <w:bCs/>
          <w:szCs w:val="21"/>
          <w:lang w:val="en-US" w:eastAsia="zh-CN"/>
        </w:rPr>
        <w:t>工业园区</w:t>
      </w:r>
      <w:r>
        <w:rPr>
          <w:rFonts w:hint="eastAsia" w:ascii="宋体" w:hAnsi="宋体" w:cs="楷体"/>
          <w:bCs/>
          <w:szCs w:val="21"/>
        </w:rPr>
        <w:t>涉及突发大气和水环境事件风险，风险等级表示为“</w:t>
      </w:r>
      <w:r>
        <w:rPr>
          <w:rFonts w:hint="eastAsia" w:ascii="宋体" w:hAnsi="宋体" w:cs="楷体"/>
          <w:bCs/>
          <w:szCs w:val="21"/>
          <w:lang w:val="en-US" w:eastAsia="zh-CN"/>
        </w:rPr>
        <w:t>工业园区</w:t>
      </w:r>
      <w:r>
        <w:rPr>
          <w:rFonts w:hint="eastAsia" w:ascii="宋体" w:hAnsi="宋体" w:cs="楷体"/>
          <w:bCs/>
          <w:szCs w:val="21"/>
        </w:rPr>
        <w:t>突发环境事件风险等级[突发大气环境事件风险等级表征+突发水环境事件风险等级表征]”</w:t>
      </w:r>
      <w:r>
        <w:rPr>
          <w:rFonts w:hint="eastAsia" w:ascii="宋体" w:hAnsi="宋体" w:cs="楷体"/>
          <w:bCs/>
          <w:szCs w:val="21"/>
          <w:lang w:eastAsia="zh-CN"/>
        </w:rPr>
        <w:t>，</w:t>
      </w:r>
      <w:r>
        <w:rPr>
          <w:rFonts w:hint="eastAsia" w:ascii="宋体" w:hAnsi="宋体" w:cs="楷体"/>
          <w:bCs/>
          <w:szCs w:val="21"/>
        </w:rPr>
        <w:t>例如：重大[重大-大气+较大-水]</w:t>
      </w:r>
      <w:r>
        <w:rPr>
          <w:rFonts w:hint="eastAsia" w:ascii="宋体" w:hAnsi="宋体" w:cs="楷体"/>
          <w:bCs/>
          <w:szCs w:val="21"/>
          <w:lang w:eastAsia="zh-CN"/>
        </w:rPr>
        <w:t>。</w:t>
      </w:r>
      <w:r>
        <w:rPr>
          <w:rFonts w:hint="eastAsia" w:ascii="宋体" w:hAnsi="宋体" w:cs="楷体"/>
          <w:bCs/>
          <w:szCs w:val="21"/>
        </w:rPr>
        <w:t>以工业园区（分区）大气或水环境风险等级高者</w:t>
      </w:r>
      <w:r>
        <w:rPr>
          <w:rFonts w:hint="eastAsia" w:ascii="宋体" w:hAnsi="宋体" w:cs="楷体"/>
          <w:bCs/>
          <w:szCs w:val="21"/>
          <w:lang w:val="en-US" w:eastAsia="zh-CN"/>
        </w:rPr>
        <w:t>作为</w:t>
      </w:r>
      <w:r>
        <w:rPr>
          <w:rFonts w:hint="eastAsia" w:ascii="宋体" w:hAnsi="宋体" w:cs="楷体"/>
          <w:bCs/>
          <w:szCs w:val="21"/>
        </w:rPr>
        <w:t>园区综合环境风险等级。</w:t>
      </w:r>
    </w:p>
    <w:p>
      <w:pPr>
        <w:pStyle w:val="2"/>
        <w:rPr>
          <w:rFonts w:hint="eastAsia" w:ascii="宋体" w:hAnsi="宋体" w:cs="宋体"/>
          <w:b/>
          <w:kern w:val="36"/>
          <w:sz w:val="24"/>
          <w:szCs w:val="24"/>
        </w:rPr>
      </w:pPr>
      <w:bookmarkStart w:id="55" w:name="_Toc11594"/>
      <w:r>
        <w:rPr>
          <w:rFonts w:hint="eastAsia" w:ascii="宋体" w:hAnsi="宋体" w:cs="宋体"/>
          <w:b/>
          <w:sz w:val="24"/>
          <w:szCs w:val="24"/>
        </w:rPr>
        <w:t>10</w:t>
      </w:r>
      <w:r>
        <w:rPr>
          <w:rFonts w:hint="eastAsia"/>
          <w:sz w:val="24"/>
          <w:szCs w:val="24"/>
        </w:rPr>
        <w:t xml:space="preserve">  </w:t>
      </w:r>
      <w:r>
        <w:rPr>
          <w:rFonts w:hint="eastAsia" w:ascii="宋体" w:hAnsi="宋体" w:cs="宋体"/>
          <w:b/>
          <w:sz w:val="24"/>
          <w:szCs w:val="24"/>
        </w:rPr>
        <w:t>环境风险防控与应急</w:t>
      </w:r>
      <w:r>
        <w:rPr>
          <w:rFonts w:hint="eastAsia" w:ascii="宋体" w:hAnsi="宋体" w:cs="宋体"/>
          <w:b/>
          <w:sz w:val="24"/>
          <w:szCs w:val="24"/>
          <w:lang w:val="en-US" w:eastAsia="zh-CN"/>
        </w:rPr>
        <w:t>能力</w:t>
      </w:r>
      <w:r>
        <w:rPr>
          <w:rFonts w:hint="eastAsia" w:ascii="宋体" w:hAnsi="宋体" w:cs="宋体"/>
          <w:b/>
          <w:sz w:val="24"/>
          <w:szCs w:val="24"/>
        </w:rPr>
        <w:t>差距分析</w:t>
      </w:r>
    </w:p>
    <w:p>
      <w:pPr>
        <w:pStyle w:val="2"/>
        <w:ind w:firstLine="420" w:firstLineChars="200"/>
        <w:jc w:val="both"/>
        <w:rPr>
          <w:rFonts w:hint="eastAsia" w:cs="楷体"/>
          <w:b w:val="0"/>
          <w:kern w:val="2"/>
          <w:sz w:val="21"/>
          <w:szCs w:val="21"/>
        </w:rPr>
      </w:pPr>
      <w:r>
        <w:rPr>
          <w:rFonts w:hint="eastAsia" w:cs="楷体"/>
          <w:b w:val="0"/>
          <w:kern w:val="2"/>
          <w:sz w:val="21"/>
          <w:szCs w:val="21"/>
          <w:lang w:val="en-US" w:eastAsia="zh-CN"/>
        </w:rPr>
        <w:t>结合</w:t>
      </w:r>
      <w:r>
        <w:rPr>
          <w:rFonts w:hint="eastAsia" w:cs="楷体"/>
          <w:b w:val="0"/>
          <w:kern w:val="2"/>
          <w:sz w:val="21"/>
          <w:szCs w:val="21"/>
        </w:rPr>
        <w:t>工业园区突发环境事件应急预案编制情况，环境应急决策支持、应急人员和队伍能力建设、联动机制建立情况，应急监测预警能力，水污染物的拦截、稀释和处置能力，有毒有害气体泄漏受影响人员疏散方案和落实情况，应急物资储备情况，规划环境影响评价中其他环境风险防控要求落实情况等方面进行</w:t>
      </w:r>
      <w:r>
        <w:rPr>
          <w:rFonts w:hint="eastAsia" w:cs="楷体"/>
          <w:b w:val="0"/>
          <w:kern w:val="2"/>
          <w:sz w:val="21"/>
          <w:szCs w:val="21"/>
          <w:lang w:val="en-US" w:eastAsia="zh-CN"/>
        </w:rPr>
        <w:t>情况</w:t>
      </w:r>
      <w:r>
        <w:rPr>
          <w:rFonts w:hint="eastAsia" w:cs="楷体"/>
          <w:b w:val="0"/>
          <w:kern w:val="2"/>
          <w:sz w:val="21"/>
          <w:szCs w:val="21"/>
        </w:rPr>
        <w:t>，</w:t>
      </w:r>
      <w:r>
        <w:rPr>
          <w:rFonts w:hint="eastAsia" w:cs="楷体"/>
          <w:b w:val="0"/>
          <w:kern w:val="2"/>
          <w:sz w:val="21"/>
          <w:szCs w:val="21"/>
          <w:lang w:val="en-US" w:eastAsia="zh-CN"/>
        </w:rPr>
        <w:t>结合</w:t>
      </w:r>
      <w:r>
        <w:rPr>
          <w:rFonts w:hint="eastAsia" w:ascii="宋体" w:hAnsi="宋体" w:cs="楷体"/>
          <w:b w:val="0"/>
          <w:kern w:val="2"/>
          <w:sz w:val="21"/>
          <w:szCs w:val="21"/>
        </w:rPr>
        <w:t>环境风险情景分析</w:t>
      </w:r>
      <w:r>
        <w:rPr>
          <w:rFonts w:hint="eastAsia" w:cs="楷体"/>
          <w:b w:val="0"/>
          <w:kern w:val="2"/>
          <w:sz w:val="21"/>
          <w:szCs w:val="21"/>
          <w:lang w:val="en-US" w:eastAsia="zh-CN"/>
        </w:rPr>
        <w:t>内容，</w:t>
      </w:r>
      <w:r>
        <w:rPr>
          <w:rFonts w:hint="eastAsia" w:cs="楷体"/>
          <w:b w:val="0"/>
          <w:kern w:val="2"/>
          <w:sz w:val="21"/>
          <w:szCs w:val="21"/>
        </w:rPr>
        <w:t xml:space="preserve">找出差距和问题，提出环境风险管理建议。 </w:t>
      </w:r>
    </w:p>
    <w:p>
      <w:pPr>
        <w:pStyle w:val="2"/>
        <w:rPr>
          <w:sz w:val="24"/>
          <w:szCs w:val="24"/>
        </w:rPr>
      </w:pPr>
      <w:r>
        <w:rPr>
          <w:rFonts w:hint="eastAsia"/>
          <w:sz w:val="24"/>
          <w:szCs w:val="24"/>
        </w:rPr>
        <w:t>1</w:t>
      </w:r>
      <w:r>
        <w:rPr>
          <w:rFonts w:hint="eastAsia"/>
          <w:sz w:val="24"/>
          <w:szCs w:val="24"/>
          <w:lang w:val="en-US" w:eastAsia="zh-CN"/>
        </w:rPr>
        <w:t>1</w:t>
      </w:r>
      <w:r>
        <w:rPr>
          <w:rFonts w:hint="eastAsia"/>
          <w:sz w:val="24"/>
          <w:szCs w:val="24"/>
        </w:rPr>
        <w:t xml:space="preserve">  评估报告编制</w:t>
      </w:r>
      <w:bookmarkEnd w:id="55"/>
    </w:p>
    <w:p>
      <w:pPr>
        <w:spacing w:before="156" w:beforeLines="50" w:after="156" w:afterLines="50" w:line="340" w:lineRule="exact"/>
        <w:ind w:firstLine="420" w:firstLineChars="200"/>
        <w:outlineLvl w:val="1"/>
        <w:rPr>
          <w:rFonts w:ascii="宋体" w:hAnsi="宋体" w:cs="楷体"/>
          <w:bCs/>
          <w:szCs w:val="21"/>
        </w:rPr>
      </w:pPr>
      <w:r>
        <w:rPr>
          <w:rFonts w:hint="eastAsia" w:ascii="宋体" w:hAnsi="宋体" w:cs="楷体"/>
          <w:bCs/>
          <w:szCs w:val="21"/>
        </w:rPr>
        <w:t>工业园区突发环境事件风险评估报告应包括</w:t>
      </w:r>
      <w:r>
        <w:rPr>
          <w:rFonts w:hint="eastAsia" w:ascii="宋体" w:hAnsi="宋体" w:cs="楷体"/>
          <w:bCs/>
          <w:szCs w:val="21"/>
          <w:lang w:val="en-US" w:eastAsia="zh-CN"/>
        </w:rPr>
        <w:t>前言、</w:t>
      </w:r>
      <w:r>
        <w:rPr>
          <w:rFonts w:hint="eastAsia" w:ascii="宋体" w:hAnsi="宋体" w:cs="楷体"/>
          <w:bCs/>
          <w:szCs w:val="21"/>
        </w:rPr>
        <w:t>总则、环境风险调查、环境风险识别、</w:t>
      </w:r>
      <w:r>
        <w:rPr>
          <w:rFonts w:hint="eastAsia" w:ascii="宋体" w:hAnsi="宋体" w:cs="楷体"/>
          <w:bCs/>
          <w:szCs w:val="21"/>
          <w:lang w:val="en-US" w:eastAsia="zh-CN"/>
        </w:rPr>
        <w:t>环境风险情景分析、</w:t>
      </w:r>
      <w:r>
        <w:rPr>
          <w:rFonts w:hint="eastAsia" w:ascii="宋体" w:hAnsi="宋体" w:cs="楷体"/>
          <w:bCs/>
          <w:szCs w:val="21"/>
        </w:rPr>
        <w:t xml:space="preserve">环境风险评估与分级、环境风险防控与应急能力差距分析、附图和附件等内容。突发环境事件风险评估报告编制大纲见附录 A。 </w:t>
      </w:r>
    </w:p>
    <w:p>
      <w:pPr>
        <w:spacing w:before="156" w:beforeLines="50" w:after="156" w:afterLines="50" w:line="340" w:lineRule="exact"/>
        <w:outlineLvl w:val="1"/>
        <w:rPr>
          <w:rFonts w:ascii="宋体" w:hAnsi="宋体" w:cs="楷体"/>
          <w:bCs/>
          <w:szCs w:val="21"/>
        </w:rPr>
      </w:pPr>
    </w:p>
    <w:p>
      <w:pPr>
        <w:spacing w:before="156" w:beforeLines="50" w:after="156" w:afterLines="50" w:line="340" w:lineRule="exact"/>
        <w:outlineLvl w:val="1"/>
        <w:rPr>
          <w:rFonts w:ascii="宋体" w:hAnsi="宋体" w:cs="楷体"/>
          <w:bCs/>
          <w:szCs w:val="21"/>
        </w:rPr>
        <w:sectPr>
          <w:pgSz w:w="11906" w:h="16838"/>
          <w:pgMar w:top="1871" w:right="1474" w:bottom="1701" w:left="1531" w:header="851" w:footer="992" w:gutter="0"/>
          <w:pgNumType w:start="1"/>
          <w:cols w:space="425" w:num="1"/>
          <w:docGrid w:type="lines" w:linePitch="312" w:charSpace="0"/>
        </w:sectPr>
      </w:pPr>
    </w:p>
    <w:p>
      <w:pPr>
        <w:spacing w:before="312" w:beforeLines="100" w:after="312" w:afterLines="100"/>
        <w:jc w:val="center"/>
        <w:outlineLvl w:val="0"/>
        <w:rPr>
          <w:rFonts w:ascii="宋体" w:hAnsi="宋体" w:cs="楷体"/>
          <w:b/>
          <w:sz w:val="32"/>
          <w:szCs w:val="32"/>
        </w:rPr>
      </w:pPr>
      <w:bookmarkStart w:id="56" w:name="_Toc29113"/>
      <w:r>
        <w:rPr>
          <w:rFonts w:hint="eastAsia" w:ascii="宋体" w:hAnsi="宋体" w:cs="楷体"/>
          <w:b/>
          <w:sz w:val="32"/>
          <w:szCs w:val="32"/>
        </w:rPr>
        <w:t>附 录 A</w:t>
      </w:r>
      <w:bookmarkEnd w:id="52"/>
      <w:bookmarkEnd w:id="53"/>
      <w:bookmarkEnd w:id="56"/>
    </w:p>
    <w:p>
      <w:pPr>
        <w:jc w:val="center"/>
        <w:outlineLvl w:val="0"/>
        <w:rPr>
          <w:rStyle w:val="29"/>
          <w:rFonts w:hint="eastAsia" w:ascii="方正小标宋简体" w:eastAsia="方正小标宋简体"/>
          <w:sz w:val="30"/>
          <w:szCs w:val="30"/>
        </w:rPr>
      </w:pPr>
      <w:bookmarkStart w:id="57" w:name="_Toc15539"/>
      <w:bookmarkStart w:id="58" w:name="_Toc115019946"/>
      <w:r>
        <w:rPr>
          <w:rStyle w:val="29"/>
          <w:rFonts w:hint="eastAsia" w:ascii="方正小标宋简体" w:eastAsia="方正小标宋简体"/>
          <w:sz w:val="30"/>
          <w:szCs w:val="30"/>
        </w:rPr>
        <w:t>（资料性）</w:t>
      </w:r>
      <w:bookmarkEnd w:id="57"/>
      <w:bookmarkEnd w:id="58"/>
    </w:p>
    <w:p>
      <w:pPr>
        <w:spacing w:before="156" w:beforeLines="50" w:after="156" w:afterLines="50" w:line="340" w:lineRule="exact"/>
        <w:jc w:val="center"/>
        <w:outlineLvl w:val="0"/>
        <w:rPr>
          <w:rStyle w:val="29"/>
          <w:rFonts w:hint="eastAsia" w:ascii="方正小标宋简体" w:eastAsia="方正小标宋简体"/>
          <w:sz w:val="30"/>
          <w:szCs w:val="30"/>
        </w:rPr>
      </w:pPr>
      <w:bookmarkStart w:id="59" w:name="_Toc32417"/>
      <w:r>
        <w:rPr>
          <w:rStyle w:val="29"/>
          <w:rFonts w:hint="eastAsia" w:ascii="方正小标宋简体" w:eastAsia="方正小标宋简体"/>
          <w:sz w:val="30"/>
          <w:szCs w:val="30"/>
        </w:rPr>
        <w:t>工业园区突发环境事件风险评估报告大纲</w:t>
      </w:r>
      <w:bookmarkEnd w:id="59"/>
    </w:p>
    <w:p>
      <w:pPr>
        <w:spacing w:before="312" w:beforeLines="100" w:line="340" w:lineRule="exact"/>
        <w:rPr>
          <w:rFonts w:ascii="宋体" w:hAnsi="宋体" w:cs="宋体"/>
          <w:szCs w:val="21"/>
        </w:rPr>
      </w:pPr>
      <w:r>
        <w:rPr>
          <w:rFonts w:hint="eastAsia" w:ascii="宋体" w:hAnsi="宋体" w:cs="宋体"/>
          <w:b/>
          <w:bCs/>
          <w:szCs w:val="21"/>
        </w:rPr>
        <w:t>A.1 前言</w:t>
      </w:r>
      <w:r>
        <w:rPr>
          <w:rFonts w:hint="eastAsia" w:ascii="宋体" w:hAnsi="宋体" w:cs="宋体"/>
          <w:szCs w:val="21"/>
        </w:rPr>
        <w:t xml:space="preserve"> </w:t>
      </w:r>
    </w:p>
    <w:p>
      <w:pPr>
        <w:spacing w:line="340" w:lineRule="exact"/>
        <w:rPr>
          <w:rFonts w:ascii="宋体" w:hAnsi="宋体" w:cs="宋体"/>
          <w:szCs w:val="21"/>
        </w:rPr>
      </w:pPr>
      <w:r>
        <w:rPr>
          <w:rFonts w:hint="eastAsia" w:ascii="宋体" w:hAnsi="宋体" w:cs="宋体"/>
          <w:b/>
          <w:bCs/>
          <w:szCs w:val="21"/>
        </w:rPr>
        <w:t>A.2 总则</w:t>
      </w:r>
      <w:r>
        <w:rPr>
          <w:rFonts w:hint="eastAsia" w:ascii="宋体" w:hAnsi="宋体" w:cs="宋体"/>
          <w:szCs w:val="21"/>
        </w:rPr>
        <w:t xml:space="preserve"> </w:t>
      </w:r>
    </w:p>
    <w:p>
      <w:pPr>
        <w:spacing w:line="340" w:lineRule="exact"/>
        <w:ind w:firstLine="420" w:firstLineChars="200"/>
        <w:rPr>
          <w:rFonts w:ascii="宋体" w:hAnsi="宋体" w:cs="宋体"/>
          <w:szCs w:val="21"/>
        </w:rPr>
      </w:pPr>
      <w:r>
        <w:rPr>
          <w:rFonts w:hint="eastAsia" w:ascii="宋体" w:hAnsi="宋体" w:cs="宋体"/>
          <w:szCs w:val="21"/>
        </w:rPr>
        <w:t>A.2.1 编制原则</w:t>
      </w:r>
    </w:p>
    <w:p>
      <w:pPr>
        <w:spacing w:line="340" w:lineRule="exact"/>
        <w:ind w:firstLine="420" w:firstLineChars="200"/>
        <w:rPr>
          <w:rFonts w:ascii="宋体" w:hAnsi="宋体" w:cs="宋体"/>
          <w:szCs w:val="21"/>
        </w:rPr>
      </w:pPr>
      <w:r>
        <w:rPr>
          <w:rFonts w:hint="eastAsia" w:ascii="宋体" w:hAnsi="宋体" w:cs="宋体"/>
          <w:szCs w:val="21"/>
        </w:rPr>
        <w:t>A.2.2 编制依据</w:t>
      </w:r>
    </w:p>
    <w:p>
      <w:pPr>
        <w:spacing w:line="340" w:lineRule="exact"/>
        <w:ind w:firstLine="420" w:firstLineChars="200"/>
        <w:rPr>
          <w:rFonts w:ascii="宋体" w:hAnsi="宋体" w:cs="宋体"/>
          <w:szCs w:val="21"/>
        </w:rPr>
      </w:pPr>
      <w:r>
        <w:rPr>
          <w:rFonts w:hint="eastAsia" w:ascii="宋体" w:hAnsi="宋体" w:cs="宋体"/>
          <w:szCs w:val="21"/>
        </w:rPr>
        <w:t>A.2.3 环境风险评估分区与范围确定</w:t>
      </w:r>
    </w:p>
    <w:p>
      <w:pPr>
        <w:spacing w:line="340" w:lineRule="exact"/>
        <w:rPr>
          <w:rFonts w:ascii="宋体" w:hAnsi="宋体" w:cs="宋体"/>
          <w:b/>
          <w:bCs/>
          <w:szCs w:val="21"/>
        </w:rPr>
      </w:pPr>
      <w:r>
        <w:rPr>
          <w:rFonts w:hint="eastAsia" w:ascii="宋体" w:hAnsi="宋体" w:cs="宋体"/>
          <w:b/>
          <w:bCs/>
          <w:szCs w:val="21"/>
        </w:rPr>
        <w:t>A.3 环境风险调查</w:t>
      </w:r>
    </w:p>
    <w:p>
      <w:pPr>
        <w:spacing w:line="340" w:lineRule="exact"/>
        <w:ind w:firstLine="420" w:firstLineChars="200"/>
        <w:rPr>
          <w:rFonts w:ascii="宋体" w:hAnsi="宋体" w:cs="宋体"/>
          <w:szCs w:val="21"/>
        </w:rPr>
      </w:pPr>
      <w:r>
        <w:rPr>
          <w:rFonts w:ascii="宋体" w:hAnsi="宋体" w:cs="宋体"/>
          <w:szCs w:val="21"/>
        </w:rPr>
        <w:t xml:space="preserve">A.3.1 </w:t>
      </w:r>
      <w:r>
        <w:rPr>
          <w:rFonts w:hint="eastAsia" w:ascii="宋体" w:hAnsi="宋体" w:cs="宋体"/>
          <w:szCs w:val="21"/>
        </w:rPr>
        <w:t>工业园区概况</w:t>
      </w:r>
    </w:p>
    <w:p>
      <w:pPr>
        <w:spacing w:line="340" w:lineRule="exact"/>
        <w:ind w:firstLine="420" w:firstLineChars="200"/>
        <w:rPr>
          <w:rFonts w:ascii="宋体" w:hAnsi="宋体" w:cs="宋体"/>
          <w:szCs w:val="21"/>
        </w:rPr>
      </w:pPr>
      <w:r>
        <w:rPr>
          <w:rFonts w:ascii="宋体" w:hAnsi="宋体" w:cs="宋体"/>
          <w:szCs w:val="21"/>
        </w:rPr>
        <w:t xml:space="preserve">A.3.2 </w:t>
      </w:r>
      <w:r>
        <w:rPr>
          <w:rFonts w:hint="eastAsia" w:ascii="宋体" w:hAnsi="宋体" w:cs="宋体"/>
          <w:szCs w:val="21"/>
        </w:rPr>
        <w:t>环境风险源调查</w:t>
      </w:r>
    </w:p>
    <w:p>
      <w:pPr>
        <w:spacing w:line="340" w:lineRule="exact"/>
        <w:ind w:firstLine="420" w:firstLineChars="200"/>
        <w:rPr>
          <w:rFonts w:ascii="宋体" w:hAnsi="宋体" w:cs="宋体"/>
          <w:szCs w:val="21"/>
        </w:rPr>
      </w:pPr>
      <w:r>
        <w:rPr>
          <w:rFonts w:ascii="宋体" w:hAnsi="宋体" w:cs="宋体"/>
          <w:szCs w:val="21"/>
        </w:rPr>
        <w:t xml:space="preserve">A.3.3 </w:t>
      </w:r>
      <w:r>
        <w:rPr>
          <w:rFonts w:hint="eastAsia" w:ascii="宋体" w:hAnsi="宋体" w:cs="宋体"/>
          <w:szCs w:val="21"/>
        </w:rPr>
        <w:t>环境风险受体调查</w:t>
      </w:r>
    </w:p>
    <w:p>
      <w:pPr>
        <w:spacing w:line="340" w:lineRule="exact"/>
        <w:ind w:firstLine="420" w:firstLineChars="200"/>
        <w:rPr>
          <w:rFonts w:ascii="宋体" w:hAnsi="宋体" w:cs="宋体"/>
          <w:szCs w:val="21"/>
        </w:rPr>
      </w:pPr>
      <w:r>
        <w:rPr>
          <w:rFonts w:ascii="宋体" w:hAnsi="宋体" w:cs="宋体"/>
          <w:szCs w:val="21"/>
        </w:rPr>
        <w:t xml:space="preserve">A.3.4 </w:t>
      </w:r>
      <w:r>
        <w:rPr>
          <w:rFonts w:hint="eastAsia" w:ascii="宋体" w:hAnsi="宋体" w:cs="宋体"/>
          <w:szCs w:val="21"/>
        </w:rPr>
        <w:t>环境风险防控与应急救援能力调查</w:t>
      </w:r>
    </w:p>
    <w:p>
      <w:pPr>
        <w:spacing w:line="340" w:lineRule="exact"/>
        <w:rPr>
          <w:rFonts w:ascii="宋体" w:hAnsi="宋体" w:cs="宋体"/>
          <w:b/>
          <w:bCs/>
          <w:szCs w:val="21"/>
        </w:rPr>
      </w:pPr>
      <w:r>
        <w:rPr>
          <w:rFonts w:hint="eastAsia" w:ascii="宋体" w:hAnsi="宋体" w:cs="宋体"/>
          <w:b/>
          <w:bCs/>
          <w:szCs w:val="21"/>
        </w:rPr>
        <w:t>A.4 环境风险识别</w:t>
      </w:r>
    </w:p>
    <w:p>
      <w:pPr>
        <w:spacing w:line="340" w:lineRule="exact"/>
        <w:ind w:firstLine="420" w:firstLineChars="200"/>
        <w:rPr>
          <w:rFonts w:ascii="宋体" w:hAnsi="宋体" w:cs="宋体"/>
          <w:szCs w:val="21"/>
        </w:rPr>
      </w:pPr>
      <w:r>
        <w:rPr>
          <w:rFonts w:ascii="宋体" w:hAnsi="宋体" w:cs="宋体"/>
          <w:szCs w:val="21"/>
        </w:rPr>
        <w:t xml:space="preserve">A.4.1 </w:t>
      </w:r>
      <w:r>
        <w:rPr>
          <w:rFonts w:hint="eastAsia" w:ascii="宋体" w:hAnsi="宋体" w:cs="宋体"/>
          <w:szCs w:val="21"/>
        </w:rPr>
        <w:t>环境风险物质识别</w:t>
      </w:r>
    </w:p>
    <w:p>
      <w:pPr>
        <w:spacing w:line="340" w:lineRule="exact"/>
        <w:ind w:firstLine="420" w:firstLineChars="200"/>
        <w:rPr>
          <w:rFonts w:ascii="宋体" w:hAnsi="宋体" w:cs="宋体"/>
          <w:szCs w:val="21"/>
        </w:rPr>
      </w:pPr>
      <w:r>
        <w:rPr>
          <w:rFonts w:ascii="宋体" w:hAnsi="宋体" w:cs="宋体"/>
          <w:szCs w:val="21"/>
        </w:rPr>
        <w:t xml:space="preserve">A.4.2 </w:t>
      </w:r>
      <w:r>
        <w:rPr>
          <w:rFonts w:hint="eastAsia" w:ascii="宋体" w:hAnsi="宋体" w:cs="宋体"/>
          <w:szCs w:val="21"/>
        </w:rPr>
        <w:t>环境风险源识别</w:t>
      </w:r>
    </w:p>
    <w:p>
      <w:pPr>
        <w:spacing w:line="340" w:lineRule="exact"/>
        <w:ind w:firstLine="420" w:firstLineChars="200"/>
        <w:rPr>
          <w:rFonts w:ascii="宋体" w:hAnsi="宋体" w:cs="宋体"/>
          <w:szCs w:val="21"/>
        </w:rPr>
      </w:pPr>
      <w:r>
        <w:rPr>
          <w:rFonts w:ascii="宋体" w:hAnsi="宋体" w:cs="宋体"/>
          <w:szCs w:val="21"/>
        </w:rPr>
        <w:t xml:space="preserve">A.4.3 </w:t>
      </w:r>
      <w:r>
        <w:rPr>
          <w:rFonts w:hint="eastAsia" w:ascii="宋体" w:hAnsi="宋体" w:cs="宋体"/>
          <w:szCs w:val="21"/>
        </w:rPr>
        <w:t>环境风险受体敏感性识别</w:t>
      </w:r>
    </w:p>
    <w:p>
      <w:pPr>
        <w:spacing w:line="340" w:lineRule="exact"/>
        <w:rPr>
          <w:rFonts w:ascii="宋体" w:hAnsi="宋体" w:cs="宋体"/>
          <w:b/>
          <w:bCs/>
          <w:szCs w:val="21"/>
        </w:rPr>
      </w:pPr>
      <w:r>
        <w:rPr>
          <w:rFonts w:hint="eastAsia" w:ascii="宋体" w:hAnsi="宋体" w:cs="宋体"/>
          <w:b/>
          <w:bCs/>
          <w:szCs w:val="21"/>
        </w:rPr>
        <w:t>A.5 环境风险情景分析</w:t>
      </w:r>
    </w:p>
    <w:p>
      <w:pPr>
        <w:spacing w:line="340" w:lineRule="exact"/>
        <w:ind w:firstLine="420"/>
        <w:rPr>
          <w:rFonts w:ascii="宋体" w:hAnsi="宋体" w:cs="宋体"/>
          <w:szCs w:val="21"/>
        </w:rPr>
      </w:pPr>
      <w:r>
        <w:rPr>
          <w:rFonts w:ascii="宋体" w:hAnsi="宋体" w:cs="宋体"/>
          <w:szCs w:val="21"/>
        </w:rPr>
        <w:t>A.</w:t>
      </w:r>
      <w:r>
        <w:rPr>
          <w:rFonts w:hint="eastAsia" w:ascii="宋体" w:hAnsi="宋体" w:cs="宋体"/>
          <w:szCs w:val="21"/>
        </w:rPr>
        <w:t>5</w:t>
      </w:r>
      <w:r>
        <w:rPr>
          <w:rFonts w:ascii="宋体" w:hAnsi="宋体" w:cs="宋体"/>
          <w:szCs w:val="21"/>
        </w:rPr>
        <w:t>.1 典型突发环境事件案例分析</w:t>
      </w:r>
    </w:p>
    <w:p>
      <w:pPr>
        <w:spacing w:line="340" w:lineRule="exact"/>
        <w:ind w:firstLine="420"/>
        <w:rPr>
          <w:rFonts w:ascii="宋体" w:hAnsi="宋体" w:cs="宋体"/>
          <w:szCs w:val="21"/>
        </w:rPr>
      </w:pPr>
      <w:r>
        <w:rPr>
          <w:rFonts w:ascii="宋体" w:hAnsi="宋体" w:cs="宋体"/>
          <w:szCs w:val="21"/>
        </w:rPr>
        <w:t>A.</w:t>
      </w:r>
      <w:r>
        <w:rPr>
          <w:rFonts w:hint="eastAsia" w:ascii="宋体" w:hAnsi="宋体" w:cs="宋体"/>
          <w:szCs w:val="21"/>
        </w:rPr>
        <w:t>5</w:t>
      </w:r>
      <w:r>
        <w:rPr>
          <w:rFonts w:ascii="宋体" w:hAnsi="宋体" w:cs="宋体"/>
          <w:szCs w:val="21"/>
        </w:rPr>
        <w:t>.</w:t>
      </w:r>
      <w:r>
        <w:rPr>
          <w:rFonts w:hint="eastAsia" w:ascii="宋体" w:hAnsi="宋体" w:cs="宋体"/>
          <w:szCs w:val="21"/>
        </w:rPr>
        <w:t>2</w:t>
      </w:r>
      <w:r>
        <w:rPr>
          <w:rFonts w:ascii="宋体" w:hAnsi="宋体" w:cs="宋体"/>
          <w:szCs w:val="21"/>
        </w:rPr>
        <w:t xml:space="preserve"> 突发环境事件影响与后果分析</w:t>
      </w:r>
    </w:p>
    <w:p>
      <w:pPr>
        <w:spacing w:line="340" w:lineRule="exact"/>
        <w:rPr>
          <w:rFonts w:ascii="宋体" w:hAnsi="宋体" w:cs="宋体"/>
          <w:b/>
          <w:bCs/>
          <w:szCs w:val="21"/>
        </w:rPr>
      </w:pPr>
      <w:r>
        <w:rPr>
          <w:rFonts w:hint="eastAsia" w:ascii="宋体" w:hAnsi="宋体" w:cs="宋体"/>
          <w:b/>
          <w:bCs/>
          <w:szCs w:val="21"/>
        </w:rPr>
        <w:t>A.6 环境风险评估与分级</w:t>
      </w:r>
    </w:p>
    <w:p>
      <w:pPr>
        <w:spacing w:line="340" w:lineRule="exact"/>
        <w:ind w:firstLine="420" w:firstLineChars="200"/>
        <w:rPr>
          <w:rFonts w:ascii="宋体" w:hAnsi="宋体" w:cs="宋体"/>
          <w:szCs w:val="21"/>
        </w:rPr>
      </w:pPr>
      <w:r>
        <w:rPr>
          <w:rFonts w:hint="eastAsia" w:ascii="宋体" w:hAnsi="宋体" w:cs="宋体"/>
          <w:szCs w:val="21"/>
        </w:rPr>
        <w:t>A.6.1 环境风险源强度（S）评估</w:t>
      </w:r>
    </w:p>
    <w:p>
      <w:pPr>
        <w:spacing w:line="340" w:lineRule="exact"/>
        <w:ind w:firstLine="420" w:firstLineChars="200"/>
        <w:rPr>
          <w:rFonts w:ascii="宋体" w:hAnsi="宋体" w:cs="宋体"/>
          <w:szCs w:val="21"/>
        </w:rPr>
      </w:pPr>
      <w:r>
        <w:rPr>
          <w:rFonts w:hint="eastAsia" w:ascii="宋体" w:hAnsi="宋体" w:cs="宋体"/>
          <w:szCs w:val="21"/>
        </w:rPr>
        <w:t>A.6.2 环境受体敏感性（E）评估</w:t>
      </w:r>
    </w:p>
    <w:p>
      <w:pPr>
        <w:spacing w:line="340" w:lineRule="exact"/>
        <w:ind w:firstLine="420" w:firstLineChars="200"/>
        <w:rPr>
          <w:rFonts w:ascii="宋体" w:hAnsi="宋体" w:cs="宋体"/>
          <w:szCs w:val="21"/>
        </w:rPr>
      </w:pPr>
      <w:r>
        <w:rPr>
          <w:rFonts w:hint="eastAsia" w:ascii="宋体" w:hAnsi="宋体" w:cs="宋体"/>
          <w:szCs w:val="21"/>
        </w:rPr>
        <w:t>A.6.3 环境风险防控与应急能力（M）评估</w:t>
      </w:r>
    </w:p>
    <w:p>
      <w:pPr>
        <w:spacing w:line="340" w:lineRule="exact"/>
        <w:ind w:firstLine="420" w:firstLineChars="200"/>
        <w:rPr>
          <w:rFonts w:ascii="宋体" w:hAnsi="宋体" w:cs="宋体"/>
          <w:szCs w:val="21"/>
        </w:rPr>
      </w:pPr>
      <w:r>
        <w:rPr>
          <w:rFonts w:hint="eastAsia" w:ascii="宋体" w:hAnsi="宋体" w:cs="宋体"/>
          <w:szCs w:val="21"/>
        </w:rPr>
        <w:t>A.6.4 大气、水环境风险多米诺效应系数</w:t>
      </w:r>
      <w:r>
        <w:rPr>
          <w:rFonts w:hint="eastAsia" w:ascii="宋体" w:hAnsi="宋体" w:cs="宋体"/>
          <w:szCs w:val="21"/>
          <w:lang w:eastAsia="zh-CN"/>
        </w:rPr>
        <w:t>（</w:t>
      </w:r>
      <w:r>
        <w:rPr>
          <w:rFonts w:hint="eastAsia" w:ascii="宋体" w:hAnsi="宋体" w:cs="宋体"/>
          <w:szCs w:val="21"/>
          <w:lang w:val="en-US" w:eastAsia="zh-CN"/>
        </w:rPr>
        <w:t>D</w:t>
      </w:r>
      <w:r>
        <w:rPr>
          <w:rFonts w:hint="eastAsia" w:ascii="宋体" w:hAnsi="宋体" w:cs="宋体"/>
          <w:szCs w:val="21"/>
          <w:lang w:eastAsia="zh-CN"/>
        </w:rPr>
        <w:t>）</w:t>
      </w:r>
      <w:r>
        <w:rPr>
          <w:rFonts w:hint="eastAsia" w:ascii="宋体" w:hAnsi="宋体" w:cs="宋体"/>
          <w:szCs w:val="21"/>
        </w:rPr>
        <w:t>确定</w:t>
      </w:r>
    </w:p>
    <w:p>
      <w:pPr>
        <w:spacing w:line="340" w:lineRule="exact"/>
        <w:ind w:firstLine="420" w:firstLineChars="200"/>
        <w:rPr>
          <w:rFonts w:ascii="宋体" w:hAnsi="宋体" w:cs="宋体"/>
          <w:szCs w:val="21"/>
        </w:rPr>
      </w:pPr>
      <w:r>
        <w:rPr>
          <w:rFonts w:hint="eastAsia" w:ascii="宋体" w:hAnsi="宋体" w:cs="宋体"/>
          <w:szCs w:val="21"/>
        </w:rPr>
        <w:t>A.6.5 环境风险分级结果及表征</w:t>
      </w:r>
    </w:p>
    <w:p>
      <w:pPr>
        <w:spacing w:line="340" w:lineRule="exact"/>
        <w:rPr>
          <w:rFonts w:ascii="宋体" w:hAnsi="宋体" w:cs="宋体"/>
          <w:b/>
          <w:bCs/>
          <w:szCs w:val="21"/>
        </w:rPr>
      </w:pPr>
      <w:r>
        <w:rPr>
          <w:rFonts w:hint="eastAsia" w:ascii="宋体" w:hAnsi="宋体" w:cs="宋体"/>
          <w:b/>
          <w:bCs/>
          <w:szCs w:val="21"/>
        </w:rPr>
        <w:t>A.7 环境风险防控与应急能力差距分析</w:t>
      </w:r>
    </w:p>
    <w:p>
      <w:pPr>
        <w:spacing w:line="340" w:lineRule="exact"/>
        <w:ind w:firstLine="420" w:firstLineChars="200"/>
        <w:rPr>
          <w:rFonts w:ascii="宋体" w:hAnsi="宋体" w:cs="宋体"/>
          <w:szCs w:val="21"/>
        </w:rPr>
      </w:pPr>
      <w:r>
        <w:rPr>
          <w:rFonts w:hint="eastAsia" w:ascii="宋体" w:hAnsi="宋体" w:cs="宋体"/>
          <w:szCs w:val="21"/>
        </w:rPr>
        <w:t>A.7.1 环境风险应急防控管理体系建设情况及差距分析</w:t>
      </w:r>
    </w:p>
    <w:p>
      <w:pPr>
        <w:spacing w:line="340" w:lineRule="exact"/>
        <w:ind w:firstLine="420" w:firstLineChars="200"/>
        <w:rPr>
          <w:rFonts w:ascii="宋体" w:hAnsi="宋体" w:cs="宋体"/>
          <w:szCs w:val="21"/>
        </w:rPr>
      </w:pPr>
      <w:r>
        <w:rPr>
          <w:rFonts w:hint="eastAsia" w:ascii="宋体" w:hAnsi="宋体" w:cs="宋体"/>
          <w:szCs w:val="21"/>
        </w:rPr>
        <w:t>A.7.2 水环境风险应急防控设施建设情况及差距分析</w:t>
      </w:r>
    </w:p>
    <w:p>
      <w:pPr>
        <w:spacing w:line="340" w:lineRule="exact"/>
        <w:ind w:firstLine="420" w:firstLineChars="200"/>
        <w:rPr>
          <w:rFonts w:ascii="宋体" w:hAnsi="宋体" w:cs="宋体"/>
          <w:szCs w:val="21"/>
        </w:rPr>
      </w:pPr>
      <w:r>
        <w:rPr>
          <w:rFonts w:hint="eastAsia" w:ascii="宋体" w:hAnsi="宋体" w:cs="宋体"/>
          <w:szCs w:val="21"/>
        </w:rPr>
        <w:t>A.7.3 大气环境风险应急防控措施落实情况及差距分析</w:t>
      </w:r>
    </w:p>
    <w:p>
      <w:pPr>
        <w:spacing w:line="340" w:lineRule="exact"/>
        <w:ind w:firstLine="420" w:firstLineChars="200"/>
        <w:rPr>
          <w:rFonts w:ascii="宋体" w:hAnsi="宋体" w:cs="宋体"/>
          <w:szCs w:val="21"/>
        </w:rPr>
      </w:pPr>
      <w:r>
        <w:rPr>
          <w:rFonts w:hint="eastAsia" w:ascii="宋体" w:hAnsi="宋体" w:cs="宋体"/>
          <w:szCs w:val="21"/>
        </w:rPr>
        <w:t>A.7.4 环境风险防控相关管理要求落实情况</w:t>
      </w:r>
    </w:p>
    <w:p>
      <w:pPr>
        <w:spacing w:line="340" w:lineRule="exact"/>
        <w:ind w:firstLine="420" w:firstLineChars="200"/>
        <w:rPr>
          <w:rFonts w:ascii="宋体" w:hAnsi="宋体" w:cs="宋体"/>
          <w:szCs w:val="21"/>
        </w:rPr>
      </w:pPr>
      <w:r>
        <w:rPr>
          <w:rFonts w:hint="eastAsia" w:ascii="宋体" w:hAnsi="宋体" w:cs="宋体"/>
          <w:szCs w:val="21"/>
        </w:rPr>
        <w:t>A.7.5 环境风险防控与应急处置能力建设建议</w:t>
      </w:r>
    </w:p>
    <w:p>
      <w:pPr>
        <w:spacing w:line="340" w:lineRule="exact"/>
        <w:ind w:firstLine="420" w:firstLineChars="200"/>
        <w:rPr>
          <w:rFonts w:ascii="宋体" w:hAnsi="宋体" w:cs="宋体"/>
          <w:szCs w:val="21"/>
        </w:rPr>
      </w:pPr>
      <w:r>
        <w:rPr>
          <w:rFonts w:hint="eastAsia" w:ascii="宋体" w:hAnsi="宋体" w:cs="宋体"/>
          <w:szCs w:val="21"/>
        </w:rPr>
        <w:t>A.7.6 突发环境事件应急预案管理与编制建议</w:t>
      </w:r>
    </w:p>
    <w:p>
      <w:pPr>
        <w:spacing w:line="340" w:lineRule="exact"/>
        <w:rPr>
          <w:rFonts w:ascii="宋体" w:hAnsi="宋体" w:cs="宋体"/>
          <w:b/>
          <w:bCs/>
          <w:szCs w:val="21"/>
        </w:rPr>
      </w:pPr>
      <w:r>
        <w:rPr>
          <w:rFonts w:hint="eastAsia" w:ascii="宋体" w:hAnsi="宋体" w:cs="宋体"/>
          <w:b/>
          <w:bCs/>
          <w:szCs w:val="21"/>
        </w:rPr>
        <mc:AlternateContent>
          <mc:Choice Requires="wps">
            <w:drawing>
              <wp:anchor distT="0" distB="0" distL="114300" distR="114300" simplePos="0" relativeHeight="251665408" behindDoc="0" locked="0" layoutInCell="1" allowOverlap="1">
                <wp:simplePos x="0" y="0"/>
                <wp:positionH relativeFrom="column">
                  <wp:posOffset>1988185</wp:posOffset>
                </wp:positionH>
                <wp:positionV relativeFrom="paragraph">
                  <wp:posOffset>347980</wp:posOffset>
                </wp:positionV>
                <wp:extent cx="1057275" cy="15875"/>
                <wp:effectExtent l="0" t="0" r="28575" b="22225"/>
                <wp:wrapNone/>
                <wp:docPr id="1" name="直接连接符 1"/>
                <wp:cNvGraphicFramePr/>
                <a:graphic xmlns:a="http://schemas.openxmlformats.org/drawingml/2006/main">
                  <a:graphicData uri="http://schemas.microsoft.com/office/word/2010/wordprocessingShape">
                    <wps:wsp>
                      <wps:cNvCnPr/>
                      <wps:spPr>
                        <a:xfrm>
                          <a:off x="0" y="0"/>
                          <a:ext cx="1057523" cy="1590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6.55pt;margin-top:27.4pt;height:1.25pt;width:83.25pt;z-index:251665408;mso-width-relative:page;mso-height-relative:page;" filled="f" stroked="t" coordsize="21600,21600" o:gfxdata="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26QdL2gAAAAkBAAAPAAAAAAAAAAEAIAAAACIAAABkcnMvZG93bnJldi54&#10;bWxQSwECFAAUAAAACACHTuJAau/bP/gBAADXAwAADgAAAAAAAAABACAAAAApAQAAZHJzL2Uyb0Rv&#10;Yy54bWxQSwUGAAAAAAYABgBZAQAAkwUAAAAA&#10;">
                <v:fill on="f" focussize="0,0"/>
                <v:stroke color="#4A7EBB [3204]" joinstyle="round"/>
                <v:imagedata o:title=""/>
                <o:lock v:ext="edit" aspectratio="f"/>
              </v:line>
            </w:pict>
          </mc:Fallback>
        </mc:AlternateContent>
      </w:r>
      <w:r>
        <w:rPr>
          <w:rFonts w:hint="eastAsia" w:ascii="宋体" w:hAnsi="宋体" w:cs="宋体"/>
          <w:b/>
          <w:bCs/>
          <w:szCs w:val="21"/>
        </w:rPr>
        <w:t>A.8 附图和附件</w:t>
      </w:r>
    </w:p>
    <w:sectPr>
      <w:pgSz w:w="11906" w:h="16838"/>
      <w:pgMar w:top="1871" w:right="1474" w:bottom="170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ZXBSJW--GB1-0">
    <w:altName w:val="Times New Roman"/>
    <w:panose1 w:val="00000000000000000000"/>
    <w:charset w:val="00"/>
    <w:family w:val="roman"/>
    <w:pitch w:val="default"/>
    <w:sig w:usb0="00000000" w:usb1="00000000" w:usb2="00000000" w:usb3="00000000" w:csb0="00000000" w:csb1="00000000"/>
  </w:font>
  <w:font w:name="FZFSK--GBK1-0">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mc:AlternateContent>
        <mc:Choice Requires="wps">
          <w:drawing>
            <wp:anchor distT="0" distB="0" distL="0" distR="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9"/>
                          </w:pPr>
                          <w:r>
                            <w:fldChar w:fldCharType="begin"/>
                          </w:r>
                          <w:r>
                            <w:instrText xml:space="preserve"> PAGE  \* MERGEFORMAT </w:instrText>
                          </w:r>
                          <w:r>
                            <w:fldChar w:fldCharType="separate"/>
                          </w:r>
                          <w:r>
                            <w:t>14</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T0m7K8MBAACHAwAADgAAAAAAAAABACAAAAAfAQAAZHJzL2Uyb0RvYy54bWxQ&#10;SwUGAAAAAAYABgBZAQAAVAUAAAAA&#10;">
              <v:fill on="f" focussize="0,0"/>
              <v:stroke on="f"/>
              <v:imagedata o:title=""/>
              <o:lock v:ext="edit" aspectratio="f"/>
              <v:textbox inset="0mm,0mm,0mm,0mm" style="mso-fit-shape-to-text:t;">
                <w:txbxContent>
                  <w:p>
                    <w:pPr>
                      <w:pStyle w:val="59"/>
                    </w:pPr>
                    <w:r>
                      <w:fldChar w:fldCharType="begin"/>
                    </w:r>
                    <w:r>
                      <w:instrText xml:space="preserve"> PAGE  \* MERGEFORMAT </w:instrText>
                    </w:r>
                    <w:r>
                      <w:fldChar w:fldCharType="separate"/>
                    </w:r>
                    <w:r>
                      <w:t>14</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黑体" w:hAnsi="黑体" w:eastAsia="黑体"/>
      </w:rPr>
    </w:pPr>
    <w:r>
      <w:rPr>
        <w:rFonts w:ascii="黑体" w:hAnsi="黑体" w:eastAsia="黑体"/>
      </w:rPr>
      <w:t>DB 62/T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pStyle w:val="5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7"/>
      <w:suff w:val="nothing"/>
      <w:lvlText w:val="%1.%2　"/>
      <w:lvlJc w:val="left"/>
      <w:pPr>
        <w:ind w:left="0" w:firstLine="0"/>
      </w:pPr>
      <w:rPr>
        <w:rFonts w:hint="eastAsia" w:ascii="黑体" w:hAnsi="Times New Roman" w:eastAsia="黑体" w:cs="Times New Roman"/>
        <w:b w:val="0"/>
        <w:bCs w:val="0"/>
        <w:i w:val="0"/>
        <w:iCs w:val="0"/>
        <w:caps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F0EBFEC9"/>
    <w:multiLevelType w:val="singleLevel"/>
    <w:tmpl w:val="F0EBFEC9"/>
    <w:lvl w:ilvl="0" w:tentative="0">
      <w:start w:val="1"/>
      <w:numFmt w:val="decimal"/>
      <w:suff w:val="nothing"/>
      <w:lvlText w:val="%1）"/>
      <w:lvlJc w:val="left"/>
    </w:lvl>
  </w:abstractNum>
  <w:abstractNum w:abstractNumId="2">
    <w:nsid w:val="00000001"/>
    <w:multiLevelType w:val="multilevel"/>
    <w:tmpl w:val="00000001"/>
    <w:lvl w:ilvl="0" w:tentative="0">
      <w:start w:val="1"/>
      <w:numFmt w:val="upperLetter"/>
      <w:pStyle w:val="5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lNDE5Njc0NjYxMGIxZjNiMDY3M2FjYzllMmQyMWUifQ=="/>
  </w:docVars>
  <w:rsids>
    <w:rsidRoot w:val="00CB5CBB"/>
    <w:rsid w:val="00016D8E"/>
    <w:rsid w:val="00246049"/>
    <w:rsid w:val="002A5800"/>
    <w:rsid w:val="00637540"/>
    <w:rsid w:val="009853E5"/>
    <w:rsid w:val="00AD6A67"/>
    <w:rsid w:val="00B867F4"/>
    <w:rsid w:val="00BE7363"/>
    <w:rsid w:val="00CB5CBB"/>
    <w:rsid w:val="011846E5"/>
    <w:rsid w:val="01CB7837"/>
    <w:rsid w:val="01E22C82"/>
    <w:rsid w:val="0378063E"/>
    <w:rsid w:val="03BE6BB4"/>
    <w:rsid w:val="04436E0D"/>
    <w:rsid w:val="04602B3A"/>
    <w:rsid w:val="052F7D10"/>
    <w:rsid w:val="05541D4E"/>
    <w:rsid w:val="059B4E40"/>
    <w:rsid w:val="06657D8C"/>
    <w:rsid w:val="07994906"/>
    <w:rsid w:val="07F7141C"/>
    <w:rsid w:val="08F10586"/>
    <w:rsid w:val="096B2301"/>
    <w:rsid w:val="0987351E"/>
    <w:rsid w:val="09914A41"/>
    <w:rsid w:val="0A241A31"/>
    <w:rsid w:val="0AB12E2A"/>
    <w:rsid w:val="0B451699"/>
    <w:rsid w:val="0D165931"/>
    <w:rsid w:val="0D1E52A5"/>
    <w:rsid w:val="0D39457E"/>
    <w:rsid w:val="0D945ED5"/>
    <w:rsid w:val="0DB82C12"/>
    <w:rsid w:val="0E343AED"/>
    <w:rsid w:val="0E5F68A3"/>
    <w:rsid w:val="0FDB1613"/>
    <w:rsid w:val="11565787"/>
    <w:rsid w:val="125C03AD"/>
    <w:rsid w:val="12AB39AF"/>
    <w:rsid w:val="131371DA"/>
    <w:rsid w:val="145C3375"/>
    <w:rsid w:val="14713FBA"/>
    <w:rsid w:val="15B2530B"/>
    <w:rsid w:val="17BF7FED"/>
    <w:rsid w:val="18644328"/>
    <w:rsid w:val="18BE00A7"/>
    <w:rsid w:val="18D57CCC"/>
    <w:rsid w:val="191B29BF"/>
    <w:rsid w:val="19445F08"/>
    <w:rsid w:val="196E511D"/>
    <w:rsid w:val="19AA0FA9"/>
    <w:rsid w:val="19B80DD0"/>
    <w:rsid w:val="1A246296"/>
    <w:rsid w:val="1A566EC3"/>
    <w:rsid w:val="1A907FA2"/>
    <w:rsid w:val="1AFD0956"/>
    <w:rsid w:val="1B232D94"/>
    <w:rsid w:val="1B435621"/>
    <w:rsid w:val="1C053387"/>
    <w:rsid w:val="1C430C6D"/>
    <w:rsid w:val="1CDE7062"/>
    <w:rsid w:val="1DAB4D3C"/>
    <w:rsid w:val="1E0D5CDA"/>
    <w:rsid w:val="1E97501B"/>
    <w:rsid w:val="1EFB7B61"/>
    <w:rsid w:val="1F0E0A81"/>
    <w:rsid w:val="1FB844DF"/>
    <w:rsid w:val="215E2BCE"/>
    <w:rsid w:val="229B5E81"/>
    <w:rsid w:val="24182DC7"/>
    <w:rsid w:val="25AB3683"/>
    <w:rsid w:val="2740213A"/>
    <w:rsid w:val="27A27E15"/>
    <w:rsid w:val="27EA1F52"/>
    <w:rsid w:val="28504DBF"/>
    <w:rsid w:val="289E15CA"/>
    <w:rsid w:val="28D728F5"/>
    <w:rsid w:val="290D4AE9"/>
    <w:rsid w:val="2BAA4473"/>
    <w:rsid w:val="2DEB6A75"/>
    <w:rsid w:val="2F1808D1"/>
    <w:rsid w:val="30083A5D"/>
    <w:rsid w:val="314224E0"/>
    <w:rsid w:val="31C72739"/>
    <w:rsid w:val="3277718A"/>
    <w:rsid w:val="33365E13"/>
    <w:rsid w:val="33F93952"/>
    <w:rsid w:val="346D1713"/>
    <w:rsid w:val="35096729"/>
    <w:rsid w:val="356F47B8"/>
    <w:rsid w:val="3572573D"/>
    <w:rsid w:val="35DE286E"/>
    <w:rsid w:val="361B0E3D"/>
    <w:rsid w:val="362A54E1"/>
    <w:rsid w:val="36396699"/>
    <w:rsid w:val="363973A5"/>
    <w:rsid w:val="374530BA"/>
    <w:rsid w:val="37BF2ED1"/>
    <w:rsid w:val="380B7600"/>
    <w:rsid w:val="381C311D"/>
    <w:rsid w:val="382B3052"/>
    <w:rsid w:val="383F45D6"/>
    <w:rsid w:val="38F06979"/>
    <w:rsid w:val="39020F83"/>
    <w:rsid w:val="392037D1"/>
    <w:rsid w:val="39B244B8"/>
    <w:rsid w:val="3A017ABA"/>
    <w:rsid w:val="3A5F7E54"/>
    <w:rsid w:val="3D263ADF"/>
    <w:rsid w:val="3EF335A2"/>
    <w:rsid w:val="3F0D36B0"/>
    <w:rsid w:val="3F27452A"/>
    <w:rsid w:val="41145B28"/>
    <w:rsid w:val="41726B95"/>
    <w:rsid w:val="431E7646"/>
    <w:rsid w:val="438D34E4"/>
    <w:rsid w:val="45267D82"/>
    <w:rsid w:val="4698695F"/>
    <w:rsid w:val="487B2E45"/>
    <w:rsid w:val="48B71B33"/>
    <w:rsid w:val="493E4F4B"/>
    <w:rsid w:val="496557F9"/>
    <w:rsid w:val="49AF6EF2"/>
    <w:rsid w:val="49D423FE"/>
    <w:rsid w:val="4CC22C7C"/>
    <w:rsid w:val="4CE36A34"/>
    <w:rsid w:val="4CFA0BD8"/>
    <w:rsid w:val="4D19148D"/>
    <w:rsid w:val="4D6B792C"/>
    <w:rsid w:val="4E820EE5"/>
    <w:rsid w:val="4F0A4277"/>
    <w:rsid w:val="50810086"/>
    <w:rsid w:val="51627B45"/>
    <w:rsid w:val="51E444D7"/>
    <w:rsid w:val="52E26A0A"/>
    <w:rsid w:val="531639E1"/>
    <w:rsid w:val="5455279C"/>
    <w:rsid w:val="54F62BF2"/>
    <w:rsid w:val="557A29E6"/>
    <w:rsid w:val="56373554"/>
    <w:rsid w:val="57770C7B"/>
    <w:rsid w:val="57A54A59"/>
    <w:rsid w:val="594C2108"/>
    <w:rsid w:val="598E1F27"/>
    <w:rsid w:val="5A5D394D"/>
    <w:rsid w:val="5CA61E20"/>
    <w:rsid w:val="5CEB0141"/>
    <w:rsid w:val="5D433711"/>
    <w:rsid w:val="5D5079EE"/>
    <w:rsid w:val="5D6000B6"/>
    <w:rsid w:val="5E751E1B"/>
    <w:rsid w:val="5F4B4924"/>
    <w:rsid w:val="5FDD0E56"/>
    <w:rsid w:val="5FE73964"/>
    <w:rsid w:val="60304AE7"/>
    <w:rsid w:val="60730FCA"/>
    <w:rsid w:val="60B50B3A"/>
    <w:rsid w:val="62870A35"/>
    <w:rsid w:val="62E245C6"/>
    <w:rsid w:val="62EE3C5C"/>
    <w:rsid w:val="643903FB"/>
    <w:rsid w:val="64A358AC"/>
    <w:rsid w:val="65995760"/>
    <w:rsid w:val="67F72F58"/>
    <w:rsid w:val="68837A86"/>
    <w:rsid w:val="68E1085D"/>
    <w:rsid w:val="6999591F"/>
    <w:rsid w:val="69D519B1"/>
    <w:rsid w:val="6A572F65"/>
    <w:rsid w:val="6A68650B"/>
    <w:rsid w:val="6AF361DA"/>
    <w:rsid w:val="6C355C98"/>
    <w:rsid w:val="6C3F65A7"/>
    <w:rsid w:val="6D1A68EA"/>
    <w:rsid w:val="6E186A40"/>
    <w:rsid w:val="6E3B72E7"/>
    <w:rsid w:val="6E85787B"/>
    <w:rsid w:val="6F984159"/>
    <w:rsid w:val="70704387"/>
    <w:rsid w:val="709A0E76"/>
    <w:rsid w:val="70D6365F"/>
    <w:rsid w:val="71442AE2"/>
    <w:rsid w:val="722F5F63"/>
    <w:rsid w:val="743047AF"/>
    <w:rsid w:val="74895C51"/>
    <w:rsid w:val="75641328"/>
    <w:rsid w:val="75CB1FD1"/>
    <w:rsid w:val="76725C62"/>
    <w:rsid w:val="76B65452"/>
    <w:rsid w:val="79121A2E"/>
    <w:rsid w:val="7A7570F7"/>
    <w:rsid w:val="7B4A3BA0"/>
    <w:rsid w:val="7BA8076D"/>
    <w:rsid w:val="7C9838F9"/>
    <w:rsid w:val="7E8A1B2B"/>
    <w:rsid w:val="7EFD4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39"/>
    <w:pPr>
      <w:ind w:left="1260"/>
      <w:jc w:val="left"/>
    </w:pPr>
    <w:rPr>
      <w:rFonts w:cs="Calibri"/>
      <w:sz w:val="18"/>
      <w:szCs w:val="18"/>
    </w:rPr>
  </w:style>
  <w:style w:type="paragraph" w:styleId="4">
    <w:name w:val="Document Map"/>
    <w:basedOn w:val="1"/>
    <w:link w:val="34"/>
    <w:qFormat/>
    <w:uiPriority w:val="99"/>
    <w:rPr>
      <w:rFonts w:ascii="宋体"/>
      <w:sz w:val="18"/>
      <w:szCs w:val="18"/>
    </w:rPr>
  </w:style>
  <w:style w:type="paragraph" w:styleId="5">
    <w:name w:val="annotation text"/>
    <w:basedOn w:val="1"/>
    <w:link w:val="62"/>
    <w:qFormat/>
    <w:uiPriority w:val="0"/>
    <w:pPr>
      <w:jc w:val="left"/>
    </w:pPr>
  </w:style>
  <w:style w:type="paragraph" w:styleId="6">
    <w:name w:val="toc 5"/>
    <w:basedOn w:val="1"/>
    <w:next w:val="1"/>
    <w:qFormat/>
    <w:uiPriority w:val="39"/>
    <w:pPr>
      <w:ind w:left="840"/>
      <w:jc w:val="left"/>
    </w:pPr>
    <w:rPr>
      <w:rFonts w:cs="Calibri"/>
      <w:sz w:val="18"/>
      <w:szCs w:val="18"/>
    </w:rPr>
  </w:style>
  <w:style w:type="paragraph" w:styleId="7">
    <w:name w:val="toc 3"/>
    <w:basedOn w:val="1"/>
    <w:next w:val="1"/>
    <w:qFormat/>
    <w:uiPriority w:val="39"/>
    <w:pPr>
      <w:ind w:left="420"/>
      <w:jc w:val="left"/>
    </w:pPr>
    <w:rPr>
      <w:rFonts w:cs="Calibri"/>
      <w:i/>
      <w:iCs/>
      <w:sz w:val="20"/>
      <w:szCs w:val="20"/>
    </w:rPr>
  </w:style>
  <w:style w:type="paragraph" w:styleId="8">
    <w:name w:val="toc 8"/>
    <w:basedOn w:val="1"/>
    <w:next w:val="1"/>
    <w:qFormat/>
    <w:uiPriority w:val="39"/>
    <w:pPr>
      <w:ind w:left="1470"/>
      <w:jc w:val="left"/>
    </w:pPr>
    <w:rPr>
      <w:rFonts w:cs="Calibri"/>
      <w:sz w:val="18"/>
      <w:szCs w:val="18"/>
    </w:rPr>
  </w:style>
  <w:style w:type="paragraph" w:styleId="9">
    <w:name w:val="Date"/>
    <w:basedOn w:val="1"/>
    <w:next w:val="1"/>
    <w:link w:val="64"/>
    <w:qFormat/>
    <w:uiPriority w:val="0"/>
    <w:pPr>
      <w:ind w:left="100" w:leftChars="2500"/>
    </w:pPr>
  </w:style>
  <w:style w:type="paragraph" w:styleId="10">
    <w:name w:val="Balloon Text"/>
    <w:basedOn w:val="1"/>
    <w:link w:val="33"/>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cs="宋体"/>
      <w:sz w:val="18"/>
      <w:szCs w:val="18"/>
    </w:rPr>
  </w:style>
  <w:style w:type="paragraph" w:styleId="12">
    <w:name w:val="header"/>
    <w:basedOn w:val="1"/>
    <w:link w:val="24"/>
    <w:qFormat/>
    <w:uiPriority w:val="99"/>
    <w:pPr>
      <w:pBdr>
        <w:bottom w:val="single" w:color="auto" w:sz="6" w:space="1"/>
      </w:pBdr>
      <w:tabs>
        <w:tab w:val="center" w:pos="4153"/>
        <w:tab w:val="right" w:pos="8306"/>
      </w:tabs>
      <w:snapToGrid w:val="0"/>
      <w:jc w:val="center"/>
    </w:pPr>
    <w:rPr>
      <w:rFonts w:cs="宋体"/>
      <w:sz w:val="18"/>
      <w:szCs w:val="18"/>
    </w:rPr>
  </w:style>
  <w:style w:type="paragraph" w:styleId="13">
    <w:name w:val="toc 1"/>
    <w:basedOn w:val="1"/>
    <w:next w:val="1"/>
    <w:qFormat/>
    <w:uiPriority w:val="39"/>
    <w:pPr>
      <w:spacing w:before="120" w:after="120"/>
      <w:jc w:val="left"/>
    </w:pPr>
    <w:rPr>
      <w:rFonts w:cs="Calibri"/>
      <w:b/>
      <w:bCs/>
      <w:caps/>
      <w:sz w:val="20"/>
      <w:szCs w:val="20"/>
    </w:rPr>
  </w:style>
  <w:style w:type="paragraph" w:styleId="14">
    <w:name w:val="toc 4"/>
    <w:basedOn w:val="1"/>
    <w:next w:val="1"/>
    <w:qFormat/>
    <w:uiPriority w:val="39"/>
    <w:pPr>
      <w:ind w:left="630"/>
      <w:jc w:val="left"/>
    </w:pPr>
    <w:rPr>
      <w:rFonts w:cs="Calibri"/>
      <w:sz w:val="18"/>
      <w:szCs w:val="18"/>
    </w:rPr>
  </w:style>
  <w:style w:type="paragraph" w:styleId="15">
    <w:name w:val="toc 6"/>
    <w:basedOn w:val="1"/>
    <w:next w:val="1"/>
    <w:qFormat/>
    <w:uiPriority w:val="39"/>
    <w:pPr>
      <w:ind w:left="1050"/>
      <w:jc w:val="left"/>
    </w:pPr>
    <w:rPr>
      <w:rFonts w:cs="Calibri"/>
      <w:sz w:val="18"/>
      <w:szCs w:val="18"/>
    </w:rPr>
  </w:style>
  <w:style w:type="paragraph" w:styleId="16">
    <w:name w:val="toc 2"/>
    <w:basedOn w:val="1"/>
    <w:next w:val="1"/>
    <w:qFormat/>
    <w:uiPriority w:val="39"/>
    <w:pPr>
      <w:ind w:left="210"/>
      <w:jc w:val="left"/>
    </w:pPr>
    <w:rPr>
      <w:rFonts w:cs="Calibri"/>
      <w:smallCaps/>
      <w:sz w:val="20"/>
      <w:szCs w:val="20"/>
    </w:rPr>
  </w:style>
  <w:style w:type="paragraph" w:styleId="17">
    <w:name w:val="toc 9"/>
    <w:basedOn w:val="1"/>
    <w:next w:val="1"/>
    <w:qFormat/>
    <w:uiPriority w:val="39"/>
    <w:pPr>
      <w:ind w:left="1680"/>
      <w:jc w:val="left"/>
    </w:pPr>
    <w:rPr>
      <w:rFonts w:cs="Calibri"/>
      <w:sz w:val="18"/>
      <w:szCs w:val="18"/>
    </w:rPr>
  </w:style>
  <w:style w:type="paragraph" w:styleId="18">
    <w:name w:val="annotation subject"/>
    <w:basedOn w:val="5"/>
    <w:next w:val="5"/>
    <w:link w:val="63"/>
    <w:qFormat/>
    <w:uiPriority w:val="0"/>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character" w:styleId="23">
    <w:name w:val="annotation reference"/>
    <w:basedOn w:val="21"/>
    <w:qFormat/>
    <w:uiPriority w:val="0"/>
    <w:rPr>
      <w:sz w:val="21"/>
      <w:szCs w:val="21"/>
    </w:rPr>
  </w:style>
  <w:style w:type="character" w:customStyle="1" w:styleId="24">
    <w:name w:val="页眉 字符"/>
    <w:basedOn w:val="21"/>
    <w:link w:val="12"/>
    <w:qFormat/>
    <w:uiPriority w:val="99"/>
    <w:rPr>
      <w:sz w:val="18"/>
      <w:szCs w:val="18"/>
    </w:rPr>
  </w:style>
  <w:style w:type="character" w:customStyle="1" w:styleId="25">
    <w:name w:val="页脚 字符"/>
    <w:basedOn w:val="21"/>
    <w:link w:val="11"/>
    <w:qFormat/>
    <w:uiPriority w:val="99"/>
    <w:rPr>
      <w:sz w:val="18"/>
      <w:szCs w:val="18"/>
    </w:rPr>
  </w:style>
  <w:style w:type="character" w:customStyle="1" w:styleId="26">
    <w:name w:val="标题 1 字符"/>
    <w:basedOn w:val="21"/>
    <w:link w:val="2"/>
    <w:qFormat/>
    <w:uiPriority w:val="9"/>
    <w:rPr>
      <w:rFonts w:ascii="宋体" w:hAnsi="宋体" w:eastAsia="宋体" w:cs="宋体"/>
      <w:b/>
      <w:bCs/>
      <w:kern w:val="36"/>
      <w:sz w:val="48"/>
      <w:szCs w:val="48"/>
    </w:rPr>
  </w:style>
  <w:style w:type="character" w:customStyle="1" w:styleId="27">
    <w:name w:val="标题1"/>
    <w:basedOn w:val="21"/>
    <w:qFormat/>
    <w:uiPriority w:val="0"/>
  </w:style>
  <w:style w:type="character" w:customStyle="1" w:styleId="28">
    <w:name w:val="fontstyle01"/>
    <w:basedOn w:val="21"/>
    <w:qFormat/>
    <w:uiPriority w:val="0"/>
    <w:rPr>
      <w:rFonts w:hint="eastAsia" w:ascii="黑体" w:hAnsi="黑体" w:eastAsia="黑体"/>
      <w:color w:val="000000"/>
      <w:sz w:val="30"/>
      <w:szCs w:val="30"/>
    </w:rPr>
  </w:style>
  <w:style w:type="character" w:customStyle="1" w:styleId="29">
    <w:name w:val="fontstyle11"/>
    <w:basedOn w:val="21"/>
    <w:qFormat/>
    <w:uiPriority w:val="0"/>
    <w:rPr>
      <w:rFonts w:hint="default" w:ascii="FZXBSJW--GB1-0" w:hAnsi="FZXBSJW--GB1-0"/>
      <w:color w:val="000000"/>
      <w:sz w:val="32"/>
      <w:szCs w:val="32"/>
    </w:rPr>
  </w:style>
  <w:style w:type="character" w:customStyle="1" w:styleId="30">
    <w:name w:val="fontstyle31"/>
    <w:basedOn w:val="21"/>
    <w:qFormat/>
    <w:uiPriority w:val="0"/>
    <w:rPr>
      <w:rFonts w:hint="default" w:ascii="FZFSK--GBK1-0" w:hAnsi="FZFSK--GBK1-0"/>
      <w:color w:val="000000"/>
      <w:sz w:val="30"/>
      <w:szCs w:val="30"/>
    </w:rPr>
  </w:style>
  <w:style w:type="character" w:customStyle="1" w:styleId="31">
    <w:name w:val="fontstyle41"/>
    <w:basedOn w:val="21"/>
    <w:qFormat/>
    <w:uiPriority w:val="0"/>
    <w:rPr>
      <w:rFonts w:hint="eastAsia" w:ascii="宋体" w:hAnsi="宋体" w:eastAsia="宋体"/>
      <w:color w:val="000000"/>
      <w:sz w:val="28"/>
      <w:szCs w:val="28"/>
    </w:rPr>
  </w:style>
  <w:style w:type="paragraph" w:customStyle="1" w:styleId="32">
    <w:name w:val="普通(网站)1"/>
    <w:basedOn w:val="1"/>
    <w:qFormat/>
    <w:uiPriority w:val="0"/>
    <w:pPr>
      <w:jc w:val="left"/>
    </w:pPr>
    <w:rPr>
      <w:rFonts w:cs="黑体"/>
      <w:kern w:val="0"/>
      <w:sz w:val="24"/>
      <w:szCs w:val="24"/>
    </w:rPr>
  </w:style>
  <w:style w:type="character" w:customStyle="1" w:styleId="33">
    <w:name w:val="批注框文本 字符"/>
    <w:basedOn w:val="21"/>
    <w:link w:val="10"/>
    <w:qFormat/>
    <w:uiPriority w:val="99"/>
    <w:rPr>
      <w:rFonts w:ascii="Calibri" w:hAnsi="Calibri" w:eastAsia="宋体" w:cs="Arial"/>
      <w:sz w:val="18"/>
      <w:szCs w:val="18"/>
    </w:rPr>
  </w:style>
  <w:style w:type="character" w:customStyle="1" w:styleId="34">
    <w:name w:val="文档结构图 字符"/>
    <w:basedOn w:val="21"/>
    <w:link w:val="4"/>
    <w:qFormat/>
    <w:uiPriority w:val="99"/>
    <w:rPr>
      <w:rFonts w:ascii="宋体" w:hAnsi="Calibri" w:eastAsia="宋体" w:cs="Arial"/>
      <w:kern w:val="2"/>
      <w:sz w:val="18"/>
      <w:szCs w:val="18"/>
    </w:rPr>
  </w:style>
  <w:style w:type="paragraph" w:customStyle="1" w:styleId="3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6">
    <w:name w:val="其他标准标志"/>
    <w:basedOn w:val="37"/>
    <w:qFormat/>
    <w:uiPriority w:val="0"/>
    <w:pPr>
      <w:framePr w:w="6101" w:wrap="around" w:vAnchor="page" w:hAnchor="page" w:x="4673" w:y="942"/>
    </w:pPr>
    <w:rPr>
      <w:w w:val="130"/>
    </w:rPr>
  </w:style>
  <w:style w:type="paragraph" w:customStyle="1" w:styleId="3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2">
    <w:name w:val="封面标准文稿类别"/>
    <w:basedOn w:val="43"/>
    <w:qFormat/>
    <w:uiPriority w:val="0"/>
    <w:pPr>
      <w:framePr w:wrap="around"/>
      <w:spacing w:after="160" w:line="240" w:lineRule="auto"/>
    </w:pPr>
    <w:rPr>
      <w:sz w:val="24"/>
    </w:rPr>
  </w:style>
  <w:style w:type="paragraph" w:customStyle="1" w:styleId="43">
    <w:name w:val="封面一致性程度标识"/>
    <w:basedOn w:val="44"/>
    <w:qFormat/>
    <w:uiPriority w:val="0"/>
    <w:pPr>
      <w:framePr w:wrap="around"/>
      <w:spacing w:before="440"/>
    </w:pPr>
    <w:rPr>
      <w:rFonts w:ascii="宋体" w:eastAsia="宋体"/>
    </w:rPr>
  </w:style>
  <w:style w:type="paragraph" w:customStyle="1" w:styleId="44">
    <w:name w:val="封面标准英文名称"/>
    <w:basedOn w:val="41"/>
    <w:qFormat/>
    <w:uiPriority w:val="0"/>
    <w:pPr>
      <w:framePr w:wrap="around"/>
      <w:spacing w:before="370" w:line="400" w:lineRule="exact"/>
    </w:pPr>
    <w:rPr>
      <w:rFonts w:ascii="Times New Roman"/>
      <w:sz w:val="28"/>
      <w:szCs w:val="28"/>
    </w:rPr>
  </w:style>
  <w:style w:type="paragraph" w:customStyle="1" w:styleId="45">
    <w:name w:val="封面标准文稿编辑信息"/>
    <w:basedOn w:val="42"/>
    <w:qFormat/>
    <w:uiPriority w:val="0"/>
    <w:pPr>
      <w:framePr w:wrap="around"/>
      <w:spacing w:before="180" w:line="180" w:lineRule="exact"/>
    </w:pPr>
    <w:rPr>
      <w:sz w:val="21"/>
    </w:rPr>
  </w:style>
  <w:style w:type="paragraph" w:customStyle="1" w:styleId="46">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47">
    <w:name w:val="其他实施日期"/>
    <w:basedOn w:val="48"/>
    <w:qFormat/>
    <w:uiPriority w:val="0"/>
    <w:pPr>
      <w:framePr w:wrap="around"/>
    </w:pPr>
  </w:style>
  <w:style w:type="paragraph" w:customStyle="1" w:styleId="48">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49">
    <w:name w:val="其他发布部门"/>
    <w:basedOn w:val="50"/>
    <w:qFormat/>
    <w:uiPriority w:val="0"/>
    <w:pPr>
      <w:framePr w:wrap="around" w:y="15310"/>
      <w:spacing w:line="0" w:lineRule="atLeast"/>
    </w:pPr>
    <w:rPr>
      <w:rFonts w:ascii="黑体" w:eastAsia="黑体"/>
      <w:b w:val="0"/>
    </w:rPr>
  </w:style>
  <w:style w:type="paragraph" w:customStyle="1" w:styleId="50">
    <w:name w:val="发布部门"/>
    <w:next w:val="5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2">
    <w:name w:val="发布"/>
    <w:qFormat/>
    <w:uiPriority w:val="0"/>
    <w:rPr>
      <w:rFonts w:ascii="黑体" w:eastAsia="黑体"/>
      <w:spacing w:val="85"/>
      <w:w w:val="100"/>
      <w:position w:val="3"/>
      <w:sz w:val="28"/>
      <w:szCs w:val="28"/>
    </w:rPr>
  </w:style>
  <w:style w:type="paragraph" w:customStyle="1" w:styleId="53">
    <w:name w:val="前言、引言标题"/>
    <w:next w:val="5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4">
    <w:name w:val="标准名称"/>
    <w:basedOn w:val="55"/>
    <w:qFormat/>
    <w:uiPriority w:val="0"/>
  </w:style>
  <w:style w:type="paragraph" w:customStyle="1" w:styleId="55">
    <w:name w:val="目次、标准名称标题"/>
    <w:basedOn w:val="1"/>
    <w:next w:val="5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6">
    <w:name w:val="章标题"/>
    <w:next w:val="5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57">
    <w:name w:val="一级条标题"/>
    <w:next w:val="51"/>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58">
    <w:name w:val="附录标识"/>
    <w:basedOn w:val="1"/>
    <w:next w:val="51"/>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5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0">
    <w:name w:val="TOC Heading_df9d6f2f-72c6-4d07-87bf-0a73cba925ea"/>
    <w:basedOn w:val="2"/>
    <w:next w:val="1"/>
    <w:qFormat/>
    <w:uiPriority w:val="39"/>
    <w:pPr>
      <w:keepNext/>
      <w:keepLines/>
      <w:spacing w:before="240" w:beforeAutospacing="0" w:after="0" w:afterAutospacing="0" w:line="259" w:lineRule="auto"/>
      <w:outlineLvl w:val="9"/>
    </w:pPr>
    <w:rPr>
      <w:rFonts w:ascii="Cambria" w:hAnsi="Cambria"/>
      <w:b w:val="0"/>
      <w:bCs w:val="0"/>
      <w:color w:val="376092"/>
      <w:kern w:val="0"/>
      <w:sz w:val="32"/>
      <w:szCs w:val="32"/>
    </w:rPr>
  </w:style>
  <w:style w:type="paragraph" w:customStyle="1" w:styleId="61">
    <w:name w:val="List Paragraph_a088ac1e-525a-4eaa-b8ee-defcde03540c"/>
    <w:basedOn w:val="1"/>
    <w:qFormat/>
    <w:uiPriority w:val="34"/>
    <w:pPr>
      <w:ind w:firstLine="420" w:firstLineChars="200"/>
    </w:pPr>
  </w:style>
  <w:style w:type="character" w:customStyle="1" w:styleId="62">
    <w:name w:val="批注文字 字符"/>
    <w:basedOn w:val="21"/>
    <w:link w:val="5"/>
    <w:qFormat/>
    <w:uiPriority w:val="0"/>
    <w:rPr>
      <w:rFonts w:ascii="Calibri" w:hAnsi="Calibri" w:cs="Arial"/>
      <w:kern w:val="2"/>
      <w:sz w:val="21"/>
      <w:szCs w:val="22"/>
    </w:rPr>
  </w:style>
  <w:style w:type="character" w:customStyle="1" w:styleId="63">
    <w:name w:val="批注主题 字符"/>
    <w:basedOn w:val="62"/>
    <w:link w:val="18"/>
    <w:qFormat/>
    <w:uiPriority w:val="0"/>
    <w:rPr>
      <w:rFonts w:ascii="Calibri" w:hAnsi="Calibri" w:cs="Arial"/>
      <w:b/>
      <w:bCs/>
      <w:kern w:val="2"/>
      <w:sz w:val="21"/>
      <w:szCs w:val="22"/>
    </w:rPr>
  </w:style>
  <w:style w:type="character" w:customStyle="1" w:styleId="64">
    <w:name w:val="日期 字符"/>
    <w:basedOn w:val="21"/>
    <w:link w:val="9"/>
    <w:qFormat/>
    <w:uiPriority w:val="0"/>
    <w:rPr>
      <w:rFonts w:ascii="Calibri" w:hAnsi="Calibri" w:cs="Arial"/>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8747</Words>
  <Characters>9785</Characters>
  <Lines>83</Lines>
  <Paragraphs>23</Paragraphs>
  <TotalTime>0</TotalTime>
  <ScaleCrop>false</ScaleCrop>
  <LinksUpToDate>false</LinksUpToDate>
  <CharactersWithSpaces>10205</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2021-08-26T10:41:00Z</dcterms:created>
  <dc:creator>User</dc:creator>
  <cp:lastModifiedBy>魏斌</cp:lastModifiedBy>
  <cp:lastPrinted>2022-02-21T16:05:00Z</cp:lastPrinted>
  <dcterms:modified xsi:type="dcterms:W3CDTF">2024-11-26T03:25:10Z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EE3E4961BC5343289ABEED962225EF0A_13</vt:lpwstr>
  </property>
</Properties>
</file>