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DD2B1A">
      <w:pPr>
        <w:keepNext w:val="0"/>
        <w:keepLines w:val="0"/>
        <w:pageBreakBefore w:val="0"/>
        <w:widowControl/>
        <w:kinsoku/>
        <w:overflowPunct/>
        <w:topLinePunct w:val="0"/>
        <w:autoSpaceDE/>
        <w:autoSpaceDN/>
        <w:bidi w:val="0"/>
        <w:spacing w:beforeAutospacing="0" w:afterAutospacing="0" w:line="600" w:lineRule="exact"/>
        <w:ind w:left="0" w:leftChars="0"/>
        <w:jc w:val="left"/>
        <w:textAlignment w:val="auto"/>
        <w:rPr>
          <w:rFonts w:eastAsia="黑体"/>
          <w:sz w:val="32"/>
          <w:szCs w:val="32"/>
        </w:rPr>
      </w:pPr>
      <w:r>
        <w:rPr>
          <w:rFonts w:ascii="黑体" w:hAnsi="宋体" w:eastAsia="黑体" w:cs="黑体"/>
          <w:color w:val="000000"/>
          <w:kern w:val="0"/>
          <w:sz w:val="32"/>
          <w:szCs w:val="32"/>
          <w:lang w:bidi="ar"/>
        </w:rPr>
        <w:t xml:space="preserve">附件 </w:t>
      </w:r>
      <w:r>
        <w:rPr>
          <w:rFonts w:hint="eastAsia" w:ascii="黑体" w:hAnsi="宋体" w:eastAsia="黑体" w:cs="黑体"/>
          <w:color w:val="000000"/>
          <w:kern w:val="0"/>
          <w:sz w:val="32"/>
          <w:szCs w:val="32"/>
          <w:lang w:bidi="ar"/>
        </w:rPr>
        <w:t>2</w:t>
      </w:r>
    </w:p>
    <w:p w14:paraId="3633EE10">
      <w:pPr>
        <w:keepNext w:val="0"/>
        <w:keepLines w:val="0"/>
        <w:pageBreakBefore w:val="0"/>
        <w:widowControl/>
        <w:kinsoku/>
        <w:overflowPunct/>
        <w:topLinePunct w:val="0"/>
        <w:autoSpaceDE/>
        <w:autoSpaceDN/>
        <w:bidi w:val="0"/>
        <w:spacing w:beforeAutospacing="0" w:afterAutospacing="0" w:line="600" w:lineRule="exact"/>
        <w:ind w:left="0" w:leftChars="0"/>
        <w:jc w:val="center"/>
        <w:textAlignment w:val="auto"/>
        <w:rPr>
          <w:rFonts w:ascii="微软雅黑" w:hAnsi="微软雅黑" w:eastAsia="微软雅黑" w:cs="微软雅黑"/>
          <w:color w:val="000000"/>
          <w:kern w:val="0"/>
          <w:sz w:val="43"/>
          <w:szCs w:val="43"/>
          <w:lang w:bidi="ar"/>
        </w:rPr>
      </w:pPr>
    </w:p>
    <w:p w14:paraId="67EFB7C9">
      <w:pPr>
        <w:keepNext w:val="0"/>
        <w:keepLines w:val="0"/>
        <w:pageBreakBefore w:val="0"/>
        <w:widowControl/>
        <w:kinsoku/>
        <w:overflowPunct/>
        <w:topLinePunct w:val="0"/>
        <w:autoSpaceDE/>
        <w:autoSpaceDN/>
        <w:bidi w:val="0"/>
        <w:spacing w:beforeAutospacing="0" w:afterAutospacing="0" w:line="600" w:lineRule="exact"/>
        <w:ind w:left="0" w:leftChars="0"/>
        <w:jc w:val="center"/>
        <w:textAlignment w:val="auto"/>
        <w:rPr>
          <w:rFonts w:hint="eastAsia" w:ascii="方正小标宋_GBK" w:hAnsi="方正小标宋_GBK" w:eastAsia="方正小标宋_GBK" w:cs="方正小标宋_GBK"/>
          <w:sz w:val="44"/>
          <w:szCs w:val="44"/>
        </w:rPr>
      </w:pPr>
      <w:r>
        <w:rPr>
          <w:rFonts w:ascii="方正小标宋_GBK" w:hAnsi="方正小标宋_GBK" w:eastAsia="方正小标宋_GBK" w:cs="方正小标宋_GBK"/>
          <w:b w:val="0"/>
          <w:bCs/>
          <w:sz w:val="44"/>
          <w:szCs w:val="44"/>
        </w:rPr>
        <w:t>《</w:t>
      </w:r>
      <w:r>
        <w:rPr>
          <w:rFonts w:hint="eastAsia" w:ascii="方正小标宋_GBK" w:hAnsi="方正小标宋_GBK" w:eastAsia="方正小标宋_GBK" w:cs="方正小标宋_GBK"/>
          <w:b w:val="0"/>
          <w:bCs/>
          <w:sz w:val="44"/>
          <w:szCs w:val="44"/>
          <w:lang w:eastAsia="zh-CN"/>
        </w:rPr>
        <w:t>餐饮服务自行消毒餐(饮)具清洗消毒规范》</w:t>
      </w:r>
      <w:r>
        <w:rPr>
          <w:rFonts w:hint="eastAsia" w:ascii="方正小标宋_GBK" w:hAnsi="方正小标宋_GBK" w:eastAsia="方正小标宋_GBK" w:cs="方正小标宋_GBK"/>
          <w:color w:val="000000"/>
          <w:kern w:val="0"/>
          <w:sz w:val="44"/>
          <w:szCs w:val="44"/>
          <w:lang w:bidi="ar"/>
        </w:rPr>
        <w:t>编制说明</w:t>
      </w:r>
    </w:p>
    <w:p w14:paraId="3E163E5F">
      <w:pPr>
        <w:keepNext w:val="0"/>
        <w:keepLines w:val="0"/>
        <w:pageBreakBefore w:val="0"/>
        <w:widowControl/>
        <w:kinsoku/>
        <w:overflowPunct/>
        <w:topLinePunct w:val="0"/>
        <w:autoSpaceDE/>
        <w:autoSpaceDN/>
        <w:bidi w:val="0"/>
        <w:spacing w:beforeAutospacing="0" w:afterAutospacing="0" w:line="600" w:lineRule="exact"/>
        <w:ind w:left="0" w:leftChars="0"/>
        <w:jc w:val="center"/>
        <w:textAlignment w:val="auto"/>
        <w:rPr>
          <w:rFonts w:hint="eastAsia" w:ascii="方正小标宋_GBK" w:hAnsi="方正小标宋_GBK" w:eastAsia="方正小标宋_GBK" w:cs="方正小标宋_GBK"/>
          <w:color w:val="000000"/>
          <w:kern w:val="0"/>
          <w:sz w:val="44"/>
          <w:szCs w:val="44"/>
          <w:lang w:bidi="ar"/>
        </w:rPr>
      </w:pPr>
    </w:p>
    <w:p w14:paraId="6F8AB2F9">
      <w:pPr>
        <w:keepNext w:val="0"/>
        <w:keepLines w:val="0"/>
        <w:pageBreakBefore w:val="0"/>
        <w:widowControl/>
        <w:kinsoku/>
        <w:overflowPunct/>
        <w:topLinePunct w:val="0"/>
        <w:autoSpaceDE/>
        <w:autoSpaceDN/>
        <w:bidi w:val="0"/>
        <w:spacing w:beforeAutospacing="0" w:afterAutospacing="0" w:line="600" w:lineRule="exact"/>
        <w:ind w:left="0" w:leftChars="0"/>
        <w:jc w:val="center"/>
        <w:textAlignment w:val="auto"/>
        <w:rPr>
          <w:rFonts w:hint="eastAsia" w:ascii="方正小标宋_GBK" w:hAnsi="方正小标宋_GBK" w:eastAsia="方正小标宋_GBK" w:cs="方正小标宋_GBK"/>
          <w:color w:val="000000"/>
          <w:kern w:val="0"/>
          <w:sz w:val="44"/>
          <w:szCs w:val="44"/>
          <w:lang w:bidi="ar"/>
        </w:rPr>
      </w:pPr>
    </w:p>
    <w:p w14:paraId="0D64C28B">
      <w:pPr>
        <w:keepNext w:val="0"/>
        <w:keepLines w:val="0"/>
        <w:pageBreakBefore w:val="0"/>
        <w:widowControl/>
        <w:kinsoku/>
        <w:overflowPunct/>
        <w:topLinePunct w:val="0"/>
        <w:autoSpaceDE/>
        <w:autoSpaceDN/>
        <w:bidi w:val="0"/>
        <w:spacing w:beforeAutospacing="0" w:afterAutospacing="0" w:line="600" w:lineRule="exact"/>
        <w:ind w:left="0" w:leftChars="0"/>
        <w:jc w:val="center"/>
        <w:textAlignment w:val="auto"/>
        <w:rPr>
          <w:rFonts w:hint="eastAsia" w:ascii="方正小标宋_GBK" w:hAnsi="方正小标宋_GBK" w:eastAsia="方正小标宋_GBK" w:cs="方正小标宋_GBK"/>
          <w:color w:val="000000"/>
          <w:kern w:val="0"/>
          <w:sz w:val="44"/>
          <w:szCs w:val="44"/>
          <w:lang w:bidi="ar"/>
        </w:rPr>
      </w:pPr>
    </w:p>
    <w:p w14:paraId="172E4678">
      <w:pPr>
        <w:keepNext w:val="0"/>
        <w:keepLines w:val="0"/>
        <w:pageBreakBefore w:val="0"/>
        <w:widowControl/>
        <w:kinsoku/>
        <w:overflowPunct/>
        <w:topLinePunct w:val="0"/>
        <w:autoSpaceDE/>
        <w:autoSpaceDN/>
        <w:bidi w:val="0"/>
        <w:spacing w:beforeAutospacing="0" w:afterAutospacing="0" w:line="600" w:lineRule="exact"/>
        <w:ind w:left="0" w:leftChars="0"/>
        <w:jc w:val="center"/>
        <w:textAlignment w:val="auto"/>
        <w:rPr>
          <w:rFonts w:hint="eastAsia" w:ascii="方正小标宋_GBK" w:hAnsi="方正小标宋_GBK" w:eastAsia="方正小标宋_GBK" w:cs="方正小标宋_GBK"/>
          <w:color w:val="000000"/>
          <w:kern w:val="0"/>
          <w:sz w:val="44"/>
          <w:szCs w:val="44"/>
          <w:lang w:bidi="ar"/>
        </w:rPr>
      </w:pPr>
    </w:p>
    <w:p w14:paraId="7BE92117">
      <w:pPr>
        <w:keepNext w:val="0"/>
        <w:keepLines w:val="0"/>
        <w:pageBreakBefore w:val="0"/>
        <w:widowControl/>
        <w:kinsoku/>
        <w:overflowPunct/>
        <w:topLinePunct w:val="0"/>
        <w:autoSpaceDE/>
        <w:autoSpaceDN/>
        <w:bidi w:val="0"/>
        <w:spacing w:beforeAutospacing="0" w:afterAutospacing="0" w:line="600" w:lineRule="exact"/>
        <w:ind w:left="0" w:leftChars="0"/>
        <w:jc w:val="center"/>
        <w:textAlignment w:val="auto"/>
        <w:rPr>
          <w:rFonts w:hint="eastAsia" w:ascii="方正小标宋_GBK" w:hAnsi="方正小标宋_GBK" w:eastAsia="方正小标宋_GBK" w:cs="方正小标宋_GBK"/>
          <w:color w:val="000000"/>
          <w:kern w:val="0"/>
          <w:sz w:val="44"/>
          <w:szCs w:val="44"/>
          <w:lang w:bidi="ar"/>
        </w:rPr>
      </w:pPr>
    </w:p>
    <w:p w14:paraId="5F17180E">
      <w:pPr>
        <w:keepNext w:val="0"/>
        <w:keepLines w:val="0"/>
        <w:pageBreakBefore w:val="0"/>
        <w:widowControl/>
        <w:kinsoku/>
        <w:overflowPunct/>
        <w:topLinePunct w:val="0"/>
        <w:autoSpaceDE/>
        <w:autoSpaceDN/>
        <w:bidi w:val="0"/>
        <w:spacing w:beforeAutospacing="0" w:afterAutospacing="0" w:line="600" w:lineRule="exact"/>
        <w:ind w:left="0" w:leftChars="0"/>
        <w:jc w:val="center"/>
        <w:textAlignment w:val="auto"/>
        <w:rPr>
          <w:rFonts w:hint="eastAsia" w:ascii="方正小标宋_GBK" w:hAnsi="方正小标宋_GBK" w:eastAsia="方正小标宋_GBK" w:cs="方正小标宋_GBK"/>
          <w:color w:val="000000"/>
          <w:kern w:val="0"/>
          <w:sz w:val="44"/>
          <w:szCs w:val="44"/>
          <w:lang w:bidi="ar"/>
        </w:rPr>
      </w:pPr>
    </w:p>
    <w:p w14:paraId="52CAD902">
      <w:pPr>
        <w:keepNext w:val="0"/>
        <w:keepLines w:val="0"/>
        <w:pageBreakBefore w:val="0"/>
        <w:widowControl/>
        <w:kinsoku/>
        <w:overflowPunct/>
        <w:topLinePunct w:val="0"/>
        <w:autoSpaceDE/>
        <w:autoSpaceDN/>
        <w:bidi w:val="0"/>
        <w:spacing w:beforeAutospacing="0" w:afterAutospacing="0" w:line="600" w:lineRule="exact"/>
        <w:ind w:left="0" w:leftChars="0"/>
        <w:jc w:val="center"/>
        <w:textAlignment w:val="auto"/>
        <w:rPr>
          <w:rFonts w:hint="eastAsia" w:ascii="方正小标宋_GBK" w:hAnsi="方正小标宋_GBK" w:eastAsia="方正小标宋_GBK" w:cs="方正小标宋_GBK"/>
          <w:color w:val="000000"/>
          <w:kern w:val="0"/>
          <w:sz w:val="44"/>
          <w:szCs w:val="44"/>
          <w:lang w:bidi="ar"/>
        </w:rPr>
      </w:pPr>
    </w:p>
    <w:p w14:paraId="4FCB68D5">
      <w:pPr>
        <w:keepNext w:val="0"/>
        <w:keepLines w:val="0"/>
        <w:pageBreakBefore w:val="0"/>
        <w:widowControl/>
        <w:kinsoku/>
        <w:overflowPunct/>
        <w:topLinePunct w:val="0"/>
        <w:autoSpaceDE/>
        <w:autoSpaceDN/>
        <w:bidi w:val="0"/>
        <w:spacing w:beforeAutospacing="0" w:afterAutospacing="0" w:line="600" w:lineRule="exact"/>
        <w:ind w:left="0" w:leftChars="0"/>
        <w:jc w:val="center"/>
        <w:textAlignment w:val="auto"/>
        <w:rPr>
          <w:rFonts w:hint="eastAsia" w:ascii="方正小标宋_GBK" w:hAnsi="方正小标宋_GBK" w:eastAsia="方正小标宋_GBK" w:cs="方正小标宋_GBK"/>
          <w:color w:val="000000"/>
          <w:kern w:val="0"/>
          <w:sz w:val="44"/>
          <w:szCs w:val="44"/>
          <w:lang w:bidi="ar"/>
        </w:rPr>
      </w:pPr>
    </w:p>
    <w:p w14:paraId="18DEDFE4">
      <w:pPr>
        <w:pStyle w:val="2"/>
        <w:rPr>
          <w:rFonts w:hint="eastAsia"/>
        </w:rPr>
      </w:pPr>
    </w:p>
    <w:p w14:paraId="627C8E2A">
      <w:pPr>
        <w:keepNext w:val="0"/>
        <w:keepLines w:val="0"/>
        <w:pageBreakBefore w:val="0"/>
        <w:widowControl/>
        <w:kinsoku/>
        <w:overflowPunct/>
        <w:topLinePunct w:val="0"/>
        <w:autoSpaceDE/>
        <w:autoSpaceDN/>
        <w:bidi w:val="0"/>
        <w:spacing w:beforeAutospacing="0" w:afterAutospacing="0" w:line="600" w:lineRule="exact"/>
        <w:ind w:left="0" w:leftChars="0"/>
        <w:jc w:val="center"/>
        <w:textAlignment w:val="auto"/>
        <w:rPr>
          <w:rFonts w:hint="eastAsia" w:ascii="方正小标宋_GBK" w:hAnsi="方正小标宋_GBK" w:eastAsia="方正小标宋_GBK" w:cs="方正小标宋_GBK"/>
          <w:color w:val="000000"/>
          <w:kern w:val="0"/>
          <w:sz w:val="44"/>
          <w:szCs w:val="44"/>
          <w:lang w:bidi="ar"/>
        </w:rPr>
      </w:pPr>
    </w:p>
    <w:p w14:paraId="79CD781C">
      <w:pPr>
        <w:keepNext w:val="0"/>
        <w:keepLines w:val="0"/>
        <w:pageBreakBefore w:val="0"/>
        <w:widowControl/>
        <w:kinsoku/>
        <w:overflowPunct/>
        <w:topLinePunct w:val="0"/>
        <w:autoSpaceDE/>
        <w:autoSpaceDN/>
        <w:bidi w:val="0"/>
        <w:spacing w:beforeAutospacing="0" w:afterAutospacing="0" w:line="600" w:lineRule="exact"/>
        <w:ind w:left="0" w:leftChars="0"/>
        <w:jc w:val="center"/>
        <w:textAlignment w:val="auto"/>
        <w:rPr>
          <w:rFonts w:hint="eastAsia" w:ascii="方正小标宋_GBK" w:hAnsi="方正小标宋_GBK" w:eastAsia="方正小标宋_GBK" w:cs="方正小标宋_GBK"/>
          <w:color w:val="000000"/>
          <w:kern w:val="0"/>
          <w:sz w:val="44"/>
          <w:szCs w:val="44"/>
          <w:lang w:bidi="ar"/>
        </w:rPr>
      </w:pPr>
    </w:p>
    <w:p w14:paraId="26E6B30E">
      <w:pPr>
        <w:keepNext w:val="0"/>
        <w:keepLines w:val="0"/>
        <w:pageBreakBefore w:val="0"/>
        <w:widowControl/>
        <w:kinsoku/>
        <w:overflowPunct/>
        <w:topLinePunct w:val="0"/>
        <w:autoSpaceDE/>
        <w:autoSpaceDN/>
        <w:bidi w:val="0"/>
        <w:spacing w:beforeAutospacing="0" w:afterAutospacing="0" w:line="600" w:lineRule="exact"/>
        <w:ind w:left="0" w:leftChars="0"/>
        <w:jc w:val="center"/>
        <w:textAlignment w:val="auto"/>
        <w:rPr>
          <w:rFonts w:hint="eastAsia" w:ascii="方正小标宋_GBK" w:hAnsi="方正小标宋_GBK" w:eastAsia="方正小标宋_GBK" w:cs="方正小标宋_GBK"/>
          <w:color w:val="000000"/>
          <w:kern w:val="0"/>
          <w:sz w:val="44"/>
          <w:szCs w:val="44"/>
          <w:lang w:bidi="ar"/>
        </w:rPr>
      </w:pPr>
    </w:p>
    <w:p w14:paraId="7ECB1926">
      <w:pPr>
        <w:keepNext w:val="0"/>
        <w:keepLines w:val="0"/>
        <w:pageBreakBefore w:val="0"/>
        <w:widowControl/>
        <w:kinsoku/>
        <w:overflowPunct/>
        <w:topLinePunct w:val="0"/>
        <w:autoSpaceDE/>
        <w:autoSpaceDN/>
        <w:bidi w:val="0"/>
        <w:spacing w:beforeAutospacing="0" w:afterAutospacing="0" w:line="600" w:lineRule="exact"/>
        <w:ind w:left="0" w:leftChars="0"/>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color w:val="000000"/>
          <w:kern w:val="0"/>
          <w:sz w:val="44"/>
          <w:szCs w:val="44"/>
          <w:lang w:bidi="ar"/>
        </w:rPr>
        <w:t>202</w:t>
      </w:r>
      <w:r>
        <w:rPr>
          <w:rFonts w:hint="eastAsia" w:ascii="方正小标宋_GBK" w:hAnsi="方正小标宋_GBK" w:eastAsia="方正小标宋_GBK" w:cs="方正小标宋_GBK"/>
          <w:color w:val="000000"/>
          <w:kern w:val="0"/>
          <w:sz w:val="44"/>
          <w:szCs w:val="44"/>
          <w:lang w:val="en-US" w:eastAsia="zh-CN" w:bidi="ar"/>
        </w:rPr>
        <w:t>4</w:t>
      </w:r>
      <w:r>
        <w:rPr>
          <w:rFonts w:hint="eastAsia" w:ascii="方正小标宋_GBK" w:hAnsi="方正小标宋_GBK" w:eastAsia="方正小标宋_GBK" w:cs="方正小标宋_GBK"/>
          <w:color w:val="000000"/>
          <w:kern w:val="0"/>
          <w:sz w:val="44"/>
          <w:szCs w:val="44"/>
          <w:lang w:bidi="ar"/>
        </w:rPr>
        <w:t xml:space="preserve">年 </w:t>
      </w:r>
      <w:r>
        <w:rPr>
          <w:rFonts w:hint="eastAsia" w:ascii="方正小标宋_GBK" w:hAnsi="方正小标宋_GBK" w:eastAsia="方正小标宋_GBK" w:cs="方正小标宋_GBK"/>
          <w:color w:val="000000"/>
          <w:kern w:val="0"/>
          <w:sz w:val="44"/>
          <w:szCs w:val="44"/>
          <w:lang w:val="en-US" w:eastAsia="zh-CN" w:bidi="ar"/>
        </w:rPr>
        <w:t>12</w:t>
      </w:r>
      <w:r>
        <w:rPr>
          <w:rFonts w:hint="eastAsia" w:ascii="方正小标宋_GBK" w:hAnsi="方正小标宋_GBK" w:eastAsia="方正小标宋_GBK" w:cs="方正小标宋_GBK"/>
          <w:color w:val="000000"/>
          <w:kern w:val="0"/>
          <w:sz w:val="44"/>
          <w:szCs w:val="44"/>
          <w:lang w:bidi="ar"/>
        </w:rPr>
        <w:t xml:space="preserve"> 月</w:t>
      </w:r>
    </w:p>
    <w:p w14:paraId="58964D12"/>
    <w:p w14:paraId="79628E68">
      <w:pPr>
        <w:keepNext w:val="0"/>
        <w:keepLines w:val="0"/>
        <w:pageBreakBefore w:val="0"/>
        <w:widowControl/>
        <w:kinsoku/>
        <w:wordWrap/>
        <w:overflowPunct/>
        <w:topLinePunct w:val="0"/>
        <w:autoSpaceDE/>
        <w:autoSpaceDN/>
        <w:bidi w:val="0"/>
        <w:adjustRightInd/>
        <w:snapToGrid/>
        <w:spacing w:beforeAutospacing="0" w:afterAutospacing="0" w:line="600" w:lineRule="exact"/>
        <w:ind w:left="0" w:leftChars="0"/>
        <w:jc w:val="both"/>
        <w:textAlignment w:val="auto"/>
        <w:rPr>
          <w:rFonts w:hint="eastAsia" w:ascii="黑体" w:hAnsi="黑体" w:eastAsia="黑体" w:cs="黑体"/>
          <w:b w:val="0"/>
          <w:bCs w:val="0"/>
          <w:color w:val="000000"/>
          <w:kern w:val="0"/>
          <w:sz w:val="44"/>
          <w:szCs w:val="44"/>
          <w:lang w:bidi="ar"/>
        </w:rPr>
      </w:pPr>
    </w:p>
    <w:p w14:paraId="28BF9B86">
      <w:pPr>
        <w:keepNext w:val="0"/>
        <w:keepLines w:val="0"/>
        <w:pageBreakBefore w:val="0"/>
        <w:widowControl/>
        <w:kinsoku/>
        <w:wordWrap/>
        <w:overflowPunct/>
        <w:topLinePunct w:val="0"/>
        <w:autoSpaceDE/>
        <w:autoSpaceDN/>
        <w:bidi w:val="0"/>
        <w:adjustRightInd/>
        <w:snapToGrid/>
        <w:spacing w:beforeAutospacing="0" w:afterAutospacing="0" w:line="600" w:lineRule="exact"/>
        <w:ind w:left="0" w:leftChars="0"/>
        <w:jc w:val="both"/>
        <w:textAlignment w:val="auto"/>
        <w:rPr>
          <w:rFonts w:hint="eastAsia" w:ascii="黑体" w:hAnsi="黑体" w:eastAsia="黑体" w:cs="黑体"/>
          <w:b w:val="0"/>
          <w:bCs w:val="0"/>
          <w:color w:val="000000"/>
          <w:kern w:val="0"/>
          <w:sz w:val="44"/>
          <w:szCs w:val="44"/>
          <w:lang w:bidi="ar"/>
        </w:rPr>
      </w:pPr>
    </w:p>
    <w:p w14:paraId="003A38AE">
      <w:pPr>
        <w:keepNext w:val="0"/>
        <w:keepLines w:val="0"/>
        <w:pageBreakBefore w:val="0"/>
        <w:widowControl/>
        <w:kinsoku/>
        <w:wordWrap/>
        <w:overflowPunct/>
        <w:topLinePunct w:val="0"/>
        <w:autoSpaceDE/>
        <w:autoSpaceDN/>
        <w:bidi w:val="0"/>
        <w:adjustRightInd/>
        <w:snapToGrid/>
        <w:spacing w:beforeAutospacing="0" w:afterAutospacing="0" w:line="600" w:lineRule="exact"/>
        <w:ind w:left="0" w:leftChars="0"/>
        <w:jc w:val="center"/>
        <w:textAlignment w:val="auto"/>
        <w:rPr>
          <w:rFonts w:hint="eastAsia" w:ascii="黑体" w:hAnsi="黑体" w:eastAsia="黑体" w:cs="黑体"/>
          <w:b w:val="0"/>
          <w:bCs w:val="0"/>
          <w:color w:val="000000"/>
          <w:kern w:val="0"/>
          <w:sz w:val="44"/>
          <w:szCs w:val="44"/>
          <w:lang w:bidi="ar"/>
        </w:rPr>
      </w:pPr>
      <w:r>
        <w:rPr>
          <w:rFonts w:hint="eastAsia" w:ascii="黑体" w:hAnsi="黑体" w:eastAsia="黑体" w:cs="黑体"/>
          <w:b w:val="0"/>
          <w:bCs w:val="0"/>
          <w:color w:val="000000"/>
          <w:kern w:val="0"/>
          <w:sz w:val="44"/>
          <w:szCs w:val="44"/>
          <w:lang w:bidi="ar"/>
        </w:rPr>
        <w:t>目 次</w:t>
      </w:r>
    </w:p>
    <w:p w14:paraId="19C4FF55">
      <w:pPr>
        <w:pStyle w:val="2"/>
        <w:keepNext w:val="0"/>
        <w:keepLines w:val="0"/>
        <w:pageBreakBefore w:val="0"/>
        <w:kinsoku/>
        <w:wordWrap/>
        <w:overflowPunct/>
        <w:topLinePunct w:val="0"/>
        <w:autoSpaceDE/>
        <w:autoSpaceDN/>
        <w:bidi w:val="0"/>
        <w:adjustRightInd/>
        <w:snapToGrid/>
        <w:spacing w:before="0" w:beforeAutospacing="0" w:after="0" w:afterAutospacing="0" w:line="600" w:lineRule="exact"/>
        <w:textAlignment w:val="auto"/>
      </w:pPr>
    </w:p>
    <w:p w14:paraId="7557E9EA">
      <w:pPr>
        <w:keepNext w:val="0"/>
        <w:keepLines w:val="0"/>
        <w:pageBreakBefore w:val="0"/>
        <w:widowControl/>
        <w:kinsoku/>
        <w:wordWrap/>
        <w:overflowPunct/>
        <w:topLinePunct w:val="0"/>
        <w:autoSpaceDE/>
        <w:autoSpaceDN/>
        <w:bidi w:val="0"/>
        <w:adjustRightInd/>
        <w:snapToGrid/>
        <w:spacing w:beforeAutospacing="0" w:afterAutospacing="0" w:line="600" w:lineRule="exact"/>
        <w:ind w:left="0" w:lef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一、任务来源，起草单位，协作单位，主要起草人</w:t>
      </w:r>
    </w:p>
    <w:p w14:paraId="656F469D">
      <w:pPr>
        <w:keepNext w:val="0"/>
        <w:keepLines w:val="0"/>
        <w:pageBreakBefore w:val="0"/>
        <w:widowControl/>
        <w:kinsoku/>
        <w:wordWrap/>
        <w:overflowPunct/>
        <w:topLinePunct w:val="0"/>
        <w:autoSpaceDE/>
        <w:autoSpaceDN/>
        <w:bidi w:val="0"/>
        <w:adjustRightInd/>
        <w:snapToGrid/>
        <w:spacing w:beforeAutospacing="0" w:afterAutospacing="0" w:line="600" w:lineRule="exact"/>
        <w:ind w:left="0" w:lef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二、制定标准的必要性和意义</w:t>
      </w:r>
    </w:p>
    <w:p w14:paraId="12F970AF">
      <w:pPr>
        <w:keepNext w:val="0"/>
        <w:keepLines w:val="0"/>
        <w:pageBreakBefore w:val="0"/>
        <w:widowControl/>
        <w:kinsoku/>
        <w:wordWrap/>
        <w:overflowPunct/>
        <w:topLinePunct w:val="0"/>
        <w:autoSpaceDE/>
        <w:autoSpaceDN/>
        <w:bidi w:val="0"/>
        <w:adjustRightInd/>
        <w:snapToGrid/>
        <w:spacing w:beforeAutospacing="0" w:afterAutospacing="0" w:line="600" w:lineRule="exact"/>
        <w:ind w:left="0" w:lef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三、主要起草过程</w:t>
      </w:r>
    </w:p>
    <w:p w14:paraId="05EF9196">
      <w:pPr>
        <w:keepNext w:val="0"/>
        <w:keepLines w:val="0"/>
        <w:pageBreakBefore w:val="0"/>
        <w:widowControl/>
        <w:kinsoku/>
        <w:wordWrap/>
        <w:overflowPunct/>
        <w:topLinePunct w:val="0"/>
        <w:autoSpaceDE/>
        <w:autoSpaceDN/>
        <w:bidi w:val="0"/>
        <w:adjustRightInd/>
        <w:snapToGrid/>
        <w:spacing w:beforeAutospacing="0" w:afterAutospacing="0" w:line="600" w:lineRule="exact"/>
        <w:ind w:left="0" w:lef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四、制定标准的原则和依据，与现行法律、法规、标准的关系</w:t>
      </w:r>
    </w:p>
    <w:p w14:paraId="1CBE96FF">
      <w:pPr>
        <w:keepNext w:val="0"/>
        <w:keepLines w:val="0"/>
        <w:pageBreakBefore w:val="0"/>
        <w:widowControl/>
        <w:kinsoku/>
        <w:wordWrap/>
        <w:overflowPunct/>
        <w:topLinePunct w:val="0"/>
        <w:autoSpaceDE/>
        <w:autoSpaceDN/>
        <w:bidi w:val="0"/>
        <w:adjustRightInd/>
        <w:snapToGrid/>
        <w:spacing w:beforeAutospacing="0" w:afterAutospacing="0" w:line="600" w:lineRule="exact"/>
        <w:ind w:left="0" w:lef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五、主要条款的说明，主要技术指标、参数、实验验证的论述</w:t>
      </w:r>
    </w:p>
    <w:p w14:paraId="047E3F60">
      <w:pPr>
        <w:keepNext w:val="0"/>
        <w:keepLines w:val="0"/>
        <w:pageBreakBefore w:val="0"/>
        <w:widowControl/>
        <w:kinsoku/>
        <w:wordWrap/>
        <w:overflowPunct/>
        <w:topLinePunct w:val="0"/>
        <w:autoSpaceDE/>
        <w:autoSpaceDN/>
        <w:bidi w:val="0"/>
        <w:adjustRightInd/>
        <w:snapToGrid/>
        <w:spacing w:beforeAutospacing="0" w:afterAutospacing="0" w:line="600" w:lineRule="exact"/>
        <w:ind w:left="0" w:lef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六、重大意见分歧的处理依据和结果 </w:t>
      </w:r>
    </w:p>
    <w:p w14:paraId="213930EF">
      <w:pPr>
        <w:keepNext w:val="0"/>
        <w:keepLines w:val="0"/>
        <w:pageBreakBefore w:val="0"/>
        <w:widowControl/>
        <w:kinsoku/>
        <w:wordWrap/>
        <w:overflowPunct/>
        <w:topLinePunct w:val="0"/>
        <w:autoSpaceDE/>
        <w:autoSpaceDN/>
        <w:bidi w:val="0"/>
        <w:adjustRightInd/>
        <w:snapToGrid/>
        <w:spacing w:beforeAutospacing="0" w:afterAutospacing="0" w:line="600" w:lineRule="exact"/>
        <w:ind w:left="0" w:lef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七、实施标准的措施建议 </w:t>
      </w:r>
    </w:p>
    <w:p w14:paraId="4B381963">
      <w:pPr>
        <w:keepNext w:val="0"/>
        <w:keepLines w:val="0"/>
        <w:pageBreakBefore w:val="0"/>
        <w:widowControl/>
        <w:kinsoku/>
        <w:wordWrap/>
        <w:overflowPunct/>
        <w:topLinePunct w:val="0"/>
        <w:autoSpaceDE/>
        <w:autoSpaceDN/>
        <w:bidi w:val="0"/>
        <w:adjustRightInd/>
        <w:snapToGrid/>
        <w:spacing w:beforeAutospacing="0" w:afterAutospacing="0" w:line="600" w:lineRule="exact"/>
        <w:ind w:left="0" w:leftChars="0"/>
        <w:jc w:val="left"/>
        <w:textAlignment w:val="auto"/>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八、知识产权说明</w:t>
      </w:r>
    </w:p>
    <w:p w14:paraId="7DECE5D6">
      <w:pPr>
        <w:keepNext w:val="0"/>
        <w:keepLines w:val="0"/>
        <w:pageBreakBefore w:val="0"/>
        <w:widowControl/>
        <w:kinsoku/>
        <w:wordWrap/>
        <w:overflowPunct/>
        <w:topLinePunct w:val="0"/>
        <w:autoSpaceDE/>
        <w:autoSpaceDN/>
        <w:bidi w:val="0"/>
        <w:adjustRightInd/>
        <w:snapToGrid/>
        <w:spacing w:beforeAutospacing="0" w:afterAutospacing="0" w:line="600" w:lineRule="exact"/>
        <w:ind w:left="0" w:lef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九、其他应予说明的事项 </w:t>
      </w:r>
    </w:p>
    <w:p w14:paraId="2EFE2D25">
      <w:pPr>
        <w:keepNext w:val="0"/>
        <w:keepLines w:val="0"/>
        <w:pageBreakBefore w:val="0"/>
        <w:widowControl/>
        <w:kinsoku/>
        <w:wordWrap/>
        <w:overflowPunct/>
        <w:topLinePunct w:val="0"/>
        <w:autoSpaceDE/>
        <w:autoSpaceDN/>
        <w:bidi w:val="0"/>
        <w:adjustRightInd/>
        <w:snapToGrid/>
        <w:spacing w:beforeAutospacing="0" w:afterAutospacing="0" w:line="600" w:lineRule="exact"/>
        <w:ind w:left="0" w:leftChars="0"/>
        <w:jc w:val="left"/>
        <w:textAlignment w:val="auto"/>
        <w:rPr>
          <w:rFonts w:ascii="黑体" w:hAnsi="宋体" w:eastAsia="黑体" w:cs="黑体"/>
          <w:color w:val="000000"/>
          <w:kern w:val="0"/>
          <w:sz w:val="31"/>
          <w:szCs w:val="31"/>
          <w:lang w:bidi="ar"/>
        </w:rPr>
      </w:pPr>
    </w:p>
    <w:p w14:paraId="7A478DF4">
      <w:pPr>
        <w:keepNext w:val="0"/>
        <w:keepLines w:val="0"/>
        <w:pageBreakBefore w:val="0"/>
        <w:widowControl/>
        <w:kinsoku/>
        <w:wordWrap/>
        <w:overflowPunct/>
        <w:topLinePunct w:val="0"/>
        <w:autoSpaceDE/>
        <w:autoSpaceDN/>
        <w:bidi w:val="0"/>
        <w:adjustRightInd/>
        <w:snapToGrid/>
        <w:spacing w:beforeAutospacing="0" w:afterAutospacing="0" w:line="600" w:lineRule="exact"/>
        <w:ind w:left="0" w:leftChars="0"/>
        <w:jc w:val="left"/>
        <w:textAlignment w:val="auto"/>
        <w:rPr>
          <w:rFonts w:ascii="黑体" w:hAnsi="宋体" w:eastAsia="黑体" w:cs="黑体"/>
          <w:color w:val="000000"/>
          <w:kern w:val="0"/>
          <w:sz w:val="31"/>
          <w:szCs w:val="31"/>
          <w:lang w:bidi="ar"/>
        </w:rPr>
      </w:pPr>
    </w:p>
    <w:p w14:paraId="7350F590">
      <w:pPr>
        <w:keepNext w:val="0"/>
        <w:keepLines w:val="0"/>
        <w:pageBreakBefore w:val="0"/>
        <w:widowControl/>
        <w:kinsoku/>
        <w:wordWrap/>
        <w:overflowPunct/>
        <w:topLinePunct w:val="0"/>
        <w:autoSpaceDE/>
        <w:autoSpaceDN/>
        <w:bidi w:val="0"/>
        <w:adjustRightInd/>
        <w:snapToGrid/>
        <w:spacing w:beforeAutospacing="0" w:afterAutospacing="0" w:line="600" w:lineRule="exact"/>
        <w:ind w:left="0" w:leftChars="0"/>
        <w:jc w:val="left"/>
        <w:textAlignment w:val="auto"/>
        <w:rPr>
          <w:rFonts w:ascii="黑体" w:hAnsi="宋体" w:eastAsia="黑体" w:cs="黑体"/>
          <w:color w:val="000000"/>
          <w:kern w:val="0"/>
          <w:sz w:val="31"/>
          <w:szCs w:val="31"/>
          <w:lang w:bidi="ar"/>
        </w:rPr>
      </w:pPr>
    </w:p>
    <w:p w14:paraId="199753EF">
      <w:pPr>
        <w:keepNext w:val="0"/>
        <w:keepLines w:val="0"/>
        <w:pageBreakBefore w:val="0"/>
        <w:widowControl/>
        <w:kinsoku/>
        <w:wordWrap/>
        <w:overflowPunct/>
        <w:topLinePunct w:val="0"/>
        <w:autoSpaceDE/>
        <w:autoSpaceDN/>
        <w:bidi w:val="0"/>
        <w:adjustRightInd/>
        <w:snapToGrid/>
        <w:spacing w:beforeAutospacing="0" w:afterAutospacing="0" w:line="600" w:lineRule="exact"/>
        <w:ind w:left="0" w:leftChars="0"/>
        <w:jc w:val="left"/>
        <w:textAlignment w:val="auto"/>
        <w:rPr>
          <w:rFonts w:ascii="黑体" w:hAnsi="宋体" w:eastAsia="黑体" w:cs="黑体"/>
          <w:color w:val="000000"/>
          <w:kern w:val="0"/>
          <w:sz w:val="31"/>
          <w:szCs w:val="31"/>
          <w:lang w:bidi="ar"/>
        </w:rPr>
      </w:pPr>
    </w:p>
    <w:p w14:paraId="7E9640D3">
      <w:pPr>
        <w:keepNext w:val="0"/>
        <w:keepLines w:val="0"/>
        <w:pageBreakBefore w:val="0"/>
        <w:widowControl/>
        <w:kinsoku/>
        <w:wordWrap/>
        <w:overflowPunct/>
        <w:topLinePunct w:val="0"/>
        <w:autoSpaceDE/>
        <w:autoSpaceDN/>
        <w:bidi w:val="0"/>
        <w:adjustRightInd/>
        <w:snapToGrid/>
        <w:spacing w:beforeAutospacing="0" w:afterAutospacing="0" w:line="600" w:lineRule="exact"/>
        <w:ind w:left="0" w:leftChars="0"/>
        <w:jc w:val="left"/>
        <w:textAlignment w:val="auto"/>
        <w:rPr>
          <w:rFonts w:ascii="黑体" w:hAnsi="宋体" w:eastAsia="黑体" w:cs="黑体"/>
          <w:color w:val="000000"/>
          <w:kern w:val="0"/>
          <w:sz w:val="31"/>
          <w:szCs w:val="31"/>
          <w:lang w:bidi="ar"/>
        </w:rPr>
      </w:pPr>
    </w:p>
    <w:p w14:paraId="01D20958">
      <w:pPr>
        <w:keepNext w:val="0"/>
        <w:keepLines w:val="0"/>
        <w:pageBreakBefore w:val="0"/>
        <w:widowControl/>
        <w:kinsoku/>
        <w:wordWrap/>
        <w:overflowPunct/>
        <w:topLinePunct w:val="0"/>
        <w:autoSpaceDE/>
        <w:autoSpaceDN/>
        <w:bidi w:val="0"/>
        <w:adjustRightInd/>
        <w:snapToGrid/>
        <w:spacing w:beforeAutospacing="0" w:afterAutospacing="0" w:line="600" w:lineRule="exact"/>
        <w:ind w:left="0" w:leftChars="0"/>
        <w:jc w:val="left"/>
        <w:textAlignment w:val="auto"/>
        <w:rPr>
          <w:rFonts w:ascii="黑体" w:hAnsi="宋体" w:eastAsia="黑体" w:cs="黑体"/>
          <w:color w:val="000000"/>
          <w:kern w:val="0"/>
          <w:sz w:val="31"/>
          <w:szCs w:val="31"/>
          <w:lang w:bidi="ar"/>
        </w:rPr>
      </w:pPr>
    </w:p>
    <w:p w14:paraId="119EE436">
      <w:pPr>
        <w:pStyle w:val="2"/>
        <w:rPr>
          <w:rFonts w:ascii="黑体" w:hAnsi="宋体" w:eastAsia="黑体" w:cs="黑体"/>
          <w:color w:val="000000"/>
          <w:kern w:val="0"/>
          <w:sz w:val="31"/>
          <w:szCs w:val="31"/>
          <w:lang w:bidi="ar"/>
        </w:rPr>
      </w:pPr>
    </w:p>
    <w:p w14:paraId="43407A8F"/>
    <w:p w14:paraId="056F132D">
      <w:pPr>
        <w:pStyle w:val="2"/>
        <w:keepNext w:val="0"/>
        <w:keepLines w:val="0"/>
        <w:pageBreakBefore w:val="0"/>
        <w:kinsoku/>
        <w:overflowPunct/>
        <w:topLinePunct w:val="0"/>
        <w:autoSpaceDE/>
        <w:autoSpaceDN/>
        <w:bidi w:val="0"/>
        <w:spacing w:before="0" w:beforeAutospacing="0" w:after="0" w:afterAutospacing="0" w:line="600" w:lineRule="exact"/>
        <w:ind w:left="0" w:leftChars="0"/>
        <w:textAlignment w:val="auto"/>
      </w:pPr>
    </w:p>
    <w:p w14:paraId="07C22C22">
      <w:pPr>
        <w:pStyle w:val="3"/>
        <w:keepNext w:val="0"/>
        <w:keepLines w:val="0"/>
        <w:pageBreakBefore w:val="0"/>
        <w:kinsoku/>
        <w:overflowPunct/>
        <w:topLinePunct w:val="0"/>
        <w:autoSpaceDE/>
        <w:autoSpaceDN/>
        <w:bidi w:val="0"/>
        <w:spacing w:before="0" w:beforeAutospacing="0" w:after="0" w:afterAutospacing="0" w:line="600" w:lineRule="exact"/>
        <w:ind w:left="0" w:leftChars="0"/>
        <w:textAlignment w:val="auto"/>
        <w:rPr>
          <w:rFonts w:hint="eastAsia" w:ascii="方正小标宋_GBK" w:hAnsi="方正小标宋_GBK" w:eastAsia="方正小标宋_GBK" w:cs="方正小标宋_GBK"/>
        </w:rPr>
      </w:pPr>
      <w:r>
        <w:rPr>
          <w:rFonts w:ascii="方正小标宋_GBK" w:hAnsi="方正小标宋_GBK" w:eastAsia="方正小标宋_GBK" w:cs="方正小标宋_GBK"/>
          <w:b w:val="0"/>
          <w:bCs/>
          <w:sz w:val="44"/>
          <w:szCs w:val="44"/>
        </w:rPr>
        <w:t>《</w:t>
      </w:r>
      <w:r>
        <w:rPr>
          <w:rFonts w:hint="eastAsia" w:ascii="方正小标宋_GBK" w:hAnsi="方正小标宋_GBK" w:eastAsia="方正小标宋_GBK" w:cs="方正小标宋_GBK"/>
          <w:b w:val="0"/>
          <w:bCs/>
          <w:sz w:val="44"/>
          <w:szCs w:val="44"/>
          <w:lang w:eastAsia="zh-CN"/>
        </w:rPr>
        <w:t>餐饮服务自行消毒餐(饮)具清洗消毒规范》</w:t>
      </w:r>
      <w:r>
        <w:rPr>
          <w:rFonts w:hint="eastAsia" w:ascii="方正小标宋_GBK" w:hAnsi="方正小标宋_GBK" w:eastAsia="方正小标宋_GBK" w:cs="方正小标宋_GBK"/>
          <w:b w:val="0"/>
          <w:bCs w:val="0"/>
          <w:sz w:val="44"/>
          <w:szCs w:val="44"/>
        </w:rPr>
        <w:t>地方标准编制说明</w:t>
      </w:r>
    </w:p>
    <w:p w14:paraId="3714E34D">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ascii="黑体" w:hAnsi="黑体" w:eastAsia="黑体" w:cs="黑体"/>
          <w:sz w:val="32"/>
          <w:szCs w:val="32"/>
        </w:rPr>
      </w:pPr>
      <w:r>
        <w:rPr>
          <w:rFonts w:hint="eastAsia" w:ascii="黑体" w:hAnsi="黑体" w:eastAsia="黑体" w:cs="黑体"/>
          <w:sz w:val="32"/>
          <w:szCs w:val="32"/>
        </w:rPr>
        <w:t>一、工作简况</w:t>
      </w:r>
    </w:p>
    <w:p w14:paraId="20A938BF">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ascii="楷体" w:hAnsi="楷体" w:eastAsia="楷体" w:cs="楷体"/>
          <w:b w:val="0"/>
          <w:bCs w:val="0"/>
          <w:sz w:val="32"/>
          <w:szCs w:val="32"/>
        </w:rPr>
      </w:pPr>
      <w:r>
        <w:rPr>
          <w:rFonts w:hint="eastAsia" w:ascii="楷体" w:hAnsi="楷体" w:eastAsia="楷体" w:cs="楷体"/>
          <w:b w:val="0"/>
          <w:bCs w:val="0"/>
          <w:sz w:val="32"/>
          <w:szCs w:val="32"/>
        </w:rPr>
        <w:t>（一）任务来源</w:t>
      </w:r>
    </w:p>
    <w:p w14:paraId="13E4B02A">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按照《自治区市场监管厅关于</w:t>
      </w:r>
      <w:r>
        <w:rPr>
          <w:rFonts w:hint="eastAsia" w:ascii="仿宋_GB2312" w:hAnsi="仿宋_GB2312" w:eastAsia="仿宋_GB2312" w:cs="仿宋_GB2312"/>
          <w:sz w:val="32"/>
          <w:szCs w:val="32"/>
          <w:lang w:eastAsia="zh-CN"/>
        </w:rPr>
        <w:t>下达关于“两新”工作地方标准</w:t>
      </w:r>
      <w:r>
        <w:rPr>
          <w:rFonts w:hint="eastAsia" w:ascii="仿宋_GB2312" w:hAnsi="仿宋_GB2312" w:eastAsia="仿宋_GB2312" w:cs="仿宋_GB2312"/>
          <w:sz w:val="32"/>
          <w:szCs w:val="32"/>
        </w:rPr>
        <w:t>（修）订计划的通知》，结合区内集中用餐单位、社会餐饮等各类餐饮服务提供者需求的实际情况，编制《</w:t>
      </w:r>
      <w:r>
        <w:rPr>
          <w:rFonts w:hint="eastAsia" w:ascii="仿宋_GB2312" w:hAnsi="仿宋_GB2312" w:eastAsia="仿宋_GB2312" w:cs="仿宋_GB2312"/>
          <w:sz w:val="32"/>
          <w:szCs w:val="32"/>
          <w:lang w:eastAsia="zh-CN"/>
        </w:rPr>
        <w:t>餐饮服务自行消毒餐(饮)具清洗消毒规范》</w:t>
      </w:r>
      <w:r>
        <w:rPr>
          <w:rFonts w:hint="eastAsia" w:ascii="仿宋_GB2312" w:hAnsi="仿宋_GB2312" w:eastAsia="仿宋_GB2312" w:cs="仿宋_GB2312"/>
          <w:sz w:val="32"/>
          <w:szCs w:val="32"/>
        </w:rPr>
        <w:t>地方标准，标准由</w:t>
      </w:r>
      <w:r>
        <w:rPr>
          <w:rFonts w:hint="eastAsia" w:ascii="仿宋_GB2312" w:hAnsi="仿宋_GB2312" w:eastAsia="仿宋_GB2312" w:cs="仿宋_GB2312"/>
          <w:sz w:val="32"/>
          <w:szCs w:val="32"/>
          <w:lang w:val="en-US" w:eastAsia="zh-CN"/>
        </w:rPr>
        <w:t>市场监管厅</w:t>
      </w:r>
      <w:r>
        <w:rPr>
          <w:rFonts w:hint="eastAsia" w:ascii="仿宋_GB2312" w:hAnsi="仿宋_GB2312" w:eastAsia="仿宋_GB2312" w:cs="仿宋_GB2312"/>
          <w:sz w:val="32"/>
          <w:szCs w:val="32"/>
        </w:rPr>
        <w:t>归口。</w:t>
      </w:r>
    </w:p>
    <w:p w14:paraId="702B9D00">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ascii="楷体" w:hAnsi="楷体" w:eastAsia="楷体" w:cs="楷体"/>
          <w:b w:val="0"/>
          <w:bCs w:val="0"/>
          <w:sz w:val="32"/>
          <w:szCs w:val="32"/>
        </w:rPr>
      </w:pPr>
      <w:r>
        <w:rPr>
          <w:rFonts w:hint="eastAsia" w:ascii="楷体" w:hAnsi="楷体" w:eastAsia="楷体" w:cs="楷体"/>
          <w:b w:val="0"/>
          <w:bCs w:val="0"/>
          <w:sz w:val="32"/>
          <w:szCs w:val="32"/>
        </w:rPr>
        <w:t>（二）起草单位</w:t>
      </w:r>
    </w:p>
    <w:p w14:paraId="5E6241E5">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本标准项目主要承担单位：宁夏计量质量检验检测研究院</w:t>
      </w:r>
    </w:p>
    <w:p w14:paraId="2438E7D6">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协作</w:t>
      </w:r>
      <w:r>
        <w:rPr>
          <w:rFonts w:ascii="仿宋_GB2312" w:hAnsi="仿宋_GB2312" w:eastAsia="仿宋_GB2312" w:cs="仿宋_GB2312"/>
          <w:sz w:val="32"/>
          <w:szCs w:val="32"/>
        </w:rPr>
        <w:t>单位</w:t>
      </w:r>
      <w:r>
        <w:rPr>
          <w:rFonts w:hint="eastAsia" w:ascii="仿宋_GB2312" w:hAnsi="仿宋_GB2312" w:eastAsia="仿宋_GB2312" w:cs="仿宋_GB2312"/>
          <w:sz w:val="32"/>
          <w:szCs w:val="32"/>
        </w:rPr>
        <w:t>为</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宁夏回族</w:t>
      </w:r>
      <w:r>
        <w:rPr>
          <w:rFonts w:ascii="仿宋_GB2312" w:hAnsi="仿宋_GB2312" w:eastAsia="仿宋_GB2312" w:cs="仿宋_GB2312"/>
          <w:sz w:val="32"/>
          <w:szCs w:val="32"/>
        </w:rPr>
        <w:t>自治区</w:t>
      </w:r>
      <w:r>
        <w:rPr>
          <w:rFonts w:hint="eastAsia" w:ascii="仿宋_GB2312" w:hAnsi="仿宋_GB2312" w:eastAsia="仿宋_GB2312" w:cs="仿宋_GB2312"/>
          <w:sz w:val="32"/>
          <w:szCs w:val="32"/>
        </w:rPr>
        <w:t>食品检测研究院</w:t>
      </w:r>
    </w:p>
    <w:p w14:paraId="55C15A8E">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ascii="楷体" w:hAnsi="楷体" w:eastAsia="楷体" w:cs="楷体"/>
          <w:b w:val="0"/>
          <w:bCs w:val="0"/>
          <w:sz w:val="32"/>
          <w:szCs w:val="32"/>
        </w:rPr>
      </w:pPr>
      <w:r>
        <w:rPr>
          <w:rFonts w:hint="eastAsia" w:ascii="楷体" w:hAnsi="楷体" w:eastAsia="楷体" w:cs="楷体"/>
          <w:b w:val="0"/>
          <w:bCs w:val="0"/>
          <w:sz w:val="32"/>
          <w:szCs w:val="32"/>
        </w:rPr>
        <w:t>（三）主要</w:t>
      </w:r>
      <w:r>
        <w:rPr>
          <w:rFonts w:ascii="楷体" w:hAnsi="楷体" w:eastAsia="楷体" w:cs="楷体"/>
          <w:b w:val="0"/>
          <w:bCs w:val="0"/>
          <w:sz w:val="32"/>
          <w:szCs w:val="32"/>
        </w:rPr>
        <w:t>起草人</w:t>
      </w:r>
    </w:p>
    <w:p w14:paraId="69B47CE3">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吕晓东   宁夏计量质量检验检测研究院食品检验检测中心</w:t>
      </w:r>
    </w:p>
    <w:p w14:paraId="0AE44A4F">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张慧琴   宁夏计量质量检验检测研究院食品检验检测中心</w:t>
      </w:r>
    </w:p>
    <w:p w14:paraId="06EDDFA9">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冯  芸   宁夏计量质量检验检测研究院食品检验检测中心</w:t>
      </w:r>
    </w:p>
    <w:p w14:paraId="2C4AE27C">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袁  姗   宁夏计量质量检验检测研究院食品检验检测中心</w:t>
      </w:r>
    </w:p>
    <w:p w14:paraId="0467019E">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冯学夫   宁夏计量质量检验检测研究院食品检验检测中心</w:t>
      </w:r>
    </w:p>
    <w:p w14:paraId="5DE0F6DD">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姜  晨   宁夏计量质量检验检测研究院食品检验检测中心</w:t>
      </w:r>
    </w:p>
    <w:p w14:paraId="75D5847B">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张学玲   宁夏回族自治区食品检测研究院</w:t>
      </w:r>
    </w:p>
    <w:p w14:paraId="229EED3B">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李  谦   宁夏回族自治区食品检测研究院</w:t>
      </w:r>
    </w:p>
    <w:p w14:paraId="22BDAC62">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马雪梅   宁夏回族自治区食品检测研究院</w:t>
      </w:r>
    </w:p>
    <w:p w14:paraId="59815428">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ascii="黑体" w:hAnsi="黑体" w:eastAsia="黑体" w:cs="黑体"/>
          <w:sz w:val="32"/>
          <w:szCs w:val="32"/>
        </w:rPr>
      </w:pPr>
      <w:r>
        <w:rPr>
          <w:rFonts w:hint="eastAsia" w:ascii="黑体" w:hAnsi="黑体" w:eastAsia="黑体" w:cs="黑体"/>
          <w:sz w:val="32"/>
          <w:szCs w:val="32"/>
        </w:rPr>
        <w:t>二</w:t>
      </w:r>
      <w:r>
        <w:rPr>
          <w:rFonts w:ascii="黑体" w:hAnsi="黑体" w:eastAsia="黑体" w:cs="黑体"/>
          <w:sz w:val="32"/>
          <w:szCs w:val="32"/>
        </w:rPr>
        <w:t>、制定标准的必要性和意义</w:t>
      </w:r>
    </w:p>
    <w:p w14:paraId="687B9DF3">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（一）必要性</w:t>
      </w:r>
    </w:p>
    <w:p w14:paraId="1A476CE7">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“民以食为天,食以安为先”。餐饮食品安全关乎重大民生问题和老百姓的幸福感、获得感和安全感。2015年新修订的《</w:t>
      </w:r>
      <w:r>
        <w:rPr>
          <w:rFonts w:hint="eastAsia" w:ascii="仿宋_GB2312" w:hAnsi="仿宋_GB2312" w:eastAsia="仿宋_GB2312" w:cs="仿宋_GB2312"/>
          <w:sz w:val="32"/>
          <w:szCs w:val="32"/>
          <w:lang w:eastAsia="zh-CN"/>
        </w:rPr>
        <w:t>中华人民共和国</w:t>
      </w:r>
      <w:r>
        <w:rPr>
          <w:rFonts w:hint="eastAsia" w:ascii="仿宋_GB2312" w:hAnsi="仿宋_GB2312" w:eastAsia="仿宋_GB2312" w:cs="仿宋_GB2312"/>
          <w:sz w:val="32"/>
          <w:szCs w:val="32"/>
        </w:rPr>
        <w:t>食品安全法》颁布后，</w:t>
      </w:r>
      <w:r>
        <w:rPr>
          <w:rFonts w:hint="eastAsia" w:ascii="仿宋_GB2312" w:hAnsi="仿宋_GB2312" w:eastAsia="仿宋_GB2312" w:cs="仿宋_GB2312"/>
          <w:sz w:val="32"/>
          <w:szCs w:val="32"/>
          <w:lang w:eastAsia="zh-CN"/>
        </w:rPr>
        <w:t>国家市场监督管理总局</w:t>
      </w:r>
      <w:r>
        <w:rPr>
          <w:rFonts w:hint="eastAsia" w:ascii="仿宋_GB2312" w:hAnsi="仿宋_GB2312" w:eastAsia="仿宋_GB2312" w:cs="仿宋_GB2312"/>
          <w:sz w:val="32"/>
          <w:szCs w:val="32"/>
        </w:rPr>
        <w:t>于2018年修订了《餐饮服务食品安全操作规范》，对规范餐饮服务提供者的经营行为提出了新的指导要求。2019年中共中央办公厅、国务院办公厅印发了《地方党政领导干部食品安全责任制规定》，要求强化食品安全属地管理责任，健全食品安全工作责任制，保障人民群众“舌尖上的安全”。</w:t>
      </w:r>
    </w:p>
    <w:p w14:paraId="3522D104">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近年来，随着人们的生活水平不断提高，餐饮消费成为人们生活的重要组成部分，餐(饮)具作为食品的“隐形添加剂”，是食品的“贴心衣服”，其卫生质量安全直接关系到广大消费者的饮食安全。在各级政府的不断宣传和引导下，民众对食品安全问题越来越重视，对使用的消毒餐饮具的品质要求也越来越高。虽然市场监管部门对消毒餐(饮)具的抽检与监管力度在不断加大，但由于餐饮经营单位场所环境、设备设施、人员管理以及制度落实等各方面条件的制约，消毒餐(饮)具的抽检结果仍未达到比较满意的水平，其主要是由于阴离子合成洗涤剂检出率较高导致消费者不能放心使用消毒餐（饮）具。</w:t>
      </w:r>
    </w:p>
    <w:p w14:paraId="0E6D89BA">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制定《餐饮服务自行消毒餐(饮)具清洗消毒规范》地方标准，以保护消费者健康为前提，以促进餐(饮)具消毒行业健康发展为目的，遵循“先进性、实用性、统一性、规范性”的原则，确保餐(饮)具符合国家卫生标准，减少因餐(饮)具不洁导致的食品安全问题。</w:t>
      </w:r>
    </w:p>
    <w:p w14:paraId="1AA7AE51">
      <w:pPr>
        <w:keepNext w:val="0"/>
        <w:keepLines w:val="0"/>
        <w:pageBreakBefore w:val="0"/>
        <w:numPr>
          <w:ilvl w:val="0"/>
          <w:numId w:val="0"/>
        </w:numPr>
        <w:kinsoku/>
        <w:overflowPunct/>
        <w:topLinePunct w:val="0"/>
        <w:autoSpaceDE/>
        <w:autoSpaceDN/>
        <w:bidi w:val="0"/>
        <w:spacing w:beforeAutospacing="0" w:afterAutospacing="0" w:line="60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t>（二）</w:t>
      </w:r>
      <w:r>
        <w:rPr>
          <w:rFonts w:hint="eastAsia" w:ascii="仿宋_GB2312" w:hAnsi="仿宋_GB2312" w:eastAsia="仿宋_GB2312" w:cs="仿宋_GB2312"/>
          <w:sz w:val="32"/>
          <w:szCs w:val="32"/>
        </w:rPr>
        <w:t>意义</w:t>
      </w:r>
    </w:p>
    <w:p w14:paraId="3662FB3F">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预防传染病：不洁净的餐(饮)具可能携带各种病原微生物，通过口腔进入人体，极易导致传染病的发生和流行。通过制订《餐饮服务自行消毒餐(饮)具清洗消毒规范》，规范自消毒餐(饮)具的清洗消毒流程，可以有效杀灭大肠菌群等有害微生物，保障公众健康。</w:t>
      </w:r>
    </w:p>
    <w:p w14:paraId="208A8A51">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2、提升公共卫生安全：定期对餐饮服务行业自行消毒餐(饮)具进行抽检，确保其清洗消毒过程符合卫生标准，提升公共卫生安全水平。</w:t>
      </w:r>
    </w:p>
    <w:p w14:paraId="4BA6A5DB">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3、规范行业行为：通过制定和执行严格的清洗消毒标准，规范餐(饮)具服务提供者的操作行为，确保其按照规定对餐(饮)具进行清洗、消毒和保洁，避免违法违规行为的发生。</w:t>
      </w:r>
    </w:p>
    <w:p w14:paraId="1031ED8D">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ascii="黑体" w:hAnsi="黑体" w:eastAsia="黑体" w:cs="黑体"/>
          <w:sz w:val="32"/>
          <w:szCs w:val="32"/>
        </w:rPr>
      </w:pPr>
      <w:r>
        <w:rPr>
          <w:rFonts w:hint="eastAsia" w:ascii="黑体" w:hAnsi="黑体" w:eastAsia="黑体" w:cs="黑体"/>
          <w:sz w:val="32"/>
          <w:szCs w:val="32"/>
        </w:rPr>
        <w:t>三</w:t>
      </w:r>
      <w:r>
        <w:rPr>
          <w:rFonts w:ascii="黑体" w:hAnsi="黑体" w:eastAsia="黑体" w:cs="黑体"/>
          <w:sz w:val="32"/>
          <w:szCs w:val="32"/>
        </w:rPr>
        <w:t>、</w:t>
      </w:r>
      <w:r>
        <w:rPr>
          <w:rFonts w:hint="eastAsia" w:ascii="黑体" w:hAnsi="黑体" w:eastAsia="黑体" w:cs="黑体"/>
          <w:sz w:val="32"/>
          <w:szCs w:val="32"/>
        </w:rPr>
        <w:t>主要起草过程</w:t>
      </w:r>
    </w:p>
    <w:p w14:paraId="537CC817">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hint="eastAsia" w:ascii="楷体" w:hAnsi="楷体" w:eastAsia="楷体" w:cs="楷体"/>
          <w:b w:val="0"/>
          <w:bCs w:val="0"/>
          <w:sz w:val="32"/>
          <w:szCs w:val="32"/>
        </w:rPr>
      </w:pPr>
      <w:r>
        <w:rPr>
          <w:rFonts w:hint="eastAsia" w:ascii="楷体" w:hAnsi="楷体" w:eastAsia="楷体" w:cs="楷体"/>
          <w:b w:val="0"/>
          <w:bCs w:val="0"/>
          <w:sz w:val="32"/>
          <w:szCs w:val="32"/>
        </w:rPr>
        <w:t>（一）成立起草组、确定分工</w:t>
      </w:r>
    </w:p>
    <w:p w14:paraId="3710A029">
      <w:pPr>
        <w:keepNext w:val="0"/>
        <w:keepLines w:val="0"/>
        <w:pageBreakBefore w:val="0"/>
        <w:kinsoku/>
        <w:overflowPunct/>
        <w:topLinePunct w:val="0"/>
        <w:autoSpaceDE/>
        <w:autoSpaceDN/>
        <w:bidi w:val="0"/>
        <w:spacing w:beforeAutospacing="0" w:afterAutospacing="0"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宁夏市场监督管理厅下达制定《餐饮服务自行消毒餐(饮)具清洗消毒规范》的任务，由宁夏计量质量检验检测研究院食品检验检测中心牵头组织相关人员成立标准起草小组，制定工作计划和任务分工。</w:t>
      </w:r>
    </w:p>
    <w:p w14:paraId="06081E20">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hint="eastAsia" w:ascii="楷体" w:hAnsi="楷体" w:eastAsia="楷体" w:cs="楷体"/>
          <w:b w:val="0"/>
          <w:bCs w:val="0"/>
          <w:sz w:val="32"/>
          <w:szCs w:val="32"/>
        </w:rPr>
      </w:pPr>
      <w:r>
        <w:rPr>
          <w:rFonts w:hint="eastAsia" w:ascii="楷体" w:hAnsi="楷体" w:eastAsia="楷体" w:cs="楷体"/>
          <w:b w:val="0"/>
          <w:bCs w:val="0"/>
          <w:sz w:val="32"/>
          <w:szCs w:val="32"/>
        </w:rPr>
        <w:t>（二）收集资料</w:t>
      </w:r>
    </w:p>
    <w:p w14:paraId="38E53CB9">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收集相关法律法规、政策文件、标准等相关资料。</w:t>
      </w:r>
    </w:p>
    <w:p w14:paraId="136DA27C">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hint="eastAsia" w:ascii="楷体" w:hAnsi="楷体" w:eastAsia="楷体" w:cs="楷体"/>
          <w:b w:val="0"/>
          <w:bCs w:val="0"/>
          <w:sz w:val="32"/>
          <w:szCs w:val="32"/>
        </w:rPr>
      </w:pPr>
      <w:r>
        <w:rPr>
          <w:rFonts w:hint="eastAsia" w:ascii="楷体" w:hAnsi="楷体" w:eastAsia="楷体" w:cs="楷体"/>
          <w:b w:val="0"/>
          <w:bCs w:val="0"/>
          <w:sz w:val="32"/>
          <w:szCs w:val="32"/>
        </w:rPr>
        <w:t>（三）编制标准草案</w:t>
      </w:r>
    </w:p>
    <w:p w14:paraId="172D1423">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月，标准起草组对所收集的资料进行梳理、分析,形成工作组讨论稿。</w:t>
      </w:r>
    </w:p>
    <w:p w14:paraId="7AA4623D">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月，召开标准讨论会，对拟制定的标准所涉及的内容、范围、适用性等内容进行研讨，通过研讨对</w:t>
      </w:r>
      <w:r>
        <w:rPr>
          <w:rFonts w:ascii="仿宋_GB2312" w:hAnsi="仿宋_GB2312" w:eastAsia="仿宋_GB2312" w:cs="仿宋_GB2312"/>
          <w:sz w:val="32"/>
          <w:szCs w:val="32"/>
        </w:rPr>
        <w:t>标准</w:t>
      </w:r>
      <w:r>
        <w:rPr>
          <w:rFonts w:hint="eastAsia" w:ascii="仿宋_GB2312" w:hAnsi="仿宋_GB2312" w:eastAsia="仿宋_GB2312" w:cs="仿宋_GB2312"/>
          <w:sz w:val="32"/>
          <w:szCs w:val="32"/>
        </w:rPr>
        <w:t>进行</w:t>
      </w:r>
      <w:r>
        <w:rPr>
          <w:rFonts w:ascii="仿宋_GB2312" w:hAnsi="仿宋_GB2312" w:eastAsia="仿宋_GB2312" w:cs="仿宋_GB2312"/>
          <w:sz w:val="32"/>
          <w:szCs w:val="32"/>
        </w:rPr>
        <w:t>进一步修改并达成共识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形成《餐饮服务自行消毒餐(饮)具清洗消毒规范》（征求意见稿）</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完成编制说明的编写。</w:t>
      </w:r>
    </w:p>
    <w:p w14:paraId="327CC444">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hint="eastAsia" w:ascii="仿宋_GB2312" w:hAnsi="仿宋_GB2312" w:eastAsia="仿宋_GB2312" w:cs="仿宋_GB2312"/>
          <w:b/>
          <w:bCs/>
          <w:sz w:val="32"/>
          <w:szCs w:val="32"/>
          <w:lang w:eastAsia="zh-CN"/>
        </w:rPr>
      </w:pPr>
      <w:r>
        <w:rPr>
          <w:rFonts w:hint="eastAsia" w:ascii="楷体" w:hAnsi="楷体" w:eastAsia="楷体" w:cs="楷体"/>
          <w:b w:val="0"/>
          <w:bCs w:val="0"/>
          <w:sz w:val="32"/>
          <w:szCs w:val="32"/>
        </w:rPr>
        <w:t>（</w:t>
      </w:r>
      <w:r>
        <w:rPr>
          <w:rFonts w:hint="eastAsia" w:ascii="楷体" w:hAnsi="楷体" w:eastAsia="楷体" w:cs="楷体"/>
          <w:b w:val="0"/>
          <w:bCs w:val="0"/>
          <w:sz w:val="32"/>
          <w:szCs w:val="32"/>
          <w:lang w:eastAsia="zh-CN"/>
        </w:rPr>
        <w:t>四</w:t>
      </w:r>
      <w:r>
        <w:rPr>
          <w:rFonts w:hint="eastAsia" w:ascii="楷体" w:hAnsi="楷体" w:eastAsia="楷体" w:cs="楷体"/>
          <w:b w:val="0"/>
          <w:bCs w:val="0"/>
          <w:sz w:val="32"/>
          <w:szCs w:val="32"/>
        </w:rPr>
        <w:t>）报批审核</w:t>
      </w:r>
    </w:p>
    <w:p w14:paraId="1C452003">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ascii="黑体" w:hAnsi="黑体" w:eastAsia="黑体" w:cs="黑体"/>
          <w:sz w:val="32"/>
          <w:szCs w:val="32"/>
        </w:rPr>
      </w:pPr>
      <w:r>
        <w:rPr>
          <w:rFonts w:hint="eastAsia" w:ascii="黑体" w:hAnsi="黑体" w:eastAsia="黑体" w:cs="黑体"/>
          <w:sz w:val="32"/>
          <w:szCs w:val="32"/>
        </w:rPr>
        <w:t>四、编制原则和依据，与</w:t>
      </w:r>
      <w:r>
        <w:rPr>
          <w:rFonts w:ascii="黑体" w:hAnsi="黑体" w:eastAsia="黑体" w:cs="黑体"/>
          <w:sz w:val="32"/>
          <w:szCs w:val="32"/>
        </w:rPr>
        <w:t>现行法律</w:t>
      </w:r>
      <w:r>
        <w:rPr>
          <w:rFonts w:hint="eastAsia" w:ascii="黑体" w:hAnsi="黑体" w:eastAsia="黑体" w:cs="黑体"/>
          <w:sz w:val="32"/>
          <w:szCs w:val="32"/>
        </w:rPr>
        <w:t>、</w:t>
      </w:r>
      <w:r>
        <w:rPr>
          <w:rFonts w:ascii="黑体" w:hAnsi="黑体" w:eastAsia="黑体" w:cs="黑体"/>
          <w:sz w:val="32"/>
          <w:szCs w:val="32"/>
        </w:rPr>
        <w:t>法规</w:t>
      </w:r>
      <w:r>
        <w:rPr>
          <w:rFonts w:hint="eastAsia" w:ascii="黑体" w:hAnsi="黑体" w:eastAsia="黑体" w:cs="黑体"/>
          <w:sz w:val="32"/>
          <w:szCs w:val="32"/>
        </w:rPr>
        <w:t>、</w:t>
      </w:r>
      <w:r>
        <w:rPr>
          <w:rFonts w:ascii="黑体" w:hAnsi="黑体" w:eastAsia="黑体" w:cs="黑体"/>
          <w:sz w:val="32"/>
          <w:szCs w:val="32"/>
        </w:rPr>
        <w:t>标准的</w:t>
      </w:r>
      <w:r>
        <w:rPr>
          <w:rFonts w:hint="eastAsia" w:ascii="黑体" w:hAnsi="黑体" w:eastAsia="黑体" w:cs="黑体"/>
          <w:sz w:val="32"/>
          <w:szCs w:val="32"/>
        </w:rPr>
        <w:t>关系</w:t>
      </w:r>
    </w:p>
    <w:p w14:paraId="28C77269">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hint="eastAsia" w:ascii="楷体" w:hAnsi="楷体" w:eastAsia="楷体" w:cs="楷体"/>
          <w:b w:val="0"/>
          <w:bCs w:val="0"/>
          <w:sz w:val="32"/>
          <w:szCs w:val="32"/>
        </w:rPr>
      </w:pPr>
      <w:r>
        <w:rPr>
          <w:rFonts w:hint="eastAsia" w:ascii="楷体" w:hAnsi="楷体" w:eastAsia="楷体" w:cs="楷体"/>
          <w:b w:val="0"/>
          <w:bCs w:val="0"/>
          <w:sz w:val="32"/>
          <w:szCs w:val="32"/>
        </w:rPr>
        <w:t>（一）编制原则</w:t>
      </w:r>
    </w:p>
    <w:p w14:paraId="4B610EF9">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1.合规性原则</w:t>
      </w:r>
    </w:p>
    <w:p w14:paraId="237E97B9">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rPr>
        <w:t xml:space="preserve"> 本标准</w:t>
      </w:r>
      <w:r>
        <w:rPr>
          <w:rFonts w:hint="eastAsia" w:ascii="仿宋_GB2312" w:hAnsi="仿宋_GB2312" w:eastAsia="仿宋_GB2312" w:cs="仿宋_GB2312"/>
          <w:b w:val="0"/>
          <w:bCs w:val="0"/>
          <w:sz w:val="32"/>
          <w:szCs w:val="32"/>
          <w:lang w:eastAsia="zh-CN"/>
        </w:rPr>
        <w:t>符合</w:t>
      </w:r>
      <w:r>
        <w:rPr>
          <w:rFonts w:hint="eastAsia" w:ascii="仿宋_GB2312" w:hAnsi="仿宋_GB2312" w:eastAsia="仿宋_GB2312" w:cs="仿宋_GB2312"/>
          <w:b w:val="0"/>
          <w:bCs w:val="0"/>
          <w:sz w:val="32"/>
          <w:szCs w:val="32"/>
        </w:rPr>
        <w:t>《中华人民共和国食品安全法》、宁夏回族自治区市场监督管理厅《餐饮服务食品安全操作规范》（2018版）、《食品安全国家标准 餐饮服务通用卫生规范》GB 31654-2021、《手洗餐具用洗涤剂》GB/T 9985-2022、《食品安全国家标准 消毒餐（饮）具》GB 14934-2016、《消毒剂》GB 14930.2-2012、《洗涤剂》GB14930.1-2022</w:t>
      </w:r>
      <w:r>
        <w:rPr>
          <w:rFonts w:hint="eastAsia" w:ascii="仿宋_GB2312" w:hAnsi="仿宋_GB2312" w:eastAsia="仿宋_GB2312" w:cs="仿宋_GB2312"/>
          <w:b w:val="0"/>
          <w:bCs w:val="0"/>
          <w:sz w:val="32"/>
          <w:szCs w:val="32"/>
          <w:lang w:eastAsia="zh-CN"/>
        </w:rPr>
        <w:t>等国家</w:t>
      </w:r>
      <w:r>
        <w:rPr>
          <w:rFonts w:hint="eastAsia" w:ascii="仿宋_GB2312" w:hAnsi="仿宋_GB2312" w:eastAsia="仿宋_GB2312" w:cs="仿宋_GB2312"/>
          <w:b w:val="0"/>
          <w:bCs w:val="0"/>
          <w:sz w:val="32"/>
          <w:szCs w:val="32"/>
        </w:rPr>
        <w:t>法律法规</w:t>
      </w:r>
      <w:r>
        <w:rPr>
          <w:rFonts w:hint="eastAsia" w:ascii="仿宋_GB2312" w:hAnsi="仿宋_GB2312" w:eastAsia="仿宋_GB2312" w:cs="仿宋_GB2312"/>
          <w:b w:val="0"/>
          <w:bCs w:val="0"/>
          <w:sz w:val="32"/>
          <w:szCs w:val="32"/>
          <w:lang w:eastAsia="zh-CN"/>
        </w:rPr>
        <w:t>和相关标准规定，</w:t>
      </w:r>
      <w:r>
        <w:rPr>
          <w:rFonts w:hint="eastAsia" w:ascii="仿宋_GB2312" w:hAnsi="仿宋_GB2312" w:eastAsia="仿宋_GB2312" w:cs="仿宋_GB2312"/>
          <w:b w:val="0"/>
          <w:bCs w:val="0"/>
          <w:sz w:val="32"/>
          <w:szCs w:val="32"/>
        </w:rPr>
        <w:t>‌科学合理</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‌公开透明</w:t>
      </w:r>
      <w:r>
        <w:rPr>
          <w:rFonts w:hint="eastAsia" w:ascii="仿宋_GB2312" w:hAnsi="仿宋_GB2312" w:eastAsia="仿宋_GB2312" w:cs="仿宋_GB2312"/>
          <w:b w:val="0"/>
          <w:bCs w:val="0"/>
          <w:sz w:val="32"/>
          <w:szCs w:val="32"/>
          <w:lang w:eastAsia="zh-CN"/>
        </w:rPr>
        <w:t>，具有</w:t>
      </w:r>
      <w:r>
        <w:rPr>
          <w:rFonts w:hint="eastAsia" w:ascii="仿宋_GB2312" w:hAnsi="仿宋_GB2312" w:eastAsia="仿宋_GB2312" w:cs="仿宋_GB2312"/>
          <w:b w:val="0"/>
          <w:bCs w:val="0"/>
          <w:sz w:val="32"/>
          <w:szCs w:val="32"/>
        </w:rPr>
        <w:t>公正性和可行性</w:t>
      </w:r>
      <w:r>
        <w:rPr>
          <w:rFonts w:hint="eastAsia" w:ascii="仿宋_GB2312" w:hAnsi="仿宋_GB2312" w:eastAsia="仿宋_GB2312" w:cs="仿宋_GB2312"/>
          <w:b w:val="0"/>
          <w:bCs w:val="0"/>
          <w:sz w:val="32"/>
          <w:szCs w:val="32"/>
          <w:lang w:eastAsia="zh-CN"/>
        </w:rPr>
        <w:t>。</w:t>
      </w:r>
    </w:p>
    <w:p w14:paraId="7065D3D3">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2.适用性原则</w:t>
      </w:r>
    </w:p>
    <w:p w14:paraId="1FC97BEC">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lang w:eastAsia="zh-CN"/>
        </w:rPr>
        <w:t>本标准适用于本地区对餐饮具进行自消毒的餐饮服务单位，</w:t>
      </w:r>
      <w:r>
        <w:rPr>
          <w:rFonts w:hint="eastAsia" w:ascii="仿宋_GB2312" w:hAnsi="仿宋_GB2312" w:eastAsia="仿宋_GB2312" w:cs="仿宋_GB2312"/>
          <w:b w:val="0"/>
          <w:bCs w:val="0"/>
          <w:sz w:val="32"/>
          <w:szCs w:val="32"/>
        </w:rPr>
        <w:t>范围明确、层次清楚、内容先进可靠，文字表述准确、通俗易懂，有利于餐饮行业管理，具有</w:t>
      </w:r>
      <w:r>
        <w:rPr>
          <w:rFonts w:hint="eastAsia" w:ascii="仿宋_GB2312" w:hAnsi="仿宋_GB2312" w:eastAsia="仿宋_GB2312" w:cs="仿宋_GB2312"/>
          <w:b w:val="0"/>
          <w:bCs w:val="0"/>
          <w:sz w:val="32"/>
          <w:szCs w:val="32"/>
          <w:lang w:eastAsia="zh-CN"/>
        </w:rPr>
        <w:t>较强的适用</w:t>
      </w:r>
      <w:r>
        <w:rPr>
          <w:rFonts w:hint="eastAsia" w:ascii="仿宋_GB2312" w:hAnsi="仿宋_GB2312" w:eastAsia="仿宋_GB2312" w:cs="仿宋_GB2312"/>
          <w:b w:val="0"/>
          <w:bCs w:val="0"/>
          <w:sz w:val="32"/>
          <w:szCs w:val="32"/>
        </w:rPr>
        <w:t>性</w:t>
      </w:r>
      <w:r>
        <w:rPr>
          <w:rFonts w:hint="eastAsia" w:ascii="仿宋_GB2312" w:hAnsi="仿宋_GB2312" w:eastAsia="仿宋_GB2312" w:cs="仿宋_GB2312"/>
          <w:b w:val="0"/>
          <w:bCs w:val="0"/>
          <w:sz w:val="32"/>
          <w:szCs w:val="32"/>
          <w:lang w:eastAsia="zh-CN"/>
        </w:rPr>
        <w:t>。</w:t>
      </w:r>
    </w:p>
    <w:p w14:paraId="3F0C1E7F">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3.规范性原则</w:t>
      </w:r>
    </w:p>
    <w:p w14:paraId="74A7C958">
      <w:pPr>
        <w:keepNext w:val="0"/>
        <w:keepLines w:val="0"/>
        <w:pageBreakBefore w:val="0"/>
        <w:kinsoku/>
        <w:overflowPunct/>
        <w:topLinePunct w:val="0"/>
        <w:autoSpaceDE/>
        <w:autoSpaceDN/>
        <w:bidi w:val="0"/>
        <w:spacing w:beforeAutospacing="0" w:afterAutospacing="0" w:line="600" w:lineRule="exact"/>
        <w:ind w:left="0" w:leftChars="0"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按照GB/T1.1-2020《标准化工作导则 第1部分：标准化文件的结构和起草规则》的要求进行编写</w:t>
      </w:r>
      <w:r>
        <w:rPr>
          <w:rFonts w:hint="eastAsia" w:ascii="仿宋_GB2312" w:hAnsi="仿宋_GB2312" w:eastAsia="仿宋_GB2312" w:cs="仿宋_GB2312"/>
          <w:sz w:val="32"/>
          <w:szCs w:val="32"/>
          <w:lang w:eastAsia="zh-CN"/>
        </w:rPr>
        <w:t>。</w:t>
      </w:r>
    </w:p>
    <w:p w14:paraId="731D5E27">
      <w:pPr>
        <w:keepNext w:val="0"/>
        <w:keepLines w:val="0"/>
        <w:pageBreakBefore w:val="0"/>
        <w:numPr>
          <w:ilvl w:val="0"/>
          <w:numId w:val="0"/>
        </w:numPr>
        <w:kinsoku/>
        <w:overflowPunct/>
        <w:topLinePunct w:val="0"/>
        <w:autoSpaceDE/>
        <w:autoSpaceDN/>
        <w:bidi w:val="0"/>
        <w:spacing w:beforeAutospacing="0" w:afterAutospacing="0" w:line="600" w:lineRule="exact"/>
        <w:ind w:left="0" w:leftChars="0" w:firstLine="640" w:firstLineChars="200"/>
        <w:textAlignment w:val="auto"/>
        <w:rPr>
          <w:rFonts w:hint="eastAsia" w:ascii="楷体" w:hAnsi="楷体" w:eastAsia="楷体" w:cs="楷体"/>
          <w:b w:val="0"/>
          <w:bCs w:val="0"/>
          <w:sz w:val="32"/>
          <w:szCs w:val="32"/>
        </w:rPr>
      </w:pPr>
      <w:r>
        <w:rPr>
          <w:rFonts w:hint="eastAsia" w:ascii="楷体" w:hAnsi="楷体" w:eastAsia="楷体" w:cs="楷体"/>
          <w:b w:val="0"/>
          <w:bCs w:val="0"/>
          <w:kern w:val="2"/>
          <w:sz w:val="32"/>
          <w:szCs w:val="32"/>
          <w:lang w:val="en-US" w:eastAsia="zh-CN" w:bidi="ar-SA"/>
        </w:rPr>
        <w:t>（二）</w:t>
      </w:r>
      <w:r>
        <w:rPr>
          <w:rFonts w:hint="eastAsia" w:ascii="楷体" w:hAnsi="楷体" w:eastAsia="楷体" w:cs="楷体"/>
          <w:b w:val="0"/>
          <w:bCs w:val="0"/>
          <w:sz w:val="32"/>
          <w:szCs w:val="32"/>
        </w:rPr>
        <w:t>编制依据</w:t>
      </w:r>
    </w:p>
    <w:p w14:paraId="78D0B5D9">
      <w:pPr>
        <w:keepNext w:val="0"/>
        <w:keepLines w:val="0"/>
        <w:pageBreakBefore w:val="0"/>
        <w:numPr>
          <w:ilvl w:val="0"/>
          <w:numId w:val="0"/>
        </w:numPr>
        <w:kinsoku/>
        <w:overflowPunct/>
        <w:topLinePunct w:val="0"/>
        <w:autoSpaceDE/>
        <w:autoSpaceDN/>
        <w:bidi w:val="0"/>
        <w:spacing w:beforeAutospacing="0" w:afterAutospacing="0" w:line="600" w:lineRule="exact"/>
        <w:ind w:firstLine="640" w:firstLineChars="200"/>
        <w:textAlignment w:val="auto"/>
        <w:rPr>
          <w:rFonts w:hint="eastAsia" w:ascii="楷体" w:hAnsi="楷体" w:eastAsia="仿宋_GB2312" w:cs="楷体"/>
          <w:b w:val="0"/>
          <w:bCs w:val="0"/>
          <w:sz w:val="32"/>
          <w:szCs w:val="32"/>
          <w:lang w:eastAsia="zh-CN"/>
        </w:rPr>
      </w:pPr>
      <w:r>
        <w:rPr>
          <w:rFonts w:hint="eastAsia" w:ascii="仿宋_GB2312" w:hAnsi="仿宋_GB2312" w:eastAsia="仿宋_GB2312" w:cs="仿宋_GB2312"/>
          <w:b w:val="0"/>
          <w:bCs w:val="0"/>
          <w:sz w:val="32"/>
          <w:szCs w:val="32"/>
          <w:lang w:eastAsia="zh-CN"/>
        </w:rPr>
        <w:t>根据</w:t>
      </w:r>
      <w:r>
        <w:rPr>
          <w:rFonts w:hint="eastAsia" w:ascii="仿宋_GB2312" w:hAnsi="仿宋_GB2312" w:eastAsia="仿宋_GB2312" w:cs="仿宋_GB2312"/>
          <w:b w:val="0"/>
          <w:bCs w:val="0"/>
          <w:sz w:val="32"/>
          <w:szCs w:val="32"/>
        </w:rPr>
        <w:t>《中华人民共和国食品安全法》、宁夏回族自治区市场监督管理厅《餐饮服务食品安全操作规范》（2018版）、GB 31654-2021《食品安全国家标准 餐饮服务通用卫生规范》、GB/T 9985-2022《手洗餐具用洗涤剂》、GB 14934-2016《食品安全国家标准 消毒餐（饮）具》、GB 14930.2-2012《消毒剂》、GB</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14930.1-2022《洗涤剂》</w:t>
      </w:r>
      <w:r>
        <w:rPr>
          <w:rFonts w:hint="eastAsia" w:ascii="仿宋_GB2312" w:hAnsi="仿宋_GB2312" w:eastAsia="仿宋_GB2312" w:cs="仿宋_GB2312"/>
          <w:b w:val="0"/>
          <w:bCs w:val="0"/>
          <w:sz w:val="32"/>
          <w:szCs w:val="32"/>
          <w:lang w:eastAsia="zh-CN"/>
        </w:rPr>
        <w:t>以及</w:t>
      </w:r>
      <w:r>
        <w:rPr>
          <w:rFonts w:hint="eastAsia" w:ascii="仿宋_GB2312" w:hAnsi="仿宋_GB2312" w:eastAsia="仿宋_GB2312" w:cs="仿宋_GB2312"/>
          <w:sz w:val="32"/>
          <w:szCs w:val="32"/>
        </w:rPr>
        <w:t>GB/T1.1-2020《标准化工作导则 第1部分：标准化文件的结构和起草规则》的要求进行编写</w:t>
      </w:r>
      <w:r>
        <w:rPr>
          <w:rFonts w:hint="eastAsia" w:ascii="仿宋_GB2312" w:hAnsi="仿宋_GB2312" w:eastAsia="仿宋_GB2312" w:cs="仿宋_GB2312"/>
          <w:sz w:val="32"/>
          <w:szCs w:val="32"/>
          <w:lang w:eastAsia="zh-CN"/>
        </w:rPr>
        <w:t>。</w:t>
      </w:r>
    </w:p>
    <w:p w14:paraId="19436156">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hint="eastAsia" w:ascii="楷体" w:hAnsi="楷体" w:eastAsia="楷体" w:cs="楷体"/>
          <w:b w:val="0"/>
          <w:bCs w:val="0"/>
          <w:sz w:val="32"/>
          <w:szCs w:val="32"/>
        </w:rPr>
      </w:pPr>
      <w:r>
        <w:rPr>
          <w:rFonts w:hint="eastAsia" w:ascii="楷体" w:hAnsi="楷体" w:eastAsia="楷体" w:cs="楷体"/>
          <w:b w:val="0"/>
          <w:bCs w:val="0"/>
          <w:sz w:val="32"/>
          <w:szCs w:val="32"/>
        </w:rPr>
        <w:t>（三）与现行法律法规、标准的关系</w:t>
      </w:r>
    </w:p>
    <w:p w14:paraId="3BF52F5E">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本标准条款均符合国家现行的法律、法规及标准要求。</w:t>
      </w:r>
    </w:p>
    <w:p w14:paraId="23E003FC">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ascii="仿宋_GB2312" w:hAnsi="仿宋_GB2312" w:eastAsia="仿宋_GB2312" w:cs="仿宋_GB2312"/>
          <w:sz w:val="32"/>
          <w:szCs w:val="32"/>
        </w:rPr>
      </w:pPr>
      <w:r>
        <w:rPr>
          <w:rFonts w:hint="eastAsia" w:ascii="黑体" w:hAnsi="黑体" w:eastAsia="黑体" w:cs="黑体"/>
          <w:color w:val="000000" w:themeColor="text1"/>
          <w:sz w:val="32"/>
          <w:szCs w:val="32"/>
          <w14:textFill>
            <w14:solidFill>
              <w14:schemeClr w14:val="tx1"/>
            </w14:solidFill>
          </w14:textFill>
        </w:rPr>
        <w:t>五、</w:t>
      </w:r>
      <w:r>
        <w:rPr>
          <w:rFonts w:ascii="黑体" w:hAnsi="黑体" w:eastAsia="黑体" w:cs="黑体"/>
          <w:color w:val="000000" w:themeColor="text1"/>
          <w:sz w:val="32"/>
          <w:szCs w:val="32"/>
          <w14:textFill>
            <w14:solidFill>
              <w14:schemeClr w14:val="tx1"/>
            </w14:solidFill>
          </w14:textFill>
        </w:rPr>
        <w:t>主要条款的说明</w:t>
      </w:r>
      <w:r>
        <w:rPr>
          <w:rFonts w:hint="eastAsia" w:ascii="黑体" w:hAnsi="黑体" w:eastAsia="黑体" w:cs="黑体"/>
          <w:color w:val="000000" w:themeColor="text1"/>
          <w:sz w:val="32"/>
          <w:szCs w:val="32"/>
          <w14:textFill>
            <w14:solidFill>
              <w14:schemeClr w14:val="tx1"/>
            </w14:solidFill>
          </w14:textFill>
        </w:rPr>
        <w:t>，主要</w:t>
      </w:r>
      <w:r>
        <w:rPr>
          <w:rFonts w:ascii="黑体" w:hAnsi="黑体" w:eastAsia="黑体" w:cs="黑体"/>
          <w:color w:val="000000" w:themeColor="text1"/>
          <w:sz w:val="32"/>
          <w:szCs w:val="32"/>
          <w14:textFill>
            <w14:solidFill>
              <w14:schemeClr w14:val="tx1"/>
            </w14:solidFill>
          </w14:textFill>
        </w:rPr>
        <w:t>技术指标、参数、实验验证的</w:t>
      </w:r>
      <w:r>
        <w:rPr>
          <w:rFonts w:hint="eastAsia" w:ascii="黑体" w:hAnsi="黑体" w:eastAsia="黑体" w:cs="黑体"/>
          <w:color w:val="000000" w:themeColor="text1"/>
          <w:sz w:val="32"/>
          <w:szCs w:val="32"/>
          <w14:textFill>
            <w14:solidFill>
              <w14:schemeClr w14:val="tx1"/>
            </w14:solidFill>
          </w14:textFill>
        </w:rPr>
        <w:t>论述</w:t>
      </w:r>
    </w:p>
    <w:p w14:paraId="0DAD2C31">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hint="eastAsia" w:ascii="楷体" w:hAnsi="楷体" w:eastAsia="楷体" w:cs="楷体"/>
          <w:b w:val="0"/>
          <w:bCs w:val="0"/>
          <w:sz w:val="32"/>
          <w:szCs w:val="32"/>
        </w:rPr>
      </w:pPr>
      <w:r>
        <w:rPr>
          <w:rFonts w:hint="eastAsia" w:ascii="楷体" w:hAnsi="楷体" w:eastAsia="楷体" w:cs="楷体"/>
          <w:b w:val="0"/>
          <w:bCs w:val="0"/>
          <w:sz w:val="32"/>
          <w:szCs w:val="32"/>
        </w:rPr>
        <w:t>（一）主要条款说明</w:t>
      </w:r>
    </w:p>
    <w:p w14:paraId="3ED69F44">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本标准主要包括以下内容：</w:t>
      </w:r>
      <w:bookmarkStart w:id="0" w:name="_Toc11889"/>
      <w:r>
        <w:rPr>
          <w:rFonts w:hint="default" w:ascii="仿宋_GB2312" w:hAnsi="仿宋_GB2312" w:eastAsia="仿宋_GB2312" w:cs="仿宋_GB2312"/>
          <w:sz w:val="32"/>
          <w:szCs w:val="32"/>
          <w:lang w:eastAsia="zh-CN"/>
        </w:rPr>
        <w:t>范围</w:t>
      </w:r>
      <w:bookmarkEnd w:id="0"/>
      <w:bookmarkStart w:id="1" w:name="_Toc30099"/>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lang w:eastAsia="zh-CN"/>
        </w:rPr>
        <w:t>规范性引用文件</w:t>
      </w:r>
      <w:bookmarkEnd w:id="1"/>
      <w:bookmarkStart w:id="2" w:name="_Toc19964"/>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lang w:eastAsia="zh-CN"/>
        </w:rPr>
        <w:t>术语和定义</w:t>
      </w:r>
      <w:bookmarkEnd w:id="2"/>
      <w:bookmarkStart w:id="3" w:name="_Toc22688"/>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lang w:val="en-US" w:eastAsia="zh-CN"/>
        </w:rPr>
        <w:t>总则</w:t>
      </w:r>
      <w:bookmarkEnd w:id="3"/>
      <w:bookmarkStart w:id="4" w:name="_Toc8234"/>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人员要求</w:t>
      </w:r>
      <w:bookmarkEnd w:id="4"/>
      <w:bookmarkStart w:id="5" w:name="_Toc9705"/>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场所卫生要求</w:t>
      </w:r>
      <w:bookmarkEnd w:id="5"/>
      <w:bookmarkStart w:id="6" w:name="_Toc25431"/>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安全性要求</w:t>
      </w:r>
      <w:bookmarkEnd w:id="6"/>
      <w:bookmarkStart w:id="7" w:name="_Toc30902"/>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清洗方法</w:t>
      </w:r>
      <w:bookmarkEnd w:id="7"/>
      <w:bookmarkStart w:id="8" w:name="_Toc30641"/>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消毒方法</w:t>
      </w:r>
      <w:bookmarkEnd w:id="8"/>
      <w:bookmarkStart w:id="9" w:name="_Toc30938"/>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保洁方法</w:t>
      </w:r>
      <w:bookmarkEnd w:id="9"/>
      <w:bookmarkStart w:id="10" w:name="_Toc26384"/>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评价要求</w:t>
      </w:r>
      <w:bookmarkEnd w:id="10"/>
      <w:r>
        <w:rPr>
          <w:rFonts w:hint="eastAsia" w:ascii="仿宋_GB2312" w:hAnsi="仿宋_GB2312" w:eastAsia="仿宋_GB2312" w:cs="仿宋_GB2312"/>
          <w:sz w:val="32"/>
          <w:szCs w:val="32"/>
          <w:lang w:val="en-US" w:eastAsia="zh-CN"/>
        </w:rPr>
        <w:t>。</w:t>
      </w:r>
    </w:p>
    <w:p w14:paraId="127F10C2">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hint="eastAsia" w:ascii="楷体" w:hAnsi="楷体" w:eastAsia="楷体" w:cs="楷体"/>
          <w:b w:val="0"/>
          <w:bCs w:val="0"/>
          <w:sz w:val="32"/>
          <w:szCs w:val="32"/>
        </w:rPr>
      </w:pPr>
      <w:r>
        <w:rPr>
          <w:rFonts w:hint="eastAsia" w:ascii="楷体" w:hAnsi="楷体" w:eastAsia="楷体" w:cs="楷体"/>
          <w:b w:val="0"/>
          <w:bCs w:val="0"/>
          <w:sz w:val="32"/>
          <w:szCs w:val="32"/>
        </w:rPr>
        <w:t xml:space="preserve">（二）主要技术指标、参数、试验验证的论述 </w:t>
      </w:r>
    </w:p>
    <w:p w14:paraId="4EEAA456">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通过</w:t>
      </w:r>
      <w:r>
        <w:rPr>
          <w:rFonts w:hint="eastAsia" w:ascii="仿宋_GB2312" w:hAnsi="仿宋_GB2312" w:eastAsia="仿宋_GB2312" w:cs="仿宋_GB2312"/>
          <w:sz w:val="32"/>
          <w:szCs w:val="32"/>
        </w:rPr>
        <w:t>对近两年我区餐饮服务行业自消毒餐(饮)具阴离子合成洗涤剂(以十二烷基苯磺酸钠计)残留抽检数据进行统计分析</w:t>
      </w:r>
      <w:r>
        <w:rPr>
          <w:rFonts w:hint="eastAsia" w:ascii="仿宋_GB2312" w:hAnsi="仿宋_GB2312" w:eastAsia="仿宋_GB2312" w:cs="仿宋_GB2312"/>
          <w:sz w:val="32"/>
          <w:szCs w:val="32"/>
          <w:lang w:eastAsia="zh-CN"/>
        </w:rPr>
        <w:t>，</w:t>
      </w:r>
    </w:p>
    <w:p w14:paraId="37824ED9">
      <w:pPr>
        <w:keepNext w:val="0"/>
        <w:keepLines w:val="0"/>
        <w:pageBreakBefore w:val="0"/>
        <w:kinsoku/>
        <w:overflowPunct/>
        <w:topLinePunct w:val="0"/>
        <w:autoSpaceDE/>
        <w:autoSpaceDN/>
        <w:bidi w:val="0"/>
        <w:spacing w:beforeAutospacing="0" w:afterAutospacing="0" w:line="600" w:lineRule="exac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对</w:t>
      </w:r>
      <w:r>
        <w:rPr>
          <w:rFonts w:hint="eastAsia" w:ascii="仿宋_GB2312" w:hAnsi="仿宋_GB2312" w:eastAsia="仿宋_GB2312" w:cs="仿宋_GB2312"/>
          <w:sz w:val="32"/>
          <w:szCs w:val="32"/>
          <w:lang w:eastAsia="zh-CN"/>
        </w:rPr>
        <w:t>我区</w:t>
      </w:r>
      <w:r>
        <w:rPr>
          <w:rFonts w:hint="eastAsia" w:ascii="仿宋_GB2312" w:hAnsi="仿宋_GB2312" w:eastAsia="仿宋_GB2312" w:cs="仿宋_GB2312"/>
          <w:sz w:val="32"/>
          <w:szCs w:val="32"/>
        </w:rPr>
        <w:t>餐饮服务自行消毒餐饮具清洗消毒术语、定义进行了明确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对餐饮服务自行消毒餐饮具清洗消毒人员、场所、安全性、清洗方法、消毒方法、保洁提出了具体要求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对餐饮服务自行消毒餐饮具的感官指标、理化指标、微生物指标明确了具体的检验方法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明确了餐饮服务自行消毒餐饮具清洗消毒的评价方式。</w:t>
      </w:r>
    </w:p>
    <w:p w14:paraId="76096C40">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ascii="黑体" w:hAnsi="黑体" w:eastAsia="黑体" w:cs="黑体"/>
          <w:sz w:val="32"/>
          <w:szCs w:val="32"/>
        </w:rPr>
      </w:pPr>
      <w:r>
        <w:rPr>
          <w:rFonts w:hint="eastAsia" w:ascii="黑体" w:hAnsi="黑体" w:eastAsia="黑体" w:cs="黑体"/>
          <w:sz w:val="32"/>
          <w:szCs w:val="32"/>
        </w:rPr>
        <w:t>六、重大意见分歧的</w:t>
      </w:r>
      <w:bookmarkStart w:id="11" w:name="_GoBack"/>
      <w:bookmarkEnd w:id="11"/>
      <w:r>
        <w:rPr>
          <w:rFonts w:hint="eastAsia" w:ascii="黑体" w:hAnsi="黑体" w:eastAsia="黑体" w:cs="黑体"/>
          <w:sz w:val="32"/>
          <w:szCs w:val="32"/>
        </w:rPr>
        <w:t>处理依据</w:t>
      </w:r>
      <w:r>
        <w:rPr>
          <w:rFonts w:ascii="黑体" w:hAnsi="黑体" w:eastAsia="黑体" w:cs="黑体"/>
          <w:sz w:val="32"/>
          <w:szCs w:val="32"/>
        </w:rPr>
        <w:t>和结果</w:t>
      </w:r>
    </w:p>
    <w:p w14:paraId="3FF5A11B">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14:paraId="57618985">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ascii="黑体" w:hAnsi="黑体" w:eastAsia="黑体" w:cs="黑体"/>
          <w:sz w:val="32"/>
          <w:szCs w:val="32"/>
        </w:rPr>
      </w:pPr>
      <w:r>
        <w:rPr>
          <w:rFonts w:hint="eastAsia" w:ascii="黑体" w:hAnsi="黑体" w:eastAsia="黑体" w:cs="黑体"/>
          <w:sz w:val="32"/>
          <w:szCs w:val="32"/>
        </w:rPr>
        <w:t>七、实施</w:t>
      </w:r>
      <w:r>
        <w:rPr>
          <w:rFonts w:ascii="黑体" w:hAnsi="黑体" w:eastAsia="黑体" w:cs="黑体"/>
          <w:sz w:val="32"/>
          <w:szCs w:val="32"/>
        </w:rPr>
        <w:t>标准的措施及建议</w:t>
      </w:r>
    </w:p>
    <w:p w14:paraId="4678D2F1">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本标准为推荐性文件，对全区餐饮具进行自消毒的餐饮服务单位具有一定的指导作用。为了使本标准在发布后能够落地实施，</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一是相关主管部门应加大标准宣传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可有针对性的开展相关宣贯培训活动，</w:t>
      </w:r>
      <w:r>
        <w:rPr>
          <w:rFonts w:hint="eastAsia" w:ascii="仿宋_GB2312" w:hAnsi="仿宋_GB2312" w:eastAsia="仿宋_GB2312" w:cs="仿宋_GB2312"/>
          <w:sz w:val="32"/>
          <w:szCs w:val="32"/>
          <w:lang w:eastAsia="zh-CN"/>
        </w:rPr>
        <w:t>针对不同的餐饮服务单位和个人需求，组织专家进行面对面培训，详细解读标准的条款和要求，指导企业和个人更好地遵守和执行标准；</w:t>
      </w:r>
      <w:r>
        <w:rPr>
          <w:rFonts w:hint="eastAsia" w:ascii="仿宋_GB2312" w:hAnsi="仿宋_GB2312" w:eastAsia="仿宋_GB2312" w:cs="仿宋_GB2312"/>
          <w:sz w:val="32"/>
          <w:szCs w:val="32"/>
        </w:rPr>
        <w:t>二是</w:t>
      </w:r>
      <w:r>
        <w:rPr>
          <w:rFonts w:hint="eastAsia" w:ascii="仿宋_GB2312" w:hAnsi="仿宋_GB2312" w:eastAsia="仿宋_GB2312" w:cs="仿宋_GB2312"/>
          <w:sz w:val="32"/>
          <w:szCs w:val="32"/>
          <w:lang w:eastAsia="zh-CN"/>
        </w:rPr>
        <w:t>建立健全监督机制，确保标准的执行效果。相关主管部门应加强对企业和个人执行地方标准的监督检查，对违反标准的行为进行处罚和纠正；三是加强跨部门协作与信息共享。可建立跨部门协调机制，定期召开联席会议，共同研究解决标准实施过程中遇到的问题，同时，建立地方标准信息共享平台，实现标准的快速传播和广泛应用；四是建立反馈与评估机制。可建立专门的评估机构或委托第三方机构对发布实施的地方标准进行独立评估，收集各方面的意见和建议，及时发现标准实施过程中存在的问题和不足，根据评估结果，对标准进行修订和完善，确保其始终符合经济社会发展的需要。</w:t>
      </w:r>
    </w:p>
    <w:p w14:paraId="539DD04A">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ascii="黑体" w:hAnsi="黑体" w:eastAsia="黑体" w:cs="黑体"/>
          <w:sz w:val="32"/>
          <w:szCs w:val="32"/>
        </w:rPr>
      </w:pPr>
      <w:r>
        <w:rPr>
          <w:rFonts w:hint="eastAsia" w:ascii="黑体" w:hAnsi="黑体" w:eastAsia="黑体" w:cs="黑体"/>
          <w:sz w:val="32"/>
          <w:szCs w:val="32"/>
        </w:rPr>
        <w:t>八、知识产权说明</w:t>
      </w:r>
    </w:p>
    <w:p w14:paraId="35615623">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不涉及专利。</w:t>
      </w:r>
    </w:p>
    <w:p w14:paraId="667C66BC">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ascii="黑体" w:hAnsi="黑体" w:eastAsia="黑体" w:cs="黑体"/>
          <w:sz w:val="32"/>
          <w:szCs w:val="32"/>
        </w:rPr>
      </w:pPr>
      <w:r>
        <w:rPr>
          <w:rFonts w:hint="eastAsia" w:ascii="黑体" w:hAnsi="黑体" w:eastAsia="黑体" w:cs="黑体"/>
          <w:sz w:val="32"/>
          <w:szCs w:val="32"/>
        </w:rPr>
        <w:t>九、其他应说明的事项</w:t>
      </w:r>
    </w:p>
    <w:p w14:paraId="2002DA69">
      <w:pPr>
        <w:keepNext w:val="0"/>
        <w:keepLines w:val="0"/>
        <w:pageBreakBefore w:val="0"/>
        <w:kinsoku/>
        <w:overflowPunct/>
        <w:topLinePunct w:val="0"/>
        <w:autoSpaceDE/>
        <w:autoSpaceDN/>
        <w:bidi w:val="0"/>
        <w:spacing w:beforeAutospacing="0" w:afterAutospacing="0" w:line="600" w:lineRule="exact"/>
        <w:ind w:left="0" w:leftChars="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14:paraId="2093950C"/>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方正小标宋_GBK">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6A75F0"/>
    <w:rsid w:val="516A75F0"/>
    <w:rsid w:val="65CC28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spacing w:before="100" w:beforeAutospacing="1" w:after="100" w:afterAutospacing="1"/>
      <w:jc w:val="left"/>
      <w:outlineLvl w:val="1"/>
    </w:pPr>
    <w:rPr>
      <w:rFonts w:hint="eastAsia" w:ascii="宋体" w:hAnsi="宋体" w:eastAsia="宋体" w:cs="Times New Roman"/>
      <w:b/>
      <w:kern w:val="0"/>
      <w:sz w:val="36"/>
      <w:szCs w:val="36"/>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 w:type="character" w:styleId="6">
    <w:name w:val="Strong"/>
    <w:basedOn w:val="5"/>
    <w:qFormat/>
    <w:uiPriority w:val="0"/>
    <w:rPr>
      <w:b/>
    </w:rPr>
  </w:style>
  <w:style w:type="paragraph" w:styleId="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2219</Words>
  <Characters>2332</Characters>
  <Lines>0</Lines>
  <Paragraphs>0</Paragraphs>
  <TotalTime>5</TotalTime>
  <ScaleCrop>false</ScaleCrop>
  <LinksUpToDate>false</LinksUpToDate>
  <CharactersWithSpaces>2505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2024-12-05T06:49:00Z</dcterms:created>
  <dc:creator>WPS_1644369451</dc:creator>
  <cp:lastModifiedBy>WPS_1644369451</cp:lastModifiedBy>
  <dcterms:modified xsi:type="dcterms:W3CDTF">2024-12-05T08:34:26Z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0253B845B2C24C23B98003F8611F5CFC_11</vt:lpwstr>
  </property>
</Properties>
</file>