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8C708">
      <w:pPr>
        <w:pStyle w:val="8"/>
        <w:ind w:firstLine="199" w:firstLineChars="62"/>
      </w:pPr>
      <w:r>
        <w:rPr>
          <w:rFonts w:hint="eastAsia"/>
        </w:rPr>
        <w:t>湛江市地方标准《宿根甘蔗机械化作业技术规程》</w:t>
      </w:r>
    </w:p>
    <w:p w14:paraId="00DE7C50">
      <w:pPr>
        <w:pStyle w:val="8"/>
        <w:ind w:firstLine="199" w:firstLineChars="62"/>
      </w:pPr>
      <w:r>
        <w:rPr>
          <w:rFonts w:hint="eastAsia"/>
        </w:rPr>
        <w:t>编制说明</w:t>
      </w:r>
    </w:p>
    <w:p w14:paraId="4261E98E">
      <w:pPr>
        <w:pStyle w:val="2"/>
        <w:ind w:left="600" w:hanging="600" w:hangingChars="200"/>
      </w:pPr>
      <w:r>
        <w:rPr>
          <w:rFonts w:hint="eastAsia"/>
        </w:rPr>
        <w:t>一、工作简况</w:t>
      </w:r>
    </w:p>
    <w:p w14:paraId="3B4CAE1D">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（一）任务来源</w:t>
      </w:r>
    </w:p>
    <w:p w14:paraId="3AF1177F">
      <w:pPr>
        <w:spacing w:line="360" w:lineRule="auto"/>
        <w:ind w:firstLine="480" w:firstLineChars="200"/>
        <w:rPr>
          <w:rFonts w:ascii="Times New Roman" w:hAnsi="Times New Roman" w:eastAsia="宋体"/>
          <w:sz w:val="24"/>
        </w:rPr>
      </w:pPr>
      <w:r>
        <w:rPr>
          <w:rFonts w:hint="eastAsia" w:ascii="Times New Roman" w:hAnsi="Times New Roman" w:eastAsia="宋体"/>
          <w:sz w:val="24"/>
        </w:rPr>
        <w:t>根据湛江市市场监督管理局《关于批准下达202</w:t>
      </w:r>
      <w:r>
        <w:rPr>
          <w:rFonts w:hint="eastAsia" w:ascii="Times New Roman" w:hAnsi="Times New Roman" w:eastAsia="宋体"/>
          <w:sz w:val="24"/>
          <w:lang w:val="en-US" w:eastAsia="zh-CN"/>
        </w:rPr>
        <w:t>4</w:t>
      </w:r>
      <w:r>
        <w:rPr>
          <w:rFonts w:hint="eastAsia" w:ascii="Times New Roman" w:hAnsi="Times New Roman" w:eastAsia="宋体"/>
          <w:sz w:val="24"/>
        </w:rPr>
        <w:t>年湛江市地方标准制修订计划项目的通知》，由中国热带农业科学院农业机械研究所主导，联合湛江市农业技术推广中心、广东广垦农机服务有限公司共同起草《宿根甘蔗机械化作业技术规程》湛江市地方标准，202</w:t>
      </w:r>
      <w:r>
        <w:rPr>
          <w:rFonts w:hint="eastAsia" w:ascii="Times New Roman" w:hAnsi="Times New Roman" w:eastAsia="宋体"/>
          <w:sz w:val="24"/>
          <w:lang w:val="en-US" w:eastAsia="zh-CN"/>
        </w:rPr>
        <w:t>4</w:t>
      </w:r>
      <w:r>
        <w:rPr>
          <w:rFonts w:hint="eastAsia" w:ascii="Times New Roman" w:hAnsi="Times New Roman" w:eastAsia="宋体"/>
          <w:sz w:val="24"/>
        </w:rPr>
        <w:t>年3月经湛江市市场监督管理局论证后批复立项，文号（湛市监计〔202</w:t>
      </w:r>
      <w:r>
        <w:rPr>
          <w:rFonts w:hint="eastAsia" w:ascii="Times New Roman" w:hAnsi="Times New Roman" w:eastAsia="宋体"/>
          <w:sz w:val="24"/>
          <w:lang w:val="en-US" w:eastAsia="zh-CN"/>
        </w:rPr>
        <w:t>4</w:t>
      </w:r>
      <w:r>
        <w:rPr>
          <w:rFonts w:hint="eastAsia" w:ascii="Times New Roman" w:hAnsi="Times New Roman" w:eastAsia="宋体"/>
          <w:sz w:val="24"/>
        </w:rPr>
        <w:t>〕</w:t>
      </w:r>
      <w:r>
        <w:rPr>
          <w:rFonts w:hint="eastAsia" w:ascii="Times New Roman" w:hAnsi="Times New Roman" w:eastAsia="宋体"/>
          <w:sz w:val="24"/>
          <w:lang w:val="en-US" w:eastAsia="zh-CN"/>
        </w:rPr>
        <w:t>153</w:t>
      </w:r>
      <w:r>
        <w:rPr>
          <w:rFonts w:hint="eastAsia" w:ascii="Times New Roman" w:hAnsi="Times New Roman" w:eastAsia="宋体"/>
          <w:sz w:val="24"/>
        </w:rPr>
        <w:t>号）。</w:t>
      </w:r>
    </w:p>
    <w:p w14:paraId="59236F09">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（二）标准编制背景与目的意义</w:t>
      </w:r>
    </w:p>
    <w:p w14:paraId="19929829">
      <w:pPr>
        <w:spacing w:line="360" w:lineRule="auto"/>
        <w:ind w:firstLine="480" w:firstLineChars="200"/>
        <w:rPr>
          <w:rFonts w:hint="eastAsia" w:ascii="Times New Roman" w:hAnsi="Times New Roman" w:eastAsia="宋体"/>
          <w:sz w:val="24"/>
        </w:rPr>
      </w:pPr>
      <w:r>
        <w:rPr>
          <w:rFonts w:hint="eastAsia" w:ascii="Times New Roman" w:hAnsi="Times New Roman" w:eastAsia="宋体"/>
          <w:sz w:val="24"/>
        </w:rPr>
        <w:t>甘蔗是国内最重要的糖料作物，宿根栽培是糖料蔗生产中最重要的栽培技术，由于宿根蔗具有成本低、早生发快、省工省时和提早成熟等众多优点，因此宿根蔗种植面积日益增加。宿根甘蔗机械化的普及，能有效提高甘蔗生产效率，解放劳动力，降低人工成本，增加蔗农收入，提高蔗农的生产积极性。国内外对宿根甘蔗机械化相关技术研究不断深入，标准申报单位开展了宿根甘蔗机械化的相关技术研究和研发了宿根甘蔗机械化的相关装备。宿根甘蔗机械化因缺乏对机械化作业技术规程，且作业标准不规范统一，限制了宿根甘蔗的推广种植。</w:t>
      </w:r>
    </w:p>
    <w:p w14:paraId="5C28C937">
      <w:pPr>
        <w:spacing w:line="360" w:lineRule="auto"/>
        <w:ind w:firstLine="480" w:firstLineChars="200"/>
        <w:rPr>
          <w:rFonts w:ascii="Times New Roman" w:hAnsi="Times New Roman" w:eastAsia="宋体"/>
          <w:sz w:val="24"/>
        </w:rPr>
      </w:pPr>
      <w:r>
        <w:rPr>
          <w:rFonts w:hint="eastAsia" w:ascii="Times New Roman" w:hAnsi="Times New Roman" w:eastAsia="宋体"/>
          <w:sz w:val="24"/>
        </w:rPr>
        <w:t>因此，综合湛江地区宿根甘蔗种植情况、气候条件以及土壤状况等因素，制定湛江地区适用的宿根甘蔗机械化作业技术规程，实现提高宿根甘蔗的产量、提升宿根甘蔗机械化作业水平。</w:t>
      </w:r>
    </w:p>
    <w:p w14:paraId="13FA890A">
      <w:pPr>
        <w:spacing w:line="360" w:lineRule="auto"/>
        <w:ind w:firstLine="480" w:firstLineChars="200"/>
        <w:rPr>
          <w:rFonts w:hint="eastAsia" w:ascii="Times New Roman" w:hAnsi="Times New Roman" w:eastAsia="宋体"/>
          <w:sz w:val="24"/>
        </w:rPr>
      </w:pPr>
      <w:r>
        <w:rPr>
          <w:rFonts w:hint="eastAsia" w:ascii="Times New Roman" w:hAnsi="Times New Roman" w:eastAsia="宋体"/>
          <w:sz w:val="24"/>
        </w:rPr>
        <w:t>田间管理对甘蔗产量和品质影响很大，澳大利亚研制成功几种新型的宿根切削机、相继印度开发出的一种甘蔗单行蔗茬切除机。日本的宿根蔗占甘蔗种植面积的50%，3 年为一轮换周期。2003年起，各种配套的甘蔗田间作业和管理机械得到普遍应用。特别是从2006 年起，宿根蔗的破垄平切等管理机械得到广泛地使用，相继出现了宿根基肥施用机、中耕机、宿根蔗整形机 、防治宿根蔗土壤害虫专用机、宿根心土粉碎机等机具。</w:t>
      </w:r>
    </w:p>
    <w:p w14:paraId="1DFEB4E3">
      <w:pPr>
        <w:spacing w:line="360" w:lineRule="auto"/>
        <w:ind w:firstLine="480" w:firstLineChars="200"/>
        <w:rPr>
          <w:rFonts w:hint="eastAsia" w:ascii="Times New Roman" w:hAnsi="Times New Roman" w:eastAsia="宋体"/>
          <w:sz w:val="24"/>
        </w:rPr>
      </w:pPr>
      <w:r>
        <w:rPr>
          <w:rFonts w:hint="eastAsia" w:ascii="Times New Roman" w:hAnsi="Times New Roman" w:eastAsia="宋体"/>
          <w:sz w:val="24"/>
        </w:rPr>
        <w:t>我国的甘蔗田间机械化管理作业工序主要包括有开沟、破垄、除草、施肥、培土以及覆盖地膜等多项作业。目前国内已经研制成功的不同类型甘蔗田间机械，按照动力大小，可分为以微型拖拉机、手扶拖拉机为主要动力的机具和以大中型拖拉机为配套动力的机具；按作业方式不同，甘蔗破垄施肥盖膜机械分为联合作业机械和分段作业机械 （破垄、施肥、盖膜、培土或与其它机械配合作业） 两种；按破垄方式，分为旋耕式和犁铲式；按操作方式，分为乘坐式和步行式。</w:t>
      </w:r>
    </w:p>
    <w:p w14:paraId="49DBBC0B">
      <w:pPr>
        <w:spacing w:line="360" w:lineRule="auto"/>
        <w:ind w:firstLine="480" w:firstLineChars="200"/>
        <w:rPr>
          <w:rFonts w:ascii="Times New Roman" w:hAnsi="Times New Roman" w:eastAsia="宋体"/>
          <w:sz w:val="24"/>
        </w:rPr>
      </w:pPr>
      <w:r>
        <w:rPr>
          <w:rFonts w:hint="eastAsia" w:ascii="Times New Roman" w:hAnsi="Times New Roman" w:eastAsia="宋体"/>
          <w:sz w:val="24"/>
        </w:rPr>
        <w:t>随着宿根甘蔗种植面积日益增加，实施宿根甘蔗机械化可以有效提高甘蔗生产作业效率，降低蔗农劳动强度，进而实施宿根甘蔗机械化作业标准是保证宿根甘蔗生产的不可或缺的基础。</w:t>
      </w:r>
    </w:p>
    <w:p w14:paraId="3018EC87">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（三）起草过程</w:t>
      </w:r>
    </w:p>
    <w:p w14:paraId="755D6CB4">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年3月，湛江市市场监督管理局下达湛江市地方标准制修订计划项目，由中国热带农业科学院农业机械研究所主导立项制定湛江市地方标准《宿根甘蔗机械化作业技术规程》。</w:t>
      </w:r>
    </w:p>
    <w:p w14:paraId="4C17B609">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年4月～5月，中国热带农业科学院农业机械研究所联合湛江市农业技术推广中心、广东广垦农机服务有限公司成立标准起草小组。</w:t>
      </w:r>
    </w:p>
    <w:p w14:paraId="542FD796">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6月～9月，标准起草小组开展标准制定前期调研工作，多次到广东省湛江农垦局、广东广垦糖业集团有限公司、广东广垦农机服务有限公司、东省广前农场、广东省友好农场、广东省金星农场、广东省湖光农场、雷州市农华机械有限公司、遂溪县好帮手农业机械专业合作社、半岛农业（湛江）有限公司进行现场考察、调研和征求意见，广泛搜集技术资料，积极查阅相关文献和国内标准,起草了标准初稿。</w:t>
      </w:r>
    </w:p>
    <w:p w14:paraId="52EFFFE7">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年月10～11月，标准起草小组召开标准起草研讨会，对前期调研收集的资料进行筛选，确定标准起草的主要内容，制定了《宿根甘蔗机械化作业技术规程》（征求意见稿）。</w:t>
      </w:r>
    </w:p>
    <w:p w14:paraId="6FDEF046">
      <w:pPr>
        <w:keepNext/>
        <w:keepLines/>
        <w:spacing w:before="100" w:beforeAutospacing="1" w:after="100" w:afterAutospacing="1" w:line="360" w:lineRule="auto"/>
        <w:ind w:left="560" w:hanging="560"/>
        <w:outlineLvl w:val="1"/>
        <w:rPr>
          <w:rFonts w:ascii="Times New Roman" w:hAnsi="Times New Roman" w:eastAsia="黑体" w:cs="Times New Roman"/>
          <w:bCs/>
          <w:sz w:val="32"/>
          <w:szCs w:val="32"/>
        </w:rPr>
      </w:pPr>
      <w:r>
        <w:rPr>
          <w:rFonts w:hint="eastAsia" w:ascii="Times New Roman" w:hAnsi="Times New Roman" w:eastAsia="黑体" w:cs="Times New Roman"/>
          <w:bCs/>
          <w:kern w:val="44"/>
          <w:sz w:val="30"/>
          <w:szCs w:val="44"/>
        </w:rPr>
        <w:t>三、</w:t>
      </w:r>
      <w:r>
        <w:rPr>
          <w:rFonts w:ascii="Times New Roman" w:hAnsi="Times New Roman" w:eastAsia="黑体" w:cs="Times New Roman"/>
          <w:bCs/>
          <w:sz w:val="32"/>
          <w:szCs w:val="32"/>
        </w:rPr>
        <w:t>标准编制原则和确定标准主要内容的论据</w:t>
      </w:r>
    </w:p>
    <w:p w14:paraId="086FE1C7">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（一）标准编制原则</w:t>
      </w:r>
    </w:p>
    <w:p w14:paraId="7184615E">
      <w:pPr>
        <w:spacing w:line="360" w:lineRule="auto"/>
        <w:ind w:firstLine="480" w:firstLineChars="200"/>
        <w:rPr>
          <w:rFonts w:ascii="Times New Roman" w:hAnsi="Times New Roman" w:eastAsia="宋体"/>
          <w:sz w:val="24"/>
        </w:rPr>
      </w:pPr>
      <w:r>
        <w:rPr>
          <w:rFonts w:hint="eastAsia" w:ascii="Times New Roman" w:hAnsi="Times New Roman" w:eastAsia="宋体"/>
          <w:sz w:val="24"/>
        </w:rPr>
        <w:t>1、遵循国家有关方针和政策、法规和规章。</w:t>
      </w:r>
    </w:p>
    <w:p w14:paraId="0F24EFA2">
      <w:pPr>
        <w:spacing w:line="360" w:lineRule="auto"/>
        <w:ind w:firstLine="480" w:firstLineChars="200"/>
        <w:rPr>
          <w:rFonts w:ascii="Times New Roman" w:hAnsi="Times New Roman" w:eastAsia="宋体"/>
          <w:sz w:val="24"/>
        </w:rPr>
      </w:pPr>
      <w:r>
        <w:rPr>
          <w:rFonts w:hint="eastAsia" w:ascii="Times New Roman" w:hAnsi="Times New Roman" w:eastAsia="宋体"/>
          <w:sz w:val="24"/>
        </w:rPr>
        <w:t>2、严格按照G</w:t>
      </w:r>
      <w:r>
        <w:rPr>
          <w:rFonts w:ascii="Times New Roman" w:hAnsi="Times New Roman" w:eastAsia="宋体"/>
          <w:sz w:val="24"/>
        </w:rPr>
        <w:t>B</w:t>
      </w:r>
      <w:r>
        <w:rPr>
          <w:rFonts w:hint="eastAsia" w:ascii="Times New Roman" w:hAnsi="Times New Roman" w:eastAsia="宋体"/>
          <w:sz w:val="24"/>
        </w:rPr>
        <w:t>/</w:t>
      </w:r>
      <w:r>
        <w:rPr>
          <w:rFonts w:ascii="Times New Roman" w:hAnsi="Times New Roman" w:eastAsia="宋体"/>
          <w:sz w:val="24"/>
        </w:rPr>
        <w:t>T1.1—2020</w:t>
      </w:r>
      <w:r>
        <w:rPr>
          <w:rFonts w:hint="eastAsia" w:ascii="Times New Roman" w:hAnsi="Times New Roman" w:eastAsia="宋体"/>
          <w:sz w:val="24"/>
        </w:rPr>
        <w:t>《标准化工作导则第1部分：标准化文件的结构和起草规则》的技术要求进行编制起草。</w:t>
      </w:r>
    </w:p>
    <w:p w14:paraId="480B66C8">
      <w:pPr>
        <w:spacing w:line="360" w:lineRule="auto"/>
        <w:ind w:firstLine="480" w:firstLineChars="200"/>
        <w:rPr>
          <w:rFonts w:ascii="Times New Roman" w:hAnsi="Times New Roman" w:eastAsia="宋体"/>
          <w:sz w:val="24"/>
        </w:rPr>
      </w:pPr>
      <w:r>
        <w:rPr>
          <w:rFonts w:hint="eastAsia" w:ascii="Times New Roman" w:hAnsi="Times New Roman" w:eastAsia="宋体"/>
          <w:sz w:val="24"/>
        </w:rPr>
        <w:t>3、充分查阅相关资料文献，进行深入调研。以市场指导为基准，保证标准的适用性，保持标准的先进性，注重标准的经济效益和社会效益。</w:t>
      </w:r>
    </w:p>
    <w:p w14:paraId="549A1919">
      <w:pPr>
        <w:spacing w:line="360" w:lineRule="auto"/>
        <w:ind w:firstLine="480" w:firstLineChars="200"/>
        <w:rPr>
          <w:rFonts w:ascii="Times New Roman" w:hAnsi="Times New Roman" w:eastAsia="宋体"/>
          <w:sz w:val="24"/>
        </w:rPr>
      </w:pPr>
      <w:r>
        <w:rPr>
          <w:rFonts w:hint="eastAsia" w:ascii="Times New Roman" w:hAnsi="Times New Roman" w:eastAsia="宋体"/>
          <w:sz w:val="24"/>
        </w:rPr>
        <w:t>4、编写过程中参考了国内已发布的同类标准，在编写内容上力求简明、准确。</w:t>
      </w:r>
    </w:p>
    <w:p w14:paraId="3BC9F777">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（二）标准适用范围</w:t>
      </w:r>
    </w:p>
    <w:p w14:paraId="25687002">
      <w:pPr>
        <w:spacing w:line="360" w:lineRule="auto"/>
        <w:ind w:firstLine="480" w:firstLineChars="200"/>
        <w:jc w:val="left"/>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本文件规定了宿根甘蔗机械化作业的术语和定义、作业条件、环境条件、宿根蔗地管理、机械化作业规范等内容。</w:t>
      </w:r>
    </w:p>
    <w:p w14:paraId="4E321AF2">
      <w:pPr>
        <w:spacing w:line="360" w:lineRule="auto"/>
        <w:ind w:firstLine="480" w:firstLineChars="200"/>
        <w:jc w:val="left"/>
        <w:outlineLvl w:val="0"/>
        <w:rPr>
          <w:rFonts w:ascii="宋体" w:hAnsi="宋体" w:eastAsia="宋体" w:cs="Times New Roman"/>
          <w:kern w:val="0"/>
          <w:sz w:val="24"/>
          <w:szCs w:val="24"/>
        </w:rPr>
      </w:pPr>
      <w:r>
        <w:rPr>
          <w:rFonts w:hint="eastAsia" w:ascii="宋体" w:hAnsi="宋体" w:eastAsia="宋体" w:cs="Times New Roman"/>
          <w:kern w:val="0"/>
          <w:sz w:val="24"/>
          <w:szCs w:val="24"/>
        </w:rPr>
        <w:t>本文件适用于宿根甘蔗机械化作业。</w:t>
      </w:r>
    </w:p>
    <w:p w14:paraId="2E01BA49">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（三）术语和定义</w:t>
      </w:r>
    </w:p>
    <w:p w14:paraId="4D758755">
      <w:pPr>
        <w:spacing w:line="360" w:lineRule="auto"/>
        <w:ind w:firstLine="480" w:firstLineChars="200"/>
        <w:jc w:val="left"/>
        <w:outlineLvl w:val="0"/>
        <w:rPr>
          <w:rFonts w:ascii="宋体" w:hAnsi="宋体" w:eastAsia="宋体" w:cs="Times New Roman"/>
          <w:kern w:val="0"/>
          <w:sz w:val="24"/>
          <w:szCs w:val="24"/>
        </w:rPr>
      </w:pPr>
      <w:r>
        <w:rPr>
          <w:rFonts w:hint="eastAsia" w:ascii="宋体" w:hAnsi="宋体" w:eastAsia="宋体" w:cs="Times New Roman"/>
          <w:kern w:val="0"/>
          <w:sz w:val="24"/>
          <w:szCs w:val="24"/>
        </w:rPr>
        <w:t xml:space="preserve">为方便理解本标准的含义，参照GB/T 19566 </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rPr>
        <w:t>DB45/T 561</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rPr>
        <w:t>NY/T 2991</w:t>
      </w:r>
      <w:r>
        <w:rPr>
          <w:rFonts w:hint="eastAsia" w:ascii="宋体" w:hAnsi="宋体" w:eastAsia="宋体" w:cs="Times New Roman"/>
          <w:kern w:val="0"/>
          <w:sz w:val="24"/>
          <w:szCs w:val="24"/>
          <w:lang w:eastAsia="zh-CN"/>
        </w:rPr>
        <w:t>、</w:t>
      </w:r>
      <w:r>
        <w:rPr>
          <w:rFonts w:hint="eastAsia" w:ascii="宋体" w:hAnsi="宋体" w:eastAsia="宋体" w:cs="Times New Roman"/>
          <w:kern w:val="0"/>
          <w:sz w:val="24"/>
          <w:szCs w:val="24"/>
        </w:rPr>
        <w:t>NY/T 3889等标准，解释宿根甘蔗机械化作业技术过程中使用的术语的定义。本标准结合湛江地区宿根甘蔗机械化作业</w:t>
      </w:r>
      <w:r>
        <w:rPr>
          <w:rFonts w:hint="eastAsia" w:ascii="宋体" w:hAnsi="宋体" w:eastAsia="宋体" w:cs="Times New Roman"/>
          <w:kern w:val="0"/>
          <w:sz w:val="24"/>
          <w:szCs w:val="24"/>
          <w:lang w:val="en-US" w:eastAsia="zh-CN"/>
        </w:rPr>
        <w:t>过程</w:t>
      </w:r>
      <w:r>
        <w:rPr>
          <w:rFonts w:hint="eastAsia" w:ascii="宋体" w:hAnsi="宋体" w:eastAsia="宋体" w:cs="Times New Roman"/>
          <w:kern w:val="0"/>
          <w:sz w:val="24"/>
          <w:szCs w:val="24"/>
        </w:rPr>
        <w:t>中的实际情况，规定了</w:t>
      </w:r>
      <w:r>
        <w:rPr>
          <w:rFonts w:hint="eastAsia" w:ascii="宋体" w:hAnsi="宋体" w:eastAsia="宋体" w:cs="Times New Roman"/>
          <w:kern w:val="0"/>
          <w:sz w:val="24"/>
          <w:szCs w:val="24"/>
          <w:lang w:val="en-US" w:eastAsia="zh-CN"/>
        </w:rPr>
        <w:t>宿根蔗</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宿根蔗平茬</w:t>
      </w:r>
      <w:r>
        <w:rPr>
          <w:rFonts w:hint="eastAsia" w:ascii="宋体" w:hAnsi="宋体" w:eastAsia="宋体" w:cs="Times New Roman"/>
          <w:kern w:val="0"/>
          <w:sz w:val="24"/>
          <w:szCs w:val="24"/>
        </w:rPr>
        <w:t>、破垄松蔸</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个术语和定义。</w:t>
      </w:r>
    </w:p>
    <w:p w14:paraId="7A289BB5">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（四）</w:t>
      </w:r>
      <w:r>
        <w:rPr>
          <w:rFonts w:hint="eastAsia" w:ascii="黑体" w:hAnsi="黑体" w:eastAsia="黑体" w:cs="Times New Roman"/>
          <w:b/>
          <w:bCs/>
          <w:sz w:val="28"/>
          <w:szCs w:val="21"/>
          <w:lang w:val="en-US" w:eastAsia="zh-CN"/>
        </w:rPr>
        <w:t>环境</w:t>
      </w:r>
      <w:r>
        <w:rPr>
          <w:rFonts w:hint="eastAsia" w:ascii="黑体" w:hAnsi="黑体" w:eastAsia="黑体" w:cs="Times New Roman"/>
          <w:b/>
          <w:bCs/>
          <w:sz w:val="28"/>
          <w:szCs w:val="21"/>
        </w:rPr>
        <w:t>条件</w:t>
      </w:r>
    </w:p>
    <w:p w14:paraId="11E5774C">
      <w:pPr>
        <w:spacing w:line="360" w:lineRule="auto"/>
        <w:ind w:firstLine="480" w:firstLineChars="200"/>
        <w:rPr>
          <w:rFonts w:asciiTheme="minorEastAsia" w:hAnsiTheme="minorEastAsia"/>
          <w:sz w:val="24"/>
          <w:szCs w:val="24"/>
        </w:rPr>
      </w:pPr>
      <w:r>
        <w:rPr>
          <w:rFonts w:hint="eastAsia" w:ascii="宋体" w:hAnsi="宋体" w:eastAsia="宋体"/>
          <w:sz w:val="24"/>
          <w:szCs w:val="24"/>
        </w:rPr>
        <w:t>本章内容规定了</w:t>
      </w:r>
      <w:r>
        <w:rPr>
          <w:rFonts w:hint="eastAsia" w:ascii="宋体" w:hAnsi="宋体" w:eastAsia="宋体"/>
          <w:sz w:val="24"/>
          <w:szCs w:val="24"/>
          <w:lang w:val="en-US" w:eastAsia="zh-CN"/>
        </w:rPr>
        <w:t>甘蔗宿根</w:t>
      </w:r>
      <w:r>
        <w:rPr>
          <w:rFonts w:hint="eastAsia" w:ascii="宋体" w:hAnsi="宋体" w:eastAsia="宋体"/>
          <w:sz w:val="24"/>
          <w:szCs w:val="24"/>
        </w:rPr>
        <w:t>过程中的</w:t>
      </w:r>
      <w:r>
        <w:rPr>
          <w:rFonts w:hint="eastAsia" w:ascii="宋体" w:hAnsi="宋体" w:eastAsia="宋体"/>
          <w:sz w:val="24"/>
          <w:szCs w:val="24"/>
          <w:lang w:val="en-US" w:eastAsia="zh-CN"/>
        </w:rPr>
        <w:t>天气条件，包含</w:t>
      </w:r>
      <w:r>
        <w:rPr>
          <w:rFonts w:hint="eastAsia" w:ascii="宋体" w:hAnsi="宋体" w:eastAsia="宋体"/>
          <w:sz w:val="24"/>
          <w:szCs w:val="24"/>
        </w:rPr>
        <w:t>使用操作、保养维修的相关方法、注意事项等情况。</w:t>
      </w:r>
    </w:p>
    <w:p w14:paraId="6AC8AA0B">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（五）</w:t>
      </w:r>
      <w:r>
        <w:rPr>
          <w:rFonts w:hint="eastAsia" w:ascii="黑体" w:hAnsi="黑体" w:eastAsia="黑体" w:cs="Times New Roman"/>
          <w:b/>
          <w:bCs/>
          <w:sz w:val="28"/>
          <w:szCs w:val="21"/>
          <w:lang w:val="en-US" w:eastAsia="zh-CN"/>
        </w:rPr>
        <w:t>宿根蔗地管理</w:t>
      </w:r>
    </w:p>
    <w:p w14:paraId="131329AC">
      <w:pPr>
        <w:spacing w:line="360" w:lineRule="auto"/>
        <w:ind w:firstLine="480" w:firstLineChars="200"/>
        <w:rPr>
          <w:rFonts w:ascii="宋体" w:hAnsi="宋体" w:eastAsia="宋体"/>
          <w:sz w:val="24"/>
          <w:szCs w:val="24"/>
        </w:rPr>
      </w:pPr>
      <w:r>
        <w:rPr>
          <w:rFonts w:hint="eastAsia" w:ascii="宋体" w:hAnsi="宋体" w:eastAsia="宋体"/>
          <w:sz w:val="24"/>
          <w:szCs w:val="24"/>
        </w:rPr>
        <w:t>本章内容规定了</w:t>
      </w:r>
      <w:r>
        <w:rPr>
          <w:rFonts w:hint="eastAsia" w:ascii="宋体" w:hAnsi="宋体" w:eastAsia="宋体"/>
          <w:sz w:val="24"/>
          <w:szCs w:val="24"/>
          <w:lang w:val="en-US" w:eastAsia="zh-CN"/>
        </w:rPr>
        <w:t>宿根蔗管理</w:t>
      </w:r>
      <w:r>
        <w:rPr>
          <w:rFonts w:hint="eastAsia" w:ascii="宋体" w:hAnsi="宋体" w:eastAsia="宋体"/>
          <w:sz w:val="24"/>
          <w:szCs w:val="24"/>
        </w:rPr>
        <w:t>的</w:t>
      </w:r>
      <w:r>
        <w:rPr>
          <w:rFonts w:hint="eastAsia" w:ascii="宋体" w:hAnsi="宋体" w:eastAsia="宋体"/>
          <w:sz w:val="24"/>
          <w:szCs w:val="24"/>
          <w:lang w:val="en-US" w:eastAsia="zh-CN"/>
        </w:rPr>
        <w:t>方式，包含</w:t>
      </w:r>
      <w:r>
        <w:rPr>
          <w:rFonts w:hint="eastAsia" w:ascii="宋体" w:hAnsi="宋体" w:eastAsia="宋体"/>
          <w:sz w:val="24"/>
          <w:szCs w:val="24"/>
        </w:rPr>
        <w:t>宿根蔗地选择、</w:t>
      </w:r>
      <w:r>
        <w:rPr>
          <w:rFonts w:hint="eastAsia" w:ascii="宋体" w:hAnsi="宋体" w:eastAsia="宋体"/>
          <w:sz w:val="24"/>
          <w:szCs w:val="24"/>
          <w:lang w:val="en-US" w:eastAsia="zh-CN"/>
        </w:rPr>
        <w:t>土壤管理和灌溉管理</w:t>
      </w:r>
      <w:r>
        <w:rPr>
          <w:rFonts w:hint="eastAsia" w:ascii="宋体" w:hAnsi="宋体" w:eastAsia="宋体"/>
          <w:sz w:val="24"/>
          <w:szCs w:val="24"/>
        </w:rPr>
        <w:t>等情况。</w:t>
      </w:r>
    </w:p>
    <w:p w14:paraId="1FFA6D86">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（六）</w:t>
      </w:r>
      <w:r>
        <w:rPr>
          <w:rFonts w:hint="eastAsia" w:ascii="黑体" w:hAnsi="黑体" w:eastAsia="黑体" w:cs="Times New Roman"/>
          <w:b/>
          <w:bCs/>
          <w:sz w:val="28"/>
          <w:szCs w:val="21"/>
          <w:lang w:val="en-US" w:eastAsia="zh-CN"/>
        </w:rPr>
        <w:t>机械化作业规范</w:t>
      </w:r>
    </w:p>
    <w:p w14:paraId="617C2EA4">
      <w:pPr>
        <w:spacing w:line="360" w:lineRule="auto"/>
        <w:ind w:firstLine="480" w:firstLineChars="200"/>
        <w:rPr>
          <w:rFonts w:ascii="宋体" w:hAnsi="宋体" w:eastAsia="宋体"/>
          <w:sz w:val="24"/>
          <w:szCs w:val="24"/>
        </w:rPr>
      </w:pPr>
      <w:r>
        <w:rPr>
          <w:rFonts w:hint="eastAsia" w:ascii="宋体" w:hAnsi="宋体" w:eastAsia="宋体"/>
          <w:sz w:val="24"/>
          <w:szCs w:val="24"/>
        </w:rPr>
        <w:t>本章主要作业前准备、淘汰蔗碎叶作业流程、宿根蔗的碎叶流程进行描述。</w:t>
      </w:r>
    </w:p>
    <w:p w14:paraId="08FA1294">
      <w:pPr>
        <w:spacing w:line="360" w:lineRule="auto"/>
        <w:ind w:firstLine="480" w:firstLineChars="200"/>
        <w:rPr>
          <w:rFonts w:ascii="宋体" w:hAnsi="宋体" w:eastAsia="宋体"/>
          <w:sz w:val="24"/>
          <w:szCs w:val="24"/>
        </w:rPr>
      </w:pPr>
      <w:r>
        <w:rPr>
          <w:rFonts w:hint="eastAsia" w:ascii="宋体" w:hAnsi="宋体" w:eastAsia="宋体"/>
          <w:sz w:val="24"/>
          <w:szCs w:val="24"/>
        </w:rPr>
        <w:t>作业前准备从对地块进行勘查、地块大小划分作业区域、做业机组以及试作业情况四个方面编写，主要提出了甘蔗叶机械化粉碎还田地块条件、障碍物识别、确保机器状态良好、试作业效果评估等要求。</w:t>
      </w:r>
    </w:p>
    <w:p w14:paraId="4D9DC3EC">
      <w:pPr>
        <w:spacing w:line="360" w:lineRule="auto"/>
        <w:ind w:firstLine="480" w:firstLineChars="200"/>
        <w:rPr>
          <w:rFonts w:ascii="宋体" w:hAnsi="宋体" w:eastAsia="宋体"/>
          <w:sz w:val="24"/>
          <w:szCs w:val="24"/>
        </w:rPr>
      </w:pPr>
      <w:r>
        <w:rPr>
          <w:rFonts w:hint="eastAsia" w:ascii="宋体" w:hAnsi="宋体" w:eastAsia="宋体"/>
          <w:sz w:val="24"/>
          <w:szCs w:val="24"/>
        </w:rPr>
        <w:t>淘汰蔗碎叶作业流程主要从切断式甘蔗联合收获机收获甘蔗的碎叶流程、机械化整杆式分段收获或人工收获甘蔗的碎叶流程两个方面作业过程进行编写。提出甘蔗收获、碎叶还田、翻埋入土的要求。</w:t>
      </w:r>
    </w:p>
    <w:p w14:paraId="721DBA30">
      <w:pPr>
        <w:spacing w:line="360" w:lineRule="auto"/>
        <w:ind w:firstLine="480" w:firstLineChars="200"/>
        <w:rPr>
          <w:rFonts w:ascii="宋体" w:hAnsi="宋体" w:eastAsia="宋体"/>
          <w:sz w:val="24"/>
          <w:szCs w:val="24"/>
        </w:rPr>
      </w:pPr>
      <w:r>
        <w:rPr>
          <w:rFonts w:hint="eastAsia" w:ascii="宋体" w:hAnsi="宋体" w:eastAsia="宋体"/>
          <w:sz w:val="24"/>
          <w:szCs w:val="24"/>
        </w:rPr>
        <w:t>留宿根甘蔗碎叶作业流程提出了甘蔗收获后不同甘蔗叶量采取的办法以及粉碎后甘蔗叶处理要求。</w:t>
      </w:r>
    </w:p>
    <w:p w14:paraId="168F1469">
      <w:pPr>
        <w:spacing w:line="360" w:lineRule="auto"/>
        <w:ind w:firstLine="480" w:firstLineChars="200"/>
        <w:rPr>
          <w:rFonts w:ascii="宋体" w:hAnsi="宋体" w:eastAsia="宋体"/>
          <w:sz w:val="24"/>
          <w:szCs w:val="24"/>
        </w:rPr>
      </w:pPr>
      <w:r>
        <w:rPr>
          <w:rFonts w:hint="eastAsia" w:ascii="宋体" w:hAnsi="宋体" w:eastAsia="宋体"/>
          <w:sz w:val="24"/>
          <w:szCs w:val="24"/>
        </w:rPr>
        <w:t>本章内容是依据甘蔗叶处理流程的实际情况，以及多年机械化甘蔗叶处理所得经验和研究成果制定。</w:t>
      </w:r>
    </w:p>
    <w:p w14:paraId="05AC0794">
      <w:pPr>
        <w:spacing w:line="360" w:lineRule="auto"/>
        <w:jc w:val="left"/>
        <w:outlineLvl w:val="0"/>
        <w:rPr>
          <w:rFonts w:hint="default" w:ascii="黑体" w:hAnsi="黑体" w:eastAsia="黑体" w:cs="Times New Roman"/>
          <w:b/>
          <w:bCs/>
          <w:sz w:val="28"/>
          <w:szCs w:val="21"/>
          <w:lang w:val="en-US" w:eastAsia="zh-CN"/>
        </w:rPr>
      </w:pPr>
      <w:r>
        <w:rPr>
          <w:rFonts w:hint="eastAsia" w:ascii="黑体" w:hAnsi="黑体" w:eastAsia="黑体" w:cs="Times New Roman"/>
          <w:b/>
          <w:bCs/>
          <w:sz w:val="28"/>
          <w:szCs w:val="21"/>
        </w:rPr>
        <w:t>（七）</w:t>
      </w:r>
      <w:r>
        <w:rPr>
          <w:rFonts w:hint="eastAsia" w:ascii="黑体" w:hAnsi="黑体" w:eastAsia="黑体" w:cs="Times New Roman"/>
          <w:b/>
          <w:bCs/>
          <w:sz w:val="28"/>
          <w:szCs w:val="21"/>
          <w:lang w:val="en-US" w:eastAsia="zh-CN"/>
        </w:rPr>
        <w:t>甘蔗收获</w:t>
      </w:r>
    </w:p>
    <w:p w14:paraId="49C21FE2">
      <w:pPr>
        <w:spacing w:line="360" w:lineRule="auto"/>
        <w:ind w:firstLine="480" w:firstLineChars="200"/>
        <w:rPr>
          <w:rFonts w:ascii="宋体" w:hAnsi="宋体" w:eastAsia="宋体"/>
          <w:sz w:val="24"/>
          <w:szCs w:val="24"/>
        </w:rPr>
      </w:pPr>
      <w:r>
        <w:rPr>
          <w:rFonts w:hint="eastAsia" w:ascii="宋体" w:hAnsi="宋体" w:eastAsia="宋体"/>
          <w:sz w:val="24"/>
          <w:szCs w:val="24"/>
        </w:rPr>
        <w:t>本章内容主要参照GB/T 19566的规定执行要求。</w:t>
      </w:r>
    </w:p>
    <w:p w14:paraId="40772310">
      <w:pPr>
        <w:keepNext/>
        <w:keepLines/>
        <w:spacing w:before="100" w:beforeAutospacing="1" w:after="100" w:afterAutospacing="1" w:line="360" w:lineRule="auto"/>
        <w:ind w:left="560" w:hanging="560"/>
        <w:outlineLvl w:val="1"/>
        <w:rPr>
          <w:rFonts w:eastAsia="黑体"/>
          <w:bCs/>
          <w:sz w:val="32"/>
          <w:szCs w:val="32"/>
        </w:rPr>
      </w:pPr>
      <w:r>
        <w:rPr>
          <w:rFonts w:hint="eastAsia" w:eastAsia="黑体"/>
          <w:bCs/>
          <w:sz w:val="32"/>
          <w:szCs w:val="32"/>
        </w:rPr>
        <w:t>三、技术经济论证和预期的经济效益、社会效益和生态效益</w:t>
      </w:r>
    </w:p>
    <w:p w14:paraId="0889A74F">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（一）技术经济论证</w:t>
      </w:r>
    </w:p>
    <w:p w14:paraId="0ADC0E16">
      <w:pPr>
        <w:tabs>
          <w:tab w:val="left" w:pos="7088"/>
        </w:tabs>
        <w:spacing w:line="360" w:lineRule="auto"/>
        <w:ind w:firstLine="480" w:firstLineChars="200"/>
        <w:rPr>
          <w:rFonts w:ascii="宋体" w:hAnsi="宋体" w:eastAsia="宋体"/>
          <w:sz w:val="24"/>
          <w:szCs w:val="24"/>
        </w:rPr>
      </w:pPr>
      <w:r>
        <w:rPr>
          <w:rFonts w:hint="eastAsia" w:ascii="宋体" w:hAnsi="宋体" w:eastAsia="宋体"/>
          <w:sz w:val="24"/>
          <w:szCs w:val="24"/>
        </w:rPr>
        <w:t>广东常年种植甘蔗160万亩左右，居全国第三，近年在甘蔗生产机械化方面做出了很大努力和进步，形成了一套“湛江模式”的甘蔗机械化生产路子。制定《</w:t>
      </w:r>
      <w:r>
        <w:rPr>
          <w:rFonts w:hint="eastAsia" w:ascii="Times New Roman" w:hAnsi="Times New Roman" w:eastAsia="宋体"/>
          <w:sz w:val="24"/>
        </w:rPr>
        <w:t>宿根甘蔗机械化作业技术规程</w:t>
      </w:r>
      <w:r>
        <w:rPr>
          <w:rFonts w:hint="eastAsia" w:ascii="宋体" w:hAnsi="宋体" w:eastAsia="宋体"/>
          <w:sz w:val="24"/>
          <w:szCs w:val="24"/>
        </w:rPr>
        <w:t>》湛江市地方标准也是广东省甘蔗机械化种植标准化示范区的重要成果之一，本标准作为示范区建设的重要标准支撑，为示范区标准体系的建设和实施提供了重要的依据。</w:t>
      </w:r>
    </w:p>
    <w:p w14:paraId="1CFF8B10">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（二）</w:t>
      </w:r>
      <w:r>
        <w:rPr>
          <w:rFonts w:ascii="黑体" w:hAnsi="黑体" w:eastAsia="黑体" w:cs="Times New Roman"/>
          <w:b/>
          <w:bCs/>
          <w:sz w:val="28"/>
          <w:szCs w:val="21"/>
        </w:rPr>
        <w:t>预期经济效果</w:t>
      </w:r>
    </w:p>
    <w:p w14:paraId="5D6F7DA1">
      <w:pPr>
        <w:spacing w:line="360" w:lineRule="auto"/>
        <w:ind w:firstLine="480" w:firstLineChars="200"/>
        <w:jc w:val="left"/>
        <w:outlineLvl w:val="0"/>
        <w:rPr>
          <w:rFonts w:ascii="宋体" w:hAnsi="宋体" w:eastAsia="宋体"/>
          <w:sz w:val="24"/>
          <w:szCs w:val="24"/>
        </w:rPr>
      </w:pPr>
      <w:r>
        <w:rPr>
          <w:rFonts w:hint="eastAsia" w:ascii="宋体" w:hAnsi="宋体" w:eastAsia="宋体"/>
          <w:sz w:val="24"/>
          <w:szCs w:val="24"/>
        </w:rPr>
        <w:t>此次地方标准按照广东省甘蔗机械化种植区域，尤其是湛江的麻章、遂溪、雷州、徐闻等地的不同情况进一步细化而来，通过</w:t>
      </w:r>
      <w:r>
        <w:rPr>
          <w:rFonts w:hint="eastAsia" w:ascii="Times New Roman" w:hAnsi="Times New Roman" w:eastAsia="宋体"/>
          <w:sz w:val="24"/>
        </w:rPr>
        <w:t>宿根甘蔗机械化作业技术规程</w:t>
      </w:r>
      <w:r>
        <w:rPr>
          <w:rFonts w:hint="eastAsia" w:ascii="宋体" w:hAnsi="宋体" w:eastAsia="宋体"/>
          <w:sz w:val="24"/>
          <w:szCs w:val="24"/>
        </w:rPr>
        <w:t>对甘蔗的机械化粉碎还田进行推广普及，促进湛江甘蔗废弃物利用，提高甘蔗种植户经济效益。</w:t>
      </w:r>
    </w:p>
    <w:p w14:paraId="5342D161">
      <w:pPr>
        <w:spacing w:line="360" w:lineRule="auto"/>
        <w:jc w:val="left"/>
        <w:outlineLvl w:val="0"/>
        <w:rPr>
          <w:rFonts w:ascii="黑体" w:hAnsi="黑体" w:eastAsia="黑体" w:cs="Times New Roman"/>
          <w:b/>
          <w:bCs/>
          <w:sz w:val="28"/>
          <w:szCs w:val="21"/>
        </w:rPr>
      </w:pPr>
      <w:r>
        <w:rPr>
          <w:rFonts w:hint="eastAsia" w:ascii="黑体" w:hAnsi="黑体" w:eastAsia="黑体" w:cs="Times New Roman"/>
          <w:b/>
          <w:bCs/>
          <w:sz w:val="28"/>
          <w:szCs w:val="21"/>
        </w:rPr>
        <w:t>（三）社会效益和生态效益</w:t>
      </w:r>
    </w:p>
    <w:p w14:paraId="555BF251">
      <w:pPr>
        <w:spacing w:line="360" w:lineRule="auto"/>
        <w:ind w:firstLine="480" w:firstLineChars="200"/>
        <w:rPr>
          <w:rFonts w:ascii="宋体" w:hAnsi="宋体" w:eastAsia="宋体"/>
          <w:sz w:val="24"/>
          <w:szCs w:val="24"/>
        </w:rPr>
      </w:pPr>
      <w:r>
        <w:rPr>
          <w:rFonts w:hint="eastAsia" w:ascii="宋体" w:hAnsi="宋体" w:eastAsia="宋体"/>
          <w:sz w:val="24"/>
          <w:szCs w:val="24"/>
        </w:rPr>
        <w:t>制定《</w:t>
      </w:r>
      <w:r>
        <w:rPr>
          <w:rFonts w:hint="eastAsia" w:ascii="Times New Roman" w:hAnsi="Times New Roman" w:eastAsia="宋体"/>
          <w:sz w:val="24"/>
        </w:rPr>
        <w:t>宿根甘蔗机械化作业技术规程</w:t>
      </w:r>
      <w:r>
        <w:rPr>
          <w:rFonts w:hint="eastAsia" w:ascii="宋体" w:hAnsi="宋体" w:eastAsia="宋体"/>
          <w:sz w:val="24"/>
          <w:szCs w:val="24"/>
        </w:rPr>
        <w:t>》有利于进一步提高甘蔗生产组织对宿根甘蔗机械化</w:t>
      </w:r>
      <w:r>
        <w:rPr>
          <w:rFonts w:hint="eastAsia" w:ascii="宋体" w:hAnsi="宋体" w:eastAsia="宋体"/>
          <w:sz w:val="24"/>
          <w:szCs w:val="24"/>
          <w:lang w:val="en-US" w:eastAsia="zh-CN"/>
        </w:rPr>
        <w:t>作业</w:t>
      </w:r>
      <w:r>
        <w:rPr>
          <w:rFonts w:hint="eastAsia" w:ascii="宋体" w:hAnsi="宋体" w:eastAsia="宋体"/>
          <w:sz w:val="24"/>
          <w:szCs w:val="24"/>
        </w:rPr>
        <w:t>的规范化意识，以点带面辐射周边生产单位规范执行甘蔗机械化生产，对湛江地区甘蔗机械化产业高质量发展具有积极而深远的影响。</w:t>
      </w:r>
    </w:p>
    <w:p w14:paraId="5E43D230">
      <w:pPr>
        <w:keepNext/>
        <w:keepLines/>
        <w:spacing w:before="100" w:beforeAutospacing="1" w:after="100" w:afterAutospacing="1" w:line="360" w:lineRule="auto"/>
        <w:ind w:left="560" w:hanging="560"/>
        <w:outlineLvl w:val="1"/>
        <w:rPr>
          <w:rFonts w:eastAsia="黑体"/>
          <w:bCs/>
          <w:sz w:val="32"/>
          <w:szCs w:val="32"/>
        </w:rPr>
      </w:pPr>
      <w:r>
        <w:rPr>
          <w:rFonts w:hint="eastAsia" w:eastAsia="黑体"/>
          <w:bCs/>
          <w:sz w:val="32"/>
          <w:szCs w:val="32"/>
        </w:rPr>
        <w:t>四、与国际、国外同类标准技术内容的对比情况</w:t>
      </w:r>
    </w:p>
    <w:p w14:paraId="55C99B43">
      <w:pPr>
        <w:spacing w:line="360" w:lineRule="auto"/>
        <w:ind w:firstLine="480" w:firstLineChars="200"/>
        <w:rPr>
          <w:rFonts w:ascii="宋体" w:hAnsi="宋体" w:eastAsia="宋体"/>
          <w:sz w:val="24"/>
          <w:szCs w:val="24"/>
        </w:rPr>
      </w:pPr>
      <w:r>
        <w:rPr>
          <w:rFonts w:hint="eastAsia" w:ascii="宋体" w:hAnsi="宋体" w:eastAsia="宋体"/>
          <w:sz w:val="24"/>
          <w:szCs w:val="24"/>
        </w:rPr>
        <w:t>目前，国内甘蔗叶机械化粉碎相关的标准已有DB45/T 561-2008《蔗叶粉碎还田机</w:t>
      </w:r>
      <w:r>
        <w:rPr>
          <w:rFonts w:hint="eastAsia" w:ascii="宋体" w:hAnsi="宋体" w:eastAsia="宋体"/>
          <w:sz w:val="24"/>
          <w:szCs w:val="24"/>
          <w:lang w:val="en-US" w:eastAsia="zh-CN"/>
        </w:rPr>
        <w:t xml:space="preserve"> </w:t>
      </w:r>
      <w:r>
        <w:rPr>
          <w:rFonts w:hint="eastAsia" w:ascii="宋体" w:hAnsi="宋体" w:eastAsia="宋体"/>
          <w:sz w:val="24"/>
          <w:szCs w:val="24"/>
        </w:rPr>
        <w:t>作业质量》、NY/T 3889-2021《甘蔗全程机械化生产技术规范》、NY/T 2991-2016《农机农艺结合生产技术规程 甘蔗》等，广西、云南等地也制定有相关地方标准。目前，仍没有一个标准能按照广东省甘蔗种植区域，尤其是湛江的麻章、遂溪、雷州、徐闻等地的不同情况进一步细化适应当地情况的应用标准。本标准在编制过程中，主要以湛江地区宿根甘蔗机械化产业实际发展情况以及技术条件为基础，并依据实际情况对条文内容进行修改和补充，标准的可操作性，先进性更符合湛江地区的甘蔗叶机械化粉碎还田生产要求。</w:t>
      </w:r>
    </w:p>
    <w:p w14:paraId="57246900">
      <w:pPr>
        <w:keepNext/>
        <w:keepLines/>
        <w:spacing w:before="100" w:beforeAutospacing="1" w:after="100" w:afterAutospacing="1" w:line="360" w:lineRule="auto"/>
        <w:ind w:left="560" w:hanging="560"/>
        <w:outlineLvl w:val="1"/>
        <w:rPr>
          <w:rFonts w:ascii="Times New Roman" w:hAnsi="Times New Roman" w:eastAsia="黑体" w:cs="Times New Roman"/>
          <w:bCs/>
          <w:sz w:val="32"/>
          <w:szCs w:val="32"/>
        </w:rPr>
      </w:pPr>
      <w:r>
        <w:rPr>
          <w:rFonts w:hint="eastAsia" w:ascii="Times New Roman" w:hAnsi="Times New Roman" w:eastAsia="黑体" w:cs="Times New Roman"/>
          <w:bCs/>
          <w:sz w:val="32"/>
          <w:szCs w:val="32"/>
        </w:rPr>
        <w:t>五、以国际标准为基础的起草情况，以及是否合规引用或者采用国际国外标准，并说明未采用国际标准的原因</w:t>
      </w:r>
    </w:p>
    <w:p w14:paraId="52656A0C">
      <w:pPr>
        <w:spacing w:line="440" w:lineRule="exac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目前没有专门针对</w:t>
      </w:r>
      <w:r>
        <w:rPr>
          <w:rFonts w:hint="eastAsia" w:ascii="Times New Roman" w:hAnsi="Times New Roman" w:eastAsia="宋体"/>
          <w:sz w:val="24"/>
        </w:rPr>
        <w:t>宿根甘蔗机械化</w:t>
      </w:r>
      <w:r>
        <w:rPr>
          <w:rFonts w:hint="eastAsia" w:ascii="Times New Roman" w:hAnsi="Times New Roman" w:eastAsia="宋体" w:cs="Times New Roman"/>
          <w:sz w:val="24"/>
          <w:szCs w:val="24"/>
        </w:rPr>
        <w:t>技术的国际、国外标准，因此，本标准未采用国际标准和国外先进标准。</w:t>
      </w:r>
    </w:p>
    <w:p w14:paraId="059481D3">
      <w:pPr>
        <w:pStyle w:val="2"/>
        <w:ind w:left="600" w:hanging="600"/>
        <w:rPr>
          <w:rFonts w:cs="Times New Roman"/>
        </w:rPr>
      </w:pPr>
      <w:r>
        <w:rPr>
          <w:rFonts w:hint="eastAsia" w:cs="Times New Roman"/>
          <w:bCs w:val="0"/>
        </w:rPr>
        <w:t>六、</w:t>
      </w:r>
      <w:r>
        <w:rPr>
          <w:rFonts w:hint="eastAsia" w:cs="Times New Roman"/>
        </w:rPr>
        <w:t>与有关法律、行政法规及相关标准的关系</w:t>
      </w:r>
    </w:p>
    <w:p w14:paraId="43C1CBFC">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本标准与现行的法律法规、强制性标准的规定一致。</w:t>
      </w:r>
    </w:p>
    <w:p w14:paraId="7FDF9DB4">
      <w:pPr>
        <w:keepNext/>
        <w:keepLines/>
        <w:spacing w:before="100" w:beforeAutospacing="1" w:after="100" w:afterAutospacing="1" w:line="360" w:lineRule="auto"/>
        <w:ind w:left="600" w:hanging="600" w:hangingChars="200"/>
        <w:outlineLvl w:val="0"/>
        <w:rPr>
          <w:rFonts w:ascii="Times New Roman" w:hAnsi="Times New Roman" w:eastAsia="黑体" w:cs="Times New Roman"/>
          <w:bCs/>
          <w:kern w:val="44"/>
          <w:sz w:val="30"/>
          <w:szCs w:val="44"/>
        </w:rPr>
      </w:pPr>
      <w:r>
        <w:rPr>
          <w:rFonts w:hint="eastAsia" w:ascii="Times New Roman" w:hAnsi="Times New Roman" w:eastAsia="黑体" w:cs="Times New Roman"/>
          <w:bCs/>
          <w:kern w:val="44"/>
          <w:sz w:val="30"/>
          <w:szCs w:val="44"/>
        </w:rPr>
        <w:t>七、重大分歧意见的处理经过和依据</w:t>
      </w:r>
    </w:p>
    <w:p w14:paraId="4E217A49">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在标准撰写过程中，没有出现重大意见分歧，在标准实施的过程中，有待于广泛征求广大专家和研究、生产、管理单位的意见，根据我国实际情况，按照标准化的原则，协商解决分歧意见。</w:t>
      </w:r>
    </w:p>
    <w:p w14:paraId="2271A4F8">
      <w:pPr>
        <w:keepNext/>
        <w:keepLines/>
        <w:spacing w:before="100" w:beforeAutospacing="1" w:after="100" w:afterAutospacing="1" w:line="360" w:lineRule="auto"/>
        <w:ind w:left="560" w:hanging="560"/>
        <w:outlineLvl w:val="1"/>
        <w:rPr>
          <w:rFonts w:eastAsia="黑体"/>
          <w:bCs/>
          <w:sz w:val="32"/>
          <w:szCs w:val="32"/>
        </w:rPr>
      </w:pPr>
      <w:r>
        <w:rPr>
          <w:rFonts w:hint="eastAsia" w:eastAsia="黑体"/>
          <w:bCs/>
          <w:sz w:val="32"/>
          <w:szCs w:val="32"/>
        </w:rPr>
        <w:t>八、涉及专利的有关说明</w:t>
      </w:r>
    </w:p>
    <w:p w14:paraId="4A5387D1">
      <w:pPr>
        <w:spacing w:line="440" w:lineRule="exact"/>
        <w:ind w:firstLine="480"/>
        <w:rPr>
          <w:rFonts w:hint="eastAsia" w:eastAsiaTheme="minorEastAsia"/>
          <w:sz w:val="24"/>
          <w:lang w:val="en-US" w:eastAsia="zh-CN"/>
        </w:rPr>
      </w:pPr>
      <w:r>
        <w:rPr>
          <w:rFonts w:hint="eastAsia"/>
          <w:sz w:val="24"/>
          <w:lang w:val="en-US" w:eastAsia="zh-CN"/>
        </w:rPr>
        <w:t>无</w:t>
      </w:r>
    </w:p>
    <w:p w14:paraId="4E177278">
      <w:pPr>
        <w:keepNext/>
        <w:keepLines/>
        <w:spacing w:before="100" w:beforeAutospacing="1" w:after="100" w:afterAutospacing="1" w:line="360" w:lineRule="auto"/>
        <w:ind w:left="600" w:hanging="600" w:hangingChars="200"/>
        <w:outlineLvl w:val="0"/>
        <w:rPr>
          <w:rFonts w:ascii="Times New Roman" w:hAnsi="Times New Roman" w:eastAsia="黑体" w:cs="Times New Roman"/>
          <w:bCs/>
          <w:kern w:val="44"/>
          <w:sz w:val="30"/>
          <w:szCs w:val="44"/>
        </w:rPr>
      </w:pPr>
      <w:r>
        <w:rPr>
          <w:rFonts w:hint="eastAsia" w:ascii="Times New Roman" w:hAnsi="Times New Roman" w:eastAsia="黑体" w:cs="Times New Roman"/>
          <w:bCs/>
          <w:kern w:val="44"/>
          <w:sz w:val="30"/>
          <w:szCs w:val="44"/>
        </w:rPr>
        <w:t>九、贯彻标准的要求和措施建议</w:t>
      </w:r>
    </w:p>
    <w:p w14:paraId="183B4D60">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本标准的制定与实施，将进一步规范湛江地区甘蔗叶机械化粉碎还田的技术要求，可加快湛江市秸秆废弃物综合利用步伐，促进甘蔗叶机械化粉碎还田技术更好更快的大面积推广应用，进一步提高甘蔗生产效率，缩减成本，加强生产经营者的管理和对产品质量的监督能力，保护生产经营者和消费者的合法权益，因此，必须在湛江地区积极宣贯本标准。结合示范区建设，积极开展标准宣贯活动，组织生产者参加各种型式的标准化培训以及现场观摩学习活动，培养生产者的标准化意识，对生产技术人员进行标准化培训，提高生产者的标准化生产水平，鼓励生产经营者按照标准的要求规范生产，带动示范更多生产者采用标准化生产。</w:t>
      </w:r>
    </w:p>
    <w:p w14:paraId="1A0B170A">
      <w:pPr>
        <w:pStyle w:val="2"/>
        <w:ind w:left="600" w:hanging="600"/>
        <w:rPr>
          <w:rFonts w:cs="Times New Roman"/>
        </w:rPr>
      </w:pPr>
      <w:r>
        <w:rPr>
          <w:rFonts w:hint="eastAsia" w:cs="Times New Roman"/>
        </w:rPr>
        <w:t>十</w:t>
      </w:r>
      <w:r>
        <w:rPr>
          <w:rFonts w:hint="eastAsia" w:cs="Times New Roman"/>
          <w:bCs w:val="0"/>
        </w:rPr>
        <w:t>、</w:t>
      </w:r>
      <w:r>
        <w:rPr>
          <w:rFonts w:hint="eastAsia" w:cs="Times New Roman"/>
        </w:rPr>
        <w:t>其他应予说明的事项</w:t>
      </w:r>
    </w:p>
    <w:p w14:paraId="64A86E4C">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无。</w:t>
      </w:r>
    </w:p>
    <w:p w14:paraId="6E370A54">
      <w:pPr>
        <w:spacing w:line="360" w:lineRule="auto"/>
        <w:ind w:firstLine="480" w:firstLineChars="200"/>
        <w:jc w:val="right"/>
        <w:rPr>
          <w:rFonts w:ascii="Times New Roman" w:hAnsi="Times New Roman" w:eastAsia="宋体" w:cs="Times New Roman"/>
          <w:sz w:val="24"/>
        </w:rPr>
      </w:pPr>
    </w:p>
    <w:p w14:paraId="37954565">
      <w:pPr>
        <w:spacing w:line="360" w:lineRule="auto"/>
        <w:ind w:firstLine="480" w:firstLineChars="200"/>
        <w:jc w:val="right"/>
        <w:rPr>
          <w:rFonts w:ascii="Times New Roman" w:hAnsi="Times New Roman" w:eastAsia="宋体" w:cs="Times New Roman"/>
          <w:sz w:val="24"/>
        </w:rPr>
      </w:pPr>
      <w:r>
        <w:rPr>
          <w:rFonts w:hint="eastAsia" w:ascii="Times New Roman" w:hAnsi="Times New Roman" w:eastAsia="宋体" w:cs="Times New Roman"/>
          <w:sz w:val="24"/>
        </w:rPr>
        <w:t>《</w:t>
      </w:r>
      <w:r>
        <w:rPr>
          <w:rFonts w:hint="eastAsia" w:ascii="Times New Roman" w:hAnsi="Times New Roman" w:eastAsia="宋体" w:cs="Times New Roman"/>
          <w:sz w:val="24"/>
          <w:szCs w:val="24"/>
        </w:rPr>
        <w:t>宿根甘蔗机械化作业技术规程</w:t>
      </w:r>
      <w:r>
        <w:rPr>
          <w:rFonts w:hint="eastAsia" w:ascii="Times New Roman" w:hAnsi="Times New Roman" w:eastAsia="宋体" w:cs="Times New Roman"/>
          <w:sz w:val="24"/>
        </w:rPr>
        <w:t>》标准起草小组</w:t>
      </w:r>
    </w:p>
    <w:p w14:paraId="3EE679ED">
      <w:pPr>
        <w:wordWrap w:val="0"/>
        <w:spacing w:line="360" w:lineRule="auto"/>
        <w:ind w:left="4140" w:right="600" w:firstLine="480" w:firstLineChars="200"/>
        <w:jc w:val="center"/>
        <w:rPr>
          <w:rFonts w:ascii="Times New Roman" w:hAnsi="Times New Roman" w:eastAsia="宋体" w:cs="Times New Roman"/>
          <w:sz w:val="24"/>
        </w:rPr>
      </w:pPr>
      <w:bookmarkStart w:id="0" w:name="_GoBack"/>
      <w:bookmarkEnd w:id="0"/>
      <w:r>
        <w:rPr>
          <w:rFonts w:hint="eastAsia" w:ascii="Times New Roman" w:hAnsi="Times New Roman" w:eastAsia="宋体" w:cs="Times New Roman"/>
          <w:sz w:val="24"/>
        </w:rPr>
        <w:t>2</w:t>
      </w:r>
      <w:r>
        <w:rPr>
          <w:rFonts w:ascii="Times New Roman" w:hAnsi="Times New Roman" w:eastAsia="宋体" w:cs="Times New Roman"/>
          <w:sz w:val="24"/>
        </w:rPr>
        <w:t>0</w:t>
      </w:r>
      <w:r>
        <w:rPr>
          <w:rFonts w:hint="eastAsia" w:ascii="Times New Roman" w:hAnsi="Times New Roman" w:eastAsia="宋体" w:cs="Times New Roman"/>
          <w:sz w:val="24"/>
        </w:rPr>
        <w:t>24年</w:t>
      </w:r>
      <w:r>
        <w:rPr>
          <w:rFonts w:hint="eastAsia" w:ascii="Times New Roman" w:hAnsi="Times New Roman" w:eastAsia="宋体" w:cs="Times New Roman"/>
          <w:sz w:val="24"/>
          <w:lang w:val="en-US" w:eastAsia="zh-CN"/>
        </w:rPr>
        <w:t>11</w:t>
      </w:r>
      <w:r>
        <w:rPr>
          <w:rFonts w:hint="eastAsia" w:ascii="Times New Roman" w:hAnsi="Times New Roman" w:eastAsia="宋体" w:cs="Times New Roman"/>
          <w:sz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8E3610"/>
    <w:rsid w:val="00003758"/>
    <w:rsid w:val="000166AF"/>
    <w:rsid w:val="00050A5B"/>
    <w:rsid w:val="0006489E"/>
    <w:rsid w:val="00070B61"/>
    <w:rsid w:val="00092DF7"/>
    <w:rsid w:val="000B56F7"/>
    <w:rsid w:val="000C075C"/>
    <w:rsid w:val="000C5249"/>
    <w:rsid w:val="000C7873"/>
    <w:rsid w:val="000D5792"/>
    <w:rsid w:val="000E01BC"/>
    <w:rsid w:val="000F0A72"/>
    <w:rsid w:val="000F66A9"/>
    <w:rsid w:val="00131345"/>
    <w:rsid w:val="001316F3"/>
    <w:rsid w:val="00170857"/>
    <w:rsid w:val="00170D37"/>
    <w:rsid w:val="00180014"/>
    <w:rsid w:val="001877E6"/>
    <w:rsid w:val="00194D9B"/>
    <w:rsid w:val="001A2BD3"/>
    <w:rsid w:val="001B7BCE"/>
    <w:rsid w:val="001D116A"/>
    <w:rsid w:val="002048BD"/>
    <w:rsid w:val="002067A2"/>
    <w:rsid w:val="00206E31"/>
    <w:rsid w:val="00217263"/>
    <w:rsid w:val="00230BC5"/>
    <w:rsid w:val="00246121"/>
    <w:rsid w:val="00247670"/>
    <w:rsid w:val="00264BDF"/>
    <w:rsid w:val="002B2E87"/>
    <w:rsid w:val="002B3967"/>
    <w:rsid w:val="002B627C"/>
    <w:rsid w:val="002B6BA1"/>
    <w:rsid w:val="002F1402"/>
    <w:rsid w:val="002F1F2B"/>
    <w:rsid w:val="002F43AB"/>
    <w:rsid w:val="002F7C5D"/>
    <w:rsid w:val="00320AD2"/>
    <w:rsid w:val="00340C90"/>
    <w:rsid w:val="003423CB"/>
    <w:rsid w:val="00352EB1"/>
    <w:rsid w:val="00357504"/>
    <w:rsid w:val="003661D3"/>
    <w:rsid w:val="00382712"/>
    <w:rsid w:val="00386893"/>
    <w:rsid w:val="003A7C63"/>
    <w:rsid w:val="003B1189"/>
    <w:rsid w:val="003B70DB"/>
    <w:rsid w:val="003B750E"/>
    <w:rsid w:val="003E00B5"/>
    <w:rsid w:val="003F54B6"/>
    <w:rsid w:val="003F6A07"/>
    <w:rsid w:val="00406AAC"/>
    <w:rsid w:val="00406F21"/>
    <w:rsid w:val="00426590"/>
    <w:rsid w:val="00436BD3"/>
    <w:rsid w:val="00484FBE"/>
    <w:rsid w:val="00487888"/>
    <w:rsid w:val="0049289C"/>
    <w:rsid w:val="00497B7E"/>
    <w:rsid w:val="004C30D1"/>
    <w:rsid w:val="004D1E13"/>
    <w:rsid w:val="004D395E"/>
    <w:rsid w:val="004E119D"/>
    <w:rsid w:val="005008DC"/>
    <w:rsid w:val="00505E88"/>
    <w:rsid w:val="00517006"/>
    <w:rsid w:val="00521E49"/>
    <w:rsid w:val="00522006"/>
    <w:rsid w:val="0052300E"/>
    <w:rsid w:val="0053008D"/>
    <w:rsid w:val="005348D9"/>
    <w:rsid w:val="00574CB9"/>
    <w:rsid w:val="005C77FA"/>
    <w:rsid w:val="005F39CD"/>
    <w:rsid w:val="00637950"/>
    <w:rsid w:val="00637EFD"/>
    <w:rsid w:val="006606BD"/>
    <w:rsid w:val="00664002"/>
    <w:rsid w:val="00666C41"/>
    <w:rsid w:val="00671154"/>
    <w:rsid w:val="006729EC"/>
    <w:rsid w:val="00673916"/>
    <w:rsid w:val="00680EBB"/>
    <w:rsid w:val="006C1D7B"/>
    <w:rsid w:val="006E02A1"/>
    <w:rsid w:val="006F52D4"/>
    <w:rsid w:val="00702A9E"/>
    <w:rsid w:val="007032EC"/>
    <w:rsid w:val="00734215"/>
    <w:rsid w:val="00737A8A"/>
    <w:rsid w:val="0074028F"/>
    <w:rsid w:val="00754F3A"/>
    <w:rsid w:val="00764923"/>
    <w:rsid w:val="007806BC"/>
    <w:rsid w:val="0079101A"/>
    <w:rsid w:val="007B45A4"/>
    <w:rsid w:val="007D1552"/>
    <w:rsid w:val="007F399E"/>
    <w:rsid w:val="007F76CB"/>
    <w:rsid w:val="008021EF"/>
    <w:rsid w:val="0080794E"/>
    <w:rsid w:val="00811A5B"/>
    <w:rsid w:val="00812DAD"/>
    <w:rsid w:val="0081602C"/>
    <w:rsid w:val="0082166E"/>
    <w:rsid w:val="00824339"/>
    <w:rsid w:val="0084443B"/>
    <w:rsid w:val="008536A5"/>
    <w:rsid w:val="00864B65"/>
    <w:rsid w:val="00887173"/>
    <w:rsid w:val="008A4890"/>
    <w:rsid w:val="008A6985"/>
    <w:rsid w:val="008E3610"/>
    <w:rsid w:val="009322B3"/>
    <w:rsid w:val="0094305B"/>
    <w:rsid w:val="0095081A"/>
    <w:rsid w:val="00951843"/>
    <w:rsid w:val="00956582"/>
    <w:rsid w:val="0097646D"/>
    <w:rsid w:val="009951CF"/>
    <w:rsid w:val="009A0B8D"/>
    <w:rsid w:val="009B4ADC"/>
    <w:rsid w:val="009F3565"/>
    <w:rsid w:val="00A304B5"/>
    <w:rsid w:val="00A437EF"/>
    <w:rsid w:val="00A558F5"/>
    <w:rsid w:val="00A56DC1"/>
    <w:rsid w:val="00A81C5C"/>
    <w:rsid w:val="00A83119"/>
    <w:rsid w:val="00A907C1"/>
    <w:rsid w:val="00AA5738"/>
    <w:rsid w:val="00AB584F"/>
    <w:rsid w:val="00AC7259"/>
    <w:rsid w:val="00AD28D8"/>
    <w:rsid w:val="00AE52EF"/>
    <w:rsid w:val="00B01130"/>
    <w:rsid w:val="00B05076"/>
    <w:rsid w:val="00B10EAA"/>
    <w:rsid w:val="00B31FB9"/>
    <w:rsid w:val="00B40B2F"/>
    <w:rsid w:val="00B623A1"/>
    <w:rsid w:val="00B722FB"/>
    <w:rsid w:val="00BA20AB"/>
    <w:rsid w:val="00BA5F41"/>
    <w:rsid w:val="00BA7779"/>
    <w:rsid w:val="00BE03E4"/>
    <w:rsid w:val="00BE0AED"/>
    <w:rsid w:val="00BE3D5C"/>
    <w:rsid w:val="00BF30C2"/>
    <w:rsid w:val="00BF7B7E"/>
    <w:rsid w:val="00C05372"/>
    <w:rsid w:val="00C447EC"/>
    <w:rsid w:val="00C53720"/>
    <w:rsid w:val="00C74AAA"/>
    <w:rsid w:val="00C84F8F"/>
    <w:rsid w:val="00C85B48"/>
    <w:rsid w:val="00C90D57"/>
    <w:rsid w:val="00CD3BE5"/>
    <w:rsid w:val="00CD6312"/>
    <w:rsid w:val="00CF0DAB"/>
    <w:rsid w:val="00CF3365"/>
    <w:rsid w:val="00D0291D"/>
    <w:rsid w:val="00D03DBA"/>
    <w:rsid w:val="00D31EAE"/>
    <w:rsid w:val="00D32671"/>
    <w:rsid w:val="00D746D6"/>
    <w:rsid w:val="00D84B6F"/>
    <w:rsid w:val="00D8718E"/>
    <w:rsid w:val="00D95735"/>
    <w:rsid w:val="00DC7D63"/>
    <w:rsid w:val="00DD6F9A"/>
    <w:rsid w:val="00DD797F"/>
    <w:rsid w:val="00DE5AAF"/>
    <w:rsid w:val="00DF18DC"/>
    <w:rsid w:val="00E20A3E"/>
    <w:rsid w:val="00E24F81"/>
    <w:rsid w:val="00E40A42"/>
    <w:rsid w:val="00E53C20"/>
    <w:rsid w:val="00E803DA"/>
    <w:rsid w:val="00E92696"/>
    <w:rsid w:val="00EA66DF"/>
    <w:rsid w:val="00EC11DB"/>
    <w:rsid w:val="00ED152D"/>
    <w:rsid w:val="00EE2374"/>
    <w:rsid w:val="00EE6AFB"/>
    <w:rsid w:val="00F06208"/>
    <w:rsid w:val="00F15846"/>
    <w:rsid w:val="00F25F0B"/>
    <w:rsid w:val="00F32C67"/>
    <w:rsid w:val="00F46FE2"/>
    <w:rsid w:val="00F54091"/>
    <w:rsid w:val="00F572A1"/>
    <w:rsid w:val="00F649A1"/>
    <w:rsid w:val="00F67ED9"/>
    <w:rsid w:val="00F80C8D"/>
    <w:rsid w:val="00F847EF"/>
    <w:rsid w:val="00F91521"/>
    <w:rsid w:val="00F91B5A"/>
    <w:rsid w:val="00FE0261"/>
    <w:rsid w:val="00FE5448"/>
    <w:rsid w:val="00FF69F4"/>
    <w:rsid w:val="02326007"/>
    <w:rsid w:val="065F17FD"/>
    <w:rsid w:val="105B7694"/>
    <w:rsid w:val="12E75B94"/>
    <w:rsid w:val="13E1207F"/>
    <w:rsid w:val="14FF6828"/>
    <w:rsid w:val="17512598"/>
    <w:rsid w:val="17561F6C"/>
    <w:rsid w:val="1AD5150D"/>
    <w:rsid w:val="2516105B"/>
    <w:rsid w:val="2A5D044D"/>
    <w:rsid w:val="2CD56804"/>
    <w:rsid w:val="311528E1"/>
    <w:rsid w:val="318F2B68"/>
    <w:rsid w:val="3A7909FE"/>
    <w:rsid w:val="3B3101AC"/>
    <w:rsid w:val="3CDF0090"/>
    <w:rsid w:val="3D0542A8"/>
    <w:rsid w:val="40692077"/>
    <w:rsid w:val="4105230C"/>
    <w:rsid w:val="42923DA3"/>
    <w:rsid w:val="43270C59"/>
    <w:rsid w:val="43B90ADA"/>
    <w:rsid w:val="483C1FCE"/>
    <w:rsid w:val="4A9A046C"/>
    <w:rsid w:val="4BE4094F"/>
    <w:rsid w:val="4E2630EC"/>
    <w:rsid w:val="574E25C1"/>
    <w:rsid w:val="5C58107B"/>
    <w:rsid w:val="5D7336BB"/>
    <w:rsid w:val="608D17DD"/>
    <w:rsid w:val="62C80B5E"/>
    <w:rsid w:val="66740F95"/>
    <w:rsid w:val="69034EC2"/>
    <w:rsid w:val="698C5D3A"/>
    <w:rsid w:val="6A1C51C8"/>
    <w:rsid w:val="6FF32143"/>
    <w:rsid w:val="70FA2C6C"/>
    <w:rsid w:val="71A32425"/>
    <w:rsid w:val="740F6B94"/>
    <w:rsid w:val="7B9C6F67"/>
    <w:rsid w:val="7CF036CC"/>
    <w:rsid w:val="7D4E28AB"/>
    <w:rsid w:val="7DC60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100" w:beforeAutospacing="1" w:after="100" w:afterAutospacing="1" w:line="360" w:lineRule="auto"/>
      <w:outlineLvl w:val="0"/>
    </w:pPr>
    <w:rPr>
      <w:rFonts w:ascii="Times New Roman" w:hAnsi="Times New Roman" w:eastAsia="黑体"/>
      <w:bCs/>
      <w:kern w:val="44"/>
      <w:sz w:val="30"/>
      <w:szCs w:val="44"/>
    </w:rPr>
  </w:style>
  <w:style w:type="paragraph" w:styleId="3">
    <w:name w:val="heading 2"/>
    <w:basedOn w:val="1"/>
    <w:next w:val="1"/>
    <w:link w:val="14"/>
    <w:unhideWhenUsed/>
    <w:qFormat/>
    <w:uiPriority w:val="9"/>
    <w:pPr>
      <w:keepNext/>
      <w:keepLines/>
      <w:spacing w:before="100" w:beforeAutospacing="1" w:after="100" w:afterAutospacing="1" w:line="360" w:lineRule="auto"/>
      <w:outlineLvl w:val="1"/>
    </w:pPr>
    <w:rPr>
      <w:rFonts w:ascii="Times New Roman" w:hAnsi="Times New Roman" w:eastAsia="黑体" w:cstheme="majorBidi"/>
      <w:bCs/>
      <w:sz w:val="28"/>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7"/>
    <w:semiHidden/>
    <w:unhideWhenUsed/>
    <w:qFormat/>
    <w:uiPriority w:val="99"/>
    <w:rPr>
      <w:rFonts w:ascii="宋体" w:eastAsia="宋体"/>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link w:val="12"/>
    <w:qFormat/>
    <w:uiPriority w:val="10"/>
    <w:pPr>
      <w:spacing w:before="240" w:after="60" w:line="360" w:lineRule="auto"/>
      <w:ind w:firstLine="200" w:firstLineChars="200"/>
      <w:jc w:val="center"/>
      <w:outlineLvl w:val="0"/>
    </w:pPr>
    <w:rPr>
      <w:rFonts w:eastAsia="宋体" w:asciiTheme="majorHAnsi" w:hAnsiTheme="majorHAnsi" w:cstheme="majorBidi"/>
      <w:b/>
      <w:bCs/>
      <w:sz w:val="32"/>
      <w:szCs w:val="32"/>
    </w:rPr>
  </w:style>
  <w:style w:type="character" w:styleId="11">
    <w:name w:val="Strong"/>
    <w:basedOn w:val="10"/>
    <w:qFormat/>
    <w:uiPriority w:val="22"/>
    <w:rPr>
      <w:b/>
      <w:bCs/>
    </w:rPr>
  </w:style>
  <w:style w:type="character" w:customStyle="1" w:styleId="12">
    <w:name w:val="标题 Char"/>
    <w:basedOn w:val="10"/>
    <w:link w:val="8"/>
    <w:qFormat/>
    <w:uiPriority w:val="10"/>
    <w:rPr>
      <w:rFonts w:eastAsia="宋体" w:asciiTheme="majorHAnsi" w:hAnsiTheme="majorHAnsi" w:cstheme="majorBidi"/>
      <w:b/>
      <w:bCs/>
      <w:sz w:val="32"/>
      <w:szCs w:val="32"/>
    </w:rPr>
  </w:style>
  <w:style w:type="character" w:customStyle="1" w:styleId="13">
    <w:name w:val="标题 1 Char"/>
    <w:basedOn w:val="10"/>
    <w:link w:val="2"/>
    <w:qFormat/>
    <w:uiPriority w:val="9"/>
    <w:rPr>
      <w:rFonts w:ascii="Times New Roman" w:hAnsi="Times New Roman" w:eastAsia="黑体"/>
      <w:bCs/>
      <w:kern w:val="44"/>
      <w:sz w:val="30"/>
      <w:szCs w:val="44"/>
    </w:rPr>
  </w:style>
  <w:style w:type="character" w:customStyle="1" w:styleId="14">
    <w:name w:val="标题 2 Char"/>
    <w:basedOn w:val="10"/>
    <w:link w:val="3"/>
    <w:qFormat/>
    <w:uiPriority w:val="9"/>
    <w:rPr>
      <w:rFonts w:ascii="Times New Roman" w:hAnsi="Times New Roman" w:eastAsia="黑体" w:cstheme="majorBidi"/>
      <w:bCs/>
      <w:sz w:val="28"/>
      <w:szCs w:val="32"/>
    </w:rPr>
  </w:style>
  <w:style w:type="character" w:customStyle="1" w:styleId="15">
    <w:name w:val="页眉 Char"/>
    <w:basedOn w:val="10"/>
    <w:link w:val="6"/>
    <w:qFormat/>
    <w:uiPriority w:val="99"/>
    <w:rPr>
      <w:sz w:val="18"/>
      <w:szCs w:val="18"/>
    </w:rPr>
  </w:style>
  <w:style w:type="character" w:customStyle="1" w:styleId="16">
    <w:name w:val="页脚 Char"/>
    <w:basedOn w:val="10"/>
    <w:link w:val="5"/>
    <w:qFormat/>
    <w:uiPriority w:val="99"/>
    <w:rPr>
      <w:sz w:val="18"/>
      <w:szCs w:val="18"/>
    </w:rPr>
  </w:style>
  <w:style w:type="character" w:customStyle="1" w:styleId="17">
    <w:name w:val="文档结构图 Char"/>
    <w:basedOn w:val="10"/>
    <w:link w:val="4"/>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6FDE0-379B-4C40-AD3C-C78396FC605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3499</Words>
  <Characters>3616</Characters>
  <Lines>35</Lines>
  <Paragraphs>10</Paragraphs>
  <TotalTime>3854</TotalTime>
  <ScaleCrop>false</ScaleCrop>
  <LinksUpToDate>false</LinksUpToDate>
  <CharactersWithSpaces>3632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2024-09-13T07:22:00Z</dcterms:created>
  <dc:creator>Administrator</dc:creator>
  <cp:lastModifiedBy>VL1409714954</cp:lastModifiedBy>
  <cp:lastPrinted>2024-09-28T07:50:00Z</cp:lastPrinted>
  <dcterms:modified xsi:type="dcterms:W3CDTF">2024-12-02T08:59:03Z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0F466CBD0F134A93939DB24A8C8F96AA_13</vt:lpwstr>
  </property>
</Properties>
</file>