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0"/>
        <w:jc w:val="center"/>
        <w:rPr>
          <w:rFonts w:ascii="黑体" w:hAnsi="黑体" w:eastAsia="黑体"/>
          <w:sz w:val="32"/>
          <w:szCs w:val="32"/>
        </w:rPr>
      </w:pPr>
      <w:r>
        <w:rPr>
          <w:rFonts w:hint="eastAsia" w:ascii="黑体" w:hAnsi="黑体" w:eastAsia="黑体"/>
          <w:sz w:val="32"/>
          <w:szCs w:val="32"/>
        </w:rPr>
        <w:t>衢州市食品科学技术学会团体标准</w:t>
      </w:r>
    </w:p>
    <w:p>
      <w:pPr>
        <w:spacing w:after="0"/>
        <w:jc w:val="center"/>
        <w:rPr>
          <w:rFonts w:ascii="方正小标宋_GBK" w:hAnsi="宋体" w:eastAsia="方正小标宋_GBK"/>
          <w:sz w:val="32"/>
          <w:szCs w:val="32"/>
        </w:rPr>
      </w:pPr>
      <w:r>
        <w:rPr>
          <w:rFonts w:hint="eastAsia" w:ascii="黑体" w:hAnsi="黑体" w:eastAsia="黑体" w:cs="Times New Roman"/>
          <w:sz w:val="32"/>
          <w:szCs w:val="32"/>
        </w:rPr>
        <w:t>《衢州山茶油》</w:t>
      </w:r>
      <w:r>
        <w:rPr>
          <w:rFonts w:hint="eastAsia" w:ascii="方正小标宋_GBK" w:hAnsi="宋体" w:eastAsia="方正小标宋_GBK"/>
          <w:sz w:val="32"/>
          <w:szCs w:val="32"/>
        </w:rPr>
        <w:t xml:space="preserve">编制说明   </w:t>
      </w:r>
    </w:p>
    <w:tbl>
      <w:tblPr>
        <w:tblStyle w:val="7"/>
        <w:tblW w:w="835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359" w:type="dxa"/>
          </w:tcPr>
          <w:p>
            <w:pPr>
              <w:widowControl w:val="0"/>
              <w:adjustRightInd/>
              <w:snapToGrid/>
              <w:spacing w:line="400" w:lineRule="exact"/>
              <w:jc w:val="both"/>
              <w:rPr>
                <w:rFonts w:ascii="方正小标宋_GBK" w:hAnsi="宋体" w:eastAsia="方正小标宋_GBK"/>
                <w:sz w:val="28"/>
                <w:szCs w:val="28"/>
              </w:rPr>
            </w:pPr>
            <w:r>
              <w:rPr>
                <w:rFonts w:hint="eastAsia" w:ascii="仿宋_GB2312" w:hAnsi="宋体" w:eastAsia="仿宋_GB2312" w:cs="宋体"/>
                <w:sz w:val="28"/>
                <w:szCs w:val="28"/>
              </w:rPr>
              <w:t>(一)工作简况，包括任务来源、协作单位、主要工作过程、标准主要起草人及其所做的工作等；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359" w:type="dxa"/>
          </w:tcPr>
          <w:p>
            <w:pPr>
              <w:widowControl/>
              <w:spacing w:line="376" w:lineRule="exact"/>
              <w:jc w:val="both"/>
              <w:rPr>
                <w:rFonts w:ascii="仿宋_GB2312" w:hAnsi="仿宋_GB2312" w:eastAsia="仿宋_GB2312" w:cs="仿宋_GB2312"/>
                <w:sz w:val="28"/>
                <w:szCs w:val="28"/>
              </w:rPr>
            </w:pPr>
            <w:r>
              <w:rPr>
                <w:rFonts w:hint="eastAsia" w:ascii="仿宋_GB2312" w:hAnsi="仿宋_GB2312" w:eastAsia="仿宋_GB2312" w:cs="仿宋_GB2312"/>
                <w:sz w:val="28"/>
                <w:szCs w:val="28"/>
              </w:rPr>
              <w:t>1、任务来源</w:t>
            </w:r>
          </w:p>
          <w:p>
            <w:pPr>
              <w:widowControl w:val="0"/>
              <w:jc w:val="both"/>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    衢州市是传统山茶油大市，自解放以来，历届市委市政府都非常重视油茶产业的发展，特别是改革开放以来，市委市政府出台了许多支持油茶产业发展多方举措，使我市山茶油产业在全国乃至国际上都有重要的席位。特别是2012年在衢州市原质量技术监督局的牵头下，成立了衢州市山茶油质量安全协会，带领行业统一技术要求，规范市场，大力推动质量提升，科技赋能活动，促进了山茶油产业的健康发展，提高了衢州山茶油在国内外的影响力和知名度。并因此“衢州山茶油”荣获2013年原市场监管总局地理标志证明商标产品。对于带动和促进衢州山茶油产业发展、推动乡村振兴和实现共同富裕具有重要的现实意义。</w:t>
            </w:r>
            <w:bookmarkStart w:id="0" w:name="_GoBack"/>
            <w:bookmarkEnd w:id="0"/>
          </w:p>
          <w:p>
            <w:pPr>
              <w:widowControl/>
              <w:spacing w:line="376" w:lineRule="exact"/>
              <w:jc w:val="both"/>
              <w:rPr>
                <w:rFonts w:ascii="仿宋_GB2312" w:hAnsi="仿宋_GB2312" w:eastAsia="仿宋_GB2312" w:cs="仿宋_GB2312"/>
                <w:sz w:val="28"/>
                <w:szCs w:val="28"/>
              </w:rPr>
            </w:pPr>
            <w:r>
              <w:rPr>
                <w:rFonts w:hint="eastAsia" w:ascii="仿宋_GB2312" w:hAnsi="仿宋_GB2312" w:eastAsia="仿宋_GB2312" w:cs="仿宋_GB2312"/>
                <w:color w:val="auto"/>
                <w:sz w:val="28"/>
                <w:szCs w:val="28"/>
              </w:rPr>
              <w:t xml:space="preserve">    20</w:t>
            </w:r>
            <w:r>
              <w:rPr>
                <w:rFonts w:hint="default" w:ascii="仿宋_GB2312" w:hAnsi="仿宋_GB2312" w:eastAsia="仿宋_GB2312" w:cs="仿宋_GB2312"/>
                <w:color w:val="auto"/>
                <w:sz w:val="28"/>
                <w:szCs w:val="28"/>
              </w:rPr>
              <w:t>17</w:t>
            </w:r>
            <w:r>
              <w:rPr>
                <w:rFonts w:hint="eastAsia" w:ascii="仿宋_GB2312" w:hAnsi="仿宋_GB2312" w:eastAsia="仿宋_GB2312" w:cs="仿宋_GB2312"/>
                <w:color w:val="auto"/>
                <w:sz w:val="28"/>
                <w:szCs w:val="28"/>
              </w:rPr>
              <w:t>年12月8日，</w:t>
            </w:r>
            <w:r>
              <w:rPr>
                <w:rFonts w:hint="eastAsia" w:ascii="仿宋_GB2312" w:hAnsi="仿宋_GB2312" w:eastAsia="仿宋_GB2312" w:cs="仿宋_GB2312"/>
                <w:sz w:val="28"/>
                <w:szCs w:val="28"/>
              </w:rPr>
              <w:t>衢州市山茶油质量安全协会收到国家商标局颁发的地理标志证明商标证书，“衢州山茶油”被核准注册地理标志证明商标，成为衢州市地理标志证明商标保护的产品。为进一步提升衢州市山茶油的市场竞争力，助力乡村振兴和区域特色农业高质量发展，推动知识产权强区建设，打造属于衢州市的优质农产品金名片，亟需制定相应产品标准来规范衢州山茶油。</w:t>
            </w:r>
          </w:p>
          <w:p>
            <w:pPr>
              <w:widowControl/>
              <w:spacing w:line="376" w:lineRule="exact"/>
              <w:jc w:val="both"/>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    衢州山茶油质量安全协会成立以来，对促进我市山茶油规范发展，提升产业的市场影响力起到了不可替代的作用，特别是获得地理标志地理标志证明商标产品以来，统一起用“衢州山茶油”商标，为打响区域品牌作出了阶段性的不可磨灭的贡献。长期以来衢州山茶油生产企业产品的执行标准一直沿用国家标准GB/T 11765《油茶籽油》，但该标准反映不出衢州山茶油的自然要素、产品特性、营养特征及加工要求等，因此为了巩固衢州山茶油的历史底蕴，发扬产品内涵价值，适应市场需求，顺利绿标转红标的续展，现根据类别、范围、知名度、产品的生产销售等诸因素，开展衢州山茶油团体标准的制定工作。</w:t>
            </w:r>
          </w:p>
          <w:p>
            <w:pPr>
              <w:widowControl/>
              <w:spacing w:line="376" w:lineRule="exact"/>
              <w:jc w:val="both"/>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    衢州市山茶油质量安全协会作为标准第一起草单位向衢州市食品科学技术学会提出了学会团体标准《 衢州山茶油》的制定立项申请，经过专家材料初审和立项论证评估会的专家评审，通过了立项申请，根据衢州市食品科学技术学会“关于同意立项制定《衢州山茶油》团体标准”的要求，确定由衢州市山茶油质量安全协会起草制定《衢州山茶油》标准。</w:t>
            </w:r>
          </w:p>
          <w:p>
            <w:pPr>
              <w:widowControl/>
              <w:spacing w:line="376" w:lineRule="exact"/>
              <w:jc w:val="both"/>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    2、起草单位和协作单位起草单位：衢州市山茶油质量安全协会、衢州刘家香食品有限公司、浙江常发粮油食品有限公司、浙江老树根开发股份有限公司、浙江余氏飞龙山茶油有限公司、浙江茶之语科技开发有限公司、衢州市食品药品检验研究院、衢州学院、衢州职业技术学院、常山县油茶产业发展中心、浙江省山茶油及食用植物油质量检验中心、衢州国丰油脂有限公司、常山东茶茶业科技有限公司、衢州三衢味品牌发展有限公司、衢州乐来购企业管理有限公司、衢州菜蓝子食品有限公司，常山斯帝油茶开发有限公司、常山县富而康山茶油有限公司。</w:t>
            </w:r>
          </w:p>
          <w:p>
            <w:pPr>
              <w:widowControl/>
              <w:spacing w:line="376" w:lineRule="exact"/>
              <w:jc w:val="both"/>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  3、主要工作过程</w:t>
            </w:r>
          </w:p>
          <w:p>
            <w:pPr>
              <w:widowControl/>
              <w:spacing w:line="376" w:lineRule="exact"/>
              <w:jc w:val="both"/>
              <w:rPr>
                <w:rFonts w:ascii="仿宋_GB2312" w:hAnsi="仿宋_GB2312" w:eastAsia="仿宋_GB2312" w:cs="仿宋_GB2312"/>
                <w:sz w:val="28"/>
                <w:szCs w:val="28"/>
              </w:rPr>
            </w:pPr>
            <w:r>
              <w:rPr>
                <w:rFonts w:hint="eastAsia" w:ascii="仿宋_GB2312" w:hAnsi="仿宋_GB2312" w:eastAsia="仿宋_GB2312" w:cs="仿宋_GB2312"/>
                <w:sz w:val="28"/>
                <w:szCs w:val="28"/>
              </w:rPr>
              <w:t>（1）制订工作计划。根据立项要求，衢州市山茶油质量安全协会联合衢州刘家香食品有限公司、浙江常发粮油食品有限公司等协会副会长单位及衢州学院、衢州职业技术学院、组成标准起草小组，明确责任分工，并制定了相应工作计划。</w:t>
            </w:r>
          </w:p>
          <w:p>
            <w:pPr>
              <w:widowControl/>
              <w:spacing w:line="376" w:lineRule="exact"/>
              <w:jc w:val="both"/>
              <w:rPr>
                <w:rFonts w:ascii="仿宋_GB2312" w:hAnsi="仿宋_GB2312" w:eastAsia="仿宋_GB2312" w:cs="仿宋_GB2312"/>
                <w:sz w:val="28"/>
                <w:szCs w:val="28"/>
              </w:rPr>
            </w:pPr>
            <w:r>
              <w:rPr>
                <w:rFonts w:hint="eastAsia" w:ascii="仿宋_GB2312" w:hAnsi="仿宋_GB2312" w:eastAsia="仿宋_GB2312" w:cs="仿宋_GB2312"/>
                <w:sz w:val="28"/>
                <w:szCs w:val="28"/>
              </w:rPr>
              <w:t>（2）收集整理相关资料。在已有资料的基础上，进一步收集山茶油产品的技术资料，并对相关技术内容进行梳理。</w:t>
            </w:r>
          </w:p>
          <w:p>
            <w:pPr>
              <w:widowControl/>
              <w:spacing w:line="376" w:lineRule="exact"/>
              <w:jc w:val="both"/>
              <w:rPr>
                <w:rFonts w:ascii="仿宋_GB2312" w:hAnsi="仿宋_GB2312" w:eastAsia="仿宋_GB2312" w:cs="仿宋_GB2312"/>
                <w:sz w:val="28"/>
                <w:szCs w:val="28"/>
              </w:rPr>
            </w:pPr>
            <w:r>
              <w:rPr>
                <w:rFonts w:hint="eastAsia" w:ascii="仿宋_GB2312" w:hAnsi="仿宋_GB2312" w:eastAsia="仿宋_GB2312" w:cs="仿宋_GB2312"/>
                <w:sz w:val="28"/>
                <w:szCs w:val="28"/>
              </w:rPr>
              <w:t>（3）现场调研。标准起草小组成员在山茶油生产基地就衢州山茶油加工技术要求、质量安全、营养特征指标、标签规范等内容开展了广泛的调研。</w:t>
            </w:r>
          </w:p>
          <w:p>
            <w:pPr>
              <w:widowControl/>
              <w:spacing w:line="376" w:lineRule="exact"/>
              <w:jc w:val="both"/>
              <w:rPr>
                <w:rFonts w:ascii="仿宋_GB2312" w:hAnsi="仿宋_GB2312" w:eastAsia="仿宋_GB2312" w:cs="仿宋_GB2312"/>
                <w:sz w:val="28"/>
                <w:szCs w:val="28"/>
              </w:rPr>
            </w:pPr>
            <w:r>
              <w:rPr>
                <w:rFonts w:hint="eastAsia" w:ascii="仿宋_GB2312" w:hAnsi="仿宋_GB2312" w:eastAsia="仿宋_GB2312" w:cs="仿宋_GB2312"/>
                <w:sz w:val="28"/>
                <w:szCs w:val="28"/>
              </w:rPr>
              <w:t>（4）起草标准初稿。在充分考虑衢州油茶种植、加工、质量与标准技术人员意见建议的基础上，求征中国粮油学会油脂分会结合山茶油产品质量管控实际，形成了标准初稿。</w:t>
            </w:r>
          </w:p>
          <w:p>
            <w:pPr>
              <w:widowControl/>
              <w:spacing w:line="376" w:lineRule="exact"/>
              <w:jc w:val="both"/>
              <w:rPr>
                <w:rFonts w:ascii="仿宋_GB2312" w:hAnsi="仿宋_GB2312" w:eastAsia="仿宋_GB2312" w:cs="仿宋_GB2312"/>
                <w:sz w:val="28"/>
                <w:szCs w:val="28"/>
              </w:rPr>
            </w:pPr>
            <w:r>
              <w:rPr>
                <w:rFonts w:hint="eastAsia" w:ascii="仿宋_GB2312" w:hAnsi="仿宋_GB2312" w:eastAsia="仿宋_GB2312" w:cs="仿宋_GB2312"/>
                <w:sz w:val="28"/>
                <w:szCs w:val="28"/>
              </w:rPr>
              <w:t>（5）征求意见。2024年4月--10月。</w:t>
            </w:r>
          </w:p>
          <w:p>
            <w:pPr>
              <w:widowControl/>
              <w:spacing w:line="376" w:lineRule="exact"/>
              <w:jc w:val="both"/>
              <w:rPr>
                <w:rFonts w:ascii="仿宋_GB2312" w:hAnsi="仿宋_GB2312" w:eastAsia="仿宋_GB2312" w:cs="仿宋_GB2312"/>
                <w:sz w:val="28"/>
                <w:szCs w:val="28"/>
              </w:rPr>
            </w:pPr>
            <w:r>
              <w:rPr>
                <w:rFonts w:hint="eastAsia" w:ascii="仿宋_GB2312" w:hAnsi="仿宋_GB2312" w:eastAsia="仿宋_GB2312" w:cs="仿宋_GB2312"/>
                <w:sz w:val="28"/>
                <w:szCs w:val="28"/>
              </w:rPr>
              <w:t>（6）文本的修改、送审、报批。按照标准制定流程在征求意见稿的基础上，对标准文本进行进一步修改，形成送审稿进而形成报批稿。</w:t>
            </w:r>
          </w:p>
          <w:p>
            <w:pPr>
              <w:widowControl/>
              <w:spacing w:line="376" w:lineRule="exact"/>
              <w:jc w:val="both"/>
              <w:rPr>
                <w:rFonts w:ascii="仿宋_GB2312" w:hAnsi="仿宋_GB2312" w:eastAsia="仿宋_GB2312" w:cs="仿宋_GB2312"/>
                <w:sz w:val="28"/>
                <w:szCs w:val="28"/>
              </w:rPr>
            </w:pPr>
            <w:r>
              <w:rPr>
                <w:rFonts w:hint="eastAsia" w:ascii="仿宋_GB2312" w:hAnsi="仿宋_GB2312" w:eastAsia="仿宋_GB2312" w:cs="仿宋_GB2312"/>
                <w:sz w:val="28"/>
                <w:szCs w:val="28"/>
              </w:rPr>
              <w:t>4、标准主要起草人及其所做的工作</w:t>
            </w:r>
          </w:p>
          <w:p>
            <w:pPr>
              <w:widowControl/>
              <w:spacing w:line="376" w:lineRule="exact"/>
              <w:ind w:firstLine="420" w:firstLineChars="150"/>
              <w:jc w:val="both"/>
              <w:rPr>
                <w:rFonts w:ascii="仿宋_GB2312" w:hAnsi="仿宋_GB2312" w:eastAsia="仿宋_GB2312" w:cs="仿宋_GB2312"/>
                <w:sz w:val="28"/>
                <w:szCs w:val="28"/>
              </w:rPr>
            </w:pPr>
            <w:r>
              <w:rPr>
                <w:rFonts w:hint="eastAsia" w:ascii="仿宋_GB2312" w:hAnsi="仿宋_GB2312" w:eastAsia="仿宋_GB2312" w:cs="仿宋_GB2312"/>
                <w:sz w:val="28"/>
                <w:szCs w:val="28"/>
              </w:rPr>
              <w:t>刘京伟、祝华明负责标准的基本材料收集、整理、起草、格式编排、修改校对、标准初稿征求意见及归纳整理等工作，余洪明、施堂红、负责有关样品抽样、检测、检测数据汇总分析、相关指标确定，吴飞、王胜负责生产调研及标准查新工作。</w:t>
            </w:r>
          </w:p>
          <w:p>
            <w:pPr>
              <w:widowControl/>
              <w:spacing w:line="376" w:lineRule="exact"/>
              <w:ind w:firstLine="440" w:firstLineChars="200"/>
              <w:jc w:val="both"/>
              <w:rPr>
                <w:rFonts w:ascii="仿宋_GB2312" w:hAnsi="仿宋_GB2312" w:eastAsia="仿宋_GB2312" w:cs="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359" w:type="dxa"/>
          </w:tcPr>
          <w:p>
            <w:pPr>
              <w:widowControl w:val="0"/>
              <w:adjustRightInd/>
              <w:snapToGrid/>
              <w:spacing w:line="400" w:lineRule="exact"/>
              <w:jc w:val="left"/>
              <w:rPr>
                <w:rFonts w:ascii="方正小标宋_GBK" w:hAnsi="宋体" w:eastAsia="方正小标宋_GBK"/>
                <w:sz w:val="28"/>
                <w:szCs w:val="28"/>
              </w:rPr>
            </w:pPr>
            <w:r>
              <w:rPr>
                <w:rFonts w:hint="eastAsia" w:ascii="仿宋_GB2312" w:hAnsi="宋体" w:eastAsia="仿宋_GB2312" w:cs="宋体"/>
                <w:sz w:val="28"/>
                <w:szCs w:val="28"/>
              </w:rPr>
              <w:t>(二)标准编制原则和确定标准主要内容(如技术指标、参数、公式、性能要求、试验方法、检验规则等)的论据(包括试验、统计数据)，修订标准时，应增列新旧标准水平的对比；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90" w:hRule="atLeast"/>
        </w:trPr>
        <w:tc>
          <w:tcPr>
            <w:tcW w:w="8359" w:type="dxa"/>
          </w:tcPr>
          <w:p>
            <w:pPr>
              <w:widowControl/>
              <w:spacing w:line="376" w:lineRule="exact"/>
              <w:jc w:val="both"/>
              <w:rPr>
                <w:rFonts w:ascii="仿宋_GB2312" w:hAnsi="仿宋_GB2312" w:eastAsia="仿宋_GB2312" w:cs="仿宋_GB2312"/>
                <w:sz w:val="28"/>
                <w:szCs w:val="28"/>
              </w:rPr>
            </w:pPr>
            <w:r>
              <w:rPr>
                <w:rFonts w:hint="eastAsia" w:ascii="仿宋_GB2312" w:hAnsi="仿宋_GB2312" w:eastAsia="仿宋_GB2312" w:cs="仿宋_GB2312"/>
                <w:sz w:val="28"/>
                <w:szCs w:val="28"/>
              </w:rPr>
              <w:t>1、标准编制原则</w:t>
            </w:r>
          </w:p>
          <w:p>
            <w:pPr>
              <w:widowControl/>
              <w:spacing w:line="376" w:lineRule="exact"/>
              <w:ind w:firstLine="140" w:firstLineChars="50"/>
              <w:jc w:val="both"/>
              <w:rPr>
                <w:rFonts w:ascii="仿宋_GB2312" w:hAnsi="仿宋_GB2312" w:eastAsia="仿宋_GB2312" w:cs="仿宋_GB2312"/>
                <w:sz w:val="28"/>
                <w:szCs w:val="28"/>
              </w:rPr>
            </w:pPr>
            <w:r>
              <w:rPr>
                <w:rFonts w:hint="eastAsia" w:ascii="仿宋_GB2312" w:hAnsi="仿宋_GB2312" w:eastAsia="仿宋_GB2312" w:cs="仿宋_GB2312"/>
                <w:sz w:val="28"/>
                <w:szCs w:val="28"/>
              </w:rPr>
              <w:t>本标准的制定坚持规范性、先进性、科学性的原则，严格按照GB/T 1.1-2020《标准化工作导则 第1部分：标准化文件的结构和起草规则》进行编写工作。编写过程中，广泛征求和采纳同行专家的意见，确保内容和条款的规范性和先进性。</w:t>
            </w:r>
          </w:p>
          <w:p>
            <w:pPr>
              <w:widowControl/>
              <w:spacing w:line="376" w:lineRule="exact"/>
              <w:jc w:val="both"/>
              <w:rPr>
                <w:rFonts w:ascii="仿宋_GB2312" w:hAnsi="仿宋_GB2312" w:eastAsia="仿宋_GB2312" w:cs="仿宋_GB2312"/>
                <w:sz w:val="28"/>
                <w:szCs w:val="28"/>
              </w:rPr>
            </w:pPr>
            <w:r>
              <w:rPr>
                <w:rFonts w:hint="eastAsia" w:ascii="仿宋_GB2312" w:hAnsi="仿宋_GB2312" w:eastAsia="仿宋_GB2312" w:cs="仿宋_GB2312"/>
                <w:sz w:val="28"/>
                <w:szCs w:val="28"/>
              </w:rPr>
              <w:t>2、确定标准内容的论据</w:t>
            </w:r>
          </w:p>
          <w:p>
            <w:pPr>
              <w:widowControl/>
              <w:spacing w:line="376" w:lineRule="exact"/>
              <w:ind w:firstLine="140" w:firstLineChars="50"/>
              <w:jc w:val="both"/>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    该标准在衢州市山茶油相关企业征求意见的基础上进行制定，充分考虑衢州山茶油的产业现状、特征特色，相关技术要求与技术指标符合衢州实际。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359" w:type="dxa"/>
          </w:tcPr>
          <w:p>
            <w:pPr>
              <w:widowControl w:val="0"/>
              <w:adjustRightInd/>
              <w:snapToGrid/>
              <w:spacing w:line="400" w:lineRule="exact"/>
              <w:jc w:val="left"/>
              <w:rPr>
                <w:rFonts w:ascii="方正小标宋_GBK" w:hAnsi="宋体" w:eastAsia="方正小标宋_GBK"/>
                <w:sz w:val="28"/>
                <w:szCs w:val="28"/>
              </w:rPr>
            </w:pPr>
            <w:r>
              <w:rPr>
                <w:rFonts w:hint="eastAsia" w:ascii="仿宋_GB2312" w:hAnsi="宋体" w:eastAsia="仿宋_GB2312" w:cs="宋体"/>
                <w:sz w:val="28"/>
                <w:szCs w:val="28"/>
              </w:rPr>
              <w:t>(三)主要试验(或验证)的分析、综述报告，</w:t>
            </w:r>
            <w:r>
              <w:fldChar w:fldCharType="begin"/>
            </w:r>
            <w:r>
              <w:instrText xml:space="preserve"> HYPERLINK "http://baike.baidu.com/view/403371.htm" \t "_blank" </w:instrText>
            </w:r>
            <w:r>
              <w:fldChar w:fldCharType="separate"/>
            </w:r>
            <w:r>
              <w:rPr>
                <w:rFonts w:hint="eastAsia" w:ascii="仿宋_GB2312" w:hAnsi="宋体" w:eastAsia="仿宋_GB2312" w:cs="宋体"/>
                <w:sz w:val="28"/>
                <w:szCs w:val="28"/>
              </w:rPr>
              <w:t>技术经济论证</w:t>
            </w:r>
            <w:r>
              <w:rPr>
                <w:rFonts w:hint="eastAsia" w:ascii="仿宋_GB2312" w:hAnsi="宋体" w:eastAsia="仿宋_GB2312" w:cs="宋体"/>
                <w:sz w:val="28"/>
                <w:szCs w:val="28"/>
              </w:rPr>
              <w:fldChar w:fldCharType="end"/>
            </w:r>
            <w:r>
              <w:rPr>
                <w:rFonts w:hint="eastAsia" w:ascii="仿宋_GB2312" w:hAnsi="宋体" w:eastAsia="仿宋_GB2312" w:cs="宋体"/>
                <w:sz w:val="28"/>
                <w:szCs w:val="28"/>
              </w:rPr>
              <w:t>，预期的</w:t>
            </w:r>
            <w:r>
              <w:fldChar w:fldCharType="begin"/>
            </w:r>
            <w:r>
              <w:instrText xml:space="preserve"> HYPERLINK "http://baike.baidu.com/view/1277218.htm" \t "_blank" </w:instrText>
            </w:r>
            <w:r>
              <w:fldChar w:fldCharType="separate"/>
            </w:r>
            <w:r>
              <w:rPr>
                <w:rFonts w:hint="eastAsia" w:ascii="仿宋_GB2312" w:hAnsi="宋体" w:eastAsia="仿宋_GB2312" w:cs="宋体"/>
                <w:sz w:val="28"/>
                <w:szCs w:val="28"/>
              </w:rPr>
              <w:t>经济效果</w:t>
            </w:r>
            <w:r>
              <w:rPr>
                <w:rFonts w:hint="eastAsia" w:ascii="仿宋_GB2312" w:hAnsi="宋体" w:eastAsia="仿宋_GB2312" w:cs="宋体"/>
                <w:sz w:val="28"/>
                <w:szCs w:val="28"/>
              </w:rPr>
              <w:fldChar w:fldCharType="end"/>
            </w:r>
            <w:r>
              <w:rPr>
                <w:rFonts w:hint="eastAsia" w:ascii="仿宋_GB2312" w:hAnsi="宋体" w:eastAsia="仿宋_GB2312" w:cs="宋体"/>
                <w:sz w:val="28"/>
                <w:szCs w:val="2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75" w:hRule="atLeast"/>
        </w:trPr>
        <w:tc>
          <w:tcPr>
            <w:tcW w:w="8359" w:type="dxa"/>
          </w:tcPr>
          <w:p>
            <w:pPr>
              <w:pStyle w:val="18"/>
              <w:widowControl w:val="0"/>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1.衢州山茶油衢州山茶油主要脂肪酸组成参考了GB/T11765-2018 《油茶籽油》、T/CNSS 027-2024《山茶油》的相关要求，综合衢州市山茶油质量安全协会会员主要单位山茶油的检测资料制定。</w:t>
            </w:r>
          </w:p>
          <w:p>
            <w:pPr>
              <w:pStyle w:val="12"/>
              <w:widowControl w:val="0"/>
              <w:ind w:firstLine="560"/>
              <w:jc w:val="center"/>
              <w:rPr>
                <w:rFonts w:hint="eastAsia" w:ascii="仿宋_GB2312" w:hAnsi="仿宋_GB2312" w:eastAsia="仿宋_GB2312" w:cs="仿宋_GB2312"/>
                <w:sz w:val="28"/>
                <w:szCs w:val="28"/>
              </w:rPr>
            </w:pPr>
          </w:p>
          <w:tbl>
            <w:tblPr>
              <w:tblStyle w:val="6"/>
              <w:tblW w:w="0" w:type="auto"/>
              <w:tblInd w:w="0" w:type="dxa"/>
              <w:tblLayout w:type="fixed"/>
              <w:tblCellMar>
                <w:top w:w="0" w:type="dxa"/>
                <w:left w:w="108" w:type="dxa"/>
                <w:bottom w:w="0" w:type="dxa"/>
                <w:right w:w="108" w:type="dxa"/>
              </w:tblCellMar>
            </w:tblPr>
            <w:tblGrid>
              <w:gridCol w:w="1721"/>
              <w:gridCol w:w="2504"/>
              <w:gridCol w:w="4650"/>
            </w:tblGrid>
            <w:tr>
              <w:trPr>
                <w:trHeight w:val="306" w:hRule="atLeast"/>
              </w:trPr>
              <w:tc>
                <w:tcPr>
                  <w:tcW w:w="4225" w:type="dxa"/>
                  <w:gridSpan w:val="2"/>
                  <w:tcBorders>
                    <w:top w:val="single" w:color="000000" w:sz="4" w:space="0"/>
                    <w:left w:val="single" w:color="000000" w:sz="4" w:space="0"/>
                    <w:bottom w:val="single" w:color="000000" w:sz="4" w:space="0"/>
                    <w:right w:val="single" w:color="000000" w:sz="4" w:space="0"/>
                  </w:tcBorders>
                  <w:vAlign w:val="bottom"/>
                </w:tcPr>
                <w:p>
                  <w:pPr>
                    <w:pStyle w:val="12"/>
                    <w:ind w:firstLine="0" w:firstLineChars="0"/>
                    <w:jc w:val="center"/>
                    <w:rPr>
                      <w:rFonts w:ascii="仿宋_GB2312" w:hAnsi="仿宋_GB2312" w:eastAsia="仿宋_GB2312" w:cs="仿宋_GB2312"/>
                      <w:sz w:val="28"/>
                      <w:szCs w:val="28"/>
                    </w:rPr>
                  </w:pPr>
                  <w:r>
                    <w:rPr>
                      <w:rFonts w:hint="eastAsia" w:ascii="仿宋_GB2312" w:hAnsi="仿宋_GB2312" w:eastAsia="仿宋_GB2312" w:cs="仿宋_GB2312"/>
                      <w:sz w:val="28"/>
                      <w:szCs w:val="28"/>
                    </w:rPr>
                    <w:t>项   目</w:t>
                  </w:r>
                </w:p>
              </w:tc>
              <w:tc>
                <w:tcPr>
                  <w:tcW w:w="4650" w:type="dxa"/>
                  <w:tcBorders>
                    <w:top w:val="single" w:color="000000" w:sz="4" w:space="0"/>
                    <w:left w:val="nil"/>
                    <w:bottom w:val="single" w:color="000000" w:sz="4" w:space="0"/>
                    <w:right w:val="single" w:color="000000" w:sz="4" w:space="0"/>
                  </w:tcBorders>
                  <w:vAlign w:val="bottom"/>
                </w:tcPr>
                <w:p>
                  <w:pPr>
                    <w:pStyle w:val="12"/>
                    <w:ind w:firstLine="0" w:firstLineChars="0"/>
                    <w:jc w:val="center"/>
                    <w:rPr>
                      <w:rFonts w:ascii="仿宋_GB2312" w:hAnsi="仿宋_GB2312" w:eastAsia="仿宋_GB2312" w:cs="仿宋_GB2312"/>
                      <w:sz w:val="28"/>
                      <w:szCs w:val="28"/>
                    </w:rPr>
                  </w:pPr>
                  <w:r>
                    <w:rPr>
                      <w:rFonts w:hint="eastAsia" w:ascii="仿宋_GB2312" w:hAnsi="仿宋_GB2312" w:eastAsia="仿宋_GB2312" w:cs="仿宋_GB2312"/>
                      <w:sz w:val="28"/>
                      <w:szCs w:val="28"/>
                    </w:rPr>
                    <w:t>指   标</w:t>
                  </w:r>
                </w:p>
              </w:tc>
            </w:tr>
            <w:tr>
              <w:trPr>
                <w:trHeight w:val="306" w:hRule="atLeast"/>
              </w:trPr>
              <w:tc>
                <w:tcPr>
                  <w:tcW w:w="1721" w:type="dxa"/>
                  <w:tcBorders>
                    <w:top w:val="nil"/>
                    <w:left w:val="single" w:color="000000" w:sz="4" w:space="0"/>
                    <w:bottom w:val="nil"/>
                    <w:right w:val="single" w:color="000000" w:sz="4" w:space="0"/>
                  </w:tcBorders>
                  <w:vAlign w:val="center"/>
                </w:tcPr>
                <w:p>
                  <w:pPr>
                    <w:pStyle w:val="12"/>
                    <w:ind w:firstLine="0" w:firstLineChars="0"/>
                    <w:jc w:val="center"/>
                    <w:rPr>
                      <w:rFonts w:ascii="仿宋_GB2312" w:hAnsi="仿宋_GB2312" w:eastAsia="仿宋_GB2312" w:cs="仿宋_GB2312"/>
                      <w:sz w:val="28"/>
                      <w:szCs w:val="28"/>
                    </w:rPr>
                  </w:pPr>
                  <w:r>
                    <w:rPr>
                      <w:rFonts w:hint="eastAsia" w:ascii="仿宋_GB2312" w:hAnsi="仿宋_GB2312" w:eastAsia="仿宋_GB2312" w:cs="仿宋_GB2312"/>
                      <w:sz w:val="28"/>
                      <w:szCs w:val="28"/>
                    </w:rPr>
                    <w:t>主要脂肪酸组成/%</w:t>
                  </w:r>
                </w:p>
              </w:tc>
              <w:tc>
                <w:tcPr>
                  <w:tcW w:w="2504" w:type="dxa"/>
                  <w:tcBorders>
                    <w:top w:val="nil"/>
                    <w:left w:val="nil"/>
                    <w:bottom w:val="single" w:color="000000" w:sz="4" w:space="0"/>
                    <w:right w:val="single" w:color="000000" w:sz="4" w:space="0"/>
                  </w:tcBorders>
                  <w:vAlign w:val="bottom"/>
                </w:tcPr>
                <w:p>
                  <w:pPr>
                    <w:pStyle w:val="12"/>
                    <w:ind w:firstLine="0" w:firstLineChars="0"/>
                    <w:jc w:val="left"/>
                    <w:rPr>
                      <w:rFonts w:ascii="仿宋_GB2312" w:hAnsi="仿宋_GB2312" w:eastAsia="仿宋_GB2312" w:cs="仿宋_GB2312"/>
                      <w:sz w:val="28"/>
                      <w:szCs w:val="28"/>
                    </w:rPr>
                  </w:pPr>
                  <w:r>
                    <w:rPr>
                      <w:rFonts w:hint="eastAsia" w:ascii="仿宋_GB2312" w:hAnsi="仿宋_GB2312" w:eastAsia="仿宋_GB2312" w:cs="仿宋_GB2312"/>
                      <w:sz w:val="28"/>
                      <w:szCs w:val="28"/>
                    </w:rPr>
                    <w:t>棕榈酸（C16：0）</w:t>
                  </w:r>
                </w:p>
              </w:tc>
              <w:tc>
                <w:tcPr>
                  <w:tcW w:w="4650" w:type="dxa"/>
                  <w:tcBorders>
                    <w:top w:val="nil"/>
                    <w:left w:val="nil"/>
                    <w:bottom w:val="single" w:color="000000" w:sz="4" w:space="0"/>
                    <w:right w:val="single" w:color="000000" w:sz="4" w:space="0"/>
                  </w:tcBorders>
                  <w:vAlign w:val="bottom"/>
                </w:tcPr>
                <w:p>
                  <w:pPr>
                    <w:pStyle w:val="12"/>
                    <w:ind w:firstLine="0" w:firstLineChars="0"/>
                    <w:jc w:val="center"/>
                    <w:rPr>
                      <w:rFonts w:ascii="仿宋_GB2312" w:hAnsi="仿宋_GB2312" w:eastAsia="仿宋_GB2312" w:cs="仿宋_GB2312"/>
                      <w:sz w:val="28"/>
                      <w:szCs w:val="28"/>
                    </w:rPr>
                  </w:pPr>
                  <w:r>
                    <w:rPr>
                      <w:rFonts w:hint="eastAsia" w:ascii="仿宋_GB2312" w:hAnsi="仿宋_GB2312" w:eastAsia="仿宋_GB2312" w:cs="仿宋_GB2312"/>
                      <w:sz w:val="28"/>
                      <w:szCs w:val="28"/>
                    </w:rPr>
                    <w:t>7.5～11.0</w:t>
                  </w:r>
                </w:p>
              </w:tc>
            </w:tr>
            <w:tr>
              <w:trPr>
                <w:trHeight w:val="306" w:hRule="atLeast"/>
              </w:trPr>
              <w:tc>
                <w:tcPr>
                  <w:tcW w:w="1721" w:type="dxa"/>
                  <w:tcBorders>
                    <w:top w:val="nil"/>
                    <w:left w:val="single" w:color="000000" w:sz="4" w:space="0"/>
                    <w:bottom w:val="nil"/>
                    <w:right w:val="single" w:color="000000" w:sz="4" w:space="0"/>
                  </w:tcBorders>
                  <w:vAlign w:val="center"/>
                </w:tcPr>
                <w:p>
                  <w:pPr>
                    <w:pStyle w:val="12"/>
                    <w:ind w:firstLine="0" w:firstLineChars="0"/>
                    <w:jc w:val="center"/>
                    <w:rPr>
                      <w:rFonts w:ascii="仿宋_GB2312" w:hAnsi="仿宋_GB2312" w:eastAsia="仿宋_GB2312" w:cs="仿宋_GB2312"/>
                      <w:sz w:val="28"/>
                      <w:szCs w:val="28"/>
                    </w:rPr>
                  </w:pPr>
                </w:p>
              </w:tc>
              <w:tc>
                <w:tcPr>
                  <w:tcW w:w="2504" w:type="dxa"/>
                  <w:tcBorders>
                    <w:top w:val="nil"/>
                    <w:left w:val="nil"/>
                    <w:bottom w:val="single" w:color="000000" w:sz="4" w:space="0"/>
                    <w:right w:val="single" w:color="000000" w:sz="4" w:space="0"/>
                  </w:tcBorders>
                  <w:vAlign w:val="bottom"/>
                </w:tcPr>
                <w:p>
                  <w:pPr>
                    <w:pStyle w:val="12"/>
                    <w:ind w:firstLine="0" w:firstLineChars="0"/>
                    <w:jc w:val="left"/>
                    <w:rPr>
                      <w:rFonts w:ascii="仿宋_GB2312" w:hAnsi="仿宋_GB2312" w:eastAsia="仿宋_GB2312" w:cs="仿宋_GB2312"/>
                      <w:sz w:val="28"/>
                      <w:szCs w:val="28"/>
                    </w:rPr>
                  </w:pPr>
                  <w:r>
                    <w:rPr>
                      <w:rFonts w:hint="eastAsia" w:ascii="仿宋_GB2312" w:hAnsi="仿宋_GB2312" w:eastAsia="仿宋_GB2312" w:cs="仿宋_GB2312"/>
                      <w:sz w:val="28"/>
                      <w:szCs w:val="28"/>
                    </w:rPr>
                    <w:t>棕榈一烯酸（C16：1）     ≤</w:t>
                  </w:r>
                </w:p>
              </w:tc>
              <w:tc>
                <w:tcPr>
                  <w:tcW w:w="4650" w:type="dxa"/>
                  <w:tcBorders>
                    <w:top w:val="nil"/>
                    <w:left w:val="nil"/>
                    <w:bottom w:val="single" w:color="000000" w:sz="4" w:space="0"/>
                    <w:right w:val="single" w:color="000000" w:sz="4" w:space="0"/>
                  </w:tcBorders>
                  <w:vAlign w:val="bottom"/>
                </w:tcPr>
                <w:p>
                  <w:pPr>
                    <w:pStyle w:val="12"/>
                    <w:ind w:firstLine="0" w:firstLineChars="0"/>
                    <w:jc w:val="center"/>
                    <w:rPr>
                      <w:rFonts w:ascii="仿宋_GB2312" w:hAnsi="仿宋_GB2312" w:eastAsia="仿宋_GB2312" w:cs="仿宋_GB2312"/>
                      <w:sz w:val="28"/>
                      <w:szCs w:val="28"/>
                    </w:rPr>
                  </w:pPr>
                  <w:r>
                    <w:rPr>
                      <w:rFonts w:hint="eastAsia" w:ascii="仿宋_GB2312" w:hAnsi="仿宋_GB2312" w:eastAsia="仿宋_GB2312" w:cs="仿宋_GB2312"/>
                      <w:sz w:val="28"/>
                      <w:szCs w:val="28"/>
                    </w:rPr>
                    <w:t>0.2</w:t>
                  </w:r>
                </w:p>
              </w:tc>
            </w:tr>
            <w:tr>
              <w:trPr>
                <w:trHeight w:val="306" w:hRule="atLeast"/>
              </w:trPr>
              <w:tc>
                <w:tcPr>
                  <w:tcW w:w="1721" w:type="dxa"/>
                  <w:tcBorders>
                    <w:top w:val="nil"/>
                    <w:left w:val="single" w:color="000000" w:sz="4" w:space="0"/>
                    <w:bottom w:val="nil"/>
                    <w:right w:val="single" w:color="000000" w:sz="4" w:space="0"/>
                  </w:tcBorders>
                  <w:vAlign w:val="center"/>
                </w:tcPr>
                <w:p>
                  <w:pPr>
                    <w:pStyle w:val="12"/>
                    <w:ind w:firstLine="0" w:firstLineChars="0"/>
                    <w:jc w:val="center"/>
                    <w:rPr>
                      <w:rFonts w:ascii="仿宋_GB2312" w:hAnsi="仿宋_GB2312" w:eastAsia="仿宋_GB2312" w:cs="仿宋_GB2312"/>
                      <w:sz w:val="28"/>
                      <w:szCs w:val="28"/>
                    </w:rPr>
                  </w:pPr>
                </w:p>
              </w:tc>
              <w:tc>
                <w:tcPr>
                  <w:tcW w:w="2504" w:type="dxa"/>
                  <w:tcBorders>
                    <w:top w:val="nil"/>
                    <w:left w:val="nil"/>
                    <w:bottom w:val="single" w:color="000000" w:sz="4" w:space="0"/>
                    <w:right w:val="single" w:color="000000" w:sz="4" w:space="0"/>
                  </w:tcBorders>
                  <w:vAlign w:val="bottom"/>
                </w:tcPr>
                <w:p>
                  <w:pPr>
                    <w:pStyle w:val="12"/>
                    <w:ind w:firstLine="0" w:firstLineChars="0"/>
                    <w:jc w:val="left"/>
                    <w:rPr>
                      <w:rFonts w:ascii="仿宋_GB2312" w:hAnsi="仿宋_GB2312" w:eastAsia="仿宋_GB2312" w:cs="仿宋_GB2312"/>
                      <w:sz w:val="28"/>
                      <w:szCs w:val="28"/>
                    </w:rPr>
                  </w:pPr>
                  <w:r>
                    <w:rPr>
                      <w:rFonts w:hint="eastAsia" w:ascii="仿宋_GB2312" w:hAnsi="仿宋_GB2312" w:eastAsia="仿宋_GB2312" w:cs="仿宋_GB2312"/>
                      <w:sz w:val="28"/>
                      <w:szCs w:val="28"/>
                    </w:rPr>
                    <w:t>硬脂酸（C18：0）</w:t>
                  </w:r>
                </w:p>
              </w:tc>
              <w:tc>
                <w:tcPr>
                  <w:tcW w:w="4650" w:type="dxa"/>
                  <w:tcBorders>
                    <w:top w:val="nil"/>
                    <w:left w:val="nil"/>
                    <w:bottom w:val="single" w:color="000000" w:sz="4" w:space="0"/>
                    <w:right w:val="single" w:color="000000" w:sz="4" w:space="0"/>
                  </w:tcBorders>
                  <w:vAlign w:val="bottom"/>
                </w:tcPr>
                <w:p>
                  <w:pPr>
                    <w:pStyle w:val="12"/>
                    <w:ind w:firstLine="0" w:firstLineChars="0"/>
                    <w:jc w:val="center"/>
                    <w:rPr>
                      <w:rFonts w:ascii="仿宋_GB2312" w:hAnsi="仿宋_GB2312" w:eastAsia="仿宋_GB2312" w:cs="仿宋_GB2312"/>
                      <w:sz w:val="28"/>
                      <w:szCs w:val="28"/>
                    </w:rPr>
                  </w:pPr>
                  <w:r>
                    <w:rPr>
                      <w:rFonts w:hint="eastAsia" w:ascii="仿宋_GB2312" w:hAnsi="仿宋_GB2312" w:eastAsia="仿宋_GB2312" w:cs="仿宋_GB2312"/>
                      <w:sz w:val="28"/>
                      <w:szCs w:val="28"/>
                    </w:rPr>
                    <w:t>0.5～2.5</w:t>
                  </w:r>
                </w:p>
              </w:tc>
            </w:tr>
            <w:tr>
              <w:trPr>
                <w:trHeight w:val="306" w:hRule="atLeast"/>
              </w:trPr>
              <w:tc>
                <w:tcPr>
                  <w:tcW w:w="1721" w:type="dxa"/>
                  <w:tcBorders>
                    <w:top w:val="nil"/>
                    <w:left w:val="single" w:color="000000" w:sz="4" w:space="0"/>
                    <w:bottom w:val="nil"/>
                    <w:right w:val="single" w:color="000000" w:sz="4" w:space="0"/>
                  </w:tcBorders>
                  <w:vAlign w:val="center"/>
                </w:tcPr>
                <w:p>
                  <w:pPr>
                    <w:pStyle w:val="12"/>
                    <w:ind w:firstLine="0" w:firstLineChars="0"/>
                    <w:jc w:val="center"/>
                    <w:rPr>
                      <w:rFonts w:ascii="仿宋_GB2312" w:hAnsi="仿宋_GB2312" w:eastAsia="仿宋_GB2312" w:cs="仿宋_GB2312"/>
                      <w:sz w:val="28"/>
                      <w:szCs w:val="28"/>
                    </w:rPr>
                  </w:pPr>
                </w:p>
              </w:tc>
              <w:tc>
                <w:tcPr>
                  <w:tcW w:w="2504" w:type="dxa"/>
                  <w:tcBorders>
                    <w:top w:val="nil"/>
                    <w:left w:val="nil"/>
                    <w:bottom w:val="single" w:color="000000" w:sz="4" w:space="0"/>
                    <w:right w:val="single" w:color="000000" w:sz="4" w:space="0"/>
                  </w:tcBorders>
                  <w:vAlign w:val="bottom"/>
                </w:tcPr>
                <w:p>
                  <w:pPr>
                    <w:pStyle w:val="12"/>
                    <w:ind w:firstLine="0" w:firstLineChars="0"/>
                    <w:jc w:val="left"/>
                    <w:rPr>
                      <w:rFonts w:ascii="仿宋_GB2312" w:hAnsi="仿宋_GB2312" w:eastAsia="仿宋_GB2312" w:cs="仿宋_GB2312"/>
                      <w:sz w:val="28"/>
                      <w:szCs w:val="28"/>
                    </w:rPr>
                  </w:pPr>
                  <w:r>
                    <w:rPr>
                      <w:rFonts w:hint="eastAsia" w:ascii="仿宋_GB2312" w:hAnsi="仿宋_GB2312" w:eastAsia="仿宋_GB2312" w:cs="仿宋_GB2312"/>
                      <w:sz w:val="28"/>
                      <w:szCs w:val="28"/>
                    </w:rPr>
                    <w:t>油酸（C18：1）</w:t>
                  </w:r>
                </w:p>
              </w:tc>
              <w:tc>
                <w:tcPr>
                  <w:tcW w:w="4650" w:type="dxa"/>
                  <w:tcBorders>
                    <w:top w:val="nil"/>
                    <w:left w:val="nil"/>
                    <w:bottom w:val="single" w:color="000000" w:sz="4" w:space="0"/>
                    <w:right w:val="single" w:color="000000" w:sz="4" w:space="0"/>
                  </w:tcBorders>
                  <w:vAlign w:val="bottom"/>
                </w:tcPr>
                <w:p>
                  <w:pPr>
                    <w:pStyle w:val="12"/>
                    <w:ind w:firstLine="0" w:firstLineChars="0"/>
                    <w:jc w:val="center"/>
                    <w:rPr>
                      <w:rFonts w:ascii="仿宋_GB2312" w:hAnsi="仿宋_GB2312" w:eastAsia="仿宋_GB2312" w:cs="仿宋_GB2312"/>
                      <w:sz w:val="28"/>
                      <w:szCs w:val="28"/>
                    </w:rPr>
                  </w:pPr>
                  <w:r>
                    <w:rPr>
                      <w:rFonts w:hint="eastAsia" w:ascii="仿宋_GB2312" w:hAnsi="仿宋_GB2312" w:eastAsia="仿宋_GB2312" w:cs="仿宋_GB2312"/>
                      <w:sz w:val="28"/>
                      <w:szCs w:val="28"/>
                    </w:rPr>
                    <w:t>74.0～84.0</w:t>
                  </w:r>
                </w:p>
              </w:tc>
            </w:tr>
            <w:tr>
              <w:trPr>
                <w:trHeight w:val="306" w:hRule="atLeast"/>
              </w:trPr>
              <w:tc>
                <w:tcPr>
                  <w:tcW w:w="1721" w:type="dxa"/>
                  <w:tcBorders>
                    <w:top w:val="nil"/>
                    <w:left w:val="single" w:color="000000" w:sz="4" w:space="0"/>
                    <w:bottom w:val="nil"/>
                    <w:right w:val="single" w:color="000000" w:sz="4" w:space="0"/>
                  </w:tcBorders>
                  <w:vAlign w:val="center"/>
                </w:tcPr>
                <w:p>
                  <w:pPr>
                    <w:pStyle w:val="12"/>
                    <w:ind w:firstLine="0" w:firstLineChars="0"/>
                    <w:jc w:val="center"/>
                    <w:rPr>
                      <w:rFonts w:ascii="仿宋_GB2312" w:hAnsi="仿宋_GB2312" w:eastAsia="仿宋_GB2312" w:cs="仿宋_GB2312"/>
                      <w:sz w:val="28"/>
                      <w:szCs w:val="28"/>
                    </w:rPr>
                  </w:pPr>
                </w:p>
              </w:tc>
              <w:tc>
                <w:tcPr>
                  <w:tcW w:w="2504" w:type="dxa"/>
                  <w:tcBorders>
                    <w:top w:val="single" w:color="000000" w:sz="4" w:space="0"/>
                    <w:left w:val="nil"/>
                    <w:bottom w:val="single" w:color="000000" w:sz="4" w:space="0"/>
                    <w:right w:val="single" w:color="000000" w:sz="4" w:space="0"/>
                  </w:tcBorders>
                  <w:vAlign w:val="bottom"/>
                </w:tcPr>
                <w:p>
                  <w:pPr>
                    <w:pStyle w:val="12"/>
                    <w:ind w:firstLine="0" w:firstLineChars="0"/>
                    <w:jc w:val="left"/>
                    <w:rPr>
                      <w:rFonts w:ascii="仿宋_GB2312" w:hAnsi="仿宋_GB2312" w:eastAsia="仿宋_GB2312" w:cs="仿宋_GB2312"/>
                      <w:sz w:val="28"/>
                      <w:szCs w:val="28"/>
                    </w:rPr>
                  </w:pPr>
                  <w:r>
                    <w:rPr>
                      <w:rFonts w:hint="eastAsia" w:ascii="仿宋_GB2312" w:hAnsi="仿宋_GB2312" w:eastAsia="仿宋_GB2312" w:cs="仿宋_GB2312"/>
                      <w:sz w:val="28"/>
                      <w:szCs w:val="28"/>
                    </w:rPr>
                    <w:t>亚油酸（C18：2）</w:t>
                  </w:r>
                </w:p>
              </w:tc>
              <w:tc>
                <w:tcPr>
                  <w:tcW w:w="4650" w:type="dxa"/>
                  <w:tcBorders>
                    <w:top w:val="single" w:color="000000" w:sz="4" w:space="0"/>
                    <w:left w:val="nil"/>
                    <w:bottom w:val="single" w:color="000000" w:sz="4" w:space="0"/>
                    <w:right w:val="single" w:color="000000" w:sz="4" w:space="0"/>
                  </w:tcBorders>
                  <w:vAlign w:val="center"/>
                </w:tcPr>
                <w:p>
                  <w:pPr>
                    <w:pStyle w:val="12"/>
                    <w:ind w:firstLine="0" w:firstLineChars="0"/>
                    <w:jc w:val="center"/>
                    <w:rPr>
                      <w:rFonts w:ascii="仿宋_GB2312" w:hAnsi="仿宋_GB2312" w:eastAsia="仿宋_GB2312" w:cs="仿宋_GB2312"/>
                      <w:sz w:val="28"/>
                      <w:szCs w:val="28"/>
                    </w:rPr>
                  </w:pPr>
                  <w:r>
                    <w:rPr>
                      <w:rFonts w:hint="eastAsia" w:ascii="仿宋_GB2312" w:hAnsi="仿宋_GB2312" w:eastAsia="仿宋_GB2312" w:cs="仿宋_GB2312"/>
                      <w:sz w:val="28"/>
                      <w:szCs w:val="28"/>
                    </w:rPr>
                    <w:t>7.0～14.0</w:t>
                  </w:r>
                </w:p>
              </w:tc>
            </w:tr>
            <w:tr>
              <w:trPr>
                <w:trHeight w:val="306" w:hRule="atLeast"/>
              </w:trPr>
              <w:tc>
                <w:tcPr>
                  <w:tcW w:w="1721" w:type="dxa"/>
                  <w:tcBorders>
                    <w:top w:val="nil"/>
                    <w:left w:val="single" w:color="000000" w:sz="4" w:space="0"/>
                    <w:bottom w:val="nil"/>
                    <w:right w:val="single" w:color="000000" w:sz="4" w:space="0"/>
                  </w:tcBorders>
                  <w:vAlign w:val="center"/>
                </w:tcPr>
                <w:p>
                  <w:pPr>
                    <w:pStyle w:val="12"/>
                    <w:ind w:firstLine="0" w:firstLineChars="0"/>
                    <w:jc w:val="center"/>
                    <w:rPr>
                      <w:rFonts w:ascii="仿宋_GB2312" w:hAnsi="仿宋_GB2312" w:eastAsia="仿宋_GB2312" w:cs="仿宋_GB2312"/>
                      <w:sz w:val="28"/>
                      <w:szCs w:val="28"/>
                    </w:rPr>
                  </w:pPr>
                </w:p>
              </w:tc>
              <w:tc>
                <w:tcPr>
                  <w:tcW w:w="2504" w:type="dxa"/>
                  <w:tcBorders>
                    <w:top w:val="single" w:color="000000" w:sz="4" w:space="0"/>
                    <w:left w:val="nil"/>
                    <w:bottom w:val="single" w:color="000000" w:sz="4" w:space="0"/>
                    <w:right w:val="single" w:color="000000" w:sz="4" w:space="0"/>
                  </w:tcBorders>
                  <w:vAlign w:val="bottom"/>
                </w:tcPr>
                <w:p>
                  <w:pPr>
                    <w:pStyle w:val="12"/>
                    <w:ind w:firstLine="0" w:firstLineChars="0"/>
                    <w:jc w:val="left"/>
                    <w:rPr>
                      <w:rFonts w:ascii="仿宋_GB2312" w:hAnsi="仿宋_GB2312" w:eastAsia="仿宋_GB2312" w:cs="仿宋_GB2312"/>
                      <w:sz w:val="28"/>
                      <w:szCs w:val="28"/>
                    </w:rPr>
                  </w:pPr>
                  <w:r>
                    <w:rPr>
                      <w:rFonts w:hint="eastAsia" w:ascii="仿宋_GB2312" w:hAnsi="仿宋_GB2312" w:eastAsia="仿宋_GB2312" w:cs="仿宋_GB2312"/>
                      <w:sz w:val="28"/>
                      <w:szCs w:val="28"/>
                    </w:rPr>
                    <w:t>亚麻酸（C18：3）          ≤</w:t>
                  </w:r>
                </w:p>
              </w:tc>
              <w:tc>
                <w:tcPr>
                  <w:tcW w:w="4650" w:type="dxa"/>
                  <w:tcBorders>
                    <w:top w:val="single" w:color="000000" w:sz="4" w:space="0"/>
                    <w:left w:val="nil"/>
                    <w:bottom w:val="single" w:color="000000" w:sz="4" w:space="0"/>
                    <w:right w:val="single" w:color="000000" w:sz="4" w:space="0"/>
                  </w:tcBorders>
                  <w:vAlign w:val="center"/>
                </w:tcPr>
                <w:p>
                  <w:pPr>
                    <w:pStyle w:val="12"/>
                    <w:ind w:firstLine="0" w:firstLineChars="0"/>
                    <w:jc w:val="center"/>
                    <w:rPr>
                      <w:rFonts w:ascii="仿宋_GB2312" w:hAnsi="仿宋_GB2312" w:eastAsia="仿宋_GB2312" w:cs="仿宋_GB2312"/>
                      <w:sz w:val="28"/>
                      <w:szCs w:val="28"/>
                    </w:rPr>
                  </w:pPr>
                  <w:r>
                    <w:rPr>
                      <w:rFonts w:hint="eastAsia" w:ascii="仿宋_GB2312" w:hAnsi="仿宋_GB2312" w:eastAsia="仿宋_GB2312" w:cs="仿宋_GB2312"/>
                      <w:sz w:val="28"/>
                      <w:szCs w:val="28"/>
                    </w:rPr>
                    <w:t>1.4</w:t>
                  </w:r>
                </w:p>
              </w:tc>
            </w:tr>
            <w:tr>
              <w:trPr>
                <w:trHeight w:val="306" w:hRule="atLeast"/>
              </w:trPr>
              <w:tc>
                <w:tcPr>
                  <w:tcW w:w="1721" w:type="dxa"/>
                  <w:tcBorders>
                    <w:top w:val="nil"/>
                    <w:left w:val="single" w:color="000000" w:sz="4" w:space="0"/>
                    <w:bottom w:val="single" w:color="000000" w:sz="4" w:space="0"/>
                    <w:right w:val="single" w:color="000000" w:sz="4" w:space="0"/>
                  </w:tcBorders>
                  <w:vAlign w:val="center"/>
                </w:tcPr>
                <w:p>
                  <w:pPr>
                    <w:pStyle w:val="12"/>
                    <w:ind w:firstLine="0" w:firstLineChars="0"/>
                    <w:jc w:val="center"/>
                    <w:rPr>
                      <w:rFonts w:ascii="仿宋_GB2312" w:hAnsi="仿宋_GB2312" w:eastAsia="仿宋_GB2312" w:cs="仿宋_GB2312"/>
                      <w:sz w:val="28"/>
                      <w:szCs w:val="28"/>
                    </w:rPr>
                  </w:pPr>
                </w:p>
              </w:tc>
              <w:tc>
                <w:tcPr>
                  <w:tcW w:w="2504" w:type="dxa"/>
                  <w:tcBorders>
                    <w:top w:val="single" w:color="000000" w:sz="4" w:space="0"/>
                    <w:left w:val="nil"/>
                    <w:bottom w:val="single" w:color="000000" w:sz="4" w:space="0"/>
                    <w:right w:val="single" w:color="000000" w:sz="4" w:space="0"/>
                  </w:tcBorders>
                  <w:vAlign w:val="bottom"/>
                </w:tcPr>
                <w:p>
                  <w:pPr>
                    <w:pStyle w:val="12"/>
                    <w:ind w:firstLine="0" w:firstLineChars="0"/>
                    <w:jc w:val="left"/>
                    <w:rPr>
                      <w:rFonts w:ascii="仿宋_GB2312" w:hAnsi="仿宋_GB2312" w:eastAsia="仿宋_GB2312" w:cs="仿宋_GB2312"/>
                      <w:sz w:val="28"/>
                      <w:szCs w:val="28"/>
                    </w:rPr>
                  </w:pPr>
                  <w:r>
                    <w:rPr>
                      <w:rFonts w:hint="eastAsia" w:ascii="仿宋_GB2312" w:hAnsi="仿宋_GB2312" w:eastAsia="仿宋_GB2312" w:cs="仿宋_GB2312"/>
                      <w:sz w:val="28"/>
                      <w:szCs w:val="28"/>
                    </w:rPr>
                    <w:t>芥酸（C22：1）            ≤</w:t>
                  </w:r>
                </w:p>
              </w:tc>
              <w:tc>
                <w:tcPr>
                  <w:tcW w:w="4650" w:type="dxa"/>
                  <w:tcBorders>
                    <w:top w:val="single" w:color="000000" w:sz="4" w:space="0"/>
                    <w:left w:val="nil"/>
                    <w:bottom w:val="single" w:color="000000" w:sz="4" w:space="0"/>
                    <w:right w:val="single" w:color="000000" w:sz="4" w:space="0"/>
                  </w:tcBorders>
                  <w:vAlign w:val="center"/>
                </w:tcPr>
                <w:p>
                  <w:pPr>
                    <w:pStyle w:val="12"/>
                    <w:ind w:firstLine="0" w:firstLineChars="0"/>
                    <w:jc w:val="center"/>
                    <w:rPr>
                      <w:rFonts w:ascii="仿宋_GB2312" w:hAnsi="仿宋_GB2312" w:eastAsia="仿宋_GB2312" w:cs="仿宋_GB2312"/>
                      <w:sz w:val="28"/>
                      <w:szCs w:val="28"/>
                    </w:rPr>
                  </w:pPr>
                  <w:r>
                    <w:rPr>
                      <w:rFonts w:hint="eastAsia" w:ascii="仿宋_GB2312" w:hAnsi="仿宋_GB2312" w:eastAsia="仿宋_GB2312" w:cs="仿宋_GB2312"/>
                      <w:sz w:val="28"/>
                      <w:szCs w:val="28"/>
                    </w:rPr>
                    <w:t>0.5</w:t>
                  </w:r>
                </w:p>
              </w:tc>
            </w:tr>
          </w:tbl>
          <w:p>
            <w:pPr>
              <w:pStyle w:val="12"/>
              <w:widowControl w:val="0"/>
              <w:ind w:firstLine="56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2.质量指标参照了GB 11765 -2018《油茶籽油》的规定，并按等级进行了加严。</w:t>
            </w:r>
          </w:p>
          <w:tbl>
            <w:tblPr>
              <w:tblStyle w:val="6"/>
              <w:tblW w:w="0" w:type="auto"/>
              <w:tblInd w:w="0" w:type="dxa"/>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Layout w:type="fixed"/>
              <w:tblCellMar>
                <w:top w:w="0" w:type="dxa"/>
                <w:left w:w="108" w:type="dxa"/>
                <w:bottom w:w="0" w:type="dxa"/>
                <w:right w:w="108" w:type="dxa"/>
              </w:tblCellMar>
            </w:tblPr>
            <w:tblGrid>
              <w:gridCol w:w="2956"/>
              <w:gridCol w:w="3300"/>
              <w:gridCol w:w="3096"/>
            </w:tblGrid>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PrEx>
              <w:trPr>
                <w:cantSplit/>
                <w:trHeight w:val="306" w:hRule="atLeast"/>
              </w:trPr>
              <w:tc>
                <w:tcPr>
                  <w:tcW w:w="2956" w:type="dxa"/>
                  <w:tcBorders>
                    <w:top w:val="single" w:color="auto" w:sz="4" w:space="0"/>
                    <w:left w:val="single" w:color="auto" w:sz="4" w:space="0"/>
                    <w:bottom w:val="single" w:color="auto" w:sz="4" w:space="0"/>
                    <w:right w:val="single" w:color="auto" w:sz="4" w:space="0"/>
                  </w:tcBorders>
                  <w:vAlign w:val="center"/>
                </w:tcPr>
                <w:p>
                  <w:pPr>
                    <w:widowControl w:val="0"/>
                    <w:spacing w:before="50" w:after="50"/>
                    <w:jc w:val="center"/>
                    <w:rPr>
                      <w:rFonts w:ascii="仿宋_GB2312" w:hAnsi="仿宋_GB2312" w:eastAsia="仿宋_GB2312" w:cs="仿宋_GB2312"/>
                      <w:sz w:val="28"/>
                      <w:szCs w:val="28"/>
                    </w:rPr>
                  </w:pPr>
                  <w:r>
                    <w:rPr>
                      <w:rFonts w:hint="eastAsia" w:ascii="仿宋_GB2312" w:hAnsi="仿宋_GB2312" w:eastAsia="仿宋_GB2312" w:cs="仿宋_GB2312"/>
                      <w:sz w:val="28"/>
                      <w:szCs w:val="28"/>
                    </w:rPr>
                    <w:t>项 目</w:t>
                  </w:r>
                </w:p>
              </w:tc>
              <w:tc>
                <w:tcPr>
                  <w:tcW w:w="3300" w:type="dxa"/>
                  <w:tcBorders>
                    <w:top w:val="single" w:color="auto" w:sz="4" w:space="0"/>
                    <w:left w:val="nil"/>
                    <w:bottom w:val="single" w:color="auto" w:sz="4" w:space="0"/>
                    <w:right w:val="single" w:color="auto" w:sz="4" w:space="0"/>
                  </w:tcBorders>
                </w:tcPr>
                <w:p>
                  <w:pPr>
                    <w:widowControl w:val="0"/>
                    <w:spacing w:before="50" w:after="50"/>
                    <w:jc w:val="center"/>
                    <w:rPr>
                      <w:rFonts w:ascii="仿宋_GB2312" w:hAnsi="仿宋_GB2312" w:eastAsia="仿宋_GB2312" w:cs="仿宋_GB2312"/>
                      <w:sz w:val="28"/>
                      <w:szCs w:val="28"/>
                    </w:rPr>
                  </w:pPr>
                  <w:r>
                    <w:rPr>
                      <w:rFonts w:hint="eastAsia" w:ascii="仿宋_GB2312" w:hAnsi="仿宋_GB2312" w:eastAsia="仿宋_GB2312" w:cs="仿宋_GB2312"/>
                      <w:sz w:val="28"/>
                      <w:szCs w:val="28"/>
                    </w:rPr>
                    <w:t>特级衢州山茶油</w:t>
                  </w:r>
                </w:p>
              </w:tc>
              <w:tc>
                <w:tcPr>
                  <w:tcW w:w="3096" w:type="dxa"/>
                  <w:tcBorders>
                    <w:top w:val="single" w:color="auto" w:sz="4" w:space="0"/>
                    <w:left w:val="nil"/>
                    <w:bottom w:val="single" w:color="auto" w:sz="4" w:space="0"/>
                    <w:right w:val="single" w:color="auto" w:sz="4" w:space="0"/>
                  </w:tcBorders>
                </w:tcPr>
                <w:p>
                  <w:pPr>
                    <w:widowControl w:val="0"/>
                    <w:spacing w:before="50" w:after="50"/>
                    <w:jc w:val="center"/>
                    <w:rPr>
                      <w:rFonts w:ascii="仿宋_GB2312" w:hAnsi="仿宋_GB2312" w:eastAsia="仿宋_GB2312" w:cs="仿宋_GB2312"/>
                      <w:sz w:val="28"/>
                      <w:szCs w:val="28"/>
                    </w:rPr>
                  </w:pPr>
                  <w:r>
                    <w:rPr>
                      <w:rFonts w:hint="eastAsia" w:ascii="仿宋_GB2312" w:hAnsi="仿宋_GB2312" w:eastAsia="仿宋_GB2312" w:cs="仿宋_GB2312"/>
                      <w:sz w:val="28"/>
                      <w:szCs w:val="28"/>
                    </w:rPr>
                    <w:t>优级衢州山茶油</w:t>
                  </w:r>
                </w:p>
              </w:tc>
            </w:tr>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PrEx>
              <w:trPr>
                <w:cantSplit/>
                <w:trHeight w:val="306" w:hRule="atLeast"/>
              </w:trPr>
              <w:tc>
                <w:tcPr>
                  <w:tcW w:w="2956" w:type="dxa"/>
                  <w:tcBorders>
                    <w:top w:val="single" w:color="auto" w:sz="4" w:space="0"/>
                    <w:left w:val="single" w:color="auto" w:sz="4" w:space="0"/>
                    <w:bottom w:val="single" w:color="auto" w:sz="4" w:space="0"/>
                    <w:right w:val="single" w:color="auto" w:sz="4" w:space="0"/>
                  </w:tcBorders>
                  <w:vAlign w:val="center"/>
                </w:tcPr>
                <w:p>
                  <w:pPr>
                    <w:widowControl w:val="0"/>
                    <w:spacing w:before="50" w:after="50"/>
                    <w:jc w:val="both"/>
                    <w:rPr>
                      <w:rFonts w:ascii="仿宋_GB2312" w:hAnsi="仿宋_GB2312" w:eastAsia="仿宋_GB2312" w:cs="仿宋_GB2312"/>
                      <w:sz w:val="28"/>
                      <w:szCs w:val="28"/>
                    </w:rPr>
                  </w:pPr>
                  <w:r>
                    <w:rPr>
                      <w:rFonts w:hint="eastAsia" w:ascii="仿宋_GB2312" w:hAnsi="仿宋_GB2312" w:eastAsia="仿宋_GB2312" w:cs="仿宋_GB2312"/>
                      <w:sz w:val="28"/>
                      <w:szCs w:val="28"/>
                    </w:rPr>
                    <w:t>色泽</w:t>
                  </w:r>
                </w:p>
              </w:tc>
              <w:tc>
                <w:tcPr>
                  <w:tcW w:w="3300" w:type="dxa"/>
                  <w:tcBorders>
                    <w:top w:val="single" w:color="auto" w:sz="4" w:space="0"/>
                    <w:left w:val="nil"/>
                    <w:bottom w:val="single" w:color="auto" w:sz="4" w:space="0"/>
                    <w:right w:val="single" w:color="auto" w:sz="4" w:space="0"/>
                  </w:tcBorders>
                </w:tcPr>
                <w:p>
                  <w:pPr>
                    <w:widowControl w:val="0"/>
                    <w:spacing w:before="50" w:after="50"/>
                    <w:rPr>
                      <w:rFonts w:ascii="仿宋_GB2312" w:hAnsi="仿宋_GB2312" w:eastAsia="仿宋_GB2312" w:cs="仿宋_GB2312"/>
                      <w:sz w:val="28"/>
                      <w:szCs w:val="28"/>
                    </w:rPr>
                  </w:pPr>
                  <w:r>
                    <w:rPr>
                      <w:rFonts w:hint="eastAsia" w:ascii="仿宋_GB2312" w:hAnsi="仿宋_GB2312" w:eastAsia="仿宋_GB2312" w:cs="仿宋_GB2312"/>
                      <w:sz w:val="28"/>
                      <w:szCs w:val="28"/>
                    </w:rPr>
                    <w:t>淡黄色</w:t>
                  </w:r>
                </w:p>
              </w:tc>
              <w:tc>
                <w:tcPr>
                  <w:tcW w:w="3096" w:type="dxa"/>
                  <w:tcBorders>
                    <w:top w:val="single" w:color="auto" w:sz="4" w:space="0"/>
                    <w:left w:val="nil"/>
                    <w:bottom w:val="single" w:color="auto" w:sz="4" w:space="0"/>
                    <w:right w:val="single" w:color="auto" w:sz="4" w:space="0"/>
                  </w:tcBorders>
                </w:tcPr>
                <w:p>
                  <w:pPr>
                    <w:widowControl w:val="0"/>
                    <w:spacing w:before="50" w:after="50"/>
                    <w:rPr>
                      <w:rFonts w:ascii="仿宋_GB2312" w:hAnsi="仿宋_GB2312" w:eastAsia="仿宋_GB2312" w:cs="仿宋_GB2312"/>
                      <w:sz w:val="28"/>
                      <w:szCs w:val="28"/>
                    </w:rPr>
                  </w:pPr>
                  <w:r>
                    <w:rPr>
                      <w:rFonts w:hint="eastAsia" w:ascii="仿宋_GB2312" w:hAnsi="仿宋_GB2312" w:eastAsia="仿宋_GB2312" w:cs="仿宋_GB2312"/>
                      <w:sz w:val="28"/>
                      <w:szCs w:val="28"/>
                    </w:rPr>
                    <w:t>淡黄色至黄色</w:t>
                  </w:r>
                </w:p>
              </w:tc>
            </w:tr>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PrEx>
              <w:trPr>
                <w:cantSplit/>
                <w:trHeight w:val="704" w:hRule="atLeast"/>
              </w:trPr>
              <w:tc>
                <w:tcPr>
                  <w:tcW w:w="2956" w:type="dxa"/>
                  <w:tcBorders>
                    <w:top w:val="single" w:color="auto" w:sz="4" w:space="0"/>
                    <w:left w:val="single" w:color="auto" w:sz="4" w:space="0"/>
                    <w:bottom w:val="single" w:color="auto" w:sz="4" w:space="0"/>
                    <w:right w:val="single" w:color="auto" w:sz="4" w:space="0"/>
                  </w:tcBorders>
                  <w:vAlign w:val="center"/>
                </w:tcPr>
                <w:p>
                  <w:pPr>
                    <w:widowControl w:val="0"/>
                    <w:spacing w:before="50" w:after="50"/>
                    <w:jc w:val="both"/>
                    <w:rPr>
                      <w:rFonts w:ascii="仿宋_GB2312" w:hAnsi="仿宋_GB2312" w:eastAsia="仿宋_GB2312" w:cs="仿宋_GB2312"/>
                      <w:sz w:val="28"/>
                      <w:szCs w:val="28"/>
                    </w:rPr>
                  </w:pPr>
                  <w:r>
                    <w:rPr>
                      <w:rFonts w:hint="eastAsia" w:ascii="仿宋_GB2312" w:hAnsi="仿宋_GB2312" w:eastAsia="仿宋_GB2312" w:cs="仿宋_GB2312"/>
                      <w:sz w:val="28"/>
                      <w:szCs w:val="28"/>
                    </w:rPr>
                    <w:t>气味、滋味</w:t>
                  </w:r>
                </w:p>
              </w:tc>
              <w:tc>
                <w:tcPr>
                  <w:tcW w:w="3300" w:type="dxa"/>
                  <w:tcBorders>
                    <w:top w:val="single" w:color="auto" w:sz="4" w:space="0"/>
                    <w:left w:val="nil"/>
                    <w:bottom w:val="single" w:color="auto" w:sz="4" w:space="0"/>
                    <w:right w:val="single" w:color="auto" w:sz="4" w:space="0"/>
                  </w:tcBorders>
                </w:tcPr>
                <w:p>
                  <w:pPr>
                    <w:widowControl w:val="0"/>
                    <w:spacing w:before="50" w:after="50"/>
                    <w:rPr>
                      <w:rFonts w:ascii="仿宋_GB2312" w:hAnsi="仿宋_GB2312" w:eastAsia="仿宋_GB2312" w:cs="仿宋_GB2312"/>
                      <w:sz w:val="28"/>
                      <w:szCs w:val="28"/>
                    </w:rPr>
                  </w:pPr>
                  <w:r>
                    <w:rPr>
                      <w:rFonts w:hint="eastAsia" w:ascii="仿宋_GB2312" w:hAnsi="仿宋_GB2312" w:eastAsia="仿宋_GB2312" w:cs="仿宋_GB2312"/>
                      <w:sz w:val="28"/>
                      <w:szCs w:val="28"/>
                    </w:rPr>
                    <w:t>具有衢州山茶油固有的气味和滋味，无异味，口感好</w:t>
                  </w:r>
                </w:p>
              </w:tc>
              <w:tc>
                <w:tcPr>
                  <w:tcW w:w="3096" w:type="dxa"/>
                  <w:tcBorders>
                    <w:top w:val="single" w:color="auto" w:sz="4" w:space="0"/>
                    <w:left w:val="nil"/>
                    <w:bottom w:val="single" w:color="auto" w:sz="4" w:space="0"/>
                    <w:right w:val="single" w:color="auto" w:sz="4" w:space="0"/>
                  </w:tcBorders>
                  <w:vAlign w:val="center"/>
                </w:tcPr>
                <w:p>
                  <w:pPr>
                    <w:widowControl w:val="0"/>
                    <w:spacing w:before="50" w:after="50"/>
                    <w:rPr>
                      <w:rFonts w:ascii="仿宋_GB2312" w:hAnsi="仿宋_GB2312" w:eastAsia="仿宋_GB2312" w:cs="仿宋_GB2312"/>
                      <w:sz w:val="28"/>
                      <w:szCs w:val="28"/>
                    </w:rPr>
                  </w:pPr>
                  <w:r>
                    <w:rPr>
                      <w:rFonts w:hint="eastAsia" w:ascii="仿宋_GB2312" w:hAnsi="仿宋_GB2312" w:eastAsia="仿宋_GB2312" w:cs="仿宋_GB2312"/>
                      <w:sz w:val="28"/>
                      <w:szCs w:val="28"/>
                    </w:rPr>
                    <w:t>具有衢州山茶油固有的气味、滋味，无异味，口感较好</w:t>
                  </w:r>
                </w:p>
              </w:tc>
            </w:tr>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PrEx>
              <w:trPr>
                <w:cantSplit/>
                <w:trHeight w:val="763" w:hRule="atLeast"/>
              </w:trPr>
              <w:tc>
                <w:tcPr>
                  <w:tcW w:w="2956" w:type="dxa"/>
                  <w:tcBorders>
                    <w:top w:val="single" w:color="auto" w:sz="4" w:space="0"/>
                    <w:left w:val="single" w:color="auto" w:sz="4" w:space="0"/>
                    <w:bottom w:val="single" w:color="auto" w:sz="4" w:space="0"/>
                    <w:right w:val="single" w:color="auto" w:sz="4" w:space="0"/>
                  </w:tcBorders>
                  <w:vAlign w:val="center"/>
                </w:tcPr>
                <w:p>
                  <w:pPr>
                    <w:widowControl w:val="0"/>
                    <w:spacing w:before="50" w:after="50"/>
                    <w:jc w:val="both"/>
                    <w:rPr>
                      <w:rFonts w:ascii="仿宋_GB2312" w:hAnsi="仿宋_GB2312" w:eastAsia="仿宋_GB2312" w:cs="仿宋_GB2312"/>
                      <w:sz w:val="28"/>
                      <w:szCs w:val="28"/>
                    </w:rPr>
                  </w:pPr>
                  <w:r>
                    <w:rPr>
                      <w:rFonts w:hint="eastAsia" w:ascii="仿宋_GB2312" w:hAnsi="仿宋_GB2312" w:eastAsia="仿宋_GB2312" w:cs="仿宋_GB2312"/>
                      <w:sz w:val="28"/>
                      <w:szCs w:val="28"/>
                    </w:rPr>
                    <w:t>透明度（20℃）</w:t>
                  </w:r>
                </w:p>
              </w:tc>
              <w:tc>
                <w:tcPr>
                  <w:tcW w:w="3300" w:type="dxa"/>
                  <w:tcBorders>
                    <w:top w:val="single" w:color="auto" w:sz="4" w:space="0"/>
                    <w:left w:val="nil"/>
                    <w:bottom w:val="single" w:color="auto" w:sz="4" w:space="0"/>
                    <w:right w:val="single" w:color="auto" w:sz="4" w:space="0"/>
                  </w:tcBorders>
                </w:tcPr>
                <w:p>
                  <w:pPr>
                    <w:widowControl w:val="0"/>
                    <w:spacing w:before="50" w:after="50"/>
                    <w:rPr>
                      <w:rFonts w:ascii="仿宋_GB2312" w:hAnsi="仿宋_GB2312" w:eastAsia="仿宋_GB2312" w:cs="仿宋_GB2312"/>
                      <w:sz w:val="28"/>
                      <w:szCs w:val="28"/>
                    </w:rPr>
                  </w:pPr>
                  <w:r>
                    <w:rPr>
                      <w:rFonts w:hint="eastAsia" w:ascii="仿宋_GB2312" w:hAnsi="仿宋_GB2312" w:eastAsia="仿宋_GB2312" w:cs="仿宋_GB2312"/>
                      <w:sz w:val="28"/>
                      <w:szCs w:val="28"/>
                    </w:rPr>
                    <w:t>澄清、透明，无正常视力可见外来杂质</w:t>
                  </w:r>
                </w:p>
              </w:tc>
              <w:tc>
                <w:tcPr>
                  <w:tcW w:w="3096" w:type="dxa"/>
                  <w:tcBorders>
                    <w:top w:val="single" w:color="auto" w:sz="4" w:space="0"/>
                    <w:left w:val="nil"/>
                    <w:bottom w:val="single" w:color="auto" w:sz="4" w:space="0"/>
                    <w:right w:val="single" w:color="auto" w:sz="4" w:space="0"/>
                  </w:tcBorders>
                </w:tcPr>
                <w:p>
                  <w:pPr>
                    <w:widowControl w:val="0"/>
                    <w:spacing w:before="50" w:after="50"/>
                    <w:rPr>
                      <w:rFonts w:ascii="仿宋_GB2312" w:hAnsi="仿宋_GB2312" w:eastAsia="仿宋_GB2312" w:cs="仿宋_GB2312"/>
                      <w:sz w:val="28"/>
                      <w:szCs w:val="28"/>
                    </w:rPr>
                  </w:pPr>
                  <w:r>
                    <w:rPr>
                      <w:rFonts w:hint="eastAsia" w:ascii="仿宋_GB2312" w:hAnsi="仿宋_GB2312" w:eastAsia="仿宋_GB2312" w:cs="仿宋_GB2312"/>
                      <w:sz w:val="28"/>
                      <w:szCs w:val="28"/>
                    </w:rPr>
                    <w:t>清亮透明，无正常视力可见外来杂质，允许瓶底有微量聚集物</w:t>
                  </w:r>
                </w:p>
              </w:tc>
            </w:tr>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PrEx>
              <w:trPr>
                <w:trHeight w:val="306" w:hRule="atLeast"/>
              </w:trPr>
              <w:tc>
                <w:tcPr>
                  <w:tcW w:w="2956" w:type="dxa"/>
                  <w:tcBorders>
                    <w:top w:val="single" w:color="auto" w:sz="4" w:space="0"/>
                    <w:left w:val="single" w:color="auto" w:sz="4" w:space="0"/>
                    <w:bottom w:val="single" w:color="auto" w:sz="4" w:space="0"/>
                    <w:right w:val="single" w:color="auto" w:sz="4" w:space="0"/>
                  </w:tcBorders>
                  <w:vAlign w:val="center"/>
                </w:tcPr>
                <w:p>
                  <w:pPr>
                    <w:widowControl w:val="0"/>
                    <w:spacing w:before="50" w:after="50"/>
                    <w:jc w:val="both"/>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水分及挥发物/（%）            ≤ </w:t>
                  </w:r>
                </w:p>
              </w:tc>
              <w:tc>
                <w:tcPr>
                  <w:tcW w:w="3300" w:type="dxa"/>
                  <w:tcBorders>
                    <w:top w:val="single" w:color="auto" w:sz="4" w:space="0"/>
                    <w:left w:val="nil"/>
                    <w:bottom w:val="single" w:color="auto" w:sz="4" w:space="0"/>
                    <w:right w:val="single" w:color="auto" w:sz="4" w:space="0"/>
                  </w:tcBorders>
                </w:tcPr>
                <w:p>
                  <w:pPr>
                    <w:widowControl w:val="0"/>
                    <w:spacing w:before="50" w:after="50"/>
                    <w:jc w:val="center"/>
                    <w:rPr>
                      <w:rFonts w:ascii="仿宋_GB2312" w:hAnsi="仿宋_GB2312" w:eastAsia="仿宋_GB2312" w:cs="仿宋_GB2312"/>
                      <w:sz w:val="28"/>
                      <w:szCs w:val="28"/>
                    </w:rPr>
                  </w:pPr>
                  <w:r>
                    <w:rPr>
                      <w:rFonts w:hint="eastAsia" w:ascii="仿宋_GB2312" w:hAnsi="仿宋_GB2312" w:eastAsia="仿宋_GB2312" w:cs="仿宋_GB2312"/>
                      <w:sz w:val="28"/>
                      <w:szCs w:val="28"/>
                    </w:rPr>
                    <w:t>0.05</w:t>
                  </w:r>
                </w:p>
              </w:tc>
              <w:tc>
                <w:tcPr>
                  <w:tcW w:w="3096" w:type="dxa"/>
                  <w:tcBorders>
                    <w:top w:val="single" w:color="auto" w:sz="4" w:space="0"/>
                    <w:left w:val="nil"/>
                    <w:bottom w:val="single" w:color="auto" w:sz="4" w:space="0"/>
                    <w:right w:val="single" w:color="auto" w:sz="4" w:space="0"/>
                  </w:tcBorders>
                </w:tcPr>
                <w:p>
                  <w:pPr>
                    <w:widowControl w:val="0"/>
                    <w:spacing w:before="50" w:after="50"/>
                    <w:jc w:val="center"/>
                    <w:rPr>
                      <w:rFonts w:ascii="仿宋_GB2312" w:hAnsi="仿宋_GB2312" w:eastAsia="仿宋_GB2312" w:cs="仿宋_GB2312"/>
                      <w:sz w:val="28"/>
                      <w:szCs w:val="28"/>
                    </w:rPr>
                  </w:pPr>
                  <w:r>
                    <w:rPr>
                      <w:rFonts w:hint="eastAsia" w:ascii="仿宋_GB2312" w:hAnsi="仿宋_GB2312" w:eastAsia="仿宋_GB2312" w:cs="仿宋_GB2312"/>
                      <w:sz w:val="28"/>
                      <w:szCs w:val="28"/>
                    </w:rPr>
                    <w:t>0.10</w:t>
                  </w:r>
                </w:p>
              </w:tc>
            </w:tr>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PrEx>
              <w:trPr>
                <w:trHeight w:val="306" w:hRule="atLeast"/>
              </w:trPr>
              <w:tc>
                <w:tcPr>
                  <w:tcW w:w="2956" w:type="dxa"/>
                  <w:tcBorders>
                    <w:top w:val="single" w:color="auto" w:sz="4" w:space="0"/>
                    <w:left w:val="single" w:color="auto" w:sz="4" w:space="0"/>
                    <w:bottom w:val="single" w:color="auto" w:sz="4" w:space="0"/>
                    <w:right w:val="single" w:color="auto" w:sz="4" w:space="0"/>
                  </w:tcBorders>
                  <w:vAlign w:val="center"/>
                </w:tcPr>
                <w:p>
                  <w:pPr>
                    <w:widowControl w:val="0"/>
                    <w:spacing w:before="50" w:after="50"/>
                    <w:jc w:val="both"/>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不溶性杂质/（%）              ≤ </w:t>
                  </w:r>
                </w:p>
              </w:tc>
              <w:tc>
                <w:tcPr>
                  <w:tcW w:w="3300" w:type="dxa"/>
                  <w:tcBorders>
                    <w:top w:val="single" w:color="auto" w:sz="4" w:space="0"/>
                    <w:left w:val="nil"/>
                    <w:bottom w:val="single" w:color="auto" w:sz="4" w:space="0"/>
                    <w:right w:val="single" w:color="auto" w:sz="4" w:space="0"/>
                  </w:tcBorders>
                </w:tcPr>
                <w:p>
                  <w:pPr>
                    <w:widowControl w:val="0"/>
                    <w:spacing w:before="50" w:after="50"/>
                    <w:jc w:val="center"/>
                    <w:rPr>
                      <w:rFonts w:ascii="仿宋_GB2312" w:hAnsi="仿宋_GB2312" w:eastAsia="仿宋_GB2312" w:cs="仿宋_GB2312"/>
                      <w:sz w:val="28"/>
                      <w:szCs w:val="28"/>
                    </w:rPr>
                  </w:pPr>
                  <w:r>
                    <w:rPr>
                      <w:rFonts w:hint="eastAsia" w:ascii="仿宋_GB2312" w:hAnsi="仿宋_GB2312" w:eastAsia="仿宋_GB2312" w:cs="仿宋_GB2312"/>
                      <w:sz w:val="28"/>
                      <w:szCs w:val="28"/>
                    </w:rPr>
                    <w:t>0.05</w:t>
                  </w:r>
                </w:p>
              </w:tc>
              <w:tc>
                <w:tcPr>
                  <w:tcW w:w="3096" w:type="dxa"/>
                  <w:tcBorders>
                    <w:top w:val="single" w:color="auto" w:sz="4" w:space="0"/>
                    <w:left w:val="nil"/>
                    <w:bottom w:val="single" w:color="auto" w:sz="4" w:space="0"/>
                    <w:right w:val="single" w:color="auto" w:sz="4" w:space="0"/>
                  </w:tcBorders>
                </w:tcPr>
                <w:p>
                  <w:pPr>
                    <w:widowControl w:val="0"/>
                    <w:spacing w:before="50" w:after="50"/>
                    <w:jc w:val="center"/>
                    <w:rPr>
                      <w:rFonts w:ascii="仿宋_GB2312" w:hAnsi="仿宋_GB2312" w:eastAsia="仿宋_GB2312" w:cs="仿宋_GB2312"/>
                      <w:sz w:val="28"/>
                      <w:szCs w:val="28"/>
                    </w:rPr>
                  </w:pPr>
                  <w:r>
                    <w:rPr>
                      <w:rFonts w:hint="eastAsia" w:ascii="仿宋_GB2312" w:hAnsi="仿宋_GB2312" w:eastAsia="仿宋_GB2312" w:cs="仿宋_GB2312"/>
                      <w:sz w:val="28"/>
                      <w:szCs w:val="28"/>
                    </w:rPr>
                    <w:t>0.05</w:t>
                  </w:r>
                </w:p>
              </w:tc>
            </w:tr>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PrEx>
              <w:trPr>
                <w:trHeight w:val="306" w:hRule="atLeast"/>
              </w:trPr>
              <w:tc>
                <w:tcPr>
                  <w:tcW w:w="2956" w:type="dxa"/>
                  <w:tcBorders>
                    <w:top w:val="single" w:color="auto" w:sz="4" w:space="0"/>
                    <w:left w:val="single" w:color="auto" w:sz="4" w:space="0"/>
                    <w:bottom w:val="single" w:color="auto" w:sz="4" w:space="0"/>
                    <w:right w:val="single" w:color="auto" w:sz="4" w:space="0"/>
                  </w:tcBorders>
                  <w:vAlign w:val="center"/>
                </w:tcPr>
                <w:p>
                  <w:pPr>
                    <w:widowControl w:val="0"/>
                    <w:spacing w:before="50" w:after="50"/>
                    <w:jc w:val="both"/>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酸价（以KOH计）/（mg/g）      ≤   </w:t>
                  </w:r>
                </w:p>
              </w:tc>
              <w:tc>
                <w:tcPr>
                  <w:tcW w:w="3300" w:type="dxa"/>
                  <w:tcBorders>
                    <w:top w:val="single" w:color="auto" w:sz="4" w:space="0"/>
                    <w:left w:val="nil"/>
                    <w:bottom w:val="single" w:color="auto" w:sz="4" w:space="0"/>
                    <w:right w:val="single" w:color="auto" w:sz="4" w:space="0"/>
                  </w:tcBorders>
                </w:tcPr>
                <w:p>
                  <w:pPr>
                    <w:widowControl w:val="0"/>
                    <w:spacing w:before="50" w:after="50"/>
                    <w:jc w:val="center"/>
                    <w:rPr>
                      <w:rFonts w:ascii="仿宋_GB2312" w:hAnsi="仿宋_GB2312" w:eastAsia="仿宋_GB2312" w:cs="仿宋_GB2312"/>
                      <w:sz w:val="28"/>
                      <w:szCs w:val="28"/>
                    </w:rPr>
                  </w:pPr>
                  <w:r>
                    <w:rPr>
                      <w:rFonts w:hint="eastAsia" w:ascii="仿宋_GB2312" w:hAnsi="仿宋_GB2312" w:eastAsia="仿宋_GB2312" w:cs="仿宋_GB2312"/>
                      <w:sz w:val="28"/>
                      <w:szCs w:val="28"/>
                    </w:rPr>
                    <w:t>1.0</w:t>
                  </w:r>
                </w:p>
              </w:tc>
              <w:tc>
                <w:tcPr>
                  <w:tcW w:w="3096" w:type="dxa"/>
                  <w:tcBorders>
                    <w:top w:val="single" w:color="auto" w:sz="4" w:space="0"/>
                    <w:left w:val="nil"/>
                    <w:bottom w:val="single" w:color="auto" w:sz="4" w:space="0"/>
                    <w:right w:val="single" w:color="auto" w:sz="4" w:space="0"/>
                  </w:tcBorders>
                </w:tcPr>
                <w:p>
                  <w:pPr>
                    <w:widowControl w:val="0"/>
                    <w:spacing w:before="50" w:after="50"/>
                    <w:jc w:val="center"/>
                    <w:rPr>
                      <w:rFonts w:ascii="仿宋_GB2312" w:hAnsi="仿宋_GB2312" w:eastAsia="仿宋_GB2312" w:cs="仿宋_GB2312"/>
                      <w:sz w:val="28"/>
                      <w:szCs w:val="28"/>
                    </w:rPr>
                  </w:pPr>
                  <w:r>
                    <w:rPr>
                      <w:rFonts w:hint="eastAsia" w:ascii="仿宋_GB2312" w:hAnsi="仿宋_GB2312" w:eastAsia="仿宋_GB2312" w:cs="仿宋_GB2312"/>
                      <w:sz w:val="28"/>
                      <w:szCs w:val="28"/>
                    </w:rPr>
                    <w:t>2.0</w:t>
                  </w:r>
                </w:p>
              </w:tc>
            </w:tr>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PrEx>
              <w:trPr>
                <w:trHeight w:val="306" w:hRule="atLeast"/>
              </w:trPr>
              <w:tc>
                <w:tcPr>
                  <w:tcW w:w="2956" w:type="dxa"/>
                  <w:tcBorders>
                    <w:top w:val="single" w:color="auto" w:sz="4" w:space="0"/>
                    <w:left w:val="single" w:color="auto" w:sz="4" w:space="0"/>
                    <w:bottom w:val="single" w:color="auto" w:sz="4" w:space="0"/>
                    <w:right w:val="single" w:color="auto" w:sz="4" w:space="0"/>
                  </w:tcBorders>
                  <w:vAlign w:val="center"/>
                </w:tcPr>
                <w:p>
                  <w:pPr>
                    <w:widowControl w:val="0"/>
                    <w:spacing w:before="50" w:after="50"/>
                    <w:jc w:val="both"/>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过氧化值/（g/100g）           ≤          </w:t>
                  </w:r>
                </w:p>
              </w:tc>
              <w:tc>
                <w:tcPr>
                  <w:tcW w:w="3300" w:type="dxa"/>
                  <w:tcBorders>
                    <w:top w:val="single" w:color="auto" w:sz="4" w:space="0"/>
                    <w:left w:val="nil"/>
                    <w:bottom w:val="single" w:color="auto" w:sz="4" w:space="0"/>
                    <w:right w:val="single" w:color="auto" w:sz="4" w:space="0"/>
                  </w:tcBorders>
                </w:tcPr>
                <w:p>
                  <w:pPr>
                    <w:widowControl w:val="0"/>
                    <w:spacing w:before="50" w:after="50"/>
                    <w:jc w:val="center"/>
                    <w:rPr>
                      <w:rFonts w:ascii="仿宋_GB2312" w:hAnsi="仿宋_GB2312" w:eastAsia="仿宋_GB2312" w:cs="仿宋_GB2312"/>
                      <w:sz w:val="28"/>
                      <w:szCs w:val="28"/>
                    </w:rPr>
                  </w:pPr>
                  <w:r>
                    <w:rPr>
                      <w:rFonts w:hint="eastAsia" w:ascii="仿宋_GB2312" w:hAnsi="仿宋_GB2312" w:eastAsia="仿宋_GB2312" w:cs="仿宋_GB2312"/>
                      <w:sz w:val="28"/>
                      <w:szCs w:val="28"/>
                    </w:rPr>
                    <w:t>0.20</w:t>
                  </w:r>
                </w:p>
              </w:tc>
              <w:tc>
                <w:tcPr>
                  <w:tcW w:w="3096" w:type="dxa"/>
                  <w:tcBorders>
                    <w:top w:val="single" w:color="auto" w:sz="4" w:space="0"/>
                    <w:left w:val="nil"/>
                    <w:bottom w:val="single" w:color="auto" w:sz="4" w:space="0"/>
                    <w:right w:val="single" w:color="auto" w:sz="4" w:space="0"/>
                  </w:tcBorders>
                </w:tcPr>
                <w:p>
                  <w:pPr>
                    <w:widowControl w:val="0"/>
                    <w:spacing w:before="50" w:after="50"/>
                    <w:jc w:val="center"/>
                    <w:rPr>
                      <w:rFonts w:ascii="仿宋_GB2312" w:hAnsi="仿宋_GB2312" w:eastAsia="仿宋_GB2312" w:cs="仿宋_GB2312"/>
                      <w:sz w:val="28"/>
                      <w:szCs w:val="28"/>
                    </w:rPr>
                  </w:pPr>
                  <w:r>
                    <w:rPr>
                      <w:rFonts w:hint="eastAsia" w:ascii="仿宋_GB2312" w:hAnsi="仿宋_GB2312" w:eastAsia="仿宋_GB2312" w:cs="仿宋_GB2312"/>
                      <w:sz w:val="28"/>
                      <w:szCs w:val="28"/>
                    </w:rPr>
                    <w:t>0.25</w:t>
                  </w:r>
                </w:p>
              </w:tc>
            </w:tr>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PrEx>
              <w:trPr>
                <w:trHeight w:val="306" w:hRule="atLeast"/>
              </w:trPr>
              <w:tc>
                <w:tcPr>
                  <w:tcW w:w="2956" w:type="dxa"/>
                  <w:tcBorders>
                    <w:top w:val="single" w:color="auto" w:sz="4" w:space="0"/>
                    <w:left w:val="single" w:color="auto" w:sz="4" w:space="0"/>
                    <w:bottom w:val="single" w:color="auto" w:sz="4" w:space="0"/>
                    <w:right w:val="single" w:color="auto" w:sz="4" w:space="0"/>
                  </w:tcBorders>
                  <w:vAlign w:val="center"/>
                </w:tcPr>
                <w:p>
                  <w:pPr>
                    <w:widowControl w:val="0"/>
                    <w:spacing w:before="50" w:after="50"/>
                    <w:jc w:val="both"/>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溶剂残留量/（mg/kg）               </w:t>
                  </w:r>
                </w:p>
              </w:tc>
              <w:tc>
                <w:tcPr>
                  <w:tcW w:w="6396" w:type="dxa"/>
                  <w:gridSpan w:val="2"/>
                  <w:tcBorders>
                    <w:top w:val="single" w:color="auto" w:sz="4" w:space="0"/>
                    <w:left w:val="nil"/>
                    <w:bottom w:val="single" w:color="auto" w:sz="4" w:space="0"/>
                    <w:right w:val="single" w:color="auto" w:sz="4" w:space="0"/>
                  </w:tcBorders>
                </w:tcPr>
                <w:p>
                  <w:pPr>
                    <w:widowControl w:val="0"/>
                    <w:spacing w:before="50" w:after="50"/>
                    <w:jc w:val="center"/>
                    <w:rPr>
                      <w:rFonts w:ascii="仿宋_GB2312" w:hAnsi="仿宋_GB2312" w:eastAsia="仿宋_GB2312" w:cs="仿宋_GB2312"/>
                      <w:sz w:val="28"/>
                      <w:szCs w:val="28"/>
                    </w:rPr>
                  </w:pPr>
                  <w:r>
                    <w:rPr>
                      <w:rFonts w:hint="eastAsia" w:ascii="仿宋_GB2312" w:hAnsi="仿宋_GB2312" w:eastAsia="仿宋_GB2312" w:cs="仿宋_GB2312"/>
                      <w:sz w:val="28"/>
                      <w:szCs w:val="28"/>
                    </w:rPr>
                    <w:t>不得检出</w:t>
                  </w:r>
                </w:p>
              </w:tc>
            </w:tr>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PrEx>
              <w:trPr>
                <w:trHeight w:val="306" w:hRule="atLeast"/>
              </w:trPr>
              <w:tc>
                <w:tcPr>
                  <w:tcW w:w="9352" w:type="dxa"/>
                  <w:gridSpan w:val="3"/>
                  <w:tcBorders>
                    <w:top w:val="single" w:color="auto" w:sz="4" w:space="0"/>
                    <w:left w:val="single" w:color="auto" w:sz="4" w:space="0"/>
                    <w:bottom w:val="single" w:color="auto" w:sz="4" w:space="0"/>
                    <w:right w:val="single" w:color="auto" w:sz="4" w:space="0"/>
                  </w:tcBorders>
                  <w:vAlign w:val="center"/>
                </w:tcPr>
                <w:p>
                  <w:pPr>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注：溶剂残留量检出值小于10mg/kg 时，视为未检出。</w:t>
                  </w:r>
                </w:p>
              </w:tc>
            </w:tr>
          </w:tbl>
          <w:p>
            <w:pPr>
              <w:widowControl w:val="0"/>
              <w:spacing w:line="400" w:lineRule="exact"/>
              <w:jc w:val="both"/>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3.营养声称指标则是在协会大部分成员提供的检测数据基础上，结合成员单位科研成果的汇总整理而成，具有充分的数据验证。</w:t>
            </w:r>
          </w:p>
          <w:tbl>
            <w:tblPr>
              <w:tblStyle w:val="6"/>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967"/>
              <w:gridCol w:w="3000"/>
              <w:gridCol w:w="337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306" w:hRule="atLeast"/>
              </w:trPr>
              <w:tc>
                <w:tcPr>
                  <w:tcW w:w="2967" w:type="dxa"/>
                  <w:tcBorders>
                    <w:top w:val="single" w:color="000000" w:sz="4" w:space="0"/>
                    <w:left w:val="single" w:color="000000" w:sz="4" w:space="0"/>
                    <w:bottom w:val="single" w:color="000000" w:sz="4" w:space="0"/>
                    <w:right w:val="single" w:color="000000" w:sz="4" w:space="0"/>
                  </w:tcBorders>
                  <w:vAlign w:val="center"/>
                </w:tcPr>
                <w:p>
                  <w:pPr>
                    <w:pStyle w:val="12"/>
                    <w:ind w:firstLine="0" w:firstLineChars="0"/>
                    <w:jc w:val="center"/>
                    <w:rPr>
                      <w:rFonts w:ascii="仿宋_GB2312" w:hAnsi="仿宋_GB2312" w:eastAsia="仿宋_GB2312" w:cs="仿宋_GB2312"/>
                      <w:sz w:val="28"/>
                      <w:szCs w:val="28"/>
                    </w:rPr>
                  </w:pPr>
                  <w:r>
                    <w:rPr>
                      <w:rFonts w:hint="eastAsia" w:ascii="仿宋_GB2312" w:hAnsi="仿宋_GB2312" w:eastAsia="仿宋_GB2312" w:cs="仿宋_GB2312"/>
                      <w:sz w:val="28"/>
                      <w:szCs w:val="28"/>
                    </w:rPr>
                    <w:t>项   目</w:t>
                  </w:r>
                </w:p>
              </w:tc>
              <w:tc>
                <w:tcPr>
                  <w:tcW w:w="6375" w:type="dxa"/>
                  <w:gridSpan w:val="2"/>
                  <w:tcBorders>
                    <w:top w:val="single" w:color="000000" w:sz="4" w:space="0"/>
                    <w:left w:val="single" w:color="000000" w:sz="4" w:space="0"/>
                    <w:bottom w:val="single" w:color="000000" w:sz="4" w:space="0"/>
                    <w:right w:val="single" w:color="000000" w:sz="4" w:space="0"/>
                  </w:tcBorders>
                </w:tcPr>
                <w:p>
                  <w:pPr>
                    <w:widowControl w:val="0"/>
                    <w:spacing w:after="50"/>
                    <w:jc w:val="center"/>
                    <w:rPr>
                      <w:rFonts w:ascii="仿宋_GB2312" w:hAnsi="仿宋_GB2312" w:eastAsia="仿宋_GB2312" w:cs="仿宋_GB2312"/>
                      <w:sz w:val="28"/>
                      <w:szCs w:val="28"/>
                    </w:rPr>
                  </w:pPr>
                  <w:r>
                    <w:rPr>
                      <w:rFonts w:ascii="仿宋_GB2312" w:hAnsi="仿宋_GB2312" w:eastAsia="仿宋_GB2312" w:cs="仿宋_GB2312"/>
                      <w:sz w:val="28"/>
                      <w:szCs w:val="28"/>
                    </w:rPr>
                    <w:drawing>
                      <wp:inline distT="0" distB="0" distL="0" distR="0">
                        <wp:extent cx="2720340" cy="38100"/>
                        <wp:effectExtent l="0" t="0" r="0" b="0"/>
                        <wp:docPr id="1" name="图片 1" descr="C:\Users\ADMINI~1\AppData\Local\Temp\ksohtml8752\wps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C:\Users\ADMINI~1\AppData\Local\Temp\ksohtml8752\wps2.png"/>
                                <pic:cNvPicPr>
                                  <a:picLocks noChangeAspect="1" noChangeArrowheads="1"/>
                                </pic:cNvPicPr>
                              </pic:nvPicPr>
                              <pic:blipFill>
                                <a:blip r:embed="rId5"/>
                                <a:srcRect/>
                                <a:stretch>
                                  <a:fillRect/>
                                </a:stretch>
                              </pic:blipFill>
                              <pic:spPr>
                                <a:xfrm>
                                  <a:off x="0" y="0"/>
                                  <a:ext cx="2720340" cy="38100"/>
                                </a:xfrm>
                                <a:prstGeom prst="rect">
                                  <a:avLst/>
                                </a:prstGeom>
                                <a:noFill/>
                                <a:ln w="9525">
                                  <a:noFill/>
                                  <a:miter lim="800000"/>
                                  <a:headEnd/>
                                  <a:tailEnd/>
                                </a:ln>
                              </pic:spPr>
                            </pic:pic>
                          </a:graphicData>
                        </a:graphic>
                      </wp:inline>
                    </w:drawing>
                  </w:r>
                  <w:r>
                    <w:rPr>
                      <w:rFonts w:hint="eastAsia" w:ascii="仿宋_GB2312" w:hAnsi="仿宋_GB2312" w:eastAsia="仿宋_GB2312" w:cs="仿宋_GB2312"/>
                      <w:sz w:val="28"/>
                      <w:szCs w:val="28"/>
                    </w:rPr>
                    <w:t>指标</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306" w:hRule="atLeast"/>
              </w:trPr>
              <w:tc>
                <w:tcPr>
                  <w:tcW w:w="2967" w:type="dxa"/>
                  <w:tcBorders>
                    <w:top w:val="single" w:color="000000" w:sz="4" w:space="0"/>
                    <w:left w:val="single" w:color="000000" w:sz="4" w:space="0"/>
                    <w:bottom w:val="single" w:color="000000" w:sz="4" w:space="0"/>
                    <w:right w:val="single" w:color="000000" w:sz="4" w:space="0"/>
                  </w:tcBorders>
                  <w:vAlign w:val="center"/>
                </w:tcPr>
                <w:p>
                  <w:pPr>
                    <w:pStyle w:val="12"/>
                    <w:ind w:firstLine="0" w:firstLineChars="0"/>
                    <w:jc w:val="center"/>
                    <w:rPr>
                      <w:rFonts w:ascii="仿宋_GB2312" w:hAnsi="仿宋_GB2312" w:eastAsia="仿宋_GB2312" w:cs="仿宋_GB2312"/>
                      <w:sz w:val="28"/>
                      <w:szCs w:val="28"/>
                    </w:rPr>
                  </w:pPr>
                </w:p>
              </w:tc>
              <w:tc>
                <w:tcPr>
                  <w:tcW w:w="3000" w:type="dxa"/>
                  <w:tcBorders>
                    <w:top w:val="single" w:color="000000" w:sz="4" w:space="0"/>
                    <w:left w:val="single" w:color="000000" w:sz="4" w:space="0"/>
                    <w:bottom w:val="single" w:color="000000" w:sz="4" w:space="0"/>
                    <w:right w:val="single" w:color="000000" w:sz="4" w:space="0"/>
                  </w:tcBorders>
                </w:tcPr>
                <w:p>
                  <w:pPr>
                    <w:widowControl w:val="0"/>
                    <w:spacing w:before="50" w:after="50"/>
                    <w:jc w:val="center"/>
                    <w:rPr>
                      <w:rFonts w:ascii="仿宋_GB2312" w:hAnsi="仿宋_GB2312" w:eastAsia="仿宋_GB2312" w:cs="仿宋_GB2312"/>
                      <w:sz w:val="28"/>
                      <w:szCs w:val="28"/>
                    </w:rPr>
                  </w:pPr>
                  <w:r>
                    <w:rPr>
                      <w:rFonts w:hint="eastAsia" w:ascii="仿宋_GB2312" w:hAnsi="仿宋_GB2312" w:eastAsia="仿宋_GB2312" w:cs="仿宋_GB2312"/>
                      <w:sz w:val="28"/>
                      <w:szCs w:val="28"/>
                    </w:rPr>
                    <w:t>特级衢州山茶油</w:t>
                  </w:r>
                </w:p>
              </w:tc>
              <w:tc>
                <w:tcPr>
                  <w:tcW w:w="3375" w:type="dxa"/>
                  <w:tcBorders>
                    <w:top w:val="single" w:color="000000" w:sz="4" w:space="0"/>
                    <w:left w:val="single" w:color="000000" w:sz="4" w:space="0"/>
                    <w:bottom w:val="single" w:color="000000" w:sz="4" w:space="0"/>
                    <w:right w:val="single" w:color="000000" w:sz="4" w:space="0"/>
                  </w:tcBorders>
                </w:tcPr>
                <w:p>
                  <w:pPr>
                    <w:widowControl w:val="0"/>
                    <w:spacing w:before="50" w:after="50"/>
                    <w:jc w:val="center"/>
                    <w:rPr>
                      <w:rFonts w:ascii="仿宋_GB2312" w:hAnsi="仿宋_GB2312" w:eastAsia="仿宋_GB2312" w:cs="仿宋_GB2312"/>
                      <w:sz w:val="28"/>
                      <w:szCs w:val="28"/>
                    </w:rPr>
                  </w:pPr>
                  <w:r>
                    <w:rPr>
                      <w:rFonts w:hint="eastAsia" w:ascii="仿宋_GB2312" w:hAnsi="仿宋_GB2312" w:eastAsia="仿宋_GB2312" w:cs="仿宋_GB2312"/>
                      <w:sz w:val="28"/>
                      <w:szCs w:val="28"/>
                    </w:rPr>
                    <w:t>优级衢州山茶油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306" w:hRule="atLeast"/>
              </w:trPr>
              <w:tc>
                <w:tcPr>
                  <w:tcW w:w="2967" w:type="dxa"/>
                  <w:tcBorders>
                    <w:top w:val="single" w:color="000000" w:sz="4" w:space="0"/>
                    <w:left w:val="single" w:color="000000" w:sz="4" w:space="0"/>
                    <w:bottom w:val="single" w:color="000000" w:sz="4" w:space="0"/>
                    <w:right w:val="single" w:color="000000" w:sz="4" w:space="0"/>
                  </w:tcBorders>
                  <w:vAlign w:val="center"/>
                </w:tcPr>
                <w:p>
                  <w:pPr>
                    <w:pStyle w:val="12"/>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甾醇总量/（mg/kg）*            ≥　</w:t>
                  </w:r>
                </w:p>
              </w:tc>
              <w:tc>
                <w:tcPr>
                  <w:tcW w:w="3000" w:type="dxa"/>
                  <w:tcBorders>
                    <w:top w:val="single" w:color="000000" w:sz="4" w:space="0"/>
                    <w:left w:val="single" w:color="000000" w:sz="4" w:space="0"/>
                    <w:bottom w:val="single" w:color="000000" w:sz="4" w:space="0"/>
                    <w:right w:val="single" w:color="000000" w:sz="4" w:space="0"/>
                  </w:tcBorders>
                </w:tcPr>
                <w:p>
                  <w:pPr>
                    <w:widowControl w:val="0"/>
                    <w:spacing w:before="50" w:after="50"/>
                    <w:jc w:val="center"/>
                    <w:rPr>
                      <w:rFonts w:ascii="仿宋_GB2312" w:hAnsi="仿宋_GB2312" w:eastAsia="仿宋_GB2312" w:cs="仿宋_GB2312"/>
                      <w:sz w:val="28"/>
                      <w:szCs w:val="28"/>
                    </w:rPr>
                  </w:pPr>
                  <w:r>
                    <w:rPr>
                      <w:rFonts w:hint="eastAsia" w:ascii="仿宋_GB2312" w:hAnsi="仿宋_GB2312" w:eastAsia="仿宋_GB2312" w:cs="仿宋_GB2312"/>
                      <w:sz w:val="28"/>
                      <w:szCs w:val="28"/>
                    </w:rPr>
                    <w:t>1000</w:t>
                  </w:r>
                </w:p>
              </w:tc>
              <w:tc>
                <w:tcPr>
                  <w:tcW w:w="3375" w:type="dxa"/>
                  <w:tcBorders>
                    <w:top w:val="single" w:color="000000" w:sz="4" w:space="0"/>
                    <w:left w:val="single" w:color="000000" w:sz="4" w:space="0"/>
                    <w:bottom w:val="single" w:color="000000" w:sz="4" w:space="0"/>
                    <w:right w:val="single" w:color="000000" w:sz="4" w:space="0"/>
                  </w:tcBorders>
                </w:tcPr>
                <w:p>
                  <w:pPr>
                    <w:widowControl w:val="0"/>
                    <w:spacing w:before="50" w:after="50"/>
                    <w:jc w:val="center"/>
                    <w:rPr>
                      <w:rFonts w:ascii="仿宋_GB2312" w:hAnsi="仿宋_GB2312" w:eastAsia="仿宋_GB2312" w:cs="仿宋_GB2312"/>
                      <w:sz w:val="28"/>
                      <w:szCs w:val="28"/>
                    </w:rPr>
                  </w:pPr>
                  <w:r>
                    <w:rPr>
                      <w:rFonts w:hint="eastAsia" w:ascii="仿宋_GB2312" w:hAnsi="仿宋_GB2312" w:eastAsia="仿宋_GB2312" w:cs="仿宋_GB2312"/>
                      <w:sz w:val="28"/>
                      <w:szCs w:val="28"/>
                    </w:rPr>
                    <w:t>800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306" w:hRule="atLeast"/>
              </w:trPr>
              <w:tc>
                <w:tcPr>
                  <w:tcW w:w="2967" w:type="dxa"/>
                  <w:tcBorders>
                    <w:top w:val="single" w:color="000000" w:sz="4" w:space="0"/>
                    <w:left w:val="single" w:color="000000" w:sz="4" w:space="0"/>
                    <w:bottom w:val="single" w:color="000000" w:sz="4" w:space="0"/>
                    <w:right w:val="single" w:color="000000" w:sz="4" w:space="0"/>
                  </w:tcBorders>
                  <w:vAlign w:val="center"/>
                </w:tcPr>
                <w:p>
                  <w:pPr>
                    <w:pStyle w:val="12"/>
                    <w:ind w:firstLine="0" w:firstLineChars="0"/>
                    <w:jc w:val="left"/>
                    <w:rPr>
                      <w:rFonts w:ascii="仿宋_GB2312" w:hAnsi="仿宋_GB2312" w:eastAsia="仿宋_GB2312" w:cs="仿宋_GB2312"/>
                      <w:sz w:val="28"/>
                      <w:szCs w:val="28"/>
                    </w:rPr>
                  </w:pPr>
                  <w:r>
                    <w:rPr>
                      <w:rFonts w:hint="eastAsia" w:ascii="仿宋_GB2312" w:hAnsi="仿宋_GB2312" w:eastAsia="仿宋_GB2312" w:cs="仿宋_GB2312"/>
                      <w:sz w:val="28"/>
                      <w:szCs w:val="28"/>
                    </w:rPr>
                    <w:t>角鲨烯/（mg/kg）*              ≥　</w:t>
                  </w:r>
                </w:p>
              </w:tc>
              <w:tc>
                <w:tcPr>
                  <w:tcW w:w="3000" w:type="dxa"/>
                  <w:tcBorders>
                    <w:top w:val="single" w:color="000000" w:sz="4" w:space="0"/>
                    <w:left w:val="single" w:color="000000" w:sz="4" w:space="0"/>
                    <w:bottom w:val="single" w:color="000000" w:sz="4" w:space="0"/>
                    <w:right w:val="single" w:color="000000" w:sz="4" w:space="0"/>
                  </w:tcBorders>
                  <w:vAlign w:val="center"/>
                </w:tcPr>
                <w:p>
                  <w:pPr>
                    <w:pStyle w:val="12"/>
                    <w:ind w:firstLine="0" w:firstLineChars="0"/>
                    <w:jc w:val="center"/>
                    <w:rPr>
                      <w:rFonts w:ascii="仿宋_GB2312" w:hAnsi="仿宋_GB2312" w:eastAsia="仿宋_GB2312" w:cs="仿宋_GB2312"/>
                      <w:sz w:val="28"/>
                      <w:szCs w:val="28"/>
                    </w:rPr>
                  </w:pPr>
                  <w:r>
                    <w:rPr>
                      <w:rFonts w:hint="eastAsia" w:ascii="仿宋_GB2312" w:hAnsi="仿宋_GB2312" w:eastAsia="仿宋_GB2312" w:cs="仿宋_GB2312"/>
                      <w:sz w:val="28"/>
                      <w:szCs w:val="28"/>
                    </w:rPr>
                    <w:t>90</w:t>
                  </w:r>
                </w:p>
              </w:tc>
              <w:tc>
                <w:tcPr>
                  <w:tcW w:w="3375" w:type="dxa"/>
                  <w:tcBorders>
                    <w:top w:val="single" w:color="000000" w:sz="4" w:space="0"/>
                    <w:left w:val="single" w:color="000000" w:sz="4" w:space="0"/>
                    <w:bottom w:val="single" w:color="000000" w:sz="4" w:space="0"/>
                    <w:right w:val="single" w:color="000000" w:sz="4" w:space="0"/>
                  </w:tcBorders>
                  <w:vAlign w:val="center"/>
                </w:tcPr>
                <w:p>
                  <w:pPr>
                    <w:pStyle w:val="12"/>
                    <w:ind w:firstLine="0" w:firstLineChars="0"/>
                    <w:jc w:val="center"/>
                    <w:rPr>
                      <w:rFonts w:ascii="仿宋_GB2312" w:hAnsi="仿宋_GB2312" w:eastAsia="仿宋_GB2312" w:cs="仿宋_GB2312"/>
                      <w:sz w:val="28"/>
                      <w:szCs w:val="28"/>
                    </w:rPr>
                  </w:pPr>
                  <w:r>
                    <w:rPr>
                      <w:rFonts w:hint="eastAsia" w:ascii="仿宋_GB2312" w:hAnsi="仿宋_GB2312" w:eastAsia="仿宋_GB2312" w:cs="仿宋_GB2312"/>
                      <w:sz w:val="28"/>
                      <w:szCs w:val="28"/>
                    </w:rPr>
                    <w:t>50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306" w:hRule="atLeast"/>
              </w:trPr>
              <w:tc>
                <w:tcPr>
                  <w:tcW w:w="9342" w:type="dxa"/>
                  <w:gridSpan w:val="3"/>
                  <w:tcBorders>
                    <w:top w:val="single" w:color="000000" w:sz="4" w:space="0"/>
                    <w:left w:val="single" w:color="000000" w:sz="4" w:space="0"/>
                    <w:bottom w:val="single" w:color="000000" w:sz="4" w:space="0"/>
                    <w:right w:val="single" w:color="000000" w:sz="4" w:space="0"/>
                  </w:tcBorders>
                  <w:vAlign w:val="center"/>
                </w:tcPr>
                <w:p>
                  <w:pPr>
                    <w:pStyle w:val="12"/>
                    <w:ind w:firstLine="20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 * 为山茶油中固有，在产品保质期内，营养声称指标允许误差不小于其值80%。</w:t>
                  </w:r>
                </w:p>
              </w:tc>
            </w:tr>
          </w:tbl>
          <w:p>
            <w:pPr>
              <w:widowControl w:val="0"/>
              <w:spacing w:line="400" w:lineRule="exact"/>
              <w:jc w:val="both"/>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4.安全指标主要参照GB 2716-2018《食品安全国家标准 植物油》彻底执行。</w:t>
            </w:r>
          </w:p>
          <w:p>
            <w:pPr>
              <w:widowControl w:val="0"/>
              <w:spacing w:line="400" w:lineRule="exact"/>
              <w:jc w:val="both"/>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5.各指标的检测方法分别按国家标准，行业标准，国际标准执行。</w:t>
            </w:r>
          </w:p>
          <w:p>
            <w:pPr>
              <w:widowControl w:val="0"/>
              <w:spacing w:line="400" w:lineRule="exact"/>
              <w:jc w:val="both"/>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预期经济效果</w:t>
            </w:r>
          </w:p>
          <w:p>
            <w:pPr>
              <w:widowControl w:val="0"/>
              <w:spacing w:line="400" w:lineRule="exact"/>
              <w:jc w:val="both"/>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6预期效益。一是推动衢州山茶油行业高标准、高质量发展。二是加快绿标转红标的进度。三是推进衢州山茶油品牌化战略，以品牌带动提升。四是进一步拓宽、拓广衢州山茶油的市场。五是带动乡村振兴，促进农民增收，实现企民共富共赢。</w:t>
            </w:r>
          </w:p>
          <w:p>
            <w:pPr>
              <w:widowControl w:val="0"/>
              <w:spacing w:line="400" w:lineRule="exact"/>
              <w:jc w:val="both"/>
              <w:rPr>
                <w:rFonts w:ascii="仿宋_GB2312" w:hAnsi="仿宋_GB2312" w:eastAsia="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359" w:type="dxa"/>
          </w:tcPr>
          <w:p>
            <w:pPr>
              <w:widowControl w:val="0"/>
              <w:adjustRightInd/>
              <w:snapToGrid/>
              <w:spacing w:line="400" w:lineRule="exact"/>
              <w:jc w:val="left"/>
              <w:rPr>
                <w:rFonts w:ascii="方正小标宋_GBK" w:hAnsi="宋体" w:eastAsia="方正小标宋_GBK"/>
                <w:sz w:val="28"/>
                <w:szCs w:val="28"/>
              </w:rPr>
            </w:pPr>
            <w:r>
              <w:rPr>
                <w:rFonts w:hint="eastAsia" w:ascii="仿宋_GB2312" w:hAnsi="宋体" w:eastAsia="仿宋_GB2312" w:cs="宋体"/>
                <w:sz w:val="28"/>
                <w:szCs w:val="28"/>
              </w:rPr>
              <w:t>(四)</w:t>
            </w:r>
            <w:r>
              <w:fldChar w:fldCharType="begin"/>
            </w:r>
            <w:r>
              <w:instrText xml:space="preserve"> HYPERLINK "http://baike.baidu.com/view/872143.htm" \t "_blank" </w:instrText>
            </w:r>
            <w:r>
              <w:fldChar w:fldCharType="separate"/>
            </w:r>
            <w:r>
              <w:rPr>
                <w:rFonts w:hint="eastAsia" w:ascii="仿宋_GB2312" w:hAnsi="宋体" w:eastAsia="仿宋_GB2312" w:cs="宋体"/>
                <w:sz w:val="28"/>
                <w:szCs w:val="28"/>
              </w:rPr>
              <w:t>采用国际标准</w:t>
            </w:r>
            <w:r>
              <w:rPr>
                <w:rFonts w:hint="eastAsia" w:ascii="仿宋_GB2312" w:hAnsi="宋体" w:eastAsia="仿宋_GB2312" w:cs="宋体"/>
                <w:sz w:val="28"/>
                <w:szCs w:val="28"/>
              </w:rPr>
              <w:fldChar w:fldCharType="end"/>
            </w:r>
            <w:r>
              <w:rPr>
                <w:rFonts w:hint="eastAsia" w:ascii="仿宋_GB2312" w:hAnsi="宋体" w:eastAsia="仿宋_GB2312" w:cs="宋体"/>
                <w:sz w:val="28"/>
                <w:szCs w:val="28"/>
              </w:rPr>
              <w:t>和</w:t>
            </w:r>
            <w:r>
              <w:fldChar w:fldCharType="begin"/>
            </w:r>
            <w:r>
              <w:instrText xml:space="preserve"> HYPERLINK "http://baike.baidu.com/view/2114240.htm" \t "_blank" </w:instrText>
            </w:r>
            <w:r>
              <w:fldChar w:fldCharType="separate"/>
            </w:r>
            <w:r>
              <w:rPr>
                <w:rFonts w:hint="eastAsia" w:ascii="仿宋_GB2312" w:hAnsi="宋体" w:eastAsia="仿宋_GB2312" w:cs="宋体"/>
                <w:sz w:val="28"/>
                <w:szCs w:val="28"/>
              </w:rPr>
              <w:t>国外先进标准</w:t>
            </w:r>
            <w:r>
              <w:rPr>
                <w:rFonts w:hint="eastAsia" w:ascii="仿宋_GB2312" w:hAnsi="宋体" w:eastAsia="仿宋_GB2312" w:cs="宋体"/>
                <w:sz w:val="28"/>
                <w:szCs w:val="28"/>
              </w:rPr>
              <w:fldChar w:fldCharType="end"/>
            </w:r>
            <w:r>
              <w:rPr>
                <w:rFonts w:hint="eastAsia" w:ascii="仿宋_GB2312" w:hAnsi="宋体" w:eastAsia="仿宋_GB2312" w:cs="宋体"/>
                <w:sz w:val="28"/>
                <w:szCs w:val="28"/>
              </w:rPr>
              <w:t>的程度，以及与国际、国外同类标准水平的对比情况，或与测试的国外样品、样机的有关数据对比情况；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379" w:hRule="atLeast"/>
        </w:trPr>
        <w:tc>
          <w:tcPr>
            <w:tcW w:w="8359" w:type="dxa"/>
          </w:tcPr>
          <w:p>
            <w:pPr>
              <w:widowControl/>
              <w:spacing w:line="376" w:lineRule="exact"/>
              <w:ind w:firstLine="140" w:firstLineChars="50"/>
              <w:jc w:val="both"/>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  本标准结合衢州山茶油产品的实际质量情况和检测数据，参照了国家标准GB/T 11765-2018的基本要求，确保质量特性符合标准总纲的要求，差异特性又能反映衢州山茶油的特征。目前食用植物油中的甘油三酯检测国标还没正式出台，我们在衢州山茶油的团体标准执行中参照了美国油脂化学家协会的相关标准（AOCS Official Method Ce 5b-89《Triglycerides in Vegetable Oils by HPLC》）的方法，使《衢州州山茶油》制定的更加合规，与国际国内的相关标准更加协调融合。</w:t>
            </w:r>
          </w:p>
          <w:p>
            <w:pPr>
              <w:widowControl w:val="0"/>
              <w:spacing w:line="400" w:lineRule="exact"/>
              <w:ind w:firstLine="560" w:firstLineChars="200"/>
              <w:jc w:val="both"/>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 主要引用的标准如下：</w:t>
            </w:r>
          </w:p>
          <w:p>
            <w:pPr>
              <w:widowControl w:val="0"/>
              <w:ind w:firstLine="440" w:firstLineChars="200"/>
              <w:jc w:val="both"/>
              <w:rPr>
                <w:rFonts w:ascii="宋体" w:hAnsi="宋体"/>
              </w:rPr>
            </w:pPr>
            <w:r>
              <w:rPr>
                <w:rFonts w:hint="eastAsia" w:ascii="宋体" w:hAnsi="宋体"/>
              </w:rPr>
              <w:t>GB/T 191  包装储运图示标志</w:t>
            </w:r>
          </w:p>
          <w:p>
            <w:pPr>
              <w:widowControl w:val="0"/>
              <w:ind w:firstLine="440" w:firstLineChars="200"/>
              <w:jc w:val="both"/>
              <w:rPr>
                <w:rFonts w:hint="eastAsia" w:ascii="宋体" w:hAnsi="宋体"/>
              </w:rPr>
            </w:pPr>
            <w:r>
              <w:rPr>
                <w:rFonts w:hint="eastAsia" w:ascii="宋体" w:hAnsi="宋体"/>
              </w:rPr>
              <w:t>GB 2716  食品安全国家标准  植物油</w:t>
            </w:r>
          </w:p>
          <w:p>
            <w:pPr>
              <w:widowControl/>
              <w:ind w:firstLine="440" w:firstLineChars="200"/>
              <w:jc w:val="left"/>
              <w:rPr>
                <w:rFonts w:hint="eastAsia" w:ascii="宋体" w:hAnsi="宋体"/>
              </w:rPr>
            </w:pPr>
            <w:r>
              <w:rPr>
                <w:rFonts w:hint="eastAsia" w:ascii="宋体" w:hAnsi="宋体"/>
              </w:rPr>
              <w:t>GB 5009.168 食品安全国家标准 食品中脂肪酸的测定</w:t>
            </w:r>
          </w:p>
          <w:p>
            <w:pPr>
              <w:widowControl w:val="0"/>
              <w:ind w:firstLine="440" w:firstLineChars="200"/>
              <w:jc w:val="both"/>
              <w:rPr>
                <w:rFonts w:hint="eastAsia" w:ascii="宋体" w:hAnsi="宋体"/>
              </w:rPr>
            </w:pPr>
            <w:r>
              <w:rPr>
                <w:rFonts w:hint="eastAsia" w:ascii="宋体" w:hAnsi="宋体"/>
              </w:rPr>
              <w:t>GB/T 5539-2008粮油检验 油脂定性试验</w:t>
            </w:r>
          </w:p>
          <w:p>
            <w:pPr>
              <w:widowControl w:val="0"/>
              <w:ind w:firstLine="440" w:firstLineChars="200"/>
              <w:jc w:val="both"/>
              <w:rPr>
                <w:rFonts w:hint="eastAsia" w:ascii="宋体" w:hAnsi="宋体"/>
                <w:bCs/>
              </w:rPr>
            </w:pPr>
            <w:r>
              <w:rPr>
                <w:rFonts w:hint="eastAsia" w:ascii="宋体" w:hAnsi="宋体"/>
                <w:bCs/>
              </w:rPr>
              <w:t>GB 5749  生活饮用水卫生标准</w:t>
            </w:r>
          </w:p>
          <w:p>
            <w:pPr>
              <w:widowControl w:val="0"/>
              <w:ind w:firstLine="440" w:firstLineChars="200"/>
              <w:jc w:val="both"/>
              <w:rPr>
                <w:rFonts w:hint="eastAsia" w:ascii="宋体" w:hAnsi="宋体"/>
              </w:rPr>
            </w:pPr>
            <w:r>
              <w:rPr>
                <w:rFonts w:hint="eastAsia" w:ascii="宋体" w:hAnsi="宋体"/>
              </w:rPr>
              <w:t>GB 7718  食品安全国家标准  预包装食品标签通则</w:t>
            </w:r>
          </w:p>
          <w:p>
            <w:pPr>
              <w:widowControl w:val="0"/>
              <w:ind w:firstLine="440" w:firstLineChars="200"/>
              <w:jc w:val="both"/>
              <w:rPr>
                <w:rFonts w:hint="eastAsia" w:ascii="宋体" w:hAnsi="宋体"/>
              </w:rPr>
            </w:pPr>
            <w:r>
              <w:rPr>
                <w:rFonts w:hint="eastAsia" w:ascii="宋体" w:hAnsi="宋体"/>
              </w:rPr>
              <w:t>GB 8955  食品安全国家标准  食用植物油及其制品生产卫生规范</w:t>
            </w:r>
          </w:p>
          <w:p>
            <w:pPr>
              <w:widowControl w:val="0"/>
              <w:ind w:firstLine="440" w:firstLineChars="200"/>
              <w:jc w:val="both"/>
              <w:rPr>
                <w:rFonts w:hint="eastAsia" w:ascii="宋体" w:hAnsi="宋体"/>
              </w:rPr>
            </w:pPr>
            <w:r>
              <w:rPr>
                <w:rFonts w:hint="eastAsia" w:ascii="宋体" w:hAnsi="宋体"/>
              </w:rPr>
              <w:t>GB 14881  食品安全国家标准  食品生产通用卫生规范</w:t>
            </w:r>
          </w:p>
          <w:p>
            <w:pPr>
              <w:widowControl w:val="0"/>
              <w:ind w:firstLine="440" w:firstLineChars="200"/>
              <w:jc w:val="both"/>
              <w:rPr>
                <w:rFonts w:hint="eastAsia" w:ascii="宋体" w:hAnsi="宋体"/>
                <w:bCs/>
              </w:rPr>
            </w:pPr>
            <w:r>
              <w:rPr>
                <w:rFonts w:hint="eastAsia" w:ascii="宋体" w:hAnsi="宋体"/>
                <w:bCs/>
              </w:rPr>
              <w:t>GB/T 11765  油茶籽油</w:t>
            </w:r>
          </w:p>
          <w:p>
            <w:pPr>
              <w:widowControl w:val="0"/>
              <w:ind w:firstLine="440" w:firstLineChars="200"/>
              <w:jc w:val="both"/>
              <w:rPr>
                <w:rFonts w:hint="eastAsia" w:ascii="宋体" w:hAnsi="宋体"/>
              </w:rPr>
            </w:pPr>
            <w:r>
              <w:rPr>
                <w:rFonts w:hint="eastAsia" w:ascii="宋体" w:hAnsi="宋体"/>
              </w:rPr>
              <w:t>GB/T 17374  食用植物油销售包装</w:t>
            </w:r>
          </w:p>
          <w:p>
            <w:pPr>
              <w:widowControl w:val="0"/>
              <w:ind w:left="1760" w:leftChars="200" w:hanging="1320" w:hangingChars="600"/>
              <w:jc w:val="both"/>
              <w:rPr>
                <w:rFonts w:hint="eastAsia" w:ascii="宋体" w:hAnsi="宋体"/>
              </w:rPr>
            </w:pPr>
            <w:r>
              <w:rPr>
                <w:rFonts w:hint="eastAsia" w:ascii="宋体" w:hAnsi="宋体"/>
              </w:rPr>
              <w:t>GB/T 25223  动植物油脂甾醇组成和甾醇总量的测定 气相色谱法</w:t>
            </w:r>
          </w:p>
          <w:p>
            <w:pPr>
              <w:widowControl w:val="0"/>
              <w:ind w:firstLine="440" w:firstLineChars="200"/>
              <w:jc w:val="both"/>
              <w:rPr>
                <w:rFonts w:hint="eastAsia" w:ascii="宋体" w:hAnsi="宋体"/>
              </w:rPr>
            </w:pPr>
            <w:r>
              <w:rPr>
                <w:rFonts w:hint="eastAsia" w:ascii="宋体" w:hAnsi="宋体"/>
              </w:rPr>
              <w:t>GB 28050食品安全国家标准预包装食品营养标签通则</w:t>
            </w:r>
          </w:p>
          <w:p>
            <w:pPr>
              <w:widowControl/>
              <w:ind w:firstLine="420"/>
              <w:jc w:val="left"/>
              <w:rPr>
                <w:rFonts w:hint="eastAsia" w:ascii="宋体" w:hAnsi="宋体"/>
                <w:kern w:val="2"/>
              </w:rPr>
            </w:pPr>
            <w:r>
              <w:rPr>
                <w:rFonts w:hint="eastAsia" w:ascii="宋体" w:hAnsi="宋体"/>
                <w:bCs/>
              </w:rPr>
              <w:t xml:space="preserve">GB/T </w:t>
            </w:r>
            <w:r>
              <w:rPr>
                <w:rFonts w:hint="eastAsia" w:ascii="宋体" w:hAnsi="宋体"/>
              </w:rPr>
              <w:t>37917  油茶籽</w:t>
            </w:r>
          </w:p>
          <w:p>
            <w:pPr>
              <w:widowControl/>
              <w:ind w:firstLine="420"/>
              <w:jc w:val="left"/>
              <w:rPr>
                <w:rFonts w:hint="eastAsia" w:ascii="宋体" w:hAnsi="宋体"/>
              </w:rPr>
            </w:pPr>
            <w:r>
              <w:rPr>
                <w:rFonts w:hint="eastAsia" w:ascii="宋体" w:hAnsi="宋体"/>
              </w:rPr>
              <w:t>LS/T 6120 粮油检验 植物油中角鲨烯的测定 气相色谱法</w:t>
            </w:r>
          </w:p>
          <w:p>
            <w:pPr>
              <w:pStyle w:val="12"/>
              <w:widowControl w:val="0"/>
              <w:spacing w:line="240" w:lineRule="atLeast"/>
              <w:rPr>
                <w:rFonts w:hint="eastAsia" w:hAnsi="宋体"/>
              </w:rPr>
            </w:pPr>
            <w:r>
              <w:rPr>
                <w:rFonts w:hint="eastAsia"/>
              </w:rPr>
              <w:t>JJF1070  定量包装商品净含量计量检验规则</w:t>
            </w:r>
          </w:p>
          <w:p>
            <w:pPr>
              <w:pStyle w:val="12"/>
              <w:widowControl w:val="0"/>
              <w:rPr>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359" w:type="dxa"/>
          </w:tcPr>
          <w:p>
            <w:pPr>
              <w:widowControl w:val="0"/>
              <w:adjustRightInd/>
              <w:snapToGrid/>
              <w:spacing w:line="400" w:lineRule="exact"/>
              <w:jc w:val="left"/>
              <w:rPr>
                <w:rFonts w:ascii="方正小标宋_GBK" w:hAnsi="宋体" w:eastAsia="方正小标宋_GBK"/>
                <w:sz w:val="28"/>
                <w:szCs w:val="28"/>
              </w:rPr>
            </w:pPr>
            <w:r>
              <w:rPr>
                <w:rFonts w:hint="eastAsia" w:ascii="仿宋_GB2312" w:hAnsi="宋体" w:eastAsia="仿宋_GB2312" w:cs="宋体"/>
                <w:sz w:val="28"/>
                <w:szCs w:val="28"/>
              </w:rPr>
              <w:t>(五)与有关的现行法律、法规和强制性国家标准的关系；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400" w:hRule="atLeast"/>
        </w:trPr>
        <w:tc>
          <w:tcPr>
            <w:tcW w:w="8359" w:type="dxa"/>
          </w:tcPr>
          <w:p>
            <w:pPr>
              <w:widowControl w:val="0"/>
              <w:spacing w:line="400" w:lineRule="exact"/>
              <w:ind w:firstLine="560" w:firstLineChars="200"/>
              <w:jc w:val="both"/>
              <w:rPr>
                <w:rFonts w:ascii="仿宋_GB2312" w:hAnsi="仿宋_GB2312" w:eastAsia="仿宋_GB2312" w:cs="仿宋_GB2312"/>
                <w:sz w:val="28"/>
                <w:szCs w:val="28"/>
              </w:rPr>
            </w:pPr>
            <w:r>
              <w:rPr>
                <w:rFonts w:hint="eastAsia" w:ascii="仿宋_GB2312" w:hAnsi="仿宋_GB2312" w:eastAsia="仿宋_GB2312" w:cs="仿宋_GB2312"/>
                <w:sz w:val="28"/>
                <w:szCs w:val="28"/>
              </w:rPr>
              <w:t>本标准适用于衢州市及毗邻区域及内生产、加工的山茶油，本标准规定了感官指标和产品等级、理化指标和安全指标、生产技术要求、试验方法、检验规则及标志、包装，符合现行法律、法规和强制性国家标准。</w:t>
            </w:r>
          </w:p>
          <w:p>
            <w:pPr>
              <w:widowControl w:val="0"/>
              <w:spacing w:line="400" w:lineRule="exact"/>
              <w:ind w:firstLine="560" w:firstLineChars="200"/>
              <w:jc w:val="both"/>
              <w:rPr>
                <w:rFonts w:ascii="仿宋_GB2312" w:hAnsi="仿宋_GB2312" w:eastAsia="仿宋_GB2312" w:cs="仿宋_GB2312"/>
                <w:sz w:val="28"/>
                <w:szCs w:val="28"/>
              </w:rPr>
            </w:pPr>
            <w:r>
              <w:rPr>
                <w:rFonts w:hint="eastAsia" w:ascii="仿宋_GB2312" w:hAnsi="仿宋_GB2312" w:eastAsia="仿宋_GB2312" w:cs="仿宋_GB2312"/>
                <w:sz w:val="28"/>
                <w:szCs w:val="28"/>
              </w:rPr>
              <w:t>本标准与现行法律、法规和强制性标准没有冲突。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359" w:type="dxa"/>
          </w:tcPr>
          <w:p>
            <w:pPr>
              <w:widowControl w:val="0"/>
              <w:adjustRightInd/>
              <w:snapToGrid/>
              <w:spacing w:line="400" w:lineRule="exact"/>
              <w:jc w:val="left"/>
              <w:rPr>
                <w:rFonts w:ascii="方正小标宋_GBK" w:hAnsi="宋体" w:eastAsia="方正小标宋_GBK"/>
                <w:sz w:val="28"/>
                <w:szCs w:val="28"/>
              </w:rPr>
            </w:pPr>
            <w:r>
              <w:rPr>
                <w:rFonts w:hint="eastAsia" w:ascii="仿宋_GB2312" w:hAnsi="宋体" w:eastAsia="仿宋_GB2312" w:cs="宋体"/>
                <w:sz w:val="28"/>
                <w:szCs w:val="28"/>
              </w:rPr>
              <w:t>(六)重大分歧意见的处理经过和依据；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403" w:hRule="atLeast"/>
        </w:trPr>
        <w:tc>
          <w:tcPr>
            <w:tcW w:w="8359" w:type="dxa"/>
          </w:tcPr>
          <w:p>
            <w:pPr>
              <w:widowControl w:val="0"/>
              <w:spacing w:line="400" w:lineRule="exact"/>
              <w:ind w:firstLine="560" w:firstLineChars="200"/>
              <w:jc w:val="both"/>
              <w:rPr>
                <w:rFonts w:ascii="Times New Roman" w:hAnsi="Times New Roman" w:eastAsia="仿宋_GB2312"/>
                <w:sz w:val="28"/>
                <w:szCs w:val="24"/>
              </w:rPr>
            </w:pPr>
            <w:r>
              <w:rPr>
                <w:rFonts w:hint="eastAsia" w:ascii="仿宋_GB2312" w:hAnsi="仿宋_GB2312" w:eastAsia="仿宋_GB2312" w:cs="仿宋_GB2312"/>
                <w:sz w:val="28"/>
                <w:szCs w:val="28"/>
              </w:rPr>
              <w:t>本标准符合我国有关现行法律、法规及相关标准要求。标准起草小组广泛征求了科研、农技部门、生产主体等单位代表的意见，在意见征求及处理过程中，未发生重大意见分歧。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359" w:type="dxa"/>
          </w:tcPr>
          <w:p>
            <w:pPr>
              <w:widowControl w:val="0"/>
              <w:adjustRightInd/>
              <w:snapToGrid/>
              <w:spacing w:line="400" w:lineRule="exact"/>
              <w:jc w:val="left"/>
              <w:rPr>
                <w:rFonts w:ascii="方正小标宋_GBK" w:hAnsi="宋体" w:eastAsia="方正小标宋_GBK"/>
                <w:sz w:val="28"/>
                <w:szCs w:val="28"/>
              </w:rPr>
            </w:pPr>
            <w:r>
              <w:rPr>
                <w:rFonts w:hint="eastAsia" w:ascii="仿宋_GB2312" w:hAnsi="宋体" w:eastAsia="仿宋_GB2312" w:cs="宋体"/>
                <w:sz w:val="28"/>
                <w:szCs w:val="28"/>
              </w:rPr>
              <w:t>(七)本标准低于同类国家（行业、地方）推荐性标准的理由和可行性；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08" w:hRule="atLeast"/>
        </w:trPr>
        <w:tc>
          <w:tcPr>
            <w:tcW w:w="8359" w:type="dxa"/>
          </w:tcPr>
          <w:p>
            <w:pPr>
              <w:widowControl w:val="0"/>
              <w:adjustRightInd/>
              <w:snapToGrid/>
              <w:spacing w:line="400" w:lineRule="exact"/>
              <w:jc w:val="left"/>
              <w:rPr>
                <w:rFonts w:ascii="方正小标宋_GBK" w:hAnsi="宋体" w:eastAsia="方正小标宋_GBK"/>
                <w:sz w:val="28"/>
                <w:szCs w:val="28"/>
              </w:rPr>
            </w:pPr>
            <w:r>
              <w:rPr>
                <w:rFonts w:hint="eastAsia" w:ascii="仿宋_GB2312" w:hAnsi="仿宋_GB2312" w:eastAsia="仿宋_GB2312" w:cs="仿宋_GB2312"/>
                <w:sz w:val="28"/>
                <w:szCs w:val="28"/>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359" w:type="dxa"/>
          </w:tcPr>
          <w:p>
            <w:pPr>
              <w:widowControl w:val="0"/>
              <w:adjustRightInd/>
              <w:snapToGrid/>
              <w:spacing w:line="400" w:lineRule="exact"/>
              <w:jc w:val="left"/>
              <w:rPr>
                <w:rFonts w:ascii="方正小标宋_GBK" w:hAnsi="宋体" w:eastAsia="方正小标宋_GBK"/>
                <w:sz w:val="28"/>
                <w:szCs w:val="28"/>
              </w:rPr>
            </w:pPr>
            <w:r>
              <w:rPr>
                <w:rFonts w:hint="eastAsia" w:ascii="仿宋_GB2312" w:hAnsi="宋体" w:eastAsia="仿宋_GB2312" w:cs="宋体"/>
                <w:sz w:val="28"/>
                <w:szCs w:val="28"/>
              </w:rPr>
              <w:t>(八)贯彻地方标准规范的要求和措施建议(包括组织措施、技术措施、过渡办法等内容)；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02" w:hRule="atLeast"/>
        </w:trPr>
        <w:tc>
          <w:tcPr>
            <w:tcW w:w="8359" w:type="dxa"/>
          </w:tcPr>
          <w:p>
            <w:pPr>
              <w:widowControl w:val="0"/>
              <w:adjustRightInd/>
              <w:snapToGrid/>
              <w:spacing w:line="400" w:lineRule="exact"/>
              <w:ind w:firstLine="560"/>
              <w:jc w:val="left"/>
              <w:rPr>
                <w:rFonts w:ascii="仿宋_GB2312" w:hAnsi="仿宋_GB2312" w:eastAsia="仿宋_GB2312" w:cs="仿宋_GB2312"/>
                <w:sz w:val="28"/>
                <w:szCs w:val="28"/>
              </w:rPr>
            </w:pPr>
            <w:r>
              <w:rPr>
                <w:rFonts w:hint="eastAsia" w:ascii="Times New Roman" w:hAnsi="Times New Roman" w:eastAsia="仿宋_GB2312"/>
                <w:sz w:val="28"/>
                <w:szCs w:val="24"/>
              </w:rPr>
              <w:t>本标准通过审定、发布后，将在衢州市衢州市行政区域范围内应用实施，培育标准化示范样板。通过示</w:t>
            </w:r>
            <w:r>
              <w:rPr>
                <w:rFonts w:hint="eastAsia" w:ascii="仿宋_GB2312" w:hAnsi="仿宋_GB2312" w:eastAsia="仿宋_GB2312" w:cs="仿宋_GB2312"/>
                <w:sz w:val="28"/>
                <w:szCs w:val="28"/>
              </w:rPr>
              <w:t>范点的实施，在认真总结经验的基础上，编制标准化操作手册或相关课件，开展技术培训、指导和标准宣贯，贯彻实施地方标准。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359" w:type="dxa"/>
          </w:tcPr>
          <w:p>
            <w:pPr>
              <w:widowControl w:val="0"/>
              <w:adjustRightInd/>
              <w:snapToGrid/>
              <w:spacing w:line="400" w:lineRule="exact"/>
              <w:jc w:val="left"/>
              <w:rPr>
                <w:rFonts w:ascii="方正小标宋_GBK" w:hAnsi="宋体" w:eastAsia="方正小标宋_GBK"/>
                <w:sz w:val="28"/>
                <w:szCs w:val="28"/>
              </w:rPr>
            </w:pPr>
            <w:r>
              <w:rPr>
                <w:rFonts w:hint="eastAsia" w:ascii="仿宋_GB2312" w:hAnsi="宋体" w:eastAsia="仿宋_GB2312" w:cs="宋体"/>
                <w:sz w:val="28"/>
                <w:szCs w:val="28"/>
              </w:rPr>
              <w:t>(九)废止现行有关标准的建议；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78" w:hRule="atLeast"/>
        </w:trPr>
        <w:tc>
          <w:tcPr>
            <w:tcW w:w="8359" w:type="dxa"/>
          </w:tcPr>
          <w:p>
            <w:pPr>
              <w:widowControl w:val="0"/>
              <w:adjustRightInd/>
              <w:snapToGrid/>
              <w:spacing w:line="400" w:lineRule="exact"/>
              <w:jc w:val="left"/>
              <w:rPr>
                <w:rFonts w:ascii="仿宋_GB2312" w:hAnsi="宋体" w:eastAsia="仿宋_GB2312" w:cs="宋体"/>
                <w:sz w:val="28"/>
                <w:szCs w:val="28"/>
              </w:rPr>
            </w:pPr>
            <w:r>
              <w:rPr>
                <w:rFonts w:hint="eastAsia" w:ascii="仿宋_GB2312" w:hAnsi="宋体" w:eastAsia="仿宋_GB2312" w:cs="宋体"/>
                <w:sz w:val="28"/>
                <w:szCs w:val="28"/>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359" w:type="dxa"/>
          </w:tcPr>
          <w:p>
            <w:pPr>
              <w:widowControl w:val="0"/>
              <w:adjustRightInd/>
              <w:snapToGrid/>
              <w:spacing w:line="400" w:lineRule="exact"/>
              <w:jc w:val="left"/>
              <w:rPr>
                <w:rFonts w:ascii="仿宋_GB2312" w:hAnsi="宋体" w:eastAsia="仿宋_GB2312" w:cs="宋体"/>
                <w:sz w:val="28"/>
                <w:szCs w:val="28"/>
              </w:rPr>
            </w:pPr>
            <w:r>
              <w:rPr>
                <w:rFonts w:hint="eastAsia" w:ascii="仿宋_GB2312" w:hAnsi="宋体" w:eastAsia="仿宋_GB2312" w:cs="宋体"/>
                <w:sz w:val="28"/>
                <w:szCs w:val="28"/>
              </w:rPr>
              <w:t xml:space="preserve">(十)其他应予说明的事项。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930" w:hRule="atLeast"/>
        </w:trPr>
        <w:tc>
          <w:tcPr>
            <w:tcW w:w="8359" w:type="dxa"/>
          </w:tcPr>
          <w:p>
            <w:pPr>
              <w:widowControl w:val="0"/>
              <w:adjustRightInd/>
              <w:snapToGrid/>
              <w:spacing w:line="400" w:lineRule="exact"/>
              <w:jc w:val="left"/>
              <w:rPr>
                <w:rFonts w:ascii="仿宋_GB2312" w:hAnsi="宋体" w:eastAsia="仿宋_GB2312" w:cs="宋体"/>
                <w:sz w:val="28"/>
                <w:szCs w:val="28"/>
              </w:rPr>
            </w:pPr>
            <w:r>
              <w:rPr>
                <w:rFonts w:hint="eastAsia" w:ascii="仿宋_GB2312" w:hAnsi="宋体" w:eastAsia="仿宋_GB2312" w:cs="宋体"/>
                <w:sz w:val="28"/>
                <w:szCs w:val="28"/>
              </w:rPr>
              <w:t>无</w:t>
            </w: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00000000" w:csb1="00000000"/>
  </w:font>
  <w:font w:name="Arial">
    <w:panose1 w:val="020B0604020202020204"/>
    <w:charset w:val="01"/>
    <w:family w:val="swiss"/>
    <w:pitch w:val="default"/>
    <w:sig w:usb0="00000000" w:usb1="00000000" w:usb2="00000000" w:usb3="00000000" w:csb0="00000000" w:csb1="00000000"/>
  </w:font>
  <w:font w:name="黑体">
    <w:altName w:val="汉仪中黑KW"/>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00000000" w:usb1="00000000" w:usb2="00000000" w:usb3="00000000" w:csb0="00000000" w:csb1="0000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Helvetica Neue">
    <w:panose1 w:val="02000503000000020004"/>
    <w:charset w:val="00"/>
    <w:family w:val="auto"/>
    <w:pitch w:val="default"/>
    <w:sig w:usb0="00000000" w:usb1="00000000" w:usb2="00000000" w:usb3="00000000" w:csb0="00000000" w:csb1="00000000"/>
  </w:font>
  <w:font w:name="汉仪书宋二KW">
    <w:panose1 w:val="00020600040101010101"/>
    <w:charset w:val="86"/>
    <w:family w:val="auto"/>
    <w:pitch w:val="default"/>
    <w:sig w:usb0="00000000" w:usb1="00000000" w:usb2="00000000" w:usb3="00000000" w:csb0="00160000" w:csb1="00000000"/>
  </w:font>
  <w:font w:name="Tahoma">
    <w:panose1 w:val="020B0604030504040204"/>
    <w:charset w:val="00"/>
    <w:family w:val="swiss"/>
    <w:pitch w:val="default"/>
    <w:sig w:usb0="00000000" w:usb1="00000000" w:usb2="00000000" w:usb3="00000000" w:csb0="00000000" w:csb1="00000000"/>
  </w:font>
  <w:font w:name="汉仪中黑KW">
    <w:panose1 w:val="00020600040101010101"/>
    <w:charset w:val="86"/>
    <w:family w:val="auto"/>
    <w:pitch w:val="default"/>
    <w:sig w:usb0="00000000" w:usb1="00000000" w:usb2="00000000" w:usb3="00000000" w:csb0="00160000" w:csb1="00000000"/>
  </w:font>
  <w:font w:name="方正小标宋_GBK">
    <w:altName w:val="汉仪书宋二KW"/>
    <w:panose1 w:val="00000000000000000000"/>
    <w:charset w:val="86"/>
    <w:family w:val="script"/>
    <w:pitch w:val="default"/>
    <w:sig w:usb0="00000000" w:usb1="00000000" w:usb2="00000010" w:usb3="00000000" w:csb0="00040000" w:csb1="00000000"/>
  </w:font>
  <w:font w:name="仿宋_GB2312">
    <w:altName w:val="方正仿宋_GBK"/>
    <w:panose1 w:val="00000000000000000000"/>
    <w:charset w:val="86"/>
    <w:family w:val="modern"/>
    <w:pitch w:val="default"/>
    <w:sig w:usb0="00000000" w:usb1="00000000" w:usb2="00000000" w:usb3="00000000" w:csb0="00040000" w:csb1="00000000"/>
  </w:font>
  <w:font w:name="方正仿宋_GBK">
    <w:panose1 w:val="02000000000000000000"/>
    <w:charset w:val="86"/>
    <w:family w:val="auto"/>
    <w:pitch w:val="default"/>
    <w:sig w:usb0="00000000" w:usb1="00000000" w:usb2="00000000" w:usb3="00000000" w:csb0="0016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8A1076A"/>
    <w:multiLevelType w:val="multilevel"/>
    <w:tmpl w:val="18A1076A"/>
    <w:lvl w:ilvl="0" w:tentative="0">
      <w:start w:val="1"/>
      <w:numFmt w:val="decimal"/>
      <w:pStyle w:val="17"/>
      <w:lvlText w:val="%1."/>
      <w:lvlJc w:val="left"/>
      <w:pPr>
        <w:tabs>
          <w:tab w:val="left" w:pos="720"/>
        </w:tabs>
        <w:ind w:left="720" w:hanging="720"/>
      </w:pPr>
    </w:lvl>
    <w:lvl w:ilvl="1" w:tentative="0">
      <w:start w:val="1"/>
      <w:numFmt w:val="decimal"/>
      <w:lvlText w:val="%2."/>
      <w:lvlJc w:val="left"/>
      <w:pPr>
        <w:tabs>
          <w:tab w:val="left" w:pos="1440"/>
        </w:tabs>
        <w:ind w:left="1440" w:hanging="720"/>
      </w:pPr>
    </w:lvl>
    <w:lvl w:ilvl="2" w:tentative="0">
      <w:start w:val="1"/>
      <w:numFmt w:val="decimal"/>
      <w:lvlText w:val="%3."/>
      <w:lvlJc w:val="left"/>
      <w:pPr>
        <w:tabs>
          <w:tab w:val="left" w:pos="2160"/>
        </w:tabs>
        <w:ind w:left="2160" w:hanging="720"/>
      </w:pPr>
    </w:lvl>
    <w:lvl w:ilvl="3" w:tentative="0">
      <w:start w:val="1"/>
      <w:numFmt w:val="decimal"/>
      <w:lvlText w:val="%4."/>
      <w:lvlJc w:val="left"/>
      <w:pPr>
        <w:tabs>
          <w:tab w:val="left" w:pos="2880"/>
        </w:tabs>
        <w:ind w:left="2880" w:hanging="720"/>
      </w:pPr>
    </w:lvl>
    <w:lvl w:ilvl="4" w:tentative="0">
      <w:start w:val="1"/>
      <w:numFmt w:val="decimal"/>
      <w:lvlText w:val="%5."/>
      <w:lvlJc w:val="left"/>
      <w:pPr>
        <w:tabs>
          <w:tab w:val="left" w:pos="3600"/>
        </w:tabs>
        <w:ind w:left="3600" w:hanging="720"/>
      </w:pPr>
    </w:lvl>
    <w:lvl w:ilvl="5" w:tentative="0">
      <w:start w:val="1"/>
      <w:numFmt w:val="decimal"/>
      <w:lvlText w:val="%6."/>
      <w:lvlJc w:val="left"/>
      <w:pPr>
        <w:tabs>
          <w:tab w:val="left" w:pos="4320"/>
        </w:tabs>
        <w:ind w:left="4320" w:hanging="720"/>
      </w:pPr>
    </w:lvl>
    <w:lvl w:ilvl="6" w:tentative="0">
      <w:start w:val="1"/>
      <w:numFmt w:val="decimal"/>
      <w:lvlText w:val="%7."/>
      <w:lvlJc w:val="left"/>
      <w:pPr>
        <w:tabs>
          <w:tab w:val="left" w:pos="5040"/>
        </w:tabs>
        <w:ind w:left="5040" w:hanging="720"/>
      </w:pPr>
    </w:lvl>
    <w:lvl w:ilvl="7" w:tentative="0">
      <w:start w:val="1"/>
      <w:numFmt w:val="decimal"/>
      <w:lvlText w:val="%8."/>
      <w:lvlJc w:val="left"/>
      <w:pPr>
        <w:tabs>
          <w:tab w:val="left" w:pos="5760"/>
        </w:tabs>
        <w:ind w:left="5760" w:hanging="720"/>
      </w:pPr>
    </w:lvl>
    <w:lvl w:ilvl="8" w:tentative="0">
      <w:start w:val="1"/>
      <w:numFmt w:val="decimal"/>
      <w:lvlText w:val="%9."/>
      <w:lvlJc w:val="left"/>
      <w:pPr>
        <w:tabs>
          <w:tab w:val="left" w:pos="6480"/>
        </w:tabs>
        <w:ind w:left="6480" w:hanging="720"/>
      </w:pPr>
    </w:lvl>
  </w:abstractNum>
  <w:abstractNum w:abstractNumId="1">
    <w:nsid w:val="1FC91163"/>
    <w:multiLevelType w:val="multilevel"/>
    <w:tmpl w:val="1FC91163"/>
    <w:lvl w:ilvl="0" w:tentative="0">
      <w:start w:val="1"/>
      <w:numFmt w:val="decimal"/>
      <w:suff w:val="nothing"/>
      <w:lvlText w:val="%1　"/>
      <w:lvlJc w:val="left"/>
      <w:pPr>
        <w:ind w:left="0" w:firstLine="0"/>
      </w:pPr>
      <w:rPr>
        <w:rFonts w:hint="eastAsia" w:ascii="黑体" w:hAnsi="Times New Roman" w:eastAsia="黑体"/>
        <w:b w:val="0"/>
        <w:i w:val="0"/>
        <w:sz w:val="21"/>
        <w:szCs w:val="21"/>
      </w:rPr>
    </w:lvl>
    <w:lvl w:ilvl="1" w:tentative="0">
      <w:start w:val="1"/>
      <w:numFmt w:val="decimal"/>
      <w:pStyle w:val="14"/>
      <w:suff w:val="nothing"/>
      <w:lvlText w:val="%1.%2　"/>
      <w:lvlJc w:val="left"/>
      <w:pPr>
        <w:ind w:left="0" w:firstLine="0"/>
      </w:pPr>
      <w:rPr>
        <w:rFonts w:hint="eastAsia" w:ascii="黑体" w:hAnsi="Times New Roman" w:eastAsia="黑体" w:cs="Times New Roman"/>
        <w:b w:val="0"/>
        <w:bCs w:val="0"/>
        <w:i w:val="0"/>
        <w:iCs w:val="0"/>
        <w:caps w:val="0"/>
        <w:strike w:val="0"/>
        <w:dstrike w:val="0"/>
        <w:vanish w:val="0"/>
        <w:spacing w:val="0"/>
        <w:kern w:val="0"/>
        <w:position w:val="0"/>
        <w:sz w:val="21"/>
        <w:szCs w:val="21"/>
        <w:u w:val="none"/>
        <w:vertAlign w:val="baseline"/>
      </w:rPr>
    </w:lvl>
    <w:lvl w:ilvl="2" w:tentative="0">
      <w:start w:val="1"/>
      <w:numFmt w:val="decimal"/>
      <w:pStyle w:val="15"/>
      <w:suff w:val="nothing"/>
      <w:lvlText w:val="%1.%2.%3　"/>
      <w:lvlJc w:val="left"/>
      <w:pPr>
        <w:ind w:left="0" w:firstLine="0"/>
      </w:pPr>
      <w:rPr>
        <w:rFonts w:hint="eastAsia" w:ascii="黑体" w:hAnsi="Times New Roman" w:eastAsia="黑体"/>
        <w:b w:val="0"/>
        <w:i w:val="0"/>
        <w:sz w:val="21"/>
      </w:rPr>
    </w:lvl>
    <w:lvl w:ilvl="3" w:tentative="0">
      <w:start w:val="1"/>
      <w:numFmt w:val="decimal"/>
      <w:suff w:val="nothing"/>
      <w:lvlText w:val="%1.%2.%3.%4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
    <w:nsid w:val="646260FA"/>
    <w:multiLevelType w:val="multilevel"/>
    <w:tmpl w:val="646260FA"/>
    <w:lvl w:ilvl="0" w:tentative="0">
      <w:start w:val="1"/>
      <w:numFmt w:val="decimal"/>
      <w:pStyle w:val="13"/>
      <w:suff w:val="nothing"/>
      <w:lvlText w:val="表%1　"/>
      <w:lvlJc w:val="left"/>
      <w:pPr>
        <w:ind w:left="4679" w:firstLine="0"/>
      </w:pPr>
      <w:rPr>
        <w:rFonts w:hint="eastAsia" w:ascii="黑体" w:hAnsi="Times New Roman" w:eastAsia="黑体"/>
        <w:b w:val="0"/>
        <w:i w:val="0"/>
        <w:sz w:val="21"/>
      </w:r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8"/>
        </w:tabs>
        <w:ind w:left="1418"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2"/>
  </w:compat>
  <w:rsids>
    <w:rsidRoot w:val="00172A27"/>
    <w:rsid w:val="000142CA"/>
    <w:rsid w:val="00021A45"/>
    <w:rsid w:val="00040809"/>
    <w:rsid w:val="0004139E"/>
    <w:rsid w:val="000643C3"/>
    <w:rsid w:val="000C547A"/>
    <w:rsid w:val="00172A27"/>
    <w:rsid w:val="00193DA5"/>
    <w:rsid w:val="001E4968"/>
    <w:rsid w:val="003004CC"/>
    <w:rsid w:val="003B7097"/>
    <w:rsid w:val="003D4E5F"/>
    <w:rsid w:val="004139AD"/>
    <w:rsid w:val="00415A0E"/>
    <w:rsid w:val="00483895"/>
    <w:rsid w:val="004C7247"/>
    <w:rsid w:val="004E510D"/>
    <w:rsid w:val="00516A55"/>
    <w:rsid w:val="005346A1"/>
    <w:rsid w:val="005B7AEE"/>
    <w:rsid w:val="005C05EF"/>
    <w:rsid w:val="00634DD8"/>
    <w:rsid w:val="00667E2E"/>
    <w:rsid w:val="006E17A1"/>
    <w:rsid w:val="0070302B"/>
    <w:rsid w:val="00733D6D"/>
    <w:rsid w:val="00775906"/>
    <w:rsid w:val="007D47BA"/>
    <w:rsid w:val="007E06AB"/>
    <w:rsid w:val="008119E9"/>
    <w:rsid w:val="008137FE"/>
    <w:rsid w:val="0085595A"/>
    <w:rsid w:val="0086389A"/>
    <w:rsid w:val="008F1746"/>
    <w:rsid w:val="00900833"/>
    <w:rsid w:val="009A7843"/>
    <w:rsid w:val="009C1679"/>
    <w:rsid w:val="009D7871"/>
    <w:rsid w:val="00A2268B"/>
    <w:rsid w:val="00A26113"/>
    <w:rsid w:val="00AA769C"/>
    <w:rsid w:val="00AB709F"/>
    <w:rsid w:val="00B2602C"/>
    <w:rsid w:val="00B67935"/>
    <w:rsid w:val="00B971FB"/>
    <w:rsid w:val="00C36759"/>
    <w:rsid w:val="00C4551B"/>
    <w:rsid w:val="00CA38E1"/>
    <w:rsid w:val="00CE7884"/>
    <w:rsid w:val="00DC650F"/>
    <w:rsid w:val="00E01911"/>
    <w:rsid w:val="00E55B7B"/>
    <w:rsid w:val="00E93FB0"/>
    <w:rsid w:val="00F51F47"/>
    <w:rsid w:val="00F721D1"/>
    <w:rsid w:val="00F80818"/>
    <w:rsid w:val="01181E72"/>
    <w:rsid w:val="026561FC"/>
    <w:rsid w:val="03F4702C"/>
    <w:rsid w:val="0A9A264B"/>
    <w:rsid w:val="0AAD4845"/>
    <w:rsid w:val="0AF939A2"/>
    <w:rsid w:val="0D974848"/>
    <w:rsid w:val="0F4C0664"/>
    <w:rsid w:val="0FF641B7"/>
    <w:rsid w:val="100D616C"/>
    <w:rsid w:val="101E3DAE"/>
    <w:rsid w:val="13CC1D73"/>
    <w:rsid w:val="13D22765"/>
    <w:rsid w:val="16A46AFB"/>
    <w:rsid w:val="171C30F7"/>
    <w:rsid w:val="19036119"/>
    <w:rsid w:val="19287648"/>
    <w:rsid w:val="1A5403CD"/>
    <w:rsid w:val="1B1F2F74"/>
    <w:rsid w:val="1B47101C"/>
    <w:rsid w:val="1C47643B"/>
    <w:rsid w:val="1C717CE8"/>
    <w:rsid w:val="1C8B2050"/>
    <w:rsid w:val="1DC65F93"/>
    <w:rsid w:val="1EE460F3"/>
    <w:rsid w:val="21040CF3"/>
    <w:rsid w:val="211A4953"/>
    <w:rsid w:val="21366A7E"/>
    <w:rsid w:val="21B80B68"/>
    <w:rsid w:val="21FE134A"/>
    <w:rsid w:val="23A56F95"/>
    <w:rsid w:val="25A633B0"/>
    <w:rsid w:val="26F62F37"/>
    <w:rsid w:val="280A3C38"/>
    <w:rsid w:val="29B109BC"/>
    <w:rsid w:val="29EE5042"/>
    <w:rsid w:val="29F052B7"/>
    <w:rsid w:val="2A151926"/>
    <w:rsid w:val="2C1546AF"/>
    <w:rsid w:val="2E6B420B"/>
    <w:rsid w:val="2F3D699A"/>
    <w:rsid w:val="2FC166ED"/>
    <w:rsid w:val="3291620A"/>
    <w:rsid w:val="33017ED7"/>
    <w:rsid w:val="33895639"/>
    <w:rsid w:val="398244C0"/>
    <w:rsid w:val="3AA54601"/>
    <w:rsid w:val="3B554279"/>
    <w:rsid w:val="3B9A55CE"/>
    <w:rsid w:val="3BC53123"/>
    <w:rsid w:val="3D097AD7"/>
    <w:rsid w:val="3FFB4F07"/>
    <w:rsid w:val="3FFF2A05"/>
    <w:rsid w:val="40AA2C4B"/>
    <w:rsid w:val="43036368"/>
    <w:rsid w:val="464F7DA9"/>
    <w:rsid w:val="471D19C3"/>
    <w:rsid w:val="4778051F"/>
    <w:rsid w:val="480F16B5"/>
    <w:rsid w:val="484336AB"/>
    <w:rsid w:val="4A7F683C"/>
    <w:rsid w:val="500D71DF"/>
    <w:rsid w:val="50967919"/>
    <w:rsid w:val="510A5AAD"/>
    <w:rsid w:val="530323B4"/>
    <w:rsid w:val="53542C10"/>
    <w:rsid w:val="543C16DA"/>
    <w:rsid w:val="55C93441"/>
    <w:rsid w:val="59374B66"/>
    <w:rsid w:val="5B3C2907"/>
    <w:rsid w:val="5CFE5E65"/>
    <w:rsid w:val="5DFF283B"/>
    <w:rsid w:val="62791D4B"/>
    <w:rsid w:val="664A412A"/>
    <w:rsid w:val="67271327"/>
    <w:rsid w:val="6B6E7A4D"/>
    <w:rsid w:val="6BD65FE5"/>
    <w:rsid w:val="6C0E3AE1"/>
    <w:rsid w:val="6C2C6080"/>
    <w:rsid w:val="6C320923"/>
    <w:rsid w:val="6CDA3200"/>
    <w:rsid w:val="6E9C129B"/>
    <w:rsid w:val="6EA73325"/>
    <w:rsid w:val="6F9A1FB5"/>
    <w:rsid w:val="70B476A9"/>
    <w:rsid w:val="71115F5A"/>
    <w:rsid w:val="71904398"/>
    <w:rsid w:val="72507F7A"/>
    <w:rsid w:val="73AA4A47"/>
    <w:rsid w:val="744F0B5E"/>
    <w:rsid w:val="78C22413"/>
    <w:rsid w:val="79295E21"/>
    <w:rsid w:val="79C618C2"/>
    <w:rsid w:val="7A195E96"/>
    <w:rsid w:val="7F514C84"/>
    <w:rsid w:val="7F9542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宋体" w:cstheme="minorBidi"/>
      <w:sz w:val="22"/>
      <w:szCs w:val="22"/>
      <w:lang w:val="en-US" w:eastAsia="zh-CN" w:bidi="ar-SA"/>
    </w:rPr>
  </w:style>
  <w:style w:type="character" w:default="1" w:styleId="8">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9"/>
    <w:qFormat/>
    <w:uiPriority w:val="0"/>
    <w:pPr>
      <w:spacing w:after="0"/>
    </w:pPr>
    <w:rPr>
      <w:sz w:val="18"/>
      <w:szCs w:val="18"/>
    </w:rPr>
  </w:style>
  <w:style w:type="paragraph" w:styleId="3">
    <w:name w:val="footer"/>
    <w:basedOn w:val="1"/>
    <w:link w:val="10"/>
    <w:qFormat/>
    <w:uiPriority w:val="0"/>
    <w:pPr>
      <w:tabs>
        <w:tab w:val="center" w:pos="4153"/>
        <w:tab w:val="right" w:pos="8306"/>
      </w:tabs>
    </w:pPr>
    <w:rPr>
      <w:sz w:val="18"/>
      <w:szCs w:val="18"/>
    </w:rPr>
  </w:style>
  <w:style w:type="paragraph" w:styleId="4">
    <w:name w:val="header"/>
    <w:basedOn w:val="1"/>
    <w:link w:val="9"/>
    <w:qFormat/>
    <w:uiPriority w:val="0"/>
    <w:pPr>
      <w:pBdr>
        <w:bottom w:val="single" w:color="auto" w:sz="6" w:space="1"/>
      </w:pBdr>
      <w:tabs>
        <w:tab w:val="center" w:pos="4153"/>
        <w:tab w:val="right" w:pos="8306"/>
      </w:tabs>
      <w:jc w:val="center"/>
    </w:pPr>
    <w:rPr>
      <w:sz w:val="18"/>
      <w:szCs w:val="18"/>
    </w:rPr>
  </w:style>
  <w:style w:type="paragraph" w:styleId="5">
    <w:name w:val="Normal (Web)"/>
    <w:basedOn w:val="1"/>
    <w:unhideWhenUsed/>
    <w:qFormat/>
    <w:uiPriority w:val="99"/>
    <w:pPr>
      <w:adjustRightInd/>
      <w:snapToGrid/>
      <w:spacing w:before="100" w:beforeAutospacing="1" w:after="100" w:afterAutospacing="1"/>
    </w:pPr>
    <w:rPr>
      <w:rFonts w:ascii="宋体" w:hAnsi="宋体" w:cs="宋体"/>
      <w:sz w:val="24"/>
      <w:szCs w:val="24"/>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9">
    <w:name w:val="页眉 Char"/>
    <w:basedOn w:val="8"/>
    <w:link w:val="4"/>
    <w:qFormat/>
    <w:uiPriority w:val="0"/>
    <w:rPr>
      <w:rFonts w:ascii="Tahoma" w:hAnsi="Tahoma" w:eastAsia="宋体"/>
      <w:sz w:val="18"/>
      <w:szCs w:val="18"/>
    </w:rPr>
  </w:style>
  <w:style w:type="character" w:customStyle="1" w:styleId="10">
    <w:name w:val="页脚 Char"/>
    <w:basedOn w:val="8"/>
    <w:link w:val="3"/>
    <w:qFormat/>
    <w:uiPriority w:val="0"/>
    <w:rPr>
      <w:rFonts w:ascii="Tahoma" w:hAnsi="Tahoma" w:eastAsia="宋体"/>
      <w:sz w:val="18"/>
      <w:szCs w:val="18"/>
    </w:rPr>
  </w:style>
  <w:style w:type="paragraph" w:customStyle="1" w:styleId="11">
    <w:name w:val="正文表标题"/>
    <w:next w:val="12"/>
    <w:qFormat/>
    <w:uiPriority w:val="0"/>
    <w:pPr>
      <w:tabs>
        <w:tab w:val="left" w:pos="360"/>
      </w:tabs>
      <w:spacing w:beforeLines="50" w:afterLines="50"/>
      <w:jc w:val="center"/>
    </w:pPr>
    <w:rPr>
      <w:rFonts w:ascii="黑体" w:hAnsi="Times New Roman" w:eastAsia="黑体" w:cs="Times New Roman"/>
      <w:sz w:val="21"/>
      <w:lang w:val="en-US" w:eastAsia="zh-CN" w:bidi="ar-SA"/>
    </w:rPr>
  </w:style>
  <w:style w:type="paragraph" w:customStyle="1" w:styleId="12">
    <w:name w:val="段"/>
    <w:link w:val="16"/>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paragraph" w:customStyle="1" w:styleId="13">
    <w:name w:val="正文图标题"/>
    <w:next w:val="1"/>
    <w:qFormat/>
    <w:uiPriority w:val="0"/>
    <w:pPr>
      <w:numPr>
        <w:ilvl w:val="0"/>
        <w:numId w:val="1"/>
      </w:numPr>
      <w:tabs>
        <w:tab w:val="left" w:pos="360"/>
      </w:tabs>
      <w:spacing w:beforeLines="50" w:afterLines="50"/>
      <w:jc w:val="center"/>
    </w:pPr>
    <w:rPr>
      <w:rFonts w:ascii="黑体" w:hAnsi="Times New Roman" w:eastAsia="黑体" w:cs="Times New Roman"/>
      <w:sz w:val="21"/>
      <w:lang w:val="en-US" w:eastAsia="zh-CN" w:bidi="ar-SA"/>
    </w:rPr>
  </w:style>
  <w:style w:type="paragraph" w:customStyle="1" w:styleId="14">
    <w:name w:val="一级条标题"/>
    <w:next w:val="12"/>
    <w:qFormat/>
    <w:uiPriority w:val="0"/>
    <w:pPr>
      <w:numPr>
        <w:ilvl w:val="1"/>
        <w:numId w:val="2"/>
      </w:numPr>
      <w:spacing w:beforeLines="50" w:afterLines="50"/>
      <w:outlineLvl w:val="2"/>
    </w:pPr>
    <w:rPr>
      <w:rFonts w:ascii="黑体" w:hAnsi="Times New Roman" w:eastAsia="黑体" w:cs="Times New Roman"/>
      <w:sz w:val="21"/>
      <w:szCs w:val="21"/>
      <w:lang w:val="en-US" w:eastAsia="zh-CN" w:bidi="ar-SA"/>
    </w:rPr>
  </w:style>
  <w:style w:type="paragraph" w:customStyle="1" w:styleId="15">
    <w:name w:val="二级条标题"/>
    <w:basedOn w:val="14"/>
    <w:next w:val="12"/>
    <w:qFormat/>
    <w:uiPriority w:val="0"/>
    <w:pPr>
      <w:numPr>
        <w:ilvl w:val="2"/>
      </w:numPr>
      <w:spacing w:before="50" w:after="50"/>
      <w:outlineLvl w:val="3"/>
    </w:pPr>
  </w:style>
  <w:style w:type="character" w:customStyle="1" w:styleId="16">
    <w:name w:val="段 Char"/>
    <w:basedOn w:val="8"/>
    <w:link w:val="12"/>
    <w:qFormat/>
    <w:uiPriority w:val="0"/>
    <w:rPr>
      <w:rFonts w:ascii="宋体"/>
      <w:sz w:val="21"/>
    </w:rPr>
  </w:style>
  <w:style w:type="paragraph" w:customStyle="1" w:styleId="17">
    <w:name w:val="章标题"/>
    <w:next w:val="12"/>
    <w:qFormat/>
    <w:uiPriority w:val="0"/>
    <w:pPr>
      <w:numPr>
        <w:ilvl w:val="0"/>
        <w:numId w:val="3"/>
      </w:numPr>
      <w:spacing w:beforeLines="100" w:afterLines="100"/>
      <w:jc w:val="both"/>
      <w:outlineLvl w:val="1"/>
    </w:pPr>
    <w:rPr>
      <w:rFonts w:ascii="黑体" w:hAnsi="Times New Roman" w:eastAsia="黑体" w:cs="Times New Roman"/>
      <w:sz w:val="21"/>
      <w:lang w:val="en-US" w:eastAsia="zh-CN" w:bidi="ar-SA"/>
    </w:rPr>
  </w:style>
  <w:style w:type="paragraph" w:customStyle="1" w:styleId="18">
    <w:name w:val="Normal"/>
    <w:qFormat/>
    <w:uiPriority w:val="0"/>
    <w:pPr>
      <w:jc w:val="both"/>
    </w:pPr>
    <w:rPr>
      <w:rFonts w:ascii="Times New Roman" w:hAnsi="Times New Roman" w:eastAsia="宋体" w:cs="Times New Roman"/>
      <w:kern w:val="2"/>
      <w:sz w:val="21"/>
      <w:szCs w:val="21"/>
      <w:lang w:val="en-US" w:eastAsia="zh-CN" w:bidi="ar-SA"/>
    </w:rPr>
  </w:style>
  <w:style w:type="character" w:customStyle="1" w:styleId="19">
    <w:name w:val="批注框文本 Char"/>
    <w:basedOn w:val="8"/>
    <w:link w:val="2"/>
    <w:qFormat/>
    <w:uiPriority w:val="0"/>
    <w:rPr>
      <w:rFonts w:ascii="Tahoma" w:hAnsi="Tahoma" w:cstheme="minorBidi"/>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Kingsoft</Company>
  <Pages>7</Pages>
  <Words>693</Words>
  <Characters>3953</Characters>
  <Lines>32</Lines>
  <Paragraphs>9</Paragraphs>
  <TotalTime>1</TotalTime>
  <ScaleCrop>false</ScaleCrop>
  <LinksUpToDate>false</LinksUpToDate>
  <CharactersWithSpaces>4637</CharactersWithSpaces>
  <Application>WPS Office_5.3.0.7863_F1E327BC-269C-435d-A152-05C5408002CA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2024-11-15T23:16:00Z</dcterms:created>
  <dc:creator>zhaoxinlei</dc:creator>
  <cp:lastModifiedBy>豆</cp:lastModifiedBy>
  <cp:lastPrinted>2019-12-23T14:37:00Z</cp:lastPrinted>
  <dcterms:modified xsi:type="dcterms:W3CDTF">2024-11-16T07:43:10Z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2052-5.3.0.7863</vt:lpwstr>
  </property>
  <property fmtid="{D5CDD505-2E9C-101B-9397-08002B2CF9AE}" pid="3" name="ICV">
    <vt:lpwstr>ECADD63CEB54401A96C0243FEEA79A38</vt:lpwstr>
  </property>
</Properties>
</file>