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9887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A393D3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0EEF06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67.080.10</w:t>
            </w:r>
            <w:r>
              <w:rPr>
                <w:rFonts w:ascii="黑体" w:hAnsi="黑体" w:eastAsia="黑体"/>
                <w:sz w:val="21"/>
                <w:szCs w:val="21"/>
              </w:rPr>
              <w:fldChar w:fldCharType="end"/>
            </w:r>
            <w:bookmarkEnd w:id="0"/>
          </w:p>
        </w:tc>
      </w:tr>
      <w:tr w14:paraId="7A854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E1A1A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2037AA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E677E2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57ED969">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46</w:t>
            </w:r>
            <w:r>
              <w:fldChar w:fldCharType="end"/>
            </w:r>
            <w:bookmarkEnd w:id="3"/>
          </w:p>
        </w:tc>
      </w:tr>
    </w:tbl>
    <w:p w14:paraId="735FF61C">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3717CB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3CB6681">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D2848C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D7C623D">
      <w:pPr>
        <w:pStyle w:val="50"/>
        <w:framePr w:w="9639" w:h="6976" w:hRule="exact" w:hSpace="0" w:vSpace="0" w:wrap="around" w:hAnchor="page" w:y="6408"/>
        <w:jc w:val="center"/>
        <w:rPr>
          <w:rFonts w:ascii="黑体" w:hAnsi="黑体" w:eastAsia="黑体"/>
          <w:b w:val="0"/>
          <w:bCs w:val="0"/>
          <w:w w:val="100"/>
        </w:rPr>
      </w:pPr>
    </w:p>
    <w:p w14:paraId="57D1B29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鲜食椰子等级规格</w:t>
      </w:r>
      <w:r>
        <w:fldChar w:fldCharType="end"/>
      </w:r>
      <w:bookmarkEnd w:id="9"/>
    </w:p>
    <w:p w14:paraId="22BD7BEA">
      <w:pPr>
        <w:framePr w:w="9639" w:h="6974" w:hRule="exact" w:wrap="around" w:vAnchor="page" w:hAnchor="page" w:x="1419" w:y="6408" w:anchorLock="1"/>
        <w:ind w:left="-1418"/>
      </w:pPr>
    </w:p>
    <w:p w14:paraId="5A477BC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w:t>
      </w:r>
      <w:r>
        <w:rPr>
          <w:rFonts w:hint="eastAsia" w:eastAsia="黑体"/>
          <w:szCs w:val="28"/>
        </w:rPr>
        <w:t>rades</w:t>
      </w:r>
      <w:r>
        <w:rPr>
          <w:rFonts w:eastAsia="黑体"/>
          <w:szCs w:val="28"/>
        </w:rPr>
        <w:t xml:space="preserve"> and specifications of F</w:t>
      </w:r>
      <w:r>
        <w:rPr>
          <w:rFonts w:hint="eastAsia" w:eastAsia="黑体"/>
          <w:szCs w:val="28"/>
        </w:rPr>
        <w:t>resh</w:t>
      </w:r>
      <w:r>
        <w:rPr>
          <w:rFonts w:eastAsia="黑体"/>
          <w:szCs w:val="28"/>
        </w:rPr>
        <w:t xml:space="preserve"> Coconut</w:t>
      </w:r>
      <w:r>
        <w:rPr>
          <w:rFonts w:eastAsia="黑体"/>
          <w:szCs w:val="28"/>
        </w:rPr>
        <w:fldChar w:fldCharType="end"/>
      </w:r>
      <w:bookmarkEnd w:id="10"/>
    </w:p>
    <w:p w14:paraId="03653F5E">
      <w:pPr>
        <w:framePr w:w="9639" w:h="6974" w:hRule="exact" w:wrap="around" w:vAnchor="page" w:hAnchor="page" w:x="1419" w:y="6408" w:anchorLock="1"/>
        <w:spacing w:line="760" w:lineRule="exact"/>
        <w:ind w:left="-1418"/>
      </w:pPr>
    </w:p>
    <w:p w14:paraId="5E3CAF18">
      <w:pPr>
        <w:pStyle w:val="125"/>
        <w:framePr w:w="9639" w:h="6974" w:hRule="exact" w:wrap="around" w:vAnchor="page" w:hAnchor="page" w:x="1419" w:y="6408" w:anchorLock="1"/>
        <w:textAlignment w:val="bottom"/>
        <w:rPr>
          <w:rFonts w:eastAsia="黑体"/>
          <w:szCs w:val="28"/>
        </w:rPr>
      </w:pPr>
    </w:p>
    <w:p w14:paraId="5916238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15DDCE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4</w:t>
      </w:r>
      <w:r>
        <w:rPr>
          <w:sz w:val="21"/>
          <w:szCs w:val="28"/>
        </w:rPr>
        <w:t>.</w:t>
      </w:r>
      <w:r>
        <w:rPr>
          <w:rFonts w:hint="eastAsia"/>
          <w:sz w:val="21"/>
          <w:szCs w:val="28"/>
        </w:rPr>
        <w:t>11</w:t>
      </w:r>
      <w:r>
        <w:rPr>
          <w:sz w:val="21"/>
          <w:szCs w:val="28"/>
        </w:rPr>
        <w:t>.</w:t>
      </w:r>
      <w:r>
        <w:rPr>
          <w:rFonts w:hint="eastAsia"/>
          <w:sz w:val="21"/>
          <w:szCs w:val="28"/>
        </w:rPr>
        <w:t>25）</w:t>
      </w:r>
      <w:r>
        <w:rPr>
          <w:sz w:val="21"/>
          <w:szCs w:val="28"/>
        </w:rPr>
        <w:fldChar w:fldCharType="end"/>
      </w:r>
      <w:bookmarkEnd w:id="12"/>
    </w:p>
    <w:p w14:paraId="48EFF16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80D608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43BE50A">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8CEA8F8">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842B4A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3D20E46">
      <w:pPr>
        <w:pStyle w:val="91"/>
        <w:spacing w:after="468"/>
      </w:pPr>
      <w:bookmarkStart w:id="21" w:name="BookMark1"/>
      <w:bookmarkStart w:id="22" w:name="_Toc183099836"/>
      <w:bookmarkStart w:id="23" w:name="_Toc183100977"/>
      <w:bookmarkStart w:id="24" w:name="_Toc183101002"/>
      <w:r>
        <w:rPr>
          <w:rFonts w:hint="eastAsia"/>
          <w:spacing w:val="320"/>
        </w:rPr>
        <w:t>目</w:t>
      </w:r>
      <w:r>
        <w:rPr>
          <w:rFonts w:hint="eastAsia"/>
        </w:rPr>
        <w:t>次</w:t>
      </w:r>
    </w:p>
    <w:p w14:paraId="1EC2AF07">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"_Toc183101011"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_Toc183101011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DC15FFC">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"_Toc183101012"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_Toc183101012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E8C021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"_Toc183101013"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_Toc183101013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39FBE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"_Toc183101014"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_Toc183101014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780F5E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"_Toc183101015" </w:instrText>
      </w:r>
      <w:r>
        <w:fldChar w:fldCharType="separate"/>
      </w:r>
      <w:r>
        <w:rPr>
          <w:rStyle w:val="32"/>
          <w:rFonts w:hint="eastAsia"/>
        </w:rPr>
        <w:t>4</w:t>
      </w:r>
      <w:r>
        <w:rPr>
          <w:rStyle w:val="32"/>
        </w:rPr>
        <w:t xml:space="preserve"> </w:t>
      </w:r>
      <w:r>
        <w:rPr>
          <w:rStyle w:val="32"/>
          <w:rFonts w:hint="eastAsia"/>
        </w:rPr>
        <w:t xml:space="preserve"> 要求</w:t>
      </w:r>
      <w:r>
        <w:rPr>
          <w:rFonts w:hint="eastAsia"/>
        </w:rPr>
        <w:tab/>
      </w:r>
      <w:r>
        <w:rPr>
          <w:rFonts w:hint="eastAsia"/>
        </w:rPr>
        <w:fldChar w:fldCharType="begin"/>
      </w:r>
      <w:r>
        <w:rPr>
          <w:rFonts w:hint="eastAsia"/>
        </w:rPr>
        <w:instrText xml:space="preserve"> </w:instrText>
      </w:r>
      <w:r>
        <w:instrText xml:space="preserve">PAGEREF _Toc183101015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967635C">
      <w:pPr>
        <w:pStyle w:val="24"/>
        <w:rPr>
          <w:rFonts w:asciiTheme="minorHAnsi" w:hAnsiTheme="minorHAnsi" w:eastAsiaTheme="minorEastAsia" w:cstheme="minorBidi"/>
          <w:szCs w:val="22"/>
          <w14:ligatures w14:val="standardContextual"/>
        </w:rPr>
      </w:pPr>
      <w:r>
        <w:fldChar w:fldCharType="begin"/>
      </w:r>
      <w:r>
        <w:instrText xml:space="preserve"> HYPERLINK \l "_Toc183101016" </w:instrText>
      </w:r>
      <w:r>
        <w:fldChar w:fldCharType="separate"/>
      </w:r>
      <w:r>
        <w:rPr>
          <w:rStyle w:val="32"/>
          <w:rFonts w:hint="eastAsia"/>
          <w14:scene3d>
            <w14:lightRig w14:rig="threePt" w14:dir="t">
              <w14:rot w14:lat="0" w14:lon="0" w14:rev="0"/>
            </w14:lightRig>
          </w14:scene3d>
        </w:rPr>
        <w:t>4.1</w:t>
      </w:r>
      <w:r>
        <w:rPr>
          <w:rStyle w:val="32"/>
          <w14:scene3d>
            <w14:lightRig w14:rig="threePt" w14:dir="t">
              <w14:rot w14:lat="0" w14:lon="0" w14:rev="0"/>
            </w14:lightRig>
          </w14:scene3d>
        </w:rPr>
        <w:t xml:space="preserve"> </w:t>
      </w:r>
      <w:r>
        <w:rPr>
          <w:rStyle w:val="32"/>
          <w:rFonts w:hint="eastAsia"/>
        </w:rPr>
        <w:t xml:space="preserve"> 等级</w:t>
      </w:r>
      <w:r>
        <w:rPr>
          <w:rFonts w:hint="eastAsia"/>
        </w:rPr>
        <w:tab/>
      </w:r>
      <w:r>
        <w:rPr>
          <w:rFonts w:hint="eastAsia"/>
        </w:rPr>
        <w:fldChar w:fldCharType="begin"/>
      </w:r>
      <w:r>
        <w:rPr>
          <w:rFonts w:hint="eastAsia"/>
        </w:rPr>
        <w:instrText xml:space="preserve"> </w:instrText>
      </w:r>
      <w:r>
        <w:instrText xml:space="preserve">PAGEREF _Toc183101016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E5B873B">
      <w:pPr>
        <w:pStyle w:val="24"/>
        <w:rPr>
          <w:rFonts w:asciiTheme="minorHAnsi" w:hAnsiTheme="minorHAnsi" w:eastAsiaTheme="minorEastAsia" w:cstheme="minorBidi"/>
          <w:szCs w:val="22"/>
          <w14:ligatures w14:val="standardContextual"/>
        </w:rPr>
      </w:pPr>
      <w:r>
        <w:fldChar w:fldCharType="begin"/>
      </w:r>
      <w:r>
        <w:instrText xml:space="preserve"> HYPERLINK \l "_Toc183101017" </w:instrText>
      </w:r>
      <w:r>
        <w:fldChar w:fldCharType="separate"/>
      </w:r>
      <w:r>
        <w:rPr>
          <w:rStyle w:val="32"/>
          <w:rFonts w:hint="eastAsia"/>
          <w14:scene3d>
            <w14:lightRig w14:rig="threePt" w14:dir="t">
              <w14:rot w14:lat="0" w14:lon="0" w14:rev="0"/>
            </w14:lightRig>
          </w14:scene3d>
        </w:rPr>
        <w:t>4.2</w:t>
      </w:r>
      <w:r>
        <w:rPr>
          <w:rStyle w:val="32"/>
          <w14:scene3d>
            <w14:lightRig w14:rig="threePt" w14:dir="t">
              <w14:rot w14:lat="0" w14:lon="0" w14:rev="0"/>
            </w14:lightRig>
          </w14:scene3d>
        </w:rPr>
        <w:t xml:space="preserve"> </w:t>
      </w:r>
      <w:r>
        <w:rPr>
          <w:rStyle w:val="32"/>
          <w:rFonts w:hint="eastAsia"/>
        </w:rPr>
        <w:t xml:space="preserve"> 规格</w:t>
      </w:r>
      <w:r>
        <w:rPr>
          <w:rFonts w:hint="eastAsia"/>
        </w:rPr>
        <w:tab/>
      </w:r>
      <w:r>
        <w:rPr>
          <w:rFonts w:hint="eastAsia"/>
        </w:rPr>
        <w:fldChar w:fldCharType="begin"/>
      </w:r>
      <w:r>
        <w:rPr>
          <w:rFonts w:hint="eastAsia"/>
        </w:rPr>
        <w:instrText xml:space="preserve"> </w:instrText>
      </w:r>
      <w:r>
        <w:instrText xml:space="preserve">PAGEREF _Toc183101017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85FAED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"_Toc183101018" </w:instrText>
      </w:r>
      <w:r>
        <w:fldChar w:fldCharType="separate"/>
      </w:r>
      <w:r>
        <w:rPr>
          <w:rStyle w:val="32"/>
          <w:rFonts w:hint="eastAsia"/>
        </w:rPr>
        <w:t>5</w:t>
      </w:r>
      <w:r>
        <w:rPr>
          <w:rStyle w:val="32"/>
        </w:rPr>
        <w:t xml:space="preserve"> </w:t>
      </w:r>
      <w:r>
        <w:rPr>
          <w:rStyle w:val="32"/>
          <w:rFonts w:hint="eastAsia"/>
        </w:rPr>
        <w:t xml:space="preserve"> 检验方法</w:t>
      </w:r>
      <w:r>
        <w:rPr>
          <w:rFonts w:hint="eastAsia"/>
        </w:rPr>
        <w:tab/>
      </w:r>
      <w:r>
        <w:rPr>
          <w:rFonts w:hint="eastAsia"/>
        </w:rPr>
        <w:fldChar w:fldCharType="begin"/>
      </w:r>
      <w:r>
        <w:rPr>
          <w:rFonts w:hint="eastAsia"/>
        </w:rPr>
        <w:instrText xml:space="preserve"> </w:instrText>
      </w:r>
      <w:r>
        <w:instrText xml:space="preserve">PAGEREF _Toc183101018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9C4124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"_Toc183101019" </w:instrText>
      </w:r>
      <w:r>
        <w:fldChar w:fldCharType="separate"/>
      </w:r>
      <w:r>
        <w:rPr>
          <w:rStyle w:val="32"/>
          <w:rFonts w:hint="eastAsia"/>
        </w:rPr>
        <w:t>6</w:t>
      </w:r>
      <w:r>
        <w:rPr>
          <w:rStyle w:val="32"/>
        </w:rPr>
        <w:t xml:space="preserve"> </w:t>
      </w:r>
      <w:r>
        <w:rPr>
          <w:rStyle w:val="32"/>
          <w:rFonts w:hint="eastAsia"/>
        </w:rPr>
        <w:t xml:space="preserve"> 检验规则</w:t>
      </w:r>
      <w:r>
        <w:rPr>
          <w:rFonts w:hint="eastAsia"/>
        </w:rPr>
        <w:tab/>
      </w:r>
      <w:r>
        <w:rPr>
          <w:rFonts w:hint="eastAsia"/>
        </w:rPr>
        <w:fldChar w:fldCharType="begin"/>
      </w:r>
      <w:r>
        <w:rPr>
          <w:rFonts w:hint="eastAsia"/>
        </w:rPr>
        <w:instrText xml:space="preserve"> </w:instrText>
      </w:r>
      <w:r>
        <w:instrText xml:space="preserve">PAGEREF _Toc183101019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1FD0368">
      <w:pPr>
        <w:pStyle w:val="24"/>
        <w:rPr>
          <w:rFonts w:asciiTheme="minorHAnsi" w:hAnsiTheme="minorHAnsi" w:eastAsiaTheme="minorEastAsia" w:cstheme="minorBidi"/>
          <w:szCs w:val="22"/>
          <w14:ligatures w14:val="standardContextual"/>
        </w:rPr>
      </w:pPr>
      <w:r>
        <w:fldChar w:fldCharType="begin"/>
      </w:r>
      <w:r>
        <w:instrText xml:space="preserve"> HYPERLINK \l "_Toc183101020" </w:instrText>
      </w:r>
      <w:r>
        <w:fldChar w:fldCharType="separate"/>
      </w:r>
      <w:r>
        <w:rPr>
          <w:rStyle w:val="32"/>
          <w:rFonts w:hint="eastAsia"/>
          <w14:scene3d>
            <w14:lightRig w14:rig="threePt" w14:dir="t">
              <w14:rot w14:lat="0" w14:lon="0" w14:rev="0"/>
            </w14:lightRig>
          </w14:scene3d>
        </w:rPr>
        <w:t>6.2</w:t>
      </w:r>
      <w:r>
        <w:rPr>
          <w:rStyle w:val="32"/>
          <w14:scene3d>
            <w14:lightRig w14:rig="threePt" w14:dir="t">
              <w14:rot w14:lat="0" w14:lon="0" w14:rev="0"/>
            </w14:lightRig>
          </w14:scene3d>
        </w:rPr>
        <w:t xml:space="preserve"> </w:t>
      </w:r>
      <w:r>
        <w:rPr>
          <w:rStyle w:val="32"/>
          <w:rFonts w:hint="eastAsia"/>
        </w:rPr>
        <w:t xml:space="preserve"> 评定规则</w:t>
      </w:r>
      <w:r>
        <w:rPr>
          <w:rFonts w:hint="eastAsia"/>
        </w:rPr>
        <w:tab/>
      </w:r>
      <w:r>
        <w:rPr>
          <w:rFonts w:hint="eastAsia"/>
        </w:rPr>
        <w:fldChar w:fldCharType="begin"/>
      </w:r>
      <w:r>
        <w:rPr>
          <w:rFonts w:hint="eastAsia"/>
        </w:rPr>
        <w:instrText xml:space="preserve"> </w:instrText>
      </w:r>
      <w:r>
        <w:instrText xml:space="preserve">PAGEREF _Toc183101020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27884AB">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"_Toc183101021" </w:instrText>
      </w:r>
      <w:r>
        <w:fldChar w:fldCharType="separate"/>
      </w:r>
      <w:r>
        <w:rPr>
          <w:rStyle w:val="32"/>
          <w:rFonts w:hint="eastAsia"/>
        </w:rPr>
        <w:t>7</w:t>
      </w:r>
      <w:r>
        <w:rPr>
          <w:rStyle w:val="32"/>
        </w:rPr>
        <w:t xml:space="preserve"> </w:t>
      </w:r>
      <w:r>
        <w:rPr>
          <w:rStyle w:val="32"/>
          <w:rFonts w:hint="eastAsia"/>
        </w:rPr>
        <w:t xml:space="preserve"> 包装</w:t>
      </w:r>
      <w:r>
        <w:rPr>
          <w:rFonts w:hint="eastAsia"/>
        </w:rPr>
        <w:tab/>
      </w:r>
      <w:r>
        <w:rPr>
          <w:rFonts w:hint="eastAsia"/>
        </w:rPr>
        <w:fldChar w:fldCharType="begin"/>
      </w:r>
      <w:r>
        <w:rPr>
          <w:rFonts w:hint="eastAsia"/>
        </w:rPr>
        <w:instrText xml:space="preserve"> </w:instrText>
      </w:r>
      <w:r>
        <w:instrText xml:space="preserve">PAGEREF _Toc183101021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48696CD">
      <w:pPr>
        <w:pStyle w:val="24"/>
        <w:rPr>
          <w:rFonts w:asciiTheme="minorHAnsi" w:hAnsiTheme="minorHAnsi" w:eastAsiaTheme="minorEastAsia" w:cstheme="minorBidi"/>
          <w:szCs w:val="22"/>
          <w14:ligatures w14:val="standardContextual"/>
        </w:rPr>
      </w:pPr>
      <w:r>
        <w:fldChar w:fldCharType="begin"/>
      </w:r>
      <w:r>
        <w:instrText xml:space="preserve"> HYPERLINK \l "_Toc183101022" </w:instrText>
      </w:r>
      <w:r>
        <w:fldChar w:fldCharType="separate"/>
      </w:r>
      <w:r>
        <w:rPr>
          <w:rStyle w:val="32"/>
          <w:rFonts w:hint="eastAsia"/>
          <w14:scene3d>
            <w14:lightRig w14:rig="threePt" w14:dir="t">
              <w14:rot w14:lat="0" w14:lon="0" w14:rev="0"/>
            </w14:lightRig>
          </w14:scene3d>
        </w:rPr>
        <w:t>7.1</w:t>
      </w:r>
      <w:r>
        <w:rPr>
          <w:rStyle w:val="32"/>
          <w14:scene3d>
            <w14:lightRig w14:rig="threePt" w14:dir="t">
              <w14:rot w14:lat="0" w14:lon="0" w14:rev="0"/>
            </w14:lightRig>
          </w14:scene3d>
        </w:rPr>
        <w:t xml:space="preserve"> </w:t>
      </w:r>
      <w:r>
        <w:rPr>
          <w:rStyle w:val="32"/>
          <w:rFonts w:hint="eastAsia"/>
        </w:rPr>
        <w:t xml:space="preserve"> 一致性</w:t>
      </w:r>
      <w:r>
        <w:rPr>
          <w:rFonts w:hint="eastAsia"/>
        </w:rPr>
        <w:tab/>
      </w:r>
      <w:r>
        <w:rPr>
          <w:rFonts w:hint="eastAsia"/>
        </w:rPr>
        <w:fldChar w:fldCharType="begin"/>
      </w:r>
      <w:r>
        <w:rPr>
          <w:rFonts w:hint="eastAsia"/>
        </w:rPr>
        <w:instrText xml:space="preserve"> </w:instrText>
      </w:r>
      <w:r>
        <w:instrText xml:space="preserve">PAGEREF _Toc183101022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A53E18F">
      <w:pPr>
        <w:pStyle w:val="24"/>
        <w:rPr>
          <w:rFonts w:asciiTheme="minorHAnsi" w:hAnsiTheme="minorHAnsi" w:eastAsiaTheme="minorEastAsia" w:cstheme="minorBidi"/>
          <w:szCs w:val="22"/>
          <w14:ligatures w14:val="standardContextual"/>
        </w:rPr>
      </w:pPr>
      <w:r>
        <w:fldChar w:fldCharType="begin"/>
      </w:r>
      <w:r>
        <w:instrText xml:space="preserve"> HYPERLINK \l "_Toc183101023" </w:instrText>
      </w:r>
      <w:r>
        <w:fldChar w:fldCharType="separate"/>
      </w:r>
      <w:r>
        <w:rPr>
          <w:rStyle w:val="32"/>
          <w:rFonts w:hint="eastAsia"/>
          <w14:scene3d>
            <w14:lightRig w14:rig="threePt" w14:dir="t">
              <w14:rot w14:lat="0" w14:lon="0" w14:rev="0"/>
            </w14:lightRig>
          </w14:scene3d>
        </w:rPr>
        <w:t>7.2</w:t>
      </w:r>
      <w:r>
        <w:rPr>
          <w:rStyle w:val="32"/>
          <w14:scene3d>
            <w14:lightRig w14:rig="threePt" w14:dir="t">
              <w14:rot w14:lat="0" w14:lon="0" w14:rev="0"/>
            </w14:lightRig>
          </w14:scene3d>
        </w:rPr>
        <w:t xml:space="preserve"> </w:t>
      </w:r>
      <w:r>
        <w:rPr>
          <w:rStyle w:val="32"/>
          <w:rFonts w:hint="eastAsia"/>
        </w:rPr>
        <w:t xml:space="preserve"> 包装材料</w:t>
      </w:r>
      <w:r>
        <w:rPr>
          <w:rFonts w:hint="eastAsia"/>
        </w:rPr>
        <w:tab/>
      </w:r>
      <w:r>
        <w:rPr>
          <w:rFonts w:hint="eastAsia"/>
        </w:rPr>
        <w:fldChar w:fldCharType="begin"/>
      </w:r>
      <w:r>
        <w:rPr>
          <w:rFonts w:hint="eastAsia"/>
        </w:rPr>
        <w:instrText xml:space="preserve"> </w:instrText>
      </w:r>
      <w:r>
        <w:instrText xml:space="preserve">PAGEREF _Toc183101023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F00EF6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"_Toc183101024" </w:instrText>
      </w:r>
      <w:r>
        <w:fldChar w:fldCharType="separate"/>
      </w:r>
      <w:r>
        <w:rPr>
          <w:rStyle w:val="32"/>
          <w:rFonts w:hint="eastAsia"/>
        </w:rPr>
        <w:t>8</w:t>
      </w:r>
      <w:r>
        <w:rPr>
          <w:rStyle w:val="32"/>
        </w:rPr>
        <w:t xml:space="preserve"> </w:t>
      </w:r>
      <w:r>
        <w:rPr>
          <w:rStyle w:val="32"/>
          <w:rFonts w:hint="eastAsia"/>
        </w:rPr>
        <w:t xml:space="preserve"> 标识和贮运</w:t>
      </w:r>
      <w:r>
        <w:rPr>
          <w:rFonts w:hint="eastAsia"/>
        </w:rPr>
        <w:tab/>
      </w:r>
      <w:r>
        <w:rPr>
          <w:rFonts w:hint="eastAsia"/>
        </w:rPr>
        <w:fldChar w:fldCharType="begin"/>
      </w:r>
      <w:r>
        <w:rPr>
          <w:rFonts w:hint="eastAsia"/>
        </w:rPr>
        <w:instrText xml:space="preserve"> </w:instrText>
      </w:r>
      <w:r>
        <w:instrText xml:space="preserve">PAGEREF _Toc183101024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1EE4FE9">
      <w:pPr>
        <w:pStyle w:val="24"/>
        <w:rPr>
          <w:rFonts w:asciiTheme="minorHAnsi" w:hAnsiTheme="minorHAnsi" w:eastAsiaTheme="minorEastAsia" w:cstheme="minorBidi"/>
          <w:szCs w:val="22"/>
          <w14:ligatures w14:val="standardContextual"/>
        </w:rPr>
      </w:pPr>
      <w:r>
        <w:fldChar w:fldCharType="begin"/>
      </w:r>
      <w:r>
        <w:instrText xml:space="preserve"> HYPERLINK \l "_Toc183101025" </w:instrText>
      </w:r>
      <w:r>
        <w:fldChar w:fldCharType="separate"/>
      </w:r>
      <w:r>
        <w:rPr>
          <w:rStyle w:val="32"/>
          <w:rFonts w:hint="eastAsia"/>
          <w14:scene3d>
            <w14:lightRig w14:rig="threePt" w14:dir="t">
              <w14:rot w14:lat="0" w14:lon="0" w14:rev="0"/>
            </w14:lightRig>
          </w14:scene3d>
        </w:rPr>
        <w:t>8.1</w:t>
      </w:r>
      <w:r>
        <w:rPr>
          <w:rStyle w:val="32"/>
          <w14:scene3d>
            <w14:lightRig w14:rig="threePt" w14:dir="t">
              <w14:rot w14:lat="0" w14:lon="0" w14:rev="0"/>
            </w14:lightRig>
          </w14:scene3d>
        </w:rPr>
        <w:t xml:space="preserve"> </w:t>
      </w:r>
      <w:r>
        <w:rPr>
          <w:rStyle w:val="32"/>
          <w:rFonts w:hint="eastAsia"/>
        </w:rPr>
        <w:t xml:space="preserve"> 标志、标签</w:t>
      </w:r>
      <w:r>
        <w:rPr>
          <w:rFonts w:hint="eastAsia"/>
        </w:rPr>
        <w:tab/>
      </w:r>
      <w:r>
        <w:rPr>
          <w:rFonts w:hint="eastAsia"/>
        </w:rPr>
        <w:fldChar w:fldCharType="begin"/>
      </w:r>
      <w:r>
        <w:rPr>
          <w:rFonts w:hint="eastAsia"/>
        </w:rPr>
        <w:instrText xml:space="preserve"> </w:instrText>
      </w:r>
      <w:r>
        <w:instrText xml:space="preserve">PAGEREF _Toc183101025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E7C8EA3">
      <w:pPr>
        <w:pStyle w:val="24"/>
        <w:rPr>
          <w:rFonts w:asciiTheme="minorHAnsi" w:hAnsiTheme="minorHAnsi" w:eastAsiaTheme="minorEastAsia" w:cstheme="minorBidi"/>
          <w:szCs w:val="22"/>
          <w14:ligatures w14:val="standardContextual"/>
        </w:rPr>
      </w:pPr>
      <w:r>
        <w:fldChar w:fldCharType="begin"/>
      </w:r>
      <w:r>
        <w:instrText xml:space="preserve"> HYPERLINK \l "_Toc183101026" </w:instrText>
      </w:r>
      <w:r>
        <w:fldChar w:fldCharType="separate"/>
      </w:r>
      <w:r>
        <w:rPr>
          <w:rStyle w:val="32"/>
          <w:rFonts w:hint="eastAsia"/>
          <w14:scene3d>
            <w14:lightRig w14:rig="threePt" w14:dir="t">
              <w14:rot w14:lat="0" w14:lon="0" w14:rev="0"/>
            </w14:lightRig>
          </w14:scene3d>
        </w:rPr>
        <w:t>8.2</w:t>
      </w:r>
      <w:r>
        <w:rPr>
          <w:rStyle w:val="32"/>
          <w14:scene3d>
            <w14:lightRig w14:rig="threePt" w14:dir="t">
              <w14:rot w14:lat="0" w14:lon="0" w14:rev="0"/>
            </w14:lightRig>
          </w14:scene3d>
        </w:rPr>
        <w:t xml:space="preserve"> </w:t>
      </w:r>
      <w:r>
        <w:rPr>
          <w:rStyle w:val="32"/>
          <w:rFonts w:hint="eastAsia"/>
        </w:rPr>
        <w:t xml:space="preserve"> 贮运</w:t>
      </w:r>
      <w:r>
        <w:rPr>
          <w:rFonts w:hint="eastAsia"/>
        </w:rPr>
        <w:tab/>
      </w:r>
      <w:r>
        <w:rPr>
          <w:rFonts w:hint="eastAsia"/>
        </w:rPr>
        <w:fldChar w:fldCharType="begin"/>
      </w:r>
      <w:r>
        <w:rPr>
          <w:rFonts w:hint="eastAsia"/>
        </w:rPr>
        <w:instrText xml:space="preserve"> </w:instrText>
      </w:r>
      <w:r>
        <w:instrText xml:space="preserve">PAGEREF _Toc183101026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964CB29">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137ECEEB">
      <w:pPr>
        <w:pStyle w:val="89"/>
        <w:spacing w:after="468"/>
      </w:pPr>
      <w:bookmarkStart w:id="25" w:name="_Toc183101011"/>
      <w:bookmarkStart w:id="26" w:name="BookMark2"/>
      <w:r>
        <w:rPr>
          <w:spacing w:val="320"/>
        </w:rPr>
        <w:t>前</w:t>
      </w:r>
      <w:r>
        <w:t>言</w:t>
      </w:r>
      <w:bookmarkEnd w:id="22"/>
      <w:bookmarkEnd w:id="23"/>
      <w:bookmarkEnd w:id="24"/>
      <w:bookmarkEnd w:id="25"/>
    </w:p>
    <w:p w14:paraId="0F236049">
      <w:pPr>
        <w:pStyle w:val="56"/>
        <w:ind w:firstLine="420"/>
        <w:rPr>
          <w:rFonts w:hint="eastAsia"/>
        </w:rPr>
      </w:pPr>
      <w:r>
        <w:rPr>
          <w:rFonts w:hint="eastAsia"/>
        </w:rPr>
        <w:t>本文件按照GB/T 1.1—2020《标准化工作导则  第1部分：标准化文件的结构和起草规则》的规定起草。</w:t>
      </w:r>
    </w:p>
    <w:p w14:paraId="48B02A2F">
      <w:pPr>
        <w:pStyle w:val="56"/>
        <w:ind w:firstLine="420"/>
        <w:rPr>
          <w:rFonts w:hint="eastAsia"/>
        </w:rPr>
      </w:pPr>
      <w:r>
        <w:rPr>
          <w:rFonts w:hint="eastAsia"/>
        </w:rPr>
        <w:t>请注意本文件的某些内容有可能涉及专利。本文件的发布机构不承担识别这些专利的责任。</w:t>
      </w:r>
      <w:bookmarkStart w:id="137" w:name="_GoBack"/>
      <w:bookmarkEnd w:id="137"/>
    </w:p>
    <w:p w14:paraId="2107212C">
      <w:pPr>
        <w:pStyle w:val="56"/>
        <w:ind w:firstLine="420"/>
      </w:pPr>
      <w:r>
        <w:rPr>
          <w:rFonts w:hint="eastAsia"/>
        </w:rPr>
        <w:t>本文件由海南省林业局提出并归口。</w:t>
      </w:r>
    </w:p>
    <w:p w14:paraId="240CB0EE">
      <w:pPr>
        <w:pStyle w:val="56"/>
        <w:ind w:firstLine="420"/>
        <w:rPr>
          <w:rFonts w:hint="eastAsia" w:eastAsia="宋体"/>
          <w:lang w:eastAsia="zh-CN"/>
        </w:rPr>
      </w:pPr>
      <w:r>
        <w:rPr>
          <w:rFonts w:hint="eastAsia"/>
        </w:rPr>
        <w:t>本文件起草单位：中国热带农业科学院椰子研究所、</w:t>
      </w:r>
      <w:bookmarkStart w:id="27" w:name="_Hlk170751598"/>
      <w:r>
        <w:rPr>
          <w:rFonts w:hint="eastAsia"/>
        </w:rPr>
        <w:t>文昌东郊天上水椰子厂</w:t>
      </w:r>
      <w:bookmarkEnd w:id="27"/>
      <w:r>
        <w:rPr>
          <w:rFonts w:hint="eastAsia"/>
          <w:lang w:eastAsia="zh-CN"/>
        </w:rPr>
        <w:t>。</w:t>
      </w:r>
    </w:p>
    <w:p w14:paraId="35FBE3B4">
      <w:pPr>
        <w:pStyle w:val="56"/>
        <w:ind w:firstLine="420"/>
        <w:rPr>
          <w:rFonts w:hint="eastAsia" w:eastAsia="宋体"/>
          <w:lang w:eastAsia="zh-CN"/>
        </w:rPr>
      </w:pPr>
      <w:r>
        <w:rPr>
          <w:rFonts w:hint="eastAsia"/>
        </w:rPr>
        <w:t>本文件主要起草人：沈晓君</w:t>
      </w:r>
      <w:bookmarkStart w:id="28" w:name="_Hlk125704953"/>
      <w:r>
        <w:rPr>
          <w:rFonts w:hint="eastAsia"/>
        </w:rPr>
        <w:t>、邓福明、杨耀东、王媛媛、吴翼、刘蕊</w:t>
      </w:r>
      <w:bookmarkEnd w:id="28"/>
      <w:r>
        <w:rPr>
          <w:rFonts w:hint="eastAsia"/>
        </w:rPr>
        <w:t>、符方豹</w:t>
      </w:r>
      <w:r>
        <w:rPr>
          <w:rFonts w:hint="eastAsia"/>
          <w:lang w:eastAsia="zh-CN"/>
        </w:rPr>
        <w:t>。</w:t>
      </w:r>
    </w:p>
    <w:p w14:paraId="755FFB12">
      <w:pPr>
        <w:pStyle w:val="56"/>
        <w:ind w:firstLine="420"/>
      </w:pPr>
    </w:p>
    <w:p w14:paraId="45E0263E">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6"/>
    <w:p w14:paraId="6B79B41E">
      <w:pPr>
        <w:spacing w:line="20" w:lineRule="exact"/>
        <w:jc w:val="center"/>
        <w:rPr>
          <w:rFonts w:ascii="黑体" w:hAnsi="黑体" w:eastAsia="黑体"/>
          <w:sz w:val="32"/>
          <w:szCs w:val="32"/>
        </w:rPr>
      </w:pPr>
      <w:bookmarkStart w:id="29" w:name="BookMark4"/>
    </w:p>
    <w:p w14:paraId="36FFCE6C">
      <w:pPr>
        <w:spacing w:line="20" w:lineRule="exact"/>
        <w:jc w:val="center"/>
        <w:rPr>
          <w:rFonts w:ascii="黑体" w:hAnsi="黑体" w:eastAsia="黑体"/>
          <w:sz w:val="32"/>
          <w:szCs w:val="32"/>
        </w:rPr>
      </w:pPr>
    </w:p>
    <w:sdt>
      <w:sdtPr>
        <w:tag w:val="NEW_STAND_NAME"/>
        <w:id w:val="595910757"/>
        <w:lock w:val="sdtLocked"/>
        <w:placeholder>
          <w:docPart w:val="939E189EA2AF453CBB1BF1585FFE504E"/>
        </w:placeholder>
      </w:sdtPr>
      <w:sdtContent>
        <w:p w14:paraId="0E9ED1E4">
          <w:pPr>
            <w:pStyle w:val="177"/>
            <w:spacing w:before="3" w:beforeLines="1" w:after="686" w:afterLines="220"/>
          </w:pPr>
          <w:bookmarkStart w:id="30" w:name="NEW_STAND_NAME"/>
          <w:r>
            <w:rPr>
              <w:rFonts w:hint="eastAsia"/>
            </w:rPr>
            <w:t>鲜食椰子等级规格</w:t>
          </w:r>
        </w:p>
      </w:sdtContent>
    </w:sdt>
    <w:bookmarkEnd w:id="30"/>
    <w:p w14:paraId="7DE6C455">
      <w:pPr>
        <w:pStyle w:val="104"/>
        <w:spacing w:before="312" w:after="312"/>
      </w:pPr>
      <w:bookmarkStart w:id="31" w:name="_Toc26718930"/>
      <w:bookmarkStart w:id="32" w:name="_Toc183099837"/>
      <w:bookmarkStart w:id="33" w:name="_Toc183100978"/>
      <w:bookmarkStart w:id="34" w:name="_Toc183101003"/>
      <w:bookmarkStart w:id="35" w:name="_Toc26648465"/>
      <w:bookmarkStart w:id="36" w:name="_Toc17233333"/>
      <w:bookmarkStart w:id="37" w:name="_Toc26986530"/>
      <w:bookmarkStart w:id="38" w:name="_Toc17233325"/>
      <w:bookmarkStart w:id="39" w:name="_Toc24884218"/>
      <w:bookmarkStart w:id="40" w:name="_Toc26986771"/>
      <w:bookmarkStart w:id="41" w:name="_Toc24884211"/>
      <w:bookmarkStart w:id="42" w:name="_Toc183101012"/>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14:paraId="5EA59E36">
      <w:pPr>
        <w:pStyle w:val="56"/>
        <w:ind w:firstLine="420"/>
      </w:pPr>
      <w:bookmarkStart w:id="43" w:name="_Toc24884212"/>
      <w:bookmarkStart w:id="44" w:name="_Toc17233334"/>
      <w:bookmarkStart w:id="45" w:name="_Toc26648466"/>
      <w:bookmarkStart w:id="46" w:name="_Toc17233326"/>
      <w:bookmarkStart w:id="47" w:name="_Toc24884219"/>
      <w:r>
        <w:rPr>
          <w:rFonts w:hint="eastAsia"/>
        </w:rPr>
        <w:t>本文件规定了鲜食椰子等级规格要求、检验方法、检验规则、包装、标识和贮运。</w:t>
      </w:r>
    </w:p>
    <w:p w14:paraId="76DE2F0D">
      <w:pPr>
        <w:pStyle w:val="56"/>
        <w:ind w:firstLine="420"/>
      </w:pPr>
      <w:bookmarkStart w:id="48" w:name="_Hlk125758772"/>
      <w:r>
        <w:rPr>
          <w:rFonts w:hint="eastAsia"/>
        </w:rPr>
        <w:t>本文件仅适用于供鲜食用的椰子果</w:t>
      </w:r>
      <w:bookmarkEnd w:id="48"/>
      <w:r>
        <w:rPr>
          <w:rFonts w:hint="eastAsia"/>
        </w:rPr>
        <w:t>。</w:t>
      </w:r>
    </w:p>
    <w:p w14:paraId="39C04B5C">
      <w:pPr>
        <w:pStyle w:val="104"/>
        <w:spacing w:before="312" w:after="312"/>
      </w:pPr>
      <w:bookmarkStart w:id="49" w:name="_Toc183101004"/>
      <w:bookmarkStart w:id="50" w:name="_Toc183100979"/>
      <w:bookmarkStart w:id="51" w:name="_Toc183101013"/>
      <w:bookmarkStart w:id="52" w:name="_Toc183099838"/>
      <w:bookmarkStart w:id="53" w:name="_Toc26986772"/>
      <w:bookmarkStart w:id="54" w:name="_Toc26986531"/>
      <w:bookmarkStart w:id="55" w:name="_Toc26718931"/>
      <w:r>
        <w:rPr>
          <w:rFonts w:hint="eastAsia"/>
        </w:rPr>
        <w:t>规范性引用文件</w:t>
      </w:r>
      <w:bookmarkEnd w:id="43"/>
      <w:bookmarkEnd w:id="44"/>
      <w:bookmarkEnd w:id="45"/>
      <w:bookmarkEnd w:id="46"/>
      <w:bookmarkEnd w:id="47"/>
      <w:bookmarkEnd w:id="49"/>
      <w:bookmarkEnd w:id="50"/>
      <w:bookmarkEnd w:id="51"/>
      <w:bookmarkEnd w:id="52"/>
      <w:bookmarkEnd w:id="53"/>
      <w:bookmarkEnd w:id="54"/>
      <w:bookmarkEnd w:id="55"/>
    </w:p>
    <w:sdt>
      <w:sdtPr>
        <w:rPr>
          <w:rFonts w:hint="eastAsia"/>
        </w:rPr>
        <w:id w:val="715848253"/>
        <w:placeholder>
          <w:docPart w:val="8830D78A9CA14B3CB36D23D4F076C3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117E12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6B16CD2">
      <w:pPr>
        <w:pStyle w:val="56"/>
        <w:ind w:firstLine="420"/>
      </w:pPr>
      <w:bookmarkStart w:id="56" w:name="_Hlk125835270"/>
      <w:r>
        <w:rPr>
          <w:rFonts w:hint="eastAsia"/>
        </w:rPr>
        <w:t>G</w:t>
      </w:r>
      <w:r>
        <w:t xml:space="preserve">B/T 8855 </w:t>
      </w:r>
      <w:r>
        <w:rPr>
          <w:rFonts w:hint="eastAsia"/>
        </w:rPr>
        <w:t>新鲜水果和蔬菜 取样方法</w:t>
      </w:r>
    </w:p>
    <w:p w14:paraId="7CCED57F">
      <w:pPr>
        <w:pStyle w:val="56"/>
        <w:ind w:firstLine="420"/>
      </w:pPr>
      <w:r>
        <w:rPr>
          <w:rFonts w:hint="eastAsia"/>
        </w:rPr>
        <w:t>N</w:t>
      </w:r>
      <w:r>
        <w:t xml:space="preserve">Y/T 1441-2007 </w:t>
      </w:r>
      <w:r>
        <w:rPr>
          <w:rFonts w:hint="eastAsia"/>
        </w:rPr>
        <w:t>椰子产品 椰青</w:t>
      </w:r>
    </w:p>
    <w:p w14:paraId="49AFDD19">
      <w:pPr>
        <w:pStyle w:val="56"/>
        <w:ind w:firstLine="420"/>
      </w:pPr>
      <w:r>
        <w:rPr>
          <w:rFonts w:hint="eastAsia"/>
        </w:rPr>
        <w:t>N</w:t>
      </w:r>
      <w:r>
        <w:t xml:space="preserve">Y/T 2113-2012 </w:t>
      </w:r>
      <w:r>
        <w:rPr>
          <w:rFonts w:hint="eastAsia"/>
        </w:rPr>
        <w:t>农产品等级规格标准编写通则</w:t>
      </w:r>
    </w:p>
    <w:p w14:paraId="2C24D7F4">
      <w:pPr>
        <w:pStyle w:val="56"/>
        <w:ind w:firstLine="420"/>
      </w:pPr>
      <w:r>
        <w:rPr>
          <w:rFonts w:hint="eastAsia"/>
        </w:rPr>
        <w:t>N</w:t>
      </w:r>
      <w:r>
        <w:t xml:space="preserve">Y/T 2714-2015 </w:t>
      </w:r>
      <w:r>
        <w:rPr>
          <w:rFonts w:hint="eastAsia"/>
        </w:rPr>
        <w:t>农产品等级规格评定技术规范 通则</w:t>
      </w:r>
    </w:p>
    <w:p w14:paraId="2933F374">
      <w:pPr>
        <w:pStyle w:val="56"/>
        <w:ind w:firstLine="420"/>
      </w:pPr>
      <w:r>
        <w:rPr>
          <w:rFonts w:hint="eastAsia"/>
        </w:rPr>
        <w:t>T/</w:t>
      </w:r>
      <w:r>
        <w:t>HNCA 001</w:t>
      </w:r>
      <w:r>
        <w:rPr>
          <w:rFonts w:hint="eastAsia"/>
        </w:rPr>
        <w:t>-</w:t>
      </w:r>
      <w:r>
        <w:t xml:space="preserve">2022 </w:t>
      </w:r>
      <w:r>
        <w:rPr>
          <w:rFonts w:hint="eastAsia"/>
        </w:rPr>
        <w:t>“文昌椰子”地理标志产品 椰子果</w:t>
      </w:r>
    </w:p>
    <w:p w14:paraId="615419BF">
      <w:pPr>
        <w:pStyle w:val="56"/>
        <w:ind w:firstLine="420"/>
      </w:pPr>
      <w:r>
        <w:t>Thai Agricultural Standard TAS 15-2007</w:t>
      </w:r>
      <w:r>
        <w:rPr>
          <w:rFonts w:hint="eastAsia"/>
        </w:rPr>
        <w:t xml:space="preserve"> </w:t>
      </w:r>
      <w:r>
        <w:t>Aromatic coconut.</w:t>
      </w:r>
    </w:p>
    <w:p w14:paraId="1B32026F">
      <w:pPr>
        <w:pStyle w:val="56"/>
        <w:ind w:firstLine="420"/>
      </w:pPr>
      <w:r>
        <w:rPr>
          <w:rFonts w:hint="eastAsia"/>
        </w:rPr>
        <w:t>P</w:t>
      </w:r>
      <w:r>
        <w:t>NS/BAFPS 65:2008 ICS 67.080.10 F</w:t>
      </w:r>
      <w:r>
        <w:rPr>
          <w:rFonts w:hint="eastAsia"/>
        </w:rPr>
        <w:t>resh</w:t>
      </w:r>
      <w:r>
        <w:t xml:space="preserve"> tender coconut or ‘Buko’</w:t>
      </w:r>
    </w:p>
    <w:p w14:paraId="71FD7781">
      <w:pPr>
        <w:pStyle w:val="56"/>
        <w:ind w:firstLine="420"/>
      </w:pPr>
      <w:r>
        <w:rPr>
          <w:rFonts w:hint="eastAsia"/>
        </w:rPr>
        <w:t>A</w:t>
      </w:r>
      <w:r>
        <w:t>SEAN S</w:t>
      </w:r>
      <w:r>
        <w:rPr>
          <w:rFonts w:hint="eastAsia"/>
        </w:rPr>
        <w:t>tan</w:t>
      </w:r>
      <w:r>
        <w:t xml:space="preserve"> 15:2009 Asean standard for young coconut</w:t>
      </w:r>
    </w:p>
    <w:bookmarkEnd w:id="56"/>
    <w:p w14:paraId="1C7D761F">
      <w:pPr>
        <w:pStyle w:val="104"/>
        <w:spacing w:before="312" w:after="312"/>
      </w:pPr>
      <w:bookmarkStart w:id="57" w:name="_Toc183099839"/>
      <w:bookmarkStart w:id="58" w:name="_Toc183100980"/>
      <w:bookmarkStart w:id="59" w:name="_Toc183101005"/>
      <w:bookmarkStart w:id="60" w:name="_Toc183101014"/>
      <w:r>
        <w:rPr>
          <w:rFonts w:hint="eastAsia"/>
          <w:szCs w:val="21"/>
        </w:rPr>
        <w:t>术语和定义</w:t>
      </w:r>
      <w:bookmarkEnd w:id="57"/>
      <w:bookmarkEnd w:id="58"/>
      <w:bookmarkEnd w:id="59"/>
      <w:bookmarkEnd w:id="60"/>
    </w:p>
    <w:sdt>
      <w:sdtPr>
        <w:id w:val="-1909835108"/>
        <w:placeholder>
          <w:docPart w:val="31D6B4D7CE7443E19435A374A52092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4294BDF">
          <w:pPr>
            <w:pStyle w:val="56"/>
            <w:ind w:firstLine="420"/>
          </w:pPr>
          <w:bookmarkStart w:id="61" w:name="_Toc26986532"/>
          <w:bookmarkEnd w:id="61"/>
          <w:r>
            <w:t>下列术语和定义适用于本文件。</w:t>
          </w:r>
        </w:p>
      </w:sdtContent>
    </w:sdt>
    <w:p w14:paraId="0F505DDE">
      <w:pPr>
        <w:pStyle w:val="105"/>
        <w:spacing w:before="156" w:after="156"/>
      </w:pPr>
      <w:r>
        <w:br w:type="textWrapping"/>
      </w:r>
      <w:r>
        <w:rPr>
          <w:rFonts w:hint="eastAsia"/>
        </w:rPr>
        <w:t xml:space="preserve">    鲜食椰子 </w:t>
      </w:r>
      <w:r>
        <w:t xml:space="preserve"> fresh coconut</w:t>
      </w:r>
    </w:p>
    <w:p w14:paraId="294F986C">
      <w:pPr>
        <w:pStyle w:val="56"/>
        <w:ind w:firstLine="420"/>
      </w:pPr>
      <w:r>
        <w:rPr>
          <w:rFonts w:hint="eastAsia"/>
        </w:rPr>
        <w:t>指供鲜食用的椰子果，包括鲜食椰子整果、圆锥形椰青和去壳椰子。</w:t>
      </w:r>
    </w:p>
    <w:p w14:paraId="11E14159">
      <w:pPr>
        <w:pStyle w:val="105"/>
        <w:spacing w:before="156" w:after="156"/>
      </w:pPr>
      <w:r>
        <w:br w:type="textWrapping"/>
      </w:r>
      <w:r>
        <w:rPr>
          <w:rFonts w:hint="eastAsia"/>
        </w:rPr>
        <w:t xml:space="preserve">    鲜食椰子整果 </w:t>
      </w:r>
      <w:r>
        <w:t xml:space="preserve"> </w:t>
      </w:r>
      <w:r>
        <w:rPr>
          <w:rFonts w:hint="eastAsia"/>
        </w:rPr>
        <w:t>fresh</w:t>
      </w:r>
      <w:r>
        <w:t xml:space="preserve"> whole tender coconut</w:t>
      </w:r>
    </w:p>
    <w:p w14:paraId="7AEC78F8">
      <w:pPr>
        <w:pStyle w:val="56"/>
        <w:ind w:firstLine="420"/>
      </w:pPr>
      <w:r>
        <w:rPr>
          <w:rFonts w:hint="eastAsia"/>
        </w:rPr>
        <w:t>未经过切削等处理，果蒂和果皮完整的供鲜食的嫩椰子果，又称带皮椰子，根据果皮颜色不同又分为带皮青椰和带皮黄椰等。</w:t>
      </w:r>
    </w:p>
    <w:p w14:paraId="6B0B159E">
      <w:pPr>
        <w:pStyle w:val="105"/>
        <w:spacing w:before="156" w:after="156"/>
      </w:pPr>
      <w:r>
        <w:br w:type="textWrapping"/>
      </w:r>
      <w:r>
        <w:rPr>
          <w:rFonts w:hint="eastAsia"/>
        </w:rPr>
        <w:t xml:space="preserve">    圆锥形椰青 </w:t>
      </w:r>
      <w:r>
        <w:t xml:space="preserve"> coniform tender coconut</w:t>
      </w:r>
    </w:p>
    <w:p w14:paraId="04195CE4">
      <w:pPr>
        <w:pStyle w:val="56"/>
        <w:ind w:firstLine="420"/>
      </w:pPr>
      <w:r>
        <w:rPr>
          <w:rFonts w:hint="eastAsia"/>
        </w:rPr>
        <w:t>引用</w:t>
      </w:r>
      <w:bookmarkStart w:id="62" w:name="OLE_LINK4"/>
      <w:r>
        <w:rPr>
          <w:rFonts w:hint="eastAsia"/>
        </w:rPr>
        <w:t>N</w:t>
      </w:r>
      <w:r>
        <w:t>Y/T 1441-2007</w:t>
      </w:r>
      <w:r>
        <w:rPr>
          <w:rFonts w:hint="eastAsia"/>
        </w:rPr>
        <w:t>中对于圆锥形椰青的定义。圆锥形椰青又分为见皮椰青和无皮椰青</w:t>
      </w:r>
      <w:bookmarkEnd w:id="62"/>
      <w:r>
        <w:rPr>
          <w:rFonts w:hint="eastAsia"/>
        </w:rPr>
        <w:t>，见皮椰青未对果实中部进行切削,无皮椰青对果实中部经过全部或者部分切削。</w:t>
      </w:r>
    </w:p>
    <w:p w14:paraId="56A1899F">
      <w:pPr>
        <w:pStyle w:val="105"/>
        <w:spacing w:before="156" w:after="156"/>
      </w:pPr>
      <w:r>
        <w:br w:type="textWrapping"/>
      </w:r>
      <w:r>
        <w:rPr>
          <w:rFonts w:hint="eastAsia"/>
        </w:rPr>
        <w:t xml:space="preserve">    去壳椰子 </w:t>
      </w:r>
      <w:r>
        <w:t xml:space="preserve"> dehusked coconut</w:t>
      </w:r>
    </w:p>
    <w:p w14:paraId="04456E08">
      <w:pPr>
        <w:pStyle w:val="56"/>
        <w:ind w:firstLine="420"/>
      </w:pPr>
      <w:r>
        <w:rPr>
          <w:rFonts w:hint="eastAsia"/>
        </w:rPr>
        <w:t>除去全部椰子外衣，经过保鲜处理生产的椰子产品。以嫩椰子果为原料未经过打磨处理生产的产品称白毛椰，经过打磨处理的产品称椰白。以老椰子果为原料未经过打磨处理生产的产品称老毛椰，经过打磨抛光处理的产品称椰皇。</w:t>
      </w:r>
    </w:p>
    <w:p w14:paraId="7CB165CC">
      <w:pPr>
        <w:pStyle w:val="105"/>
        <w:spacing w:before="156" w:after="156"/>
      </w:pPr>
      <w:r>
        <w:br w:type="textWrapping"/>
      </w:r>
      <w:r>
        <w:rPr>
          <w:rFonts w:hint="eastAsia"/>
        </w:rPr>
        <w:t xml:space="preserve">    果形 </w:t>
      </w:r>
      <w:r>
        <w:t xml:space="preserve"> </w:t>
      </w:r>
      <w:r>
        <w:rPr>
          <w:rFonts w:hint="eastAsia"/>
        </w:rPr>
        <w:t>fruit</w:t>
      </w:r>
      <w:r>
        <w:t xml:space="preserve"> </w:t>
      </w:r>
      <w:r>
        <w:rPr>
          <w:rFonts w:hint="eastAsia"/>
        </w:rPr>
        <w:t>shape</w:t>
      </w:r>
    </w:p>
    <w:p w14:paraId="7F708DD6">
      <w:pPr>
        <w:pStyle w:val="56"/>
        <w:ind w:firstLine="420"/>
      </w:pPr>
      <w:r>
        <w:rPr>
          <w:rFonts w:hint="eastAsia"/>
        </w:rPr>
        <w:t>果实的外观形状。根据N</w:t>
      </w:r>
      <w:r>
        <w:t>Y/T 1810</w:t>
      </w:r>
      <w:r>
        <w:rPr>
          <w:rFonts w:hint="eastAsia"/>
        </w:rPr>
        <w:t>-</w:t>
      </w:r>
      <w:r>
        <w:t>2009</w:t>
      </w:r>
      <w:r>
        <w:rPr>
          <w:rFonts w:hint="eastAsia"/>
        </w:rPr>
        <w:t>中对于果形的分类，分为长圆形、卵圆形、菱角形、圆形和其他。</w:t>
      </w:r>
    </w:p>
    <w:p w14:paraId="3C7B9C71">
      <w:pPr>
        <w:pStyle w:val="105"/>
        <w:spacing w:before="156" w:after="156"/>
      </w:pPr>
      <w:r>
        <w:rPr>
          <w:color w:val="000000"/>
          <w:highlight w:val="lightGray"/>
          <w14:scene3d>
            <w14:lightRig w14:rig="threePt" w14:dir="t">
              <w14:rot w14:lat="0" w14:lon="0" w14:rev="0"/>
            </w14:lightRig>
          </w14:scene3d>
        </w:rPr>
        <w:br w:type="textWrapping"/>
      </w:r>
      <w:r>
        <w:rPr>
          <w:rFonts w:hint="eastAsia"/>
        </w:rPr>
        <w:t xml:space="preserve">    畸形果 </w:t>
      </w:r>
      <w:r>
        <w:t xml:space="preserve"> </w:t>
      </w:r>
      <w:r>
        <w:rPr>
          <w:rFonts w:hint="eastAsia"/>
        </w:rPr>
        <w:t>deformity</w:t>
      </w:r>
      <w:r>
        <w:t xml:space="preserve"> fruit</w:t>
      </w:r>
    </w:p>
    <w:p w14:paraId="0796C5D8">
      <w:pPr>
        <w:pStyle w:val="56"/>
        <w:ind w:firstLine="420"/>
      </w:pPr>
      <w:r>
        <w:rPr>
          <w:rFonts w:hint="eastAsia"/>
        </w:rPr>
        <w:t>引用</w:t>
      </w:r>
      <w:r>
        <w:t>NY/T 490</w:t>
      </w:r>
      <w:r>
        <w:rPr>
          <w:rFonts w:hint="eastAsia"/>
        </w:rPr>
        <w:t>-</w:t>
      </w:r>
      <w:r>
        <w:t>2002</w:t>
      </w:r>
      <w:r>
        <w:rPr>
          <w:rFonts w:hint="eastAsia"/>
        </w:rPr>
        <w:t>中对于畸形果的定义。</w:t>
      </w:r>
    </w:p>
    <w:p w14:paraId="7194C3E6">
      <w:pPr>
        <w:pStyle w:val="105"/>
        <w:spacing w:before="156" w:after="156"/>
      </w:pPr>
      <w:r>
        <w:br w:type="textWrapping"/>
      </w:r>
      <w:r>
        <w:rPr>
          <w:rFonts w:hint="eastAsia"/>
        </w:rPr>
        <w:t xml:space="preserve">    腐烂果 </w:t>
      </w:r>
      <w:r>
        <w:t xml:space="preserve"> </w:t>
      </w:r>
      <w:r>
        <w:rPr>
          <w:rFonts w:hint="eastAsia"/>
        </w:rPr>
        <w:t>rotten</w:t>
      </w:r>
      <w:r>
        <w:t xml:space="preserve"> fruit</w:t>
      </w:r>
    </w:p>
    <w:p w14:paraId="0B232DFD">
      <w:pPr>
        <w:pStyle w:val="56"/>
        <w:ind w:firstLine="420"/>
      </w:pPr>
      <w:r>
        <w:rPr>
          <w:rFonts w:hint="eastAsia"/>
        </w:rPr>
        <w:t>对于鲜食椰子整果来说，指果蒂（或果皮）已经软化腐烂或有腐烂霉变迹象的果实。对于椰青来说，指果实外部已经霉变的果实。</w:t>
      </w:r>
    </w:p>
    <w:p w14:paraId="5114B674">
      <w:pPr>
        <w:pStyle w:val="105"/>
        <w:spacing w:before="156" w:after="156"/>
      </w:pPr>
      <w:r>
        <w:br w:type="textWrapping"/>
      </w:r>
      <w:r>
        <w:rPr>
          <w:rFonts w:hint="eastAsia"/>
        </w:rPr>
        <w:t xml:space="preserve">    空果 </w:t>
      </w:r>
      <w:r>
        <w:t xml:space="preserve"> </w:t>
      </w:r>
      <w:r>
        <w:rPr>
          <w:rFonts w:hint="eastAsia"/>
        </w:rPr>
        <w:t>inane</w:t>
      </w:r>
      <w:r>
        <w:t xml:space="preserve"> </w:t>
      </w:r>
      <w:r>
        <w:rPr>
          <w:rFonts w:hint="eastAsia"/>
        </w:rPr>
        <w:t>fruit</w:t>
      </w:r>
    </w:p>
    <w:p w14:paraId="57C09541">
      <w:pPr>
        <w:pStyle w:val="56"/>
        <w:ind w:firstLine="420"/>
      </w:pPr>
      <w:r>
        <w:rPr>
          <w:rFonts w:hint="eastAsia"/>
        </w:rPr>
        <w:t>引用</w:t>
      </w:r>
      <w:r>
        <w:t>NY/T 490</w:t>
      </w:r>
      <w:r>
        <w:rPr>
          <w:rFonts w:hint="eastAsia"/>
        </w:rPr>
        <w:t>-</w:t>
      </w:r>
      <w:r>
        <w:t>2002</w:t>
      </w:r>
      <w:r>
        <w:rPr>
          <w:rFonts w:hint="eastAsia"/>
        </w:rPr>
        <w:t>中对于空果的定义。</w:t>
      </w:r>
    </w:p>
    <w:p w14:paraId="265064A0">
      <w:pPr>
        <w:pStyle w:val="105"/>
        <w:spacing w:before="156" w:after="156"/>
      </w:pPr>
      <w:r>
        <w:br w:type="textWrapping"/>
      </w:r>
      <w:r>
        <w:rPr>
          <w:rFonts w:hint="eastAsia"/>
        </w:rPr>
        <w:t xml:space="preserve">    裂果 </w:t>
      </w:r>
      <w:r>
        <w:t xml:space="preserve"> </w:t>
      </w:r>
      <w:r>
        <w:rPr>
          <w:rFonts w:hint="eastAsia"/>
        </w:rPr>
        <w:t>dehiscent</w:t>
      </w:r>
      <w:r>
        <w:t xml:space="preserve"> fruit</w:t>
      </w:r>
    </w:p>
    <w:p w14:paraId="3F02B2A5">
      <w:pPr>
        <w:pStyle w:val="56"/>
        <w:ind w:firstLine="420"/>
      </w:pPr>
      <w:r>
        <w:rPr>
          <w:rFonts w:hint="eastAsia"/>
        </w:rPr>
        <w:t>引用</w:t>
      </w:r>
      <w:r>
        <w:t>NY/T 490</w:t>
      </w:r>
      <w:r>
        <w:rPr>
          <w:rFonts w:hint="eastAsia"/>
        </w:rPr>
        <w:t>-</w:t>
      </w:r>
      <w:r>
        <w:t>2002</w:t>
      </w:r>
      <w:r>
        <w:rPr>
          <w:rFonts w:hint="eastAsia"/>
        </w:rPr>
        <w:t>中对于裂果的定义。</w:t>
      </w:r>
    </w:p>
    <w:p w14:paraId="6BF2F936">
      <w:pPr>
        <w:pStyle w:val="105"/>
        <w:spacing w:before="156" w:after="156"/>
      </w:pPr>
      <w:r>
        <w:br w:type="textWrapping"/>
      </w:r>
      <w:r>
        <w:rPr>
          <w:rFonts w:hint="eastAsia"/>
        </w:rPr>
        <w:t xml:space="preserve">    外观缺陷果</w:t>
      </w:r>
    </w:p>
    <w:p w14:paraId="09DF2F15">
      <w:pPr>
        <w:pStyle w:val="56"/>
        <w:ind w:firstLine="420"/>
      </w:pPr>
      <w:r>
        <w:rPr>
          <w:rFonts w:hint="eastAsia"/>
        </w:rPr>
        <w:t>受自然或灾害性气候条件、动物或病虫危害、采摘、运输等因素影响，外观上有果锈、划痕、裂缝、病虫斑等缺陷的椰子果。</w:t>
      </w:r>
    </w:p>
    <w:p w14:paraId="1677031E">
      <w:pPr>
        <w:pStyle w:val="105"/>
        <w:spacing w:before="156" w:after="156"/>
      </w:pPr>
      <w:r>
        <w:br w:type="textWrapping"/>
      </w:r>
      <w:r>
        <w:rPr>
          <w:rFonts w:hint="eastAsia"/>
        </w:rPr>
        <w:t xml:space="preserve">    风味</w:t>
      </w:r>
    </w:p>
    <w:p w14:paraId="40DB85B7">
      <w:pPr>
        <w:pStyle w:val="56"/>
        <w:ind w:firstLine="420"/>
      </w:pPr>
      <w:r>
        <w:rPr>
          <w:rFonts w:hint="eastAsia"/>
        </w:rPr>
        <w:t>果实可食部分具有鲜食椰子果实固有的滋味与气味，无酸败或其他异味。</w:t>
      </w:r>
    </w:p>
    <w:p w14:paraId="2C25B037">
      <w:pPr>
        <w:pStyle w:val="104"/>
        <w:spacing w:before="312" w:after="312"/>
      </w:pPr>
      <w:bookmarkStart w:id="63" w:name="_Toc183099840"/>
      <w:bookmarkStart w:id="64" w:name="_Toc183100981"/>
      <w:bookmarkStart w:id="65" w:name="_Toc183101006"/>
      <w:bookmarkStart w:id="66" w:name="_Toc183101015"/>
      <w:r>
        <w:rPr>
          <w:rFonts w:hint="eastAsia"/>
        </w:rPr>
        <w:t>要求</w:t>
      </w:r>
      <w:bookmarkEnd w:id="63"/>
      <w:bookmarkEnd w:id="64"/>
      <w:bookmarkEnd w:id="65"/>
      <w:bookmarkEnd w:id="66"/>
    </w:p>
    <w:p w14:paraId="4F9552B3">
      <w:pPr>
        <w:pStyle w:val="105"/>
        <w:spacing w:before="156" w:after="156"/>
      </w:pPr>
      <w:bookmarkStart w:id="67" w:name="_Toc183100982"/>
      <w:bookmarkStart w:id="68" w:name="_Toc183101016"/>
      <w:bookmarkStart w:id="69" w:name="_Toc183099841"/>
      <w:r>
        <w:rPr>
          <w:rFonts w:hint="eastAsia"/>
        </w:rPr>
        <w:t>等级</w:t>
      </w:r>
      <w:bookmarkEnd w:id="67"/>
      <w:bookmarkEnd w:id="68"/>
      <w:bookmarkEnd w:id="69"/>
    </w:p>
    <w:p w14:paraId="536B664F">
      <w:pPr>
        <w:pStyle w:val="65"/>
        <w:spacing w:before="156" w:after="156"/>
      </w:pPr>
      <w:bookmarkStart w:id="70" w:name="_Toc183099842"/>
      <w:bookmarkStart w:id="71" w:name="_Toc183100983"/>
      <w:r>
        <w:rPr>
          <w:rFonts w:hint="eastAsia"/>
        </w:rPr>
        <w:t>基本要求</w:t>
      </w:r>
      <w:bookmarkEnd w:id="70"/>
      <w:bookmarkEnd w:id="71"/>
    </w:p>
    <w:p w14:paraId="6FB6A07C">
      <w:pPr>
        <w:pStyle w:val="56"/>
        <w:ind w:firstLine="420"/>
      </w:pPr>
      <w:r>
        <w:rPr>
          <w:rFonts w:hint="eastAsia"/>
        </w:rPr>
        <w:t>所有级别的鲜食椰子，除各个级别的特殊要求和容许度范围外，应符合下列条件，产品必须耐贮运，能够完好的到达目的地。</w:t>
      </w:r>
    </w:p>
    <w:p w14:paraId="38B3E455">
      <w:pPr>
        <w:pStyle w:val="174"/>
      </w:pPr>
      <w:bookmarkStart w:id="72" w:name="_Hlk125814089"/>
      <w:r>
        <w:rPr>
          <w:rFonts w:hint="eastAsia"/>
        </w:rPr>
        <w:t>仅供鲜食用；</w:t>
      </w:r>
    </w:p>
    <w:p w14:paraId="3BAE0027">
      <w:pPr>
        <w:pStyle w:val="174"/>
      </w:pPr>
      <w:r>
        <w:rPr>
          <w:rFonts w:hint="eastAsia"/>
        </w:rPr>
        <w:t>果形正常，</w:t>
      </w:r>
      <w:bookmarkStart w:id="73" w:name="_Hlk170575441"/>
      <w:r>
        <w:rPr>
          <w:rFonts w:hint="eastAsia"/>
        </w:rPr>
        <w:t>鲜食椰子整果为长圆形、卵圆形、菱角形、圆形和其他正常果形，无畸形果；圆锥形椰青和去壳椰子应具有其特有的果形</w:t>
      </w:r>
      <w:bookmarkEnd w:id="73"/>
      <w:r>
        <w:rPr>
          <w:rFonts w:hint="eastAsia"/>
        </w:rPr>
        <w:t>；</w:t>
      </w:r>
    </w:p>
    <w:p w14:paraId="5AF2173D">
      <w:pPr>
        <w:pStyle w:val="174"/>
      </w:pPr>
      <w:r>
        <w:rPr>
          <w:rFonts w:hint="eastAsia"/>
        </w:rPr>
        <w:t>无腐烂果、</w:t>
      </w:r>
      <w:bookmarkStart w:id="74" w:name="_Hlk170575458"/>
      <w:r>
        <w:rPr>
          <w:rFonts w:hint="eastAsia"/>
        </w:rPr>
        <w:t>空果和裂果</w:t>
      </w:r>
      <w:bookmarkEnd w:id="74"/>
      <w:r>
        <w:rPr>
          <w:rFonts w:hint="eastAsia"/>
        </w:rPr>
        <w:t>；</w:t>
      </w:r>
    </w:p>
    <w:p w14:paraId="5FCE8E3C">
      <w:pPr>
        <w:pStyle w:val="174"/>
      </w:pPr>
      <w:bookmarkStart w:id="75" w:name="_Hlk170575471"/>
      <w:r>
        <w:rPr>
          <w:rFonts w:hint="eastAsia"/>
        </w:rPr>
        <w:t>可食用部分风味正常，无异味</w:t>
      </w:r>
      <w:bookmarkEnd w:id="75"/>
      <w:r>
        <w:rPr>
          <w:rFonts w:hint="eastAsia"/>
        </w:rPr>
        <w:t>；</w:t>
      </w:r>
    </w:p>
    <w:p w14:paraId="2B15C3C3">
      <w:pPr>
        <w:pStyle w:val="174"/>
      </w:pPr>
      <w:bookmarkStart w:id="76" w:name="_Hlk170575498"/>
      <w:r>
        <w:rPr>
          <w:rFonts w:hint="eastAsia"/>
        </w:rPr>
        <w:t>表面没有肉眼可见的杂质，没有异常的外部水分，没有低温或者高温引起的伤害</w:t>
      </w:r>
      <w:bookmarkEnd w:id="76"/>
      <w:r>
        <w:rPr>
          <w:rFonts w:hint="eastAsia"/>
        </w:rPr>
        <w:t>；</w:t>
      </w:r>
    </w:p>
    <w:p w14:paraId="4FA29ADE">
      <w:pPr>
        <w:pStyle w:val="174"/>
      </w:pPr>
      <w:r>
        <w:rPr>
          <w:rFonts w:hint="eastAsia"/>
        </w:rPr>
        <w:t>对于鲜食椰子整果来说，萼片必须是完整的。</w:t>
      </w:r>
    </w:p>
    <w:bookmarkEnd w:id="72"/>
    <w:p w14:paraId="2E37EA3A">
      <w:pPr>
        <w:pStyle w:val="65"/>
        <w:spacing w:before="156" w:after="156"/>
      </w:pPr>
      <w:bookmarkStart w:id="77" w:name="_Toc183100984"/>
      <w:bookmarkStart w:id="78" w:name="_Toc183099843"/>
      <w:r>
        <w:rPr>
          <w:rFonts w:hint="eastAsia"/>
        </w:rPr>
        <w:t>等级划分</w:t>
      </w:r>
      <w:bookmarkEnd w:id="77"/>
      <w:bookmarkEnd w:id="78"/>
    </w:p>
    <w:p w14:paraId="056F86F3">
      <w:pPr>
        <w:pStyle w:val="56"/>
        <w:ind w:firstLine="420"/>
      </w:pPr>
      <w:r>
        <w:rPr>
          <w:rFonts w:hint="eastAsia"/>
        </w:rPr>
        <w:t>在符合基本要求的前提下，鲜食椰子可划分为特级、一级和二级，各等级须符合表1的规定：</w:t>
      </w:r>
    </w:p>
    <w:p w14:paraId="4EE8EB0F">
      <w:pPr>
        <w:pStyle w:val="112"/>
        <w:spacing w:before="156" w:after="156"/>
      </w:pPr>
      <w:r>
        <w:rPr>
          <w:rFonts w:hint="eastAsia"/>
        </w:rPr>
        <w:t>等级指标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6946"/>
        <w:gridCol w:w="1831"/>
      </w:tblGrid>
      <w:tr w14:paraId="1BC7E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shd w:val="clear" w:color="auto" w:fill="auto"/>
            <w:vAlign w:val="center"/>
          </w:tcPr>
          <w:p w14:paraId="0894BE87">
            <w:pPr>
              <w:pStyle w:val="178"/>
            </w:pPr>
            <w:bookmarkStart w:id="79" w:name="_Hlk125812899"/>
            <w:r>
              <w:rPr>
                <w:rFonts w:hint="eastAsia"/>
              </w:rPr>
              <w:t>等级</w:t>
            </w:r>
          </w:p>
        </w:tc>
        <w:tc>
          <w:tcPr>
            <w:tcW w:w="6946" w:type="dxa"/>
            <w:tcBorders>
              <w:top w:val="single" w:color="auto" w:sz="8" w:space="0"/>
              <w:bottom w:val="single" w:color="auto" w:sz="8" w:space="0"/>
            </w:tcBorders>
            <w:shd w:val="clear" w:color="auto" w:fill="auto"/>
            <w:vAlign w:val="center"/>
          </w:tcPr>
          <w:p w14:paraId="4D5DF68B">
            <w:pPr>
              <w:pStyle w:val="178"/>
            </w:pPr>
            <w:r>
              <w:rPr>
                <w:rFonts w:hint="eastAsia"/>
              </w:rPr>
              <w:t>品质</w:t>
            </w:r>
          </w:p>
        </w:tc>
        <w:tc>
          <w:tcPr>
            <w:tcW w:w="1831" w:type="dxa"/>
            <w:tcBorders>
              <w:top w:val="single" w:color="auto" w:sz="8" w:space="0"/>
              <w:bottom w:val="single" w:color="auto" w:sz="8" w:space="0"/>
            </w:tcBorders>
            <w:shd w:val="clear" w:color="auto" w:fill="auto"/>
            <w:vAlign w:val="center"/>
          </w:tcPr>
          <w:p w14:paraId="28C80080">
            <w:pPr>
              <w:pStyle w:val="178"/>
            </w:pPr>
            <w:r>
              <w:rPr>
                <w:rFonts w:hint="eastAsia"/>
              </w:rPr>
              <w:t>等级容许度</w:t>
            </w:r>
          </w:p>
        </w:tc>
      </w:tr>
      <w:tr w14:paraId="10F53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shd w:val="clear" w:color="auto" w:fill="auto"/>
            <w:vAlign w:val="center"/>
          </w:tcPr>
          <w:p w14:paraId="5EB65FAC">
            <w:pPr>
              <w:pStyle w:val="178"/>
            </w:pPr>
            <w:r>
              <w:rPr>
                <w:rFonts w:hint="eastAsia"/>
              </w:rPr>
              <w:t>特级</w:t>
            </w:r>
          </w:p>
        </w:tc>
        <w:tc>
          <w:tcPr>
            <w:tcW w:w="6946" w:type="dxa"/>
            <w:tcBorders>
              <w:top w:val="single" w:color="auto" w:sz="8" w:space="0"/>
            </w:tcBorders>
            <w:shd w:val="clear" w:color="auto" w:fill="auto"/>
            <w:vAlign w:val="center"/>
          </w:tcPr>
          <w:p w14:paraId="1581293F">
            <w:pPr>
              <w:pStyle w:val="178"/>
              <w:jc w:val="both"/>
            </w:pPr>
            <w:r>
              <w:rPr>
                <w:rFonts w:hint="eastAsia"/>
              </w:rPr>
              <w:t>具有品种特征和/或商业类型的特点，外观缺陷面积≤2%，且缺陷部分</w:t>
            </w:r>
            <w:bookmarkStart w:id="80" w:name="OLE_LINK1"/>
            <w:r>
              <w:rPr>
                <w:rFonts w:hint="eastAsia"/>
              </w:rPr>
              <w:t>不影响可食部分的质量、产品的外观、包装外观和贮藏品质。</w:t>
            </w:r>
            <w:bookmarkEnd w:id="80"/>
            <w:r>
              <w:rPr>
                <w:rFonts w:hint="eastAsia"/>
              </w:rPr>
              <w:t>鲜食椰子整果、圆锥型椰青和椰白的椰肉厚度范围</w:t>
            </w:r>
            <w:r>
              <w:rPr>
                <w:rFonts w:ascii="Times New Roman"/>
              </w:rPr>
              <w:t>2 cm-6 cm</w:t>
            </w:r>
            <w:r>
              <w:rPr>
                <w:rFonts w:hint="eastAsia"/>
              </w:rPr>
              <w:t>。</w:t>
            </w:r>
          </w:p>
        </w:tc>
        <w:tc>
          <w:tcPr>
            <w:tcW w:w="1831" w:type="dxa"/>
            <w:tcBorders>
              <w:top w:val="single" w:color="auto" w:sz="8" w:space="0"/>
            </w:tcBorders>
            <w:shd w:val="clear" w:color="auto" w:fill="auto"/>
            <w:vAlign w:val="center"/>
          </w:tcPr>
          <w:p w14:paraId="17180E9C">
            <w:pPr>
              <w:pStyle w:val="178"/>
              <w:jc w:val="left"/>
            </w:pPr>
            <w:r>
              <w:rPr>
                <w:rFonts w:hint="eastAsia"/>
              </w:rPr>
              <w:t>允许有5%的产品不符合该等级的要求，但应符合一级的要求。</w:t>
            </w:r>
          </w:p>
        </w:tc>
      </w:tr>
      <w:tr w14:paraId="2BA93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2B41843E">
            <w:pPr>
              <w:pStyle w:val="178"/>
            </w:pPr>
            <w:r>
              <w:rPr>
                <w:rFonts w:hint="eastAsia"/>
              </w:rPr>
              <w:t>一级</w:t>
            </w:r>
          </w:p>
        </w:tc>
        <w:tc>
          <w:tcPr>
            <w:tcW w:w="6946" w:type="dxa"/>
            <w:shd w:val="clear" w:color="auto" w:fill="auto"/>
            <w:vAlign w:val="center"/>
          </w:tcPr>
          <w:p w14:paraId="29B36AC0">
            <w:pPr>
              <w:pStyle w:val="178"/>
              <w:jc w:val="both"/>
            </w:pPr>
            <w:r>
              <w:rPr>
                <w:rFonts w:hint="eastAsia"/>
              </w:rPr>
              <w:t>具有品种特征和/或商业类型的特点。允许下列外观缺陷，但不影响可食用部分的质量、产品的外观、包装外观和贮藏品质。鲜食椰子整果、圆锥型椰青和椰白的椰肉厚度范围</w:t>
            </w:r>
            <w:r>
              <w:rPr>
                <w:rFonts w:ascii="Times New Roman"/>
              </w:rPr>
              <w:t>2 cm-</w:t>
            </w:r>
            <w:r>
              <w:rPr>
                <w:rFonts w:hint="eastAsia" w:ascii="Times New Roman"/>
              </w:rPr>
              <w:t>8</w:t>
            </w:r>
            <w:r>
              <w:rPr>
                <w:rFonts w:ascii="Times New Roman"/>
              </w:rPr>
              <w:t xml:space="preserve"> cm</w:t>
            </w:r>
            <w:r>
              <w:rPr>
                <w:rFonts w:hint="eastAsia"/>
              </w:rPr>
              <w:t>：</w:t>
            </w:r>
          </w:p>
          <w:p w14:paraId="7C05C869">
            <w:pPr>
              <w:pStyle w:val="174"/>
              <w:numPr>
                <w:ilvl w:val="0"/>
                <w:numId w:val="0"/>
              </w:numPr>
              <w:ind w:left="851" w:hanging="426"/>
              <w:rPr>
                <w:sz w:val="18"/>
              </w:rPr>
            </w:pPr>
            <w:r>
              <w:rPr>
                <w:rFonts w:hint="eastAsia"/>
                <w:sz w:val="18"/>
              </w:rPr>
              <w:t>a) 形状和颜色有轻微缺陷；</w:t>
            </w:r>
          </w:p>
          <w:p w14:paraId="0B7B009D">
            <w:pPr>
              <w:pStyle w:val="174"/>
              <w:numPr>
                <w:ilvl w:val="0"/>
                <w:numId w:val="0"/>
              </w:numPr>
              <w:ind w:left="851" w:hanging="426"/>
            </w:pPr>
            <w:r>
              <w:rPr>
                <w:rFonts w:hint="eastAsia"/>
                <w:sz w:val="18"/>
              </w:rPr>
              <w:t>b</w:t>
            </w:r>
            <w:r>
              <w:rPr>
                <w:sz w:val="18"/>
              </w:rPr>
              <w:t xml:space="preserve">) </w:t>
            </w:r>
            <w:r>
              <w:rPr>
                <w:rFonts w:hint="eastAsia"/>
                <w:sz w:val="18"/>
              </w:rPr>
              <w:t>表皮/椰衣/外壳因为机械伤害有轻微缺陷，并且缺陷面积不得超过总表面的5%。</w:t>
            </w:r>
          </w:p>
        </w:tc>
        <w:tc>
          <w:tcPr>
            <w:tcW w:w="1831" w:type="dxa"/>
            <w:shd w:val="clear" w:color="auto" w:fill="auto"/>
            <w:vAlign w:val="center"/>
          </w:tcPr>
          <w:p w14:paraId="08D34275">
            <w:pPr>
              <w:pStyle w:val="178"/>
              <w:jc w:val="left"/>
            </w:pPr>
            <w:r>
              <w:rPr>
                <w:rFonts w:hint="eastAsia"/>
              </w:rPr>
              <w:t>允许有10%的产品不符合该等级的要求，但应符合二级的要求，裂果不包括在允许范围内。</w:t>
            </w:r>
          </w:p>
        </w:tc>
      </w:tr>
      <w:tr w14:paraId="2A4308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14:paraId="15C50D24">
            <w:pPr>
              <w:pStyle w:val="178"/>
            </w:pPr>
            <w:r>
              <w:rPr>
                <w:rFonts w:hint="eastAsia"/>
              </w:rPr>
              <w:t>二级</w:t>
            </w:r>
          </w:p>
        </w:tc>
        <w:tc>
          <w:tcPr>
            <w:tcW w:w="6946" w:type="dxa"/>
            <w:shd w:val="clear" w:color="auto" w:fill="auto"/>
            <w:vAlign w:val="center"/>
          </w:tcPr>
          <w:p w14:paraId="5F9DAC53">
            <w:pPr>
              <w:pStyle w:val="178"/>
              <w:jc w:val="both"/>
            </w:pPr>
            <w:r>
              <w:rPr>
                <w:rFonts w:hint="eastAsia"/>
              </w:rPr>
              <w:t>果实符合基本要求。允许下列外观缺陷，但可以保持其在可食用部分的质量、产品的外观、包装外观和贮藏品质方面的基本特征。鲜食椰子整果、圆锥型椰青和椰白的椰肉厚度范围1</w:t>
            </w:r>
            <w:r>
              <w:rPr>
                <w:rFonts w:ascii="Times New Roman"/>
              </w:rPr>
              <w:t xml:space="preserve"> cm-</w:t>
            </w:r>
            <w:r>
              <w:rPr>
                <w:rFonts w:hint="eastAsia" w:ascii="Times New Roman"/>
              </w:rPr>
              <w:t>10</w:t>
            </w:r>
            <w:r>
              <w:rPr>
                <w:rFonts w:ascii="Times New Roman"/>
              </w:rPr>
              <w:t xml:space="preserve"> cm</w:t>
            </w:r>
            <w:r>
              <w:rPr>
                <w:rFonts w:hint="eastAsia"/>
              </w:rPr>
              <w:t>：</w:t>
            </w:r>
          </w:p>
          <w:p w14:paraId="3EE8C6F7">
            <w:pPr>
              <w:pStyle w:val="174"/>
              <w:numPr>
                <w:ilvl w:val="0"/>
                <w:numId w:val="0"/>
              </w:numPr>
              <w:ind w:left="851" w:hanging="426"/>
              <w:rPr>
                <w:sz w:val="18"/>
              </w:rPr>
            </w:pPr>
            <w:r>
              <w:rPr>
                <w:rFonts w:hint="eastAsia"/>
              </w:rPr>
              <w:t>a</w:t>
            </w:r>
            <w:r>
              <w:t xml:space="preserve">) </w:t>
            </w:r>
            <w:r>
              <w:rPr>
                <w:rFonts w:hint="eastAsia"/>
                <w:sz w:val="18"/>
              </w:rPr>
              <w:t>形状和颜色上的缺陷；</w:t>
            </w:r>
          </w:p>
          <w:p w14:paraId="4395EDA7">
            <w:pPr>
              <w:pStyle w:val="174"/>
              <w:numPr>
                <w:ilvl w:val="0"/>
                <w:numId w:val="0"/>
              </w:numPr>
              <w:ind w:left="851" w:hanging="426"/>
            </w:pPr>
            <w:r>
              <w:rPr>
                <w:rFonts w:hint="eastAsia"/>
                <w:sz w:val="18"/>
              </w:rPr>
              <w:t>b</w:t>
            </w:r>
            <w:r>
              <w:rPr>
                <w:sz w:val="18"/>
              </w:rPr>
              <w:t>)</w:t>
            </w:r>
            <w:r>
              <w:rPr>
                <w:rFonts w:hint="eastAsia"/>
                <w:sz w:val="18"/>
              </w:rPr>
              <w:t xml:space="preserve"> 表皮/椰衣/外壳因为机械伤害有轻微缺陷，并且缺陷面积不得超过总表面的10%。</w:t>
            </w:r>
          </w:p>
        </w:tc>
        <w:tc>
          <w:tcPr>
            <w:tcW w:w="1831" w:type="dxa"/>
            <w:shd w:val="clear" w:color="auto" w:fill="auto"/>
            <w:vAlign w:val="center"/>
          </w:tcPr>
          <w:p w14:paraId="69CAF5C2">
            <w:pPr>
              <w:pStyle w:val="178"/>
              <w:jc w:val="left"/>
            </w:pPr>
            <w:r>
              <w:rPr>
                <w:rFonts w:hint="eastAsia"/>
              </w:rPr>
              <w:t>允许有10%的产品不符合该等级的要求，但应符合基本要求，裂果不允许超过5%。</w:t>
            </w:r>
          </w:p>
        </w:tc>
      </w:tr>
      <w:bookmarkEnd w:id="79"/>
    </w:tbl>
    <w:p w14:paraId="43E520DD">
      <w:pPr>
        <w:pStyle w:val="105"/>
        <w:spacing w:before="156" w:after="156"/>
      </w:pPr>
      <w:bookmarkStart w:id="81" w:name="_Toc183101017"/>
      <w:bookmarkStart w:id="82" w:name="_Toc183099844"/>
      <w:bookmarkStart w:id="83" w:name="_Toc183100985"/>
      <w:r>
        <w:rPr>
          <w:rFonts w:hint="eastAsia"/>
        </w:rPr>
        <w:t>规格</w:t>
      </w:r>
      <w:bookmarkEnd w:id="81"/>
      <w:bookmarkEnd w:id="82"/>
      <w:bookmarkEnd w:id="83"/>
    </w:p>
    <w:p w14:paraId="64E3A43B">
      <w:pPr>
        <w:pStyle w:val="56"/>
        <w:ind w:firstLine="420"/>
      </w:pPr>
      <w:r>
        <w:rPr>
          <w:rFonts w:hint="eastAsia"/>
        </w:rPr>
        <w:t>鲜食椰子整果规格按照果围划分，圆锥形椰青和去壳椰子规格按照重量划分，划分依据如下。</w:t>
      </w:r>
    </w:p>
    <w:p w14:paraId="12332F31">
      <w:pPr>
        <w:pStyle w:val="65"/>
        <w:spacing w:before="156" w:after="156"/>
      </w:pPr>
      <w:bookmarkStart w:id="84" w:name="_Toc183099845"/>
      <w:bookmarkStart w:id="85" w:name="_Toc183100986"/>
      <w:r>
        <w:rPr>
          <w:rFonts w:hint="eastAsia"/>
        </w:rPr>
        <w:t>规格基本要求</w:t>
      </w:r>
      <w:bookmarkEnd w:id="84"/>
      <w:bookmarkEnd w:id="85"/>
    </w:p>
    <w:p w14:paraId="392FF607">
      <w:pPr>
        <w:pStyle w:val="56"/>
        <w:ind w:firstLine="420"/>
      </w:pPr>
      <w:r>
        <w:rPr>
          <w:rFonts w:hint="eastAsia"/>
        </w:rPr>
        <w:t>每个规格的鲜食椰子应符合下列基本条件：</w:t>
      </w:r>
    </w:p>
    <w:p w14:paraId="0737E723">
      <w:pPr>
        <w:pStyle w:val="174"/>
        <w:numPr>
          <w:ilvl w:val="0"/>
          <w:numId w:val="32"/>
        </w:numPr>
      </w:pPr>
      <w:r>
        <w:rPr>
          <w:rFonts w:hint="eastAsia"/>
        </w:rPr>
        <w:t>形状基本一致</w:t>
      </w:r>
    </w:p>
    <w:p w14:paraId="5633920A">
      <w:pPr>
        <w:pStyle w:val="174"/>
      </w:pPr>
      <w:r>
        <w:rPr>
          <w:rFonts w:hint="eastAsia"/>
        </w:rPr>
        <w:t>体积大小基本一致</w:t>
      </w:r>
    </w:p>
    <w:p w14:paraId="3D676FF9">
      <w:pPr>
        <w:pStyle w:val="65"/>
        <w:spacing w:before="156" w:after="156"/>
      </w:pPr>
      <w:bookmarkStart w:id="86" w:name="_Toc183099846"/>
      <w:bookmarkStart w:id="87" w:name="_Toc183100987"/>
      <w:r>
        <w:rPr>
          <w:rFonts w:hint="eastAsia"/>
        </w:rPr>
        <w:t>规格划分</w:t>
      </w:r>
      <w:bookmarkEnd w:id="86"/>
      <w:bookmarkEnd w:id="87"/>
    </w:p>
    <w:p w14:paraId="51E6E66E">
      <w:pPr>
        <w:pStyle w:val="56"/>
        <w:ind w:firstLine="420"/>
      </w:pPr>
      <w:r>
        <w:rPr>
          <w:rFonts w:hint="eastAsia"/>
        </w:rPr>
        <w:t>在符合规格基本要求前提下，按照鲜食椰子的分类，分别对鲜食椰子整果、圆锥形椰青、和去壳椰子的规格进行划分，应符合表2、表3和表4的规定。</w:t>
      </w:r>
    </w:p>
    <w:p w14:paraId="663EBBA0">
      <w:pPr>
        <w:pStyle w:val="56"/>
        <w:ind w:firstLine="420"/>
      </w:pPr>
    </w:p>
    <w:p w14:paraId="6DA18BF9">
      <w:pPr>
        <w:pStyle w:val="112"/>
        <w:spacing w:before="156" w:after="156"/>
      </w:pPr>
      <w:r>
        <w:rPr>
          <w:rFonts w:hint="eastAsia"/>
        </w:rPr>
        <w:t>鲜食椰子整果规格</w:t>
      </w:r>
    </w:p>
    <w:tbl>
      <w:tblPr>
        <w:tblStyle w:val="27"/>
        <w:tblW w:w="73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34"/>
        <w:gridCol w:w="1134"/>
        <w:gridCol w:w="1245"/>
        <w:gridCol w:w="3815"/>
      </w:tblGrid>
      <w:tr w14:paraId="2BA71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513" w:type="dxa"/>
            <w:gridSpan w:val="3"/>
            <w:tcBorders>
              <w:top w:val="single" w:color="auto" w:sz="8" w:space="0"/>
              <w:bottom w:val="single" w:color="auto" w:sz="8" w:space="0"/>
            </w:tcBorders>
          </w:tcPr>
          <w:p w14:paraId="6983B535">
            <w:pPr>
              <w:pStyle w:val="178"/>
            </w:pPr>
            <w:bookmarkStart w:id="88" w:name="_Hlk170746877"/>
            <w:r>
              <w:rPr>
                <w:rFonts w:hint="eastAsia"/>
              </w:rPr>
              <w:t>单果果围，cm</w:t>
            </w:r>
          </w:p>
        </w:tc>
        <w:tc>
          <w:tcPr>
            <w:tcW w:w="3815" w:type="dxa"/>
            <w:vMerge w:val="restart"/>
            <w:tcBorders>
              <w:top w:val="single" w:color="auto" w:sz="8" w:space="0"/>
            </w:tcBorders>
            <w:vAlign w:val="center"/>
          </w:tcPr>
          <w:p w14:paraId="7CCBA5DD">
            <w:pPr>
              <w:pStyle w:val="178"/>
            </w:pPr>
            <w:r>
              <w:rPr>
                <w:rFonts w:hint="eastAsia"/>
              </w:rPr>
              <w:t>规格容许度</w:t>
            </w:r>
          </w:p>
        </w:tc>
      </w:tr>
      <w:tr w14:paraId="17231A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34" w:type="dxa"/>
            <w:tcBorders>
              <w:top w:val="single" w:color="auto" w:sz="8" w:space="0"/>
            </w:tcBorders>
            <w:shd w:val="clear" w:color="auto" w:fill="auto"/>
            <w:vAlign w:val="center"/>
          </w:tcPr>
          <w:p w14:paraId="44998E41">
            <w:pPr>
              <w:pStyle w:val="178"/>
            </w:pPr>
            <w:r>
              <w:rPr>
                <w:rFonts w:hint="eastAsia"/>
              </w:rPr>
              <w:t>大果（L）</w:t>
            </w:r>
          </w:p>
        </w:tc>
        <w:tc>
          <w:tcPr>
            <w:tcW w:w="1134" w:type="dxa"/>
            <w:tcBorders>
              <w:top w:val="single" w:color="auto" w:sz="8" w:space="0"/>
            </w:tcBorders>
            <w:shd w:val="clear" w:color="auto" w:fill="auto"/>
            <w:vAlign w:val="center"/>
          </w:tcPr>
          <w:p w14:paraId="51F33D90">
            <w:pPr>
              <w:pStyle w:val="178"/>
            </w:pPr>
            <w:r>
              <w:rPr>
                <w:rFonts w:hint="eastAsia"/>
              </w:rPr>
              <w:t>中果（M）</w:t>
            </w:r>
          </w:p>
        </w:tc>
        <w:tc>
          <w:tcPr>
            <w:tcW w:w="1245" w:type="dxa"/>
            <w:tcBorders>
              <w:top w:val="single" w:color="auto" w:sz="8" w:space="0"/>
            </w:tcBorders>
            <w:shd w:val="clear" w:color="auto" w:fill="auto"/>
            <w:vAlign w:val="center"/>
          </w:tcPr>
          <w:p w14:paraId="7B8D9101">
            <w:pPr>
              <w:pStyle w:val="178"/>
            </w:pPr>
            <w:r>
              <w:rPr>
                <w:rFonts w:hint="eastAsia"/>
              </w:rPr>
              <w:t>小果（S）</w:t>
            </w:r>
          </w:p>
        </w:tc>
        <w:tc>
          <w:tcPr>
            <w:tcW w:w="3815" w:type="dxa"/>
            <w:vMerge w:val="continue"/>
          </w:tcPr>
          <w:p w14:paraId="0100CF73">
            <w:pPr>
              <w:pStyle w:val="178"/>
            </w:pPr>
          </w:p>
        </w:tc>
      </w:tr>
      <w:tr w14:paraId="671284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atLeast"/>
          <w:jc w:val="center"/>
        </w:trPr>
        <w:tc>
          <w:tcPr>
            <w:tcW w:w="1134" w:type="dxa"/>
            <w:shd w:val="clear" w:color="auto" w:fill="auto"/>
            <w:vAlign w:val="center"/>
          </w:tcPr>
          <w:p w14:paraId="38BAF6BD">
            <w:pPr>
              <w:pStyle w:val="178"/>
            </w:pPr>
            <w:bookmarkStart w:id="89" w:name="_Hlk170652154"/>
            <w:bookmarkStart w:id="90" w:name="_Hlk125842275"/>
            <w:r>
              <w:rPr>
                <w:rFonts w:hint="eastAsia"/>
              </w:rPr>
              <w:t>&gt;52</w:t>
            </w:r>
          </w:p>
        </w:tc>
        <w:tc>
          <w:tcPr>
            <w:tcW w:w="1134" w:type="dxa"/>
            <w:shd w:val="clear" w:color="auto" w:fill="auto"/>
            <w:vAlign w:val="center"/>
          </w:tcPr>
          <w:p w14:paraId="779875C7">
            <w:pPr>
              <w:pStyle w:val="178"/>
            </w:pPr>
            <w:r>
              <w:rPr>
                <w:rFonts w:hint="eastAsia"/>
              </w:rPr>
              <w:t>45-52</w:t>
            </w:r>
          </w:p>
        </w:tc>
        <w:tc>
          <w:tcPr>
            <w:tcW w:w="1245" w:type="dxa"/>
            <w:shd w:val="clear" w:color="auto" w:fill="auto"/>
            <w:vAlign w:val="center"/>
          </w:tcPr>
          <w:p w14:paraId="2EEB55F8">
            <w:pPr>
              <w:pStyle w:val="178"/>
            </w:pPr>
            <w:r>
              <w:rPr>
                <w:rFonts w:hint="eastAsia"/>
              </w:rPr>
              <w:t>&lt;45</w:t>
            </w:r>
          </w:p>
        </w:tc>
        <w:tc>
          <w:tcPr>
            <w:tcW w:w="3815" w:type="dxa"/>
            <w:vAlign w:val="center"/>
          </w:tcPr>
          <w:p w14:paraId="154DDC8B">
            <w:pPr>
              <w:pStyle w:val="178"/>
            </w:pPr>
            <w:r>
              <w:rPr>
                <w:rFonts w:hint="eastAsia"/>
              </w:rPr>
              <w:t>大果允许有5%的产品不符合该规格的要求；中果和小果允许有1</w:t>
            </w:r>
            <w:r>
              <w:t>0</w:t>
            </w:r>
            <w:r>
              <w:rPr>
                <w:rFonts w:hint="eastAsia"/>
              </w:rPr>
              <w:t>%的产品不符合该规格的要求。</w:t>
            </w:r>
          </w:p>
        </w:tc>
      </w:tr>
      <w:tr w14:paraId="4930B1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9" w:hRule="atLeast"/>
          <w:jc w:val="center"/>
        </w:trPr>
        <w:tc>
          <w:tcPr>
            <w:tcW w:w="7328" w:type="dxa"/>
            <w:gridSpan w:val="4"/>
            <w:shd w:val="clear" w:color="auto" w:fill="auto"/>
            <w:vAlign w:val="center"/>
          </w:tcPr>
          <w:p w14:paraId="0AA3CE5E">
            <w:pPr>
              <w:pStyle w:val="178"/>
            </w:pPr>
            <w:r>
              <w:rPr>
                <w:rFonts w:hint="eastAsia"/>
              </w:rPr>
              <w:t>注：果围指垂直于纵轴方向测量获得的椰子的最大距离。</w:t>
            </w:r>
          </w:p>
        </w:tc>
      </w:tr>
      <w:bookmarkEnd w:id="88"/>
      <w:bookmarkEnd w:id="89"/>
      <w:bookmarkEnd w:id="90"/>
    </w:tbl>
    <w:p w14:paraId="4FE33987">
      <w:pPr>
        <w:pStyle w:val="56"/>
        <w:ind w:firstLine="0" w:firstLineChars="0"/>
      </w:pPr>
    </w:p>
    <w:p w14:paraId="2463DEEC">
      <w:pPr>
        <w:pStyle w:val="112"/>
        <w:spacing w:before="156" w:after="156"/>
      </w:pPr>
      <w:r>
        <w:rPr>
          <w:rFonts w:hint="eastAsia"/>
        </w:rPr>
        <w:t>圆锥形椰青规格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134"/>
        <w:gridCol w:w="1275"/>
        <w:gridCol w:w="1135"/>
        <w:gridCol w:w="3815"/>
      </w:tblGrid>
      <w:tr w14:paraId="4D845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vMerge w:val="restart"/>
            <w:tcBorders>
              <w:top w:val="single" w:color="auto" w:sz="8" w:space="0"/>
            </w:tcBorders>
            <w:shd w:val="clear" w:color="auto" w:fill="auto"/>
            <w:vAlign w:val="center"/>
          </w:tcPr>
          <w:p w14:paraId="5B741EC4">
            <w:pPr>
              <w:pStyle w:val="178"/>
            </w:pPr>
            <w:bookmarkStart w:id="91" w:name="_Hlk125842336"/>
            <w:r>
              <w:rPr>
                <w:rFonts w:hint="eastAsia"/>
              </w:rPr>
              <w:t>产品类型</w:t>
            </w:r>
          </w:p>
        </w:tc>
        <w:tc>
          <w:tcPr>
            <w:tcW w:w="3544" w:type="dxa"/>
            <w:gridSpan w:val="3"/>
            <w:tcBorders>
              <w:top w:val="single" w:color="auto" w:sz="8" w:space="0"/>
            </w:tcBorders>
            <w:vAlign w:val="center"/>
          </w:tcPr>
          <w:p w14:paraId="2F2585A2">
            <w:pPr>
              <w:pStyle w:val="178"/>
            </w:pPr>
            <w:r>
              <w:rPr>
                <w:rFonts w:hint="eastAsia"/>
              </w:rPr>
              <w:t>单果重量，g</w:t>
            </w:r>
          </w:p>
        </w:tc>
        <w:tc>
          <w:tcPr>
            <w:tcW w:w="3815" w:type="dxa"/>
            <w:vMerge w:val="restart"/>
            <w:tcBorders>
              <w:top w:val="single" w:color="auto" w:sz="8" w:space="0"/>
            </w:tcBorders>
            <w:vAlign w:val="center"/>
          </w:tcPr>
          <w:p w14:paraId="0300DD0B">
            <w:pPr>
              <w:pStyle w:val="178"/>
            </w:pPr>
            <w:r>
              <w:rPr>
                <w:rFonts w:hint="eastAsia"/>
              </w:rPr>
              <w:t>规格容许度</w:t>
            </w:r>
          </w:p>
        </w:tc>
      </w:tr>
      <w:tr w14:paraId="759878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shd w:val="clear" w:color="auto" w:fill="auto"/>
            <w:vAlign w:val="center"/>
          </w:tcPr>
          <w:p w14:paraId="685E9AC5">
            <w:pPr>
              <w:pStyle w:val="178"/>
            </w:pPr>
          </w:p>
        </w:tc>
        <w:tc>
          <w:tcPr>
            <w:tcW w:w="1134" w:type="dxa"/>
            <w:tcBorders>
              <w:top w:val="single" w:color="auto" w:sz="8" w:space="0"/>
            </w:tcBorders>
            <w:shd w:val="clear" w:color="auto" w:fill="auto"/>
            <w:vAlign w:val="center"/>
          </w:tcPr>
          <w:p w14:paraId="10646B55">
            <w:pPr>
              <w:pStyle w:val="178"/>
            </w:pPr>
            <w:r>
              <w:rPr>
                <w:rFonts w:hint="eastAsia"/>
              </w:rPr>
              <w:t>大果（L）</w:t>
            </w:r>
          </w:p>
        </w:tc>
        <w:tc>
          <w:tcPr>
            <w:tcW w:w="1275" w:type="dxa"/>
            <w:tcBorders>
              <w:top w:val="single" w:color="auto" w:sz="8" w:space="0"/>
            </w:tcBorders>
            <w:shd w:val="clear" w:color="auto" w:fill="auto"/>
            <w:vAlign w:val="center"/>
          </w:tcPr>
          <w:p w14:paraId="777667B4">
            <w:pPr>
              <w:pStyle w:val="178"/>
            </w:pPr>
            <w:r>
              <w:rPr>
                <w:rFonts w:hint="eastAsia"/>
              </w:rPr>
              <w:t>中果（M）</w:t>
            </w:r>
          </w:p>
        </w:tc>
        <w:tc>
          <w:tcPr>
            <w:tcW w:w="1135" w:type="dxa"/>
            <w:tcBorders>
              <w:top w:val="single" w:color="auto" w:sz="8" w:space="0"/>
            </w:tcBorders>
            <w:shd w:val="clear" w:color="auto" w:fill="auto"/>
            <w:vAlign w:val="center"/>
          </w:tcPr>
          <w:p w14:paraId="14755DB4">
            <w:pPr>
              <w:pStyle w:val="178"/>
            </w:pPr>
            <w:r>
              <w:rPr>
                <w:rFonts w:hint="eastAsia"/>
              </w:rPr>
              <w:t>小果（S）</w:t>
            </w:r>
          </w:p>
        </w:tc>
        <w:tc>
          <w:tcPr>
            <w:tcW w:w="3815" w:type="dxa"/>
            <w:vMerge w:val="continue"/>
          </w:tcPr>
          <w:p w14:paraId="72450EEC">
            <w:pPr>
              <w:pStyle w:val="178"/>
            </w:pPr>
          </w:p>
        </w:tc>
      </w:tr>
      <w:tr w14:paraId="71CD9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983" w:type="dxa"/>
            <w:shd w:val="clear" w:color="auto" w:fill="auto"/>
            <w:vAlign w:val="center"/>
          </w:tcPr>
          <w:p w14:paraId="75619225">
            <w:pPr>
              <w:pStyle w:val="178"/>
            </w:pPr>
            <w:r>
              <w:rPr>
                <w:rFonts w:hint="eastAsia"/>
              </w:rPr>
              <w:t>见皮椰青</w:t>
            </w:r>
          </w:p>
        </w:tc>
        <w:tc>
          <w:tcPr>
            <w:tcW w:w="1134" w:type="dxa"/>
            <w:shd w:val="clear" w:color="auto" w:fill="auto"/>
            <w:vAlign w:val="center"/>
          </w:tcPr>
          <w:p w14:paraId="3B3089F5">
            <w:pPr>
              <w:pStyle w:val="178"/>
            </w:pPr>
            <w:r>
              <w:rPr>
                <w:rFonts w:hint="eastAsia"/>
              </w:rPr>
              <w:t>&gt;1100</w:t>
            </w:r>
          </w:p>
        </w:tc>
        <w:tc>
          <w:tcPr>
            <w:tcW w:w="1275" w:type="dxa"/>
            <w:shd w:val="clear" w:color="auto" w:fill="auto"/>
            <w:vAlign w:val="center"/>
          </w:tcPr>
          <w:p w14:paraId="502940DD">
            <w:pPr>
              <w:pStyle w:val="178"/>
            </w:pPr>
            <w:r>
              <w:rPr>
                <w:rFonts w:hint="eastAsia"/>
              </w:rPr>
              <w:t>900-1100</w:t>
            </w:r>
          </w:p>
        </w:tc>
        <w:tc>
          <w:tcPr>
            <w:tcW w:w="1135" w:type="dxa"/>
            <w:shd w:val="clear" w:color="auto" w:fill="auto"/>
            <w:vAlign w:val="center"/>
          </w:tcPr>
          <w:p w14:paraId="59AA355A">
            <w:pPr>
              <w:pStyle w:val="178"/>
            </w:pPr>
            <w:r>
              <w:rPr>
                <w:rFonts w:hint="eastAsia"/>
              </w:rPr>
              <w:t>&lt;900</w:t>
            </w:r>
          </w:p>
        </w:tc>
        <w:tc>
          <w:tcPr>
            <w:tcW w:w="3815" w:type="dxa"/>
            <w:vMerge w:val="restart"/>
            <w:vAlign w:val="center"/>
          </w:tcPr>
          <w:p w14:paraId="4D2D4662">
            <w:pPr>
              <w:pStyle w:val="178"/>
            </w:pPr>
            <w:r>
              <w:rPr>
                <w:rFonts w:hint="eastAsia"/>
              </w:rPr>
              <w:t>特级允许有5%的产品不符合该规格的要求；一级和二级允许有1</w:t>
            </w:r>
            <w:r>
              <w:t>0</w:t>
            </w:r>
            <w:r>
              <w:rPr>
                <w:rFonts w:hint="eastAsia"/>
              </w:rPr>
              <w:t>%的产品不符合该规格的要求。</w:t>
            </w:r>
          </w:p>
        </w:tc>
      </w:tr>
      <w:tr w14:paraId="07F32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983" w:type="dxa"/>
            <w:shd w:val="clear" w:color="auto" w:fill="auto"/>
            <w:vAlign w:val="center"/>
          </w:tcPr>
          <w:p w14:paraId="779CF00B">
            <w:pPr>
              <w:pStyle w:val="178"/>
            </w:pPr>
            <w:r>
              <w:rPr>
                <w:rFonts w:hint="eastAsia"/>
              </w:rPr>
              <w:t>无皮椰青</w:t>
            </w:r>
          </w:p>
        </w:tc>
        <w:tc>
          <w:tcPr>
            <w:tcW w:w="1134" w:type="dxa"/>
            <w:shd w:val="clear" w:color="auto" w:fill="auto"/>
            <w:vAlign w:val="center"/>
          </w:tcPr>
          <w:p w14:paraId="5AB1BCB9">
            <w:pPr>
              <w:pStyle w:val="178"/>
            </w:pPr>
            <w:r>
              <w:rPr>
                <w:rFonts w:hint="eastAsia"/>
              </w:rPr>
              <w:t>&gt;1000</w:t>
            </w:r>
          </w:p>
        </w:tc>
        <w:tc>
          <w:tcPr>
            <w:tcW w:w="1275" w:type="dxa"/>
            <w:shd w:val="clear" w:color="auto" w:fill="auto"/>
            <w:vAlign w:val="center"/>
          </w:tcPr>
          <w:p w14:paraId="6FA1E03E">
            <w:pPr>
              <w:pStyle w:val="178"/>
            </w:pPr>
            <w:r>
              <w:rPr>
                <w:rFonts w:hint="eastAsia"/>
              </w:rPr>
              <w:t>800-1000</w:t>
            </w:r>
          </w:p>
        </w:tc>
        <w:tc>
          <w:tcPr>
            <w:tcW w:w="1135" w:type="dxa"/>
            <w:shd w:val="clear" w:color="auto" w:fill="auto"/>
            <w:vAlign w:val="center"/>
          </w:tcPr>
          <w:p w14:paraId="30249EF7">
            <w:pPr>
              <w:pStyle w:val="178"/>
            </w:pPr>
            <w:r>
              <w:rPr>
                <w:rFonts w:hint="eastAsia"/>
              </w:rPr>
              <w:t>&lt;800</w:t>
            </w:r>
          </w:p>
        </w:tc>
        <w:tc>
          <w:tcPr>
            <w:tcW w:w="3815" w:type="dxa"/>
            <w:vMerge w:val="continue"/>
          </w:tcPr>
          <w:p w14:paraId="494F9FFD">
            <w:pPr>
              <w:pStyle w:val="178"/>
            </w:pPr>
          </w:p>
        </w:tc>
      </w:tr>
      <w:bookmarkEnd w:id="91"/>
    </w:tbl>
    <w:p w14:paraId="352CB551">
      <w:pPr>
        <w:pStyle w:val="112"/>
        <w:spacing w:before="156" w:after="156"/>
      </w:pPr>
      <w:r>
        <w:rPr>
          <w:rFonts w:hint="eastAsia"/>
        </w:rPr>
        <w:t>去壳椰子规格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134"/>
        <w:gridCol w:w="1275"/>
        <w:gridCol w:w="1134"/>
        <w:gridCol w:w="3825"/>
      </w:tblGrid>
      <w:tr w14:paraId="1369D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vMerge w:val="restart"/>
            <w:tcBorders>
              <w:top w:val="single" w:color="auto" w:sz="8" w:space="0"/>
            </w:tcBorders>
            <w:vAlign w:val="center"/>
          </w:tcPr>
          <w:p w14:paraId="6C68BBB5">
            <w:pPr>
              <w:pStyle w:val="178"/>
            </w:pPr>
            <w:bookmarkStart w:id="92" w:name="_Hlk170750438"/>
            <w:r>
              <w:rPr>
                <w:rFonts w:hint="eastAsia"/>
              </w:rPr>
              <w:t>产品类型</w:t>
            </w:r>
          </w:p>
        </w:tc>
        <w:tc>
          <w:tcPr>
            <w:tcW w:w="3543" w:type="dxa"/>
            <w:gridSpan w:val="3"/>
            <w:tcBorders>
              <w:top w:val="single" w:color="auto" w:sz="8" w:space="0"/>
              <w:bottom w:val="single" w:color="auto" w:sz="8" w:space="0"/>
            </w:tcBorders>
            <w:shd w:val="clear" w:color="auto" w:fill="auto"/>
            <w:vAlign w:val="center"/>
          </w:tcPr>
          <w:p w14:paraId="4C0025AB">
            <w:pPr>
              <w:pStyle w:val="178"/>
            </w:pPr>
            <w:r>
              <w:rPr>
                <w:rFonts w:hint="eastAsia"/>
              </w:rPr>
              <w:t>单果重量，g</w:t>
            </w:r>
          </w:p>
        </w:tc>
        <w:tc>
          <w:tcPr>
            <w:tcW w:w="3825" w:type="dxa"/>
            <w:vMerge w:val="restart"/>
            <w:tcBorders>
              <w:top w:val="single" w:color="auto" w:sz="8" w:space="0"/>
            </w:tcBorders>
            <w:vAlign w:val="center"/>
          </w:tcPr>
          <w:p w14:paraId="3CB1FDFE">
            <w:pPr>
              <w:pStyle w:val="178"/>
            </w:pPr>
            <w:r>
              <w:rPr>
                <w:rFonts w:hint="eastAsia"/>
              </w:rPr>
              <w:t>规格容许度</w:t>
            </w:r>
          </w:p>
        </w:tc>
      </w:tr>
      <w:tr w14:paraId="04DE5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vAlign w:val="center"/>
          </w:tcPr>
          <w:p w14:paraId="60165C71">
            <w:pPr>
              <w:pStyle w:val="178"/>
            </w:pPr>
          </w:p>
        </w:tc>
        <w:tc>
          <w:tcPr>
            <w:tcW w:w="1134" w:type="dxa"/>
            <w:tcBorders>
              <w:top w:val="single" w:color="auto" w:sz="8" w:space="0"/>
            </w:tcBorders>
            <w:shd w:val="clear" w:color="auto" w:fill="auto"/>
            <w:vAlign w:val="center"/>
          </w:tcPr>
          <w:p w14:paraId="7BB095E7">
            <w:pPr>
              <w:pStyle w:val="178"/>
            </w:pPr>
            <w:r>
              <w:rPr>
                <w:rFonts w:hint="eastAsia"/>
              </w:rPr>
              <w:t>大果（L）</w:t>
            </w:r>
          </w:p>
        </w:tc>
        <w:tc>
          <w:tcPr>
            <w:tcW w:w="1275" w:type="dxa"/>
            <w:tcBorders>
              <w:top w:val="single" w:color="auto" w:sz="8" w:space="0"/>
            </w:tcBorders>
            <w:shd w:val="clear" w:color="auto" w:fill="auto"/>
            <w:vAlign w:val="center"/>
          </w:tcPr>
          <w:p w14:paraId="4073CB42">
            <w:pPr>
              <w:pStyle w:val="178"/>
            </w:pPr>
            <w:r>
              <w:rPr>
                <w:rFonts w:hint="eastAsia"/>
              </w:rPr>
              <w:t>中果（M）</w:t>
            </w:r>
          </w:p>
        </w:tc>
        <w:tc>
          <w:tcPr>
            <w:tcW w:w="1134" w:type="dxa"/>
            <w:tcBorders>
              <w:top w:val="single" w:color="auto" w:sz="8" w:space="0"/>
            </w:tcBorders>
            <w:shd w:val="clear" w:color="auto" w:fill="auto"/>
            <w:vAlign w:val="center"/>
          </w:tcPr>
          <w:p w14:paraId="3549850F">
            <w:pPr>
              <w:pStyle w:val="178"/>
            </w:pPr>
            <w:r>
              <w:rPr>
                <w:rFonts w:hint="eastAsia"/>
              </w:rPr>
              <w:t>小果（S）</w:t>
            </w:r>
          </w:p>
        </w:tc>
        <w:tc>
          <w:tcPr>
            <w:tcW w:w="3825" w:type="dxa"/>
            <w:vMerge w:val="continue"/>
          </w:tcPr>
          <w:p w14:paraId="6082615F">
            <w:pPr>
              <w:pStyle w:val="178"/>
            </w:pPr>
          </w:p>
        </w:tc>
      </w:tr>
      <w:tr w14:paraId="1E2659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atLeast"/>
          <w:jc w:val="center"/>
        </w:trPr>
        <w:tc>
          <w:tcPr>
            <w:tcW w:w="983" w:type="dxa"/>
            <w:vAlign w:val="center"/>
          </w:tcPr>
          <w:p w14:paraId="77E303BB">
            <w:pPr>
              <w:pStyle w:val="178"/>
            </w:pPr>
            <w:bookmarkStart w:id="93" w:name="_Hlk170668873"/>
            <w:r>
              <w:rPr>
                <w:rFonts w:hint="eastAsia"/>
              </w:rPr>
              <w:t>椰白</w:t>
            </w:r>
          </w:p>
        </w:tc>
        <w:tc>
          <w:tcPr>
            <w:tcW w:w="1134" w:type="dxa"/>
            <w:shd w:val="clear" w:color="auto" w:fill="auto"/>
            <w:vAlign w:val="center"/>
          </w:tcPr>
          <w:p w14:paraId="2647D6EB">
            <w:pPr>
              <w:pStyle w:val="178"/>
            </w:pPr>
            <w:r>
              <w:rPr>
                <w:rFonts w:hint="eastAsia"/>
              </w:rPr>
              <w:t>&gt;600</w:t>
            </w:r>
          </w:p>
        </w:tc>
        <w:tc>
          <w:tcPr>
            <w:tcW w:w="1275" w:type="dxa"/>
            <w:shd w:val="clear" w:color="auto" w:fill="auto"/>
            <w:vAlign w:val="center"/>
          </w:tcPr>
          <w:p w14:paraId="2D0CBE34">
            <w:pPr>
              <w:pStyle w:val="178"/>
            </w:pPr>
            <w:r>
              <w:rPr>
                <w:rFonts w:hint="eastAsia"/>
              </w:rPr>
              <w:t>451-600</w:t>
            </w:r>
          </w:p>
        </w:tc>
        <w:tc>
          <w:tcPr>
            <w:tcW w:w="1134" w:type="dxa"/>
            <w:shd w:val="clear" w:color="auto" w:fill="auto"/>
            <w:vAlign w:val="center"/>
          </w:tcPr>
          <w:p w14:paraId="5CE999A5">
            <w:pPr>
              <w:pStyle w:val="178"/>
            </w:pPr>
            <w:r>
              <w:rPr>
                <w:rFonts w:hint="eastAsia"/>
              </w:rPr>
              <w:t>300-450</w:t>
            </w:r>
          </w:p>
        </w:tc>
        <w:tc>
          <w:tcPr>
            <w:tcW w:w="3825" w:type="dxa"/>
            <w:vMerge w:val="restart"/>
            <w:vAlign w:val="center"/>
          </w:tcPr>
          <w:p w14:paraId="08B83718">
            <w:pPr>
              <w:pStyle w:val="178"/>
              <w:jc w:val="left"/>
            </w:pPr>
            <w:r>
              <w:rPr>
                <w:rFonts w:hint="eastAsia"/>
              </w:rPr>
              <w:t>特级允许有5%的产品不符合该规格的要求；一级和二级允许有1</w:t>
            </w:r>
            <w:r>
              <w:t>0</w:t>
            </w:r>
            <w:r>
              <w:rPr>
                <w:rFonts w:hint="eastAsia"/>
              </w:rPr>
              <w:t>%的产品不符合该规格的要求。</w:t>
            </w:r>
          </w:p>
        </w:tc>
      </w:tr>
      <w:tr w14:paraId="7178F6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atLeast"/>
          <w:jc w:val="center"/>
        </w:trPr>
        <w:tc>
          <w:tcPr>
            <w:tcW w:w="983" w:type="dxa"/>
            <w:vAlign w:val="center"/>
          </w:tcPr>
          <w:p w14:paraId="5AA04581">
            <w:pPr>
              <w:pStyle w:val="178"/>
            </w:pPr>
            <w:r>
              <w:rPr>
                <w:rFonts w:hint="eastAsia"/>
              </w:rPr>
              <w:t>椰皇</w:t>
            </w:r>
          </w:p>
        </w:tc>
        <w:tc>
          <w:tcPr>
            <w:tcW w:w="1134" w:type="dxa"/>
            <w:shd w:val="clear" w:color="auto" w:fill="auto"/>
            <w:vAlign w:val="center"/>
          </w:tcPr>
          <w:p w14:paraId="51975189">
            <w:pPr>
              <w:pStyle w:val="178"/>
            </w:pPr>
            <w:r>
              <w:rPr>
                <w:rFonts w:hint="eastAsia"/>
              </w:rPr>
              <w:t>&gt;900</w:t>
            </w:r>
          </w:p>
        </w:tc>
        <w:tc>
          <w:tcPr>
            <w:tcW w:w="1275" w:type="dxa"/>
            <w:shd w:val="clear" w:color="auto" w:fill="auto"/>
            <w:vAlign w:val="center"/>
          </w:tcPr>
          <w:p w14:paraId="351FCF49">
            <w:pPr>
              <w:pStyle w:val="178"/>
            </w:pPr>
            <w:r>
              <w:rPr>
                <w:rFonts w:hint="eastAsia"/>
              </w:rPr>
              <w:t>700-900</w:t>
            </w:r>
          </w:p>
        </w:tc>
        <w:tc>
          <w:tcPr>
            <w:tcW w:w="1134" w:type="dxa"/>
            <w:shd w:val="clear" w:color="auto" w:fill="auto"/>
            <w:vAlign w:val="center"/>
          </w:tcPr>
          <w:p w14:paraId="205FE72F">
            <w:pPr>
              <w:pStyle w:val="178"/>
            </w:pPr>
            <w:r>
              <w:rPr>
                <w:rFonts w:hint="eastAsia"/>
              </w:rPr>
              <w:t>500-700</w:t>
            </w:r>
          </w:p>
        </w:tc>
        <w:tc>
          <w:tcPr>
            <w:tcW w:w="3825" w:type="dxa"/>
            <w:vMerge w:val="continue"/>
          </w:tcPr>
          <w:p w14:paraId="1A34AA60">
            <w:pPr>
              <w:pStyle w:val="178"/>
            </w:pPr>
          </w:p>
        </w:tc>
      </w:tr>
      <w:bookmarkEnd w:id="92"/>
      <w:bookmarkEnd w:id="93"/>
    </w:tbl>
    <w:p w14:paraId="4B3A6C3C">
      <w:pPr>
        <w:pStyle w:val="104"/>
        <w:spacing w:before="312" w:after="312"/>
      </w:pPr>
      <w:bookmarkStart w:id="94" w:name="_Toc183100988"/>
      <w:bookmarkStart w:id="95" w:name="_Toc183101007"/>
      <w:bookmarkStart w:id="96" w:name="_Toc183101018"/>
      <w:bookmarkStart w:id="97" w:name="_Toc183099847"/>
      <w:r>
        <w:rPr>
          <w:rFonts w:hint="eastAsia"/>
        </w:rPr>
        <w:t>检验方法</w:t>
      </w:r>
      <w:bookmarkEnd w:id="94"/>
      <w:bookmarkEnd w:id="95"/>
      <w:bookmarkEnd w:id="96"/>
      <w:bookmarkEnd w:id="97"/>
    </w:p>
    <w:p w14:paraId="72C84588">
      <w:pPr>
        <w:pStyle w:val="56"/>
        <w:ind w:firstLine="420"/>
      </w:pPr>
      <w:bookmarkStart w:id="98" w:name="_Hlk125843600"/>
      <w:r>
        <w:rPr>
          <w:rFonts w:hint="eastAsia"/>
        </w:rPr>
        <w:t>采用感官方法（目测、手托、品尝等）评定果实的果形、色泽、洁净度、外观、风味等指标。缺陷面积、椰肉厚度、单果果围和重量等用量具测定。</w:t>
      </w:r>
    </w:p>
    <w:bookmarkEnd w:id="98"/>
    <w:p w14:paraId="6EBD9E45">
      <w:pPr>
        <w:pStyle w:val="104"/>
        <w:spacing w:before="312" w:after="312"/>
      </w:pPr>
      <w:bookmarkStart w:id="99" w:name="_Toc183099848"/>
      <w:bookmarkStart w:id="100" w:name="_Toc183100989"/>
      <w:bookmarkStart w:id="101" w:name="_Toc183101019"/>
      <w:bookmarkStart w:id="102" w:name="_Toc183101008"/>
      <w:r>
        <w:rPr>
          <w:rFonts w:hint="eastAsia"/>
        </w:rPr>
        <w:t>检验规则</w:t>
      </w:r>
      <w:bookmarkEnd w:id="99"/>
      <w:bookmarkEnd w:id="100"/>
      <w:bookmarkEnd w:id="101"/>
      <w:bookmarkEnd w:id="102"/>
    </w:p>
    <w:p w14:paraId="3A173743">
      <w:pPr>
        <w:pStyle w:val="162"/>
      </w:pPr>
      <w:r>
        <w:rPr>
          <w:rFonts w:hint="eastAsia"/>
        </w:rPr>
        <w:t>抽样方法</w:t>
      </w:r>
    </w:p>
    <w:p w14:paraId="09B44A1A">
      <w:pPr>
        <w:pStyle w:val="56"/>
        <w:ind w:firstLine="420"/>
      </w:pPr>
      <w:r>
        <w:rPr>
          <w:rFonts w:hint="eastAsia"/>
        </w:rPr>
        <w:t>抽样方法按照G</w:t>
      </w:r>
      <w:r>
        <w:t>B/T 8855</w:t>
      </w:r>
      <w:r>
        <w:rPr>
          <w:rFonts w:hint="eastAsia"/>
        </w:rPr>
        <w:t>规定执行。</w:t>
      </w:r>
    </w:p>
    <w:p w14:paraId="16F6092B">
      <w:pPr>
        <w:pStyle w:val="65"/>
        <w:spacing w:before="156" w:after="156"/>
      </w:pPr>
      <w:bookmarkStart w:id="103" w:name="_Toc183100990"/>
      <w:bookmarkStart w:id="104" w:name="_Toc183099849"/>
      <w:r>
        <w:rPr>
          <w:rFonts w:hint="eastAsia"/>
        </w:rPr>
        <w:t>包装产品</w:t>
      </w:r>
      <w:bookmarkEnd w:id="103"/>
      <w:bookmarkEnd w:id="104"/>
    </w:p>
    <w:p w14:paraId="77CA6F7D">
      <w:pPr>
        <w:pStyle w:val="56"/>
        <w:ind w:firstLine="420"/>
      </w:pPr>
      <w:r>
        <w:rPr>
          <w:rFonts w:hint="eastAsia"/>
        </w:rPr>
        <w:t>包装产品（纸箱、袋装、胶框等），按表</w:t>
      </w:r>
      <w:r>
        <w:t>4</w:t>
      </w:r>
      <w:r>
        <w:rPr>
          <w:rFonts w:hint="eastAsia"/>
        </w:rPr>
        <w:t>进行随机抽样</w:t>
      </w:r>
    </w:p>
    <w:p w14:paraId="2C240972">
      <w:pPr>
        <w:pStyle w:val="112"/>
        <w:spacing w:before="156" w:after="156"/>
      </w:pPr>
      <w:r>
        <w:rPr>
          <w:rFonts w:hint="eastAsia"/>
        </w:rPr>
        <w:t>包装产品取样方法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3EAE62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7D8B17C7">
            <w:pPr>
              <w:pStyle w:val="178"/>
            </w:pPr>
            <w:r>
              <w:rPr>
                <w:rFonts w:hint="eastAsia"/>
              </w:rPr>
              <w:t>批量货物中同类货物件数</w:t>
            </w:r>
          </w:p>
        </w:tc>
        <w:tc>
          <w:tcPr>
            <w:tcW w:w="4667" w:type="dxa"/>
            <w:tcBorders>
              <w:top w:val="single" w:color="auto" w:sz="8" w:space="0"/>
              <w:bottom w:val="single" w:color="auto" w:sz="8" w:space="0"/>
            </w:tcBorders>
            <w:shd w:val="clear" w:color="auto" w:fill="auto"/>
            <w:vAlign w:val="center"/>
          </w:tcPr>
          <w:p w14:paraId="5C1C246D">
            <w:pPr>
              <w:pStyle w:val="178"/>
            </w:pPr>
            <w:r>
              <w:rPr>
                <w:rFonts w:hint="eastAsia"/>
              </w:rPr>
              <w:t>抽检货物的取样件数</w:t>
            </w:r>
          </w:p>
        </w:tc>
      </w:tr>
      <w:tr w14:paraId="65966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4309BB8F">
            <w:pPr>
              <w:pStyle w:val="178"/>
            </w:pPr>
            <w:r>
              <w:rPr>
                <w:rFonts w:hint="eastAsia"/>
              </w:rPr>
              <w:t>≤100</w:t>
            </w:r>
          </w:p>
        </w:tc>
        <w:tc>
          <w:tcPr>
            <w:tcW w:w="4667" w:type="dxa"/>
            <w:tcBorders>
              <w:top w:val="single" w:color="auto" w:sz="8" w:space="0"/>
            </w:tcBorders>
            <w:shd w:val="clear" w:color="auto" w:fill="auto"/>
            <w:vAlign w:val="center"/>
          </w:tcPr>
          <w:p w14:paraId="676D4253">
            <w:pPr>
              <w:pStyle w:val="178"/>
            </w:pPr>
            <w:r>
              <w:rPr>
                <w:rFonts w:hint="eastAsia"/>
              </w:rPr>
              <w:t>5</w:t>
            </w:r>
          </w:p>
        </w:tc>
      </w:tr>
      <w:tr w14:paraId="2C8AD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551966A3">
            <w:pPr>
              <w:pStyle w:val="178"/>
            </w:pPr>
            <w:r>
              <w:rPr>
                <w:rFonts w:hint="eastAsia"/>
              </w:rPr>
              <w:t>1</w:t>
            </w:r>
            <w:r>
              <w:t>01</w:t>
            </w:r>
            <w:r>
              <w:rPr>
                <w:rFonts w:hint="eastAsia"/>
              </w:rPr>
              <w:t>-</w:t>
            </w:r>
            <w:r>
              <w:t>300</w:t>
            </w:r>
          </w:p>
        </w:tc>
        <w:tc>
          <w:tcPr>
            <w:tcW w:w="4667" w:type="dxa"/>
            <w:shd w:val="clear" w:color="auto" w:fill="auto"/>
            <w:vAlign w:val="center"/>
          </w:tcPr>
          <w:p w14:paraId="4A835CC5">
            <w:pPr>
              <w:pStyle w:val="178"/>
            </w:pPr>
            <w:r>
              <w:rPr>
                <w:rFonts w:hint="eastAsia"/>
              </w:rPr>
              <w:t>7</w:t>
            </w:r>
          </w:p>
        </w:tc>
      </w:tr>
      <w:tr w14:paraId="703C08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6684459A">
            <w:pPr>
              <w:pStyle w:val="178"/>
            </w:pPr>
            <w:r>
              <w:rPr>
                <w:rFonts w:hint="eastAsia"/>
              </w:rPr>
              <w:t>3</w:t>
            </w:r>
            <w:r>
              <w:t>01</w:t>
            </w:r>
            <w:r>
              <w:rPr>
                <w:rFonts w:hint="eastAsia"/>
              </w:rPr>
              <w:t>-</w:t>
            </w:r>
            <w:r>
              <w:t>500</w:t>
            </w:r>
          </w:p>
        </w:tc>
        <w:tc>
          <w:tcPr>
            <w:tcW w:w="4667" w:type="dxa"/>
            <w:shd w:val="clear" w:color="auto" w:fill="auto"/>
            <w:vAlign w:val="center"/>
          </w:tcPr>
          <w:p w14:paraId="7B6F19C1">
            <w:pPr>
              <w:pStyle w:val="178"/>
            </w:pPr>
            <w:r>
              <w:rPr>
                <w:rFonts w:hint="eastAsia"/>
              </w:rPr>
              <w:t>9</w:t>
            </w:r>
          </w:p>
        </w:tc>
      </w:tr>
      <w:tr w14:paraId="52D3C0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4A10E67B">
            <w:pPr>
              <w:pStyle w:val="178"/>
            </w:pPr>
            <w:r>
              <w:rPr>
                <w:rFonts w:hint="eastAsia"/>
              </w:rPr>
              <w:t>5</w:t>
            </w:r>
            <w:r>
              <w:t>01</w:t>
            </w:r>
            <w:r>
              <w:rPr>
                <w:rFonts w:hint="eastAsia"/>
              </w:rPr>
              <w:t>-</w:t>
            </w:r>
            <w:r>
              <w:t>1000</w:t>
            </w:r>
          </w:p>
        </w:tc>
        <w:tc>
          <w:tcPr>
            <w:tcW w:w="4667" w:type="dxa"/>
            <w:shd w:val="clear" w:color="auto" w:fill="auto"/>
            <w:vAlign w:val="center"/>
          </w:tcPr>
          <w:p w14:paraId="0566C658">
            <w:pPr>
              <w:pStyle w:val="178"/>
            </w:pPr>
            <w:r>
              <w:rPr>
                <w:rFonts w:hint="eastAsia"/>
              </w:rPr>
              <w:t>1</w:t>
            </w:r>
            <w:r>
              <w:t>0</w:t>
            </w:r>
          </w:p>
        </w:tc>
      </w:tr>
      <w:tr w14:paraId="75A3A4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08491B4">
            <w:pPr>
              <w:pStyle w:val="178"/>
            </w:pPr>
            <w:r>
              <w:t>&gt;1000</w:t>
            </w:r>
          </w:p>
        </w:tc>
        <w:tc>
          <w:tcPr>
            <w:tcW w:w="4667" w:type="dxa"/>
            <w:shd w:val="clear" w:color="auto" w:fill="auto"/>
            <w:vAlign w:val="center"/>
          </w:tcPr>
          <w:p w14:paraId="18D6706C">
            <w:pPr>
              <w:pStyle w:val="178"/>
            </w:pPr>
            <w:r>
              <w:rPr>
                <w:rFonts w:hint="eastAsia"/>
              </w:rPr>
              <w:t>1</w:t>
            </w:r>
            <w:r>
              <w:t>5</w:t>
            </w:r>
            <w:r>
              <w:rPr>
                <w:rFonts w:hint="eastAsia"/>
              </w:rPr>
              <w:t>（最低限度）</w:t>
            </w:r>
          </w:p>
        </w:tc>
      </w:tr>
    </w:tbl>
    <w:p w14:paraId="3EE080D3">
      <w:pPr>
        <w:pStyle w:val="65"/>
        <w:spacing w:before="156" w:after="156"/>
      </w:pPr>
      <w:bookmarkStart w:id="105" w:name="_Toc183099850"/>
      <w:bookmarkStart w:id="106" w:name="_Toc183100991"/>
      <w:r>
        <w:rPr>
          <w:rFonts w:hint="eastAsia"/>
        </w:rPr>
        <w:t>散装产品</w:t>
      </w:r>
      <w:bookmarkEnd w:id="105"/>
      <w:bookmarkEnd w:id="106"/>
    </w:p>
    <w:p w14:paraId="45BB053B">
      <w:pPr>
        <w:pStyle w:val="56"/>
        <w:ind w:firstLine="420"/>
      </w:pPr>
      <w:r>
        <w:rPr>
          <w:rFonts w:hint="eastAsia"/>
        </w:rPr>
        <w:t>散装产品按表6的取样量进行抽检。每批货物至少采取5个抽检货物。在个体较大的情况下（大于2kg/个），抽检货物至少由5个个体组成。</w:t>
      </w:r>
    </w:p>
    <w:p w14:paraId="27C2E065">
      <w:pPr>
        <w:pStyle w:val="56"/>
        <w:ind w:firstLine="0" w:firstLineChars="0"/>
      </w:pPr>
    </w:p>
    <w:p w14:paraId="32C47576">
      <w:pPr>
        <w:pStyle w:val="112"/>
        <w:spacing w:before="156" w:after="156"/>
      </w:pPr>
      <w:r>
        <w:rPr>
          <w:rFonts w:hint="eastAsia"/>
        </w:rPr>
        <w:t>散装产品取样方法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4D82E4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35DAFF38">
            <w:pPr>
              <w:pStyle w:val="178"/>
            </w:pPr>
            <w:r>
              <w:rPr>
                <w:rFonts w:hint="eastAsia"/>
              </w:rPr>
              <w:t>批量货物的重量（kg）</w:t>
            </w:r>
          </w:p>
        </w:tc>
        <w:tc>
          <w:tcPr>
            <w:tcW w:w="4667" w:type="dxa"/>
            <w:tcBorders>
              <w:top w:val="single" w:color="auto" w:sz="8" w:space="0"/>
              <w:bottom w:val="single" w:color="auto" w:sz="8" w:space="0"/>
            </w:tcBorders>
            <w:shd w:val="clear" w:color="auto" w:fill="auto"/>
            <w:vAlign w:val="center"/>
          </w:tcPr>
          <w:p w14:paraId="2D7DC888">
            <w:pPr>
              <w:pStyle w:val="178"/>
            </w:pPr>
            <w:r>
              <w:rPr>
                <w:rFonts w:hint="eastAsia"/>
              </w:rPr>
              <w:t>抽检货物总重量（kg）</w:t>
            </w:r>
          </w:p>
        </w:tc>
      </w:tr>
      <w:tr w14:paraId="0A5E4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14:paraId="317CF7C0">
            <w:pPr>
              <w:pStyle w:val="178"/>
            </w:pPr>
            <w:r>
              <w:rPr>
                <w:rFonts w:hint="eastAsia"/>
              </w:rPr>
              <w:t>≤200</w:t>
            </w:r>
          </w:p>
        </w:tc>
        <w:tc>
          <w:tcPr>
            <w:tcW w:w="4667" w:type="dxa"/>
            <w:tcBorders>
              <w:top w:val="single" w:color="auto" w:sz="8" w:space="0"/>
            </w:tcBorders>
            <w:shd w:val="clear" w:color="auto" w:fill="auto"/>
            <w:vAlign w:val="center"/>
          </w:tcPr>
          <w:p w14:paraId="223946CF">
            <w:pPr>
              <w:pStyle w:val="178"/>
            </w:pPr>
            <w:r>
              <w:rPr>
                <w:rFonts w:hint="eastAsia"/>
              </w:rPr>
              <w:t>1</w:t>
            </w:r>
            <w:r>
              <w:t>0</w:t>
            </w:r>
          </w:p>
        </w:tc>
      </w:tr>
      <w:tr w14:paraId="151BE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5DC9F54C">
            <w:pPr>
              <w:pStyle w:val="178"/>
            </w:pPr>
            <w:r>
              <w:rPr>
                <w:rFonts w:hint="eastAsia"/>
              </w:rPr>
              <w:t>201～500</w:t>
            </w:r>
          </w:p>
        </w:tc>
        <w:tc>
          <w:tcPr>
            <w:tcW w:w="4667" w:type="dxa"/>
            <w:shd w:val="clear" w:color="auto" w:fill="auto"/>
            <w:vAlign w:val="center"/>
          </w:tcPr>
          <w:p w14:paraId="27D44305">
            <w:pPr>
              <w:pStyle w:val="178"/>
            </w:pPr>
            <w:r>
              <w:rPr>
                <w:rFonts w:hint="eastAsia"/>
              </w:rPr>
              <w:t>2</w:t>
            </w:r>
            <w:r>
              <w:t>0</w:t>
            </w:r>
          </w:p>
        </w:tc>
      </w:tr>
      <w:tr w14:paraId="6DEEE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6B28B77F">
            <w:pPr>
              <w:pStyle w:val="178"/>
            </w:pPr>
            <w:r>
              <w:rPr>
                <w:rFonts w:hint="eastAsia"/>
              </w:rPr>
              <w:t>501～1000</w:t>
            </w:r>
          </w:p>
        </w:tc>
        <w:tc>
          <w:tcPr>
            <w:tcW w:w="4667" w:type="dxa"/>
            <w:shd w:val="clear" w:color="auto" w:fill="auto"/>
            <w:vAlign w:val="center"/>
          </w:tcPr>
          <w:p w14:paraId="14146838">
            <w:pPr>
              <w:pStyle w:val="178"/>
            </w:pPr>
            <w:r>
              <w:rPr>
                <w:rFonts w:hint="eastAsia"/>
              </w:rPr>
              <w:t>3</w:t>
            </w:r>
            <w:r>
              <w:t>0</w:t>
            </w:r>
          </w:p>
        </w:tc>
      </w:tr>
      <w:tr w14:paraId="28274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00410AA3">
            <w:pPr>
              <w:pStyle w:val="178"/>
            </w:pPr>
            <w:r>
              <w:rPr>
                <w:rFonts w:hint="eastAsia"/>
              </w:rPr>
              <w:t>1001～5000</w:t>
            </w:r>
          </w:p>
        </w:tc>
        <w:tc>
          <w:tcPr>
            <w:tcW w:w="4667" w:type="dxa"/>
            <w:shd w:val="clear" w:color="auto" w:fill="auto"/>
            <w:vAlign w:val="center"/>
          </w:tcPr>
          <w:p w14:paraId="5A41C4CA">
            <w:pPr>
              <w:pStyle w:val="178"/>
            </w:pPr>
            <w:r>
              <w:rPr>
                <w:rFonts w:hint="eastAsia"/>
              </w:rPr>
              <w:t>6</w:t>
            </w:r>
            <w:r>
              <w:t>0</w:t>
            </w:r>
          </w:p>
        </w:tc>
      </w:tr>
      <w:tr w14:paraId="7A6071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14:paraId="06F5BA2D">
            <w:pPr>
              <w:pStyle w:val="178"/>
            </w:pPr>
            <w:r>
              <w:t>&gt;5000</w:t>
            </w:r>
          </w:p>
        </w:tc>
        <w:tc>
          <w:tcPr>
            <w:tcW w:w="4667" w:type="dxa"/>
            <w:shd w:val="clear" w:color="auto" w:fill="auto"/>
            <w:vAlign w:val="center"/>
          </w:tcPr>
          <w:p w14:paraId="1BF3FDE8">
            <w:pPr>
              <w:pStyle w:val="178"/>
            </w:pPr>
            <w:r>
              <w:rPr>
                <w:rFonts w:hint="eastAsia"/>
              </w:rPr>
              <w:t>1</w:t>
            </w:r>
            <w:r>
              <w:t>00</w:t>
            </w:r>
            <w:r>
              <w:rPr>
                <w:rFonts w:hint="eastAsia"/>
              </w:rPr>
              <w:t>（最低限度）</w:t>
            </w:r>
          </w:p>
        </w:tc>
      </w:tr>
    </w:tbl>
    <w:p w14:paraId="42930F18">
      <w:pPr>
        <w:pStyle w:val="105"/>
        <w:spacing w:before="156" w:after="156"/>
      </w:pPr>
      <w:bookmarkStart w:id="107" w:name="_Toc183099851"/>
      <w:bookmarkStart w:id="108" w:name="_Toc183100992"/>
      <w:bookmarkStart w:id="109" w:name="_Toc183101020"/>
      <w:r>
        <w:rPr>
          <w:rFonts w:hint="eastAsia"/>
        </w:rPr>
        <w:t>评定规则</w:t>
      </w:r>
      <w:bookmarkEnd w:id="107"/>
      <w:bookmarkEnd w:id="108"/>
      <w:bookmarkEnd w:id="109"/>
    </w:p>
    <w:p w14:paraId="042E36C8">
      <w:pPr>
        <w:pStyle w:val="65"/>
        <w:spacing w:before="156" w:after="156"/>
      </w:pPr>
      <w:bookmarkStart w:id="110" w:name="_Toc183099852"/>
      <w:bookmarkStart w:id="111" w:name="_Toc183100993"/>
      <w:r>
        <w:rPr>
          <w:rFonts w:hint="eastAsia"/>
        </w:rPr>
        <w:t>符合本文件要求的产品，判定为相应等级规格的产品</w:t>
      </w:r>
      <w:bookmarkEnd w:id="110"/>
      <w:bookmarkEnd w:id="111"/>
    </w:p>
    <w:p w14:paraId="10DE5A31">
      <w:pPr>
        <w:pStyle w:val="65"/>
        <w:spacing w:before="156" w:after="156"/>
      </w:pPr>
      <w:bookmarkStart w:id="112" w:name="_Toc183100994"/>
      <w:bookmarkStart w:id="113" w:name="_Toc183099853"/>
      <w:r>
        <w:rPr>
          <w:rFonts w:hint="eastAsia"/>
        </w:rPr>
        <w:t>若交易双方发生争议，产品可经过加工整理后再申请重新抽样检验，以重检的结果为评定的依据，重检以一次为限。</w:t>
      </w:r>
      <w:bookmarkEnd w:id="112"/>
      <w:bookmarkEnd w:id="113"/>
    </w:p>
    <w:p w14:paraId="03C0F063">
      <w:pPr>
        <w:pStyle w:val="65"/>
        <w:spacing w:before="156" w:after="156"/>
      </w:pPr>
      <w:bookmarkStart w:id="114" w:name="_Toc183099854"/>
      <w:bookmarkStart w:id="115" w:name="_Toc183100995"/>
      <w:r>
        <w:rPr>
          <w:rFonts w:hint="eastAsia"/>
        </w:rPr>
        <w:t>每批受检椰子果，按其商品品质和大小抽样检验，各筐/箱不合格品百分率按其平均值计算，但总计不得超过所属等级规定限度范围。如果不合格品百分率超过规定限度时，则应降到相应的等级或作等外品处理。</w:t>
      </w:r>
      <w:bookmarkEnd w:id="114"/>
      <w:bookmarkEnd w:id="115"/>
    </w:p>
    <w:p w14:paraId="5C5686A6">
      <w:pPr>
        <w:pStyle w:val="104"/>
        <w:spacing w:before="312" w:after="312"/>
      </w:pPr>
      <w:bookmarkStart w:id="116" w:name="_Toc183101021"/>
      <w:bookmarkStart w:id="117" w:name="_Toc183099855"/>
      <w:bookmarkStart w:id="118" w:name="_Toc183100996"/>
      <w:bookmarkStart w:id="119" w:name="_Toc183101009"/>
      <w:r>
        <w:rPr>
          <w:rFonts w:hint="eastAsia"/>
        </w:rPr>
        <w:t>包装</w:t>
      </w:r>
      <w:bookmarkEnd w:id="116"/>
      <w:bookmarkEnd w:id="117"/>
      <w:bookmarkEnd w:id="118"/>
      <w:bookmarkEnd w:id="119"/>
    </w:p>
    <w:p w14:paraId="48214C73">
      <w:pPr>
        <w:pStyle w:val="105"/>
        <w:spacing w:before="156" w:after="156"/>
      </w:pPr>
      <w:bookmarkStart w:id="120" w:name="_Toc183099856"/>
      <w:bookmarkStart w:id="121" w:name="_Toc183101022"/>
      <w:bookmarkStart w:id="122" w:name="_Toc183100997"/>
      <w:r>
        <w:rPr>
          <w:rFonts w:hint="eastAsia"/>
        </w:rPr>
        <w:t>一致性</w:t>
      </w:r>
      <w:bookmarkEnd w:id="120"/>
      <w:bookmarkEnd w:id="121"/>
      <w:bookmarkEnd w:id="122"/>
    </w:p>
    <w:p w14:paraId="14957397">
      <w:pPr>
        <w:pStyle w:val="56"/>
        <w:ind w:firstLine="420"/>
      </w:pPr>
      <w:r>
        <w:rPr>
          <w:rFonts w:hint="eastAsia"/>
        </w:rPr>
        <w:t>同一包装容器中的鲜食椰子的产地、品种应一样，质量和大小均一。</w:t>
      </w:r>
    </w:p>
    <w:p w14:paraId="0DB2CBF1">
      <w:pPr>
        <w:pStyle w:val="105"/>
        <w:spacing w:before="156" w:after="156"/>
      </w:pPr>
      <w:bookmarkStart w:id="123" w:name="_Toc183099857"/>
      <w:bookmarkStart w:id="124" w:name="_Toc183100998"/>
      <w:bookmarkStart w:id="125" w:name="_Toc183101023"/>
      <w:r>
        <w:rPr>
          <w:rFonts w:hint="eastAsia"/>
        </w:rPr>
        <w:t>包装材料</w:t>
      </w:r>
      <w:bookmarkEnd w:id="123"/>
      <w:bookmarkEnd w:id="124"/>
      <w:bookmarkEnd w:id="125"/>
    </w:p>
    <w:p w14:paraId="5642BD70">
      <w:pPr>
        <w:pStyle w:val="56"/>
        <w:ind w:firstLine="420"/>
      </w:pPr>
      <w:r>
        <w:rPr>
          <w:rFonts w:hint="eastAsia"/>
        </w:rPr>
        <w:t>包装容器应符合质量、卫生、透气性和强度要求，以保证椰子果适宜处理、运输和储存。</w:t>
      </w:r>
    </w:p>
    <w:p w14:paraId="0E53573B">
      <w:pPr>
        <w:pStyle w:val="104"/>
        <w:spacing w:before="312" w:after="312"/>
      </w:pPr>
      <w:bookmarkStart w:id="126" w:name="_Toc183099858"/>
      <w:bookmarkStart w:id="127" w:name="_Toc183101010"/>
      <w:bookmarkStart w:id="128" w:name="_Toc183100999"/>
      <w:bookmarkStart w:id="129" w:name="_Toc183101024"/>
      <w:r>
        <w:rPr>
          <w:rFonts w:hint="eastAsia"/>
        </w:rPr>
        <w:t>标识和贮运</w:t>
      </w:r>
      <w:bookmarkEnd w:id="126"/>
      <w:bookmarkEnd w:id="127"/>
      <w:bookmarkEnd w:id="128"/>
      <w:bookmarkEnd w:id="129"/>
    </w:p>
    <w:p w14:paraId="0307E765">
      <w:pPr>
        <w:pStyle w:val="105"/>
        <w:spacing w:before="156" w:after="156"/>
      </w:pPr>
      <w:bookmarkStart w:id="130" w:name="_Toc183099859"/>
      <w:bookmarkStart w:id="131" w:name="_Toc183101000"/>
      <w:bookmarkStart w:id="132" w:name="_Toc183101025"/>
      <w:r>
        <w:rPr>
          <w:rFonts w:hint="eastAsia"/>
        </w:rPr>
        <w:t>标志、标签</w:t>
      </w:r>
      <w:bookmarkEnd w:id="130"/>
      <w:bookmarkEnd w:id="131"/>
      <w:bookmarkEnd w:id="132"/>
    </w:p>
    <w:p w14:paraId="35BC3E2A">
      <w:pPr>
        <w:pStyle w:val="56"/>
        <w:ind w:firstLine="420"/>
      </w:pPr>
      <w:r>
        <w:rPr>
          <w:rFonts w:hint="eastAsia"/>
        </w:rPr>
        <w:t>包装图示应符合G</w:t>
      </w:r>
      <w:r>
        <w:t>B/T191</w:t>
      </w:r>
      <w:r>
        <w:rPr>
          <w:rFonts w:hint="eastAsia"/>
        </w:rPr>
        <w:t>的要求。标识应符合N</w:t>
      </w:r>
      <w:r>
        <w:t>Y/T1778</w:t>
      </w:r>
      <w:r>
        <w:rPr>
          <w:rFonts w:hint="eastAsia"/>
        </w:rPr>
        <w:t>的要求。包装物上应有明显标识，内容包括产品名称、等级、规格、产品执行标准编号、生产或供应商、详细地址、净含量和采收、包装日期。如需冷藏保鲜，应注明其保存方式。标注内容应字迹清晰、规范、完整。</w:t>
      </w:r>
    </w:p>
    <w:p w14:paraId="3C936B8E">
      <w:pPr>
        <w:pStyle w:val="105"/>
        <w:spacing w:before="156" w:after="156"/>
      </w:pPr>
      <w:bookmarkStart w:id="133" w:name="_Toc183101001"/>
      <w:bookmarkStart w:id="134" w:name="_Toc183101026"/>
      <w:bookmarkStart w:id="135" w:name="_Toc183099860"/>
      <w:r>
        <w:rPr>
          <w:rFonts w:hint="eastAsia"/>
        </w:rPr>
        <w:t>贮运</w:t>
      </w:r>
      <w:bookmarkEnd w:id="133"/>
      <w:bookmarkEnd w:id="134"/>
      <w:bookmarkEnd w:id="135"/>
    </w:p>
    <w:p w14:paraId="7A2DACB2">
      <w:pPr>
        <w:pStyle w:val="56"/>
        <w:ind w:firstLine="420"/>
      </w:pPr>
      <w:r>
        <w:rPr>
          <w:rFonts w:hint="eastAsia"/>
        </w:rPr>
        <w:t>产品不宜长期贮存，不与有毒、有异味、发霉、易于传播病虫的物品同处贮存或混放。贮存库内温度不宜过高，应保持清洁、卫生、干燥、通风良好。运输工具应清洁、卫生、防雨、防潮、隔热。产品不应与有毒、有异味、有害物品混装、混运。</w:t>
      </w:r>
    </w:p>
    <w:p w14:paraId="0FCACD24">
      <w:pPr>
        <w:pStyle w:val="198"/>
      </w:pPr>
    </w:p>
    <w:p w14:paraId="44F276F9">
      <w:pPr>
        <w:pStyle w:val="199"/>
        <w:sectPr>
          <w:pgSz w:w="11906" w:h="16838"/>
          <w:pgMar w:top="2410" w:right="1134" w:bottom="1134" w:left="1134" w:header="1418" w:footer="1134" w:gutter="284"/>
          <w:pgNumType w:start="1"/>
          <w:cols w:space="425" w:num="1"/>
          <w:formProt w:val="0"/>
          <w:docGrid w:type="lines" w:linePitch="312" w:charSpace="0"/>
        </w:sectPr>
      </w:pPr>
    </w:p>
    <w:bookmarkEnd w:id="29"/>
    <w:p w14:paraId="3CF4D788">
      <w:pPr>
        <w:pStyle w:val="198"/>
      </w:pPr>
      <w:bookmarkStart w:id="136" w:name="BookMark5"/>
    </w:p>
    <w:p w14:paraId="491E474C">
      <w:pPr>
        <w:pStyle w:val="199"/>
      </w:pPr>
    </w:p>
    <w:p w14:paraId="26FC4FB8">
      <w:pPr>
        <w:pStyle w:val="76"/>
        <w:spacing w:before="78" w:after="156"/>
      </w:pPr>
      <w:r>
        <w:br w:type="textWrapping"/>
      </w:r>
      <w:r>
        <w:rPr>
          <w:rFonts w:hint="eastAsia"/>
        </w:rPr>
        <w:t>（资料性）</w:t>
      </w:r>
      <w:r>
        <w:br w:type="textWrapping"/>
      </w:r>
      <w:r>
        <w:rPr>
          <w:rFonts w:hint="eastAsia"/>
        </w:rPr>
        <w:t>鲜食椰子整果、圆锥型椰青和去壳椰子实物彩色图片</w:t>
      </w:r>
    </w:p>
    <w:p w14:paraId="3FAF1DF5">
      <w:pPr>
        <w:pStyle w:val="56"/>
        <w:ind w:firstLine="1470" w:firstLineChars="700"/>
      </w:pPr>
      <w:r>
        <w:drawing>
          <wp:inline distT="0" distB="0" distL="0" distR="0">
            <wp:extent cx="1988820" cy="1489075"/>
            <wp:effectExtent l="0" t="0" r="0" b="0"/>
            <wp:docPr id="6375574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57481"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95541" cy="1494408"/>
                    </a:xfrm>
                    <a:prstGeom prst="rect">
                      <a:avLst/>
                    </a:prstGeom>
                    <a:noFill/>
                    <a:ln>
                      <a:noFill/>
                    </a:ln>
                  </pic:spPr>
                </pic:pic>
              </a:graphicData>
            </a:graphic>
          </wp:inline>
        </w:drawing>
      </w:r>
      <w:r>
        <w:rPr>
          <w:rFonts w:hint="eastAsia"/>
        </w:rPr>
        <w:t xml:space="preserve">    </w:t>
      </w:r>
      <w:r>
        <w:drawing>
          <wp:inline distT="0" distB="0" distL="0" distR="0">
            <wp:extent cx="1633220" cy="1225550"/>
            <wp:effectExtent l="0" t="0" r="5080" b="0"/>
            <wp:docPr id="14318117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811759"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45448" cy="1234704"/>
                    </a:xfrm>
                    <a:prstGeom prst="rect">
                      <a:avLst/>
                    </a:prstGeom>
                    <a:noFill/>
                    <a:ln>
                      <a:noFill/>
                    </a:ln>
                  </pic:spPr>
                </pic:pic>
              </a:graphicData>
            </a:graphic>
          </wp:inline>
        </w:drawing>
      </w:r>
    </w:p>
    <w:p w14:paraId="229D6AB1">
      <w:pPr>
        <w:pStyle w:val="83"/>
        <w:spacing w:before="156" w:after="156"/>
      </w:pPr>
      <w:r>
        <w:rPr>
          <w:rFonts w:hint="eastAsia"/>
        </w:rPr>
        <w:t>鲜食椰子整果</w:t>
      </w:r>
    </w:p>
    <w:p w14:paraId="214E834B">
      <w:pPr>
        <w:pStyle w:val="56"/>
        <w:ind w:firstLine="420"/>
      </w:pPr>
      <w:r>
        <w:drawing>
          <wp:inline distT="0" distB="0" distL="0" distR="0">
            <wp:extent cx="4961255" cy="1591945"/>
            <wp:effectExtent l="0" t="0" r="0" b="0"/>
            <wp:docPr id="9976570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57061"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961255" cy="1591945"/>
                    </a:xfrm>
                    <a:prstGeom prst="rect">
                      <a:avLst/>
                    </a:prstGeom>
                    <a:noFill/>
                    <a:ln>
                      <a:noFill/>
                    </a:ln>
                  </pic:spPr>
                </pic:pic>
              </a:graphicData>
            </a:graphic>
          </wp:inline>
        </w:drawing>
      </w:r>
    </w:p>
    <w:p w14:paraId="52B28290">
      <w:pPr>
        <w:pStyle w:val="83"/>
        <w:spacing w:before="156" w:after="156"/>
      </w:pPr>
      <w:r>
        <w:rPr>
          <w:rFonts w:hint="eastAsia"/>
        </w:rPr>
        <w:t>圆锥型椰青（左：见皮椰青；中：见皮椰青；右：无皮椰青）</w:t>
      </w:r>
    </w:p>
    <w:p w14:paraId="1A6B8D40">
      <w:pPr>
        <w:pStyle w:val="56"/>
        <w:ind w:firstLine="420"/>
        <w:jc w:val="center"/>
      </w:pPr>
      <w:r>
        <w:drawing>
          <wp:inline distT="0" distB="0" distL="0" distR="0">
            <wp:extent cx="2547620" cy="1406525"/>
            <wp:effectExtent l="0" t="0" r="0" b="3175"/>
            <wp:docPr id="7025830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83021"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72809" cy="1420428"/>
                    </a:xfrm>
                    <a:prstGeom prst="rect">
                      <a:avLst/>
                    </a:prstGeom>
                    <a:noFill/>
                    <a:ln>
                      <a:noFill/>
                    </a:ln>
                  </pic:spPr>
                </pic:pic>
              </a:graphicData>
            </a:graphic>
          </wp:inline>
        </w:drawing>
      </w:r>
    </w:p>
    <w:p w14:paraId="64385518">
      <w:pPr>
        <w:pStyle w:val="83"/>
        <w:spacing w:before="156" w:after="156"/>
      </w:pPr>
      <w:r>
        <w:rPr>
          <w:rFonts w:hint="eastAsia"/>
        </w:rPr>
        <w:t>去壳椰子</w:t>
      </w:r>
      <w:bookmarkEnd w:id="136"/>
      <w:r>
        <w:rPr>
          <w:rFonts w:hint="eastAsia"/>
        </w:rPr>
        <w:t>（左：椰白；右：椰皇）</w:t>
      </w: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EDEE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A5F1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CCDA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EB75">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B500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BB8E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9536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5DB7A">
    <w:pPr>
      <w:pStyle w:val="61"/>
    </w:pPr>
    <w:r>
      <w:fldChar w:fldCharType="begin"/>
    </w:r>
    <w:r>
      <w:instrText xml:space="preserve"> STYLEREF  标准文件_文件编号  \* MERGEFORMAT </w:instrText>
    </w:r>
    <w:r>
      <w:fldChar w:fldCharType="separate"/>
    </w:r>
    <w:r>
      <w:t>DB 46/T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12F8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5813"/>
        </w:tabs>
        <w:ind w:left="5813"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4537"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4254"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8a36VRYTGrn1GZS0Ht+jkJesUbTStrt4RPTCM7goUOgKmEDwCYzZqCpI1iVSvAJIh8rBeXjdE4Z2fCwADo9xkQ==" w:salt="GQHhElPkk+uGReAHklNBE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jZmM0NGEyY2IwOGI4MGM3NzBlMTE1NTc2YjIwZTQifQ=="/>
  </w:docVars>
  <w:rsids>
    <w:rsidRoot w:val="005E1AEE"/>
    <w:rsid w:val="0000040A"/>
    <w:rsid w:val="00000A94"/>
    <w:rsid w:val="00001972"/>
    <w:rsid w:val="00001D9A"/>
    <w:rsid w:val="000021A3"/>
    <w:rsid w:val="000029F2"/>
    <w:rsid w:val="00003114"/>
    <w:rsid w:val="000078CF"/>
    <w:rsid w:val="00007AC1"/>
    <w:rsid w:val="00007B3A"/>
    <w:rsid w:val="00007C45"/>
    <w:rsid w:val="0001046F"/>
    <w:rsid w:val="000107E0"/>
    <w:rsid w:val="00011FDE"/>
    <w:rsid w:val="00012FFD"/>
    <w:rsid w:val="00014162"/>
    <w:rsid w:val="00014340"/>
    <w:rsid w:val="00015DB8"/>
    <w:rsid w:val="0001609F"/>
    <w:rsid w:val="0001619E"/>
    <w:rsid w:val="00016A9C"/>
    <w:rsid w:val="00017411"/>
    <w:rsid w:val="00021CEE"/>
    <w:rsid w:val="00022184"/>
    <w:rsid w:val="00022762"/>
    <w:rsid w:val="000238E0"/>
    <w:rsid w:val="000249DB"/>
    <w:rsid w:val="0002595E"/>
    <w:rsid w:val="00026A9B"/>
    <w:rsid w:val="000278DA"/>
    <w:rsid w:val="000303C3"/>
    <w:rsid w:val="00030A67"/>
    <w:rsid w:val="0003159B"/>
    <w:rsid w:val="000331D3"/>
    <w:rsid w:val="000346A5"/>
    <w:rsid w:val="000359C3"/>
    <w:rsid w:val="00035A7D"/>
    <w:rsid w:val="000365ED"/>
    <w:rsid w:val="00036E42"/>
    <w:rsid w:val="0004107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A18"/>
    <w:rsid w:val="00073C8C"/>
    <w:rsid w:val="00075714"/>
    <w:rsid w:val="00077B64"/>
    <w:rsid w:val="00080A1C"/>
    <w:rsid w:val="00080E0B"/>
    <w:rsid w:val="00082317"/>
    <w:rsid w:val="00083D2C"/>
    <w:rsid w:val="000864A6"/>
    <w:rsid w:val="00086AA1"/>
    <w:rsid w:val="00087A77"/>
    <w:rsid w:val="00090CA6"/>
    <w:rsid w:val="00091717"/>
    <w:rsid w:val="00091CDA"/>
    <w:rsid w:val="00092B8A"/>
    <w:rsid w:val="00092FB0"/>
    <w:rsid w:val="000934C5"/>
    <w:rsid w:val="00093BBA"/>
    <w:rsid w:val="00093D25"/>
    <w:rsid w:val="00093DAB"/>
    <w:rsid w:val="00094696"/>
    <w:rsid w:val="00094D73"/>
    <w:rsid w:val="00096D63"/>
    <w:rsid w:val="000A00D1"/>
    <w:rsid w:val="000A0B60"/>
    <w:rsid w:val="000A0EB8"/>
    <w:rsid w:val="000A17BF"/>
    <w:rsid w:val="000A19FC"/>
    <w:rsid w:val="000A296B"/>
    <w:rsid w:val="000A40F1"/>
    <w:rsid w:val="000A48CE"/>
    <w:rsid w:val="000A7311"/>
    <w:rsid w:val="000B060F"/>
    <w:rsid w:val="000B1592"/>
    <w:rsid w:val="000B1FF2"/>
    <w:rsid w:val="000B3CDA"/>
    <w:rsid w:val="000B41C2"/>
    <w:rsid w:val="000B5BDC"/>
    <w:rsid w:val="000B5F5E"/>
    <w:rsid w:val="000B6A0B"/>
    <w:rsid w:val="000B6C77"/>
    <w:rsid w:val="000B720E"/>
    <w:rsid w:val="000C0500"/>
    <w:rsid w:val="000C0F6C"/>
    <w:rsid w:val="000C11DB"/>
    <w:rsid w:val="000C1492"/>
    <w:rsid w:val="000C2FBD"/>
    <w:rsid w:val="000C4B41"/>
    <w:rsid w:val="000C541D"/>
    <w:rsid w:val="000C57D6"/>
    <w:rsid w:val="000C6362"/>
    <w:rsid w:val="000C7666"/>
    <w:rsid w:val="000D0A9C"/>
    <w:rsid w:val="000D1003"/>
    <w:rsid w:val="000D1795"/>
    <w:rsid w:val="000D329A"/>
    <w:rsid w:val="000D3585"/>
    <w:rsid w:val="000D4B9C"/>
    <w:rsid w:val="000D4EB6"/>
    <w:rsid w:val="000D5EB6"/>
    <w:rsid w:val="000D72D7"/>
    <w:rsid w:val="000D753B"/>
    <w:rsid w:val="000E1C2C"/>
    <w:rsid w:val="000E1DCF"/>
    <w:rsid w:val="000E3A29"/>
    <w:rsid w:val="000E4C9E"/>
    <w:rsid w:val="000E6FD7"/>
    <w:rsid w:val="000F06E1"/>
    <w:rsid w:val="000F0E3C"/>
    <w:rsid w:val="000F19D5"/>
    <w:rsid w:val="000F3CA7"/>
    <w:rsid w:val="000F4AEA"/>
    <w:rsid w:val="000F633F"/>
    <w:rsid w:val="000F67E9"/>
    <w:rsid w:val="00104926"/>
    <w:rsid w:val="001079C6"/>
    <w:rsid w:val="00111D68"/>
    <w:rsid w:val="0011235D"/>
    <w:rsid w:val="00112B00"/>
    <w:rsid w:val="00113B1E"/>
    <w:rsid w:val="00113D40"/>
    <w:rsid w:val="00114DD1"/>
    <w:rsid w:val="001161FB"/>
    <w:rsid w:val="0011711C"/>
    <w:rsid w:val="001172B4"/>
    <w:rsid w:val="001200ED"/>
    <w:rsid w:val="0012059C"/>
    <w:rsid w:val="00122692"/>
    <w:rsid w:val="00124E4F"/>
    <w:rsid w:val="001260B7"/>
    <w:rsid w:val="001265CB"/>
    <w:rsid w:val="001321C6"/>
    <w:rsid w:val="001325C4"/>
    <w:rsid w:val="00133010"/>
    <w:rsid w:val="001338EE"/>
    <w:rsid w:val="00133AAE"/>
    <w:rsid w:val="00135323"/>
    <w:rsid w:val="001356C4"/>
    <w:rsid w:val="001361A0"/>
    <w:rsid w:val="001365CA"/>
    <w:rsid w:val="0013696B"/>
    <w:rsid w:val="00141114"/>
    <w:rsid w:val="00142969"/>
    <w:rsid w:val="00144052"/>
    <w:rsid w:val="001446C2"/>
    <w:rsid w:val="00145333"/>
    <w:rsid w:val="001457E7"/>
    <w:rsid w:val="00145D9D"/>
    <w:rsid w:val="00146388"/>
    <w:rsid w:val="00146ECB"/>
    <w:rsid w:val="001529E5"/>
    <w:rsid w:val="00153C7E"/>
    <w:rsid w:val="001550E4"/>
    <w:rsid w:val="00156B25"/>
    <w:rsid w:val="00156E1A"/>
    <w:rsid w:val="00157894"/>
    <w:rsid w:val="00157B55"/>
    <w:rsid w:val="00160204"/>
    <w:rsid w:val="001617AD"/>
    <w:rsid w:val="001619A2"/>
    <w:rsid w:val="00162726"/>
    <w:rsid w:val="001642FA"/>
    <w:rsid w:val="001649EB"/>
    <w:rsid w:val="00164BAF"/>
    <w:rsid w:val="00164FA8"/>
    <w:rsid w:val="00165065"/>
    <w:rsid w:val="0016524F"/>
    <w:rsid w:val="00165434"/>
    <w:rsid w:val="0016580B"/>
    <w:rsid w:val="00165F49"/>
    <w:rsid w:val="00166B88"/>
    <w:rsid w:val="0016770A"/>
    <w:rsid w:val="0017054C"/>
    <w:rsid w:val="00170804"/>
    <w:rsid w:val="001708E9"/>
    <w:rsid w:val="001726B2"/>
    <w:rsid w:val="0017340B"/>
    <w:rsid w:val="00173FB1"/>
    <w:rsid w:val="0017599B"/>
    <w:rsid w:val="00176DFD"/>
    <w:rsid w:val="00180B6D"/>
    <w:rsid w:val="001836B5"/>
    <w:rsid w:val="001837A8"/>
    <w:rsid w:val="001852C9"/>
    <w:rsid w:val="00190087"/>
    <w:rsid w:val="001913C4"/>
    <w:rsid w:val="0019348F"/>
    <w:rsid w:val="00193A07"/>
    <w:rsid w:val="00194521"/>
    <w:rsid w:val="00194C95"/>
    <w:rsid w:val="00195C34"/>
    <w:rsid w:val="00196B8B"/>
    <w:rsid w:val="00196EF5"/>
    <w:rsid w:val="001A0E73"/>
    <w:rsid w:val="001A1A53"/>
    <w:rsid w:val="001A234A"/>
    <w:rsid w:val="001A4CF3"/>
    <w:rsid w:val="001A7D73"/>
    <w:rsid w:val="001B0595"/>
    <w:rsid w:val="001B06E8"/>
    <w:rsid w:val="001B270B"/>
    <w:rsid w:val="001B62BD"/>
    <w:rsid w:val="001B69B8"/>
    <w:rsid w:val="001B70B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0F2"/>
    <w:rsid w:val="001E339A"/>
    <w:rsid w:val="001E3CC4"/>
    <w:rsid w:val="001E4022"/>
    <w:rsid w:val="001E4882"/>
    <w:rsid w:val="001E73AB"/>
    <w:rsid w:val="001F092D"/>
    <w:rsid w:val="001F143A"/>
    <w:rsid w:val="001F1605"/>
    <w:rsid w:val="001F2508"/>
    <w:rsid w:val="001F2997"/>
    <w:rsid w:val="001F4006"/>
    <w:rsid w:val="001F4816"/>
    <w:rsid w:val="001F4EE9"/>
    <w:rsid w:val="001F69B4"/>
    <w:rsid w:val="001F7041"/>
    <w:rsid w:val="001F77C7"/>
    <w:rsid w:val="00200183"/>
    <w:rsid w:val="00200333"/>
    <w:rsid w:val="0020107D"/>
    <w:rsid w:val="00201433"/>
    <w:rsid w:val="00202AA4"/>
    <w:rsid w:val="002031F7"/>
    <w:rsid w:val="002040E6"/>
    <w:rsid w:val="0020527B"/>
    <w:rsid w:val="00205F2C"/>
    <w:rsid w:val="0020644A"/>
    <w:rsid w:val="00206CD6"/>
    <w:rsid w:val="00207674"/>
    <w:rsid w:val="00210B15"/>
    <w:rsid w:val="002142EA"/>
    <w:rsid w:val="0021496C"/>
    <w:rsid w:val="00214A19"/>
    <w:rsid w:val="00216058"/>
    <w:rsid w:val="002204BB"/>
    <w:rsid w:val="00221B79"/>
    <w:rsid w:val="00221C6B"/>
    <w:rsid w:val="002253A1"/>
    <w:rsid w:val="00225CF8"/>
    <w:rsid w:val="00227150"/>
    <w:rsid w:val="0022794E"/>
    <w:rsid w:val="00227E0A"/>
    <w:rsid w:val="00233D64"/>
    <w:rsid w:val="0023482A"/>
    <w:rsid w:val="002359CB"/>
    <w:rsid w:val="00237369"/>
    <w:rsid w:val="00237A63"/>
    <w:rsid w:val="00242635"/>
    <w:rsid w:val="00243540"/>
    <w:rsid w:val="00243B34"/>
    <w:rsid w:val="0024497B"/>
    <w:rsid w:val="0024515B"/>
    <w:rsid w:val="00245F1F"/>
    <w:rsid w:val="00246021"/>
    <w:rsid w:val="0024666E"/>
    <w:rsid w:val="00247DF4"/>
    <w:rsid w:val="00247F52"/>
    <w:rsid w:val="00250B25"/>
    <w:rsid w:val="00250BBE"/>
    <w:rsid w:val="002515C2"/>
    <w:rsid w:val="0025194F"/>
    <w:rsid w:val="00254B7D"/>
    <w:rsid w:val="00255C12"/>
    <w:rsid w:val="0026148A"/>
    <w:rsid w:val="00262081"/>
    <w:rsid w:val="00262696"/>
    <w:rsid w:val="00263492"/>
    <w:rsid w:val="00263D25"/>
    <w:rsid w:val="00264269"/>
    <w:rsid w:val="002643C3"/>
    <w:rsid w:val="00264A0C"/>
    <w:rsid w:val="00266EEB"/>
    <w:rsid w:val="00267EF4"/>
    <w:rsid w:val="00270CB8"/>
    <w:rsid w:val="00272B08"/>
    <w:rsid w:val="00272CFF"/>
    <w:rsid w:val="00273475"/>
    <w:rsid w:val="00275876"/>
    <w:rsid w:val="002762E4"/>
    <w:rsid w:val="002778B6"/>
    <w:rsid w:val="0028055A"/>
    <w:rsid w:val="0028100C"/>
    <w:rsid w:val="00281BB8"/>
    <w:rsid w:val="00281E9E"/>
    <w:rsid w:val="00282405"/>
    <w:rsid w:val="00282637"/>
    <w:rsid w:val="0028269E"/>
    <w:rsid w:val="002840E5"/>
    <w:rsid w:val="00284F6E"/>
    <w:rsid w:val="00285170"/>
    <w:rsid w:val="00285361"/>
    <w:rsid w:val="0029158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8DF"/>
    <w:rsid w:val="002A5977"/>
    <w:rsid w:val="002A5A13"/>
    <w:rsid w:val="002A687E"/>
    <w:rsid w:val="002A72E4"/>
    <w:rsid w:val="002A757F"/>
    <w:rsid w:val="002A77BC"/>
    <w:rsid w:val="002A7F44"/>
    <w:rsid w:val="002B0C40"/>
    <w:rsid w:val="002B1966"/>
    <w:rsid w:val="002B19BB"/>
    <w:rsid w:val="002B25FF"/>
    <w:rsid w:val="002B4508"/>
    <w:rsid w:val="002B5779"/>
    <w:rsid w:val="002B7332"/>
    <w:rsid w:val="002B7F51"/>
    <w:rsid w:val="002C0785"/>
    <w:rsid w:val="002C09E7"/>
    <w:rsid w:val="002C1E06"/>
    <w:rsid w:val="002C1E1C"/>
    <w:rsid w:val="002C2585"/>
    <w:rsid w:val="002C3F07"/>
    <w:rsid w:val="002C418C"/>
    <w:rsid w:val="002C5278"/>
    <w:rsid w:val="002C7EBB"/>
    <w:rsid w:val="002D06C1"/>
    <w:rsid w:val="002D3217"/>
    <w:rsid w:val="002D42B5"/>
    <w:rsid w:val="002D4F1A"/>
    <w:rsid w:val="002D6EC6"/>
    <w:rsid w:val="002D79AC"/>
    <w:rsid w:val="002E039D"/>
    <w:rsid w:val="002E4D5A"/>
    <w:rsid w:val="002E6326"/>
    <w:rsid w:val="002F0AC1"/>
    <w:rsid w:val="002F30E0"/>
    <w:rsid w:val="002F35E4"/>
    <w:rsid w:val="002F3730"/>
    <w:rsid w:val="002F38E1"/>
    <w:rsid w:val="002F48F7"/>
    <w:rsid w:val="002F59D0"/>
    <w:rsid w:val="002F7AF6"/>
    <w:rsid w:val="00300E63"/>
    <w:rsid w:val="003011B1"/>
    <w:rsid w:val="00302908"/>
    <w:rsid w:val="00302F5F"/>
    <w:rsid w:val="0030441D"/>
    <w:rsid w:val="00306063"/>
    <w:rsid w:val="00307B72"/>
    <w:rsid w:val="00313B85"/>
    <w:rsid w:val="00315F1D"/>
    <w:rsid w:val="00317100"/>
    <w:rsid w:val="00317988"/>
    <w:rsid w:val="003221B4"/>
    <w:rsid w:val="0032258D"/>
    <w:rsid w:val="00322E62"/>
    <w:rsid w:val="00324D13"/>
    <w:rsid w:val="00324D2A"/>
    <w:rsid w:val="00324EDD"/>
    <w:rsid w:val="003260C9"/>
    <w:rsid w:val="00327195"/>
    <w:rsid w:val="00327982"/>
    <w:rsid w:val="00330E46"/>
    <w:rsid w:val="0033279C"/>
    <w:rsid w:val="00332BCB"/>
    <w:rsid w:val="00332F13"/>
    <w:rsid w:val="003331E4"/>
    <w:rsid w:val="00334E82"/>
    <w:rsid w:val="0033666F"/>
    <w:rsid w:val="00336C64"/>
    <w:rsid w:val="00337162"/>
    <w:rsid w:val="00340F9D"/>
    <w:rsid w:val="0034194F"/>
    <w:rsid w:val="00344605"/>
    <w:rsid w:val="003474AA"/>
    <w:rsid w:val="003477D2"/>
    <w:rsid w:val="00350D1D"/>
    <w:rsid w:val="003513CB"/>
    <w:rsid w:val="00351632"/>
    <w:rsid w:val="00352C83"/>
    <w:rsid w:val="00357635"/>
    <w:rsid w:val="003604B4"/>
    <w:rsid w:val="00360AE7"/>
    <w:rsid w:val="0036136C"/>
    <w:rsid w:val="003615D2"/>
    <w:rsid w:val="0036429C"/>
    <w:rsid w:val="00364A53"/>
    <w:rsid w:val="003654CB"/>
    <w:rsid w:val="003656DC"/>
    <w:rsid w:val="00365AA9"/>
    <w:rsid w:val="00365F86"/>
    <w:rsid w:val="00365F87"/>
    <w:rsid w:val="00366E89"/>
    <w:rsid w:val="00370477"/>
    <w:rsid w:val="003705F4"/>
    <w:rsid w:val="00370802"/>
    <w:rsid w:val="00370D58"/>
    <w:rsid w:val="00371316"/>
    <w:rsid w:val="00373D73"/>
    <w:rsid w:val="00376713"/>
    <w:rsid w:val="0038016D"/>
    <w:rsid w:val="003801DB"/>
    <w:rsid w:val="00381325"/>
    <w:rsid w:val="00381815"/>
    <w:rsid w:val="003819AF"/>
    <w:rsid w:val="003820E9"/>
    <w:rsid w:val="00382DE7"/>
    <w:rsid w:val="00384FFC"/>
    <w:rsid w:val="00385CB2"/>
    <w:rsid w:val="0038722E"/>
    <w:rsid w:val="003872FC"/>
    <w:rsid w:val="00387ADC"/>
    <w:rsid w:val="00390020"/>
    <w:rsid w:val="003903D6"/>
    <w:rsid w:val="00390EE6"/>
    <w:rsid w:val="0039118F"/>
    <w:rsid w:val="00392AD7"/>
    <w:rsid w:val="003938D9"/>
    <w:rsid w:val="00394376"/>
    <w:rsid w:val="003943FF"/>
    <w:rsid w:val="00395700"/>
    <w:rsid w:val="003964D3"/>
    <w:rsid w:val="003974EB"/>
    <w:rsid w:val="00397C90"/>
    <w:rsid w:val="00397CC5"/>
    <w:rsid w:val="00397D62"/>
    <w:rsid w:val="003A0BB0"/>
    <w:rsid w:val="003A116D"/>
    <w:rsid w:val="003A1582"/>
    <w:rsid w:val="003A34FE"/>
    <w:rsid w:val="003A4077"/>
    <w:rsid w:val="003A668B"/>
    <w:rsid w:val="003B09AD"/>
    <w:rsid w:val="003B1F18"/>
    <w:rsid w:val="003B4D92"/>
    <w:rsid w:val="003B5BF0"/>
    <w:rsid w:val="003B60BF"/>
    <w:rsid w:val="003B6BE3"/>
    <w:rsid w:val="003B74F9"/>
    <w:rsid w:val="003C010C"/>
    <w:rsid w:val="003C0A6C"/>
    <w:rsid w:val="003C14F8"/>
    <w:rsid w:val="003C333B"/>
    <w:rsid w:val="003C384C"/>
    <w:rsid w:val="003C5A43"/>
    <w:rsid w:val="003C658E"/>
    <w:rsid w:val="003C78B2"/>
    <w:rsid w:val="003D0407"/>
    <w:rsid w:val="003D0519"/>
    <w:rsid w:val="003D0FF6"/>
    <w:rsid w:val="003D262C"/>
    <w:rsid w:val="003D450B"/>
    <w:rsid w:val="003D543F"/>
    <w:rsid w:val="003D581B"/>
    <w:rsid w:val="003D642E"/>
    <w:rsid w:val="003D6B13"/>
    <w:rsid w:val="003D6D61"/>
    <w:rsid w:val="003D7D3F"/>
    <w:rsid w:val="003E091D"/>
    <w:rsid w:val="003E1C53"/>
    <w:rsid w:val="003E2A69"/>
    <w:rsid w:val="003E2D49"/>
    <w:rsid w:val="003E2FD4"/>
    <w:rsid w:val="003E49F6"/>
    <w:rsid w:val="003E660F"/>
    <w:rsid w:val="003E79A0"/>
    <w:rsid w:val="003F0841"/>
    <w:rsid w:val="003F1739"/>
    <w:rsid w:val="003F2019"/>
    <w:rsid w:val="003F23D3"/>
    <w:rsid w:val="003F3F08"/>
    <w:rsid w:val="003F400C"/>
    <w:rsid w:val="003F49F1"/>
    <w:rsid w:val="003F6272"/>
    <w:rsid w:val="00400E72"/>
    <w:rsid w:val="00401400"/>
    <w:rsid w:val="00401EE8"/>
    <w:rsid w:val="0040344C"/>
    <w:rsid w:val="00404869"/>
    <w:rsid w:val="00405884"/>
    <w:rsid w:val="00407D39"/>
    <w:rsid w:val="0041477A"/>
    <w:rsid w:val="004167A3"/>
    <w:rsid w:val="00421775"/>
    <w:rsid w:val="00421EC6"/>
    <w:rsid w:val="00431331"/>
    <w:rsid w:val="00432DAA"/>
    <w:rsid w:val="00434305"/>
    <w:rsid w:val="00435DF7"/>
    <w:rsid w:val="0043697E"/>
    <w:rsid w:val="00437522"/>
    <w:rsid w:val="0044083F"/>
    <w:rsid w:val="00441AE7"/>
    <w:rsid w:val="00442307"/>
    <w:rsid w:val="00442739"/>
    <w:rsid w:val="00442B88"/>
    <w:rsid w:val="00445574"/>
    <w:rsid w:val="004467FB"/>
    <w:rsid w:val="00446AAE"/>
    <w:rsid w:val="00452D6B"/>
    <w:rsid w:val="00454484"/>
    <w:rsid w:val="0045517B"/>
    <w:rsid w:val="0045527A"/>
    <w:rsid w:val="004579DE"/>
    <w:rsid w:val="00457BE9"/>
    <w:rsid w:val="00463B77"/>
    <w:rsid w:val="00463C7B"/>
    <w:rsid w:val="004644A6"/>
    <w:rsid w:val="004647EB"/>
    <w:rsid w:val="004659BD"/>
    <w:rsid w:val="00466446"/>
    <w:rsid w:val="00466CE5"/>
    <w:rsid w:val="00470775"/>
    <w:rsid w:val="00471C1B"/>
    <w:rsid w:val="00472465"/>
    <w:rsid w:val="004725D1"/>
    <w:rsid w:val="004746B1"/>
    <w:rsid w:val="0047583F"/>
    <w:rsid w:val="00475DE8"/>
    <w:rsid w:val="00477B94"/>
    <w:rsid w:val="00480328"/>
    <w:rsid w:val="00480586"/>
    <w:rsid w:val="00481C44"/>
    <w:rsid w:val="004834F5"/>
    <w:rsid w:val="00484936"/>
    <w:rsid w:val="00485C89"/>
    <w:rsid w:val="00486BE3"/>
    <w:rsid w:val="004905E4"/>
    <w:rsid w:val="0049060D"/>
    <w:rsid w:val="00490A89"/>
    <w:rsid w:val="00490AB4"/>
    <w:rsid w:val="00491473"/>
    <w:rsid w:val="00492283"/>
    <w:rsid w:val="004923B7"/>
    <w:rsid w:val="00492F02"/>
    <w:rsid w:val="004939AE"/>
    <w:rsid w:val="00494341"/>
    <w:rsid w:val="00496132"/>
    <w:rsid w:val="004A0ED3"/>
    <w:rsid w:val="004A12DF"/>
    <w:rsid w:val="004A17E6"/>
    <w:rsid w:val="004A1BA8"/>
    <w:rsid w:val="004A1BB9"/>
    <w:rsid w:val="004A241A"/>
    <w:rsid w:val="004A25B9"/>
    <w:rsid w:val="004A4B57"/>
    <w:rsid w:val="004A54E7"/>
    <w:rsid w:val="004A63FA"/>
    <w:rsid w:val="004B008C"/>
    <w:rsid w:val="004B0272"/>
    <w:rsid w:val="004B2701"/>
    <w:rsid w:val="004B2E1B"/>
    <w:rsid w:val="004B3AA8"/>
    <w:rsid w:val="004B3E93"/>
    <w:rsid w:val="004B3F6E"/>
    <w:rsid w:val="004C1FBC"/>
    <w:rsid w:val="004C3F1D"/>
    <w:rsid w:val="004C458D"/>
    <w:rsid w:val="004C49A0"/>
    <w:rsid w:val="004C7556"/>
    <w:rsid w:val="004C7E8B"/>
    <w:rsid w:val="004C7E9D"/>
    <w:rsid w:val="004C7F67"/>
    <w:rsid w:val="004D076D"/>
    <w:rsid w:val="004D0BE4"/>
    <w:rsid w:val="004D0EF1"/>
    <w:rsid w:val="004D2253"/>
    <w:rsid w:val="004D4406"/>
    <w:rsid w:val="004D58FF"/>
    <w:rsid w:val="004D7C42"/>
    <w:rsid w:val="004E0465"/>
    <w:rsid w:val="004E127B"/>
    <w:rsid w:val="004E1C0A"/>
    <w:rsid w:val="004E2B06"/>
    <w:rsid w:val="004E2B48"/>
    <w:rsid w:val="004E30C5"/>
    <w:rsid w:val="004E4040"/>
    <w:rsid w:val="004E4AA5"/>
    <w:rsid w:val="004E4AEE"/>
    <w:rsid w:val="004E59E3"/>
    <w:rsid w:val="004E67C0"/>
    <w:rsid w:val="004E7E52"/>
    <w:rsid w:val="004F391A"/>
    <w:rsid w:val="004F3CFB"/>
    <w:rsid w:val="004F6456"/>
    <w:rsid w:val="004F696E"/>
    <w:rsid w:val="004F6C71"/>
    <w:rsid w:val="00500F53"/>
    <w:rsid w:val="00501139"/>
    <w:rsid w:val="00501526"/>
    <w:rsid w:val="0050363E"/>
    <w:rsid w:val="005039BC"/>
    <w:rsid w:val="0050405E"/>
    <w:rsid w:val="005043B6"/>
    <w:rsid w:val="005043BB"/>
    <w:rsid w:val="00504A3D"/>
    <w:rsid w:val="00504FF2"/>
    <w:rsid w:val="00505767"/>
    <w:rsid w:val="005073F0"/>
    <w:rsid w:val="00510A7B"/>
    <w:rsid w:val="00512F6E"/>
    <w:rsid w:val="00513038"/>
    <w:rsid w:val="00514174"/>
    <w:rsid w:val="0051519C"/>
    <w:rsid w:val="00516088"/>
    <w:rsid w:val="00516B0B"/>
    <w:rsid w:val="005220EC"/>
    <w:rsid w:val="00523690"/>
    <w:rsid w:val="005237AD"/>
    <w:rsid w:val="00523F95"/>
    <w:rsid w:val="00524822"/>
    <w:rsid w:val="00524D65"/>
    <w:rsid w:val="00525B16"/>
    <w:rsid w:val="005265C7"/>
    <w:rsid w:val="00533D04"/>
    <w:rsid w:val="00534804"/>
    <w:rsid w:val="00534BDF"/>
    <w:rsid w:val="005354EA"/>
    <w:rsid w:val="0053585F"/>
    <w:rsid w:val="00535EC4"/>
    <w:rsid w:val="00535ED9"/>
    <w:rsid w:val="0053692B"/>
    <w:rsid w:val="005370B5"/>
    <w:rsid w:val="00541738"/>
    <w:rsid w:val="00541853"/>
    <w:rsid w:val="00543BDA"/>
    <w:rsid w:val="005441CC"/>
    <w:rsid w:val="00546A59"/>
    <w:rsid w:val="005479DA"/>
    <w:rsid w:val="00547BCC"/>
    <w:rsid w:val="0055013B"/>
    <w:rsid w:val="00551284"/>
    <w:rsid w:val="00551F6F"/>
    <w:rsid w:val="00553FC7"/>
    <w:rsid w:val="00555044"/>
    <w:rsid w:val="005552DC"/>
    <w:rsid w:val="00555818"/>
    <w:rsid w:val="00557DF8"/>
    <w:rsid w:val="00561475"/>
    <w:rsid w:val="005620FA"/>
    <w:rsid w:val="0056487B"/>
    <w:rsid w:val="00564FB9"/>
    <w:rsid w:val="00570C13"/>
    <w:rsid w:val="0057169F"/>
    <w:rsid w:val="005718C9"/>
    <w:rsid w:val="00571F74"/>
    <w:rsid w:val="00573D9E"/>
    <w:rsid w:val="00576912"/>
    <w:rsid w:val="005774CE"/>
    <w:rsid w:val="00577AE4"/>
    <w:rsid w:val="005801E3"/>
    <w:rsid w:val="00581802"/>
    <w:rsid w:val="005836A8"/>
    <w:rsid w:val="0058409C"/>
    <w:rsid w:val="00584262"/>
    <w:rsid w:val="0058633E"/>
    <w:rsid w:val="00586630"/>
    <w:rsid w:val="0058687A"/>
    <w:rsid w:val="00587ADD"/>
    <w:rsid w:val="00591E27"/>
    <w:rsid w:val="00596160"/>
    <w:rsid w:val="005966E2"/>
    <w:rsid w:val="00597007"/>
    <w:rsid w:val="00597144"/>
    <w:rsid w:val="005973A2"/>
    <w:rsid w:val="005A0966"/>
    <w:rsid w:val="005A11B7"/>
    <w:rsid w:val="005A260B"/>
    <w:rsid w:val="005A4A1B"/>
    <w:rsid w:val="005A5C32"/>
    <w:rsid w:val="005A7830"/>
    <w:rsid w:val="005A7FCE"/>
    <w:rsid w:val="005B06A4"/>
    <w:rsid w:val="005B0CB0"/>
    <w:rsid w:val="005B0DE3"/>
    <w:rsid w:val="005B0F3F"/>
    <w:rsid w:val="005B304F"/>
    <w:rsid w:val="005B3E28"/>
    <w:rsid w:val="005B4903"/>
    <w:rsid w:val="005B51CE"/>
    <w:rsid w:val="005B5885"/>
    <w:rsid w:val="005B5CD7"/>
    <w:rsid w:val="005B6CF6"/>
    <w:rsid w:val="005B7422"/>
    <w:rsid w:val="005C162B"/>
    <w:rsid w:val="005C29B8"/>
    <w:rsid w:val="005C5F21"/>
    <w:rsid w:val="005C7156"/>
    <w:rsid w:val="005C7330"/>
    <w:rsid w:val="005D0C75"/>
    <w:rsid w:val="005D325C"/>
    <w:rsid w:val="005D3D8C"/>
    <w:rsid w:val="005D4171"/>
    <w:rsid w:val="005D429F"/>
    <w:rsid w:val="005D4B7B"/>
    <w:rsid w:val="005D6A95"/>
    <w:rsid w:val="005D6B2C"/>
    <w:rsid w:val="005D6D9C"/>
    <w:rsid w:val="005D7368"/>
    <w:rsid w:val="005E14F5"/>
    <w:rsid w:val="005E1AEE"/>
    <w:rsid w:val="005E2335"/>
    <w:rsid w:val="005E34CA"/>
    <w:rsid w:val="005E3C18"/>
    <w:rsid w:val="005E6812"/>
    <w:rsid w:val="005E7881"/>
    <w:rsid w:val="005E78E0"/>
    <w:rsid w:val="005F0D9C"/>
    <w:rsid w:val="005F284E"/>
    <w:rsid w:val="005F4712"/>
    <w:rsid w:val="0060136A"/>
    <w:rsid w:val="006015CE"/>
    <w:rsid w:val="00604784"/>
    <w:rsid w:val="00606419"/>
    <w:rsid w:val="00606FA7"/>
    <w:rsid w:val="00607346"/>
    <w:rsid w:val="00607D29"/>
    <w:rsid w:val="0061198A"/>
    <w:rsid w:val="00612952"/>
    <w:rsid w:val="00613722"/>
    <w:rsid w:val="00614CC1"/>
    <w:rsid w:val="00615A9D"/>
    <w:rsid w:val="0061706F"/>
    <w:rsid w:val="00617387"/>
    <w:rsid w:val="006173C0"/>
    <w:rsid w:val="006205D6"/>
    <w:rsid w:val="00623F21"/>
    <w:rsid w:val="006252D8"/>
    <w:rsid w:val="006259BC"/>
    <w:rsid w:val="00625BC5"/>
    <w:rsid w:val="0062636B"/>
    <w:rsid w:val="00632182"/>
    <w:rsid w:val="00632AE0"/>
    <w:rsid w:val="00633C17"/>
    <w:rsid w:val="00634D9E"/>
    <w:rsid w:val="00636853"/>
    <w:rsid w:val="00636E3E"/>
    <w:rsid w:val="006379F7"/>
    <w:rsid w:val="00637E4D"/>
    <w:rsid w:val="00640620"/>
    <w:rsid w:val="00641A1F"/>
    <w:rsid w:val="00641E8D"/>
    <w:rsid w:val="00645904"/>
    <w:rsid w:val="00646B7D"/>
    <w:rsid w:val="00650C86"/>
    <w:rsid w:val="00651ACB"/>
    <w:rsid w:val="00651C47"/>
    <w:rsid w:val="00652AB2"/>
    <w:rsid w:val="00653FED"/>
    <w:rsid w:val="00654EC0"/>
    <w:rsid w:val="0065525B"/>
    <w:rsid w:val="00655D4F"/>
    <w:rsid w:val="00656D29"/>
    <w:rsid w:val="00660C45"/>
    <w:rsid w:val="00662A10"/>
    <w:rsid w:val="00663AFE"/>
    <w:rsid w:val="006640E5"/>
    <w:rsid w:val="006646F1"/>
    <w:rsid w:val="00664929"/>
    <w:rsid w:val="00664F62"/>
    <w:rsid w:val="00665059"/>
    <w:rsid w:val="006655E1"/>
    <w:rsid w:val="00665759"/>
    <w:rsid w:val="00666AE1"/>
    <w:rsid w:val="00667B81"/>
    <w:rsid w:val="00670AAC"/>
    <w:rsid w:val="00670EDC"/>
    <w:rsid w:val="00672060"/>
    <w:rsid w:val="00672BFD"/>
    <w:rsid w:val="00674863"/>
    <w:rsid w:val="00674C72"/>
    <w:rsid w:val="006770F4"/>
    <w:rsid w:val="00677A84"/>
    <w:rsid w:val="00677AB8"/>
    <w:rsid w:val="0068026D"/>
    <w:rsid w:val="00680A27"/>
    <w:rsid w:val="00680F91"/>
    <w:rsid w:val="006816A4"/>
    <w:rsid w:val="006819B8"/>
    <w:rsid w:val="006840A6"/>
    <w:rsid w:val="006850CD"/>
    <w:rsid w:val="00685AAB"/>
    <w:rsid w:val="006906DC"/>
    <w:rsid w:val="00691440"/>
    <w:rsid w:val="00692CEF"/>
    <w:rsid w:val="00695D22"/>
    <w:rsid w:val="006A07AA"/>
    <w:rsid w:val="006A25E5"/>
    <w:rsid w:val="006A25E8"/>
    <w:rsid w:val="006A27EE"/>
    <w:rsid w:val="006A2B46"/>
    <w:rsid w:val="006A336D"/>
    <w:rsid w:val="006A37B9"/>
    <w:rsid w:val="006A52F6"/>
    <w:rsid w:val="006B18D5"/>
    <w:rsid w:val="006B2672"/>
    <w:rsid w:val="006B4385"/>
    <w:rsid w:val="006B4D6E"/>
    <w:rsid w:val="006B54BF"/>
    <w:rsid w:val="006B5F44"/>
    <w:rsid w:val="006B5F90"/>
    <w:rsid w:val="006B62E4"/>
    <w:rsid w:val="006B6F56"/>
    <w:rsid w:val="006B7977"/>
    <w:rsid w:val="006C1BBA"/>
    <w:rsid w:val="006C2079"/>
    <w:rsid w:val="006C250A"/>
    <w:rsid w:val="006C5A62"/>
    <w:rsid w:val="006C5D68"/>
    <w:rsid w:val="006C6976"/>
    <w:rsid w:val="006C6DD0"/>
    <w:rsid w:val="006D04EA"/>
    <w:rsid w:val="006D16C4"/>
    <w:rsid w:val="006D3801"/>
    <w:rsid w:val="006D3E96"/>
    <w:rsid w:val="006D40B0"/>
    <w:rsid w:val="006D4457"/>
    <w:rsid w:val="006D4515"/>
    <w:rsid w:val="006D4776"/>
    <w:rsid w:val="006D4BB1"/>
    <w:rsid w:val="006D5D9A"/>
    <w:rsid w:val="006D6593"/>
    <w:rsid w:val="006E0A35"/>
    <w:rsid w:val="006E10BA"/>
    <w:rsid w:val="006E23EA"/>
    <w:rsid w:val="006F03A8"/>
    <w:rsid w:val="006F111B"/>
    <w:rsid w:val="006F1CEA"/>
    <w:rsid w:val="006F1DF8"/>
    <w:rsid w:val="006F2ACA"/>
    <w:rsid w:val="006F2ADC"/>
    <w:rsid w:val="006F2BFE"/>
    <w:rsid w:val="006F31E9"/>
    <w:rsid w:val="006F4D0F"/>
    <w:rsid w:val="006F6284"/>
    <w:rsid w:val="007002C5"/>
    <w:rsid w:val="00700E4C"/>
    <w:rsid w:val="00701894"/>
    <w:rsid w:val="0070385E"/>
    <w:rsid w:val="0070411E"/>
    <w:rsid w:val="00704387"/>
    <w:rsid w:val="00707656"/>
    <w:rsid w:val="00707669"/>
    <w:rsid w:val="00711CBA"/>
    <w:rsid w:val="00711FB5"/>
    <w:rsid w:val="00712A01"/>
    <w:rsid w:val="00714F58"/>
    <w:rsid w:val="00716F94"/>
    <w:rsid w:val="00717B8F"/>
    <w:rsid w:val="00720B9C"/>
    <w:rsid w:val="00721EAD"/>
    <w:rsid w:val="00722FBF"/>
    <w:rsid w:val="00722FC2"/>
    <w:rsid w:val="0072343B"/>
    <w:rsid w:val="00724879"/>
    <w:rsid w:val="00724E1B"/>
    <w:rsid w:val="00725073"/>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145"/>
    <w:rsid w:val="00746800"/>
    <w:rsid w:val="007501A8"/>
    <w:rsid w:val="00750D61"/>
    <w:rsid w:val="00750EE1"/>
    <w:rsid w:val="007513D0"/>
    <w:rsid w:val="0075176B"/>
    <w:rsid w:val="00752B4D"/>
    <w:rsid w:val="007541F0"/>
    <w:rsid w:val="00754940"/>
    <w:rsid w:val="00755402"/>
    <w:rsid w:val="00756B26"/>
    <w:rsid w:val="00756EDF"/>
    <w:rsid w:val="007600E3"/>
    <w:rsid w:val="007601B4"/>
    <w:rsid w:val="007629A9"/>
    <w:rsid w:val="00765C43"/>
    <w:rsid w:val="00765EFB"/>
    <w:rsid w:val="00766080"/>
    <w:rsid w:val="007671CA"/>
    <w:rsid w:val="007674FE"/>
    <w:rsid w:val="00767C61"/>
    <w:rsid w:val="00767F62"/>
    <w:rsid w:val="0077008A"/>
    <w:rsid w:val="00771E8D"/>
    <w:rsid w:val="00773C1F"/>
    <w:rsid w:val="00773E3C"/>
    <w:rsid w:val="00774CE1"/>
    <w:rsid w:val="00774DA4"/>
    <w:rsid w:val="00776599"/>
    <w:rsid w:val="0078114B"/>
    <w:rsid w:val="00781DD2"/>
    <w:rsid w:val="007825F8"/>
    <w:rsid w:val="00782F03"/>
    <w:rsid w:val="00783ECF"/>
    <w:rsid w:val="0078413A"/>
    <w:rsid w:val="00787D32"/>
    <w:rsid w:val="00792E2D"/>
    <w:rsid w:val="00793443"/>
    <w:rsid w:val="007938C4"/>
    <w:rsid w:val="007959E8"/>
    <w:rsid w:val="00795E9C"/>
    <w:rsid w:val="0079741B"/>
    <w:rsid w:val="00797FAD"/>
    <w:rsid w:val="007A0521"/>
    <w:rsid w:val="007A2E12"/>
    <w:rsid w:val="007A3475"/>
    <w:rsid w:val="007A41C8"/>
    <w:rsid w:val="007A53C3"/>
    <w:rsid w:val="007A54CE"/>
    <w:rsid w:val="007A5A14"/>
    <w:rsid w:val="007A6C2E"/>
    <w:rsid w:val="007A6FD9"/>
    <w:rsid w:val="007A73AC"/>
    <w:rsid w:val="007A7FFA"/>
    <w:rsid w:val="007B04EB"/>
    <w:rsid w:val="007B0D4F"/>
    <w:rsid w:val="007B1835"/>
    <w:rsid w:val="007B5A3D"/>
    <w:rsid w:val="007B5B95"/>
    <w:rsid w:val="007B68EA"/>
    <w:rsid w:val="007B7453"/>
    <w:rsid w:val="007C1E8B"/>
    <w:rsid w:val="007C2D89"/>
    <w:rsid w:val="007C4593"/>
    <w:rsid w:val="007C5309"/>
    <w:rsid w:val="007C5C36"/>
    <w:rsid w:val="007C5F1E"/>
    <w:rsid w:val="007C6069"/>
    <w:rsid w:val="007D0199"/>
    <w:rsid w:val="007D06C4"/>
    <w:rsid w:val="007D0A16"/>
    <w:rsid w:val="007D1352"/>
    <w:rsid w:val="007D2508"/>
    <w:rsid w:val="007D346A"/>
    <w:rsid w:val="007D4445"/>
    <w:rsid w:val="007D5C20"/>
    <w:rsid w:val="007D6460"/>
    <w:rsid w:val="007D6518"/>
    <w:rsid w:val="007D76BD"/>
    <w:rsid w:val="007E0BF1"/>
    <w:rsid w:val="007E3AD9"/>
    <w:rsid w:val="007F0ED8"/>
    <w:rsid w:val="007F0F63"/>
    <w:rsid w:val="007F618F"/>
    <w:rsid w:val="007F75CE"/>
    <w:rsid w:val="008005DF"/>
    <w:rsid w:val="008013A4"/>
    <w:rsid w:val="008027CE"/>
    <w:rsid w:val="00802C8E"/>
    <w:rsid w:val="00802F42"/>
    <w:rsid w:val="0080381E"/>
    <w:rsid w:val="00804383"/>
    <w:rsid w:val="00804483"/>
    <w:rsid w:val="00804A6E"/>
    <w:rsid w:val="00804BB7"/>
    <w:rsid w:val="00804D41"/>
    <w:rsid w:val="00804F8B"/>
    <w:rsid w:val="00810257"/>
    <w:rsid w:val="008104F5"/>
    <w:rsid w:val="00811072"/>
    <w:rsid w:val="00811369"/>
    <w:rsid w:val="00811E9D"/>
    <w:rsid w:val="00812E13"/>
    <w:rsid w:val="00812F2A"/>
    <w:rsid w:val="00813D88"/>
    <w:rsid w:val="00814089"/>
    <w:rsid w:val="00814C96"/>
    <w:rsid w:val="00815419"/>
    <w:rsid w:val="008163C8"/>
    <w:rsid w:val="008164A1"/>
    <w:rsid w:val="008166B7"/>
    <w:rsid w:val="0081690D"/>
    <w:rsid w:val="00817325"/>
    <w:rsid w:val="008209E6"/>
    <w:rsid w:val="00822610"/>
    <w:rsid w:val="00823303"/>
    <w:rsid w:val="008233B2"/>
    <w:rsid w:val="00823A9F"/>
    <w:rsid w:val="00823C85"/>
    <w:rsid w:val="00824ADE"/>
    <w:rsid w:val="00825138"/>
    <w:rsid w:val="008269DD"/>
    <w:rsid w:val="00830621"/>
    <w:rsid w:val="00832097"/>
    <w:rsid w:val="0083348C"/>
    <w:rsid w:val="00833FA0"/>
    <w:rsid w:val="00835671"/>
    <w:rsid w:val="008373D3"/>
    <w:rsid w:val="008401FF"/>
    <w:rsid w:val="00840617"/>
    <w:rsid w:val="00840AEE"/>
    <w:rsid w:val="00840F84"/>
    <w:rsid w:val="00842A47"/>
    <w:rsid w:val="00843368"/>
    <w:rsid w:val="00843C13"/>
    <w:rsid w:val="008453BC"/>
    <w:rsid w:val="008454F8"/>
    <w:rsid w:val="008458C5"/>
    <w:rsid w:val="00850622"/>
    <w:rsid w:val="0085173A"/>
    <w:rsid w:val="00851C95"/>
    <w:rsid w:val="00853E76"/>
    <w:rsid w:val="00856316"/>
    <w:rsid w:val="008603CE"/>
    <w:rsid w:val="00860698"/>
    <w:rsid w:val="00861484"/>
    <w:rsid w:val="008620FC"/>
    <w:rsid w:val="008621F7"/>
    <w:rsid w:val="008627A5"/>
    <w:rsid w:val="00863E05"/>
    <w:rsid w:val="00864381"/>
    <w:rsid w:val="00865ACA"/>
    <w:rsid w:val="00865D28"/>
    <w:rsid w:val="00865F85"/>
    <w:rsid w:val="008660DC"/>
    <w:rsid w:val="00867C10"/>
    <w:rsid w:val="00870439"/>
    <w:rsid w:val="00870DA1"/>
    <w:rsid w:val="00871211"/>
    <w:rsid w:val="008763D2"/>
    <w:rsid w:val="00877BEF"/>
    <w:rsid w:val="00883F93"/>
    <w:rsid w:val="00884DB3"/>
    <w:rsid w:val="00885A9D"/>
    <w:rsid w:val="008864F6"/>
    <w:rsid w:val="0089049D"/>
    <w:rsid w:val="00890FF5"/>
    <w:rsid w:val="00891B59"/>
    <w:rsid w:val="008928C9"/>
    <w:rsid w:val="008930CB"/>
    <w:rsid w:val="008938DC"/>
    <w:rsid w:val="00893FD1"/>
    <w:rsid w:val="00894836"/>
    <w:rsid w:val="00894A93"/>
    <w:rsid w:val="00895172"/>
    <w:rsid w:val="00895680"/>
    <w:rsid w:val="00896A9A"/>
    <w:rsid w:val="00896DFF"/>
    <w:rsid w:val="0089762C"/>
    <w:rsid w:val="008A1893"/>
    <w:rsid w:val="008A291C"/>
    <w:rsid w:val="008A315C"/>
    <w:rsid w:val="008A3215"/>
    <w:rsid w:val="008A57E6"/>
    <w:rsid w:val="008A660F"/>
    <w:rsid w:val="008A6F81"/>
    <w:rsid w:val="008A769A"/>
    <w:rsid w:val="008B0910"/>
    <w:rsid w:val="008B0C9C"/>
    <w:rsid w:val="008B111A"/>
    <w:rsid w:val="008B166D"/>
    <w:rsid w:val="008B17F4"/>
    <w:rsid w:val="008B3615"/>
    <w:rsid w:val="008B46AB"/>
    <w:rsid w:val="008B4AC4"/>
    <w:rsid w:val="008B50C8"/>
    <w:rsid w:val="008B517B"/>
    <w:rsid w:val="008B5228"/>
    <w:rsid w:val="008B5281"/>
    <w:rsid w:val="008B7E05"/>
    <w:rsid w:val="008C1797"/>
    <w:rsid w:val="008C219C"/>
    <w:rsid w:val="008C2224"/>
    <w:rsid w:val="008C2F83"/>
    <w:rsid w:val="008C41CB"/>
    <w:rsid w:val="008C475E"/>
    <w:rsid w:val="008C619A"/>
    <w:rsid w:val="008D0CE8"/>
    <w:rsid w:val="008D13BD"/>
    <w:rsid w:val="008D2D1D"/>
    <w:rsid w:val="008D324B"/>
    <w:rsid w:val="008D3632"/>
    <w:rsid w:val="008D453D"/>
    <w:rsid w:val="008D53AD"/>
    <w:rsid w:val="008D562B"/>
    <w:rsid w:val="008D5733"/>
    <w:rsid w:val="008D622B"/>
    <w:rsid w:val="008D666C"/>
    <w:rsid w:val="008D6FBA"/>
    <w:rsid w:val="008D72DC"/>
    <w:rsid w:val="008D7B54"/>
    <w:rsid w:val="008D7BF9"/>
    <w:rsid w:val="008E0C9D"/>
    <w:rsid w:val="008E1648"/>
    <w:rsid w:val="008E1B3E"/>
    <w:rsid w:val="008E2319"/>
    <w:rsid w:val="008E4BB6"/>
    <w:rsid w:val="008E5518"/>
    <w:rsid w:val="008E5FBA"/>
    <w:rsid w:val="008E6A84"/>
    <w:rsid w:val="008F0CDC"/>
    <w:rsid w:val="008F17A3"/>
    <w:rsid w:val="008F1ED3"/>
    <w:rsid w:val="008F23A5"/>
    <w:rsid w:val="008F4C29"/>
    <w:rsid w:val="008F70BD"/>
    <w:rsid w:val="008F788F"/>
    <w:rsid w:val="008F7EA2"/>
    <w:rsid w:val="00902722"/>
    <w:rsid w:val="009027BC"/>
    <w:rsid w:val="009062E6"/>
    <w:rsid w:val="00907F91"/>
    <w:rsid w:val="00911BE5"/>
    <w:rsid w:val="009124A7"/>
    <w:rsid w:val="00913CA9"/>
    <w:rsid w:val="009145AE"/>
    <w:rsid w:val="009146CE"/>
    <w:rsid w:val="00914CA7"/>
    <w:rsid w:val="00915930"/>
    <w:rsid w:val="00915C3E"/>
    <w:rsid w:val="009161A8"/>
    <w:rsid w:val="00922544"/>
    <w:rsid w:val="009245F5"/>
    <w:rsid w:val="009248A4"/>
    <w:rsid w:val="009249EC"/>
    <w:rsid w:val="009273B3"/>
    <w:rsid w:val="009305B5"/>
    <w:rsid w:val="00933C41"/>
    <w:rsid w:val="00934D98"/>
    <w:rsid w:val="00935F79"/>
    <w:rsid w:val="00937702"/>
    <w:rsid w:val="00941492"/>
    <w:rsid w:val="0094277A"/>
    <w:rsid w:val="009429D5"/>
    <w:rsid w:val="00942BF1"/>
    <w:rsid w:val="009450A0"/>
    <w:rsid w:val="00945180"/>
    <w:rsid w:val="00945428"/>
    <w:rsid w:val="0094607B"/>
    <w:rsid w:val="009470D3"/>
    <w:rsid w:val="009500CE"/>
    <w:rsid w:val="0095234A"/>
    <w:rsid w:val="00953604"/>
    <w:rsid w:val="00953C1F"/>
    <w:rsid w:val="0095496B"/>
    <w:rsid w:val="00956B17"/>
    <w:rsid w:val="009610DC"/>
    <w:rsid w:val="00961490"/>
    <w:rsid w:val="0096381A"/>
    <w:rsid w:val="00965E04"/>
    <w:rsid w:val="009674AD"/>
    <w:rsid w:val="00967615"/>
    <w:rsid w:val="00970CDC"/>
    <w:rsid w:val="00977010"/>
    <w:rsid w:val="00977D02"/>
    <w:rsid w:val="009809BB"/>
    <w:rsid w:val="00983615"/>
    <w:rsid w:val="0098364B"/>
    <w:rsid w:val="009900E6"/>
    <w:rsid w:val="009911AF"/>
    <w:rsid w:val="00991875"/>
    <w:rsid w:val="00991F92"/>
    <w:rsid w:val="00992985"/>
    <w:rsid w:val="009936B4"/>
    <w:rsid w:val="00993889"/>
    <w:rsid w:val="00994FE7"/>
    <w:rsid w:val="0099551B"/>
    <w:rsid w:val="00996B5F"/>
    <w:rsid w:val="00997BF1"/>
    <w:rsid w:val="009A05E1"/>
    <w:rsid w:val="009A089C"/>
    <w:rsid w:val="009A118E"/>
    <w:rsid w:val="009A21CD"/>
    <w:rsid w:val="009A278C"/>
    <w:rsid w:val="009A2BC2"/>
    <w:rsid w:val="009A37EB"/>
    <w:rsid w:val="009A42C1"/>
    <w:rsid w:val="009A5429"/>
    <w:rsid w:val="009A72AD"/>
    <w:rsid w:val="009A7C24"/>
    <w:rsid w:val="009B09E0"/>
    <w:rsid w:val="009B0BC5"/>
    <w:rsid w:val="009B1247"/>
    <w:rsid w:val="009B16EC"/>
    <w:rsid w:val="009B6029"/>
    <w:rsid w:val="009B6971"/>
    <w:rsid w:val="009C1111"/>
    <w:rsid w:val="009C138D"/>
    <w:rsid w:val="009C27F1"/>
    <w:rsid w:val="009C3152"/>
    <w:rsid w:val="009C4CFA"/>
    <w:rsid w:val="009C5070"/>
    <w:rsid w:val="009C6027"/>
    <w:rsid w:val="009D112C"/>
    <w:rsid w:val="009D47FA"/>
    <w:rsid w:val="009D4C5B"/>
    <w:rsid w:val="009D4D68"/>
    <w:rsid w:val="009D50D2"/>
    <w:rsid w:val="009D67A8"/>
    <w:rsid w:val="009D6BCA"/>
    <w:rsid w:val="009E0F62"/>
    <w:rsid w:val="009E4A58"/>
    <w:rsid w:val="009E5A2D"/>
    <w:rsid w:val="009E5AB2"/>
    <w:rsid w:val="009E6219"/>
    <w:rsid w:val="009E66ED"/>
    <w:rsid w:val="009F03B3"/>
    <w:rsid w:val="009F1A33"/>
    <w:rsid w:val="009F2181"/>
    <w:rsid w:val="009F61D7"/>
    <w:rsid w:val="009F65E4"/>
    <w:rsid w:val="00A0096C"/>
    <w:rsid w:val="00A01757"/>
    <w:rsid w:val="00A028C0"/>
    <w:rsid w:val="00A02AED"/>
    <w:rsid w:val="00A02BAE"/>
    <w:rsid w:val="00A06240"/>
    <w:rsid w:val="00A06A6B"/>
    <w:rsid w:val="00A07E47"/>
    <w:rsid w:val="00A129D0"/>
    <w:rsid w:val="00A12C33"/>
    <w:rsid w:val="00A1358C"/>
    <w:rsid w:val="00A138BA"/>
    <w:rsid w:val="00A14C8E"/>
    <w:rsid w:val="00A150C1"/>
    <w:rsid w:val="00A153D9"/>
    <w:rsid w:val="00A15F09"/>
    <w:rsid w:val="00A169B6"/>
    <w:rsid w:val="00A16F18"/>
    <w:rsid w:val="00A225AE"/>
    <w:rsid w:val="00A2271D"/>
    <w:rsid w:val="00A237D5"/>
    <w:rsid w:val="00A24222"/>
    <w:rsid w:val="00A25CDF"/>
    <w:rsid w:val="00A27A2B"/>
    <w:rsid w:val="00A30EFC"/>
    <w:rsid w:val="00A31984"/>
    <w:rsid w:val="00A32D73"/>
    <w:rsid w:val="00A3367B"/>
    <w:rsid w:val="00A34BF8"/>
    <w:rsid w:val="00A3597D"/>
    <w:rsid w:val="00A36275"/>
    <w:rsid w:val="00A3638F"/>
    <w:rsid w:val="00A36DD1"/>
    <w:rsid w:val="00A37AE2"/>
    <w:rsid w:val="00A4006C"/>
    <w:rsid w:val="00A40091"/>
    <w:rsid w:val="00A4030F"/>
    <w:rsid w:val="00A41C79"/>
    <w:rsid w:val="00A41CB5"/>
    <w:rsid w:val="00A42A28"/>
    <w:rsid w:val="00A42CDF"/>
    <w:rsid w:val="00A42EAF"/>
    <w:rsid w:val="00A4452E"/>
    <w:rsid w:val="00A4472C"/>
    <w:rsid w:val="00A44AD9"/>
    <w:rsid w:val="00A44E69"/>
    <w:rsid w:val="00A4661E"/>
    <w:rsid w:val="00A47DF3"/>
    <w:rsid w:val="00A47E57"/>
    <w:rsid w:val="00A55BD6"/>
    <w:rsid w:val="00A55D50"/>
    <w:rsid w:val="00A56A39"/>
    <w:rsid w:val="00A56A47"/>
    <w:rsid w:val="00A57142"/>
    <w:rsid w:val="00A648CD"/>
    <w:rsid w:val="00A6537A"/>
    <w:rsid w:val="00A658D8"/>
    <w:rsid w:val="00A65F9F"/>
    <w:rsid w:val="00A67866"/>
    <w:rsid w:val="00A70B07"/>
    <w:rsid w:val="00A70D18"/>
    <w:rsid w:val="00A723F8"/>
    <w:rsid w:val="00A74CB7"/>
    <w:rsid w:val="00A77442"/>
    <w:rsid w:val="00A77CCB"/>
    <w:rsid w:val="00A8176D"/>
    <w:rsid w:val="00A81C7D"/>
    <w:rsid w:val="00A83D8D"/>
    <w:rsid w:val="00A8446B"/>
    <w:rsid w:val="00A8473F"/>
    <w:rsid w:val="00A862D6"/>
    <w:rsid w:val="00A86365"/>
    <w:rsid w:val="00A86FFC"/>
    <w:rsid w:val="00A8708F"/>
    <w:rsid w:val="00A8715E"/>
    <w:rsid w:val="00A9135B"/>
    <w:rsid w:val="00A9295B"/>
    <w:rsid w:val="00A93B09"/>
    <w:rsid w:val="00A94247"/>
    <w:rsid w:val="00A952D7"/>
    <w:rsid w:val="00A958FD"/>
    <w:rsid w:val="00A963F7"/>
    <w:rsid w:val="00A96AD8"/>
    <w:rsid w:val="00AA052C"/>
    <w:rsid w:val="00AA125A"/>
    <w:rsid w:val="00AA1E45"/>
    <w:rsid w:val="00AA4286"/>
    <w:rsid w:val="00AA456B"/>
    <w:rsid w:val="00AA4D6F"/>
    <w:rsid w:val="00AA53BE"/>
    <w:rsid w:val="00AA57F5"/>
    <w:rsid w:val="00AA672E"/>
    <w:rsid w:val="00AA6A8D"/>
    <w:rsid w:val="00AA6EC9"/>
    <w:rsid w:val="00AB2308"/>
    <w:rsid w:val="00AB41D5"/>
    <w:rsid w:val="00AB51E3"/>
    <w:rsid w:val="00AB6309"/>
    <w:rsid w:val="00AB6633"/>
    <w:rsid w:val="00AB6BB0"/>
    <w:rsid w:val="00AB6C5F"/>
    <w:rsid w:val="00AB7101"/>
    <w:rsid w:val="00AB7129"/>
    <w:rsid w:val="00AC0E5B"/>
    <w:rsid w:val="00AC27A6"/>
    <w:rsid w:val="00AC30F7"/>
    <w:rsid w:val="00AC3A5A"/>
    <w:rsid w:val="00AC4D95"/>
    <w:rsid w:val="00AC5DF4"/>
    <w:rsid w:val="00AC774C"/>
    <w:rsid w:val="00AC7E13"/>
    <w:rsid w:val="00AD0AEF"/>
    <w:rsid w:val="00AD11B7"/>
    <w:rsid w:val="00AD15AD"/>
    <w:rsid w:val="00AD1A94"/>
    <w:rsid w:val="00AD1C05"/>
    <w:rsid w:val="00AD2132"/>
    <w:rsid w:val="00AD4126"/>
    <w:rsid w:val="00AD421C"/>
    <w:rsid w:val="00AD44FA"/>
    <w:rsid w:val="00AE0673"/>
    <w:rsid w:val="00AE070A"/>
    <w:rsid w:val="00AE08A5"/>
    <w:rsid w:val="00AE101C"/>
    <w:rsid w:val="00AE1366"/>
    <w:rsid w:val="00AE1430"/>
    <w:rsid w:val="00AE37E5"/>
    <w:rsid w:val="00AE3B9D"/>
    <w:rsid w:val="00AE5EB4"/>
    <w:rsid w:val="00AE7ACE"/>
    <w:rsid w:val="00AF0C18"/>
    <w:rsid w:val="00AF47C5"/>
    <w:rsid w:val="00AF5398"/>
    <w:rsid w:val="00AF6FB9"/>
    <w:rsid w:val="00B002BE"/>
    <w:rsid w:val="00B00F30"/>
    <w:rsid w:val="00B02250"/>
    <w:rsid w:val="00B049AF"/>
    <w:rsid w:val="00B06573"/>
    <w:rsid w:val="00B07242"/>
    <w:rsid w:val="00B10534"/>
    <w:rsid w:val="00B113DB"/>
    <w:rsid w:val="00B11D8A"/>
    <w:rsid w:val="00B1285B"/>
    <w:rsid w:val="00B12981"/>
    <w:rsid w:val="00B147DD"/>
    <w:rsid w:val="00B15658"/>
    <w:rsid w:val="00B156FD"/>
    <w:rsid w:val="00B21F61"/>
    <w:rsid w:val="00B224D2"/>
    <w:rsid w:val="00B23DD6"/>
    <w:rsid w:val="00B25486"/>
    <w:rsid w:val="00B261F1"/>
    <w:rsid w:val="00B265BC"/>
    <w:rsid w:val="00B31FB1"/>
    <w:rsid w:val="00B32678"/>
    <w:rsid w:val="00B3268E"/>
    <w:rsid w:val="00B3307B"/>
    <w:rsid w:val="00B33952"/>
    <w:rsid w:val="00B33C5E"/>
    <w:rsid w:val="00B342F4"/>
    <w:rsid w:val="00B34369"/>
    <w:rsid w:val="00B34DC2"/>
    <w:rsid w:val="00B378E5"/>
    <w:rsid w:val="00B40A1A"/>
    <w:rsid w:val="00B430B1"/>
    <w:rsid w:val="00B4346D"/>
    <w:rsid w:val="00B439AD"/>
    <w:rsid w:val="00B43ECF"/>
    <w:rsid w:val="00B440F4"/>
    <w:rsid w:val="00B447A5"/>
    <w:rsid w:val="00B45E85"/>
    <w:rsid w:val="00B4654C"/>
    <w:rsid w:val="00B47293"/>
    <w:rsid w:val="00B50E50"/>
    <w:rsid w:val="00B519AB"/>
    <w:rsid w:val="00B51F00"/>
    <w:rsid w:val="00B52120"/>
    <w:rsid w:val="00B54ABC"/>
    <w:rsid w:val="00B54DDE"/>
    <w:rsid w:val="00B56FBE"/>
    <w:rsid w:val="00B60ACF"/>
    <w:rsid w:val="00B62B58"/>
    <w:rsid w:val="00B65149"/>
    <w:rsid w:val="00B66567"/>
    <w:rsid w:val="00B66F52"/>
    <w:rsid w:val="00B66FE5"/>
    <w:rsid w:val="00B72880"/>
    <w:rsid w:val="00B72A11"/>
    <w:rsid w:val="00B73B87"/>
    <w:rsid w:val="00B758BF"/>
    <w:rsid w:val="00B7666E"/>
    <w:rsid w:val="00B7732A"/>
    <w:rsid w:val="00B77EC8"/>
    <w:rsid w:val="00B800B5"/>
    <w:rsid w:val="00B827A6"/>
    <w:rsid w:val="00B831CE"/>
    <w:rsid w:val="00B83CA6"/>
    <w:rsid w:val="00B84EF7"/>
    <w:rsid w:val="00B86677"/>
    <w:rsid w:val="00B87131"/>
    <w:rsid w:val="00B939B1"/>
    <w:rsid w:val="00B96D40"/>
    <w:rsid w:val="00B97386"/>
    <w:rsid w:val="00BA081D"/>
    <w:rsid w:val="00BA263B"/>
    <w:rsid w:val="00BA282C"/>
    <w:rsid w:val="00BA42B2"/>
    <w:rsid w:val="00BA58D4"/>
    <w:rsid w:val="00BA5B9E"/>
    <w:rsid w:val="00BA7C9A"/>
    <w:rsid w:val="00BB0966"/>
    <w:rsid w:val="00BB4EC9"/>
    <w:rsid w:val="00BB5F8F"/>
    <w:rsid w:val="00BB657A"/>
    <w:rsid w:val="00BB7FCD"/>
    <w:rsid w:val="00BC1A4E"/>
    <w:rsid w:val="00BC5DC7"/>
    <w:rsid w:val="00BC6B8B"/>
    <w:rsid w:val="00BC73D8"/>
    <w:rsid w:val="00BD03AF"/>
    <w:rsid w:val="00BD207A"/>
    <w:rsid w:val="00BD22B9"/>
    <w:rsid w:val="00BD2EC8"/>
    <w:rsid w:val="00BD30C2"/>
    <w:rsid w:val="00BD52D7"/>
    <w:rsid w:val="00BD5AD2"/>
    <w:rsid w:val="00BD6239"/>
    <w:rsid w:val="00BD7E0B"/>
    <w:rsid w:val="00BE165E"/>
    <w:rsid w:val="00BE22F3"/>
    <w:rsid w:val="00BE3DEE"/>
    <w:rsid w:val="00BE5B52"/>
    <w:rsid w:val="00BE606A"/>
    <w:rsid w:val="00BE746E"/>
    <w:rsid w:val="00BE7B8D"/>
    <w:rsid w:val="00BF0993"/>
    <w:rsid w:val="00BF10A9"/>
    <w:rsid w:val="00BF1703"/>
    <w:rsid w:val="00BF231C"/>
    <w:rsid w:val="00BF51E5"/>
    <w:rsid w:val="00BF72E9"/>
    <w:rsid w:val="00BF74A6"/>
    <w:rsid w:val="00C013AD"/>
    <w:rsid w:val="00C01D9F"/>
    <w:rsid w:val="00C04904"/>
    <w:rsid w:val="00C056B3"/>
    <w:rsid w:val="00C059A8"/>
    <w:rsid w:val="00C05C33"/>
    <w:rsid w:val="00C103E5"/>
    <w:rsid w:val="00C10AB2"/>
    <w:rsid w:val="00C13319"/>
    <w:rsid w:val="00C13EE9"/>
    <w:rsid w:val="00C1427B"/>
    <w:rsid w:val="00C15417"/>
    <w:rsid w:val="00C17B72"/>
    <w:rsid w:val="00C21448"/>
    <w:rsid w:val="00C21540"/>
    <w:rsid w:val="00C21906"/>
    <w:rsid w:val="00C21BFA"/>
    <w:rsid w:val="00C22148"/>
    <w:rsid w:val="00C23CE2"/>
    <w:rsid w:val="00C2470F"/>
    <w:rsid w:val="00C24C8D"/>
    <w:rsid w:val="00C25FE2"/>
    <w:rsid w:val="00C26B53"/>
    <w:rsid w:val="00C279B2"/>
    <w:rsid w:val="00C31651"/>
    <w:rsid w:val="00C31CED"/>
    <w:rsid w:val="00C33E50"/>
    <w:rsid w:val="00C34C20"/>
    <w:rsid w:val="00C35A3E"/>
    <w:rsid w:val="00C37833"/>
    <w:rsid w:val="00C42130"/>
    <w:rsid w:val="00C4215F"/>
    <w:rsid w:val="00C423A4"/>
    <w:rsid w:val="00C42DB6"/>
    <w:rsid w:val="00C42E34"/>
    <w:rsid w:val="00C44587"/>
    <w:rsid w:val="00C44BF5"/>
    <w:rsid w:val="00C45E1C"/>
    <w:rsid w:val="00C46C1F"/>
    <w:rsid w:val="00C51844"/>
    <w:rsid w:val="00C521D6"/>
    <w:rsid w:val="00C55232"/>
    <w:rsid w:val="00C553A4"/>
    <w:rsid w:val="00C55A06"/>
    <w:rsid w:val="00C55D03"/>
    <w:rsid w:val="00C5706E"/>
    <w:rsid w:val="00C601BC"/>
    <w:rsid w:val="00C6329F"/>
    <w:rsid w:val="00C63340"/>
    <w:rsid w:val="00C643F9"/>
    <w:rsid w:val="00C64956"/>
    <w:rsid w:val="00C64E95"/>
    <w:rsid w:val="00C71372"/>
    <w:rsid w:val="00C72410"/>
    <w:rsid w:val="00C7287F"/>
    <w:rsid w:val="00C757F0"/>
    <w:rsid w:val="00C76B68"/>
    <w:rsid w:val="00C80CB8"/>
    <w:rsid w:val="00C81676"/>
    <w:rsid w:val="00C819F8"/>
    <w:rsid w:val="00C82451"/>
    <w:rsid w:val="00C8248C"/>
    <w:rsid w:val="00C83FFE"/>
    <w:rsid w:val="00C8432F"/>
    <w:rsid w:val="00C84E33"/>
    <w:rsid w:val="00C86D6F"/>
    <w:rsid w:val="00C905FC"/>
    <w:rsid w:val="00C9080A"/>
    <w:rsid w:val="00C92D03"/>
    <w:rsid w:val="00C9319C"/>
    <w:rsid w:val="00C93ABC"/>
    <w:rsid w:val="00C9435D"/>
    <w:rsid w:val="00C94DF2"/>
    <w:rsid w:val="00C95072"/>
    <w:rsid w:val="00C96741"/>
    <w:rsid w:val="00CA1A28"/>
    <w:rsid w:val="00CA1B5C"/>
    <w:rsid w:val="00CA2D1B"/>
    <w:rsid w:val="00CA375D"/>
    <w:rsid w:val="00CA662A"/>
    <w:rsid w:val="00CA72B7"/>
    <w:rsid w:val="00CA7AFD"/>
    <w:rsid w:val="00CA7C3C"/>
    <w:rsid w:val="00CB0189"/>
    <w:rsid w:val="00CB0BA2"/>
    <w:rsid w:val="00CB1435"/>
    <w:rsid w:val="00CB1448"/>
    <w:rsid w:val="00CB1A42"/>
    <w:rsid w:val="00CB1B0C"/>
    <w:rsid w:val="00CB2C0B"/>
    <w:rsid w:val="00CB2EFA"/>
    <w:rsid w:val="00CB41FF"/>
    <w:rsid w:val="00CB44A4"/>
    <w:rsid w:val="00CB452F"/>
    <w:rsid w:val="00CB517D"/>
    <w:rsid w:val="00CB5913"/>
    <w:rsid w:val="00CC038D"/>
    <w:rsid w:val="00CC08DB"/>
    <w:rsid w:val="00CC1D79"/>
    <w:rsid w:val="00CC22F7"/>
    <w:rsid w:val="00CC2E34"/>
    <w:rsid w:val="00CC39FF"/>
    <w:rsid w:val="00CC3C2F"/>
    <w:rsid w:val="00CC417F"/>
    <w:rsid w:val="00CC4A22"/>
    <w:rsid w:val="00CC4AC8"/>
    <w:rsid w:val="00CC5233"/>
    <w:rsid w:val="00CC5DE6"/>
    <w:rsid w:val="00CC6E4E"/>
    <w:rsid w:val="00CC6FE8"/>
    <w:rsid w:val="00CC7202"/>
    <w:rsid w:val="00CD03BD"/>
    <w:rsid w:val="00CD2808"/>
    <w:rsid w:val="00CD28BF"/>
    <w:rsid w:val="00CD4092"/>
    <w:rsid w:val="00CD411F"/>
    <w:rsid w:val="00CD4A20"/>
    <w:rsid w:val="00CD4A7F"/>
    <w:rsid w:val="00CD50A1"/>
    <w:rsid w:val="00CD519E"/>
    <w:rsid w:val="00CE0C4F"/>
    <w:rsid w:val="00CE30EA"/>
    <w:rsid w:val="00CF048A"/>
    <w:rsid w:val="00CF05CF"/>
    <w:rsid w:val="00CF155A"/>
    <w:rsid w:val="00CF2947"/>
    <w:rsid w:val="00CF686F"/>
    <w:rsid w:val="00CF6E07"/>
    <w:rsid w:val="00CF6E60"/>
    <w:rsid w:val="00CF7BCA"/>
    <w:rsid w:val="00D00418"/>
    <w:rsid w:val="00D008FD"/>
    <w:rsid w:val="00D0321C"/>
    <w:rsid w:val="00D035EC"/>
    <w:rsid w:val="00D049B2"/>
    <w:rsid w:val="00D04E28"/>
    <w:rsid w:val="00D06AB1"/>
    <w:rsid w:val="00D06F13"/>
    <w:rsid w:val="00D072ED"/>
    <w:rsid w:val="00D07A16"/>
    <w:rsid w:val="00D1067E"/>
    <w:rsid w:val="00D10F50"/>
    <w:rsid w:val="00D11272"/>
    <w:rsid w:val="00D126F5"/>
    <w:rsid w:val="00D127F0"/>
    <w:rsid w:val="00D1459F"/>
    <w:rsid w:val="00D1489E"/>
    <w:rsid w:val="00D17068"/>
    <w:rsid w:val="00D20737"/>
    <w:rsid w:val="00D21E81"/>
    <w:rsid w:val="00D223DE"/>
    <w:rsid w:val="00D239B7"/>
    <w:rsid w:val="00D25356"/>
    <w:rsid w:val="00D254CF"/>
    <w:rsid w:val="00D2578D"/>
    <w:rsid w:val="00D25E37"/>
    <w:rsid w:val="00D2661A"/>
    <w:rsid w:val="00D2741D"/>
    <w:rsid w:val="00D27582"/>
    <w:rsid w:val="00D27A49"/>
    <w:rsid w:val="00D27EC4"/>
    <w:rsid w:val="00D30B40"/>
    <w:rsid w:val="00D32719"/>
    <w:rsid w:val="00D33285"/>
    <w:rsid w:val="00D33333"/>
    <w:rsid w:val="00D33457"/>
    <w:rsid w:val="00D33864"/>
    <w:rsid w:val="00D33F42"/>
    <w:rsid w:val="00D352A2"/>
    <w:rsid w:val="00D35345"/>
    <w:rsid w:val="00D35E87"/>
    <w:rsid w:val="00D36059"/>
    <w:rsid w:val="00D36C54"/>
    <w:rsid w:val="00D40F70"/>
    <w:rsid w:val="00D4162B"/>
    <w:rsid w:val="00D448ED"/>
    <w:rsid w:val="00D4514F"/>
    <w:rsid w:val="00D451E2"/>
    <w:rsid w:val="00D45E89"/>
    <w:rsid w:val="00D45E8D"/>
    <w:rsid w:val="00D466AE"/>
    <w:rsid w:val="00D4684B"/>
    <w:rsid w:val="00D4734F"/>
    <w:rsid w:val="00D509AA"/>
    <w:rsid w:val="00D51BF3"/>
    <w:rsid w:val="00D54E00"/>
    <w:rsid w:val="00D60656"/>
    <w:rsid w:val="00D63504"/>
    <w:rsid w:val="00D667EE"/>
    <w:rsid w:val="00D66846"/>
    <w:rsid w:val="00D675FB"/>
    <w:rsid w:val="00D71F25"/>
    <w:rsid w:val="00D72A9C"/>
    <w:rsid w:val="00D73DAC"/>
    <w:rsid w:val="00D747A7"/>
    <w:rsid w:val="00D77031"/>
    <w:rsid w:val="00D80AB3"/>
    <w:rsid w:val="00D84941"/>
    <w:rsid w:val="00D84FA1"/>
    <w:rsid w:val="00D851F0"/>
    <w:rsid w:val="00D86A10"/>
    <w:rsid w:val="00D86B12"/>
    <w:rsid w:val="00D86DB7"/>
    <w:rsid w:val="00D92214"/>
    <w:rsid w:val="00D926D0"/>
    <w:rsid w:val="00D93030"/>
    <w:rsid w:val="00D950E1"/>
    <w:rsid w:val="00D952A6"/>
    <w:rsid w:val="00D97A4E"/>
    <w:rsid w:val="00D97F99"/>
    <w:rsid w:val="00DA0D9E"/>
    <w:rsid w:val="00DA1E08"/>
    <w:rsid w:val="00DA24F8"/>
    <w:rsid w:val="00DA28E8"/>
    <w:rsid w:val="00DA38D3"/>
    <w:rsid w:val="00DA3932"/>
    <w:rsid w:val="00DA3AFC"/>
    <w:rsid w:val="00DA580A"/>
    <w:rsid w:val="00DA64F8"/>
    <w:rsid w:val="00DA6A41"/>
    <w:rsid w:val="00DA6C15"/>
    <w:rsid w:val="00DB0258"/>
    <w:rsid w:val="00DB02E3"/>
    <w:rsid w:val="00DB233E"/>
    <w:rsid w:val="00DB38EE"/>
    <w:rsid w:val="00DB498B"/>
    <w:rsid w:val="00DB4F32"/>
    <w:rsid w:val="00DB66CA"/>
    <w:rsid w:val="00DB6BA5"/>
    <w:rsid w:val="00DB6BCA"/>
    <w:rsid w:val="00DB73F7"/>
    <w:rsid w:val="00DB7BBB"/>
    <w:rsid w:val="00DC0321"/>
    <w:rsid w:val="00DC1955"/>
    <w:rsid w:val="00DC3067"/>
    <w:rsid w:val="00DC370B"/>
    <w:rsid w:val="00DC3B98"/>
    <w:rsid w:val="00DC48FB"/>
    <w:rsid w:val="00DC5B90"/>
    <w:rsid w:val="00DD00AA"/>
    <w:rsid w:val="00DD00FF"/>
    <w:rsid w:val="00DD0619"/>
    <w:rsid w:val="00DD07FB"/>
    <w:rsid w:val="00DD0BD8"/>
    <w:rsid w:val="00DD104E"/>
    <w:rsid w:val="00DD25C6"/>
    <w:rsid w:val="00DD2825"/>
    <w:rsid w:val="00DD4FE5"/>
    <w:rsid w:val="00DD54B0"/>
    <w:rsid w:val="00DD57EE"/>
    <w:rsid w:val="00DD6BCC"/>
    <w:rsid w:val="00DE0A4B"/>
    <w:rsid w:val="00DE1908"/>
    <w:rsid w:val="00DE2410"/>
    <w:rsid w:val="00DE2939"/>
    <w:rsid w:val="00DE6E81"/>
    <w:rsid w:val="00DE703F"/>
    <w:rsid w:val="00DE746C"/>
    <w:rsid w:val="00DE7595"/>
    <w:rsid w:val="00DF0CAD"/>
    <w:rsid w:val="00DF1961"/>
    <w:rsid w:val="00DF44DE"/>
    <w:rsid w:val="00DF5CB3"/>
    <w:rsid w:val="00DF5F11"/>
    <w:rsid w:val="00E01138"/>
    <w:rsid w:val="00E02DFB"/>
    <w:rsid w:val="00E030F9"/>
    <w:rsid w:val="00E0311A"/>
    <w:rsid w:val="00E03138"/>
    <w:rsid w:val="00E03B05"/>
    <w:rsid w:val="00E04DE3"/>
    <w:rsid w:val="00E06404"/>
    <w:rsid w:val="00E11A85"/>
    <w:rsid w:val="00E12495"/>
    <w:rsid w:val="00E12890"/>
    <w:rsid w:val="00E14B38"/>
    <w:rsid w:val="00E15CCD"/>
    <w:rsid w:val="00E17BE0"/>
    <w:rsid w:val="00E202EF"/>
    <w:rsid w:val="00E210B5"/>
    <w:rsid w:val="00E23D99"/>
    <w:rsid w:val="00E2552F"/>
    <w:rsid w:val="00E2725E"/>
    <w:rsid w:val="00E3137A"/>
    <w:rsid w:val="00E31886"/>
    <w:rsid w:val="00E322BB"/>
    <w:rsid w:val="00E326BE"/>
    <w:rsid w:val="00E32CCF"/>
    <w:rsid w:val="00E34615"/>
    <w:rsid w:val="00E34A98"/>
    <w:rsid w:val="00E35D1E"/>
    <w:rsid w:val="00E3616C"/>
    <w:rsid w:val="00E364F9"/>
    <w:rsid w:val="00E365FA"/>
    <w:rsid w:val="00E36789"/>
    <w:rsid w:val="00E37337"/>
    <w:rsid w:val="00E4255E"/>
    <w:rsid w:val="00E44A83"/>
    <w:rsid w:val="00E45911"/>
    <w:rsid w:val="00E45D00"/>
    <w:rsid w:val="00E46208"/>
    <w:rsid w:val="00E46855"/>
    <w:rsid w:val="00E502C1"/>
    <w:rsid w:val="00E502DD"/>
    <w:rsid w:val="00E50D3A"/>
    <w:rsid w:val="00E51387"/>
    <w:rsid w:val="00E516B6"/>
    <w:rsid w:val="00E51E68"/>
    <w:rsid w:val="00E527D3"/>
    <w:rsid w:val="00E52EFD"/>
    <w:rsid w:val="00E5408A"/>
    <w:rsid w:val="00E56800"/>
    <w:rsid w:val="00E56B05"/>
    <w:rsid w:val="00E57078"/>
    <w:rsid w:val="00E60C63"/>
    <w:rsid w:val="00E62A91"/>
    <w:rsid w:val="00E62FF9"/>
    <w:rsid w:val="00E635D6"/>
    <w:rsid w:val="00E639BC"/>
    <w:rsid w:val="00E64BC7"/>
    <w:rsid w:val="00E664CC"/>
    <w:rsid w:val="00E70388"/>
    <w:rsid w:val="00E70F92"/>
    <w:rsid w:val="00E71B1E"/>
    <w:rsid w:val="00E72E2B"/>
    <w:rsid w:val="00E74C54"/>
    <w:rsid w:val="00E77A03"/>
    <w:rsid w:val="00E77FDB"/>
    <w:rsid w:val="00E822E8"/>
    <w:rsid w:val="00E82554"/>
    <w:rsid w:val="00E82606"/>
    <w:rsid w:val="00E84384"/>
    <w:rsid w:val="00E846C8"/>
    <w:rsid w:val="00E84957"/>
    <w:rsid w:val="00E84A55"/>
    <w:rsid w:val="00E85BFF"/>
    <w:rsid w:val="00E90391"/>
    <w:rsid w:val="00E906C2"/>
    <w:rsid w:val="00E9311F"/>
    <w:rsid w:val="00E934D1"/>
    <w:rsid w:val="00E94AF0"/>
    <w:rsid w:val="00E95D13"/>
    <w:rsid w:val="00E95DD3"/>
    <w:rsid w:val="00E969D5"/>
    <w:rsid w:val="00EA211E"/>
    <w:rsid w:val="00EA4BC0"/>
    <w:rsid w:val="00EA4D8F"/>
    <w:rsid w:val="00EA58D1"/>
    <w:rsid w:val="00EA5C60"/>
    <w:rsid w:val="00EA61BC"/>
    <w:rsid w:val="00EA681A"/>
    <w:rsid w:val="00EA735B"/>
    <w:rsid w:val="00EA746B"/>
    <w:rsid w:val="00EB17DE"/>
    <w:rsid w:val="00EB1E69"/>
    <w:rsid w:val="00EB2086"/>
    <w:rsid w:val="00EB3EC5"/>
    <w:rsid w:val="00EB5EDF"/>
    <w:rsid w:val="00EB60FE"/>
    <w:rsid w:val="00EB74DB"/>
    <w:rsid w:val="00EC036E"/>
    <w:rsid w:val="00EC5359"/>
    <w:rsid w:val="00EC562A"/>
    <w:rsid w:val="00EC7923"/>
    <w:rsid w:val="00ED0192"/>
    <w:rsid w:val="00ED067A"/>
    <w:rsid w:val="00ED2B50"/>
    <w:rsid w:val="00ED37C4"/>
    <w:rsid w:val="00ED441B"/>
    <w:rsid w:val="00ED4EE9"/>
    <w:rsid w:val="00ED61D2"/>
    <w:rsid w:val="00ED67BF"/>
    <w:rsid w:val="00EE0350"/>
    <w:rsid w:val="00EE0719"/>
    <w:rsid w:val="00EE0E80"/>
    <w:rsid w:val="00EE296B"/>
    <w:rsid w:val="00EE54A6"/>
    <w:rsid w:val="00EE613F"/>
    <w:rsid w:val="00EE65ED"/>
    <w:rsid w:val="00EE7295"/>
    <w:rsid w:val="00EE7869"/>
    <w:rsid w:val="00EF0286"/>
    <w:rsid w:val="00EF054A"/>
    <w:rsid w:val="00EF080F"/>
    <w:rsid w:val="00EF1809"/>
    <w:rsid w:val="00EF30F0"/>
    <w:rsid w:val="00EF3235"/>
    <w:rsid w:val="00EF4C6D"/>
    <w:rsid w:val="00EF7E72"/>
    <w:rsid w:val="00F00282"/>
    <w:rsid w:val="00F05E17"/>
    <w:rsid w:val="00F06BB0"/>
    <w:rsid w:val="00F06D37"/>
    <w:rsid w:val="00F07B9D"/>
    <w:rsid w:val="00F10663"/>
    <w:rsid w:val="00F11365"/>
    <w:rsid w:val="00F11586"/>
    <w:rsid w:val="00F1183B"/>
    <w:rsid w:val="00F11B5C"/>
    <w:rsid w:val="00F11C9F"/>
    <w:rsid w:val="00F12263"/>
    <w:rsid w:val="00F1409D"/>
    <w:rsid w:val="00F14214"/>
    <w:rsid w:val="00F1523D"/>
    <w:rsid w:val="00F157A9"/>
    <w:rsid w:val="00F207E0"/>
    <w:rsid w:val="00F22B8E"/>
    <w:rsid w:val="00F2563D"/>
    <w:rsid w:val="00F25BB6"/>
    <w:rsid w:val="00F26B7E"/>
    <w:rsid w:val="00F2704E"/>
    <w:rsid w:val="00F27A3B"/>
    <w:rsid w:val="00F320FB"/>
    <w:rsid w:val="00F33817"/>
    <w:rsid w:val="00F34A63"/>
    <w:rsid w:val="00F35990"/>
    <w:rsid w:val="00F36175"/>
    <w:rsid w:val="00F420D5"/>
    <w:rsid w:val="00F451EA"/>
    <w:rsid w:val="00F45447"/>
    <w:rsid w:val="00F456C6"/>
    <w:rsid w:val="00F4577B"/>
    <w:rsid w:val="00F46496"/>
    <w:rsid w:val="00F474D0"/>
    <w:rsid w:val="00F50179"/>
    <w:rsid w:val="00F515EE"/>
    <w:rsid w:val="00F52F3F"/>
    <w:rsid w:val="00F54B9F"/>
    <w:rsid w:val="00F55E9B"/>
    <w:rsid w:val="00F56511"/>
    <w:rsid w:val="00F57A96"/>
    <w:rsid w:val="00F6194E"/>
    <w:rsid w:val="00F623AC"/>
    <w:rsid w:val="00F6412A"/>
    <w:rsid w:val="00F6450A"/>
    <w:rsid w:val="00F65893"/>
    <w:rsid w:val="00F66A4A"/>
    <w:rsid w:val="00F67F29"/>
    <w:rsid w:val="00F71E22"/>
    <w:rsid w:val="00F72142"/>
    <w:rsid w:val="00F72386"/>
    <w:rsid w:val="00F72AE7"/>
    <w:rsid w:val="00F73172"/>
    <w:rsid w:val="00F80D22"/>
    <w:rsid w:val="00F80EF0"/>
    <w:rsid w:val="00F81141"/>
    <w:rsid w:val="00F81161"/>
    <w:rsid w:val="00F8246C"/>
    <w:rsid w:val="00F833BA"/>
    <w:rsid w:val="00F84FD0"/>
    <w:rsid w:val="00F859A8"/>
    <w:rsid w:val="00F86D87"/>
    <w:rsid w:val="00F9108B"/>
    <w:rsid w:val="00F91186"/>
    <w:rsid w:val="00F91349"/>
    <w:rsid w:val="00F91DDA"/>
    <w:rsid w:val="00F934B9"/>
    <w:rsid w:val="00F93501"/>
    <w:rsid w:val="00F93A8A"/>
    <w:rsid w:val="00F945A9"/>
    <w:rsid w:val="00F94A88"/>
    <w:rsid w:val="00F95248"/>
    <w:rsid w:val="00F956A9"/>
    <w:rsid w:val="00F95EC9"/>
    <w:rsid w:val="00F963ED"/>
    <w:rsid w:val="00F966CF"/>
    <w:rsid w:val="00F96CAE"/>
    <w:rsid w:val="00F97C99"/>
    <w:rsid w:val="00FA1647"/>
    <w:rsid w:val="00FA4DAC"/>
    <w:rsid w:val="00FA662D"/>
    <w:rsid w:val="00FA73B1"/>
    <w:rsid w:val="00FB0CB9"/>
    <w:rsid w:val="00FB1930"/>
    <w:rsid w:val="00FB231D"/>
    <w:rsid w:val="00FB24D5"/>
    <w:rsid w:val="00FB45F1"/>
    <w:rsid w:val="00FB4A72"/>
    <w:rsid w:val="00FB54E8"/>
    <w:rsid w:val="00FB6632"/>
    <w:rsid w:val="00FB675A"/>
    <w:rsid w:val="00FB7054"/>
    <w:rsid w:val="00FC17B7"/>
    <w:rsid w:val="00FC2534"/>
    <w:rsid w:val="00FC2CB7"/>
    <w:rsid w:val="00FC4090"/>
    <w:rsid w:val="00FC492E"/>
    <w:rsid w:val="00FC55B4"/>
    <w:rsid w:val="00FD00E6"/>
    <w:rsid w:val="00FD0781"/>
    <w:rsid w:val="00FD09A1"/>
    <w:rsid w:val="00FD2A7C"/>
    <w:rsid w:val="00FD3F71"/>
    <w:rsid w:val="00FD3F89"/>
    <w:rsid w:val="00FD59EB"/>
    <w:rsid w:val="00FD7299"/>
    <w:rsid w:val="00FD7B5F"/>
    <w:rsid w:val="00FE0218"/>
    <w:rsid w:val="00FE0BCD"/>
    <w:rsid w:val="00FE12F5"/>
    <w:rsid w:val="00FE1FBE"/>
    <w:rsid w:val="00FE2B5C"/>
    <w:rsid w:val="00FE322B"/>
    <w:rsid w:val="00FE3901"/>
    <w:rsid w:val="00FE39D3"/>
    <w:rsid w:val="00FE4BCE"/>
    <w:rsid w:val="00FE54AE"/>
    <w:rsid w:val="00FE576A"/>
    <w:rsid w:val="00FE58FB"/>
    <w:rsid w:val="00FE7E79"/>
    <w:rsid w:val="00FF3E7D"/>
    <w:rsid w:val="00FF3FD5"/>
    <w:rsid w:val="00FF4371"/>
    <w:rsid w:val="00FF48D1"/>
    <w:rsid w:val="00FF5B99"/>
    <w:rsid w:val="00FF620B"/>
    <w:rsid w:val="00FF679A"/>
    <w:rsid w:val="00FF730C"/>
    <w:rsid w:val="00FF73F4"/>
    <w:rsid w:val="00FF7CE4"/>
    <w:rsid w:val="00FF7E39"/>
    <w:rsid w:val="3B2152F8"/>
    <w:rsid w:val="4F12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tabs>
        <w:tab w:val="left" w:pos="851"/>
        <w:tab w:val="clear" w:pos="5813"/>
      </w:tabs>
      <w:ind w:left="851"/>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39E189EA2AF453CBB1BF1585FFE504E"/>
        <w:style w:val=""/>
        <w:category>
          <w:name w:val="常规"/>
          <w:gallery w:val="placeholder"/>
        </w:category>
        <w:types>
          <w:type w:val="bbPlcHdr"/>
        </w:types>
        <w:behaviors>
          <w:behavior w:val="content"/>
        </w:behaviors>
        <w:description w:val=""/>
        <w:guid w:val="{668B8281-B7B1-40BF-9B40-495AA6C4F2D1}"/>
      </w:docPartPr>
      <w:docPartBody>
        <w:p w14:paraId="0B3716A1">
          <w:pPr>
            <w:pStyle w:val="5"/>
          </w:pPr>
          <w:r>
            <w:rPr>
              <w:rStyle w:val="4"/>
              <w:rFonts w:hint="eastAsia"/>
            </w:rPr>
            <w:t>单击或点击此处输入文字。</w:t>
          </w:r>
        </w:p>
      </w:docPartBody>
    </w:docPart>
    <w:docPart>
      <w:docPartPr>
        <w:name w:val="8830D78A9CA14B3CB36D23D4F076C36B"/>
        <w:style w:val=""/>
        <w:category>
          <w:name w:val="常规"/>
          <w:gallery w:val="placeholder"/>
        </w:category>
        <w:types>
          <w:type w:val="bbPlcHdr"/>
        </w:types>
        <w:behaviors>
          <w:behavior w:val="content"/>
        </w:behaviors>
        <w:description w:val=""/>
        <w:guid w:val="{A6A116BA-28FB-4AF0-9966-1AAB08849BC9}"/>
      </w:docPartPr>
      <w:docPartBody>
        <w:p w14:paraId="5C73953F">
          <w:pPr>
            <w:pStyle w:val="6"/>
          </w:pPr>
          <w:r>
            <w:rPr>
              <w:rStyle w:val="4"/>
              <w:rFonts w:hint="eastAsia"/>
            </w:rPr>
            <w:t>选择一项。</w:t>
          </w:r>
        </w:p>
      </w:docPartBody>
    </w:docPart>
    <w:docPart>
      <w:docPartPr>
        <w:name w:val="31D6B4D7CE7443E19435A374A520925B"/>
        <w:style w:val=""/>
        <w:category>
          <w:name w:val="常规"/>
          <w:gallery w:val="placeholder"/>
        </w:category>
        <w:types>
          <w:type w:val="bbPlcHdr"/>
        </w:types>
        <w:behaviors>
          <w:behavior w:val="content"/>
        </w:behaviors>
        <w:description w:val=""/>
        <w:guid w:val="{8DEEA0E5-7B32-4AE3-929E-55742DF68EF0}"/>
      </w:docPartPr>
      <w:docPartBody>
        <w:p w14:paraId="76F9C45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3BF"/>
    <w:rsid w:val="00000041"/>
    <w:rsid w:val="00002997"/>
    <w:rsid w:val="00017411"/>
    <w:rsid w:val="00072A18"/>
    <w:rsid w:val="001172B4"/>
    <w:rsid w:val="00175E91"/>
    <w:rsid w:val="001764A9"/>
    <w:rsid w:val="001E42F5"/>
    <w:rsid w:val="0026725D"/>
    <w:rsid w:val="002A3438"/>
    <w:rsid w:val="00391FF5"/>
    <w:rsid w:val="003F2A00"/>
    <w:rsid w:val="003F707C"/>
    <w:rsid w:val="00476B27"/>
    <w:rsid w:val="004A0E80"/>
    <w:rsid w:val="004C7111"/>
    <w:rsid w:val="005370B5"/>
    <w:rsid w:val="005609D0"/>
    <w:rsid w:val="0056245A"/>
    <w:rsid w:val="005973C4"/>
    <w:rsid w:val="00606FA7"/>
    <w:rsid w:val="006413BF"/>
    <w:rsid w:val="00665059"/>
    <w:rsid w:val="00666AE1"/>
    <w:rsid w:val="006D4AFB"/>
    <w:rsid w:val="006F251F"/>
    <w:rsid w:val="00706155"/>
    <w:rsid w:val="00721EAD"/>
    <w:rsid w:val="00736DC3"/>
    <w:rsid w:val="00745896"/>
    <w:rsid w:val="00754940"/>
    <w:rsid w:val="00767AE9"/>
    <w:rsid w:val="00782F03"/>
    <w:rsid w:val="00794933"/>
    <w:rsid w:val="007F6273"/>
    <w:rsid w:val="00850330"/>
    <w:rsid w:val="00866DC2"/>
    <w:rsid w:val="008A4E9F"/>
    <w:rsid w:val="008D4473"/>
    <w:rsid w:val="008D6FBA"/>
    <w:rsid w:val="008D7BF9"/>
    <w:rsid w:val="008E3F4C"/>
    <w:rsid w:val="008F3622"/>
    <w:rsid w:val="00985FDE"/>
    <w:rsid w:val="009C138D"/>
    <w:rsid w:val="009E1C37"/>
    <w:rsid w:val="009F2181"/>
    <w:rsid w:val="00A2290B"/>
    <w:rsid w:val="00A55E8E"/>
    <w:rsid w:val="00B06573"/>
    <w:rsid w:val="00B2360B"/>
    <w:rsid w:val="00B34B69"/>
    <w:rsid w:val="00B633A5"/>
    <w:rsid w:val="00B6777D"/>
    <w:rsid w:val="00BF0774"/>
    <w:rsid w:val="00C353E4"/>
    <w:rsid w:val="00C53AEA"/>
    <w:rsid w:val="00C66D16"/>
    <w:rsid w:val="00CE57C5"/>
    <w:rsid w:val="00D5049A"/>
    <w:rsid w:val="00D5269B"/>
    <w:rsid w:val="00D5292A"/>
    <w:rsid w:val="00D55CB7"/>
    <w:rsid w:val="00D62857"/>
    <w:rsid w:val="00D91215"/>
    <w:rsid w:val="00E02C3C"/>
    <w:rsid w:val="00E67139"/>
    <w:rsid w:val="00F0556E"/>
    <w:rsid w:val="00F9017B"/>
    <w:rsid w:val="00FB4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39E189EA2AF453CBB1BF1585FFE50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830D78A9CA14B3CB36D23D4F076C3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1D6B4D7CE7443E19435A374A520925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E43114-5CB1-4473-A133-85B16CF66FB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3093</Words>
  <Characters>3712</Characters>
  <Lines>514</Lines>
  <Paragraphs>462</Paragraphs>
  <TotalTime>0</TotalTime>
  <ScaleCrop>false</ScaleCrop>
  <LinksUpToDate>false</LinksUpToDate>
  <CharactersWithSpaces>3911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2024-11-21T08:18:00Z</dcterms:created>
  <dc:creator>Shen Xiaojun</dc:creator>
  <dc:description>&lt;config cover="true" show_menu="true" version="1.0.0" doctype="SDKXY"&gt;_x000d_
&lt;/config&gt;</dc:description>
  <cp:lastModifiedBy>杳无音信</cp:lastModifiedBy>
  <cp:lastPrinted>2024-11-25T00:45:00Z</cp:lastPrinted>
  <dcterms:modified xsi:type="dcterms:W3CDTF">2024-11-29T03:36:57Z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4661B49A98764557BD612B369F5BE5E7_12</vt:lpwstr>
  </property>
</Properties>
</file>