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31CC7">
      <w:pPr>
        <w:keepNext w:val="0"/>
        <w:keepLines w:val="0"/>
        <w:pageBreakBefore w:val="0"/>
        <w:widowControl w:val="0"/>
        <w:numPr>
          <w:ilvl w:val="0"/>
          <w:numId w:val="0"/>
        </w:numPr>
        <w:shd w:val="clear" w:color="FFFFFF" w:fill="FFFFFF"/>
        <w:tabs>
          <w:tab w:val="left" w:pos="6406"/>
        </w:tabs>
        <w:kinsoku/>
        <w:wordWrap/>
        <w:overflowPunct/>
        <w:topLinePunct w:val="0"/>
        <w:autoSpaceDE/>
        <w:autoSpaceDN/>
        <w:bidi w:val="0"/>
        <w:adjustRightInd/>
        <w:snapToGrid/>
        <w:spacing w:line="360" w:lineRule="auto"/>
        <w:ind w:leftChars="0"/>
        <w:jc w:val="center"/>
        <w:textAlignment w:val="auto"/>
        <w:outlineLvl w:val="0"/>
        <w:rPr>
          <w:rFonts w:ascii="黑体" w:hAnsi="Times New Roman" w:eastAsia="黑体" w:cs="Times New Roman"/>
          <w:b w:val="0"/>
          <w:bCs w:val="0"/>
          <w:kern w:val="0"/>
          <w:sz w:val="32"/>
          <w:szCs w:val="32"/>
          <w:lang w:val="en-US" w:eastAsia="zh-CN" w:bidi="ar-SA"/>
        </w:rPr>
      </w:pPr>
      <w:r>
        <w:rPr>
          <w:rFonts w:hint="eastAsia" w:ascii="黑体" w:hAnsi="Times New Roman" w:eastAsia="黑体" w:cs="Times New Roman"/>
          <w:b w:val="0"/>
          <w:bCs w:val="0"/>
          <w:kern w:val="0"/>
          <w:sz w:val="32"/>
          <w:szCs w:val="32"/>
          <w:lang w:val="en-US" w:eastAsia="zh-CN" w:bidi="ar-SA"/>
        </w:rPr>
        <w:t>《癌症疼痛评估规范》编制说明</w:t>
      </w:r>
    </w:p>
    <w:tbl>
      <w:tblPr>
        <w:tblStyle w:val="6"/>
        <w:tblW w:w="9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997"/>
        <w:gridCol w:w="3875"/>
        <w:gridCol w:w="1287"/>
        <w:gridCol w:w="1194"/>
        <w:gridCol w:w="1628"/>
      </w:tblGrid>
      <w:tr w14:paraId="36C4D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9" w:type="dxa"/>
            <w:gridSpan w:val="2"/>
            <w:vAlign w:val="center"/>
          </w:tcPr>
          <w:p w14:paraId="5192454C">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标准名称</w:t>
            </w:r>
          </w:p>
        </w:tc>
        <w:tc>
          <w:tcPr>
            <w:tcW w:w="7984" w:type="dxa"/>
            <w:gridSpan w:val="4"/>
            <w:vAlign w:val="center"/>
          </w:tcPr>
          <w:p w14:paraId="4225A53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《癌症疼痛评估规范》</w:t>
            </w:r>
          </w:p>
        </w:tc>
      </w:tr>
      <w:tr w14:paraId="27BDC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9" w:type="dxa"/>
            <w:gridSpan w:val="2"/>
            <w:vAlign w:val="center"/>
          </w:tcPr>
          <w:p w14:paraId="23CAE0D3">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任务来源</w:t>
            </w:r>
          </w:p>
          <w:p w14:paraId="4E9F32F9">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（项目计划号）</w:t>
            </w:r>
          </w:p>
        </w:tc>
        <w:tc>
          <w:tcPr>
            <w:tcW w:w="7984" w:type="dxa"/>
            <w:gridSpan w:val="4"/>
            <w:vAlign w:val="center"/>
          </w:tcPr>
          <w:p w14:paraId="6389B2F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ascii="Times New Roman" w:hAnsi="Times New Roman" w:eastAsia="宋体" w:cs="宋体"/>
                <w:b w:val="0"/>
                <w:bCs w:val="0"/>
                <w:color w:val="000000" w:themeColor="text1"/>
                <w:spacing w:val="7"/>
                <w:sz w:val="24"/>
                <w:szCs w:val="24"/>
                <w:highlight w:val="none"/>
                <w14:textFill>
                  <w14:solidFill>
                    <w14:schemeClr w14:val="tx1"/>
                  </w14:solidFill>
                </w14:textFill>
              </w:rPr>
              <w:t>《</w:t>
            </w:r>
            <w:r>
              <w:rPr>
                <w:rFonts w:hint="eastAsia" w:ascii="Times New Roman" w:hAnsi="Times New Roman" w:eastAsia="宋体" w:cs="宋体"/>
                <w:b w:val="0"/>
                <w:bCs w:val="0"/>
                <w:color w:val="000000" w:themeColor="text1"/>
                <w:spacing w:val="7"/>
                <w:sz w:val="24"/>
                <w:szCs w:val="24"/>
                <w:highlight w:val="none"/>
                <w14:textFill>
                  <w14:solidFill>
                    <w14:schemeClr w14:val="tx1"/>
                  </w14:solidFill>
                </w14:textFill>
              </w:rPr>
              <w:t>安徽省市场监督管理局关于下达202</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4</w:t>
            </w:r>
            <w:r>
              <w:rPr>
                <w:rFonts w:hint="eastAsia" w:ascii="Times New Roman" w:hAnsi="Times New Roman" w:eastAsia="宋体" w:cs="宋体"/>
                <w:b w:val="0"/>
                <w:bCs w:val="0"/>
                <w:color w:val="000000" w:themeColor="text1"/>
                <w:spacing w:val="7"/>
                <w:sz w:val="24"/>
                <w:szCs w:val="24"/>
                <w:highlight w:val="none"/>
                <w14:textFill>
                  <w14:solidFill>
                    <w14:schemeClr w14:val="tx1"/>
                  </w14:solidFill>
                </w14:textFill>
              </w:rPr>
              <w:t>年第</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四</w:t>
            </w:r>
            <w:r>
              <w:rPr>
                <w:rFonts w:hint="eastAsia" w:ascii="Times New Roman" w:hAnsi="Times New Roman" w:eastAsia="宋体" w:cs="宋体"/>
                <w:b w:val="0"/>
                <w:bCs w:val="0"/>
                <w:color w:val="000000" w:themeColor="text1"/>
                <w:spacing w:val="7"/>
                <w:sz w:val="24"/>
                <w:szCs w:val="24"/>
                <w:highlight w:val="none"/>
                <w14:textFill>
                  <w14:solidFill>
                    <w14:schemeClr w14:val="tx1"/>
                  </w14:solidFill>
                </w14:textFill>
              </w:rPr>
              <w:t>批安徽省地方标准制修订计划</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项目</w:t>
            </w:r>
            <w:r>
              <w:rPr>
                <w:rFonts w:hint="eastAsia" w:ascii="Times New Roman" w:hAnsi="Times New Roman" w:eastAsia="宋体" w:cs="宋体"/>
                <w:b w:val="0"/>
                <w:bCs w:val="0"/>
                <w:color w:val="000000" w:themeColor="text1"/>
                <w:spacing w:val="7"/>
                <w:sz w:val="24"/>
                <w:szCs w:val="24"/>
                <w:highlight w:val="none"/>
                <w14:textFill>
                  <w14:solidFill>
                    <w14:schemeClr w14:val="tx1"/>
                  </w14:solidFill>
                </w14:textFill>
              </w:rPr>
              <w:t>的</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通知</w:t>
            </w:r>
            <w:r>
              <w:rPr>
                <w:rFonts w:ascii="Times New Roman" w:hAnsi="Times New Roman" w:eastAsia="宋体" w:cs="宋体"/>
                <w:b w:val="0"/>
                <w:bCs w:val="0"/>
                <w:color w:val="000000" w:themeColor="text1"/>
                <w:spacing w:val="7"/>
                <w:sz w:val="24"/>
                <w:szCs w:val="24"/>
                <w:highlight w:val="none"/>
                <w14:textFill>
                  <w14:solidFill>
                    <w14:schemeClr w14:val="tx1"/>
                  </w14:solidFill>
                </w14:textFill>
              </w:rPr>
              <w:t>》(皖市监函〔202</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4</w:t>
            </w:r>
            <w:r>
              <w:rPr>
                <w:rFonts w:ascii="Times New Roman" w:hAnsi="Times New Roman" w:eastAsia="宋体" w:cs="宋体"/>
                <w:b w:val="0"/>
                <w:bCs w:val="0"/>
                <w:color w:val="000000" w:themeColor="text1"/>
                <w:spacing w:val="7"/>
                <w:sz w:val="24"/>
                <w:szCs w:val="24"/>
                <w:highlight w:val="none"/>
                <w14:textFill>
                  <w14:solidFill>
                    <w14:schemeClr w14:val="tx1"/>
                  </w14:solidFill>
                </w14:textFill>
              </w:rPr>
              <w:t>〕</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524</w:t>
            </w:r>
            <w:r>
              <w:rPr>
                <w:rFonts w:ascii="Times New Roman" w:hAnsi="Times New Roman" w:eastAsia="宋体" w:cs="宋体"/>
                <w:b w:val="0"/>
                <w:bCs w:val="0"/>
                <w:color w:val="000000" w:themeColor="text1"/>
                <w:spacing w:val="7"/>
                <w:sz w:val="24"/>
                <w:szCs w:val="24"/>
                <w:highlight w:val="none"/>
                <w14:textFill>
                  <w14:solidFill>
                    <w14:schemeClr w14:val="tx1"/>
                  </w14:solidFill>
                </w14:textFill>
              </w:rPr>
              <w:t>号)</w:t>
            </w:r>
            <w:r>
              <w:rPr>
                <w:rFonts w:hint="eastAsia" w:ascii="Times New Roman" w:hAnsi="Times New Roman" w:eastAsia="宋体" w:cs="宋体"/>
                <w:b w:val="0"/>
                <w:bCs w:val="0"/>
                <w:color w:val="000000" w:themeColor="text1"/>
                <w:spacing w:val="7"/>
                <w:sz w:val="24"/>
                <w:szCs w:val="24"/>
                <w:highlight w:val="none"/>
                <w:lang w:eastAsia="zh-CN"/>
                <w14:textFill>
                  <w14:solidFill>
                    <w14:schemeClr w14:val="tx1"/>
                  </w14:solidFill>
                </w14:textFill>
              </w:rPr>
              <w:t>，</w:t>
            </w:r>
            <w:r>
              <w:rPr>
                <w:rFonts w:ascii="Times New Roman" w:hAnsi="Times New Roman" w:eastAsia="宋体" w:cs="宋体"/>
                <w:b w:val="0"/>
                <w:bCs w:val="0"/>
                <w:color w:val="000000" w:themeColor="text1"/>
                <w:spacing w:val="7"/>
                <w:sz w:val="24"/>
                <w:szCs w:val="24"/>
                <w:highlight w:val="none"/>
                <w14:textFill>
                  <w14:solidFill>
                    <w14:schemeClr w14:val="tx1"/>
                  </w14:solidFill>
                </w14:textFill>
              </w:rPr>
              <w:t>计划项目号：</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2024-4-93</w:t>
            </w:r>
          </w:p>
        </w:tc>
      </w:tr>
      <w:tr w14:paraId="236BE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9" w:type="dxa"/>
            <w:gridSpan w:val="2"/>
            <w:vAlign w:val="center"/>
          </w:tcPr>
          <w:p w14:paraId="7357CE2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第一起草单位</w:t>
            </w:r>
          </w:p>
        </w:tc>
        <w:tc>
          <w:tcPr>
            <w:tcW w:w="7984" w:type="dxa"/>
            <w:gridSpan w:val="4"/>
            <w:vAlign w:val="center"/>
          </w:tcPr>
          <w:p w14:paraId="2DD4EA10">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安徽医科大学第一附属医院</w:t>
            </w:r>
          </w:p>
        </w:tc>
      </w:tr>
      <w:tr w14:paraId="0D36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9" w:type="dxa"/>
            <w:gridSpan w:val="2"/>
            <w:vAlign w:val="center"/>
          </w:tcPr>
          <w:p w14:paraId="37E7935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单位地址</w:t>
            </w:r>
          </w:p>
        </w:tc>
        <w:tc>
          <w:tcPr>
            <w:tcW w:w="7984" w:type="dxa"/>
            <w:gridSpan w:val="4"/>
            <w:vAlign w:val="center"/>
          </w:tcPr>
          <w:p w14:paraId="1688A8E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安徽省合肥市绩溪路218号</w:t>
            </w:r>
          </w:p>
        </w:tc>
      </w:tr>
      <w:tr w14:paraId="43D6F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9" w:type="dxa"/>
            <w:gridSpan w:val="2"/>
            <w:vAlign w:val="center"/>
          </w:tcPr>
          <w:p w14:paraId="3196B0A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参与起草单位</w:t>
            </w:r>
          </w:p>
        </w:tc>
        <w:tc>
          <w:tcPr>
            <w:tcW w:w="7984" w:type="dxa"/>
            <w:gridSpan w:val="4"/>
            <w:vAlign w:val="center"/>
          </w:tcPr>
          <w:p w14:paraId="03C4D0A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color w:val="000000" w:themeColor="text1"/>
                <w:sz w:val="24"/>
                <w:szCs w:val="21"/>
                <w:lang w:eastAsia="zh-CN"/>
                <w14:textFill>
                  <w14:solidFill>
                    <w14:schemeClr w14:val="tx1"/>
                  </w14:solidFill>
                </w14:textFill>
              </w:rPr>
              <w:t>安徽省卫生健康委员会医政医管处、安徽省质量和标准化研究院、</w:t>
            </w:r>
            <w:r>
              <w:rPr>
                <w:rFonts w:hint="eastAsia" w:ascii="Times New Roman" w:hAnsi="Times New Roman" w:eastAsia="宋体" w:cs="Times New Roman"/>
                <w:color w:val="000000" w:themeColor="text1"/>
                <w:sz w:val="24"/>
                <w:szCs w:val="21"/>
                <w:lang w:val="en-US" w:eastAsia="zh-CN"/>
                <w14:textFill>
                  <w14:solidFill>
                    <w14:schemeClr w14:val="tx1"/>
                  </w14:solidFill>
                </w14:textFill>
              </w:rPr>
              <w:t>安徽省抗癌协会、</w:t>
            </w:r>
            <w:r>
              <w:rPr>
                <w:rFonts w:hint="eastAsia" w:ascii="Times New Roman" w:hAnsi="Times New Roman" w:eastAsia="宋体" w:cs="Times New Roman"/>
                <w:color w:val="000000" w:themeColor="text1"/>
                <w:sz w:val="24"/>
                <w:szCs w:val="21"/>
                <w:lang w:eastAsia="zh-CN"/>
                <w14:textFill>
                  <w14:solidFill>
                    <w14:schemeClr w14:val="tx1"/>
                  </w14:solidFill>
                </w14:textFill>
              </w:rPr>
              <w:t>中国科学技术大学附属</w:t>
            </w:r>
            <w:r>
              <w:rPr>
                <w:rFonts w:hint="default" w:ascii="Times New Roman" w:hAnsi="Times New Roman" w:eastAsia="宋体" w:cs="Times New Roman"/>
                <w:color w:val="000000" w:themeColor="text1"/>
                <w:sz w:val="24"/>
                <w:szCs w:val="21"/>
                <w:lang w:val="en-US" w:eastAsia="zh-CN"/>
                <w14:textFill>
                  <w14:solidFill>
                    <w14:schemeClr w14:val="tx1"/>
                  </w14:solidFill>
                </w14:textFill>
              </w:rPr>
              <w:t>第一医院</w:t>
            </w:r>
            <w:r>
              <w:rPr>
                <w:rFonts w:hint="eastAsia" w:ascii="Times New Roman" w:hAnsi="Times New Roman" w:eastAsia="宋体" w:cs="Times New Roman"/>
                <w:color w:val="000000" w:themeColor="text1"/>
                <w:sz w:val="24"/>
                <w:szCs w:val="21"/>
                <w:lang w:val="en-US" w:eastAsia="zh-CN"/>
                <w14:textFill>
                  <w14:solidFill>
                    <w14:schemeClr w14:val="tx1"/>
                  </w14:solidFill>
                </w14:textFill>
              </w:rPr>
              <w:t>、安徽医科大学第二附属医院、安徽中医药大学第一附属医院</w:t>
            </w:r>
          </w:p>
        </w:tc>
      </w:tr>
      <w:tr w14:paraId="1E88E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83" w:type="dxa"/>
            <w:gridSpan w:val="6"/>
            <w:vAlign w:val="center"/>
          </w:tcPr>
          <w:p w14:paraId="6B8DA20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标准起草人</w:t>
            </w:r>
          </w:p>
          <w:p w14:paraId="4AB611F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（全部起草人，应与标准文本前言中起草人排序一致）</w:t>
            </w:r>
          </w:p>
        </w:tc>
      </w:tr>
      <w:tr w14:paraId="7D5A8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2" w:type="dxa"/>
            <w:vAlign w:val="center"/>
          </w:tcPr>
          <w:p w14:paraId="473CE95A">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序号</w:t>
            </w:r>
          </w:p>
        </w:tc>
        <w:tc>
          <w:tcPr>
            <w:tcW w:w="997" w:type="dxa"/>
            <w:vAlign w:val="center"/>
          </w:tcPr>
          <w:p w14:paraId="417B8B1C">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姓名</w:t>
            </w:r>
          </w:p>
        </w:tc>
        <w:tc>
          <w:tcPr>
            <w:tcW w:w="3875" w:type="dxa"/>
            <w:vAlign w:val="center"/>
          </w:tcPr>
          <w:p w14:paraId="0CD01FA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单位</w:t>
            </w:r>
          </w:p>
        </w:tc>
        <w:tc>
          <w:tcPr>
            <w:tcW w:w="1287" w:type="dxa"/>
            <w:vAlign w:val="center"/>
          </w:tcPr>
          <w:p w14:paraId="6C98E6F3">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职务</w:t>
            </w:r>
          </w:p>
        </w:tc>
        <w:tc>
          <w:tcPr>
            <w:tcW w:w="1194" w:type="dxa"/>
            <w:vAlign w:val="center"/>
          </w:tcPr>
          <w:p w14:paraId="1F36E0FA">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职称</w:t>
            </w:r>
          </w:p>
        </w:tc>
        <w:tc>
          <w:tcPr>
            <w:tcW w:w="1628" w:type="dxa"/>
            <w:vAlign w:val="center"/>
          </w:tcPr>
          <w:p w14:paraId="4874CC6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电话</w:t>
            </w:r>
          </w:p>
        </w:tc>
      </w:tr>
      <w:tr w14:paraId="03769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2" w:type="dxa"/>
            <w:vAlign w:val="center"/>
          </w:tcPr>
          <w:p w14:paraId="2BC4CBC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w:t>
            </w:r>
          </w:p>
        </w:tc>
        <w:tc>
          <w:tcPr>
            <w:tcW w:w="997" w:type="dxa"/>
            <w:shd w:val="clear" w:color="auto" w:fill="auto"/>
            <w:vAlign w:val="center"/>
          </w:tcPr>
          <w:p w14:paraId="76C342EC">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丁金霞</w:t>
            </w:r>
          </w:p>
        </w:tc>
        <w:tc>
          <w:tcPr>
            <w:tcW w:w="3875" w:type="dxa"/>
            <w:shd w:val="clear" w:color="auto" w:fill="auto"/>
            <w:vAlign w:val="center"/>
          </w:tcPr>
          <w:p w14:paraId="4ACF99D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安徽医科大学第一附属医院</w:t>
            </w:r>
          </w:p>
        </w:tc>
        <w:tc>
          <w:tcPr>
            <w:tcW w:w="1287" w:type="dxa"/>
            <w:shd w:val="clear" w:color="auto" w:fill="auto"/>
            <w:vAlign w:val="center"/>
          </w:tcPr>
          <w:p w14:paraId="5780D3CC">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护士长</w:t>
            </w:r>
          </w:p>
        </w:tc>
        <w:tc>
          <w:tcPr>
            <w:tcW w:w="1194" w:type="dxa"/>
            <w:shd w:val="clear" w:color="auto" w:fill="auto"/>
            <w:vAlign w:val="center"/>
          </w:tcPr>
          <w:p w14:paraId="3853158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主任护师</w:t>
            </w:r>
          </w:p>
        </w:tc>
        <w:tc>
          <w:tcPr>
            <w:tcW w:w="1628" w:type="dxa"/>
            <w:shd w:val="clear" w:color="auto" w:fill="auto"/>
            <w:vAlign w:val="center"/>
          </w:tcPr>
          <w:p w14:paraId="68E0DAB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18856062158</w:t>
            </w:r>
          </w:p>
        </w:tc>
      </w:tr>
      <w:tr w14:paraId="03345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02" w:type="dxa"/>
            <w:vAlign w:val="center"/>
          </w:tcPr>
          <w:p w14:paraId="1DFDBE00">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2</w:t>
            </w:r>
          </w:p>
        </w:tc>
        <w:tc>
          <w:tcPr>
            <w:tcW w:w="997" w:type="dxa"/>
            <w:vAlign w:val="center"/>
          </w:tcPr>
          <w:p w14:paraId="54C6F804">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胡少华</w:t>
            </w:r>
          </w:p>
        </w:tc>
        <w:tc>
          <w:tcPr>
            <w:tcW w:w="3875" w:type="dxa"/>
            <w:vAlign w:val="center"/>
          </w:tcPr>
          <w:p w14:paraId="6F5DE98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安徽医科大学第一附属医院</w:t>
            </w:r>
          </w:p>
        </w:tc>
        <w:tc>
          <w:tcPr>
            <w:tcW w:w="1287" w:type="dxa"/>
            <w:vAlign w:val="center"/>
          </w:tcPr>
          <w:p w14:paraId="18940692">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护理部主任</w:t>
            </w:r>
          </w:p>
        </w:tc>
        <w:tc>
          <w:tcPr>
            <w:tcW w:w="1194" w:type="dxa"/>
            <w:vAlign w:val="center"/>
          </w:tcPr>
          <w:p w14:paraId="263FF2A9">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主任护师</w:t>
            </w:r>
          </w:p>
        </w:tc>
        <w:tc>
          <w:tcPr>
            <w:tcW w:w="1628" w:type="dxa"/>
            <w:vAlign w:val="center"/>
          </w:tcPr>
          <w:p w14:paraId="170DDAF7">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13909696206</w:t>
            </w:r>
          </w:p>
        </w:tc>
      </w:tr>
      <w:tr w14:paraId="4355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02" w:type="dxa"/>
            <w:vAlign w:val="center"/>
          </w:tcPr>
          <w:p w14:paraId="711B1027">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3</w:t>
            </w:r>
          </w:p>
        </w:tc>
        <w:tc>
          <w:tcPr>
            <w:tcW w:w="997" w:type="dxa"/>
            <w:vAlign w:val="center"/>
          </w:tcPr>
          <w:p w14:paraId="58FBBA7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胡玉洁</w:t>
            </w:r>
          </w:p>
        </w:tc>
        <w:tc>
          <w:tcPr>
            <w:tcW w:w="3875" w:type="dxa"/>
            <w:vAlign w:val="center"/>
          </w:tcPr>
          <w:p w14:paraId="2C28891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安徽医科大学第一附属医院</w:t>
            </w:r>
          </w:p>
        </w:tc>
        <w:tc>
          <w:tcPr>
            <w:tcW w:w="1287" w:type="dxa"/>
            <w:vAlign w:val="center"/>
          </w:tcPr>
          <w:p w14:paraId="27AA09C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护士</w:t>
            </w:r>
          </w:p>
        </w:tc>
        <w:tc>
          <w:tcPr>
            <w:tcW w:w="1194" w:type="dxa"/>
            <w:vAlign w:val="center"/>
          </w:tcPr>
          <w:p w14:paraId="387CAEE7">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主管护师</w:t>
            </w:r>
          </w:p>
        </w:tc>
        <w:tc>
          <w:tcPr>
            <w:tcW w:w="1628" w:type="dxa"/>
            <w:vAlign w:val="center"/>
          </w:tcPr>
          <w:p w14:paraId="655C31A4">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18856975739</w:t>
            </w:r>
          </w:p>
        </w:tc>
      </w:tr>
      <w:tr w14:paraId="0B65E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702" w:type="dxa"/>
            <w:vAlign w:val="center"/>
          </w:tcPr>
          <w:p w14:paraId="681103FA">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4</w:t>
            </w:r>
          </w:p>
        </w:tc>
        <w:tc>
          <w:tcPr>
            <w:tcW w:w="997" w:type="dxa"/>
            <w:vAlign w:val="center"/>
          </w:tcPr>
          <w:p w14:paraId="43F122B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西翀</w:t>
            </w:r>
          </w:p>
        </w:tc>
        <w:tc>
          <w:tcPr>
            <w:tcW w:w="3875" w:type="dxa"/>
            <w:vAlign w:val="center"/>
          </w:tcPr>
          <w:p w14:paraId="3052A90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安徽省卫生健康委员会医政医管处</w:t>
            </w:r>
          </w:p>
        </w:tc>
        <w:tc>
          <w:tcPr>
            <w:tcW w:w="1287" w:type="dxa"/>
            <w:vAlign w:val="center"/>
          </w:tcPr>
          <w:p w14:paraId="28CD4161">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监察专员</w:t>
            </w:r>
          </w:p>
        </w:tc>
        <w:tc>
          <w:tcPr>
            <w:tcW w:w="1194" w:type="dxa"/>
            <w:vAlign w:val="center"/>
          </w:tcPr>
          <w:p w14:paraId="56A1298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w:t>
            </w:r>
          </w:p>
        </w:tc>
        <w:tc>
          <w:tcPr>
            <w:tcW w:w="1628" w:type="dxa"/>
            <w:vAlign w:val="center"/>
          </w:tcPr>
          <w:p w14:paraId="25BA5C2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default" w:ascii="Times New Roman" w:hAnsi="Times New Roman" w:eastAsia="宋体" w:cs="Times New Roman"/>
                <w:kern w:val="0"/>
                <w:sz w:val="24"/>
                <w:szCs w:val="21"/>
                <w:lang w:val="en-US" w:eastAsia="zh-CN" w:bidi="ar-SA"/>
              </w:rPr>
              <w:t>0551-62998154</w:t>
            </w:r>
          </w:p>
        </w:tc>
      </w:tr>
      <w:tr w14:paraId="2FC4F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702" w:type="dxa"/>
            <w:vAlign w:val="center"/>
          </w:tcPr>
          <w:p w14:paraId="452F3DEA">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5</w:t>
            </w:r>
          </w:p>
        </w:tc>
        <w:tc>
          <w:tcPr>
            <w:tcW w:w="997" w:type="dxa"/>
            <w:vAlign w:val="center"/>
          </w:tcPr>
          <w:p w14:paraId="4367B2F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王立奎</w:t>
            </w:r>
          </w:p>
        </w:tc>
        <w:tc>
          <w:tcPr>
            <w:tcW w:w="3875" w:type="dxa"/>
            <w:vAlign w:val="center"/>
          </w:tcPr>
          <w:p w14:paraId="05EDAA0B">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安徽医科大学第一附属医院</w:t>
            </w:r>
          </w:p>
        </w:tc>
        <w:tc>
          <w:tcPr>
            <w:tcW w:w="1287" w:type="dxa"/>
            <w:vAlign w:val="center"/>
          </w:tcPr>
          <w:p w14:paraId="2365E5F0">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科主任</w:t>
            </w:r>
          </w:p>
        </w:tc>
        <w:tc>
          <w:tcPr>
            <w:tcW w:w="1194" w:type="dxa"/>
            <w:vAlign w:val="center"/>
          </w:tcPr>
          <w:p w14:paraId="2FBB8219">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主任医师</w:t>
            </w:r>
          </w:p>
        </w:tc>
        <w:tc>
          <w:tcPr>
            <w:tcW w:w="1628" w:type="dxa"/>
            <w:vAlign w:val="center"/>
          </w:tcPr>
          <w:p w14:paraId="1DBE31D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13856723451</w:t>
            </w:r>
          </w:p>
        </w:tc>
      </w:tr>
      <w:tr w14:paraId="4E932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702" w:type="dxa"/>
            <w:vAlign w:val="center"/>
          </w:tcPr>
          <w:p w14:paraId="333E6D9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6</w:t>
            </w:r>
          </w:p>
        </w:tc>
        <w:tc>
          <w:tcPr>
            <w:tcW w:w="997" w:type="dxa"/>
            <w:vAlign w:val="center"/>
          </w:tcPr>
          <w:p w14:paraId="2AFDCCA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顾康生</w:t>
            </w:r>
          </w:p>
        </w:tc>
        <w:tc>
          <w:tcPr>
            <w:tcW w:w="3875" w:type="dxa"/>
            <w:vAlign w:val="center"/>
          </w:tcPr>
          <w:p w14:paraId="7A6C1C9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安徽医科大学第一附属医院</w:t>
            </w:r>
          </w:p>
        </w:tc>
        <w:tc>
          <w:tcPr>
            <w:tcW w:w="1287" w:type="dxa"/>
            <w:vAlign w:val="center"/>
          </w:tcPr>
          <w:p w14:paraId="1C41565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科主任</w:t>
            </w:r>
          </w:p>
        </w:tc>
        <w:tc>
          <w:tcPr>
            <w:tcW w:w="1194" w:type="dxa"/>
            <w:vAlign w:val="center"/>
          </w:tcPr>
          <w:p w14:paraId="3E837BF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主任医师</w:t>
            </w:r>
          </w:p>
        </w:tc>
        <w:tc>
          <w:tcPr>
            <w:tcW w:w="1628" w:type="dxa"/>
            <w:vAlign w:val="center"/>
          </w:tcPr>
          <w:p w14:paraId="7C17873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13805692145</w:t>
            </w:r>
          </w:p>
        </w:tc>
      </w:tr>
      <w:tr w14:paraId="27FF6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702" w:type="dxa"/>
            <w:shd w:val="clear" w:color="auto" w:fill="auto"/>
            <w:vAlign w:val="center"/>
          </w:tcPr>
          <w:p w14:paraId="3B047B22">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7</w:t>
            </w:r>
          </w:p>
        </w:tc>
        <w:tc>
          <w:tcPr>
            <w:tcW w:w="997" w:type="dxa"/>
            <w:vAlign w:val="center"/>
          </w:tcPr>
          <w:p w14:paraId="3B5A2A62">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吴璐娟</w:t>
            </w:r>
          </w:p>
        </w:tc>
        <w:tc>
          <w:tcPr>
            <w:tcW w:w="3875" w:type="dxa"/>
            <w:shd w:val="clear" w:color="auto" w:fill="auto"/>
            <w:vAlign w:val="center"/>
          </w:tcPr>
          <w:p w14:paraId="48773DC2">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安徽医科大学第一附属医院</w:t>
            </w:r>
          </w:p>
        </w:tc>
        <w:tc>
          <w:tcPr>
            <w:tcW w:w="1287" w:type="dxa"/>
            <w:shd w:val="clear" w:color="auto" w:fill="auto"/>
            <w:vAlign w:val="center"/>
          </w:tcPr>
          <w:p w14:paraId="52D1A2BB">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护士</w:t>
            </w:r>
          </w:p>
        </w:tc>
        <w:tc>
          <w:tcPr>
            <w:tcW w:w="1194" w:type="dxa"/>
            <w:shd w:val="clear" w:color="auto" w:fill="auto"/>
            <w:vAlign w:val="center"/>
          </w:tcPr>
          <w:p w14:paraId="6285493C">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护师</w:t>
            </w:r>
          </w:p>
        </w:tc>
        <w:tc>
          <w:tcPr>
            <w:tcW w:w="1628" w:type="dxa"/>
            <w:shd w:val="clear" w:color="auto" w:fill="auto"/>
            <w:vAlign w:val="center"/>
          </w:tcPr>
          <w:p w14:paraId="56822B74">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18154067966</w:t>
            </w:r>
          </w:p>
        </w:tc>
      </w:tr>
      <w:tr w14:paraId="161FD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02" w:type="dxa"/>
            <w:shd w:val="clear" w:color="auto" w:fill="auto"/>
            <w:vAlign w:val="center"/>
          </w:tcPr>
          <w:p w14:paraId="00D02D41">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8</w:t>
            </w:r>
          </w:p>
        </w:tc>
        <w:tc>
          <w:tcPr>
            <w:tcW w:w="997" w:type="dxa"/>
            <w:shd w:val="clear" w:color="auto" w:fill="auto"/>
            <w:vAlign w:val="center"/>
          </w:tcPr>
          <w:p w14:paraId="4C5E966A">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潘玉芹</w:t>
            </w:r>
          </w:p>
        </w:tc>
        <w:tc>
          <w:tcPr>
            <w:tcW w:w="3875" w:type="dxa"/>
            <w:shd w:val="clear" w:color="auto" w:fill="auto"/>
            <w:vAlign w:val="center"/>
          </w:tcPr>
          <w:p w14:paraId="38B23DEC">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安徽医科大学第一附属医院</w:t>
            </w:r>
          </w:p>
        </w:tc>
        <w:tc>
          <w:tcPr>
            <w:tcW w:w="1287" w:type="dxa"/>
            <w:shd w:val="clear" w:color="auto" w:fill="auto"/>
            <w:vAlign w:val="center"/>
          </w:tcPr>
          <w:p w14:paraId="4EE016E3">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护士长</w:t>
            </w:r>
          </w:p>
        </w:tc>
        <w:tc>
          <w:tcPr>
            <w:tcW w:w="1194" w:type="dxa"/>
            <w:shd w:val="clear" w:color="auto" w:fill="auto"/>
            <w:vAlign w:val="center"/>
          </w:tcPr>
          <w:p w14:paraId="4563DDE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副主任护师</w:t>
            </w:r>
          </w:p>
        </w:tc>
        <w:tc>
          <w:tcPr>
            <w:tcW w:w="1628" w:type="dxa"/>
            <w:shd w:val="clear" w:color="auto" w:fill="auto"/>
            <w:vAlign w:val="center"/>
          </w:tcPr>
          <w:p w14:paraId="3A5E69A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13856927921</w:t>
            </w:r>
          </w:p>
        </w:tc>
      </w:tr>
      <w:tr w14:paraId="42830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702" w:type="dxa"/>
            <w:shd w:val="clear" w:color="auto" w:fill="auto"/>
            <w:vAlign w:val="center"/>
          </w:tcPr>
          <w:p w14:paraId="1A39113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9</w:t>
            </w:r>
          </w:p>
        </w:tc>
        <w:tc>
          <w:tcPr>
            <w:tcW w:w="997" w:type="dxa"/>
            <w:shd w:val="clear" w:color="auto" w:fill="auto"/>
            <w:vAlign w:val="center"/>
          </w:tcPr>
          <w:p w14:paraId="754D86D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color w:val="000000" w:themeColor="text1"/>
                <w:kern w:val="2"/>
                <w:sz w:val="24"/>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sz w:val="24"/>
                <w:szCs w:val="21"/>
                <w:lang w:val="en-US" w:eastAsia="zh-CN"/>
                <w14:textFill>
                  <w14:solidFill>
                    <w14:schemeClr w14:val="tx1"/>
                  </w14:solidFill>
                </w14:textFill>
              </w:rPr>
              <w:t>李峰</w:t>
            </w:r>
          </w:p>
        </w:tc>
        <w:tc>
          <w:tcPr>
            <w:tcW w:w="3875" w:type="dxa"/>
            <w:shd w:val="clear" w:color="auto" w:fill="auto"/>
            <w:vAlign w:val="center"/>
          </w:tcPr>
          <w:p w14:paraId="56967E2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安徽医科大学第一附属医院</w:t>
            </w:r>
          </w:p>
        </w:tc>
        <w:tc>
          <w:tcPr>
            <w:tcW w:w="1287" w:type="dxa"/>
            <w:shd w:val="clear" w:color="auto" w:fill="auto"/>
            <w:vAlign w:val="center"/>
          </w:tcPr>
          <w:p w14:paraId="3EE8790B">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护士长</w:t>
            </w:r>
          </w:p>
        </w:tc>
        <w:tc>
          <w:tcPr>
            <w:tcW w:w="1194" w:type="dxa"/>
            <w:shd w:val="clear" w:color="auto" w:fill="auto"/>
            <w:vAlign w:val="center"/>
          </w:tcPr>
          <w:p w14:paraId="42B11BE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副主任护师</w:t>
            </w:r>
          </w:p>
        </w:tc>
        <w:tc>
          <w:tcPr>
            <w:tcW w:w="1628" w:type="dxa"/>
            <w:shd w:val="clear" w:color="auto" w:fill="auto"/>
            <w:vAlign w:val="center"/>
          </w:tcPr>
          <w:p w14:paraId="0F932E0A">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13605604048</w:t>
            </w:r>
          </w:p>
        </w:tc>
      </w:tr>
      <w:tr w14:paraId="76D79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2" w:type="dxa"/>
            <w:shd w:val="clear" w:color="auto" w:fill="auto"/>
            <w:vAlign w:val="center"/>
          </w:tcPr>
          <w:p w14:paraId="1ED80057">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10</w:t>
            </w:r>
          </w:p>
        </w:tc>
        <w:tc>
          <w:tcPr>
            <w:tcW w:w="997" w:type="dxa"/>
            <w:vAlign w:val="center"/>
          </w:tcPr>
          <w:p w14:paraId="54B619D0">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郭毅</w:t>
            </w:r>
          </w:p>
        </w:tc>
        <w:tc>
          <w:tcPr>
            <w:tcW w:w="3875" w:type="dxa"/>
            <w:vAlign w:val="center"/>
          </w:tcPr>
          <w:p w14:paraId="72B1576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安徽省抗癌协会</w:t>
            </w:r>
          </w:p>
        </w:tc>
        <w:tc>
          <w:tcPr>
            <w:tcW w:w="1287" w:type="dxa"/>
            <w:vAlign w:val="center"/>
          </w:tcPr>
          <w:p w14:paraId="28CA19B1">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秘书</w:t>
            </w:r>
          </w:p>
        </w:tc>
        <w:tc>
          <w:tcPr>
            <w:tcW w:w="1194" w:type="dxa"/>
            <w:vAlign w:val="center"/>
          </w:tcPr>
          <w:p w14:paraId="1C125BF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主任医师</w:t>
            </w:r>
          </w:p>
        </w:tc>
        <w:tc>
          <w:tcPr>
            <w:tcW w:w="1628" w:type="dxa"/>
            <w:vAlign w:val="center"/>
          </w:tcPr>
          <w:p w14:paraId="2C1C7547">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default" w:ascii="Times New Roman" w:hAnsi="Times New Roman" w:eastAsia="宋体" w:cs="Times New Roman"/>
                <w:kern w:val="0"/>
                <w:sz w:val="24"/>
                <w:szCs w:val="21"/>
                <w:lang w:val="en-US" w:eastAsia="zh-CN" w:bidi="ar-SA"/>
              </w:rPr>
              <w:t>13905690817</w:t>
            </w:r>
          </w:p>
        </w:tc>
      </w:tr>
      <w:tr w14:paraId="54152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02" w:type="dxa"/>
            <w:shd w:val="clear" w:color="auto" w:fill="auto"/>
            <w:vAlign w:val="center"/>
          </w:tcPr>
          <w:p w14:paraId="3EDFAC27">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11</w:t>
            </w:r>
          </w:p>
        </w:tc>
        <w:tc>
          <w:tcPr>
            <w:tcW w:w="997" w:type="dxa"/>
            <w:vAlign w:val="center"/>
          </w:tcPr>
          <w:p w14:paraId="08F5F5D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color w:val="000000" w:themeColor="text1"/>
                <w:sz w:val="24"/>
                <w:szCs w:val="21"/>
                <w:lang w:val="en-US" w:eastAsia="zh-CN"/>
                <w14:textFill>
                  <w14:solidFill>
                    <w14:schemeClr w14:val="tx1"/>
                  </w14:solidFill>
                </w14:textFill>
              </w:rPr>
            </w:pPr>
            <w:r>
              <w:rPr>
                <w:rFonts w:hint="eastAsia" w:ascii="Times New Roman" w:hAnsi="Times New Roman" w:eastAsia="宋体" w:cs="Times New Roman"/>
                <w:color w:val="000000" w:themeColor="text1"/>
                <w:sz w:val="24"/>
                <w:szCs w:val="21"/>
                <w:lang w:val="en-US" w:eastAsia="zh-CN"/>
                <w14:textFill>
                  <w14:solidFill>
                    <w14:schemeClr w14:val="tx1"/>
                  </w14:solidFill>
                </w14:textFill>
              </w:rPr>
              <w:t>张文秋</w:t>
            </w:r>
          </w:p>
        </w:tc>
        <w:tc>
          <w:tcPr>
            <w:tcW w:w="3875" w:type="dxa"/>
            <w:vAlign w:val="center"/>
          </w:tcPr>
          <w:p w14:paraId="51FA5E44">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安徽省质量和标准化研究院</w:t>
            </w:r>
          </w:p>
        </w:tc>
        <w:tc>
          <w:tcPr>
            <w:tcW w:w="1287" w:type="dxa"/>
            <w:vAlign w:val="center"/>
          </w:tcPr>
          <w:p w14:paraId="3E912CF9">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副院长</w:t>
            </w:r>
          </w:p>
        </w:tc>
        <w:tc>
          <w:tcPr>
            <w:tcW w:w="1194" w:type="dxa"/>
            <w:vAlign w:val="center"/>
          </w:tcPr>
          <w:p w14:paraId="2489790B">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w:t>
            </w:r>
          </w:p>
        </w:tc>
        <w:tc>
          <w:tcPr>
            <w:tcW w:w="1628" w:type="dxa"/>
            <w:vAlign w:val="center"/>
          </w:tcPr>
          <w:p w14:paraId="71656021">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default" w:ascii="Times New Roman" w:hAnsi="Times New Roman" w:eastAsia="宋体" w:cs="Times New Roman"/>
                <w:kern w:val="0"/>
                <w:sz w:val="24"/>
                <w:szCs w:val="21"/>
                <w:lang w:val="en-US" w:eastAsia="zh-CN" w:bidi="ar-SA"/>
              </w:rPr>
              <w:t>15375465616</w:t>
            </w:r>
          </w:p>
        </w:tc>
      </w:tr>
      <w:tr w14:paraId="63510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702" w:type="dxa"/>
            <w:shd w:val="clear" w:color="auto" w:fill="auto"/>
            <w:vAlign w:val="center"/>
          </w:tcPr>
          <w:p w14:paraId="22B8AD37">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12</w:t>
            </w:r>
          </w:p>
        </w:tc>
        <w:tc>
          <w:tcPr>
            <w:tcW w:w="997" w:type="dxa"/>
            <w:shd w:val="clear" w:color="auto" w:fill="auto"/>
            <w:vAlign w:val="center"/>
          </w:tcPr>
          <w:p w14:paraId="58773127">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color w:val="000000" w:themeColor="text1"/>
                <w:sz w:val="24"/>
                <w:szCs w:val="21"/>
                <w:lang w:val="en-US" w:eastAsia="zh-CN"/>
                <w14:textFill>
                  <w14:solidFill>
                    <w14:schemeClr w14:val="tx1"/>
                  </w14:solidFill>
                </w14:textFill>
              </w:rPr>
              <w:t>徐军霞</w:t>
            </w:r>
          </w:p>
        </w:tc>
        <w:tc>
          <w:tcPr>
            <w:tcW w:w="3875" w:type="dxa"/>
            <w:shd w:val="clear" w:color="auto" w:fill="auto"/>
            <w:vAlign w:val="center"/>
          </w:tcPr>
          <w:p w14:paraId="02CF2F94">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中国科学技术大学附属第一医院</w:t>
            </w:r>
          </w:p>
        </w:tc>
        <w:tc>
          <w:tcPr>
            <w:tcW w:w="1287" w:type="dxa"/>
            <w:shd w:val="clear" w:color="auto" w:fill="auto"/>
            <w:vAlign w:val="center"/>
          </w:tcPr>
          <w:p w14:paraId="493F4E2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护士长</w:t>
            </w:r>
          </w:p>
        </w:tc>
        <w:tc>
          <w:tcPr>
            <w:tcW w:w="1194" w:type="dxa"/>
            <w:shd w:val="clear" w:color="auto" w:fill="auto"/>
            <w:vAlign w:val="center"/>
          </w:tcPr>
          <w:p w14:paraId="6949831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副主任护师</w:t>
            </w:r>
          </w:p>
        </w:tc>
        <w:tc>
          <w:tcPr>
            <w:tcW w:w="1628" w:type="dxa"/>
            <w:shd w:val="clear" w:color="auto" w:fill="auto"/>
            <w:vAlign w:val="center"/>
          </w:tcPr>
          <w:p w14:paraId="11D6897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18963789275</w:t>
            </w:r>
          </w:p>
        </w:tc>
      </w:tr>
      <w:tr w14:paraId="28C9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02" w:type="dxa"/>
            <w:shd w:val="clear" w:color="auto" w:fill="auto"/>
            <w:vAlign w:val="center"/>
          </w:tcPr>
          <w:p w14:paraId="5D639D2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13</w:t>
            </w:r>
          </w:p>
        </w:tc>
        <w:tc>
          <w:tcPr>
            <w:tcW w:w="997" w:type="dxa"/>
            <w:vAlign w:val="center"/>
          </w:tcPr>
          <w:p w14:paraId="33D0CDD4">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color w:val="000000" w:themeColor="text1"/>
                <w:sz w:val="24"/>
                <w:szCs w:val="21"/>
                <w:lang w:val="en-US" w:eastAsia="zh-CN"/>
                <w14:textFill>
                  <w14:solidFill>
                    <w14:schemeClr w14:val="tx1"/>
                  </w14:solidFill>
                </w14:textFill>
              </w:rPr>
            </w:pPr>
            <w:r>
              <w:rPr>
                <w:rFonts w:hint="eastAsia" w:ascii="Times New Roman" w:hAnsi="Times New Roman" w:eastAsia="宋体" w:cs="Times New Roman"/>
                <w:color w:val="000000" w:themeColor="text1"/>
                <w:sz w:val="24"/>
                <w:szCs w:val="21"/>
                <w:lang w:val="en-US" w:eastAsia="zh-CN"/>
                <w14:textFill>
                  <w14:solidFill>
                    <w14:schemeClr w14:val="tx1"/>
                  </w14:solidFill>
                </w14:textFill>
              </w:rPr>
              <w:t>李小林</w:t>
            </w:r>
          </w:p>
        </w:tc>
        <w:tc>
          <w:tcPr>
            <w:tcW w:w="3875" w:type="dxa"/>
            <w:vAlign w:val="center"/>
          </w:tcPr>
          <w:p w14:paraId="3BC2E2B4">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安徽医科大学第二附属医院</w:t>
            </w:r>
          </w:p>
        </w:tc>
        <w:tc>
          <w:tcPr>
            <w:tcW w:w="1287" w:type="dxa"/>
            <w:vAlign w:val="center"/>
          </w:tcPr>
          <w:p w14:paraId="4BAC4E91">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护士长</w:t>
            </w:r>
          </w:p>
        </w:tc>
        <w:tc>
          <w:tcPr>
            <w:tcW w:w="1194" w:type="dxa"/>
            <w:vAlign w:val="center"/>
          </w:tcPr>
          <w:p w14:paraId="4A271DC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副主任护师</w:t>
            </w:r>
          </w:p>
        </w:tc>
        <w:tc>
          <w:tcPr>
            <w:tcW w:w="1628" w:type="dxa"/>
            <w:vAlign w:val="center"/>
          </w:tcPr>
          <w:p w14:paraId="20634E6B">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default" w:ascii="Times New Roman" w:hAnsi="Times New Roman" w:eastAsia="宋体" w:cs="Times New Roman"/>
                <w:kern w:val="0"/>
                <w:sz w:val="24"/>
                <w:szCs w:val="21"/>
                <w:lang w:val="en-US" w:eastAsia="zh-CN" w:bidi="ar-SA"/>
              </w:rPr>
              <w:t>15255101721</w:t>
            </w:r>
          </w:p>
        </w:tc>
      </w:tr>
      <w:tr w14:paraId="20C0E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702" w:type="dxa"/>
            <w:vAlign w:val="center"/>
          </w:tcPr>
          <w:p w14:paraId="264EF33B">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14</w:t>
            </w:r>
          </w:p>
        </w:tc>
        <w:tc>
          <w:tcPr>
            <w:tcW w:w="997" w:type="dxa"/>
            <w:vAlign w:val="center"/>
          </w:tcPr>
          <w:p w14:paraId="6E844222">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color w:val="000000" w:themeColor="text1"/>
                <w:sz w:val="24"/>
                <w:szCs w:val="21"/>
                <w:lang w:val="en-US" w:eastAsia="zh-CN"/>
                <w14:textFill>
                  <w14:solidFill>
                    <w14:schemeClr w14:val="tx1"/>
                  </w14:solidFill>
                </w14:textFill>
              </w:rPr>
            </w:pPr>
            <w:r>
              <w:rPr>
                <w:rFonts w:hint="eastAsia" w:ascii="Times New Roman" w:hAnsi="Times New Roman" w:eastAsia="宋体" w:cs="Times New Roman"/>
                <w:color w:val="000000" w:themeColor="text1"/>
                <w:sz w:val="24"/>
                <w:szCs w:val="21"/>
                <w:lang w:val="en-US" w:eastAsia="zh-CN"/>
                <w14:textFill>
                  <w14:solidFill>
                    <w14:schemeClr w14:val="tx1"/>
                  </w14:solidFill>
                </w14:textFill>
              </w:rPr>
              <w:t>杨敬平</w:t>
            </w:r>
          </w:p>
        </w:tc>
        <w:tc>
          <w:tcPr>
            <w:tcW w:w="3875" w:type="dxa"/>
            <w:vAlign w:val="center"/>
          </w:tcPr>
          <w:p w14:paraId="5A1DE3B4">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安徽中医药大学第一附属医院</w:t>
            </w:r>
          </w:p>
        </w:tc>
        <w:tc>
          <w:tcPr>
            <w:tcW w:w="1287" w:type="dxa"/>
            <w:vAlign w:val="center"/>
          </w:tcPr>
          <w:p w14:paraId="1CF62BE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护士长</w:t>
            </w:r>
          </w:p>
        </w:tc>
        <w:tc>
          <w:tcPr>
            <w:tcW w:w="1194" w:type="dxa"/>
            <w:vAlign w:val="center"/>
          </w:tcPr>
          <w:p w14:paraId="0870901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副主任护师</w:t>
            </w:r>
          </w:p>
        </w:tc>
        <w:tc>
          <w:tcPr>
            <w:tcW w:w="1628" w:type="dxa"/>
            <w:vAlign w:val="center"/>
          </w:tcPr>
          <w:p w14:paraId="34CA16DC">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default" w:ascii="Times New Roman" w:hAnsi="Times New Roman" w:eastAsia="宋体" w:cs="Times New Roman"/>
                <w:kern w:val="0"/>
                <w:sz w:val="24"/>
                <w:szCs w:val="21"/>
                <w:lang w:val="en-US" w:eastAsia="zh-CN" w:bidi="ar-SA"/>
              </w:rPr>
              <w:t>15056076568</w:t>
            </w:r>
          </w:p>
        </w:tc>
      </w:tr>
      <w:tr w14:paraId="526C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353D1CD2">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bCs/>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编制情况</w:t>
            </w:r>
          </w:p>
        </w:tc>
      </w:tr>
      <w:tr w14:paraId="6ED0F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241BAA6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b/>
                <w:bCs/>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1、编制过程简介</w:t>
            </w:r>
          </w:p>
        </w:tc>
      </w:tr>
      <w:tr w14:paraId="4CAC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3761576A">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contextualSpacing/>
              <w:jc w:val="both"/>
              <w:textAlignment w:val="auto"/>
              <w:rPr>
                <w:rFonts w:hint="eastAsia" w:ascii="Times New Roman" w:hAnsi="Times New Roman" w:eastAsia="宋体" w:cs="Times New Roman"/>
                <w:b/>
                <w:bCs/>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（1）成立起草小组</w:t>
            </w:r>
          </w:p>
          <w:p w14:paraId="564BDEB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2024年</w:t>
            </w:r>
            <w:r>
              <w:rPr>
                <w:rFonts w:hint="eastAsia" w:ascii="Times New Roman" w:hAnsi="Times New Roman" w:eastAsia="宋体" w:cs="Times New Roman"/>
                <w:kern w:val="0"/>
                <w:sz w:val="24"/>
                <w:szCs w:val="21"/>
                <w:highlight w:val="none"/>
                <w:lang w:val="en-US" w:eastAsia="zh-CN" w:bidi="ar-SA"/>
              </w:rPr>
              <w:t>7</w:t>
            </w:r>
            <w:r>
              <w:rPr>
                <w:rFonts w:hint="eastAsia" w:ascii="Times New Roman" w:hAnsi="Times New Roman" w:eastAsia="宋体" w:cs="Times New Roman"/>
                <w:kern w:val="0"/>
                <w:sz w:val="24"/>
                <w:szCs w:val="21"/>
                <w:lang w:val="en-US" w:eastAsia="zh-CN" w:bidi="ar-SA"/>
              </w:rPr>
              <w:t>月，由安徽医科大学第一附属医院提出《癌症疼痛评估规范》编制申请。2024年</w:t>
            </w:r>
            <w:r>
              <w:rPr>
                <w:rFonts w:hint="eastAsia" w:ascii="Times New Roman" w:hAnsi="Times New Roman" w:eastAsia="宋体" w:cs="Times New Roman"/>
                <w:kern w:val="0"/>
                <w:sz w:val="24"/>
                <w:szCs w:val="21"/>
                <w:highlight w:val="none"/>
                <w:lang w:val="en-US" w:eastAsia="zh-CN" w:bidi="ar-SA"/>
              </w:rPr>
              <w:t>8</w:t>
            </w:r>
            <w:r>
              <w:rPr>
                <w:rFonts w:hint="eastAsia" w:ascii="Times New Roman" w:hAnsi="Times New Roman" w:eastAsia="宋体" w:cs="Times New Roman"/>
                <w:kern w:val="0"/>
                <w:sz w:val="24"/>
                <w:szCs w:val="21"/>
                <w:lang w:val="en-US" w:eastAsia="zh-CN" w:bidi="ar-SA"/>
              </w:rPr>
              <w:t>月顺利通过安徽省市场监督管理局组织的地方标准立项评估会，2024年</w:t>
            </w:r>
            <w:r>
              <w:rPr>
                <w:rFonts w:hint="eastAsia" w:ascii="Times New Roman" w:hAnsi="Times New Roman" w:eastAsia="宋体" w:cs="Times New Roman"/>
                <w:kern w:val="0"/>
                <w:sz w:val="24"/>
                <w:szCs w:val="21"/>
                <w:highlight w:val="none"/>
                <w:lang w:val="en-US" w:eastAsia="zh-CN" w:bidi="ar-SA"/>
              </w:rPr>
              <w:t>9月4</w:t>
            </w:r>
            <w:r>
              <w:rPr>
                <w:rFonts w:hint="eastAsia" w:ascii="Times New Roman" w:hAnsi="Times New Roman" w:eastAsia="宋体" w:cs="Times New Roman"/>
                <w:kern w:val="0"/>
                <w:sz w:val="24"/>
                <w:szCs w:val="21"/>
                <w:lang w:val="en-US" w:eastAsia="zh-CN" w:bidi="ar-SA"/>
              </w:rPr>
              <w:t>日，安徽省市场监督管理局标准化处决定下达2024年第</w:t>
            </w:r>
            <w:r>
              <w:rPr>
                <w:rFonts w:hint="eastAsia" w:ascii="Times New Roman" w:hAnsi="Times New Roman" w:eastAsia="宋体" w:cs="Times New Roman"/>
                <w:kern w:val="0"/>
                <w:sz w:val="24"/>
                <w:szCs w:val="21"/>
                <w:highlight w:val="none"/>
                <w:lang w:val="en-US" w:eastAsia="zh-CN" w:bidi="ar-SA"/>
              </w:rPr>
              <w:t>七</w:t>
            </w:r>
            <w:r>
              <w:rPr>
                <w:rFonts w:hint="eastAsia" w:ascii="Times New Roman" w:hAnsi="Times New Roman" w:eastAsia="宋体" w:cs="Times New Roman"/>
                <w:kern w:val="0"/>
                <w:sz w:val="24"/>
                <w:szCs w:val="21"/>
                <w:lang w:val="en-US" w:eastAsia="zh-CN" w:bidi="ar-SA"/>
              </w:rPr>
              <w:t>批安徽省地方标准制修订计划项目的公示后,为保证标准编制工作的顺利进行，成立标准编制起草小组，确定主要负责人，明确起草组人员和相关职责。</w:t>
            </w:r>
          </w:p>
          <w:p w14:paraId="50FEF062">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contextualSpacing/>
              <w:jc w:val="both"/>
              <w:textAlignment w:val="auto"/>
              <w:rPr>
                <w:rFonts w:hint="eastAsia" w:ascii="Times New Roman" w:hAnsi="Times New Roman" w:eastAsia="宋体" w:cs="Times New Roman"/>
                <w:b/>
                <w:bCs/>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（2）编制草案过程：</w:t>
            </w:r>
          </w:p>
          <w:p w14:paraId="26FCC069">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2024年9</w:t>
            </w:r>
            <w:r>
              <w:rPr>
                <w:rFonts w:hint="eastAsia" w:ascii="Times New Roman" w:hAnsi="Times New Roman" w:eastAsia="宋体" w:cs="Times New Roman"/>
                <w:kern w:val="0"/>
                <w:sz w:val="24"/>
                <w:szCs w:val="21"/>
                <w:highlight w:val="none"/>
                <w:lang w:val="en-US" w:eastAsia="zh-CN" w:bidi="ar-SA"/>
              </w:rPr>
              <w:t>月12</w:t>
            </w:r>
            <w:r>
              <w:rPr>
                <w:rFonts w:hint="eastAsia" w:ascii="Times New Roman" w:hAnsi="Times New Roman" w:eastAsia="宋体" w:cs="Times New Roman"/>
                <w:kern w:val="0"/>
                <w:sz w:val="24"/>
                <w:szCs w:val="21"/>
                <w:lang w:val="en-US" w:eastAsia="zh-CN" w:bidi="ar-SA"/>
              </w:rPr>
              <w:t>日主持召开了标准起草小组工作组会议，会上介绍了安徽省地方标准-《癌症疼痛评估规范》申报背景</w:t>
            </w:r>
            <w:r>
              <w:rPr>
                <w:rFonts w:hint="eastAsia" w:ascii="Times New Roman" w:hAnsi="Times New Roman" w:eastAsia="宋体" w:cs="Times New Roman"/>
                <w:kern w:val="0"/>
                <w:sz w:val="24"/>
                <w:szCs w:val="21"/>
                <w:highlight w:val="none"/>
                <w:lang w:val="en-US" w:eastAsia="zh-CN" w:bidi="ar-SA"/>
              </w:rPr>
              <w:t>，讨论了地方标准制定的总体思路，确定了标准起草的目的、意义及基本框架；起草组对标准草案内容进行逐条讨论，</w:t>
            </w:r>
            <w:r>
              <w:rPr>
                <w:rFonts w:hint="eastAsia" w:ascii="Times New Roman" w:hAnsi="Times New Roman" w:eastAsia="宋体" w:cs="Times New Roman"/>
                <w:kern w:val="0"/>
                <w:sz w:val="24"/>
                <w:szCs w:val="21"/>
                <w:lang w:val="en-US" w:eastAsia="zh-CN" w:bidi="ar-SA"/>
              </w:rPr>
              <w:t>并收集查阅相关资料和参考文献，</w:t>
            </w:r>
            <w:r>
              <w:rPr>
                <w:rFonts w:hint="eastAsia" w:ascii="Times New Roman" w:hAnsi="Times New Roman" w:eastAsia="宋体" w:cs="Times New Roman"/>
                <w:kern w:val="0"/>
                <w:sz w:val="24"/>
                <w:szCs w:val="21"/>
                <w:highlight w:val="none"/>
                <w:lang w:val="en-US" w:eastAsia="zh-CN" w:bidi="ar-SA"/>
              </w:rPr>
              <w:t>形成</w:t>
            </w:r>
            <w:r>
              <w:rPr>
                <w:rFonts w:hint="eastAsia" w:ascii="Times New Roman" w:hAnsi="Times New Roman" w:eastAsia="宋体" w:cs="Times New Roman"/>
                <w:kern w:val="0"/>
                <w:sz w:val="24"/>
                <w:szCs w:val="21"/>
                <w:lang w:val="en-US" w:eastAsia="zh-CN" w:bidi="ar-SA"/>
              </w:rPr>
              <w:t>形成工作组讨论稿。</w:t>
            </w:r>
          </w:p>
          <w:p w14:paraId="43ACD06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contextualSpacing/>
              <w:jc w:val="both"/>
              <w:textAlignment w:val="auto"/>
              <w:rPr>
                <w:rFonts w:hint="eastAsia" w:ascii="Times New Roman" w:hAnsi="Times New Roman" w:eastAsia="宋体" w:cs="Times New Roman"/>
                <w:b/>
                <w:bCs/>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（3）形成征求意见稿：</w:t>
            </w:r>
          </w:p>
          <w:p w14:paraId="4E92BE5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2024年12月3日安徽省市场监督管理局下达2024年第四批安徽省地方标准制修订计划，标准起草小组多次组织召开《癌症疼痛评估规范》内部论证会，就标准框架、内容等方面进行了进一步修改，形成标准征求意见稿。2024年12月9日安徽省卫生健康委员会正式出具了申请《癌症疼痛评估规范》地方标准征求意见稿网上公示函，批准向社会公开征求意见。</w:t>
            </w:r>
          </w:p>
        </w:tc>
      </w:tr>
      <w:tr w14:paraId="53EE5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77078561">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2、制定标准的必要性和意义</w:t>
            </w:r>
          </w:p>
        </w:tc>
      </w:tr>
      <w:tr w14:paraId="3754C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62FEF77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eastAsia" w:ascii="Times New Roman" w:hAnsi="Times New Roman" w:eastAsia="宋体" w:cs="Times New Roman"/>
                <w:kern w:val="0"/>
                <w:sz w:val="24"/>
                <w:szCs w:val="21"/>
                <w:highlight w:val="none"/>
                <w:lang w:val="en-US" w:eastAsia="zh-CN" w:bidi="ar-SA"/>
              </w:rPr>
            </w:pPr>
            <w:r>
              <w:rPr>
                <w:rFonts w:hint="eastAsia" w:ascii="Times New Roman" w:hAnsi="Times New Roman" w:eastAsia="宋体" w:cs="Times New Roman"/>
                <w:b/>
                <w:kern w:val="0"/>
                <w:sz w:val="24"/>
                <w:szCs w:val="21"/>
                <w:highlight w:val="none"/>
                <w:lang w:val="en-US" w:eastAsia="zh-CN" w:bidi="ar-SA"/>
              </w:rPr>
              <w:t>（一）必要性：</w:t>
            </w:r>
          </w:p>
          <w:p w14:paraId="4FD7B5B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20" w:firstLineChars="0"/>
              <w:contextualSpacing/>
              <w:jc w:val="both"/>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癌性疼痛是癌症患者最常见且难以忍受的症状之一。基于2022年安徽省医护癌症疼痛规范化管理现状调研，多数医疗单位在癌痛评估中存在较多差异，新技术、新方法和新模式层出不穷。癌痛评估过程中产生的新护理问题也逐渐受到重视，尤其在难治性癌痛和爆发痛评估方面的重难点，是目前急需解决的关键方面。</w:t>
            </w:r>
          </w:p>
          <w:p w14:paraId="632124D1">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20" w:firstLineChars="0"/>
              <w:contextualSpacing/>
              <w:jc w:val="both"/>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虽然已有相关的诊疗临床指南可依据，但癌症疼痛评估相关方面仍有不足。检索结果显示，目前安徽省地方标准尚无有关癌症疼痛评估规范的技术标准公布，这使得癌痛评估方面缺乏地方规范性和统一性，影响了癌痛评估的质量和安全。因此，制定统一的癌痛评估规范地方标准是满足临床需求、技术发展的必然趋势。</w:t>
            </w:r>
          </w:p>
          <w:p w14:paraId="1ED42510">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20" w:firstLineChars="0"/>
              <w:contextualSpacing/>
              <w:jc w:val="both"/>
              <w:textAlignment w:val="auto"/>
              <w:rPr>
                <w:rFonts w:hint="eastAsia" w:ascii="Times New Roman" w:hAnsi="Times New Roman" w:eastAsia="宋体" w:cs="Times New Roman"/>
                <w:kern w:val="0"/>
                <w:sz w:val="24"/>
                <w:szCs w:val="21"/>
                <w:lang w:val="en-US" w:eastAsia="zh-CN" w:bidi="ar-SA"/>
              </w:rPr>
            </w:pPr>
          </w:p>
          <w:p w14:paraId="18AC90F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contextualSpacing/>
              <w:jc w:val="both"/>
              <w:textAlignment w:val="auto"/>
              <w:rPr>
                <w:rFonts w:ascii="Times New Roman" w:hAnsi="Times New Roman" w:eastAsia="宋体" w:cs="Times New Roman"/>
                <w:b/>
                <w:kern w:val="0"/>
                <w:sz w:val="24"/>
                <w:szCs w:val="21"/>
                <w:highlight w:val="none"/>
                <w:lang w:val="en-US" w:eastAsia="zh-CN" w:bidi="ar-SA"/>
              </w:rPr>
            </w:pPr>
            <w:r>
              <w:rPr>
                <w:rFonts w:hint="eastAsia" w:ascii="Times New Roman" w:hAnsi="Times New Roman" w:eastAsia="宋体" w:cs="Times New Roman"/>
                <w:b/>
                <w:kern w:val="0"/>
                <w:sz w:val="24"/>
                <w:szCs w:val="21"/>
                <w:highlight w:val="none"/>
                <w:lang w:val="en-US" w:eastAsia="zh-CN" w:bidi="ar-SA"/>
              </w:rPr>
              <w:t>（二）意义：</w:t>
            </w:r>
          </w:p>
          <w:p w14:paraId="440780D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（1）提供统一的指导和规范：形成一套癌症疼痛评估系统的护理技术标准，为规范化癌症疼痛评估护理提供科学的理论指导，提高癌症疼痛评估的护理工作效率。</w:t>
            </w:r>
          </w:p>
          <w:p w14:paraId="63158AF2">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（2）保障临床护理工作安全性：为癌症疼痛评估护理提供临床决策依据，减少癌症疼痛评估护理工作中错误和失误的可能性，保证患者安全，提升患者满意度。</w:t>
            </w:r>
          </w:p>
          <w:p w14:paraId="137973E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（3）促进护理技术进步与创新：进一步推动癌症疼痛评估方面的护理研究和技术创新，提高癌症疼痛评估的整体护理水平，提高行业竞争力。</w:t>
            </w:r>
          </w:p>
          <w:p w14:paraId="5727843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（4）加深护理行业交流与合作：标准制定过程中汇集各类专业知识、经验和专业见解，促进相关领域的协作，消除技术壁垒，推动护理领域的发展。</w:t>
            </w:r>
          </w:p>
          <w:p w14:paraId="56E7EBF4">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Times New Roman" w:hAnsi="Times New Roman" w:eastAsia="宋体" w:cs="Times New Roman"/>
                <w:kern w:val="0"/>
                <w:sz w:val="24"/>
                <w:szCs w:val="21"/>
                <w:lang w:val="en-US" w:eastAsia="zh-CN" w:bidi="ar-SA"/>
              </w:rPr>
            </w:pPr>
          </w:p>
        </w:tc>
      </w:tr>
      <w:tr w14:paraId="3A138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35CC448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3、制定标准的原则和依据，与现行法律法规、标准的关系</w:t>
            </w:r>
          </w:p>
        </w:tc>
      </w:tr>
      <w:tr w14:paraId="41C0D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222EECBA">
            <w:pPr>
              <w:pStyle w:val="8"/>
              <w:keepNext w:val="0"/>
              <w:keepLines w:val="0"/>
              <w:pageBreakBefore w:val="0"/>
              <w:widowControl/>
              <w:wordWrap/>
              <w:overflowPunct/>
              <w:topLinePunct w:val="0"/>
              <w:autoSpaceDE w:val="0"/>
              <w:autoSpaceDN w:val="0"/>
              <w:bidi w:val="0"/>
              <w:spacing w:line="360" w:lineRule="auto"/>
              <w:ind w:left="0" w:leftChars="0" w:firstLine="0" w:firstLineChars="0"/>
              <w:rPr>
                <w:rFonts w:ascii="Times New Roman" w:hAnsi="Times New Roman" w:eastAsia="宋体"/>
                <w:b/>
                <w:color w:val="000000" w:themeColor="text1"/>
                <w:sz w:val="24"/>
                <w:szCs w:val="24"/>
                <w:highlight w:val="none"/>
                <w14:textFill>
                  <w14:solidFill>
                    <w14:schemeClr w14:val="tx1"/>
                  </w14:solidFill>
                </w14:textFill>
              </w:rPr>
            </w:pPr>
            <w:r>
              <w:rPr>
                <w:rFonts w:hint="eastAsia" w:ascii="Times New Roman" w:hAnsi="Times New Roman" w:eastAsia="宋体"/>
                <w:b/>
                <w:color w:val="000000" w:themeColor="text1"/>
                <w:sz w:val="24"/>
                <w:szCs w:val="24"/>
                <w:highlight w:val="none"/>
                <w14:textFill>
                  <w14:solidFill>
                    <w14:schemeClr w14:val="tx1"/>
                  </w14:solidFill>
                </w14:textFill>
              </w:rPr>
              <w:t>（</w:t>
            </w:r>
            <w:r>
              <w:rPr>
                <w:rFonts w:hint="eastAsia" w:ascii="Times New Roman" w:hAnsi="Times New Roman" w:eastAsia="宋体"/>
                <w:b/>
                <w:color w:val="000000" w:themeColor="text1"/>
                <w:sz w:val="24"/>
                <w:szCs w:val="24"/>
                <w:highlight w:val="none"/>
                <w:lang w:val="en-US" w:eastAsia="zh-CN"/>
                <w14:textFill>
                  <w14:solidFill>
                    <w14:schemeClr w14:val="tx1"/>
                  </w14:solidFill>
                </w14:textFill>
              </w:rPr>
              <w:t>一</w:t>
            </w:r>
            <w:r>
              <w:rPr>
                <w:rFonts w:hint="eastAsia" w:ascii="Times New Roman" w:hAnsi="Times New Roman" w:eastAsia="宋体"/>
                <w:b/>
                <w:color w:val="000000" w:themeColor="text1"/>
                <w:sz w:val="24"/>
                <w:szCs w:val="24"/>
                <w:highlight w:val="none"/>
                <w14:textFill>
                  <w14:solidFill>
                    <w14:schemeClr w14:val="tx1"/>
                  </w14:solidFill>
                </w14:textFill>
              </w:rPr>
              <w:t>）编制原则</w:t>
            </w:r>
          </w:p>
          <w:p w14:paraId="6AF48D6C">
            <w:pPr>
              <w:pStyle w:val="8"/>
              <w:keepNext w:val="0"/>
              <w:keepLines w:val="0"/>
              <w:pageBreakBefore w:val="0"/>
              <w:widowControl/>
              <w:kinsoku/>
              <w:wordWrap/>
              <w:overflowPunct/>
              <w:topLinePunct w:val="0"/>
              <w:autoSpaceDE w:val="0"/>
              <w:autoSpaceDN w:val="0"/>
              <w:bidi w:val="0"/>
              <w:adjustRightInd/>
              <w:snapToGrid/>
              <w:spacing w:line="360" w:lineRule="auto"/>
              <w:textAlignment w:val="auto"/>
              <w:rPr>
                <w:rFonts w:ascii="Times New Roman" w:hAnsi="Times New Roman" w:eastAsia="宋体"/>
                <w:color w:val="000000" w:themeColor="text1"/>
                <w:sz w:val="24"/>
                <w:szCs w:val="24"/>
                <w:highlight w:val="none"/>
                <w14:textFill>
                  <w14:solidFill>
                    <w14:schemeClr w14:val="tx1"/>
                  </w14:solidFill>
                </w14:textFill>
              </w:rPr>
            </w:pPr>
            <w:r>
              <w:rPr>
                <w:rFonts w:hint="eastAsia" w:ascii="Times New Roman" w:hAnsi="Times New Roman" w:eastAsia="宋体"/>
                <w:color w:val="000000" w:themeColor="text1"/>
                <w:sz w:val="24"/>
                <w:szCs w:val="24"/>
                <w:highlight w:val="none"/>
                <w14:textFill>
                  <w14:solidFill>
                    <w14:schemeClr w14:val="tx1"/>
                  </w14:solidFill>
                </w14:textFill>
              </w:rPr>
              <w:t>本标准的编制应遵循如下原则：</w:t>
            </w:r>
          </w:p>
          <w:p w14:paraId="5F27B0BF">
            <w:pPr>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80" w:firstLineChars="200"/>
              <w:textAlignment w:val="auto"/>
              <w:rPr>
                <w:rFonts w:ascii="Times New Roman" w:hAnsi="Times New Roman" w:eastAsia="宋体"/>
                <w:color w:val="000000" w:themeColor="text1"/>
                <w:kern w:val="0"/>
                <w:sz w:val="24"/>
                <w:szCs w:val="24"/>
                <w:highlight w:val="none"/>
                <w14:textFill>
                  <w14:solidFill>
                    <w14:schemeClr w14:val="tx1"/>
                  </w14:solidFill>
                </w14:textFill>
              </w:rPr>
            </w:pPr>
            <w:r>
              <w:rPr>
                <w:rFonts w:hint="eastAsia" w:ascii="Times New Roman" w:hAnsi="Times New Roman" w:eastAsia="宋体"/>
                <w:color w:val="000000" w:themeColor="text1"/>
                <w:kern w:val="0"/>
                <w:sz w:val="24"/>
                <w:szCs w:val="24"/>
                <w:highlight w:val="none"/>
                <w:lang w:val="en-US" w:eastAsia="zh-CN"/>
                <w14:textFill>
                  <w14:solidFill>
                    <w14:schemeClr w14:val="tx1"/>
                  </w14:solidFill>
                </w14:textFill>
              </w:rPr>
              <w:t>1.</w:t>
            </w:r>
            <w:r>
              <w:rPr>
                <w:rFonts w:hint="eastAsia" w:ascii="Times New Roman" w:hAnsi="Times New Roman" w:eastAsia="宋体"/>
                <w:color w:val="000000" w:themeColor="text1"/>
                <w:kern w:val="0"/>
                <w:sz w:val="24"/>
                <w:szCs w:val="24"/>
                <w:highlight w:val="none"/>
                <w14:textFill>
                  <w14:solidFill>
                    <w14:schemeClr w14:val="tx1"/>
                  </w14:solidFill>
                </w14:textFill>
              </w:rPr>
              <w:t>贯彻国家有关法律法规和政策</w:t>
            </w:r>
            <w:r>
              <w:rPr>
                <w:rFonts w:ascii="Times New Roman" w:hAnsi="Times New Roman" w:eastAsia="宋体"/>
                <w:color w:val="000000" w:themeColor="text1"/>
                <w:kern w:val="0"/>
                <w:sz w:val="24"/>
                <w:szCs w:val="24"/>
                <w:highlight w:val="none"/>
                <w14:textFill>
                  <w14:solidFill>
                    <w14:schemeClr w14:val="tx1"/>
                  </w14:solidFill>
                </w14:textFill>
              </w:rPr>
              <w:t>；</w:t>
            </w:r>
          </w:p>
          <w:p w14:paraId="218F1148">
            <w:pPr>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80" w:firstLineChars="200"/>
              <w:textAlignment w:val="auto"/>
              <w:rPr>
                <w:rFonts w:ascii="Times New Roman" w:hAnsi="Times New Roman" w:eastAsia="宋体"/>
                <w:color w:val="000000" w:themeColor="text1"/>
                <w:kern w:val="0"/>
                <w:sz w:val="24"/>
                <w:szCs w:val="24"/>
                <w:highlight w:val="none"/>
                <w14:textFill>
                  <w14:solidFill>
                    <w14:schemeClr w14:val="tx1"/>
                  </w14:solidFill>
                </w14:textFill>
              </w:rPr>
            </w:pPr>
            <w:r>
              <w:rPr>
                <w:rFonts w:hint="eastAsia" w:ascii="Times New Roman" w:hAnsi="Times New Roman" w:eastAsia="宋体"/>
                <w:color w:val="000000" w:themeColor="text1"/>
                <w:kern w:val="0"/>
                <w:sz w:val="24"/>
                <w:szCs w:val="24"/>
                <w:highlight w:val="none"/>
                <w:lang w:val="en-US" w:eastAsia="zh-CN"/>
                <w14:textFill>
                  <w14:solidFill>
                    <w14:schemeClr w14:val="tx1"/>
                  </w14:solidFill>
                </w14:textFill>
              </w:rPr>
              <w:t>2.</w:t>
            </w:r>
            <w:r>
              <w:rPr>
                <w:rFonts w:hint="eastAsia" w:ascii="Times New Roman" w:hAnsi="Times New Roman" w:eastAsia="宋体"/>
                <w:color w:val="000000" w:themeColor="text1"/>
                <w:kern w:val="0"/>
                <w:sz w:val="24"/>
                <w:szCs w:val="24"/>
                <w:highlight w:val="none"/>
                <w14:textFill>
                  <w14:solidFill>
                    <w14:schemeClr w14:val="tx1"/>
                  </w14:solidFill>
                </w14:textFill>
              </w:rPr>
              <w:t>以现行法律法规的规定为基础，本文件与相关法律法规要求基本保持一致，符合法律法规的要求。</w:t>
            </w:r>
          </w:p>
          <w:p w14:paraId="257D074F">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0" w:leftChars="0" w:firstLine="480" w:firstLineChars="200"/>
              <w:textAlignment w:val="auto"/>
              <w:rPr>
                <w:rFonts w:ascii="Times New Roman" w:hAnsi="Times New Roman" w:eastAsia="宋体"/>
                <w:color w:val="000000" w:themeColor="text1"/>
                <w:sz w:val="24"/>
                <w:szCs w:val="24"/>
                <w:highlight w:val="none"/>
                <w14:textFill>
                  <w14:solidFill>
                    <w14:schemeClr w14:val="tx1"/>
                  </w14:solidFill>
                </w14:textFill>
              </w:rPr>
            </w:pPr>
            <w:r>
              <w:rPr>
                <w:rFonts w:hint="eastAsia" w:ascii="Times New Roman" w:hAnsi="Times New Roman" w:eastAsia="宋体" w:cs="Arial"/>
                <w:snapToGrid w:val="0"/>
                <w:color w:val="000000" w:themeColor="text1"/>
                <w:kern w:val="0"/>
                <w:sz w:val="24"/>
                <w:szCs w:val="24"/>
                <w:highlight w:val="none"/>
                <w:lang w:val="en-US" w:eastAsia="zh-CN"/>
                <w14:textFill>
                  <w14:solidFill>
                    <w14:schemeClr w14:val="tx1"/>
                  </w14:solidFill>
                </w14:textFill>
              </w:rPr>
              <w:t>3.本文件遵循“</w:t>
            </w:r>
            <w:r>
              <w:rPr>
                <w:rFonts w:hint="eastAsia" w:ascii="Times New Roman" w:hAnsi="Times New Roman" w:eastAsia="宋体"/>
                <w:color w:val="000000" w:themeColor="text1"/>
                <w:sz w:val="24"/>
                <w:szCs w:val="24"/>
                <w:highlight w:val="none"/>
                <w14:textFill>
                  <w14:solidFill>
                    <w14:schemeClr w14:val="tx1"/>
                  </w14:solidFill>
                </w14:textFill>
              </w:rPr>
              <w:t>统一</w:t>
            </w:r>
            <w:r>
              <w:rPr>
                <w:rFonts w:hint="eastAsia" w:ascii="Times New Roman" w:hAnsi="Times New Roman" w:eastAsia="宋体"/>
                <w:color w:val="000000" w:themeColor="text1"/>
                <w:sz w:val="24"/>
                <w:szCs w:val="24"/>
                <w:highlight w:val="none"/>
                <w:lang w:eastAsia="zh-CN"/>
                <w14:textFill>
                  <w14:solidFill>
                    <w14:schemeClr w14:val="tx1"/>
                  </w14:solidFill>
                </w14:textFill>
              </w:rPr>
              <w:t>、</w:t>
            </w:r>
            <w:r>
              <w:rPr>
                <w:rFonts w:hint="eastAsia" w:ascii="Times New Roman" w:hAnsi="Times New Roman" w:eastAsia="宋体"/>
                <w:color w:val="000000" w:themeColor="text1"/>
                <w:sz w:val="24"/>
                <w:szCs w:val="24"/>
                <w:highlight w:val="none"/>
                <w14:textFill>
                  <w14:solidFill>
                    <w14:schemeClr w14:val="tx1"/>
                  </w14:solidFill>
                </w14:textFill>
              </w:rPr>
              <w:t>简化</w:t>
            </w:r>
            <w:r>
              <w:rPr>
                <w:rFonts w:hint="eastAsia" w:ascii="Times New Roman" w:hAnsi="Times New Roman" w:eastAsia="宋体"/>
                <w:color w:val="000000" w:themeColor="text1"/>
                <w:sz w:val="24"/>
                <w:szCs w:val="24"/>
                <w:highlight w:val="none"/>
                <w:lang w:eastAsia="zh-CN"/>
                <w14:textFill>
                  <w14:solidFill>
                    <w14:schemeClr w14:val="tx1"/>
                  </w14:solidFill>
                </w14:textFill>
              </w:rPr>
              <w:t>、</w:t>
            </w:r>
            <w:r>
              <w:rPr>
                <w:rFonts w:hint="eastAsia" w:ascii="Times New Roman" w:hAnsi="Times New Roman" w:eastAsia="宋体"/>
                <w:color w:val="000000" w:themeColor="text1"/>
                <w:sz w:val="24"/>
                <w:szCs w:val="24"/>
                <w:highlight w:val="none"/>
                <w14:textFill>
                  <w14:solidFill>
                    <w14:schemeClr w14:val="tx1"/>
                  </w14:solidFill>
                </w14:textFill>
              </w:rPr>
              <w:t>协调</w:t>
            </w:r>
            <w:r>
              <w:rPr>
                <w:rFonts w:hint="eastAsia" w:ascii="Times New Roman" w:hAnsi="Times New Roman" w:eastAsia="宋体"/>
                <w:color w:val="000000" w:themeColor="text1"/>
                <w:sz w:val="24"/>
                <w:szCs w:val="24"/>
                <w:highlight w:val="none"/>
                <w:lang w:eastAsia="zh-CN"/>
                <w14:textFill>
                  <w14:solidFill>
                    <w14:schemeClr w14:val="tx1"/>
                  </w14:solidFill>
                </w14:textFill>
              </w:rPr>
              <w:t>、</w:t>
            </w:r>
            <w:r>
              <w:rPr>
                <w:rFonts w:hint="eastAsia" w:ascii="Times New Roman" w:hAnsi="Times New Roman" w:eastAsia="宋体"/>
                <w:color w:val="000000" w:themeColor="text1"/>
                <w:sz w:val="24"/>
                <w:szCs w:val="24"/>
                <w:highlight w:val="none"/>
                <w14:textFill>
                  <w14:solidFill>
                    <w14:schemeClr w14:val="tx1"/>
                  </w14:solidFill>
                </w14:textFill>
              </w:rPr>
              <w:t>优化</w:t>
            </w:r>
            <w:r>
              <w:rPr>
                <w:rFonts w:hint="eastAsia" w:ascii="Times New Roman" w:hAnsi="Times New Roman" w:eastAsia="宋体"/>
                <w:color w:val="000000" w:themeColor="text1"/>
                <w:sz w:val="24"/>
                <w:szCs w:val="24"/>
                <w:highlight w:val="none"/>
                <w:lang w:val="en-US" w:eastAsia="zh-CN"/>
                <w14:textFill>
                  <w14:solidFill>
                    <w14:schemeClr w14:val="tx1"/>
                  </w14:solidFill>
                </w14:textFill>
              </w:rPr>
              <w:t>”的标准原则，</w:t>
            </w:r>
            <w:r>
              <w:rPr>
                <w:rFonts w:hint="eastAsia" w:ascii="Times New Roman" w:hAnsi="Times New Roman" w:eastAsia="宋体"/>
                <w:color w:val="000000" w:themeColor="text1"/>
                <w:sz w:val="24"/>
                <w:szCs w:val="24"/>
                <w:highlight w:val="none"/>
                <w14:textFill>
                  <w14:solidFill>
                    <w14:schemeClr w14:val="tx1"/>
                  </w14:solidFill>
                </w14:textFill>
              </w:rPr>
              <w:t>本着科学性、客观性、可操作性，</w:t>
            </w:r>
            <w:r>
              <w:rPr>
                <w:rFonts w:ascii="Times New Roman" w:hAnsi="Times New Roman" w:eastAsia="宋体"/>
                <w:color w:val="000000" w:themeColor="text1"/>
                <w:sz w:val="24"/>
                <w:szCs w:val="24"/>
                <w:highlight w:val="none"/>
                <w14:textFill>
                  <w14:solidFill>
                    <w14:schemeClr w14:val="tx1"/>
                  </w14:solidFill>
                </w14:textFill>
              </w:rPr>
              <w:t>在标准要求与技术指标的设置上，结合了</w:t>
            </w:r>
            <w:r>
              <w:rPr>
                <w:rFonts w:hint="eastAsia" w:ascii="Times New Roman" w:hAnsi="Times New Roman" w:eastAsia="宋体"/>
                <w:color w:val="000000" w:themeColor="text1"/>
                <w:sz w:val="24"/>
                <w:szCs w:val="24"/>
                <w:highlight w:val="none"/>
                <w:lang w:val="en-US" w:eastAsia="zh-CN"/>
                <w14:textFill>
                  <w14:solidFill>
                    <w14:schemeClr w14:val="tx1"/>
                  </w14:solidFill>
                </w14:textFill>
              </w:rPr>
              <w:t>安徽省医务人员癌症疼痛规范化评估现状</w:t>
            </w:r>
            <w:r>
              <w:rPr>
                <w:rFonts w:ascii="Times New Roman" w:hAnsi="Times New Roman" w:eastAsia="宋体"/>
                <w:color w:val="000000" w:themeColor="text1"/>
                <w:sz w:val="24"/>
                <w:szCs w:val="24"/>
                <w:highlight w:val="none"/>
                <w14:textFill>
                  <w14:solidFill>
                    <w14:schemeClr w14:val="tx1"/>
                  </w14:solidFill>
                </w14:textFill>
              </w:rPr>
              <w:t>，又充分考虑到了市场需求以及标准的科学性、可操作性及前瞻性，</w:t>
            </w:r>
            <w:r>
              <w:rPr>
                <w:rFonts w:hint="eastAsia" w:ascii="Times New Roman" w:hAnsi="Times New Roman" w:eastAsia="宋体"/>
                <w:color w:val="000000" w:themeColor="text1"/>
                <w:sz w:val="24"/>
                <w:szCs w:val="24"/>
                <w:highlight w:val="none"/>
                <w:lang w:eastAsia="zh-Hans"/>
                <w14:textFill>
                  <w14:solidFill>
                    <w14:schemeClr w14:val="tx1"/>
                  </w14:solidFill>
                </w14:textFill>
              </w:rPr>
              <w:t>标准编制过程</w:t>
            </w:r>
            <w:r>
              <w:rPr>
                <w:rFonts w:hint="eastAsia" w:ascii="Times New Roman" w:hAnsi="Times New Roman" w:eastAsia="宋体"/>
                <w:color w:val="000000" w:themeColor="text1"/>
                <w:sz w:val="24"/>
                <w:szCs w:val="24"/>
                <w:highlight w:val="none"/>
                <w14:textFill>
                  <w14:solidFill>
                    <w14:schemeClr w14:val="tx1"/>
                  </w14:solidFill>
                </w14:textFill>
              </w:rPr>
              <w:t>尽可能考虑了标准条款的可执行性。</w:t>
            </w:r>
          </w:p>
          <w:p w14:paraId="10D6F00C">
            <w:pPr>
              <w:pStyle w:val="8"/>
              <w:keepNext w:val="0"/>
              <w:keepLines w:val="0"/>
              <w:pageBreakBefore w:val="0"/>
              <w:widowControl/>
              <w:wordWrap/>
              <w:overflowPunct/>
              <w:topLinePunct w:val="0"/>
              <w:autoSpaceDE w:val="0"/>
              <w:autoSpaceDN w:val="0"/>
              <w:bidi w:val="0"/>
              <w:spacing w:line="360" w:lineRule="auto"/>
              <w:ind w:left="0" w:leftChars="0" w:firstLine="0" w:firstLineChars="0"/>
              <w:rPr>
                <w:rFonts w:ascii="Times New Roman" w:hAnsi="Times New Roman" w:eastAsia="宋体"/>
                <w:b/>
                <w:bCs/>
                <w:color w:val="000000" w:themeColor="text1"/>
                <w:kern w:val="0"/>
                <w:sz w:val="24"/>
                <w:szCs w:val="24"/>
                <w:highlight w:val="none"/>
                <w14:textFill>
                  <w14:solidFill>
                    <w14:schemeClr w14:val="tx1"/>
                  </w14:solidFill>
                </w14:textFill>
              </w:rPr>
            </w:pPr>
            <w:r>
              <w:rPr>
                <w:rFonts w:hint="eastAsia" w:ascii="Times New Roman" w:hAnsi="Times New Roman" w:eastAsia="宋体"/>
                <w:b/>
                <w:bCs/>
                <w:color w:val="000000" w:themeColor="text1"/>
                <w:kern w:val="0"/>
                <w:sz w:val="24"/>
                <w:szCs w:val="24"/>
                <w:highlight w:val="none"/>
                <w14:textFill>
                  <w14:solidFill>
                    <w14:schemeClr w14:val="tx1"/>
                  </w14:solidFill>
                </w14:textFill>
              </w:rPr>
              <w:t>（</w:t>
            </w:r>
            <w:r>
              <w:rPr>
                <w:rFonts w:hint="eastAsia" w:ascii="Times New Roman" w:hAnsi="Times New Roman" w:eastAsia="宋体"/>
                <w:b/>
                <w:bCs/>
                <w:color w:val="000000" w:themeColor="text1"/>
                <w:kern w:val="0"/>
                <w:sz w:val="24"/>
                <w:szCs w:val="24"/>
                <w:highlight w:val="none"/>
                <w:lang w:val="en-US" w:eastAsia="zh-CN"/>
                <w14:textFill>
                  <w14:solidFill>
                    <w14:schemeClr w14:val="tx1"/>
                  </w14:solidFill>
                </w14:textFill>
              </w:rPr>
              <w:t>二</w:t>
            </w:r>
            <w:r>
              <w:rPr>
                <w:rFonts w:hint="eastAsia" w:ascii="Times New Roman" w:hAnsi="Times New Roman" w:eastAsia="宋体"/>
                <w:b/>
                <w:bCs/>
                <w:color w:val="000000" w:themeColor="text1"/>
                <w:kern w:val="0"/>
                <w:sz w:val="24"/>
                <w:szCs w:val="24"/>
                <w:highlight w:val="none"/>
                <w14:textFill>
                  <w14:solidFill>
                    <w14:schemeClr w14:val="tx1"/>
                  </w14:solidFill>
                </w14:textFill>
              </w:rPr>
              <w:t>）编制依据</w:t>
            </w:r>
          </w:p>
          <w:p w14:paraId="42D28DE6">
            <w:pPr>
              <w:pStyle w:val="8"/>
              <w:keepNext w:val="0"/>
              <w:keepLines w:val="0"/>
              <w:pageBreakBefore w:val="0"/>
              <w:widowControl/>
              <w:wordWrap/>
              <w:overflowPunct/>
              <w:topLinePunct w:val="0"/>
              <w:autoSpaceDE w:val="0"/>
              <w:autoSpaceDN w:val="0"/>
              <w:bidi w:val="0"/>
              <w:spacing w:line="360" w:lineRule="auto"/>
              <w:ind w:left="0" w:leftChars="0" w:firstLine="241" w:firstLineChars="100"/>
              <w:rPr>
                <w:rFonts w:ascii="Times New Roman" w:hAnsi="Times New Roman" w:eastAsia="宋体"/>
                <w:b/>
                <w:bCs/>
                <w:color w:val="000000" w:themeColor="text1"/>
                <w:kern w:val="0"/>
                <w:sz w:val="24"/>
                <w:szCs w:val="24"/>
                <w:highlight w:val="none"/>
                <w14:textFill>
                  <w14:solidFill>
                    <w14:schemeClr w14:val="tx1"/>
                  </w14:solidFill>
                </w14:textFill>
              </w:rPr>
            </w:pPr>
            <w:r>
              <w:rPr>
                <w:rFonts w:hint="eastAsia" w:ascii="Times New Roman" w:hAnsi="Times New Roman" w:eastAsia="宋体"/>
                <w:b/>
                <w:bCs/>
                <w:color w:val="000000" w:themeColor="text1"/>
                <w:kern w:val="0"/>
                <w:sz w:val="24"/>
                <w:szCs w:val="24"/>
                <w:highlight w:val="none"/>
                <w:lang w:val="en-US" w:eastAsia="zh-CN"/>
                <w14:textFill>
                  <w14:solidFill>
                    <w14:schemeClr w14:val="tx1"/>
                  </w14:solidFill>
                </w14:textFill>
              </w:rPr>
              <w:t>1.</w:t>
            </w:r>
            <w:r>
              <w:rPr>
                <w:rFonts w:hint="eastAsia" w:ascii="Times New Roman" w:hAnsi="Times New Roman" w:eastAsia="宋体"/>
                <w:b/>
                <w:bCs/>
                <w:color w:val="000000" w:themeColor="text1"/>
                <w:kern w:val="0"/>
                <w:sz w:val="24"/>
                <w:szCs w:val="24"/>
                <w:highlight w:val="none"/>
                <w14:textFill>
                  <w14:solidFill>
                    <w14:schemeClr w14:val="tx1"/>
                  </w14:solidFill>
                </w14:textFill>
              </w:rPr>
              <w:t>政策法规</w:t>
            </w:r>
          </w:p>
          <w:p w14:paraId="5527CC10">
            <w:pPr>
              <w:pStyle w:val="8"/>
              <w:keepNext w:val="0"/>
              <w:keepLines w:val="0"/>
              <w:pageBreakBefore w:val="0"/>
              <w:widowControl/>
              <w:wordWrap/>
              <w:overflowPunct/>
              <w:topLinePunct w:val="0"/>
              <w:autoSpaceDE w:val="0"/>
              <w:autoSpaceDN w:val="0"/>
              <w:bidi w:val="0"/>
              <w:spacing w:line="360" w:lineRule="auto"/>
              <w:rPr>
                <w:rFonts w:hint="eastAsia" w:ascii="Times New Roman" w:hAnsi="Times New Roman" w:eastAsia="宋体"/>
                <w:color w:val="000000" w:themeColor="text1"/>
                <w:kern w:val="0"/>
                <w:sz w:val="24"/>
                <w:szCs w:val="24"/>
                <w:highlight w:val="none"/>
                <w14:textFill>
                  <w14:solidFill>
                    <w14:schemeClr w14:val="tx1"/>
                  </w14:solidFill>
                </w14:textFill>
              </w:rPr>
            </w:pPr>
            <w:r>
              <w:rPr>
                <w:rFonts w:hint="eastAsia" w:ascii="Times New Roman" w:hAnsi="Times New Roman" w:eastAsia="宋体"/>
                <w:color w:val="000000" w:themeColor="text1"/>
                <w:kern w:val="0"/>
                <w:sz w:val="24"/>
                <w:szCs w:val="24"/>
                <w:highlight w:val="none"/>
                <w14:textFill>
                  <w14:solidFill>
                    <w14:schemeClr w14:val="tx1"/>
                  </w14:solidFill>
                </w14:textFill>
              </w:rPr>
              <w:t>《中华人民共和国标准化法》</w:t>
            </w:r>
          </w:p>
          <w:p w14:paraId="7D60323C">
            <w:pPr>
              <w:pStyle w:val="8"/>
              <w:keepNext w:val="0"/>
              <w:keepLines w:val="0"/>
              <w:pageBreakBefore w:val="0"/>
              <w:widowControl/>
              <w:wordWrap/>
              <w:overflowPunct/>
              <w:topLinePunct w:val="0"/>
              <w:autoSpaceDE w:val="0"/>
              <w:autoSpaceDN w:val="0"/>
              <w:bidi w:val="0"/>
              <w:spacing w:line="360" w:lineRule="auto"/>
              <w:rPr>
                <w:rFonts w:hint="eastAsia" w:ascii="Times New Roman" w:hAnsi="Times New Roman" w:eastAsia="宋体"/>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宋体"/>
                <w:color w:val="000000" w:themeColor="text1"/>
                <w:kern w:val="0"/>
                <w:sz w:val="24"/>
                <w:szCs w:val="24"/>
                <w:highlight w:val="none"/>
                <w:lang w:val="en-US" w:eastAsia="zh-CN"/>
                <w14:textFill>
                  <w14:solidFill>
                    <w14:schemeClr w14:val="tx1"/>
                  </w14:solidFill>
                </w14:textFill>
              </w:rPr>
              <w:t>《国务院办公厅关于推动公立医院高质量发展的意见》（国办发〔2021〕18 号）精神</w:t>
            </w:r>
          </w:p>
          <w:p w14:paraId="044E8B97">
            <w:pPr>
              <w:pStyle w:val="8"/>
              <w:keepNext w:val="0"/>
              <w:keepLines w:val="0"/>
              <w:pageBreakBefore w:val="0"/>
              <w:widowControl/>
              <w:wordWrap/>
              <w:overflowPunct/>
              <w:topLinePunct w:val="0"/>
              <w:autoSpaceDE w:val="0"/>
              <w:autoSpaceDN w:val="0"/>
              <w:bidi w:val="0"/>
              <w:spacing w:line="360" w:lineRule="auto"/>
              <w:rPr>
                <w:rFonts w:hint="eastAsia" w:ascii="Times New Roman" w:hAnsi="Times New Roman" w:eastAsia="宋体"/>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宋体"/>
                <w:color w:val="000000" w:themeColor="text1"/>
                <w:kern w:val="0"/>
                <w:sz w:val="24"/>
                <w:szCs w:val="24"/>
                <w:highlight w:val="none"/>
                <w:lang w:val="en-US" w:eastAsia="zh-CN"/>
                <w14:textFill>
                  <w14:solidFill>
                    <w14:schemeClr w14:val="tx1"/>
                  </w14:solidFill>
                </w14:textFill>
              </w:rPr>
              <w:t>《国家卫生健康委办公厅关于印发疼痛专业医疗质量控制指标》（国卫办医政函〔2023〕404号）</w:t>
            </w:r>
          </w:p>
          <w:p w14:paraId="5469E830">
            <w:pPr>
              <w:pStyle w:val="8"/>
              <w:keepNext w:val="0"/>
              <w:keepLines w:val="0"/>
              <w:pageBreakBefore w:val="0"/>
              <w:widowControl/>
              <w:wordWrap/>
              <w:overflowPunct/>
              <w:topLinePunct w:val="0"/>
              <w:autoSpaceDE w:val="0"/>
              <w:autoSpaceDN w:val="0"/>
              <w:bidi w:val="0"/>
              <w:spacing w:line="360" w:lineRule="auto"/>
              <w:rPr>
                <w:rFonts w:hint="eastAsia" w:ascii="Times New Roman" w:hAnsi="Times New Roman" w:eastAsia="宋体"/>
                <w:color w:val="000000" w:themeColor="text1"/>
                <w:kern w:val="0"/>
                <w:sz w:val="24"/>
                <w:szCs w:val="24"/>
                <w:highlight w:val="none"/>
                <w14:textFill>
                  <w14:solidFill>
                    <w14:schemeClr w14:val="tx1"/>
                  </w14:solidFill>
                </w14:textFill>
              </w:rPr>
            </w:pPr>
            <w:r>
              <w:rPr>
                <w:rFonts w:hint="eastAsia" w:ascii="Times New Roman" w:hAnsi="Times New Roman" w:eastAsia="宋体"/>
                <w:color w:val="000000" w:themeColor="text1"/>
                <w:kern w:val="0"/>
                <w:sz w:val="24"/>
                <w:szCs w:val="24"/>
                <w:highlight w:val="none"/>
                <w:lang w:val="en-US" w:eastAsia="zh-CN"/>
                <w14:textFill>
                  <w14:solidFill>
                    <w14:schemeClr w14:val="tx1"/>
                  </w14:solidFill>
                </w14:textFill>
              </w:rPr>
              <w:t>《关于印发安徽省“十四五”临床重点专科建设推进计划的通知》（皖卫医秘〔2022〕91 号）</w:t>
            </w:r>
          </w:p>
          <w:p w14:paraId="0BB63BA6">
            <w:pPr>
              <w:pStyle w:val="8"/>
              <w:keepNext w:val="0"/>
              <w:keepLines w:val="0"/>
              <w:pageBreakBefore w:val="0"/>
              <w:widowControl/>
              <w:numPr>
                <w:ilvl w:val="0"/>
                <w:numId w:val="0"/>
              </w:numPr>
              <w:wordWrap/>
              <w:overflowPunct/>
              <w:topLinePunct w:val="0"/>
              <w:autoSpaceDE w:val="0"/>
              <w:autoSpaceDN w:val="0"/>
              <w:bidi w:val="0"/>
              <w:spacing w:line="360" w:lineRule="auto"/>
              <w:ind w:leftChars="100"/>
              <w:rPr>
                <w:rFonts w:hint="eastAsia" w:ascii="Times New Roman" w:hAnsi="Times New Roman" w:eastAsia="宋体"/>
                <w:b/>
                <w:bCs/>
                <w:color w:val="000000" w:themeColor="text1"/>
                <w:sz w:val="24"/>
                <w:szCs w:val="24"/>
                <w:highlight w:val="none"/>
                <w14:textFill>
                  <w14:solidFill>
                    <w14:schemeClr w14:val="tx1"/>
                  </w14:solidFill>
                </w14:textFill>
              </w:rPr>
            </w:pPr>
            <w:r>
              <w:rPr>
                <w:rFonts w:hint="eastAsia" w:ascii="Times New Roman" w:hAnsi="Times New Roman" w:eastAsia="宋体"/>
                <w:b/>
                <w:bCs/>
                <w:color w:val="000000" w:themeColor="text1"/>
                <w:sz w:val="24"/>
                <w:szCs w:val="24"/>
                <w:highlight w:val="none"/>
                <w:lang w:val="en-US" w:eastAsia="zh-CN"/>
                <w14:textFill>
                  <w14:solidFill>
                    <w14:schemeClr w14:val="tx1"/>
                  </w14:solidFill>
                </w14:textFill>
              </w:rPr>
              <w:t>2.</w:t>
            </w:r>
            <w:r>
              <w:rPr>
                <w:rFonts w:hint="eastAsia" w:ascii="Times New Roman" w:hAnsi="Times New Roman" w:eastAsia="宋体"/>
                <w:b/>
                <w:bCs/>
                <w:color w:val="000000" w:themeColor="text1"/>
                <w:sz w:val="24"/>
                <w:szCs w:val="24"/>
                <w:highlight w:val="none"/>
                <w14:textFill>
                  <w14:solidFill>
                    <w14:schemeClr w14:val="tx1"/>
                  </w14:solidFill>
                </w14:textFill>
              </w:rPr>
              <w:t>标准</w:t>
            </w:r>
          </w:p>
          <w:p w14:paraId="46EF37B2">
            <w:pPr>
              <w:pStyle w:val="10"/>
              <w:ind w:left="0" w:leftChars="0" w:firstLine="480" w:firstLineChars="20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《病历书写基本规范》（卫医政发〔2010〕11号）</w:t>
            </w:r>
          </w:p>
          <w:p w14:paraId="2FC3D9B7">
            <w:pPr>
              <w:pStyle w:val="11"/>
              <w:keepNext w:val="0"/>
              <w:keepLines w:val="0"/>
              <w:pageBreakBefore w:val="0"/>
              <w:widowControl/>
              <w:wordWrap/>
              <w:overflowPunct/>
              <w:topLinePunct w:val="0"/>
              <w:autoSpaceDE w:val="0"/>
              <w:autoSpaceDN w:val="0"/>
              <w:bidi w:val="0"/>
              <w:spacing w:line="360" w:lineRule="auto"/>
              <w:ind w:left="0" w:leftChars="0" w:firstLine="0" w:firstLineChars="0"/>
              <w:jc w:val="left"/>
              <w:rPr>
                <w:rFonts w:ascii="Times New Roman" w:hAnsi="Times New Roman" w:eastAsia="宋体"/>
                <w:b/>
                <w:color w:val="000000" w:themeColor="text1"/>
                <w:sz w:val="24"/>
                <w:szCs w:val="24"/>
                <w:highlight w:val="none"/>
                <w14:textFill>
                  <w14:solidFill>
                    <w14:schemeClr w14:val="tx1"/>
                  </w14:solidFill>
                </w14:textFill>
              </w:rPr>
            </w:pPr>
            <w:r>
              <w:rPr>
                <w:rFonts w:hint="eastAsia" w:ascii="Times New Roman" w:hAnsi="Times New Roman" w:eastAsia="宋体"/>
                <w:b/>
                <w:color w:val="000000" w:themeColor="text1"/>
                <w:sz w:val="24"/>
                <w:szCs w:val="24"/>
                <w:highlight w:val="none"/>
                <w14:textFill>
                  <w14:solidFill>
                    <w14:schemeClr w14:val="tx1"/>
                  </w14:solidFill>
                </w14:textFill>
              </w:rPr>
              <w:t>（</w:t>
            </w:r>
            <w:r>
              <w:rPr>
                <w:rFonts w:hint="eastAsia" w:ascii="Times New Roman" w:hAnsi="Times New Roman" w:eastAsia="宋体"/>
                <w:b/>
                <w:color w:val="000000" w:themeColor="text1"/>
                <w:sz w:val="24"/>
                <w:szCs w:val="24"/>
                <w:highlight w:val="none"/>
                <w:lang w:val="en-US" w:eastAsia="zh-CN"/>
                <w14:textFill>
                  <w14:solidFill>
                    <w14:schemeClr w14:val="tx1"/>
                  </w14:solidFill>
                </w14:textFill>
              </w:rPr>
              <w:t>三</w:t>
            </w:r>
            <w:r>
              <w:rPr>
                <w:rFonts w:hint="eastAsia" w:ascii="Times New Roman" w:hAnsi="Times New Roman" w:eastAsia="宋体"/>
                <w:b/>
                <w:color w:val="000000" w:themeColor="text1"/>
                <w:sz w:val="24"/>
                <w:szCs w:val="24"/>
                <w:highlight w:val="none"/>
                <w14:textFill>
                  <w14:solidFill>
                    <w14:schemeClr w14:val="tx1"/>
                  </w14:solidFill>
                </w14:textFill>
              </w:rPr>
              <w:t>）与现行法律法规、标准的关系</w:t>
            </w:r>
          </w:p>
          <w:p w14:paraId="37DA6123">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Times New Roman" w:hAnsi="Times New Roman" w:eastAsia="宋体" w:cs="Times New Roman"/>
                <w:b/>
                <w:kern w:val="0"/>
                <w:sz w:val="24"/>
                <w:szCs w:val="21"/>
                <w:highlight w:val="yellow"/>
                <w:lang w:val="en-US" w:eastAsia="zh-CN" w:bidi="ar-SA"/>
              </w:rPr>
            </w:pPr>
            <w:r>
              <w:rPr>
                <w:rFonts w:hint="eastAsia" w:ascii="Times New Roman" w:hAnsi="Times New Roman" w:eastAsia="宋体"/>
                <w:color w:val="000000" w:themeColor="text1"/>
                <w:kern w:val="0"/>
                <w:sz w:val="24"/>
                <w:szCs w:val="24"/>
                <w:highlight w:val="none"/>
                <w:lang w:val="en-US" w:eastAsia="zh-CN"/>
                <w14:textFill>
                  <w14:solidFill>
                    <w14:schemeClr w14:val="tx1"/>
                  </w14:solidFill>
                </w14:textFill>
              </w:rPr>
              <w:t>上述标准均没有涵盖医养结合机构医养转换规范内容，</w:t>
            </w:r>
            <w:r>
              <w:rPr>
                <w:rFonts w:hint="eastAsia" w:ascii="Times New Roman" w:hAnsi="Times New Roman" w:eastAsia="宋体"/>
                <w:color w:val="000000" w:themeColor="text1"/>
                <w:sz w:val="24"/>
                <w:szCs w:val="24"/>
                <w:highlight w:val="none"/>
                <w:lang w:val="en-US" w:eastAsia="zh-CN"/>
                <w14:textFill>
                  <w14:solidFill>
                    <w14:schemeClr w14:val="tx1"/>
                  </w14:solidFill>
                </w14:textFill>
              </w:rPr>
              <w:t>且</w:t>
            </w:r>
            <w:r>
              <w:rPr>
                <w:rFonts w:hint="eastAsia" w:ascii="Times New Roman" w:hAnsi="Times New Roman" w:eastAsia="宋体"/>
                <w:color w:val="000000" w:themeColor="text1"/>
                <w:sz w:val="24"/>
                <w:szCs w:val="24"/>
                <w:highlight w:val="none"/>
                <w14:textFill>
                  <w14:solidFill>
                    <w14:schemeClr w14:val="tx1"/>
                  </w14:solidFill>
                </w14:textFill>
              </w:rPr>
              <w:t>与现行法律、法规、政策及相关标准不冲突，并协调一致</w:t>
            </w:r>
            <w:r>
              <w:rPr>
                <w:rFonts w:hint="eastAsia" w:ascii="Times New Roman" w:hAnsi="Times New Roman" w:eastAsia="宋体"/>
                <w:color w:val="000000" w:themeColor="text1"/>
                <w:kern w:val="0"/>
                <w:sz w:val="24"/>
                <w:szCs w:val="24"/>
                <w:highlight w:val="none"/>
                <w14:textFill>
                  <w14:solidFill>
                    <w14:schemeClr w14:val="tx1"/>
                  </w14:solidFill>
                </w14:textFill>
              </w:rPr>
              <w:t>，符合国家相关法规和标准的有关规定。</w:t>
            </w:r>
          </w:p>
          <w:p w14:paraId="0E0E8C9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p>
        </w:tc>
      </w:tr>
      <w:tr w14:paraId="7DCF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6E639B87">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4、主要条款的说明，主要技术指标、参数、试验验证的论述（详细说明）</w:t>
            </w:r>
          </w:p>
        </w:tc>
      </w:tr>
      <w:tr w14:paraId="5EEA0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70508050">
            <w:pPr>
              <w:spacing w:line="360" w:lineRule="auto"/>
              <w:rPr>
                <w:rFonts w:ascii="Times New Roman" w:hAnsi="Times New Roman" w:eastAsia="宋体"/>
                <w:b/>
                <w:bCs/>
                <w:color w:val="000000" w:themeColor="text1"/>
                <w:sz w:val="24"/>
                <w:szCs w:val="24"/>
                <w:highlight w:val="none"/>
                <w14:textFill>
                  <w14:solidFill>
                    <w14:schemeClr w14:val="tx1"/>
                  </w14:solidFill>
                </w14:textFill>
              </w:rPr>
            </w:pPr>
            <w:r>
              <w:rPr>
                <w:rFonts w:hint="eastAsia" w:ascii="Times New Roman" w:hAnsi="Times New Roman" w:eastAsia="宋体"/>
                <w:b/>
                <w:bCs/>
                <w:color w:val="000000" w:themeColor="text1"/>
                <w:kern w:val="0"/>
                <w:sz w:val="24"/>
                <w:szCs w:val="24"/>
                <w:highlight w:val="none"/>
                <w14:textFill>
                  <w14:solidFill>
                    <w14:schemeClr w14:val="tx1"/>
                  </w14:solidFill>
                </w14:textFill>
              </w:rPr>
              <w:t>（一）</w:t>
            </w:r>
            <w:r>
              <w:rPr>
                <w:rFonts w:ascii="Times New Roman" w:hAnsi="Times New Roman" w:eastAsia="宋体"/>
                <w:b/>
                <w:bCs/>
                <w:color w:val="000000" w:themeColor="text1"/>
                <w:kern w:val="0"/>
                <w:sz w:val="24"/>
                <w:szCs w:val="24"/>
                <w:highlight w:val="none"/>
                <w14:textFill>
                  <w14:solidFill>
                    <w14:schemeClr w14:val="tx1"/>
                  </w14:solidFill>
                </w14:textFill>
              </w:rPr>
              <w:t>标准的适用范围</w:t>
            </w:r>
          </w:p>
          <w:p w14:paraId="0DFD3AC2">
            <w:pPr>
              <w:spacing w:line="360" w:lineRule="auto"/>
              <w:ind w:firstLine="480" w:firstLineChars="200"/>
              <w:rPr>
                <w:rFonts w:hint="eastAsia" w:ascii="Times New Roman" w:hAnsi="Times New Roman" w:eastAsia="宋体" w:cs="Times New Roman"/>
                <w:snapToGrid w:val="0"/>
                <w:color w:val="000000" w:themeColor="text1"/>
                <w:kern w:val="0"/>
                <w:sz w:val="24"/>
                <w:szCs w:val="24"/>
                <w:highlight w:val="none"/>
                <w:lang w:val="en-US" w:eastAsia="zh-CN" w:bidi="ar-SA"/>
                <w14:textFill>
                  <w14:solidFill>
                    <w14:schemeClr w14:val="tx1"/>
                  </w14:solidFill>
                </w14:textFill>
              </w:rPr>
            </w:pPr>
            <w:r>
              <w:rPr>
                <w:rFonts w:hint="eastAsia" w:ascii="Times New Roman" w:hAnsi="Times New Roman" w:eastAsia="宋体" w:cs="Times New Roman"/>
                <w:snapToGrid w:val="0"/>
                <w:color w:val="000000" w:themeColor="text1"/>
                <w:kern w:val="0"/>
                <w:sz w:val="24"/>
                <w:szCs w:val="24"/>
                <w:highlight w:val="none"/>
                <w:lang w:val="en-US" w:eastAsia="zh-CN" w:bidi="ar-SA"/>
                <w14:textFill>
                  <w14:solidFill>
                    <w14:schemeClr w14:val="tx1"/>
                  </w14:solidFill>
                </w14:textFill>
              </w:rPr>
              <w:t>本文件规定了癌症疼痛评估的基本要求、时机、工具及具体内容。</w:t>
            </w:r>
          </w:p>
          <w:p w14:paraId="38DB52AB">
            <w:pPr>
              <w:spacing w:line="360" w:lineRule="auto"/>
              <w:ind w:firstLine="480" w:firstLineChars="200"/>
              <w:rPr>
                <w:rFonts w:hint="eastAsia" w:ascii="Times New Roman" w:hAnsi="Times New Roman" w:eastAsia="宋体" w:cs="Times New Roman"/>
                <w:snapToGrid w:val="0"/>
                <w:color w:val="000000" w:themeColor="text1"/>
                <w:kern w:val="0"/>
                <w:sz w:val="24"/>
                <w:szCs w:val="24"/>
                <w:highlight w:val="none"/>
                <w:lang w:val="en-US" w:eastAsia="zh-CN" w:bidi="ar-SA"/>
                <w14:textFill>
                  <w14:solidFill>
                    <w14:schemeClr w14:val="tx1"/>
                  </w14:solidFill>
                </w14:textFill>
              </w:rPr>
            </w:pPr>
            <w:r>
              <w:rPr>
                <w:rFonts w:hint="eastAsia" w:ascii="Times New Roman" w:hAnsi="Times New Roman" w:eastAsia="宋体" w:cs="Times New Roman"/>
                <w:snapToGrid w:val="0"/>
                <w:color w:val="000000" w:themeColor="text1"/>
                <w:kern w:val="0"/>
                <w:sz w:val="24"/>
                <w:szCs w:val="24"/>
                <w:highlight w:val="none"/>
                <w:lang w:val="en-US" w:eastAsia="zh-CN" w:bidi="ar-SA"/>
                <w14:textFill>
                  <w14:solidFill>
                    <w14:schemeClr w14:val="tx1"/>
                  </w14:solidFill>
                </w14:textFill>
              </w:rPr>
              <w:t>本文件适用于各级各类医疗机构从事癌症疼痛评估的医务人员。</w:t>
            </w:r>
          </w:p>
          <w:p w14:paraId="6528B6A1">
            <w:pPr>
              <w:spacing w:line="360" w:lineRule="auto"/>
              <w:rPr>
                <w:rFonts w:hint="eastAsia" w:ascii="Times New Roman" w:hAnsi="Times New Roman" w:eastAsia="宋体"/>
                <w:b/>
                <w:bCs/>
                <w:color w:val="000000" w:themeColor="text1"/>
                <w:kern w:val="0"/>
                <w:sz w:val="24"/>
                <w:szCs w:val="24"/>
                <w:highlight w:val="none"/>
                <w14:textFill>
                  <w14:solidFill>
                    <w14:schemeClr w14:val="tx1"/>
                  </w14:solidFill>
                </w14:textFill>
              </w:rPr>
            </w:pPr>
            <w:r>
              <w:rPr>
                <w:rFonts w:hint="eastAsia" w:ascii="Times New Roman" w:hAnsi="Times New Roman" w:eastAsia="宋体"/>
                <w:b/>
                <w:bCs/>
                <w:color w:val="000000" w:themeColor="text1"/>
                <w:kern w:val="0"/>
                <w:sz w:val="24"/>
                <w:szCs w:val="24"/>
                <w:highlight w:val="none"/>
                <w14:textFill>
                  <w14:solidFill>
                    <w14:schemeClr w14:val="tx1"/>
                  </w14:solidFill>
                </w14:textFill>
              </w:rPr>
              <w:t>（二）</w:t>
            </w:r>
            <w:r>
              <w:rPr>
                <w:rFonts w:ascii="Times New Roman" w:hAnsi="Times New Roman" w:eastAsia="宋体"/>
                <w:b/>
                <w:bCs/>
                <w:color w:val="000000" w:themeColor="text1"/>
                <w:kern w:val="0"/>
                <w:sz w:val="24"/>
                <w:szCs w:val="24"/>
                <w:highlight w:val="none"/>
                <w14:textFill>
                  <w14:solidFill>
                    <w14:schemeClr w14:val="tx1"/>
                  </w14:solidFill>
                </w14:textFill>
              </w:rPr>
              <w:t>主体内容</w:t>
            </w:r>
          </w:p>
          <w:p w14:paraId="2DEBC21A">
            <w:pPr>
              <w:pStyle w:val="10"/>
              <w:spacing w:line="360" w:lineRule="auto"/>
              <w:ind w:firstLine="420"/>
              <w:rPr>
                <w:rFonts w:ascii="Times New Roman" w:hAnsi="Times New Roman" w:eastAsia="宋体"/>
                <w:color w:val="000000" w:themeColor="text1"/>
                <w:sz w:val="24"/>
                <w:szCs w:val="24"/>
                <w:highlight w:val="none"/>
                <w14:textFill>
                  <w14:solidFill>
                    <w14:schemeClr w14:val="tx1"/>
                  </w14:solidFill>
                </w14:textFill>
              </w:rPr>
            </w:pPr>
            <w:r>
              <w:rPr>
                <w:rFonts w:hint="eastAsia" w:ascii="Times New Roman" w:hAnsi="Times New Roman" w:eastAsia="宋体" w:cs="Times New Roman"/>
                <w:snapToGrid w:val="0"/>
                <w:color w:val="000000" w:themeColor="text1"/>
                <w:kern w:val="0"/>
                <w:sz w:val="24"/>
                <w:szCs w:val="24"/>
                <w:highlight w:val="none"/>
                <w:lang w:val="zh-CN" w:eastAsia="zh-CN" w:bidi="ar-SA"/>
                <w14:textFill>
                  <w14:solidFill>
                    <w14:schemeClr w14:val="tx1"/>
                  </w14:solidFill>
                </w14:textFill>
              </w:rPr>
              <w:t>本文件规定了</w:t>
            </w:r>
            <w:r>
              <w:rPr>
                <w:rFonts w:hint="eastAsia" w:ascii="Times New Roman" w:hAnsi="Times New Roman" w:eastAsia="宋体" w:cs="Times New Roman"/>
                <w:snapToGrid w:val="0"/>
                <w:color w:val="000000" w:themeColor="text1"/>
                <w:kern w:val="0"/>
                <w:sz w:val="24"/>
                <w:szCs w:val="24"/>
                <w:highlight w:val="none"/>
                <w:lang w:val="en-US" w:eastAsia="zh-CN" w:bidi="ar-SA"/>
                <w14:textFill>
                  <w14:solidFill>
                    <w14:schemeClr w14:val="tx1"/>
                  </w14:solidFill>
                </w14:textFill>
              </w:rPr>
              <w:t>癌症疼痛评估的基本要求、评估时机、评估工具、评估内容。其中评估时机、评估工具和评估内容是本标准的主要技术内容。力求通过这四个方面的规定，实现</w:t>
            </w:r>
            <w:r>
              <w:rPr>
                <w:rFonts w:hint="eastAsia" w:ascii="Times New Roman" w:hAnsi="Times New Roman" w:eastAsia="宋体" w:cs="宋体"/>
                <w:b w:val="0"/>
                <w:bCs w:val="0"/>
                <w:snapToGrid w:val="0"/>
                <w:color w:val="000000" w:themeColor="text1"/>
                <w:kern w:val="0"/>
                <w:sz w:val="24"/>
                <w:szCs w:val="24"/>
                <w:highlight w:val="none"/>
                <w:lang w:val="en-US" w:eastAsia="zh-CN"/>
                <w14:textFill>
                  <w14:solidFill>
                    <w14:schemeClr w14:val="tx1"/>
                  </w14:solidFill>
                </w14:textFill>
              </w:rPr>
              <w:t>癌症疼痛评估</w:t>
            </w:r>
            <w:r>
              <w:rPr>
                <w:rFonts w:hint="eastAsia" w:ascii="Times New Roman" w:hAnsi="Times New Roman" w:eastAsia="宋体" w:cs="Times New Roman"/>
                <w:snapToGrid w:val="0"/>
                <w:color w:val="000000" w:themeColor="text1"/>
                <w:kern w:val="0"/>
                <w:sz w:val="24"/>
                <w:szCs w:val="24"/>
                <w:highlight w:val="none"/>
                <w:lang w:val="en-US" w:eastAsia="zh-CN" w:bidi="ar-SA"/>
                <w14:textFill>
                  <w14:solidFill>
                    <w14:schemeClr w14:val="tx1"/>
                  </w14:solidFill>
                </w14:textFill>
              </w:rPr>
              <w:t>规范化的目的。</w:t>
            </w:r>
          </w:p>
          <w:p w14:paraId="6ED54DB2">
            <w:pPr>
              <w:spacing w:line="360" w:lineRule="auto"/>
              <w:rPr>
                <w:rFonts w:hint="eastAsia" w:ascii="Times New Roman" w:hAnsi="Times New Roman" w:eastAsia="宋体"/>
                <w:b/>
                <w:bCs/>
                <w:color w:val="000000" w:themeColor="text1"/>
                <w:kern w:val="0"/>
                <w:sz w:val="24"/>
                <w:szCs w:val="24"/>
                <w:highlight w:val="none"/>
                <w14:textFill>
                  <w14:solidFill>
                    <w14:schemeClr w14:val="tx1"/>
                  </w14:solidFill>
                </w14:textFill>
              </w:rPr>
            </w:pPr>
            <w:r>
              <w:rPr>
                <w:rFonts w:hint="eastAsia" w:ascii="Times New Roman" w:hAnsi="Times New Roman" w:eastAsia="宋体"/>
                <w:b/>
                <w:bCs/>
                <w:color w:val="000000" w:themeColor="text1"/>
                <w:kern w:val="0"/>
                <w:sz w:val="24"/>
                <w:szCs w:val="24"/>
                <w:highlight w:val="none"/>
                <w14:textFill>
                  <w14:solidFill>
                    <w14:schemeClr w14:val="tx1"/>
                  </w14:solidFill>
                </w14:textFill>
              </w:rPr>
              <w:t>（三）</w:t>
            </w:r>
            <w:r>
              <w:rPr>
                <w:rFonts w:ascii="Times New Roman" w:hAnsi="Times New Roman" w:eastAsia="宋体"/>
                <w:b/>
                <w:bCs/>
                <w:color w:val="000000" w:themeColor="text1"/>
                <w:kern w:val="0"/>
                <w:sz w:val="24"/>
                <w:szCs w:val="24"/>
                <w:highlight w:val="none"/>
                <w14:textFill>
                  <w14:solidFill>
                    <w14:schemeClr w14:val="tx1"/>
                  </w14:solidFill>
                </w14:textFill>
              </w:rPr>
              <w:t>有关条款的说明</w:t>
            </w:r>
          </w:p>
          <w:p w14:paraId="49C5C6E1">
            <w:pPr>
              <w:numPr>
                <w:ilvl w:val="0"/>
                <w:numId w:val="0"/>
              </w:numPr>
              <w:spacing w:line="360" w:lineRule="auto"/>
              <w:ind w:firstLine="480" w:firstLineChars="200"/>
              <w:rPr>
                <w:rFonts w:hint="eastAsia" w:ascii="Times New Roman" w:hAnsi="Times New Roman" w:eastAsia="宋体" w:cs="Times New Roman"/>
                <w:color w:val="000000" w:themeColor="text1"/>
                <w:sz w:val="24"/>
                <w:szCs w:val="24"/>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4"/>
                <w:szCs w:val="24"/>
                <w:highlight w:val="none"/>
                <w:lang w:val="en-US" w:eastAsia="zh-CN" w:bidi="ar-SA"/>
                <w14:textFill>
                  <w14:solidFill>
                    <w14:schemeClr w14:val="tx1"/>
                  </w14:solidFill>
                </w14:textFill>
              </w:rPr>
              <w:t>本标准共七个章节，其内容为：</w:t>
            </w:r>
          </w:p>
          <w:p w14:paraId="1AF3A05D">
            <w:pPr>
              <w:numPr>
                <w:ilvl w:val="0"/>
                <w:numId w:val="1"/>
              </w:numPr>
              <w:spacing w:line="360" w:lineRule="auto"/>
              <w:ind w:left="0" w:leftChars="0" w:firstLine="480" w:firstLineChars="0"/>
              <w:rPr>
                <w:rFonts w:hint="eastAsia" w:ascii="Times New Roman" w:hAnsi="Times New Roman" w:eastAsia="宋体" w:cs="Times New Roman"/>
                <w:color w:val="000000" w:themeColor="text1"/>
                <w:sz w:val="24"/>
                <w:szCs w:val="24"/>
                <w:highlight w:val="none"/>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4"/>
                <w:szCs w:val="24"/>
                <w:highlight w:val="none"/>
                <w:lang w:val="en-US" w:eastAsia="zh-CN" w:bidi="ar-SA"/>
                <w14:textFill>
                  <w14:solidFill>
                    <w14:schemeClr w14:val="tx1"/>
                  </w14:solidFill>
                </w14:textFill>
              </w:rPr>
              <w:t>术语和定义：</w:t>
            </w:r>
            <w:r>
              <w:rPr>
                <w:rFonts w:hint="eastAsia" w:ascii="Times New Roman" w:hAnsi="Times New Roman" w:eastAsia="宋体" w:cs="Times New Roman"/>
                <w:color w:val="000000" w:themeColor="text1"/>
                <w:sz w:val="24"/>
                <w:szCs w:val="24"/>
                <w:highlight w:val="none"/>
                <w:lang w:val="en-US" w:eastAsia="zh-CN" w:bidi="ar-SA"/>
                <w14:textFill>
                  <w14:solidFill>
                    <w14:schemeClr w14:val="tx1"/>
                  </w14:solidFill>
                </w14:textFill>
              </w:rPr>
              <w:t>疼痛、基础疼痛、癌症疼痛、爆发痛、剂量滴定、癌痛控制稳定、药物达峰时间的术语定义。</w:t>
            </w:r>
          </w:p>
          <w:p w14:paraId="7349C8F8">
            <w:pPr>
              <w:numPr>
                <w:ilvl w:val="0"/>
                <w:numId w:val="1"/>
              </w:numPr>
              <w:spacing w:line="360" w:lineRule="auto"/>
              <w:ind w:left="0" w:leftChars="0" w:firstLine="480" w:firstLineChars="0"/>
              <w:rPr>
                <w:rFonts w:hint="eastAsia" w:ascii="Times New Roman" w:hAnsi="Times New Roman" w:eastAsia="宋体" w:cs="Times New Roman"/>
                <w:color w:val="000000" w:themeColor="text1"/>
                <w:sz w:val="24"/>
                <w:szCs w:val="24"/>
                <w:highlight w:val="none"/>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4"/>
                <w:szCs w:val="24"/>
                <w:highlight w:val="none"/>
                <w:lang w:val="en-US" w:eastAsia="zh-CN" w:bidi="ar-SA"/>
                <w14:textFill>
                  <w14:solidFill>
                    <w14:schemeClr w14:val="tx1"/>
                  </w14:solidFill>
                </w14:textFill>
              </w:rPr>
              <w:t>缩略语：</w:t>
            </w:r>
            <w:r>
              <w:rPr>
                <w:rFonts w:hint="eastAsia" w:ascii="Times New Roman" w:hAnsi="Times New Roman" w:eastAsia="宋体" w:cs="Times New Roman"/>
                <w:color w:val="000000" w:themeColor="text1"/>
                <w:sz w:val="24"/>
                <w:szCs w:val="24"/>
                <w:highlight w:val="none"/>
                <w:lang w:val="en-US" w:eastAsia="zh-CN" w:bidi="ar-SA"/>
                <w14:textFill>
                  <w14:solidFill>
                    <w14:schemeClr w14:val="tx1"/>
                  </w14:solidFill>
                </w14:textFill>
              </w:rPr>
              <w:t>VAS（视觉模拟评分法）、 NRS（数字分级评分法） 、VRS（语言评分法）</w:t>
            </w:r>
          </w:p>
          <w:p w14:paraId="1B764C12">
            <w:pPr>
              <w:numPr>
                <w:ilvl w:val="0"/>
                <w:numId w:val="0"/>
              </w:numPr>
              <w:spacing w:line="360" w:lineRule="auto"/>
              <w:rPr>
                <w:rFonts w:hint="default" w:ascii="Times New Roman" w:hAnsi="Times New Roman" w:eastAsia="宋体" w:cs="Times New Roman"/>
                <w:color w:val="000000" w:themeColor="text1"/>
                <w:sz w:val="24"/>
                <w:szCs w:val="24"/>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4"/>
                <w:szCs w:val="24"/>
                <w:highlight w:val="none"/>
                <w:lang w:val="en-US" w:eastAsia="zh-CN" w:bidi="ar-SA"/>
                <w14:textFill>
                  <w14:solidFill>
                    <w14:schemeClr w14:val="tx1"/>
                  </w14:solidFill>
                </w14:textFill>
              </w:rPr>
              <w:t>、FPS（面部表情疼痛评分量表）、SF-MPQ（简式麦吉尔疼痛问卷）、 BPI（简明疼痛评估量表)、BPQ（爆发痛问卷)、BAT（爆发痛评估工具）、 GAD-7（广泛性焦虑自评量表）、 PHQ-9（患者健康问卷抑郁量表）</w:t>
            </w:r>
          </w:p>
          <w:p w14:paraId="4A60DA3F">
            <w:pPr>
              <w:numPr>
                <w:ilvl w:val="0"/>
                <w:numId w:val="1"/>
              </w:numPr>
              <w:spacing w:line="360" w:lineRule="auto"/>
              <w:ind w:left="0" w:leftChars="0" w:firstLine="480" w:firstLineChars="0"/>
              <w:rPr>
                <w:rFonts w:hint="default" w:ascii="Times New Roman" w:hAnsi="Times New Roman" w:eastAsia="宋体" w:cs="Times New Roman"/>
                <w:color w:val="000000" w:themeColor="text1"/>
                <w:sz w:val="24"/>
                <w:szCs w:val="24"/>
                <w:highlight w:val="none"/>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4"/>
                <w:szCs w:val="24"/>
                <w:highlight w:val="none"/>
                <w:lang w:val="en-US" w:eastAsia="zh-CN" w:bidi="ar-SA"/>
                <w14:textFill>
                  <w14:solidFill>
                    <w14:schemeClr w14:val="tx1"/>
                  </w14:solidFill>
                </w14:textFill>
              </w:rPr>
              <w:t>基本要求：</w:t>
            </w:r>
            <w:r>
              <w:rPr>
                <w:rFonts w:hint="eastAsia" w:ascii="Times New Roman" w:hAnsi="Times New Roman" w:eastAsia="宋体" w:cs="Times New Roman"/>
                <w:color w:val="000000" w:themeColor="text1"/>
                <w:sz w:val="24"/>
                <w:szCs w:val="24"/>
                <w:highlight w:val="none"/>
                <w:lang w:val="en-US" w:eastAsia="zh-CN" w:bidi="ar-SA"/>
                <w14:textFill>
                  <w14:solidFill>
                    <w14:schemeClr w14:val="tx1"/>
                  </w14:solidFill>
                </w14:textFill>
              </w:rPr>
              <w:t>确定了癌痛评估人员资质要求、评估原则及记录规范。</w:t>
            </w:r>
          </w:p>
          <w:p w14:paraId="327CEDF9">
            <w:pPr>
              <w:numPr>
                <w:ilvl w:val="0"/>
                <w:numId w:val="1"/>
              </w:numPr>
              <w:spacing w:line="360" w:lineRule="auto"/>
              <w:ind w:left="0" w:leftChars="0" w:firstLine="480" w:firstLineChars="0"/>
              <w:rPr>
                <w:rFonts w:hint="default" w:ascii="Times New Roman" w:hAnsi="Times New Roman" w:eastAsia="宋体" w:cs="Times New Roman"/>
                <w:color w:val="000000" w:themeColor="text1"/>
                <w:sz w:val="24"/>
                <w:szCs w:val="24"/>
                <w:highlight w:val="none"/>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4"/>
                <w:szCs w:val="24"/>
                <w:highlight w:val="none"/>
                <w:lang w:val="en-US" w:eastAsia="zh-CN" w:bidi="ar-SA"/>
                <w14:textFill>
                  <w14:solidFill>
                    <w14:schemeClr w14:val="tx1"/>
                  </w14:solidFill>
                </w14:textFill>
              </w:rPr>
              <w:t>评估时机：</w:t>
            </w:r>
            <w:r>
              <w:rPr>
                <w:rFonts w:hint="eastAsia" w:ascii="Times New Roman" w:hAnsi="Times New Roman" w:eastAsia="宋体" w:cs="Times New Roman"/>
                <w:color w:val="000000" w:themeColor="text1"/>
                <w:sz w:val="24"/>
                <w:szCs w:val="24"/>
                <w:highlight w:val="none"/>
                <w:lang w:val="en-US" w:eastAsia="zh-CN" w:bidi="ar-SA"/>
                <w14:textFill>
                  <w14:solidFill>
                    <w14:schemeClr w14:val="tx1"/>
                  </w14:solidFill>
                </w14:textFill>
              </w:rPr>
              <w:t>包括入院后、癌痛控制稳定、新发癌痛、癌痛性质或镇痛方案改变以及剂量滴定过程中的评估时机，药物干预及使用镇痛泵后不同给药途径的评估时机，非药物干预、微创介入治疗的评估时机。</w:t>
            </w:r>
          </w:p>
          <w:p w14:paraId="40E80F16">
            <w:pPr>
              <w:numPr>
                <w:ilvl w:val="0"/>
                <w:numId w:val="1"/>
              </w:numPr>
              <w:spacing w:line="360" w:lineRule="auto"/>
              <w:ind w:left="0" w:leftChars="0" w:firstLine="480" w:firstLineChars="0"/>
              <w:rPr>
                <w:rFonts w:hint="default" w:ascii="Times New Roman" w:hAnsi="Times New Roman" w:eastAsia="宋体" w:cs="Times New Roman"/>
                <w:color w:val="000000" w:themeColor="text1"/>
                <w:sz w:val="24"/>
                <w:szCs w:val="24"/>
                <w:highlight w:val="none"/>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4"/>
                <w:szCs w:val="24"/>
                <w:highlight w:val="none"/>
                <w:lang w:val="en-US" w:eastAsia="zh-CN" w:bidi="ar-SA"/>
                <w14:textFill>
                  <w14:solidFill>
                    <w14:schemeClr w14:val="tx1"/>
                  </w14:solidFill>
                </w14:textFill>
              </w:rPr>
              <w:t>评估工具：</w:t>
            </w:r>
            <w:r>
              <w:rPr>
                <w:rFonts w:hint="eastAsia" w:ascii="Times New Roman" w:hAnsi="Times New Roman" w:eastAsia="宋体" w:cs="Times New Roman"/>
                <w:color w:val="000000" w:themeColor="text1"/>
                <w:sz w:val="24"/>
                <w:szCs w:val="24"/>
                <w:highlight w:val="none"/>
                <w:lang w:val="en-US" w:eastAsia="zh-CN" w:bidi="ar-SA"/>
                <w14:textFill>
                  <w14:solidFill>
                    <w14:schemeClr w14:val="tx1"/>
                  </w14:solidFill>
                </w14:textFill>
              </w:rPr>
              <w:t>包括单维度疼痛评估工具、多维度疼痛评估工具、爆发痛评估工具和焦虑/抑郁心理状态评估工具。</w:t>
            </w:r>
          </w:p>
          <w:p w14:paraId="1CF07040">
            <w:pPr>
              <w:numPr>
                <w:ilvl w:val="0"/>
                <w:numId w:val="1"/>
              </w:numPr>
              <w:spacing w:line="360" w:lineRule="auto"/>
              <w:ind w:left="0" w:leftChars="0" w:firstLine="480" w:firstLineChars="0"/>
              <w:rPr>
                <w:rFonts w:hint="default" w:ascii="Times New Roman" w:hAnsi="Times New Roman" w:eastAsia="宋体" w:cs="Times New Roman"/>
                <w:color w:val="000000" w:themeColor="text1"/>
                <w:sz w:val="24"/>
                <w:szCs w:val="24"/>
                <w:highlight w:val="none"/>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4"/>
                <w:szCs w:val="24"/>
                <w:highlight w:val="none"/>
                <w:lang w:val="en-US" w:eastAsia="zh-CN" w:bidi="ar-SA"/>
                <w14:textFill>
                  <w14:solidFill>
                    <w14:schemeClr w14:val="tx1"/>
                  </w14:solidFill>
                </w14:textFill>
              </w:rPr>
              <w:t>评估内容：</w:t>
            </w:r>
            <w:r>
              <w:rPr>
                <w:rFonts w:hint="eastAsia" w:ascii="Times New Roman" w:hAnsi="Times New Roman" w:eastAsia="宋体" w:cs="Times New Roman"/>
                <w:color w:val="000000" w:themeColor="text1"/>
                <w:sz w:val="24"/>
                <w:szCs w:val="24"/>
                <w:highlight w:val="none"/>
                <w:lang w:val="en-US" w:eastAsia="zh-CN" w:bidi="ar-SA"/>
                <w14:textFill>
                  <w14:solidFill>
                    <w14:schemeClr w14:val="tx1"/>
                  </w14:solidFill>
                </w14:textFill>
              </w:rPr>
              <w:t>包括癌痛部位、强度、性质、发生时间、原因，使用镇痛药物的名称、剂量、效果、不良反应，癌痛患者心理状态及对生活质量的影响。</w:t>
            </w:r>
            <w:bookmarkStart w:id="30" w:name="_GoBack"/>
            <w:bookmarkEnd w:id="30"/>
          </w:p>
          <w:p w14:paraId="3B43B45A">
            <w:pPr>
              <w:spacing w:line="360" w:lineRule="auto"/>
              <w:rPr>
                <w:rFonts w:ascii="Times New Roman" w:hAnsi="Times New Roman" w:eastAsia="宋体"/>
                <w:b/>
                <w:bCs/>
                <w:color w:val="000000" w:themeColor="text1"/>
                <w:kern w:val="0"/>
                <w:sz w:val="24"/>
                <w:szCs w:val="24"/>
                <w:highlight w:val="none"/>
                <w14:textFill>
                  <w14:solidFill>
                    <w14:schemeClr w14:val="tx1"/>
                  </w14:solidFill>
                </w14:textFill>
              </w:rPr>
            </w:pPr>
            <w:r>
              <w:rPr>
                <w:rFonts w:hint="eastAsia" w:ascii="Times New Roman" w:hAnsi="Times New Roman" w:eastAsia="宋体"/>
                <w:b/>
                <w:bCs/>
                <w:color w:val="000000" w:themeColor="text1"/>
                <w:kern w:val="0"/>
                <w:sz w:val="24"/>
                <w:szCs w:val="24"/>
                <w:highlight w:val="none"/>
                <w14:textFill>
                  <w14:solidFill>
                    <w14:schemeClr w14:val="tx1"/>
                  </w14:solidFill>
                </w14:textFill>
              </w:rPr>
              <w:t>（</w:t>
            </w:r>
            <w:r>
              <w:rPr>
                <w:rFonts w:hint="eastAsia" w:ascii="Times New Roman" w:hAnsi="Times New Roman" w:eastAsia="宋体"/>
                <w:b/>
                <w:bCs/>
                <w:color w:val="000000" w:themeColor="text1"/>
                <w:kern w:val="0"/>
                <w:sz w:val="24"/>
                <w:szCs w:val="24"/>
                <w:highlight w:val="none"/>
                <w:lang w:val="en-US" w:eastAsia="zh-CN"/>
                <w14:textFill>
                  <w14:solidFill>
                    <w14:schemeClr w14:val="tx1"/>
                  </w14:solidFill>
                </w14:textFill>
              </w:rPr>
              <w:t>四</w:t>
            </w:r>
            <w:r>
              <w:rPr>
                <w:rFonts w:hint="eastAsia" w:ascii="Times New Roman" w:hAnsi="Times New Roman" w:eastAsia="宋体"/>
                <w:b/>
                <w:bCs/>
                <w:color w:val="000000" w:themeColor="text1"/>
                <w:kern w:val="0"/>
                <w:sz w:val="24"/>
                <w:szCs w:val="24"/>
                <w:highlight w:val="none"/>
                <w14:textFill>
                  <w14:solidFill>
                    <w14:schemeClr w14:val="tx1"/>
                  </w14:solidFill>
                </w14:textFill>
              </w:rPr>
              <w:t>）</w:t>
            </w:r>
            <w:r>
              <w:rPr>
                <w:rFonts w:ascii="Times New Roman" w:hAnsi="Times New Roman" w:eastAsia="宋体"/>
                <w:b/>
                <w:bCs/>
                <w:color w:val="000000" w:themeColor="text1"/>
                <w:kern w:val="0"/>
                <w:sz w:val="24"/>
                <w:szCs w:val="24"/>
                <w:highlight w:val="none"/>
                <w14:textFill>
                  <w14:solidFill>
                    <w14:schemeClr w14:val="tx1"/>
                  </w14:solidFill>
                </w14:textFill>
              </w:rPr>
              <w:t>标准技术水平的说明</w:t>
            </w:r>
          </w:p>
          <w:p w14:paraId="6D53826C">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Times New Roman" w:hAnsi="Times New Roman" w:eastAsia="宋体" w:cs="Times New Roman"/>
                <w:b/>
                <w:kern w:val="0"/>
                <w:sz w:val="24"/>
                <w:szCs w:val="21"/>
                <w:lang w:val="en-US" w:eastAsia="zh-CN" w:bidi="ar-SA"/>
              </w:rPr>
            </w:pPr>
            <w:r>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t>标准内容能满足各级医疗机构的医务人员对癌症疼痛评估规范的需求，标准内容符合安徽省地方发展需求，标准主要内容根据我省癌症疼痛评估规范进行了细化和分类，便于临床实践操作与运用。</w:t>
            </w:r>
          </w:p>
          <w:p w14:paraId="7E3E430C">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p>
        </w:tc>
      </w:tr>
      <w:tr w14:paraId="6C3FA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6638E124">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0" w:name="_Toc464902852"/>
            <w:bookmarkStart w:id="1" w:name="_Toc465074266"/>
            <w:bookmarkStart w:id="2" w:name="_Toc464905809"/>
            <w:bookmarkStart w:id="3" w:name="_Toc464905613"/>
            <w:bookmarkStart w:id="4" w:name="_Toc464905557"/>
            <w:r>
              <w:rPr>
                <w:rFonts w:hint="eastAsia" w:ascii="Times New Roman" w:hAnsi="Times New Roman" w:eastAsia="宋体" w:cs="Times New Roman"/>
                <w:b/>
                <w:bCs/>
                <w:kern w:val="0"/>
                <w:sz w:val="24"/>
                <w:szCs w:val="21"/>
                <w:lang w:val="en-US" w:eastAsia="zh-CN" w:bidi="ar-SA"/>
              </w:rPr>
              <w:t>5、标准中如果涉及专利，应有明确的知识产权说明</w:t>
            </w:r>
            <w:bookmarkEnd w:id="0"/>
            <w:bookmarkEnd w:id="1"/>
            <w:bookmarkEnd w:id="2"/>
            <w:bookmarkEnd w:id="3"/>
            <w:bookmarkEnd w:id="4"/>
          </w:p>
        </w:tc>
      </w:tr>
      <w:tr w14:paraId="306F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4522EE82">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无</w:t>
            </w:r>
          </w:p>
        </w:tc>
      </w:tr>
      <w:tr w14:paraId="403E2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5208FB0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5" w:name="_Toc464905558"/>
            <w:bookmarkStart w:id="6" w:name="_Toc465074267"/>
            <w:bookmarkStart w:id="7" w:name="_Toc464905810"/>
            <w:bookmarkStart w:id="8" w:name="_Toc464905614"/>
            <w:bookmarkStart w:id="9" w:name="_Toc464902853"/>
            <w:r>
              <w:rPr>
                <w:rFonts w:hint="eastAsia" w:ascii="Times New Roman" w:hAnsi="Times New Roman" w:eastAsia="宋体" w:cs="Times New Roman"/>
                <w:b/>
                <w:bCs/>
                <w:kern w:val="0"/>
                <w:sz w:val="24"/>
                <w:szCs w:val="21"/>
                <w:lang w:val="en-US" w:eastAsia="zh-CN" w:bidi="ar-SA"/>
              </w:rPr>
              <w:t>6、采用国际标准或国外先进标准的，说明采标程度，以及国内外同类标准水平的对比情况</w:t>
            </w:r>
            <w:bookmarkEnd w:id="5"/>
            <w:bookmarkEnd w:id="6"/>
            <w:bookmarkEnd w:id="7"/>
            <w:bookmarkEnd w:id="8"/>
            <w:bookmarkEnd w:id="9"/>
          </w:p>
        </w:tc>
      </w:tr>
      <w:tr w14:paraId="7A7AA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041013C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无</w:t>
            </w:r>
          </w:p>
        </w:tc>
      </w:tr>
      <w:tr w14:paraId="76BEC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43C6650B">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10" w:name="_Toc464905615"/>
            <w:bookmarkStart w:id="11" w:name="_Toc465074268"/>
            <w:bookmarkStart w:id="12" w:name="_Toc464905559"/>
            <w:bookmarkStart w:id="13" w:name="_Toc464902854"/>
            <w:bookmarkStart w:id="14" w:name="_Toc464905811"/>
            <w:r>
              <w:rPr>
                <w:rFonts w:hint="eastAsia" w:ascii="Times New Roman" w:hAnsi="Times New Roman" w:eastAsia="宋体" w:cs="Times New Roman"/>
                <w:b/>
                <w:bCs/>
                <w:kern w:val="0"/>
                <w:sz w:val="24"/>
                <w:szCs w:val="21"/>
                <w:lang w:val="en-US" w:eastAsia="zh-CN" w:bidi="ar-SA"/>
              </w:rPr>
              <w:t>7、重大分歧意见的处理经过和依据</w:t>
            </w:r>
            <w:bookmarkEnd w:id="10"/>
            <w:bookmarkEnd w:id="11"/>
            <w:bookmarkEnd w:id="12"/>
            <w:bookmarkEnd w:id="13"/>
            <w:bookmarkEnd w:id="14"/>
          </w:p>
        </w:tc>
      </w:tr>
      <w:tr w14:paraId="1B665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3D12A68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无</w:t>
            </w:r>
          </w:p>
        </w:tc>
      </w:tr>
      <w:tr w14:paraId="5746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46C8A3FB">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15" w:name="_Toc464902855"/>
            <w:bookmarkStart w:id="16" w:name="_Toc464905560"/>
            <w:bookmarkStart w:id="17" w:name="_Toc464905616"/>
            <w:bookmarkStart w:id="18" w:name="_Toc465074269"/>
            <w:bookmarkStart w:id="19" w:name="_Toc464905812"/>
            <w:r>
              <w:rPr>
                <w:rFonts w:hint="eastAsia" w:ascii="Times New Roman" w:hAnsi="Times New Roman" w:eastAsia="宋体" w:cs="Times New Roman"/>
                <w:b/>
                <w:bCs/>
                <w:kern w:val="0"/>
                <w:sz w:val="24"/>
                <w:szCs w:val="21"/>
                <w:lang w:val="en-US" w:eastAsia="zh-CN" w:bidi="ar-SA"/>
              </w:rPr>
              <w:t>8、贯彻标准的要求和措施建议（包括组织措施、技术措施、过渡办法、实施日期等）</w:t>
            </w:r>
            <w:bookmarkEnd w:id="15"/>
            <w:bookmarkEnd w:id="16"/>
            <w:bookmarkEnd w:id="17"/>
            <w:bookmarkEnd w:id="18"/>
            <w:bookmarkEnd w:id="19"/>
          </w:p>
        </w:tc>
      </w:tr>
      <w:tr w14:paraId="51595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70FAF303">
            <w:pPr>
              <w:spacing w:line="360" w:lineRule="auto"/>
              <w:rPr>
                <w:rFonts w:ascii="宋体"/>
                <w:b/>
                <w:bCs/>
                <w:color w:val="000000" w:themeColor="text1"/>
                <w:sz w:val="24"/>
                <w:szCs w:val="24"/>
                <w14:textFill>
                  <w14:solidFill>
                    <w14:schemeClr w14:val="tx1"/>
                  </w14:solidFill>
                </w14:textFill>
              </w:rPr>
            </w:pPr>
            <w:r>
              <w:rPr>
                <w:rFonts w:hint="eastAsia" w:ascii="宋体"/>
                <w:b/>
                <w:bCs/>
                <w:color w:val="000000" w:themeColor="text1"/>
                <w:sz w:val="24"/>
                <w:szCs w:val="24"/>
                <w:lang w:eastAsia="zh-CN"/>
                <w14:textFill>
                  <w14:solidFill>
                    <w14:schemeClr w14:val="tx1"/>
                  </w14:solidFill>
                </w14:textFill>
              </w:rPr>
              <w:t>（</w:t>
            </w:r>
            <w:r>
              <w:rPr>
                <w:rFonts w:hint="eastAsia" w:ascii="宋体"/>
                <w:b/>
                <w:bCs/>
                <w:color w:val="000000" w:themeColor="text1"/>
                <w:sz w:val="24"/>
                <w:szCs w:val="24"/>
                <w:lang w:val="en-US" w:eastAsia="zh-CN"/>
                <w14:textFill>
                  <w14:solidFill>
                    <w14:schemeClr w14:val="tx1"/>
                  </w14:solidFill>
                </w14:textFill>
              </w:rPr>
              <w:t>一</w:t>
            </w:r>
            <w:r>
              <w:rPr>
                <w:rFonts w:hint="eastAsia" w:ascii="宋体"/>
                <w:b/>
                <w:bCs/>
                <w:color w:val="000000" w:themeColor="text1"/>
                <w:sz w:val="24"/>
                <w:szCs w:val="24"/>
                <w:lang w:eastAsia="zh-CN"/>
                <w14:textFill>
                  <w14:solidFill>
                    <w14:schemeClr w14:val="tx1"/>
                  </w14:solidFill>
                </w14:textFill>
              </w:rPr>
              <w:t>）</w:t>
            </w:r>
            <w:r>
              <w:rPr>
                <w:rFonts w:hint="eastAsia" w:ascii="宋体"/>
                <w:b/>
                <w:bCs/>
                <w:color w:val="000000" w:themeColor="text1"/>
                <w:sz w:val="24"/>
                <w:szCs w:val="24"/>
                <w14:textFill>
                  <w14:solidFill>
                    <w14:schemeClr w14:val="tx1"/>
                  </w14:solidFill>
                </w14:textFill>
              </w:rPr>
              <w:t>组织措施：</w:t>
            </w:r>
          </w:p>
          <w:p w14:paraId="025C3DF2">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本标准一经发布，标准起草单位将在安徽</w:t>
            </w:r>
            <w:r>
              <w:rPr>
                <w:rFonts w:hint="eastAsia" w:ascii="宋体"/>
                <w:color w:val="000000" w:themeColor="text1"/>
                <w:sz w:val="24"/>
                <w:szCs w:val="24"/>
                <w:highlight w:val="none"/>
                <w14:textFill>
                  <w14:solidFill>
                    <w14:schemeClr w14:val="tx1"/>
                  </w14:solidFill>
                </w14:textFill>
              </w:rPr>
              <w:t>省卫生健康委员会、安徽省市场监督管理局的协调推进下，配合开展《</w:t>
            </w:r>
            <w:r>
              <w:rPr>
                <w:rFonts w:hint="eastAsia" w:ascii="宋体" w:eastAsia="宋体"/>
                <w:color w:val="000000" w:themeColor="text1"/>
                <w:sz w:val="24"/>
                <w:szCs w:val="24"/>
                <w:highlight w:val="none"/>
                <w:lang w:val="en-US" w:eastAsia="zh-CN"/>
                <w14:textFill>
                  <w14:solidFill>
                    <w14:schemeClr w14:val="tx1"/>
                  </w14:solidFill>
                </w14:textFill>
              </w:rPr>
              <w:t>癌症疼痛评估规范</w:t>
            </w:r>
            <w:r>
              <w:rPr>
                <w:rFonts w:hint="eastAsia" w:ascii="宋体"/>
                <w:color w:val="000000" w:themeColor="text1"/>
                <w:sz w:val="24"/>
                <w:szCs w:val="24"/>
                <w:highlight w:val="none"/>
                <w14:textFill>
                  <w14:solidFill>
                    <w14:schemeClr w14:val="tx1"/>
                  </w14:solidFill>
                </w14:textFill>
              </w:rPr>
              <w:t>》</w:t>
            </w:r>
            <w:r>
              <w:rPr>
                <w:rFonts w:hint="eastAsia" w:ascii="宋体"/>
                <w:color w:val="000000" w:themeColor="text1"/>
                <w:sz w:val="24"/>
                <w:szCs w:val="24"/>
                <w14:textFill>
                  <w14:solidFill>
                    <w14:schemeClr w14:val="tx1"/>
                  </w14:solidFill>
                </w14:textFill>
              </w:rPr>
              <w:t>的宣贯和培训工作，增强实施标准的自觉性。</w:t>
            </w:r>
          </w:p>
          <w:p w14:paraId="2398C74A">
            <w:pPr>
              <w:spacing w:line="360" w:lineRule="auto"/>
              <w:rPr>
                <w:rFonts w:ascii="宋体"/>
                <w:b/>
                <w:bCs/>
                <w:color w:val="000000" w:themeColor="text1"/>
                <w:sz w:val="24"/>
                <w:szCs w:val="24"/>
                <w14:textFill>
                  <w14:solidFill>
                    <w14:schemeClr w14:val="tx1"/>
                  </w14:solidFill>
                </w14:textFill>
              </w:rPr>
            </w:pPr>
            <w:r>
              <w:rPr>
                <w:rFonts w:hint="eastAsia" w:ascii="宋体"/>
                <w:b/>
                <w:bCs/>
                <w:color w:val="000000" w:themeColor="text1"/>
                <w:sz w:val="24"/>
                <w:szCs w:val="24"/>
                <w:lang w:eastAsia="zh-CN"/>
                <w14:textFill>
                  <w14:solidFill>
                    <w14:schemeClr w14:val="tx1"/>
                  </w14:solidFill>
                </w14:textFill>
              </w:rPr>
              <w:t>（</w:t>
            </w:r>
            <w:r>
              <w:rPr>
                <w:rFonts w:hint="eastAsia" w:ascii="宋体"/>
                <w:b/>
                <w:bCs/>
                <w:color w:val="000000" w:themeColor="text1"/>
                <w:sz w:val="24"/>
                <w:szCs w:val="24"/>
                <w:lang w:val="en-US" w:eastAsia="zh-CN"/>
                <w14:textFill>
                  <w14:solidFill>
                    <w14:schemeClr w14:val="tx1"/>
                  </w14:solidFill>
                </w14:textFill>
              </w:rPr>
              <w:t>二</w:t>
            </w:r>
            <w:r>
              <w:rPr>
                <w:rFonts w:hint="eastAsia" w:ascii="宋体"/>
                <w:b/>
                <w:bCs/>
                <w:color w:val="000000" w:themeColor="text1"/>
                <w:sz w:val="24"/>
                <w:szCs w:val="24"/>
                <w:lang w:eastAsia="zh-CN"/>
                <w14:textFill>
                  <w14:solidFill>
                    <w14:schemeClr w14:val="tx1"/>
                  </w14:solidFill>
                </w14:textFill>
              </w:rPr>
              <w:t>）</w:t>
            </w:r>
            <w:r>
              <w:rPr>
                <w:rFonts w:hint="eastAsia" w:ascii="宋体"/>
                <w:b/>
                <w:bCs/>
                <w:color w:val="000000" w:themeColor="text1"/>
                <w:sz w:val="24"/>
                <w:szCs w:val="24"/>
                <w14:textFill>
                  <w14:solidFill>
                    <w14:schemeClr w14:val="tx1"/>
                  </w14:solidFill>
                </w14:textFill>
              </w:rPr>
              <w:t>技术措施：</w:t>
            </w:r>
          </w:p>
          <w:p w14:paraId="75A4C77B">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通过标准的实施、监督、评价和改进活动，使标准得到有效运用。</w:t>
            </w:r>
          </w:p>
          <w:p w14:paraId="26070232">
            <w:pPr>
              <w:spacing w:line="360" w:lineRule="auto"/>
              <w:rPr>
                <w:rFonts w:ascii="宋体"/>
                <w:b/>
                <w:bCs/>
                <w:color w:val="000000" w:themeColor="text1"/>
                <w:sz w:val="24"/>
                <w:szCs w:val="24"/>
                <w14:textFill>
                  <w14:solidFill>
                    <w14:schemeClr w14:val="tx1"/>
                  </w14:solidFill>
                </w14:textFill>
              </w:rPr>
            </w:pPr>
            <w:r>
              <w:rPr>
                <w:rFonts w:hint="eastAsia" w:ascii="宋体"/>
                <w:b/>
                <w:bCs/>
                <w:color w:val="000000" w:themeColor="text1"/>
                <w:sz w:val="24"/>
                <w:szCs w:val="24"/>
                <w:lang w:eastAsia="zh-CN"/>
                <w14:textFill>
                  <w14:solidFill>
                    <w14:schemeClr w14:val="tx1"/>
                  </w14:solidFill>
                </w14:textFill>
              </w:rPr>
              <w:t>（</w:t>
            </w:r>
            <w:r>
              <w:rPr>
                <w:rFonts w:hint="eastAsia" w:ascii="宋体"/>
                <w:b/>
                <w:bCs/>
                <w:color w:val="000000" w:themeColor="text1"/>
                <w:sz w:val="24"/>
                <w:szCs w:val="24"/>
                <w:lang w:val="en-US" w:eastAsia="zh-CN"/>
                <w14:textFill>
                  <w14:solidFill>
                    <w14:schemeClr w14:val="tx1"/>
                  </w14:solidFill>
                </w14:textFill>
              </w:rPr>
              <w:t>三</w:t>
            </w:r>
            <w:r>
              <w:rPr>
                <w:rFonts w:hint="eastAsia" w:ascii="宋体"/>
                <w:b/>
                <w:bCs/>
                <w:color w:val="000000" w:themeColor="text1"/>
                <w:sz w:val="24"/>
                <w:szCs w:val="24"/>
                <w:lang w:eastAsia="zh-CN"/>
                <w14:textFill>
                  <w14:solidFill>
                    <w14:schemeClr w14:val="tx1"/>
                  </w14:solidFill>
                </w14:textFill>
              </w:rPr>
              <w:t>）</w:t>
            </w:r>
            <w:r>
              <w:rPr>
                <w:rFonts w:hint="eastAsia" w:ascii="宋体"/>
                <w:b/>
                <w:bCs/>
                <w:color w:val="000000" w:themeColor="text1"/>
                <w:sz w:val="24"/>
                <w:szCs w:val="24"/>
                <w14:textFill>
                  <w14:solidFill>
                    <w14:schemeClr w14:val="tx1"/>
                  </w14:solidFill>
                </w14:textFill>
              </w:rPr>
              <w:t>过渡办法：</w:t>
            </w:r>
          </w:p>
          <w:p w14:paraId="3669DF61">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由相关领导部门联合各级有关相关部门开展宣贯活动，并给予不少于1个月的过渡期。</w:t>
            </w:r>
          </w:p>
          <w:p w14:paraId="6BA265F7">
            <w:pPr>
              <w:spacing w:line="360" w:lineRule="auto"/>
              <w:rPr>
                <w:rFonts w:ascii="宋体"/>
                <w:b/>
                <w:bCs/>
                <w:color w:val="000000" w:themeColor="text1"/>
                <w:sz w:val="24"/>
                <w:szCs w:val="24"/>
                <w14:textFill>
                  <w14:solidFill>
                    <w14:schemeClr w14:val="tx1"/>
                  </w14:solidFill>
                </w14:textFill>
              </w:rPr>
            </w:pPr>
            <w:r>
              <w:rPr>
                <w:rFonts w:hint="eastAsia" w:ascii="宋体"/>
                <w:b/>
                <w:bCs/>
                <w:color w:val="000000" w:themeColor="text1"/>
                <w:sz w:val="24"/>
                <w:szCs w:val="24"/>
                <w:lang w:eastAsia="zh-CN"/>
                <w14:textFill>
                  <w14:solidFill>
                    <w14:schemeClr w14:val="tx1"/>
                  </w14:solidFill>
                </w14:textFill>
              </w:rPr>
              <w:t>（</w:t>
            </w:r>
            <w:r>
              <w:rPr>
                <w:rFonts w:hint="eastAsia" w:ascii="宋体"/>
                <w:b/>
                <w:bCs/>
                <w:color w:val="000000" w:themeColor="text1"/>
                <w:sz w:val="24"/>
                <w:szCs w:val="24"/>
                <w:lang w:val="en-US" w:eastAsia="zh-CN"/>
                <w14:textFill>
                  <w14:solidFill>
                    <w14:schemeClr w14:val="tx1"/>
                  </w14:solidFill>
                </w14:textFill>
              </w:rPr>
              <w:t>四</w:t>
            </w:r>
            <w:r>
              <w:rPr>
                <w:rFonts w:hint="eastAsia" w:ascii="宋体"/>
                <w:b/>
                <w:bCs/>
                <w:color w:val="000000" w:themeColor="text1"/>
                <w:sz w:val="24"/>
                <w:szCs w:val="24"/>
                <w:lang w:eastAsia="zh-CN"/>
                <w14:textFill>
                  <w14:solidFill>
                    <w14:schemeClr w14:val="tx1"/>
                  </w14:solidFill>
                </w14:textFill>
              </w:rPr>
              <w:t>）</w:t>
            </w:r>
            <w:r>
              <w:rPr>
                <w:rFonts w:hint="eastAsia" w:ascii="宋体"/>
                <w:b/>
                <w:bCs/>
                <w:color w:val="000000" w:themeColor="text1"/>
                <w:sz w:val="24"/>
                <w:szCs w:val="24"/>
                <w14:textFill>
                  <w14:solidFill>
                    <w14:schemeClr w14:val="tx1"/>
                  </w14:solidFill>
                </w14:textFill>
              </w:rPr>
              <w:t>实施日期：</w:t>
            </w:r>
          </w:p>
          <w:p w14:paraId="77F1EC67">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ascii="Times New Roman" w:hAnsi="Times New Roman" w:eastAsia="宋体" w:cs="Times New Roman"/>
                <w:kern w:val="0"/>
                <w:sz w:val="24"/>
                <w:szCs w:val="21"/>
                <w:lang w:val="en-US" w:eastAsia="zh-CN" w:bidi="ar-SA"/>
              </w:rPr>
            </w:pPr>
            <w:r>
              <w:rPr>
                <w:rFonts w:hint="eastAsia" w:ascii="宋体"/>
                <w:color w:val="000000" w:themeColor="text1"/>
                <w:sz w:val="24"/>
                <w:szCs w:val="24"/>
                <w14:textFill>
                  <w14:solidFill>
                    <w14:schemeClr w14:val="tx1"/>
                  </w14:solidFill>
                </w14:textFill>
              </w:rPr>
              <w:t>建议标准尽快发布实施，由相关管理部门联合起草单位在全省范围内开展宣贯活动，积极推动标准实施和应用。</w:t>
            </w:r>
          </w:p>
        </w:tc>
      </w:tr>
      <w:tr w14:paraId="0F3DC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7971C271">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20" w:name="_Toc464902856"/>
            <w:bookmarkStart w:id="21" w:name="_Toc464905617"/>
            <w:bookmarkStart w:id="22" w:name="_Toc464905561"/>
            <w:bookmarkStart w:id="23" w:name="_Toc464905813"/>
            <w:bookmarkStart w:id="24" w:name="_Toc465074270"/>
            <w:r>
              <w:rPr>
                <w:rFonts w:hint="eastAsia" w:ascii="Times New Roman" w:hAnsi="Times New Roman" w:eastAsia="宋体" w:cs="Times New Roman"/>
                <w:b/>
                <w:bCs/>
                <w:kern w:val="0"/>
                <w:sz w:val="24"/>
                <w:szCs w:val="21"/>
                <w:lang w:val="en-US" w:eastAsia="zh-CN" w:bidi="ar-SA"/>
              </w:rPr>
              <w:t>9、废止现行相关标准的建议</w:t>
            </w:r>
            <w:bookmarkEnd w:id="20"/>
            <w:bookmarkEnd w:id="21"/>
            <w:bookmarkEnd w:id="22"/>
            <w:bookmarkEnd w:id="23"/>
            <w:bookmarkEnd w:id="24"/>
          </w:p>
        </w:tc>
      </w:tr>
      <w:tr w14:paraId="4AEF1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17BB727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无</w:t>
            </w:r>
          </w:p>
        </w:tc>
      </w:tr>
      <w:tr w14:paraId="3DB91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044F3F3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25" w:name="_Toc464905814"/>
            <w:bookmarkStart w:id="26" w:name="_Toc464905562"/>
            <w:bookmarkStart w:id="27" w:name="_Toc464905618"/>
            <w:bookmarkStart w:id="28" w:name="_Toc464902857"/>
            <w:bookmarkStart w:id="29" w:name="_Toc465074271"/>
            <w:r>
              <w:rPr>
                <w:rFonts w:hint="eastAsia" w:ascii="Times New Roman" w:hAnsi="Times New Roman" w:eastAsia="宋体" w:cs="Times New Roman"/>
                <w:kern w:val="0"/>
                <w:sz w:val="24"/>
                <w:szCs w:val="21"/>
                <w:lang w:val="en-US" w:eastAsia="zh-CN" w:bidi="ar-SA"/>
              </w:rPr>
              <w:t>10、其它应予说明的事项</w:t>
            </w:r>
            <w:bookmarkEnd w:id="25"/>
            <w:bookmarkEnd w:id="26"/>
            <w:bookmarkEnd w:id="27"/>
            <w:bookmarkEnd w:id="28"/>
            <w:bookmarkEnd w:id="29"/>
          </w:p>
        </w:tc>
      </w:tr>
      <w:tr w14:paraId="31AE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499E831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无</w:t>
            </w:r>
          </w:p>
        </w:tc>
      </w:tr>
    </w:tbl>
    <w:p w14:paraId="3F1726C6">
      <w:pPr>
        <w:widowControl w:val="0"/>
        <w:numPr>
          <w:ilvl w:val="0"/>
          <w:numId w:val="0"/>
        </w:numPr>
        <w:autoSpaceDE w:val="0"/>
        <w:autoSpaceDN w:val="0"/>
        <w:ind w:left="363" w:leftChars="0"/>
        <w:jc w:val="both"/>
        <w:rPr>
          <w:rFonts w:hint="eastAsia" w:ascii="宋体" w:hAnsi="Times New Roman" w:eastAsia="宋体" w:cs="Times New Roman"/>
          <w:kern w:val="0"/>
          <w:sz w:val="24"/>
          <w:szCs w:val="24"/>
          <w:lang w:val="en-US" w:eastAsia="zh-CN" w:bidi="ar-SA"/>
        </w:rPr>
      </w:pPr>
    </w:p>
    <w:p w14:paraId="322EDE4D">
      <w:pPr>
        <w:widowControl w:val="0"/>
        <w:numPr>
          <w:ilvl w:val="0"/>
          <w:numId w:val="0"/>
        </w:numPr>
        <w:autoSpaceDE w:val="0"/>
        <w:autoSpaceDN w:val="0"/>
        <w:ind w:left="363" w:leftChars="0"/>
        <w:jc w:val="both"/>
        <w:rPr>
          <w:rFonts w:ascii="宋体" w:hAnsi="Times New Roman" w:eastAsia="宋体" w:cs="Times New Roman"/>
          <w:kern w:val="0"/>
          <w:sz w:val="24"/>
          <w:szCs w:val="24"/>
          <w:lang w:val="en-US" w:eastAsia="zh-CN" w:bidi="ar-SA"/>
        </w:rPr>
      </w:pPr>
      <w:r>
        <w:rPr>
          <w:rFonts w:hint="eastAsia" w:ascii="宋体" w:hAnsi="Times New Roman" w:eastAsia="宋体" w:cs="Times New Roman"/>
          <w:kern w:val="0"/>
          <w:sz w:val="24"/>
          <w:szCs w:val="24"/>
          <w:lang w:val="en-US" w:eastAsia="zh-CN" w:bidi="ar-SA"/>
        </w:rPr>
        <w:t>注：没有的请填写 “无”。</w:t>
      </w:r>
    </w:p>
    <w:p w14:paraId="45A761A9">
      <w:pPr>
        <w:autoSpaceDE w:val="0"/>
        <w:autoSpaceDN w:val="0"/>
        <w:ind w:firstLine="420" w:firstLineChars="200"/>
        <w:jc w:val="both"/>
        <w:rPr>
          <w:rFonts w:ascii="宋体" w:hAnsi="Times New Roman" w:eastAsia="宋体" w:cs="Times New Roman"/>
          <w:kern w:val="0"/>
          <w:sz w:val="21"/>
          <w:szCs w:val="20"/>
          <w:lang w:val="en-US" w:eastAsia="zh-CN" w:bidi="ar-SA"/>
        </w:rPr>
      </w:pPr>
    </w:p>
    <w:p w14:paraId="0DD4A8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8BF3CF"/>
    <w:multiLevelType w:val="singleLevel"/>
    <w:tmpl w:val="3B8BF3CF"/>
    <w:lvl w:ilvl="0" w:tentative="0">
      <w:start w:val="1"/>
      <w:numFmt w:val="decimal"/>
      <w:suff w:val="nothing"/>
      <w:lvlText w:val="%1."/>
      <w:lvlJc w:val="left"/>
      <w:pPr>
        <w:ind w:left="0" w:firstLine="480"/>
      </w:pPr>
      <w:rPr>
        <w:rFonts w:hint="default" w:ascii="Times New Roman" w:hAnsi="Times New Roman" w:cs="Times New Roman"/>
        <w:b/>
        <w:bCs/>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mZDE1MmNlMmZhNmY0YTI3OWY2YjUwYmQ4ODg3MDQifQ=="/>
  </w:docVars>
  <w:rsids>
    <w:rsidRoot w:val="65A64C5D"/>
    <w:rsid w:val="00423C6D"/>
    <w:rsid w:val="00B11A45"/>
    <w:rsid w:val="011211D4"/>
    <w:rsid w:val="014545C7"/>
    <w:rsid w:val="015E4AD6"/>
    <w:rsid w:val="017C5FCE"/>
    <w:rsid w:val="017E6D4D"/>
    <w:rsid w:val="01967DCC"/>
    <w:rsid w:val="01FF0067"/>
    <w:rsid w:val="02FF5E45"/>
    <w:rsid w:val="030F6088"/>
    <w:rsid w:val="03490D27"/>
    <w:rsid w:val="038A570F"/>
    <w:rsid w:val="03960557"/>
    <w:rsid w:val="03AA4003"/>
    <w:rsid w:val="03E94B2B"/>
    <w:rsid w:val="04194CE4"/>
    <w:rsid w:val="044B7594"/>
    <w:rsid w:val="046447EC"/>
    <w:rsid w:val="0466662A"/>
    <w:rsid w:val="04936845"/>
    <w:rsid w:val="04D37589"/>
    <w:rsid w:val="04D550AF"/>
    <w:rsid w:val="04F36FF6"/>
    <w:rsid w:val="05BB6053"/>
    <w:rsid w:val="06304C93"/>
    <w:rsid w:val="0677302E"/>
    <w:rsid w:val="06AC0092"/>
    <w:rsid w:val="0730481F"/>
    <w:rsid w:val="07397B77"/>
    <w:rsid w:val="076F17EB"/>
    <w:rsid w:val="077C5CB6"/>
    <w:rsid w:val="07D9342B"/>
    <w:rsid w:val="07FC2953"/>
    <w:rsid w:val="081D1247"/>
    <w:rsid w:val="087B41C0"/>
    <w:rsid w:val="089808CE"/>
    <w:rsid w:val="09151F1E"/>
    <w:rsid w:val="09CA2D09"/>
    <w:rsid w:val="0AB87005"/>
    <w:rsid w:val="0AF02C43"/>
    <w:rsid w:val="0B073AE9"/>
    <w:rsid w:val="0CD8573D"/>
    <w:rsid w:val="0D203146"/>
    <w:rsid w:val="0D4E1EA3"/>
    <w:rsid w:val="0DF940DC"/>
    <w:rsid w:val="0E213113"/>
    <w:rsid w:val="0E653000"/>
    <w:rsid w:val="0ED2440E"/>
    <w:rsid w:val="0F3D5D2B"/>
    <w:rsid w:val="0F851480"/>
    <w:rsid w:val="10847418"/>
    <w:rsid w:val="108B0D18"/>
    <w:rsid w:val="10A047C3"/>
    <w:rsid w:val="118714DF"/>
    <w:rsid w:val="11987B90"/>
    <w:rsid w:val="12035A07"/>
    <w:rsid w:val="12BE53D5"/>
    <w:rsid w:val="133833D9"/>
    <w:rsid w:val="13C46A1B"/>
    <w:rsid w:val="13FD1F2D"/>
    <w:rsid w:val="14BC1DE8"/>
    <w:rsid w:val="14CC0840"/>
    <w:rsid w:val="150F1F18"/>
    <w:rsid w:val="153D4CD7"/>
    <w:rsid w:val="15831E55"/>
    <w:rsid w:val="15A94E30"/>
    <w:rsid w:val="15B900D5"/>
    <w:rsid w:val="15D867AD"/>
    <w:rsid w:val="166A38C9"/>
    <w:rsid w:val="168D7ECA"/>
    <w:rsid w:val="16970417"/>
    <w:rsid w:val="17105019"/>
    <w:rsid w:val="178D1819"/>
    <w:rsid w:val="17A54DB5"/>
    <w:rsid w:val="17F51899"/>
    <w:rsid w:val="184C6FDF"/>
    <w:rsid w:val="19286BA2"/>
    <w:rsid w:val="194C5C41"/>
    <w:rsid w:val="198509FA"/>
    <w:rsid w:val="1A385A6D"/>
    <w:rsid w:val="1A4B1C44"/>
    <w:rsid w:val="1A5F56EF"/>
    <w:rsid w:val="1A82318C"/>
    <w:rsid w:val="1B302BE8"/>
    <w:rsid w:val="1B707488"/>
    <w:rsid w:val="1B993C3C"/>
    <w:rsid w:val="1C10101A"/>
    <w:rsid w:val="1C8A6328"/>
    <w:rsid w:val="1C9D24FF"/>
    <w:rsid w:val="1CE123EB"/>
    <w:rsid w:val="1D244763"/>
    <w:rsid w:val="1D2E13A9"/>
    <w:rsid w:val="1D35694C"/>
    <w:rsid w:val="1DC15D79"/>
    <w:rsid w:val="1DC75A85"/>
    <w:rsid w:val="1E652BA8"/>
    <w:rsid w:val="1E707ECB"/>
    <w:rsid w:val="1E8E20FF"/>
    <w:rsid w:val="1EFA7794"/>
    <w:rsid w:val="1F226FF4"/>
    <w:rsid w:val="1F262338"/>
    <w:rsid w:val="2043516B"/>
    <w:rsid w:val="20692E24"/>
    <w:rsid w:val="20711CD8"/>
    <w:rsid w:val="20EC5803"/>
    <w:rsid w:val="20F6042F"/>
    <w:rsid w:val="213B4094"/>
    <w:rsid w:val="219F63D1"/>
    <w:rsid w:val="224C6559"/>
    <w:rsid w:val="2398757C"/>
    <w:rsid w:val="243D1271"/>
    <w:rsid w:val="24535EC8"/>
    <w:rsid w:val="24A0493A"/>
    <w:rsid w:val="24E94533"/>
    <w:rsid w:val="255D282B"/>
    <w:rsid w:val="2580476C"/>
    <w:rsid w:val="25B3069D"/>
    <w:rsid w:val="25E46AA9"/>
    <w:rsid w:val="263A2B6C"/>
    <w:rsid w:val="26BF5F22"/>
    <w:rsid w:val="27871DE1"/>
    <w:rsid w:val="27962024"/>
    <w:rsid w:val="28013942"/>
    <w:rsid w:val="28123DA1"/>
    <w:rsid w:val="28377363"/>
    <w:rsid w:val="291678C1"/>
    <w:rsid w:val="29B175E9"/>
    <w:rsid w:val="2A495A74"/>
    <w:rsid w:val="2A64465C"/>
    <w:rsid w:val="2AFA15B7"/>
    <w:rsid w:val="2B277B63"/>
    <w:rsid w:val="2C8E59C0"/>
    <w:rsid w:val="2CEE645F"/>
    <w:rsid w:val="2CF03F85"/>
    <w:rsid w:val="2D3B5B48"/>
    <w:rsid w:val="2D656721"/>
    <w:rsid w:val="2DBD030B"/>
    <w:rsid w:val="2DE53D06"/>
    <w:rsid w:val="2E166E98"/>
    <w:rsid w:val="2EF73CF0"/>
    <w:rsid w:val="2F0B0296"/>
    <w:rsid w:val="2F591BB5"/>
    <w:rsid w:val="2F6D3FB3"/>
    <w:rsid w:val="2FC242FE"/>
    <w:rsid w:val="2FE853E7"/>
    <w:rsid w:val="302E54F0"/>
    <w:rsid w:val="30314FE0"/>
    <w:rsid w:val="303D5733"/>
    <w:rsid w:val="307355F9"/>
    <w:rsid w:val="30766E97"/>
    <w:rsid w:val="307F7AFA"/>
    <w:rsid w:val="30C419B0"/>
    <w:rsid w:val="30F027A5"/>
    <w:rsid w:val="310149B3"/>
    <w:rsid w:val="310B75DF"/>
    <w:rsid w:val="31815AF3"/>
    <w:rsid w:val="318D3E60"/>
    <w:rsid w:val="32566604"/>
    <w:rsid w:val="33092244"/>
    <w:rsid w:val="33813B89"/>
    <w:rsid w:val="340B78F6"/>
    <w:rsid w:val="344A041F"/>
    <w:rsid w:val="34853B4C"/>
    <w:rsid w:val="348A2F11"/>
    <w:rsid w:val="34E645EB"/>
    <w:rsid w:val="35E6686D"/>
    <w:rsid w:val="361E6007"/>
    <w:rsid w:val="364C66D0"/>
    <w:rsid w:val="36A52CF8"/>
    <w:rsid w:val="36D63C8A"/>
    <w:rsid w:val="36E7289C"/>
    <w:rsid w:val="36FF7BE6"/>
    <w:rsid w:val="372907BF"/>
    <w:rsid w:val="37362EDC"/>
    <w:rsid w:val="37C67F44"/>
    <w:rsid w:val="38482EC7"/>
    <w:rsid w:val="387B14EE"/>
    <w:rsid w:val="393671C3"/>
    <w:rsid w:val="393F076E"/>
    <w:rsid w:val="394144E6"/>
    <w:rsid w:val="39B33890"/>
    <w:rsid w:val="3A8328DC"/>
    <w:rsid w:val="3ADE5D64"/>
    <w:rsid w:val="3AF45588"/>
    <w:rsid w:val="3B0F5F1E"/>
    <w:rsid w:val="3B7346FF"/>
    <w:rsid w:val="3BA743A8"/>
    <w:rsid w:val="3BA945C4"/>
    <w:rsid w:val="3C137C90"/>
    <w:rsid w:val="3D006466"/>
    <w:rsid w:val="3D31661F"/>
    <w:rsid w:val="3D4A5933"/>
    <w:rsid w:val="3D6A1B31"/>
    <w:rsid w:val="3DB334D8"/>
    <w:rsid w:val="3E497999"/>
    <w:rsid w:val="3EC60FE9"/>
    <w:rsid w:val="3EE871B2"/>
    <w:rsid w:val="3EF51ADA"/>
    <w:rsid w:val="3F47212A"/>
    <w:rsid w:val="400F2769"/>
    <w:rsid w:val="40204729"/>
    <w:rsid w:val="40510A2D"/>
    <w:rsid w:val="40BC6B48"/>
    <w:rsid w:val="40D05E19"/>
    <w:rsid w:val="43880F63"/>
    <w:rsid w:val="43B447FC"/>
    <w:rsid w:val="43C57AC2"/>
    <w:rsid w:val="43CC52F4"/>
    <w:rsid w:val="44511355"/>
    <w:rsid w:val="44C24001"/>
    <w:rsid w:val="453E7B2C"/>
    <w:rsid w:val="45774DEB"/>
    <w:rsid w:val="45C06792"/>
    <w:rsid w:val="46256F3D"/>
    <w:rsid w:val="462F3918"/>
    <w:rsid w:val="46B67B95"/>
    <w:rsid w:val="470248DE"/>
    <w:rsid w:val="47431429"/>
    <w:rsid w:val="475573AE"/>
    <w:rsid w:val="47B10A89"/>
    <w:rsid w:val="47B70069"/>
    <w:rsid w:val="47BC11DC"/>
    <w:rsid w:val="47D1012A"/>
    <w:rsid w:val="47F22E4F"/>
    <w:rsid w:val="47F941DE"/>
    <w:rsid w:val="48474F49"/>
    <w:rsid w:val="48577D5B"/>
    <w:rsid w:val="48C41101"/>
    <w:rsid w:val="48D2515B"/>
    <w:rsid w:val="4A477482"/>
    <w:rsid w:val="4A75564D"/>
    <w:rsid w:val="4AA77F21"/>
    <w:rsid w:val="4AE118AE"/>
    <w:rsid w:val="4AFD5D93"/>
    <w:rsid w:val="4AFF1B0B"/>
    <w:rsid w:val="4B337E31"/>
    <w:rsid w:val="4C592E7C"/>
    <w:rsid w:val="4C6F4A6E"/>
    <w:rsid w:val="4CB37051"/>
    <w:rsid w:val="4D1D44CA"/>
    <w:rsid w:val="4DA22C22"/>
    <w:rsid w:val="4E133D67"/>
    <w:rsid w:val="4E1F107E"/>
    <w:rsid w:val="4E2F0959"/>
    <w:rsid w:val="4E881E17"/>
    <w:rsid w:val="4E955004"/>
    <w:rsid w:val="4EEF00E8"/>
    <w:rsid w:val="4F204746"/>
    <w:rsid w:val="4F2064F4"/>
    <w:rsid w:val="4F710AFD"/>
    <w:rsid w:val="506F7733"/>
    <w:rsid w:val="50DA3146"/>
    <w:rsid w:val="50EC48E0"/>
    <w:rsid w:val="511A58F1"/>
    <w:rsid w:val="512D6CA6"/>
    <w:rsid w:val="515E50B1"/>
    <w:rsid w:val="51C770FB"/>
    <w:rsid w:val="51D05FAF"/>
    <w:rsid w:val="51D11D27"/>
    <w:rsid w:val="51F223CA"/>
    <w:rsid w:val="51FD48CA"/>
    <w:rsid w:val="52F932E4"/>
    <w:rsid w:val="530323B4"/>
    <w:rsid w:val="537A08C9"/>
    <w:rsid w:val="53A5521A"/>
    <w:rsid w:val="53E21FCA"/>
    <w:rsid w:val="540006A2"/>
    <w:rsid w:val="54210D44"/>
    <w:rsid w:val="54BC6C04"/>
    <w:rsid w:val="54DA0EF3"/>
    <w:rsid w:val="54EA55DA"/>
    <w:rsid w:val="55733821"/>
    <w:rsid w:val="5579070C"/>
    <w:rsid w:val="55C23E61"/>
    <w:rsid w:val="566C201F"/>
    <w:rsid w:val="567A473C"/>
    <w:rsid w:val="56F97D56"/>
    <w:rsid w:val="58496ABB"/>
    <w:rsid w:val="59777658"/>
    <w:rsid w:val="59883613"/>
    <w:rsid w:val="5A70032F"/>
    <w:rsid w:val="5A753B98"/>
    <w:rsid w:val="5AC979A3"/>
    <w:rsid w:val="5C094F67"/>
    <w:rsid w:val="5CAA6C94"/>
    <w:rsid w:val="5CEE0991"/>
    <w:rsid w:val="5D210677"/>
    <w:rsid w:val="5D2E44D2"/>
    <w:rsid w:val="5E693A13"/>
    <w:rsid w:val="5E6D4B86"/>
    <w:rsid w:val="5E6D7496"/>
    <w:rsid w:val="5EEE3F19"/>
    <w:rsid w:val="5FEF42F1"/>
    <w:rsid w:val="6138591F"/>
    <w:rsid w:val="61412A26"/>
    <w:rsid w:val="615A3AE7"/>
    <w:rsid w:val="615F2EAC"/>
    <w:rsid w:val="61BC20AC"/>
    <w:rsid w:val="61C62F2B"/>
    <w:rsid w:val="62D82F16"/>
    <w:rsid w:val="631D301E"/>
    <w:rsid w:val="63870498"/>
    <w:rsid w:val="63936688"/>
    <w:rsid w:val="649B069F"/>
    <w:rsid w:val="64AF414A"/>
    <w:rsid w:val="64D9069E"/>
    <w:rsid w:val="65436640"/>
    <w:rsid w:val="656B62C3"/>
    <w:rsid w:val="65A64C5D"/>
    <w:rsid w:val="65F8742B"/>
    <w:rsid w:val="6646463A"/>
    <w:rsid w:val="669F391E"/>
    <w:rsid w:val="66D32372"/>
    <w:rsid w:val="67283D40"/>
    <w:rsid w:val="67997AC2"/>
    <w:rsid w:val="679A2E90"/>
    <w:rsid w:val="67C968CF"/>
    <w:rsid w:val="68D441EB"/>
    <w:rsid w:val="68E343C2"/>
    <w:rsid w:val="69232A11"/>
    <w:rsid w:val="69B31FE7"/>
    <w:rsid w:val="6A8219B9"/>
    <w:rsid w:val="6A9C2A7B"/>
    <w:rsid w:val="6B1B463A"/>
    <w:rsid w:val="6B371A95"/>
    <w:rsid w:val="6D61130D"/>
    <w:rsid w:val="6D8D0DA1"/>
    <w:rsid w:val="6DA93E2C"/>
    <w:rsid w:val="6DD62748"/>
    <w:rsid w:val="6DEC1F6B"/>
    <w:rsid w:val="6DFF1C9E"/>
    <w:rsid w:val="6E394AF1"/>
    <w:rsid w:val="6E470F4F"/>
    <w:rsid w:val="6E5F44EB"/>
    <w:rsid w:val="6EBC193D"/>
    <w:rsid w:val="6EBF4F8A"/>
    <w:rsid w:val="6EC72090"/>
    <w:rsid w:val="6F1057E5"/>
    <w:rsid w:val="6F3C482C"/>
    <w:rsid w:val="700E142B"/>
    <w:rsid w:val="70E525D9"/>
    <w:rsid w:val="70F33611"/>
    <w:rsid w:val="71724535"/>
    <w:rsid w:val="71F413EE"/>
    <w:rsid w:val="721970A7"/>
    <w:rsid w:val="726522EC"/>
    <w:rsid w:val="72712A3F"/>
    <w:rsid w:val="728E1843"/>
    <w:rsid w:val="734B14E2"/>
    <w:rsid w:val="73924331"/>
    <w:rsid w:val="73B250BD"/>
    <w:rsid w:val="73E7745D"/>
    <w:rsid w:val="740578E3"/>
    <w:rsid w:val="743A092E"/>
    <w:rsid w:val="75D51537"/>
    <w:rsid w:val="760A7432"/>
    <w:rsid w:val="762779FD"/>
    <w:rsid w:val="76756BE7"/>
    <w:rsid w:val="77275DC2"/>
    <w:rsid w:val="78C31B1A"/>
    <w:rsid w:val="78DD2BDC"/>
    <w:rsid w:val="79A100AE"/>
    <w:rsid w:val="7A6A04A0"/>
    <w:rsid w:val="7A7D35A8"/>
    <w:rsid w:val="7A910122"/>
    <w:rsid w:val="7A925C48"/>
    <w:rsid w:val="7AD973D3"/>
    <w:rsid w:val="7B012F3A"/>
    <w:rsid w:val="7B58479C"/>
    <w:rsid w:val="7B6E7632"/>
    <w:rsid w:val="7B76172D"/>
    <w:rsid w:val="7BAA5F42"/>
    <w:rsid w:val="7BC86199"/>
    <w:rsid w:val="7C324FED"/>
    <w:rsid w:val="7CB93960"/>
    <w:rsid w:val="7D407BDD"/>
    <w:rsid w:val="7D7F24B4"/>
    <w:rsid w:val="7E0230E5"/>
    <w:rsid w:val="7F800765"/>
    <w:rsid w:val="7FA97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style>
  <w:style w:type="paragraph" w:styleId="3">
    <w:name w:val="Body Text Indent"/>
    <w:basedOn w:val="1"/>
    <w:qFormat/>
    <w:uiPriority w:val="0"/>
    <w:pPr>
      <w:spacing w:line="360" w:lineRule="auto"/>
      <w:ind w:firstLine="600"/>
    </w:pPr>
    <w:rPr>
      <w:kern w:val="0"/>
      <w:sz w:val="24"/>
    </w:rPr>
  </w:style>
  <w:style w:type="paragraph" w:styleId="4">
    <w:name w:val="Body Text First Indent"/>
    <w:basedOn w:val="2"/>
    <w:qFormat/>
    <w:uiPriority w:val="0"/>
    <w:pPr>
      <w:ind w:firstLine="200" w:firstLineChars="200"/>
    </w:pPr>
  </w:style>
  <w:style w:type="paragraph" w:styleId="5">
    <w:name w:val="Body Text First Indent 2"/>
    <w:basedOn w:val="3"/>
    <w:qFormat/>
    <w:uiPriority w:val="0"/>
    <w:pPr>
      <w:ind w:firstLine="420" w:firstLineChars="200"/>
    </w:pPr>
  </w:style>
  <w:style w:type="paragraph" w:customStyle="1" w:styleId="8">
    <w:name w:val="列表段落1"/>
    <w:basedOn w:val="1"/>
    <w:qFormat/>
    <w:uiPriority w:val="99"/>
    <w:pPr>
      <w:adjustRightInd/>
      <w:spacing w:line="240" w:lineRule="auto"/>
      <w:ind w:firstLine="420" w:firstLineChars="200"/>
    </w:pPr>
    <w:rPr>
      <w:rFonts w:ascii="Times New Roman" w:hAnsi="Times New Roman"/>
      <w:szCs w:val="24"/>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3138</Words>
  <Characters>3372</Characters>
  <Lines>0</Lines>
  <Paragraphs>0</Paragraphs>
  <TotalTime>0</TotalTime>
  <ScaleCrop>false</ScaleCrop>
  <LinksUpToDate>false</LinksUpToDate>
  <CharactersWithSpaces>3380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2024-08-14T02:46:00Z</dcterms:created>
  <dc:creator>作者</dc:creator>
  <cp:lastModifiedBy>作者</cp:lastModifiedBy>
  <dcterms:modified xsi:type="dcterms:W3CDTF">2024-12-09T04:01:02Z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99027CFA686E4D33975688AAA5EFBE6D_11</vt:lpwstr>
  </property>
</Properties>
</file>