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E5D2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AAD521">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BF5644">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13.100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0626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4E00DD">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683FBE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C 72</w:t>
            </w: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7E1BE5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B42AC88">
            <w:pPr>
              <w:pStyle w:val="52"/>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31</w:t>
            </w:r>
            <w:r>
              <w:fldChar w:fldCharType="end"/>
            </w:r>
            <w:bookmarkEnd w:id="2"/>
          </w:p>
        </w:tc>
      </w:tr>
    </w:tbl>
    <w:p w14:paraId="7A50D145">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上海市</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09793BF5">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31</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0AFDCB19">
      <w:pPr>
        <w:pStyle w:val="199"/>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5652E3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5A9B271">
      <w:pPr>
        <w:pStyle w:val="53"/>
        <w:framePr w:w="9639" w:h="6976" w:hRule="exact" w:hSpace="0" w:vSpace="0" w:wrap="around" w:hAnchor="page" w:y="6408"/>
        <w:jc w:val="center"/>
        <w:rPr>
          <w:rFonts w:hint="eastAsia" w:ascii="黑体" w:hAnsi="黑体" w:eastAsia="黑体"/>
          <w:b w:val="0"/>
          <w:bCs w:val="0"/>
          <w:w w:val="100"/>
        </w:rPr>
      </w:pPr>
    </w:p>
    <w:p w14:paraId="6A2F6C12">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在用危险化学品常压储罐安全管理规范</w:t>
      </w:r>
      <w:r>
        <w:fldChar w:fldCharType="end"/>
      </w:r>
      <w:bookmarkEnd w:id="8"/>
    </w:p>
    <w:p w14:paraId="3851D245">
      <w:pPr>
        <w:framePr w:w="9639" w:h="6974" w:hRule="exact" w:wrap="around" w:vAnchor="page" w:hAnchor="page" w:x="1419" w:y="6408" w:anchorLock="1"/>
        <w:ind w:left="-1418"/>
      </w:pPr>
    </w:p>
    <w:p w14:paraId="35FC71D7">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Safety management specification for in-service atmospheric pressure storage tanks</w:t>
      </w:r>
      <w:r>
        <w:rPr>
          <w:rFonts w:ascii="黑体" w:hAnsi="黑体" w:eastAsia="黑体"/>
          <w:szCs w:val="28"/>
        </w:rPr>
        <w:t> </w:t>
      </w:r>
      <w:r>
        <w:rPr>
          <w:rFonts w:hint="eastAsia" w:ascii="黑体" w:hAnsi="黑体" w:eastAsia="黑体"/>
          <w:szCs w:val="28"/>
        </w:rPr>
        <w:t>of</w:t>
      </w:r>
      <w:r>
        <w:rPr>
          <w:rFonts w:ascii="黑体" w:hAnsi="黑体" w:eastAsia="黑体"/>
          <w:szCs w:val="28"/>
        </w:rPr>
        <w:t> </w:t>
      </w:r>
      <w:r>
        <w:rPr>
          <w:rFonts w:hint="eastAsia" w:ascii="黑体" w:hAnsi="黑体" w:eastAsia="黑体"/>
          <w:szCs w:val="28"/>
        </w:rPr>
        <w:t>hazardous chemicals</w:t>
      </w:r>
      <w:r>
        <w:rPr>
          <w:rFonts w:ascii="黑体" w:hAnsi="黑体" w:eastAsia="黑体"/>
          <w:szCs w:val="28"/>
        </w:rPr>
        <w:t> </w:t>
      </w:r>
      <w:r>
        <w:rPr>
          <w:rFonts w:ascii="黑体" w:hAnsi="黑体" w:eastAsia="黑体"/>
          <w:szCs w:val="28"/>
        </w:rPr>
        <w:fldChar w:fldCharType="end"/>
      </w:r>
      <w:bookmarkEnd w:id="9"/>
    </w:p>
    <w:p w14:paraId="30A8179A">
      <w:pPr>
        <w:framePr w:w="9639" w:h="6974" w:hRule="exact" w:wrap="around" w:vAnchor="page" w:hAnchor="page" w:x="1419" w:y="6408" w:anchorLock="1"/>
        <w:spacing w:line="760" w:lineRule="exact"/>
        <w:ind w:left="-1418"/>
      </w:pPr>
    </w:p>
    <w:p w14:paraId="3B9E4843">
      <w:pPr>
        <w:pStyle w:val="128"/>
        <w:framePr w:w="9639" w:h="6974" w:hRule="exact" w:wrap="around" w:vAnchor="page" w:hAnchor="page" w:x="1419" w:y="6408" w:anchorLock="1"/>
        <w:textAlignment w:val="bottom"/>
        <w:rPr>
          <w:rFonts w:eastAsia="黑体"/>
          <w:szCs w:val="28"/>
        </w:rPr>
      </w:pPr>
    </w:p>
    <w:p w14:paraId="4246F999">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7E23275">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BB67E1A">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310B637">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32B1EBE">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84732CB">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上海市市场监督管理局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BF3F27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41BFDF">
      <w:pPr>
        <w:pStyle w:val="94"/>
        <w:spacing w:after="468"/>
        <w:rPr>
          <w:rFonts w:hint="eastAsia"/>
        </w:rPr>
      </w:pPr>
      <w:bookmarkStart w:id="20" w:name="BookMark1"/>
      <w:bookmarkStart w:id="21" w:name="_Toc182227740"/>
      <w:bookmarkStart w:id="22" w:name="_Toc182227871"/>
      <w:bookmarkStart w:id="23" w:name="_Toc182227162"/>
      <w:bookmarkStart w:id="24" w:name="_Toc182227063"/>
      <w:bookmarkStart w:id="25" w:name="_Toc181263713"/>
      <w:bookmarkStart w:id="26" w:name="_Toc183074780"/>
      <w:bookmarkStart w:id="27" w:name="_Toc181273010"/>
      <w:bookmarkStart w:id="28" w:name="_Toc182227125"/>
      <w:bookmarkStart w:id="29" w:name="_Toc182227663"/>
      <w:r>
        <w:rPr>
          <w:rFonts w:hint="eastAsia"/>
          <w:spacing w:val="320"/>
        </w:rPr>
        <w:t>目</w:t>
      </w:r>
      <w:r>
        <w:rPr>
          <w:rFonts w:hint="eastAsia"/>
        </w:rPr>
        <w:t>次</w:t>
      </w:r>
    </w:p>
    <w:p w14:paraId="3E81F5BC">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"_Toc183074809"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_Toc183074809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1ABD100E">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"_Toc183074810"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_Toc183074810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621DABFF">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"_Toc183074811"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_Toc183074811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275C3758">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"_Toc183074812"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_Toc183074812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7C3FF6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"_Toc183074813" </w:instrText>
      </w:r>
      <w:r>
        <w:fldChar w:fldCharType="separate"/>
      </w:r>
      <w:r>
        <w:rPr>
          <w:rStyle w:val="34"/>
          <w:rFonts w:hint="eastAsia" w:hAnsi="黑体" w:cs="黑体"/>
          <w:bCs/>
        </w:rPr>
        <w:t>4  基本要求</w:t>
      </w:r>
      <w:r>
        <w:rPr>
          <w:rFonts w:hint="eastAsia"/>
        </w:rPr>
        <w:tab/>
      </w:r>
      <w:r>
        <w:rPr>
          <w:rFonts w:hint="eastAsia"/>
        </w:rPr>
        <w:fldChar w:fldCharType="begin"/>
      </w:r>
      <w:r>
        <w:rPr>
          <w:rFonts w:hint="eastAsia"/>
        </w:rPr>
        <w:instrText xml:space="preserve"> </w:instrText>
      </w:r>
      <w:r>
        <w:instrText xml:space="preserve">PAGEREF _Toc183074813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52A542E">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"_Toc183074814" </w:instrText>
      </w:r>
      <w:r>
        <w:fldChar w:fldCharType="separate"/>
      </w:r>
      <w:r>
        <w:rPr>
          <w:rStyle w:val="34"/>
          <w:rFonts w:hint="eastAsia" w:hAnsi="黑体" w:cs="黑体"/>
          <w:bCs/>
        </w:rPr>
        <w:t>5  运行安全条件</w:t>
      </w:r>
      <w:r>
        <w:rPr>
          <w:rFonts w:hint="eastAsia"/>
        </w:rPr>
        <w:tab/>
      </w:r>
      <w:r>
        <w:rPr>
          <w:rFonts w:hint="eastAsia"/>
        </w:rPr>
        <w:fldChar w:fldCharType="begin"/>
      </w:r>
      <w:r>
        <w:rPr>
          <w:rFonts w:hint="eastAsia"/>
        </w:rPr>
        <w:instrText xml:space="preserve"> </w:instrText>
      </w:r>
      <w:r>
        <w:instrText xml:space="preserve">PAGEREF _Toc183074814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3EC5E46">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"_Toc183074815" </w:instrText>
      </w:r>
      <w:r>
        <w:fldChar w:fldCharType="separate"/>
      </w:r>
      <w:r>
        <w:rPr>
          <w:rStyle w:val="34"/>
          <w:rFonts w:hint="eastAsia"/>
          <w:lang w:val="zh-TW"/>
          <w14:scene3d>
            <w14:lightRig w14:rig="threePt" w14:dir="t">
              <w14:rot w14:lat="0" w14:lon="0" w14:rev="0"/>
            </w14:lightRig>
          </w14:scene3d>
        </w:rPr>
        <w:t>5.1</w:t>
      </w:r>
      <w:r>
        <w:rPr>
          <w:rStyle w:val="34"/>
          <w:lang w:val="zh-TW"/>
          <w14:scene3d>
            <w14:lightRig w14:rig="threePt" w14:dir="t">
              <w14:rot w14:lat="0" w14:lon="0" w14:rev="0"/>
            </w14:lightRig>
          </w14:scene3d>
        </w:rPr>
        <w:t xml:space="preserve"> </w:t>
      </w:r>
      <w:r>
        <w:rPr>
          <w:rStyle w:val="34"/>
          <w:rFonts w:hint="eastAsia"/>
          <w:lang w:val="zh-TW"/>
        </w:rPr>
        <w:t xml:space="preserve"> 工程技术措施</w:t>
      </w:r>
      <w:r>
        <w:rPr>
          <w:rFonts w:hint="eastAsia"/>
        </w:rPr>
        <w:tab/>
      </w:r>
      <w:r>
        <w:rPr>
          <w:rFonts w:hint="eastAsia"/>
        </w:rPr>
        <w:fldChar w:fldCharType="begin"/>
      </w:r>
      <w:r>
        <w:rPr>
          <w:rFonts w:hint="eastAsia"/>
        </w:rPr>
        <w:instrText xml:space="preserve"> </w:instrText>
      </w:r>
      <w:r>
        <w:instrText xml:space="preserve">PAGEREF _Toc183074815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DE97D0C">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"_Toc183074816" </w:instrText>
      </w:r>
      <w:r>
        <w:fldChar w:fldCharType="separate"/>
      </w:r>
      <w:r>
        <w:rPr>
          <w:rStyle w:val="34"/>
          <w:rFonts w:hint="eastAsia"/>
          <w14:scene3d>
            <w14:lightRig w14:rig="threePt" w14:dir="t">
              <w14:rot w14:lat="0" w14:lon="0" w14:rev="0"/>
            </w14:lightRig>
          </w14:scene3d>
        </w:rPr>
        <w:t>5.2</w:t>
      </w:r>
      <w:r>
        <w:rPr>
          <w:rStyle w:val="34"/>
          <w14:scene3d>
            <w14:lightRig w14:rig="threePt" w14:dir="t">
              <w14:rot w14:lat="0" w14:lon="0" w14:rev="0"/>
            </w14:lightRig>
          </w14:scene3d>
        </w:rPr>
        <w:t xml:space="preserve"> </w:t>
      </w:r>
      <w:r>
        <w:rPr>
          <w:rStyle w:val="34"/>
          <w:rFonts w:hint="eastAsia"/>
          <w:lang w:val="zh-TW"/>
        </w:rPr>
        <w:t xml:space="preserve"> 管理控制措施</w:t>
      </w:r>
      <w:r>
        <w:rPr>
          <w:rFonts w:hint="eastAsia"/>
        </w:rPr>
        <w:tab/>
      </w:r>
      <w:r>
        <w:rPr>
          <w:rFonts w:hint="eastAsia"/>
        </w:rPr>
        <w:fldChar w:fldCharType="begin"/>
      </w:r>
      <w:r>
        <w:rPr>
          <w:rFonts w:hint="eastAsia"/>
        </w:rPr>
        <w:instrText xml:space="preserve"> </w:instrText>
      </w:r>
      <w:r>
        <w:instrText xml:space="preserve">PAGEREF _Toc183074816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716EF220">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"_Toc183074817" </w:instrText>
      </w:r>
      <w:r>
        <w:fldChar w:fldCharType="separate"/>
      </w:r>
      <w:r>
        <w:rPr>
          <w:rStyle w:val="34"/>
          <w:rFonts w:hint="eastAsia"/>
          <w14:scene3d>
            <w14:lightRig w14:rig="threePt" w14:dir="t">
              <w14:rot w14:lat="0" w14:lon="0" w14:rev="0"/>
            </w14:lightRig>
          </w14:scene3d>
        </w:rPr>
        <w:t>5.3</w:t>
      </w:r>
      <w:r>
        <w:rPr>
          <w:rStyle w:val="34"/>
          <w14:scene3d>
            <w14:lightRig w14:rig="threePt" w14:dir="t">
              <w14:rot w14:lat="0" w14:lon="0" w14:rev="0"/>
            </w14:lightRig>
          </w14:scene3d>
        </w:rPr>
        <w:t xml:space="preserve"> </w:t>
      </w:r>
      <w:r>
        <w:rPr>
          <w:rStyle w:val="34"/>
          <w:rFonts w:hint="eastAsia"/>
        </w:rPr>
        <w:t xml:space="preserve"> 个体防护措施</w:t>
      </w:r>
      <w:r>
        <w:rPr>
          <w:rFonts w:hint="eastAsia"/>
        </w:rPr>
        <w:tab/>
      </w:r>
      <w:r>
        <w:rPr>
          <w:rFonts w:hint="eastAsia"/>
        </w:rPr>
        <w:fldChar w:fldCharType="begin"/>
      </w:r>
      <w:r>
        <w:rPr>
          <w:rFonts w:hint="eastAsia"/>
        </w:rPr>
        <w:instrText xml:space="preserve"> </w:instrText>
      </w:r>
      <w:r>
        <w:instrText xml:space="preserve">PAGEREF _Toc183074817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484B9B6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"_Toc183074818" </w:instrText>
      </w:r>
      <w:r>
        <w:fldChar w:fldCharType="separate"/>
      </w:r>
      <w:r>
        <w:rPr>
          <w:rStyle w:val="34"/>
          <w:rFonts w:hint="eastAsia"/>
          <w14:scene3d>
            <w14:lightRig w14:rig="threePt" w14:dir="t">
              <w14:rot w14:lat="0" w14:lon="0" w14:rev="0"/>
            </w14:lightRig>
          </w14:scene3d>
        </w:rPr>
        <w:t>5.4</w:t>
      </w:r>
      <w:r>
        <w:rPr>
          <w:rStyle w:val="34"/>
          <w14:scene3d>
            <w14:lightRig w14:rig="threePt" w14:dir="t">
              <w14:rot w14:lat="0" w14:lon="0" w14:rev="0"/>
            </w14:lightRig>
          </w14:scene3d>
        </w:rPr>
        <w:t xml:space="preserve"> </w:t>
      </w:r>
      <w:r>
        <w:rPr>
          <w:rStyle w:val="34"/>
          <w:rFonts w:hint="eastAsia"/>
        </w:rPr>
        <w:t xml:space="preserve"> 维护保养</w:t>
      </w:r>
      <w:r>
        <w:rPr>
          <w:rFonts w:hint="eastAsia"/>
        </w:rPr>
        <w:tab/>
      </w:r>
      <w:r>
        <w:rPr>
          <w:rFonts w:hint="eastAsia"/>
        </w:rPr>
        <w:fldChar w:fldCharType="begin"/>
      </w:r>
      <w:r>
        <w:rPr>
          <w:rFonts w:hint="eastAsia"/>
        </w:rPr>
        <w:instrText xml:space="preserve"> </w:instrText>
      </w:r>
      <w:r>
        <w:instrText xml:space="preserve">PAGEREF _Toc183074818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794A57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"_Toc183074819" </w:instrText>
      </w:r>
      <w:r>
        <w:fldChar w:fldCharType="separate"/>
      </w:r>
      <w:r>
        <w:rPr>
          <w:rStyle w:val="34"/>
          <w:rFonts w:hint="eastAsia"/>
          <w14:scene3d>
            <w14:lightRig w14:rig="threePt" w14:dir="t">
              <w14:rot w14:lat="0" w14:lon="0" w14:rev="0"/>
            </w14:lightRig>
          </w14:scene3d>
        </w:rPr>
        <w:t>5.5</w:t>
      </w:r>
      <w:r>
        <w:rPr>
          <w:rStyle w:val="34"/>
          <w14:scene3d>
            <w14:lightRig w14:rig="threePt" w14:dir="t">
              <w14:rot w14:lat="0" w14:lon="0" w14:rev="0"/>
            </w14:lightRig>
          </w14:scene3d>
        </w:rPr>
        <w:t xml:space="preserve"> </w:t>
      </w:r>
      <w:r>
        <w:rPr>
          <w:rStyle w:val="34"/>
          <w:rFonts w:hint="eastAsia"/>
        </w:rPr>
        <w:t xml:space="preserve"> 隐患排查治理</w:t>
      </w:r>
      <w:r>
        <w:rPr>
          <w:rFonts w:hint="eastAsia"/>
        </w:rPr>
        <w:tab/>
      </w:r>
      <w:r>
        <w:rPr>
          <w:rFonts w:hint="eastAsia"/>
        </w:rPr>
        <w:fldChar w:fldCharType="begin"/>
      </w:r>
      <w:r>
        <w:rPr>
          <w:rFonts w:hint="eastAsia"/>
        </w:rPr>
        <w:instrText xml:space="preserve"> </w:instrText>
      </w:r>
      <w:r>
        <w:instrText xml:space="preserve">PAGEREF _Toc183074819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3C9D90A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"_Toc183074820" </w:instrText>
      </w:r>
      <w:r>
        <w:fldChar w:fldCharType="separate"/>
      </w:r>
      <w:r>
        <w:rPr>
          <w:rStyle w:val="34"/>
          <w:rFonts w:hint="eastAsia"/>
          <w:lang w:val="zh-TW"/>
        </w:rPr>
        <w:t>6</w:t>
      </w:r>
      <w:r>
        <w:rPr>
          <w:rStyle w:val="34"/>
          <w:lang w:val="zh-TW"/>
        </w:rPr>
        <w:t xml:space="preserve"> </w:t>
      </w:r>
      <w:r>
        <w:rPr>
          <w:rStyle w:val="34"/>
          <w:rFonts w:hint="eastAsia"/>
        </w:rPr>
        <w:t xml:space="preserve"> 定期</w:t>
      </w:r>
      <w:r>
        <w:rPr>
          <w:rStyle w:val="34"/>
          <w:rFonts w:hint="eastAsia"/>
          <w:lang w:val="zh-TW"/>
        </w:rPr>
        <w:t>检查</w:t>
      </w:r>
      <w:r>
        <w:rPr>
          <w:rFonts w:hint="eastAsia"/>
        </w:rPr>
        <w:tab/>
      </w:r>
      <w:r>
        <w:rPr>
          <w:rFonts w:hint="eastAsia"/>
        </w:rPr>
        <w:fldChar w:fldCharType="begin"/>
      </w:r>
      <w:r>
        <w:rPr>
          <w:rFonts w:hint="eastAsia"/>
        </w:rPr>
        <w:instrText xml:space="preserve"> </w:instrText>
      </w:r>
      <w:r>
        <w:instrText xml:space="preserve">PAGEREF _Toc183074820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03C3A4F3">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"_Toc183074821" </w:instrText>
      </w:r>
      <w:r>
        <w:fldChar w:fldCharType="separate"/>
      </w:r>
      <w:r>
        <w:rPr>
          <w:rStyle w:val="34"/>
          <w:rFonts w:hint="eastAsia"/>
          <w:lang w:val="zh-TW"/>
          <w14:scene3d>
            <w14:lightRig w14:rig="threePt" w14:dir="t">
              <w14:rot w14:lat="0" w14:lon="0" w14:rev="0"/>
            </w14:lightRig>
          </w14:scene3d>
        </w:rPr>
        <w:t>6.1</w:t>
      </w:r>
      <w:r>
        <w:rPr>
          <w:rStyle w:val="34"/>
          <w:lang w:val="zh-TW"/>
          <w14:scene3d>
            <w14:lightRig w14:rig="threePt" w14:dir="t">
              <w14:rot w14:lat="0" w14:lon="0" w14:rev="0"/>
            </w14:lightRig>
          </w14:scene3d>
        </w:rPr>
        <w:t xml:space="preserve"> </w:t>
      </w:r>
      <w:r>
        <w:rPr>
          <w:rStyle w:val="34"/>
          <w:rFonts w:hint="eastAsia"/>
        </w:rPr>
        <w:t xml:space="preserve"> 例行检查</w:t>
      </w:r>
      <w:r>
        <w:rPr>
          <w:rFonts w:hint="eastAsia"/>
        </w:rPr>
        <w:tab/>
      </w:r>
      <w:r>
        <w:rPr>
          <w:rFonts w:hint="eastAsia"/>
        </w:rPr>
        <w:fldChar w:fldCharType="begin"/>
      </w:r>
      <w:r>
        <w:rPr>
          <w:rFonts w:hint="eastAsia"/>
        </w:rPr>
        <w:instrText xml:space="preserve"> </w:instrText>
      </w:r>
      <w:r>
        <w:instrText xml:space="preserve">PAGEREF _Toc183074821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039BB3E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"_Toc183074822" </w:instrText>
      </w:r>
      <w:r>
        <w:fldChar w:fldCharType="separate"/>
      </w:r>
      <w:r>
        <w:rPr>
          <w:rStyle w:val="34"/>
          <w:rFonts w:hint="eastAsia"/>
          <w:lang w:val="zh-TW"/>
          <w14:scene3d>
            <w14:lightRig w14:rig="threePt" w14:dir="t">
              <w14:rot w14:lat="0" w14:lon="0" w14:rev="0"/>
            </w14:lightRig>
          </w14:scene3d>
        </w:rPr>
        <w:t>6.2</w:t>
      </w:r>
      <w:r>
        <w:rPr>
          <w:rStyle w:val="34"/>
          <w:lang w:val="zh-TW"/>
          <w14:scene3d>
            <w14:lightRig w14:rig="threePt" w14:dir="t">
              <w14:rot w14:lat="0" w14:lon="0" w14:rev="0"/>
            </w14:lightRig>
          </w14:scene3d>
        </w:rPr>
        <w:t xml:space="preserve"> </w:t>
      </w:r>
      <w:r>
        <w:rPr>
          <w:rStyle w:val="34"/>
          <w:rFonts w:hint="eastAsia"/>
        </w:rPr>
        <w:t xml:space="preserve"> 年度</w:t>
      </w:r>
      <w:r>
        <w:rPr>
          <w:rStyle w:val="34"/>
          <w:rFonts w:hint="eastAsia"/>
          <w:lang w:val="zh-TW"/>
        </w:rPr>
        <w:t>检查</w:t>
      </w:r>
      <w:r>
        <w:rPr>
          <w:rFonts w:hint="eastAsia"/>
        </w:rPr>
        <w:tab/>
      </w:r>
      <w:r>
        <w:rPr>
          <w:rFonts w:hint="eastAsia"/>
        </w:rPr>
        <w:fldChar w:fldCharType="begin"/>
      </w:r>
      <w:r>
        <w:rPr>
          <w:rFonts w:hint="eastAsia"/>
        </w:rPr>
        <w:instrText xml:space="preserve"> </w:instrText>
      </w:r>
      <w:r>
        <w:instrText xml:space="preserve">PAGEREF _Toc183074822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0752670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"_Toc183074823" </w:instrText>
      </w:r>
      <w:r>
        <w:fldChar w:fldCharType="separate"/>
      </w:r>
      <w:r>
        <w:rPr>
          <w:rStyle w:val="34"/>
          <w:rFonts w:hint="eastAsia"/>
          <w:lang w:val="zh-TW"/>
        </w:rPr>
        <w:t>7</w:t>
      </w:r>
      <w:r>
        <w:rPr>
          <w:rStyle w:val="34"/>
          <w:lang w:val="zh-TW"/>
        </w:rPr>
        <w:t xml:space="preserve"> </w:t>
      </w:r>
      <w:r>
        <w:rPr>
          <w:rStyle w:val="34"/>
          <w:rFonts w:hint="eastAsia"/>
        </w:rPr>
        <w:t xml:space="preserve"> 全面</w:t>
      </w:r>
      <w:r>
        <w:rPr>
          <w:rStyle w:val="34"/>
          <w:rFonts w:hint="eastAsia"/>
          <w:lang w:val="zh-TW"/>
        </w:rPr>
        <w:t>检验</w:t>
      </w:r>
      <w:r>
        <w:rPr>
          <w:rFonts w:hint="eastAsia"/>
        </w:rPr>
        <w:tab/>
      </w:r>
      <w:r>
        <w:rPr>
          <w:rFonts w:hint="eastAsia"/>
        </w:rPr>
        <w:fldChar w:fldCharType="begin"/>
      </w:r>
      <w:r>
        <w:rPr>
          <w:rFonts w:hint="eastAsia"/>
        </w:rPr>
        <w:instrText xml:space="preserve"> </w:instrText>
      </w:r>
      <w:r>
        <w:instrText xml:space="preserve">PAGEREF _Toc183074823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7F47993C">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"_Toc183074824" </w:instrText>
      </w:r>
      <w:r>
        <w:fldChar w:fldCharType="separate"/>
      </w:r>
      <w:r>
        <w:rPr>
          <w:rStyle w:val="34"/>
          <w:rFonts w:hint="eastAsia"/>
          <w:lang w:val="zh-TW"/>
          <w14:scene3d>
            <w14:lightRig w14:rig="threePt" w14:dir="t">
              <w14:rot w14:lat="0" w14:lon="0" w14:rev="0"/>
            </w14:lightRig>
          </w14:scene3d>
        </w:rPr>
        <w:t>7.1</w:t>
      </w:r>
      <w:r>
        <w:rPr>
          <w:rStyle w:val="34"/>
          <w:lang w:val="zh-TW"/>
          <w14:scene3d>
            <w14:lightRig w14:rig="threePt" w14:dir="t">
              <w14:rot w14:lat="0" w14:lon="0" w14:rev="0"/>
            </w14:lightRig>
          </w14:scene3d>
        </w:rPr>
        <w:t xml:space="preserve"> </w:t>
      </w:r>
      <w:r>
        <w:rPr>
          <w:rStyle w:val="34"/>
          <w:rFonts w:hint="eastAsia"/>
        </w:rPr>
        <w:t xml:space="preserve"> 检验要求</w:t>
      </w:r>
      <w:r>
        <w:rPr>
          <w:rFonts w:hint="eastAsia"/>
        </w:rPr>
        <w:tab/>
      </w:r>
      <w:r>
        <w:rPr>
          <w:rFonts w:hint="eastAsia"/>
        </w:rPr>
        <w:fldChar w:fldCharType="begin"/>
      </w:r>
      <w:r>
        <w:rPr>
          <w:rFonts w:hint="eastAsia"/>
        </w:rPr>
        <w:instrText xml:space="preserve"> </w:instrText>
      </w:r>
      <w:r>
        <w:instrText xml:space="preserve">PAGEREF _Toc183074824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78CE923F">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"_Toc183074825" </w:instrText>
      </w:r>
      <w:r>
        <w:fldChar w:fldCharType="separate"/>
      </w:r>
      <w:r>
        <w:rPr>
          <w:rStyle w:val="34"/>
          <w:rFonts w:hint="eastAsia"/>
          <w:lang w:val="zh-TW"/>
          <w14:scene3d>
            <w14:lightRig w14:rig="threePt" w14:dir="t">
              <w14:rot w14:lat="0" w14:lon="0" w14:rev="0"/>
            </w14:lightRig>
          </w14:scene3d>
        </w:rPr>
        <w:t>7.2</w:t>
      </w:r>
      <w:r>
        <w:rPr>
          <w:rStyle w:val="34"/>
          <w:lang w:val="zh-TW"/>
          <w14:scene3d>
            <w14:lightRig w14:rig="threePt" w14:dir="t">
              <w14:rot w14:lat="0" w14:lon="0" w14:rev="0"/>
            </w14:lightRig>
          </w14:scene3d>
        </w:rPr>
        <w:t xml:space="preserve"> </w:t>
      </w:r>
      <w:r>
        <w:rPr>
          <w:rStyle w:val="34"/>
          <w:rFonts w:hint="eastAsia"/>
          <w:lang w:val="zh-TW"/>
        </w:rPr>
        <w:t xml:space="preserve"> 检验</w:t>
      </w:r>
      <w:r>
        <w:rPr>
          <w:rStyle w:val="34"/>
          <w:rFonts w:hint="eastAsia"/>
        </w:rPr>
        <w:t>过程安全管理</w:t>
      </w:r>
      <w:r>
        <w:rPr>
          <w:rFonts w:hint="eastAsia"/>
        </w:rPr>
        <w:tab/>
      </w:r>
      <w:r>
        <w:rPr>
          <w:rFonts w:hint="eastAsia"/>
        </w:rPr>
        <w:fldChar w:fldCharType="begin"/>
      </w:r>
      <w:r>
        <w:rPr>
          <w:rFonts w:hint="eastAsia"/>
        </w:rPr>
        <w:instrText xml:space="preserve"> </w:instrText>
      </w:r>
      <w:r>
        <w:instrText xml:space="preserve">PAGEREF _Toc183074825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7CD7A0B">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"_Toc183074826" </w:instrText>
      </w:r>
      <w:r>
        <w:fldChar w:fldCharType="separate"/>
      </w:r>
      <w:r>
        <w:rPr>
          <w:rStyle w:val="34"/>
          <w:rFonts w:hint="eastAsia"/>
        </w:rPr>
        <w:t>8</w:t>
      </w:r>
      <w:r>
        <w:rPr>
          <w:rStyle w:val="34"/>
        </w:rPr>
        <w:t xml:space="preserve"> </w:t>
      </w:r>
      <w:r>
        <w:rPr>
          <w:rStyle w:val="34"/>
          <w:rFonts w:hint="eastAsia"/>
        </w:rPr>
        <w:t xml:space="preserve"> 维修</w:t>
      </w:r>
      <w:r>
        <w:rPr>
          <w:rFonts w:hint="eastAsia"/>
        </w:rPr>
        <w:tab/>
      </w:r>
      <w:r>
        <w:rPr>
          <w:rFonts w:hint="eastAsia"/>
        </w:rPr>
        <w:fldChar w:fldCharType="begin"/>
      </w:r>
      <w:r>
        <w:rPr>
          <w:rFonts w:hint="eastAsia"/>
        </w:rPr>
        <w:instrText xml:space="preserve"> </w:instrText>
      </w:r>
      <w:r>
        <w:instrText xml:space="preserve">PAGEREF _Toc183074826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10CFB4E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"_Toc183074827" </w:instrText>
      </w:r>
      <w:r>
        <w:fldChar w:fldCharType="separate"/>
      </w:r>
      <w:r>
        <w:rPr>
          <w:rStyle w:val="34"/>
          <w:rFonts w:hint="eastAsia"/>
        </w:rPr>
        <w:t>9</w:t>
      </w:r>
      <w:r>
        <w:rPr>
          <w:rStyle w:val="34"/>
        </w:rPr>
        <w:t xml:space="preserve"> </w:t>
      </w:r>
      <w:r>
        <w:rPr>
          <w:rStyle w:val="34"/>
          <w:rFonts w:hint="eastAsia"/>
          <w:lang w:val="zh-TW"/>
        </w:rPr>
        <w:t xml:space="preserve"> 停用</w:t>
      </w:r>
      <w:r>
        <w:rPr>
          <w:rStyle w:val="34"/>
          <w:rFonts w:hint="eastAsia"/>
        </w:rPr>
        <w:t>报废</w:t>
      </w:r>
      <w:r>
        <w:rPr>
          <w:rFonts w:hint="eastAsia"/>
        </w:rPr>
        <w:tab/>
      </w:r>
      <w:r>
        <w:rPr>
          <w:rFonts w:hint="eastAsia"/>
        </w:rPr>
        <w:fldChar w:fldCharType="begin"/>
      </w:r>
      <w:r>
        <w:rPr>
          <w:rFonts w:hint="eastAsia"/>
        </w:rPr>
        <w:instrText xml:space="preserve"> </w:instrText>
      </w:r>
      <w:r>
        <w:instrText xml:space="preserve">PAGEREF _Toc183074827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0B5C4256">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"_Toc183074828" </w:instrText>
      </w:r>
      <w:r>
        <w:fldChar w:fldCharType="separate"/>
      </w:r>
      <w:r>
        <w:rPr>
          <w:rStyle w:val="34"/>
          <w:rFonts w:hint="eastAsia"/>
          <w:lang w:val="zh-TW"/>
        </w:rPr>
        <w:t>10</w:t>
      </w:r>
      <w:r>
        <w:rPr>
          <w:rStyle w:val="34"/>
          <w:lang w:val="zh-TW"/>
        </w:rPr>
        <w:t xml:space="preserve"> </w:t>
      </w:r>
      <w:r>
        <w:rPr>
          <w:rStyle w:val="34"/>
          <w:rFonts w:hint="eastAsia"/>
          <w:lang w:val="zh-TW"/>
        </w:rPr>
        <w:t xml:space="preserve"> 应急管理</w:t>
      </w:r>
      <w:r>
        <w:rPr>
          <w:rFonts w:hint="eastAsia"/>
        </w:rPr>
        <w:tab/>
      </w:r>
      <w:r>
        <w:rPr>
          <w:rFonts w:hint="eastAsia"/>
        </w:rPr>
        <w:fldChar w:fldCharType="begin"/>
      </w:r>
      <w:r>
        <w:rPr>
          <w:rFonts w:hint="eastAsia"/>
        </w:rPr>
        <w:instrText xml:space="preserve"> </w:instrText>
      </w:r>
      <w:r>
        <w:instrText xml:space="preserve">PAGEREF _Toc183074828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6D69A219">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"_Toc183074829" </w:instrText>
      </w:r>
      <w:r>
        <w:fldChar w:fldCharType="separate"/>
      </w:r>
      <w:r>
        <w:rPr>
          <w:rStyle w:val="34"/>
          <w:rFonts w:hint="eastAsia"/>
        </w:rPr>
        <w:t>11</w:t>
      </w:r>
      <w:r>
        <w:rPr>
          <w:rStyle w:val="34"/>
        </w:rPr>
        <w:t xml:space="preserve"> </w:t>
      </w:r>
      <w:r>
        <w:rPr>
          <w:rStyle w:val="34"/>
          <w:rFonts w:hint="eastAsia"/>
        </w:rPr>
        <w:t xml:space="preserve"> 评估与改进</w:t>
      </w:r>
      <w:r>
        <w:rPr>
          <w:rFonts w:hint="eastAsia"/>
        </w:rPr>
        <w:tab/>
      </w:r>
      <w:r>
        <w:rPr>
          <w:rFonts w:hint="eastAsia"/>
        </w:rPr>
        <w:fldChar w:fldCharType="begin"/>
      </w:r>
      <w:r>
        <w:rPr>
          <w:rFonts w:hint="eastAsia"/>
        </w:rPr>
        <w:instrText xml:space="preserve"> </w:instrText>
      </w:r>
      <w:r>
        <w:instrText xml:space="preserve">PAGEREF _Toc183074829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087C9684">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"_Toc183074830" </w:instrText>
      </w:r>
      <w:r>
        <w:fldChar w:fldCharType="separate"/>
      </w:r>
      <w:r>
        <w:rPr>
          <w:rStyle w:val="34"/>
          <w:rFonts w:hint="eastAsia"/>
        </w:rPr>
        <w:t>附录A（规范性）</w:t>
      </w:r>
      <w:r>
        <w:rPr>
          <w:rStyle w:val="34"/>
        </w:rPr>
        <w:t xml:space="preserve"> </w:t>
      </w:r>
      <w:r>
        <w:rPr>
          <w:rStyle w:val="34"/>
          <w:rFonts w:hint="eastAsia"/>
        </w:rPr>
        <w:t xml:space="preserve"> 储罐检查内容</w:t>
      </w:r>
      <w:r>
        <w:rPr>
          <w:rFonts w:hint="eastAsia"/>
        </w:rPr>
        <w:tab/>
      </w:r>
      <w:r>
        <w:rPr>
          <w:rFonts w:hint="eastAsia"/>
        </w:rPr>
        <w:fldChar w:fldCharType="begin"/>
      </w:r>
      <w:r>
        <w:rPr>
          <w:rFonts w:hint="eastAsia"/>
        </w:rPr>
        <w:instrText xml:space="preserve"> </w:instrText>
      </w:r>
      <w:r>
        <w:instrText xml:space="preserve">PAGEREF _Toc183074830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2EA6FC21">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"_Toc183074831" </w:instrText>
      </w:r>
      <w:r>
        <w:fldChar w:fldCharType="separate"/>
      </w:r>
      <w:r>
        <w:rPr>
          <w:rStyle w:val="34"/>
          <w:rFonts w:hint="eastAsia"/>
        </w:rPr>
        <w:t>附录B（资料性）</w:t>
      </w:r>
      <w:r>
        <w:rPr>
          <w:rStyle w:val="34"/>
        </w:rPr>
        <w:t xml:space="preserve"> </w:t>
      </w:r>
      <w:r>
        <w:rPr>
          <w:rStyle w:val="34"/>
          <w:rFonts w:hint="eastAsia"/>
        </w:rPr>
        <w:t xml:space="preserve"> 储罐开罐和在线检验项目</w:t>
      </w:r>
      <w:r>
        <w:rPr>
          <w:rFonts w:hint="eastAsia"/>
        </w:rPr>
        <w:tab/>
      </w:r>
      <w:r>
        <w:rPr>
          <w:rFonts w:hint="eastAsia"/>
        </w:rPr>
        <w:fldChar w:fldCharType="begin"/>
      </w:r>
      <w:r>
        <w:rPr>
          <w:rFonts w:hint="eastAsia"/>
        </w:rPr>
        <w:instrText xml:space="preserve"> </w:instrText>
      </w:r>
      <w:r>
        <w:instrText xml:space="preserve">PAGEREF _Toc183074831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57233DF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"_Toc183074832"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_Toc183074832 \h</w:instrText>
      </w:r>
      <w:r>
        <w:rPr>
          <w:rFonts w:hint="eastAsia"/>
        </w:rPr>
        <w:instrText xml:space="preserve"> </w:instrText>
      </w:r>
      <w:r>
        <w:fldChar w:fldCharType="separate"/>
      </w:r>
      <w:r>
        <w:t>14</w:t>
      </w:r>
      <w:r>
        <w:rPr>
          <w:rFonts w:hint="eastAsia"/>
        </w:rPr>
        <w:fldChar w:fldCharType="end"/>
      </w:r>
      <w:r>
        <w:rPr>
          <w:rFonts w:hint="eastAsia"/>
        </w:rPr>
        <w:fldChar w:fldCharType="end"/>
      </w:r>
    </w:p>
    <w:p w14:paraId="0926976E">
      <w:pPr>
        <w:pStyle w:val="94"/>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5F73D013">
      <w:pPr>
        <w:pStyle w:val="92"/>
        <w:spacing w:before="900" w:after="468"/>
      </w:pPr>
      <w:bookmarkStart w:id="30" w:name="_Toc183074809"/>
      <w:bookmarkStart w:id="31" w:name="BookMark2"/>
      <w:r>
        <w:rPr>
          <w:rFonts w:hint="eastAsia"/>
          <w:spacing w:val="320"/>
        </w:rPr>
        <w:t>前</w:t>
      </w:r>
      <w:r>
        <w:rPr>
          <w:rFonts w:hint="eastAsia"/>
        </w:rPr>
        <w:t>言</w:t>
      </w:r>
      <w:bookmarkEnd w:id="21"/>
      <w:bookmarkEnd w:id="22"/>
      <w:bookmarkEnd w:id="23"/>
      <w:bookmarkEnd w:id="24"/>
      <w:bookmarkEnd w:id="25"/>
      <w:bookmarkEnd w:id="26"/>
      <w:bookmarkEnd w:id="27"/>
      <w:bookmarkEnd w:id="28"/>
      <w:bookmarkEnd w:id="29"/>
      <w:bookmarkEnd w:id="30"/>
    </w:p>
    <w:p w14:paraId="790263C8">
      <w:pPr>
        <w:pStyle w:val="59"/>
        <w:ind w:firstLine="420"/>
      </w:pPr>
      <w:r>
        <w:rPr>
          <w:rFonts w:hint="eastAsia"/>
        </w:rPr>
        <w:t>本文件按照GB/T 1.1—2020《标准化工作导则  第1部分：标准化文件的结构和起草规则》的规定起草。</w:t>
      </w:r>
    </w:p>
    <w:p w14:paraId="6BBAEBA9">
      <w:pPr>
        <w:ind w:right="210" w:firstLine="420" w:firstLineChars="200"/>
        <w:jc w:val="left"/>
        <w:rPr>
          <w:rFonts w:hint="eastAsia" w:ascii="黑体" w:hAnsi="黑体"/>
          <w:szCs w:val="22"/>
          <w:lang w:val="zh-TW"/>
        </w:rPr>
      </w:pPr>
      <w:r>
        <w:rPr>
          <w:rFonts w:hint="eastAsia"/>
        </w:rPr>
        <w:t>请注意本文件的某些内容可能涉及专利。本文件的发布机构不承担识别专利的责任。</w:t>
      </w:r>
    </w:p>
    <w:p w14:paraId="7CEFA3E8">
      <w:pPr>
        <w:pStyle w:val="59"/>
        <w:ind w:firstLine="420"/>
      </w:pPr>
      <w:r>
        <w:rPr>
          <w:rFonts w:hint="eastAsia"/>
        </w:rPr>
        <w:t>本文件由</w:t>
      </w:r>
      <w:r>
        <w:rPr>
          <w:rFonts w:hint="eastAsia" w:ascii="黑体" w:hAnsi="黑体"/>
          <w:szCs w:val="22"/>
          <w:lang w:val="zh-TW"/>
        </w:rPr>
        <w:t>上海市应急管理局</w:t>
      </w:r>
      <w:r>
        <w:rPr>
          <w:rFonts w:hint="eastAsia"/>
        </w:rPr>
        <w:t>提出并组织实施。</w:t>
      </w:r>
    </w:p>
    <w:p w14:paraId="107002AE">
      <w:pPr>
        <w:pStyle w:val="59"/>
        <w:ind w:firstLine="420"/>
      </w:pPr>
      <w:r>
        <w:rPr>
          <w:rFonts w:hint="eastAsia"/>
        </w:rPr>
        <w:t>本文件由</w:t>
      </w:r>
      <w:r>
        <w:rPr>
          <w:rFonts w:hint="eastAsia" w:ascii="黑体" w:hAnsi="黑体"/>
          <w:szCs w:val="22"/>
          <w:lang w:val="zh-TW"/>
        </w:rPr>
        <w:t>上海市应急管理标准化技术委员会</w:t>
      </w:r>
      <w:r>
        <w:rPr>
          <w:rFonts w:hint="eastAsia"/>
        </w:rPr>
        <w:t>归口。</w:t>
      </w:r>
    </w:p>
    <w:p w14:paraId="34238961">
      <w:pPr>
        <w:pStyle w:val="59"/>
        <w:ind w:firstLine="420"/>
      </w:pPr>
      <w:r>
        <w:rPr>
          <w:rFonts w:hint="eastAsia"/>
        </w:rPr>
        <w:t>本文件起草单位：</w:t>
      </w:r>
      <w:r>
        <w:rPr>
          <w:rFonts w:hint="eastAsia" w:ascii="黑体" w:hAnsi="黑体"/>
          <w:szCs w:val="22"/>
          <w:lang w:val="zh-TW"/>
        </w:rPr>
        <w:t>上海市应急管理事务和化学品登记中心、</w:t>
      </w:r>
      <w:r>
        <w:rPr>
          <w:rFonts w:hint="eastAsia" w:ascii="黑体" w:hAnsi="黑体"/>
          <w:szCs w:val="22"/>
        </w:rPr>
        <w:t>上海市特种设备监督检验技术研究院、中国石化上海高桥石油化工有限公司</w:t>
      </w:r>
      <w:r>
        <w:rPr>
          <w:rFonts w:hint="eastAsia" w:ascii="黑体" w:hAnsi="黑体"/>
          <w:szCs w:val="22"/>
          <w:lang w:val="zh-TW"/>
        </w:rPr>
        <w:t>。</w:t>
      </w:r>
    </w:p>
    <w:p w14:paraId="525A229B">
      <w:pPr>
        <w:pStyle w:val="59"/>
        <w:ind w:firstLine="420"/>
      </w:pPr>
      <w:r>
        <w:rPr>
          <w:rFonts w:hint="eastAsia"/>
        </w:rPr>
        <w:t>本文件主要起草人：</w:t>
      </w:r>
      <w:r>
        <w:rPr>
          <w:rFonts w:hint="eastAsia" w:ascii="黑体" w:hAnsi="黑体"/>
          <w:szCs w:val="22"/>
        </w:rPr>
        <w:t>胡训军、王进飞、李少堂、黄文貌、叶文娟、陈思强、池君杰、曹昕、徐玮、王金玮、耿雪峰、朱德元、张红、杨晓冬、</w:t>
      </w:r>
      <w:r>
        <w:rPr>
          <w:rFonts w:hint="eastAsia" w:ascii="黑体" w:hAnsi="黑体"/>
          <w:szCs w:val="22"/>
          <w:lang w:eastAsia="zh-CN"/>
        </w:rPr>
        <w:t>沈</w:t>
      </w:r>
      <w:r>
        <w:rPr>
          <w:rFonts w:hint="eastAsia" w:ascii="黑体" w:hAnsi="黑体"/>
          <w:szCs w:val="22"/>
        </w:rPr>
        <w:t>俊。</w:t>
      </w:r>
    </w:p>
    <w:p w14:paraId="66EE8260">
      <w:pPr>
        <w:pStyle w:val="59"/>
        <w:ind w:firstLine="420"/>
      </w:pPr>
    </w:p>
    <w:p w14:paraId="659BEEC0">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31"/>
    <w:p w14:paraId="68F8C530">
      <w:pPr>
        <w:spacing w:line="20" w:lineRule="exact"/>
        <w:jc w:val="center"/>
        <w:rPr>
          <w:rFonts w:hint="eastAsia" w:ascii="黑体" w:hAnsi="黑体" w:eastAsia="黑体"/>
          <w:sz w:val="32"/>
          <w:szCs w:val="32"/>
        </w:rPr>
      </w:pPr>
      <w:bookmarkStart w:id="32" w:name="BookMark4"/>
    </w:p>
    <w:p w14:paraId="2AB1A917">
      <w:pPr>
        <w:spacing w:line="20" w:lineRule="exact"/>
        <w:jc w:val="center"/>
        <w:rPr>
          <w:rFonts w:hint="eastAsia" w:ascii="黑体" w:hAnsi="黑体" w:eastAsia="黑体"/>
          <w:sz w:val="32"/>
          <w:szCs w:val="32"/>
        </w:rPr>
      </w:pPr>
    </w:p>
    <w:sdt>
      <w:sdtPr>
        <w:tag w:val="NEW_STAND_NAME"/>
        <w:id w:val="595910757"/>
        <w:lock w:val="sdtLocked"/>
        <w:placeholder>
          <w:docPart w:val="214C2A2AF74E4ED188587CCC104A14C0"/>
        </w:placeholder>
      </w:sdtPr>
      <w:sdtContent>
        <w:p w14:paraId="7CB0AB59">
          <w:pPr>
            <w:pStyle w:val="180"/>
            <w:spacing w:before="3" w:beforeLines="1" w:after="686" w:afterLines="220"/>
            <w:rPr>
              <w:rFonts w:hint="eastAsia"/>
            </w:rPr>
          </w:pPr>
          <w:bookmarkStart w:id="33" w:name="NEW_STAND_NAME"/>
          <w:r>
            <w:rPr>
              <w:rFonts w:hint="eastAsia"/>
            </w:rPr>
            <w:t>在用危险化学品常压储罐安全管理规范</w:t>
          </w:r>
        </w:p>
      </w:sdtContent>
    </w:sdt>
    <w:bookmarkEnd w:id="33"/>
    <w:p w14:paraId="20AA66ED">
      <w:pPr>
        <w:pStyle w:val="107"/>
        <w:spacing w:before="312" w:after="312"/>
      </w:pPr>
      <w:bookmarkStart w:id="34" w:name="_Toc24884211"/>
      <w:bookmarkStart w:id="35" w:name="_Toc183074810"/>
      <w:bookmarkStart w:id="36" w:name="_Toc181273011"/>
      <w:bookmarkStart w:id="37" w:name="_Toc182227741"/>
      <w:bookmarkStart w:id="38" w:name="_Toc183074781"/>
      <w:bookmarkStart w:id="39" w:name="_Toc26648465"/>
      <w:bookmarkStart w:id="40" w:name="_Toc26986771"/>
      <w:bookmarkStart w:id="41" w:name="_Toc182227872"/>
      <w:bookmarkStart w:id="42" w:name="_Toc182227664"/>
      <w:bookmarkStart w:id="43" w:name="_Toc182227163"/>
      <w:bookmarkStart w:id="44" w:name="_Toc182227064"/>
      <w:bookmarkStart w:id="45" w:name="_Toc17233325"/>
      <w:bookmarkStart w:id="46" w:name="_Toc97191423"/>
      <w:bookmarkStart w:id="47" w:name="_Toc182227126"/>
      <w:bookmarkStart w:id="48" w:name="_Toc17233333"/>
      <w:bookmarkStart w:id="49" w:name="_Toc26986530"/>
      <w:bookmarkStart w:id="50" w:name="_Toc181263714"/>
      <w:bookmarkStart w:id="51" w:name="_Toc26718930"/>
      <w:bookmarkStart w:id="52" w:name="_Toc24884218"/>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3B53A9">
      <w:pPr>
        <w:pStyle w:val="59"/>
        <w:ind w:firstLine="420"/>
        <w:rPr>
          <w:rStyle w:val="34"/>
          <w:rFonts w:hint="eastAsia" w:ascii="黑体" w:hAnsi="黑体"/>
          <w:lang w:val="zh-TW"/>
        </w:rPr>
      </w:pPr>
      <w:bookmarkStart w:id="53" w:name="_Toc26648466"/>
      <w:bookmarkStart w:id="54" w:name="_Toc17233334"/>
      <w:bookmarkStart w:id="55" w:name="_Toc17233326"/>
      <w:bookmarkStart w:id="56" w:name="_Toc24884212"/>
      <w:bookmarkStart w:id="57" w:name="_Toc24884219"/>
      <w:r>
        <w:rPr>
          <w:rFonts w:hint="eastAsia"/>
          <w:lang w:bidi="ar"/>
        </w:rPr>
        <w:t>本文件</w:t>
      </w:r>
      <w:r>
        <w:rPr>
          <w:rFonts w:hint="eastAsia"/>
        </w:rPr>
        <w:t>规定了</w:t>
      </w:r>
      <w:bookmarkStart w:id="58" w:name="OLE_LINK8"/>
      <w:r>
        <w:rPr>
          <w:rFonts w:hint="eastAsia"/>
        </w:rPr>
        <w:t>在</w:t>
      </w:r>
      <w:bookmarkEnd w:id="58"/>
      <w:r>
        <w:rPr>
          <w:rFonts w:hint="eastAsia"/>
        </w:rPr>
        <w:t>用危险化学品常压</w:t>
      </w:r>
      <w:bookmarkStart w:id="59" w:name="_Hlk182582550"/>
      <w:r>
        <w:rPr>
          <w:rFonts w:hint="eastAsia"/>
        </w:rPr>
        <w:t>储罐</w:t>
      </w:r>
      <w:bookmarkEnd w:id="59"/>
      <w:r>
        <w:rPr>
          <w:rFonts w:hint="eastAsia"/>
        </w:rPr>
        <w:t>（以下简称为“储罐”）安全管理的</w:t>
      </w:r>
      <w:r>
        <w:rPr>
          <w:rStyle w:val="34"/>
          <w:rFonts w:ascii="黑体" w:hAnsi="黑体"/>
        </w:rPr>
        <w:t>基本要求</w:t>
      </w:r>
      <w:r>
        <w:rPr>
          <w:rStyle w:val="34"/>
          <w:rFonts w:hint="eastAsia" w:ascii="黑体" w:hAnsi="黑体"/>
        </w:rPr>
        <w:t>、运行安全条件、定期检查、全面检验、维修、</w:t>
      </w:r>
      <w:r>
        <w:rPr>
          <w:rStyle w:val="34"/>
          <w:rFonts w:hint="eastAsia" w:ascii="黑体" w:hAnsi="黑体"/>
          <w:lang w:val="zh-TW"/>
        </w:rPr>
        <w:t>停用报废、应急管理、评估与改进。</w:t>
      </w:r>
    </w:p>
    <w:p w14:paraId="330551C3">
      <w:pPr>
        <w:pStyle w:val="59"/>
        <w:ind w:firstLine="420"/>
      </w:pPr>
      <w:r>
        <w:rPr>
          <w:rFonts w:hint="eastAsia"/>
          <w:lang w:bidi="ar"/>
        </w:rPr>
        <w:t>本文件</w:t>
      </w:r>
      <w:r>
        <w:rPr>
          <w:rFonts w:hint="eastAsia"/>
        </w:rPr>
        <w:t>适用</w:t>
      </w:r>
      <w:bookmarkStart w:id="60" w:name="OLE_LINK27"/>
      <w:r>
        <w:rPr>
          <w:rFonts w:hint="eastAsia"/>
        </w:rPr>
        <w:t>于上海市</w:t>
      </w:r>
      <w:r>
        <w:rPr>
          <w:rFonts w:hint="eastAsia"/>
          <w:lang w:val="zh-TW"/>
        </w:rPr>
        <w:t>依法设立且取得行政许可的生产、经营、储存、使用危险化学品</w:t>
      </w:r>
      <w:bookmarkEnd w:id="60"/>
      <w:r>
        <w:rPr>
          <w:rFonts w:hint="eastAsia"/>
        </w:rPr>
        <w:t>企业</w:t>
      </w:r>
      <w:bookmarkStart w:id="61" w:name="_Hlk182582389"/>
      <w:r>
        <w:rPr>
          <w:rFonts w:hint="eastAsia"/>
        </w:rPr>
        <w:t>（以下简称为“企业”）</w:t>
      </w:r>
      <w:bookmarkEnd w:id="61"/>
      <w:r>
        <w:rPr>
          <w:rFonts w:hint="eastAsia"/>
          <w:lang w:val="zh-TW"/>
        </w:rPr>
        <w:t>的</w:t>
      </w:r>
      <w:r>
        <w:rPr>
          <w:rFonts w:hint="eastAsia"/>
        </w:rPr>
        <w:t>储罐安全管理。</w:t>
      </w:r>
    </w:p>
    <w:p w14:paraId="6E1E77BC">
      <w:pPr>
        <w:pStyle w:val="107"/>
        <w:spacing w:before="312" w:after="312"/>
      </w:pPr>
      <w:bookmarkStart w:id="62" w:name="_Toc26986772"/>
      <w:bookmarkStart w:id="63" w:name="_Toc182227665"/>
      <w:bookmarkStart w:id="64" w:name="_Toc26718931"/>
      <w:bookmarkStart w:id="65" w:name="_Toc97191424"/>
      <w:bookmarkStart w:id="66" w:name="_Toc182227742"/>
      <w:bookmarkStart w:id="67" w:name="_Toc182227873"/>
      <w:bookmarkStart w:id="68" w:name="_Toc26986531"/>
      <w:bookmarkStart w:id="69" w:name="_Toc181273012"/>
      <w:bookmarkStart w:id="70" w:name="_Toc182227065"/>
      <w:bookmarkStart w:id="71" w:name="_Toc182227127"/>
      <w:bookmarkStart w:id="72" w:name="_Toc181263715"/>
      <w:bookmarkStart w:id="73" w:name="_Toc183074782"/>
      <w:bookmarkStart w:id="74" w:name="_Toc182227164"/>
      <w:bookmarkStart w:id="75" w:name="_Toc183074811"/>
      <w:r>
        <w:rPr>
          <w:rFonts w:hint="eastAsia"/>
        </w:rPr>
        <w:t>规范性引用文件</w:t>
      </w:r>
      <w:bookmarkEnd w:id="53"/>
      <w:bookmarkEnd w:id="54"/>
      <w:bookmarkEnd w:id="55"/>
      <w:bookmarkEnd w:id="56"/>
      <w:bookmarkEnd w:id="57"/>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7B453578ED0A4F95B8AAAF34DA70008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1E4559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B46A15">
      <w:pPr>
        <w:ind w:right="210" w:rightChars="100" w:firstLine="420" w:firstLineChars="200"/>
        <w:jc w:val="left"/>
        <w:rPr>
          <w:rFonts w:hint="eastAsia" w:ascii="宋体" w:hAnsi="宋体" w:cs="宋体"/>
          <w:szCs w:val="22"/>
        </w:rPr>
      </w:pPr>
      <w:r>
        <w:rPr>
          <w:rFonts w:hint="eastAsia" w:ascii="宋体" w:hAnsi="宋体" w:cs="宋体"/>
          <w:szCs w:val="22"/>
        </w:rPr>
        <w:t>GB 2894  安全标志及其使用导则</w:t>
      </w:r>
    </w:p>
    <w:p w14:paraId="57567481">
      <w:pPr>
        <w:ind w:right="210" w:rightChars="100" w:firstLine="420" w:firstLineChars="200"/>
        <w:jc w:val="left"/>
        <w:rPr>
          <w:rFonts w:hint="eastAsia" w:ascii="宋体" w:hAnsi="宋体" w:cs="宋体"/>
          <w:szCs w:val="22"/>
        </w:rPr>
      </w:pPr>
      <w:r>
        <w:rPr>
          <w:rFonts w:hint="eastAsia" w:ascii="宋体" w:hAnsi="宋体" w:cs="宋体"/>
          <w:szCs w:val="22"/>
        </w:rPr>
        <w:t>GB/T 29639  生产经营单位生产安全事故应急预案编制导则</w:t>
      </w:r>
    </w:p>
    <w:p w14:paraId="2AC060A4">
      <w:pPr>
        <w:ind w:right="210" w:rightChars="100" w:firstLine="420" w:firstLineChars="200"/>
        <w:jc w:val="left"/>
        <w:rPr>
          <w:rFonts w:hint="eastAsia" w:ascii="宋体" w:hAnsi="宋体" w:cs="宋体"/>
          <w:szCs w:val="22"/>
        </w:rPr>
      </w:pPr>
      <w:r>
        <w:rPr>
          <w:rFonts w:hint="eastAsia" w:ascii="宋体" w:hAnsi="宋体" w:cs="宋体"/>
          <w:szCs w:val="22"/>
        </w:rPr>
        <w:t>GB/T 30000.31  化学品分类和标签规范  第31部分：化学品作业场所警示性标志</w:t>
      </w:r>
    </w:p>
    <w:p w14:paraId="31483D02">
      <w:pPr>
        <w:ind w:right="210" w:rightChars="100" w:firstLine="420" w:firstLineChars="200"/>
        <w:jc w:val="left"/>
        <w:rPr>
          <w:rFonts w:hint="eastAsia" w:ascii="宋体" w:hAnsi="宋体" w:cs="宋体"/>
          <w:szCs w:val="22"/>
        </w:rPr>
      </w:pPr>
      <w:r>
        <w:rPr>
          <w:rFonts w:hint="eastAsia" w:ascii="宋体" w:hAnsi="宋体" w:cs="宋体"/>
          <w:szCs w:val="22"/>
        </w:rPr>
        <w:t xml:space="preserve">GB </w:t>
      </w:r>
      <w:r>
        <w:rPr>
          <w:rFonts w:hint="eastAsia" w:ascii="宋体" w:hAnsi="宋体" w:cs="宋体"/>
          <w:szCs w:val="22"/>
          <w:lang w:val="zh-TW"/>
        </w:rPr>
        <w:t>30077</w:t>
      </w:r>
      <w:r>
        <w:rPr>
          <w:rFonts w:hint="eastAsia" w:ascii="宋体" w:hAnsi="宋体" w:cs="宋体"/>
          <w:szCs w:val="22"/>
        </w:rPr>
        <w:t xml:space="preserve">  </w:t>
      </w:r>
      <w:r>
        <w:rPr>
          <w:rFonts w:hint="eastAsia" w:ascii="宋体" w:hAnsi="宋体" w:cs="宋体"/>
          <w:szCs w:val="22"/>
          <w:lang w:val="zh-TW"/>
        </w:rPr>
        <w:t>危险化学品单位应急救援物资配备要求</w:t>
      </w:r>
    </w:p>
    <w:p w14:paraId="3B594FDE">
      <w:pPr>
        <w:ind w:right="210" w:rightChars="100" w:firstLine="420" w:firstLineChars="200"/>
        <w:jc w:val="left"/>
        <w:rPr>
          <w:rFonts w:hint="eastAsia" w:ascii="宋体" w:hAnsi="宋体" w:cs="宋体"/>
          <w:szCs w:val="22"/>
        </w:rPr>
      </w:pPr>
      <w:r>
        <w:rPr>
          <w:rFonts w:hint="eastAsia" w:ascii="宋体" w:hAnsi="宋体" w:cs="宋体"/>
          <w:szCs w:val="22"/>
        </w:rPr>
        <w:t>GB/T 30578  常压储罐基于风险的检验及评价</w:t>
      </w:r>
    </w:p>
    <w:p w14:paraId="6C59BED4">
      <w:pPr>
        <w:ind w:right="210" w:rightChars="100" w:firstLine="420" w:firstLineChars="200"/>
        <w:jc w:val="left"/>
        <w:rPr>
          <w:rFonts w:hint="eastAsia" w:ascii="宋体" w:hAnsi="宋体" w:cs="宋体"/>
          <w:szCs w:val="22"/>
        </w:rPr>
      </w:pPr>
      <w:r>
        <w:rPr>
          <w:rFonts w:hint="eastAsia" w:ascii="宋体" w:hAnsi="宋体" w:cs="宋体"/>
          <w:szCs w:val="22"/>
        </w:rPr>
        <w:t>GB 30871-2022  危险化学品企业特殊作业安全规范</w:t>
      </w:r>
    </w:p>
    <w:p w14:paraId="49FABA49">
      <w:pPr>
        <w:ind w:right="210" w:rightChars="100" w:firstLine="420" w:firstLineChars="200"/>
        <w:jc w:val="left"/>
        <w:rPr>
          <w:rFonts w:hint="eastAsia" w:ascii="宋体" w:hAnsi="宋体" w:cs="宋体"/>
          <w:szCs w:val="22"/>
        </w:rPr>
      </w:pPr>
      <w:r>
        <w:rPr>
          <w:rFonts w:hint="eastAsia" w:ascii="宋体" w:hAnsi="宋体" w:cs="宋体"/>
          <w:szCs w:val="22"/>
        </w:rPr>
        <w:t>GB/T 37327  常压储罐完整性管理</w:t>
      </w:r>
    </w:p>
    <w:p w14:paraId="32C95252">
      <w:pPr>
        <w:ind w:right="210" w:rightChars="100" w:firstLine="420" w:firstLineChars="200"/>
        <w:jc w:val="left"/>
        <w:rPr>
          <w:rFonts w:hint="eastAsia" w:ascii="宋体" w:hAnsi="宋体" w:cs="宋体"/>
          <w:szCs w:val="22"/>
          <w:lang w:val="zh-TW"/>
        </w:rPr>
      </w:pPr>
      <w:r>
        <w:rPr>
          <w:rFonts w:hint="eastAsia" w:ascii="宋体" w:hAnsi="宋体" w:cs="宋体"/>
          <w:szCs w:val="22"/>
        </w:rPr>
        <w:t>GB 39800.1  个体防护装备配备规范 第</w:t>
      </w:r>
      <w:r>
        <w:rPr>
          <w:rFonts w:hint="eastAsia" w:ascii="宋体" w:hAnsi="宋体" w:cs="宋体"/>
          <w:szCs w:val="22"/>
          <w:lang w:val="zh-TW"/>
        </w:rPr>
        <w:t>1部分:总则</w:t>
      </w:r>
    </w:p>
    <w:p w14:paraId="7067D86C">
      <w:pPr>
        <w:ind w:right="210" w:rightChars="100" w:firstLine="420" w:firstLineChars="200"/>
        <w:jc w:val="left"/>
        <w:rPr>
          <w:rFonts w:hint="eastAsia" w:ascii="宋体" w:hAnsi="宋体" w:cs="宋体"/>
          <w:szCs w:val="22"/>
        </w:rPr>
      </w:pPr>
      <w:r>
        <w:rPr>
          <w:rFonts w:hint="eastAsia" w:ascii="宋体" w:hAnsi="宋体" w:cs="宋体"/>
          <w:szCs w:val="22"/>
        </w:rPr>
        <w:t>GB 39800.2  个体防护装备配备规范 第2</w:t>
      </w:r>
      <w:r>
        <w:rPr>
          <w:rFonts w:hint="eastAsia" w:ascii="宋体" w:hAnsi="宋体" w:cs="宋体"/>
          <w:szCs w:val="22"/>
          <w:lang w:val="zh-TW"/>
        </w:rPr>
        <w:t>部分:</w:t>
      </w:r>
      <w:r>
        <w:rPr>
          <w:rFonts w:hint="eastAsia" w:ascii="宋体" w:hAnsi="宋体" w:cs="宋体"/>
          <w:szCs w:val="22"/>
        </w:rPr>
        <w:t>石油、化工、天然气</w:t>
      </w:r>
    </w:p>
    <w:p w14:paraId="5AE68FC2">
      <w:pPr>
        <w:ind w:right="210" w:rightChars="100" w:firstLine="420" w:firstLineChars="200"/>
        <w:jc w:val="left"/>
        <w:rPr>
          <w:rFonts w:hint="eastAsia" w:ascii="宋体" w:hAnsi="宋体" w:cs="宋体"/>
          <w:szCs w:val="22"/>
          <w:lang w:val="zh-TW"/>
        </w:rPr>
      </w:pPr>
      <w:r>
        <w:rPr>
          <w:rFonts w:hint="eastAsia" w:ascii="宋体" w:hAnsi="宋体" w:cs="宋体"/>
          <w:szCs w:val="22"/>
        </w:rPr>
        <w:t>GB 50074  石油库设计规范</w:t>
      </w:r>
    </w:p>
    <w:p w14:paraId="5A25EE4D">
      <w:pPr>
        <w:ind w:right="210" w:rightChars="100" w:firstLine="420" w:firstLineChars="200"/>
        <w:jc w:val="left"/>
        <w:rPr>
          <w:rFonts w:hint="eastAsia" w:ascii="宋体" w:hAnsi="宋体" w:cs="宋体"/>
          <w:szCs w:val="22"/>
        </w:rPr>
      </w:pPr>
      <w:r>
        <w:rPr>
          <w:rFonts w:hint="eastAsia" w:ascii="宋体" w:hAnsi="宋体" w:cs="宋体"/>
          <w:szCs w:val="22"/>
        </w:rPr>
        <w:t>GB 50160  石油化工企业设计防火标准</w:t>
      </w:r>
    </w:p>
    <w:p w14:paraId="7C33DE3B">
      <w:pPr>
        <w:ind w:right="210" w:rightChars="100" w:firstLine="420" w:firstLineChars="200"/>
        <w:jc w:val="left"/>
        <w:rPr>
          <w:rFonts w:hint="eastAsia" w:ascii="宋体" w:hAnsi="宋体" w:cs="宋体"/>
          <w:szCs w:val="22"/>
          <w:lang w:val="zh-TW"/>
        </w:rPr>
      </w:pPr>
      <w:bookmarkStart w:id="76" w:name="OLE_LINK5"/>
      <w:r>
        <w:rPr>
          <w:rFonts w:hint="eastAsia" w:ascii="宋体" w:hAnsi="宋体" w:cs="宋体"/>
          <w:szCs w:val="22"/>
        </w:rPr>
        <w:t>GB/T 50393</w:t>
      </w:r>
      <w:bookmarkEnd w:id="76"/>
      <w:r>
        <w:rPr>
          <w:rFonts w:hint="eastAsia" w:ascii="宋体" w:hAnsi="宋体" w:cs="宋体"/>
          <w:szCs w:val="22"/>
        </w:rPr>
        <w:t xml:space="preserve">  </w:t>
      </w:r>
      <w:r>
        <w:rPr>
          <w:rFonts w:hint="eastAsia" w:ascii="宋体" w:hAnsi="宋体" w:cs="宋体"/>
          <w:szCs w:val="22"/>
          <w:lang w:val="zh-TW"/>
        </w:rPr>
        <w:t>钢质石油储罐防腐蚀工程技术标准</w:t>
      </w:r>
    </w:p>
    <w:p w14:paraId="6CE16A9A">
      <w:pPr>
        <w:ind w:right="210" w:rightChars="100" w:firstLine="420" w:firstLineChars="200"/>
        <w:jc w:val="left"/>
        <w:rPr>
          <w:rFonts w:hint="eastAsia" w:ascii="宋体" w:hAnsi="宋体" w:cs="宋体"/>
          <w:szCs w:val="22"/>
          <w:lang w:val="zh-TW"/>
        </w:rPr>
      </w:pPr>
      <w:r>
        <w:rPr>
          <w:rFonts w:hint="eastAsia" w:ascii="宋体" w:hAnsi="宋体" w:cs="宋体"/>
          <w:szCs w:val="22"/>
          <w:lang w:val="zh-TW"/>
        </w:rPr>
        <w:t>GB/T 50493  石油化工可燃气体和有毒气体检测报警设计标准</w:t>
      </w:r>
    </w:p>
    <w:p w14:paraId="1EC388D0">
      <w:pPr>
        <w:ind w:right="210" w:rightChars="100" w:firstLine="420" w:firstLineChars="200"/>
        <w:jc w:val="left"/>
        <w:rPr>
          <w:rFonts w:hint="eastAsia" w:ascii="宋体" w:hAnsi="宋体" w:cs="宋体"/>
          <w:color w:val="auto"/>
          <w:szCs w:val="22"/>
        </w:rPr>
      </w:pPr>
      <w:r>
        <w:rPr>
          <w:rFonts w:ascii="宋体" w:hAnsi="宋体" w:cs="宋体"/>
          <w:color w:val="auto"/>
          <w:szCs w:val="22"/>
        </w:rPr>
        <w:t>GB 5</w:t>
      </w:r>
      <w:r>
        <w:rPr>
          <w:rFonts w:hint="eastAsia" w:ascii="宋体" w:hAnsi="宋体" w:cs="宋体"/>
          <w:color w:val="auto"/>
          <w:szCs w:val="22"/>
        </w:rPr>
        <w:t>0</w:t>
      </w:r>
      <w:r>
        <w:rPr>
          <w:rFonts w:ascii="宋体" w:hAnsi="宋体" w:cs="宋体"/>
          <w:color w:val="auto"/>
          <w:szCs w:val="22"/>
        </w:rPr>
        <w:t>6</w:t>
      </w:r>
      <w:r>
        <w:rPr>
          <w:rFonts w:hint="eastAsia" w:ascii="宋体" w:hAnsi="宋体" w:cs="宋体"/>
          <w:color w:val="auto"/>
          <w:szCs w:val="22"/>
        </w:rPr>
        <w:t>50</w:t>
      </w:r>
      <w:r>
        <w:rPr>
          <w:rFonts w:ascii="宋体" w:hAnsi="宋体" w:cs="宋体"/>
          <w:color w:val="auto"/>
          <w:szCs w:val="22"/>
        </w:rPr>
        <w:t xml:space="preserve">  石油化工装置防雷设计规范</w:t>
      </w:r>
    </w:p>
    <w:p w14:paraId="4E645892">
      <w:pPr>
        <w:ind w:right="210" w:rightChars="100" w:firstLine="420" w:firstLineChars="200"/>
        <w:jc w:val="left"/>
        <w:rPr>
          <w:rFonts w:hint="eastAsia" w:ascii="宋体" w:hAnsi="宋体" w:cs="宋体"/>
          <w:szCs w:val="22"/>
          <w:lang w:val="zh-TW"/>
        </w:rPr>
      </w:pPr>
      <w:r>
        <w:rPr>
          <w:rFonts w:hint="eastAsia" w:ascii="宋体" w:hAnsi="宋体" w:cs="宋体"/>
          <w:szCs w:val="22"/>
        </w:rPr>
        <w:t>GB 55036  消防设施通用规范</w:t>
      </w:r>
    </w:p>
    <w:p w14:paraId="7AA6BE0A">
      <w:pPr>
        <w:ind w:right="210" w:rightChars="100" w:firstLine="420" w:firstLineChars="200"/>
        <w:jc w:val="left"/>
        <w:rPr>
          <w:rFonts w:hint="eastAsia" w:ascii="宋体" w:hAnsi="宋体" w:cs="宋体"/>
          <w:szCs w:val="22"/>
          <w:lang w:val="zh-TW"/>
        </w:rPr>
      </w:pPr>
      <w:r>
        <w:rPr>
          <w:rFonts w:hint="eastAsia" w:ascii="宋体" w:hAnsi="宋体" w:cs="宋体"/>
          <w:szCs w:val="22"/>
          <w:lang w:val="zh-TW"/>
        </w:rPr>
        <w:t>AQ 30</w:t>
      </w:r>
      <w:r>
        <w:rPr>
          <w:rFonts w:hint="eastAsia" w:ascii="宋体" w:hAnsi="宋体" w:cs="宋体"/>
          <w:szCs w:val="22"/>
        </w:rPr>
        <w:t xml:space="preserve">18  </w:t>
      </w:r>
      <w:r>
        <w:rPr>
          <w:rFonts w:hint="eastAsia" w:ascii="宋体" w:hAnsi="宋体" w:cs="宋体"/>
          <w:szCs w:val="22"/>
          <w:lang w:val="zh-TW"/>
        </w:rPr>
        <w:t>危险化学品储罐区作业安全通则</w:t>
      </w:r>
    </w:p>
    <w:p w14:paraId="69D58023">
      <w:pPr>
        <w:ind w:right="210" w:rightChars="100" w:firstLine="420" w:firstLineChars="200"/>
        <w:jc w:val="left"/>
        <w:rPr>
          <w:rFonts w:hint="eastAsia" w:ascii="宋体" w:hAnsi="宋体" w:cs="宋体"/>
          <w:szCs w:val="22"/>
        </w:rPr>
      </w:pPr>
      <w:r>
        <w:rPr>
          <w:rFonts w:hint="eastAsia" w:ascii="宋体" w:hAnsi="宋体" w:cs="宋体"/>
          <w:szCs w:val="22"/>
        </w:rPr>
        <w:t>AQ 3053  立式圆筒形钢制焊接储罐安全技术规程</w:t>
      </w:r>
    </w:p>
    <w:p w14:paraId="3EA1BE51">
      <w:pPr>
        <w:ind w:right="210" w:rightChars="100" w:firstLine="420" w:firstLineChars="200"/>
        <w:jc w:val="left"/>
        <w:rPr>
          <w:rFonts w:hint="eastAsia" w:ascii="宋体" w:hAnsi="宋体" w:cs="宋体"/>
          <w:szCs w:val="22"/>
        </w:rPr>
      </w:pPr>
      <w:r>
        <w:rPr>
          <w:rFonts w:hint="eastAsia" w:ascii="宋体" w:hAnsi="宋体" w:cs="宋体"/>
          <w:szCs w:val="22"/>
        </w:rPr>
        <w:t>AQ 3058  内浮顶储罐检修安全规范</w:t>
      </w:r>
    </w:p>
    <w:p w14:paraId="5E0F1013">
      <w:pPr>
        <w:ind w:right="210" w:rightChars="100" w:firstLine="420" w:firstLineChars="200"/>
        <w:jc w:val="left"/>
        <w:rPr>
          <w:rFonts w:hint="eastAsia" w:ascii="宋体" w:hAnsi="宋体" w:cs="宋体"/>
          <w:szCs w:val="22"/>
        </w:rPr>
      </w:pPr>
      <w:r>
        <w:rPr>
          <w:rFonts w:hint="eastAsia" w:ascii="宋体" w:hAnsi="宋体" w:cs="宋体"/>
          <w:szCs w:val="22"/>
          <w:lang w:val="zh-TW"/>
        </w:rPr>
        <w:t>AQ/T 9009</w:t>
      </w:r>
      <w:r>
        <w:rPr>
          <w:rFonts w:hint="eastAsia" w:ascii="宋体" w:hAnsi="宋体" w:cs="宋体"/>
          <w:szCs w:val="22"/>
        </w:rPr>
        <w:t xml:space="preserve">  生产安全事故应急演练评估规范</w:t>
      </w:r>
    </w:p>
    <w:p w14:paraId="02E8A344">
      <w:pPr>
        <w:ind w:right="210" w:rightChars="100" w:firstLine="420" w:firstLineChars="200"/>
        <w:jc w:val="left"/>
        <w:rPr>
          <w:rFonts w:hint="eastAsia" w:ascii="宋体" w:hAnsi="宋体" w:cs="宋体"/>
          <w:szCs w:val="22"/>
        </w:rPr>
      </w:pPr>
      <w:r>
        <w:rPr>
          <w:rFonts w:hint="eastAsia" w:ascii="宋体" w:hAnsi="宋体" w:cs="宋体"/>
          <w:szCs w:val="22"/>
        </w:rPr>
        <w:t>SH/T 3007  石油化工储运系统罐区设计规范</w:t>
      </w:r>
    </w:p>
    <w:p w14:paraId="31CC0C92">
      <w:pPr>
        <w:ind w:right="210" w:rightChars="100" w:firstLine="420" w:firstLineChars="200"/>
        <w:jc w:val="left"/>
        <w:rPr>
          <w:rFonts w:hint="eastAsia" w:ascii="宋体" w:hAnsi="宋体" w:cs="宋体"/>
          <w:szCs w:val="22"/>
        </w:rPr>
      </w:pPr>
      <w:r>
        <w:rPr>
          <w:rFonts w:hint="eastAsia" w:ascii="宋体" w:hAnsi="宋体" w:cs="宋体"/>
          <w:szCs w:val="22"/>
        </w:rPr>
        <w:t>SY/T 5921  立式圆筒形钢制焊接油罐操作维护修理规范</w:t>
      </w:r>
    </w:p>
    <w:p w14:paraId="7C0AFE9A">
      <w:pPr>
        <w:ind w:right="210" w:rightChars="100" w:firstLine="420" w:firstLineChars="200"/>
        <w:jc w:val="left"/>
        <w:rPr>
          <w:rFonts w:hint="eastAsia" w:ascii="宋体" w:hAnsi="宋体" w:cs="宋体"/>
          <w:szCs w:val="22"/>
        </w:rPr>
      </w:pPr>
      <w:r>
        <w:rPr>
          <w:rFonts w:hint="eastAsia" w:ascii="宋体" w:hAnsi="宋体" w:cs="宋体"/>
          <w:szCs w:val="22"/>
        </w:rPr>
        <w:t>SY/T 6784  钢质储罐腐蚀控制技术规范</w:t>
      </w:r>
    </w:p>
    <w:p w14:paraId="4CD64850">
      <w:pPr>
        <w:pStyle w:val="107"/>
        <w:spacing w:before="312" w:after="312"/>
      </w:pPr>
      <w:bookmarkStart w:id="77" w:name="_Toc182227128"/>
      <w:bookmarkStart w:id="78" w:name="_Toc181273013"/>
      <w:bookmarkStart w:id="79" w:name="_Toc182227874"/>
      <w:bookmarkStart w:id="80" w:name="_Toc182227165"/>
      <w:bookmarkStart w:id="81" w:name="_Toc181263716"/>
      <w:bookmarkStart w:id="82" w:name="_Toc183074783"/>
      <w:bookmarkStart w:id="83" w:name="_Toc182227066"/>
      <w:bookmarkStart w:id="84" w:name="_Toc183074812"/>
      <w:bookmarkStart w:id="85" w:name="_Toc182227666"/>
      <w:bookmarkStart w:id="86" w:name="_Toc182227743"/>
      <w:bookmarkStart w:id="87" w:name="_Toc97191425"/>
      <w:r>
        <w:rPr>
          <w:rFonts w:hint="eastAsia"/>
          <w:szCs w:val="21"/>
        </w:rPr>
        <w:t>术语和定义</w:t>
      </w:r>
      <w:bookmarkEnd w:id="77"/>
      <w:bookmarkEnd w:id="78"/>
      <w:bookmarkEnd w:id="79"/>
      <w:bookmarkEnd w:id="80"/>
      <w:bookmarkEnd w:id="81"/>
      <w:bookmarkEnd w:id="82"/>
      <w:bookmarkEnd w:id="83"/>
      <w:bookmarkEnd w:id="84"/>
      <w:bookmarkEnd w:id="85"/>
      <w:bookmarkEnd w:id="86"/>
      <w:bookmarkEnd w:id="87"/>
    </w:p>
    <w:sdt>
      <w:sdtPr>
        <w:rPr>
          <w:rFonts w:ascii="黑体" w:hAnsi="黑体" w:eastAsia="黑体"/>
        </w:rPr>
        <w:id w:val="-1909835108"/>
        <w:placeholder>
          <w:docPart w:val="A82642D36AB54D96B978D0FAF22DE8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宋体" w:eastAsia="宋体" w:cs="宋体"/>
          <w:kern w:val="2"/>
          <w:szCs w:val="22"/>
        </w:rPr>
      </w:sdtEndPr>
      <w:sdtContent>
        <w:p w14:paraId="53A11455">
          <w:pPr>
            <w:pStyle w:val="226"/>
            <w:numPr>
              <w:ilvl w:val="0"/>
              <w:numId w:val="0"/>
            </w:numPr>
            <w:rPr>
              <w:rFonts w:hint="eastAsia" w:hAnsi="宋体" w:cs="宋体"/>
              <w:kern w:val="2"/>
              <w:szCs w:val="22"/>
            </w:rPr>
          </w:pPr>
          <w:bookmarkStart w:id="88" w:name="_Toc26986532"/>
          <w:bookmarkEnd w:id="88"/>
          <w:r>
            <w:rPr>
              <w:rFonts w:hint="eastAsia" w:ascii="黑体" w:hAnsi="黑体" w:eastAsia="黑体"/>
            </w:rPr>
            <w:t xml:space="preserve">    </w:t>
          </w:r>
          <w:r>
            <w:rPr>
              <w:rFonts w:hint="eastAsia" w:hAnsi="宋体" w:cs="宋体"/>
              <w:kern w:val="2"/>
              <w:szCs w:val="22"/>
            </w:rPr>
            <w:t>下列术语和定义适用于本文件。</w:t>
          </w:r>
        </w:p>
      </w:sdtContent>
    </w:sdt>
    <w:p w14:paraId="6595D09A">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cs="黑体"/>
          <w:szCs w:val="22"/>
        </w:rPr>
        <w:t xml:space="preserve">危险化学品  </w:t>
      </w:r>
      <w:r>
        <w:rPr>
          <w:rFonts w:hint="eastAsia" w:ascii="黑体" w:hAnsi="黑体" w:eastAsia="黑体" w:cs="黑体"/>
        </w:rPr>
        <w:t>hazardous</w:t>
      </w:r>
      <w:r>
        <w:rPr>
          <w:rFonts w:hint="eastAsia" w:ascii="黑体" w:hAnsi="黑体" w:eastAsia="黑体" w:cs="黑体"/>
          <w:szCs w:val="22"/>
        </w:rPr>
        <w:t xml:space="preserve"> chemicals</w:t>
      </w:r>
    </w:p>
    <w:p w14:paraId="3F7087FA">
      <w:pPr>
        <w:pStyle w:val="59"/>
        <w:ind w:firstLine="420"/>
      </w:pPr>
      <w:r>
        <w:rPr>
          <w:rFonts w:hint="eastAsia" w:ascii="黑体" w:hAnsi="黑体"/>
          <w:szCs w:val="22"/>
        </w:rPr>
        <w:t>具有毒害、腐蚀、爆炸、燃烧、助燃等性质，对人体、设施、环境具有危害的剧毒化学品和其他化学品。</w:t>
      </w:r>
    </w:p>
    <w:p w14:paraId="5B1D481A">
      <w:pPr>
        <w:pStyle w:val="59"/>
        <w:ind w:firstLine="420"/>
      </w:pPr>
      <w:r>
        <w:rPr>
          <w:rFonts w:hint="eastAsia"/>
        </w:rPr>
        <w:t>[来源：</w:t>
      </w:r>
      <w:r>
        <w:rPr>
          <w:rFonts w:hint="eastAsia" w:hAnsi="宋体" w:cs="宋体"/>
        </w:rPr>
        <w:t>GB 18218—2018，3.1</w:t>
      </w:r>
      <w:r>
        <w:rPr>
          <w:rFonts w:hint="eastAsia"/>
        </w:rPr>
        <w:t>]</w:t>
      </w:r>
    </w:p>
    <w:p w14:paraId="0D63F5D3">
      <w:pPr>
        <w:pStyle w:val="59"/>
        <w:ind w:firstLine="420"/>
      </w:pPr>
    </w:p>
    <w:p w14:paraId="4EDA541A">
      <w:pPr>
        <w:pStyle w:val="226"/>
        <w:ind w:left="420" w:hanging="420" w:hangingChars="200"/>
        <w:rPr>
          <w:rFonts w:hint="eastAsia" w:ascii="黑体" w:hAnsi="黑体" w:eastAsia="黑体" w:cs="黑体"/>
          <w:szCs w:val="22"/>
        </w:rPr>
      </w:pPr>
      <w:r>
        <w:rPr>
          <w:rFonts w:ascii="黑体" w:hAnsi="黑体" w:eastAsia="黑体"/>
        </w:rPr>
        <w:br w:type="textWrapping"/>
      </w:r>
      <w:r>
        <w:rPr>
          <w:rFonts w:hint="eastAsia" w:ascii="黑体" w:hAnsi="黑体" w:eastAsia="黑体" w:cs="黑体"/>
          <w:szCs w:val="22"/>
          <w:lang w:val="zh-TW"/>
        </w:rPr>
        <w:t>危险化学品常压储罐</w:t>
      </w:r>
      <w:r>
        <w:rPr>
          <w:rFonts w:hint="eastAsia" w:ascii="黑体" w:hAnsi="黑体" w:eastAsia="黑体" w:cs="黑体"/>
          <w:szCs w:val="22"/>
        </w:rPr>
        <w:t xml:space="preserve">   atmospheric pressure tank of hazardous chemicals   </w:t>
      </w:r>
    </w:p>
    <w:p w14:paraId="28D948FB">
      <w:pPr>
        <w:pStyle w:val="59"/>
        <w:ind w:firstLine="420"/>
        <w:rPr>
          <w:rFonts w:hint="eastAsia" w:hAnsi="宋体" w:cs="宋体"/>
          <w:szCs w:val="22"/>
          <w:lang w:val="zh-TW"/>
        </w:rPr>
      </w:pPr>
      <w:r>
        <w:rPr>
          <w:rFonts w:hint="eastAsia" w:hAnsi="宋体" w:cs="宋体"/>
          <w:szCs w:val="22"/>
          <w:lang w:val="zh-TW"/>
        </w:rPr>
        <w:t>工作压力小于</w:t>
      </w:r>
      <w:r>
        <w:rPr>
          <w:rFonts w:hint="eastAsia" w:hAnsi="宋体" w:cs="宋体"/>
          <w:szCs w:val="22"/>
        </w:rPr>
        <w:t>0.1 MPa（</w:t>
      </w:r>
      <w:r>
        <w:rPr>
          <w:rFonts w:hint="eastAsia" w:hAnsi="宋体" w:cs="宋体"/>
          <w:szCs w:val="22"/>
          <w:lang w:val="zh-TW"/>
        </w:rPr>
        <w:t>罐顶表压</w:t>
      </w:r>
      <w:r>
        <w:rPr>
          <w:rFonts w:hint="eastAsia" w:hAnsi="宋体" w:cs="宋体"/>
          <w:szCs w:val="22"/>
        </w:rPr>
        <w:t>），</w:t>
      </w:r>
      <w:r>
        <w:rPr>
          <w:rFonts w:hint="eastAsia" w:hAnsi="宋体" w:cs="宋体"/>
          <w:szCs w:val="22"/>
          <w:lang w:val="zh-TW"/>
        </w:rPr>
        <w:t>盛装介质最高工作温度小于其标准沸点的</w:t>
      </w:r>
      <w:r>
        <w:rPr>
          <w:rFonts w:hint="eastAsia" w:hAnsi="宋体" w:cs="宋体"/>
          <w:szCs w:val="22"/>
        </w:rPr>
        <w:t>危险化学品</w:t>
      </w:r>
      <w:r>
        <w:rPr>
          <w:rFonts w:hint="eastAsia" w:hAnsi="宋体" w:cs="宋体"/>
          <w:szCs w:val="22"/>
          <w:lang w:val="zh-TW"/>
        </w:rPr>
        <w:t>液体的地上金属储罐，不包括冷冻式低温储罐、移动式储罐、装置储罐、车间储罐等。</w:t>
      </w:r>
    </w:p>
    <w:p w14:paraId="32D18F5D">
      <w:pPr>
        <w:pStyle w:val="59"/>
        <w:ind w:firstLine="420"/>
        <w:rPr>
          <w:lang w:val="zh-TW"/>
        </w:rPr>
      </w:pPr>
    </w:p>
    <w:p w14:paraId="2C75B5E2">
      <w:pPr>
        <w:pStyle w:val="226"/>
        <w:ind w:left="420" w:hanging="420" w:hangingChars="200"/>
        <w:rPr>
          <w:rFonts w:hint="eastAsia" w:ascii="黑体" w:hAnsi="黑体" w:eastAsia="黑体" w:cs="黑体"/>
        </w:rPr>
      </w:pPr>
      <w:r>
        <w:rPr>
          <w:rFonts w:ascii="黑体" w:hAnsi="黑体" w:eastAsia="黑体"/>
          <w:lang w:val="zh-TW"/>
        </w:rPr>
        <w:br w:type="textWrapping"/>
      </w:r>
      <w:r>
        <w:rPr>
          <w:rFonts w:hint="eastAsia" w:ascii="黑体" w:hAnsi="黑体" w:eastAsia="黑体" w:cs="黑体"/>
        </w:rPr>
        <w:t>安全附件</w:t>
      </w:r>
      <w:r>
        <w:rPr>
          <w:rFonts w:hint="eastAsia" w:ascii="黑体" w:hAnsi="黑体" w:eastAsia="黑体" w:cs="黑体"/>
          <w:lang w:val="zh-TW"/>
        </w:rPr>
        <w:t xml:space="preserve"> </w:t>
      </w:r>
      <w:r>
        <w:rPr>
          <w:rFonts w:hint="eastAsia" w:ascii="黑体" w:hAnsi="黑体" w:eastAsia="黑体" w:cs="黑体"/>
        </w:rPr>
        <w:t>safety facility</w:t>
      </w:r>
    </w:p>
    <w:p w14:paraId="3ACF6370">
      <w:pPr>
        <w:pStyle w:val="59"/>
        <w:ind w:firstLine="420"/>
        <w:rPr>
          <w:rFonts w:hint="eastAsia" w:hAnsi="宋体" w:cs="宋体"/>
          <w:lang w:val="zh-TW"/>
        </w:rPr>
      </w:pPr>
      <w:r>
        <w:rPr>
          <w:rFonts w:hint="eastAsia" w:hAnsi="宋体" w:cs="宋体"/>
          <w:lang w:val="zh-TW"/>
        </w:rPr>
        <w:t>储罐的安全附件包括直接设置在储罐上的</w:t>
      </w:r>
      <w:bookmarkStart w:id="89" w:name="OLE_LINK1"/>
      <w:r>
        <w:rPr>
          <w:rFonts w:hint="eastAsia" w:hAnsi="宋体" w:cs="宋体"/>
          <w:lang w:val="zh-TW"/>
        </w:rPr>
        <w:t>安全阀/呼吸阀、紧急切断装置、安全联锁装置、压力仪表、 液位测量仪表、温度测量仪表、阻火器</w:t>
      </w:r>
      <w:bookmarkEnd w:id="89"/>
      <w:r>
        <w:rPr>
          <w:rFonts w:hint="eastAsia" w:hAnsi="宋体" w:cs="宋体"/>
          <w:lang w:val="zh-TW"/>
        </w:rPr>
        <w:t>等。</w:t>
      </w:r>
    </w:p>
    <w:p w14:paraId="41268C57">
      <w:pPr>
        <w:pStyle w:val="59"/>
        <w:ind w:firstLine="420"/>
      </w:pPr>
      <w:r>
        <w:rPr>
          <w:rFonts w:hint="eastAsia"/>
        </w:rPr>
        <w:t>[来源：</w:t>
      </w:r>
      <w:r>
        <w:rPr>
          <w:rFonts w:hint="eastAsia" w:hAnsi="宋体" w:cs="宋体"/>
        </w:rPr>
        <w:t>AQ 3053—2015，3.1.2，有修改</w:t>
      </w:r>
      <w:r>
        <w:rPr>
          <w:rFonts w:hint="eastAsia"/>
        </w:rPr>
        <w:t>]</w:t>
      </w:r>
    </w:p>
    <w:p w14:paraId="7EE2B879">
      <w:pPr>
        <w:pStyle w:val="59"/>
        <w:ind w:firstLine="420"/>
      </w:pPr>
    </w:p>
    <w:p w14:paraId="5ACBF61D">
      <w:pPr>
        <w:pStyle w:val="107"/>
        <w:spacing w:before="312" w:after="312"/>
        <w:rPr>
          <w:rFonts w:hint="eastAsia" w:hAnsi="黑体" w:cs="黑体"/>
          <w:bCs/>
        </w:rPr>
      </w:pPr>
      <w:bookmarkStart w:id="90" w:name="_Toc182227129"/>
      <w:bookmarkStart w:id="91" w:name="_Toc182227667"/>
      <w:bookmarkStart w:id="92" w:name="_Toc182227166"/>
      <w:bookmarkStart w:id="93" w:name="_Toc183074784"/>
      <w:bookmarkStart w:id="94" w:name="_Toc181263717"/>
      <w:bookmarkStart w:id="95" w:name="_Toc182227875"/>
      <w:bookmarkStart w:id="96" w:name="_Toc181273014"/>
      <w:bookmarkStart w:id="97" w:name="_Toc182227067"/>
      <w:bookmarkStart w:id="98" w:name="_Toc182227744"/>
      <w:bookmarkStart w:id="99" w:name="_Toc183074813"/>
      <w:r>
        <w:rPr>
          <w:rFonts w:hint="eastAsia" w:hAnsi="黑体" w:cs="黑体"/>
          <w:bCs/>
        </w:rPr>
        <w:t>基本要求</w:t>
      </w:r>
      <w:bookmarkEnd w:id="90"/>
      <w:bookmarkEnd w:id="91"/>
      <w:bookmarkEnd w:id="92"/>
      <w:bookmarkEnd w:id="93"/>
      <w:bookmarkEnd w:id="94"/>
      <w:bookmarkEnd w:id="95"/>
      <w:bookmarkEnd w:id="96"/>
      <w:bookmarkEnd w:id="97"/>
      <w:bookmarkEnd w:id="98"/>
      <w:bookmarkEnd w:id="99"/>
    </w:p>
    <w:p w14:paraId="5DAD8FA0">
      <w:pPr>
        <w:pStyle w:val="165"/>
      </w:pPr>
      <w:r>
        <w:rPr>
          <w:spacing w:val="1"/>
          <w:szCs w:val="21"/>
        </w:rPr>
        <w:t>储罐</w:t>
      </w:r>
      <w:r>
        <w:rPr>
          <w:rFonts w:hint="eastAsia"/>
          <w:spacing w:val="1"/>
          <w:szCs w:val="21"/>
        </w:rPr>
        <w:t>安全</w:t>
      </w:r>
      <w:r>
        <w:rPr>
          <w:spacing w:val="1"/>
          <w:szCs w:val="21"/>
        </w:rPr>
        <w:t>管理</w:t>
      </w:r>
      <w:r>
        <w:rPr>
          <w:rFonts w:hint="eastAsia"/>
          <w:spacing w:val="1"/>
          <w:szCs w:val="21"/>
        </w:rPr>
        <w:t>应</w:t>
      </w:r>
      <w:r>
        <w:rPr>
          <w:spacing w:val="1"/>
          <w:szCs w:val="21"/>
        </w:rPr>
        <w:t>以预防为主</w:t>
      </w:r>
      <w:r>
        <w:rPr>
          <w:rFonts w:hint="eastAsia"/>
          <w:spacing w:val="1"/>
          <w:szCs w:val="21"/>
        </w:rPr>
        <w:t>，</w:t>
      </w:r>
      <w:bookmarkStart w:id="100" w:name="OLE_LINK9"/>
      <w:r>
        <w:rPr>
          <w:rFonts w:hint="eastAsia"/>
          <w:lang w:val="zh-TW"/>
        </w:rPr>
        <w:t>采取工程技术措施、管理控制措施、</w:t>
      </w:r>
      <w:bookmarkEnd w:id="100"/>
      <w:r>
        <w:rPr>
          <w:rFonts w:hint="eastAsia"/>
          <w:lang w:val="zh-TW"/>
        </w:rPr>
        <w:t>个体防护</w:t>
      </w:r>
      <w:r>
        <w:rPr>
          <w:rFonts w:hint="eastAsia"/>
          <w:spacing w:val="1"/>
          <w:szCs w:val="21"/>
        </w:rPr>
        <w:t>措施实行储罐</w:t>
      </w:r>
      <w:r>
        <w:rPr>
          <w:rFonts w:hint="eastAsia"/>
          <w:lang w:val="zh-TW"/>
        </w:rPr>
        <w:t>安全风险管控，采取</w:t>
      </w:r>
      <w:r>
        <w:rPr>
          <w:rFonts w:hint="eastAsia"/>
          <w:lang w:val="zh-TW" w:eastAsia="zh-CN"/>
        </w:rPr>
        <w:t>定期</w:t>
      </w:r>
      <w:r>
        <w:rPr>
          <w:rFonts w:hint="eastAsia"/>
          <w:lang w:val="zh-TW"/>
        </w:rPr>
        <w:t>检查</w:t>
      </w:r>
      <w:r>
        <w:rPr>
          <w:rFonts w:hint="eastAsia"/>
          <w:lang w:val="zh-TW" w:eastAsia="zh-CN"/>
        </w:rPr>
        <w:t>、全面</w:t>
      </w:r>
      <w:r>
        <w:rPr>
          <w:rFonts w:hint="eastAsia"/>
          <w:lang w:val="zh-TW"/>
        </w:rPr>
        <w:t>检验</w:t>
      </w:r>
      <w:r>
        <w:rPr>
          <w:rFonts w:hint="eastAsia"/>
          <w:spacing w:val="1"/>
          <w:szCs w:val="21"/>
        </w:rPr>
        <w:t>和</w:t>
      </w:r>
      <w:r>
        <w:rPr>
          <w:rFonts w:hint="eastAsia"/>
          <w:lang w:val="zh-TW"/>
        </w:rPr>
        <w:t>维修相结合的措施开展储罐隐患排查治理，实现针对性的有效管理。</w:t>
      </w:r>
    </w:p>
    <w:p w14:paraId="666BC5D7">
      <w:pPr>
        <w:pStyle w:val="165"/>
      </w:pPr>
      <w:r>
        <w:rPr>
          <w:rFonts w:hint="eastAsia" w:ascii="黑体" w:hAnsi="黑体"/>
          <w:szCs w:val="22"/>
          <w:lang w:val="zh-TW"/>
        </w:rPr>
        <w:t>企业主要负责人应全面负责储罐的安全管理工作，落实全员安全生产责任制。</w:t>
      </w:r>
    </w:p>
    <w:p w14:paraId="4F91A557">
      <w:pPr>
        <w:pStyle w:val="165"/>
      </w:pPr>
      <w:r>
        <w:rPr>
          <w:rFonts w:hint="eastAsia" w:hAnsi="宋体" w:cstheme="minorBidi"/>
          <w:spacing w:val="-6"/>
          <w:kern w:val="2"/>
          <w:szCs w:val="21"/>
        </w:rPr>
        <w:t>储罐从业人员应经安全生产</w:t>
      </w:r>
      <w:bookmarkStart w:id="101" w:name="OLE_LINK29"/>
      <w:r>
        <w:rPr>
          <w:rFonts w:hint="eastAsia" w:hAnsi="宋体" w:cstheme="minorBidi"/>
          <w:spacing w:val="-6"/>
          <w:kern w:val="2"/>
          <w:szCs w:val="21"/>
        </w:rPr>
        <w:t>教育和培训</w:t>
      </w:r>
      <w:bookmarkEnd w:id="101"/>
      <w:r>
        <w:rPr>
          <w:rFonts w:hint="eastAsia" w:hAnsi="宋体" w:cstheme="minorBidi"/>
          <w:spacing w:val="-6"/>
          <w:kern w:val="2"/>
          <w:szCs w:val="21"/>
        </w:rPr>
        <w:t>合格后上岗作业</w:t>
      </w:r>
      <w:r>
        <w:rPr>
          <w:rFonts w:hint="eastAsia" w:cstheme="minorBidi"/>
          <w:spacing w:val="-6"/>
          <w:kern w:val="2"/>
          <w:szCs w:val="21"/>
        </w:rPr>
        <w:t>。</w:t>
      </w:r>
    </w:p>
    <w:p w14:paraId="2180EB73">
      <w:pPr>
        <w:pStyle w:val="165"/>
      </w:pPr>
      <w:bookmarkStart w:id="102" w:name="OLE_LINK16"/>
      <w:bookmarkStart w:id="103" w:name="_Hlk181199630"/>
      <w:r>
        <w:rPr>
          <w:rFonts w:hint="eastAsia" w:ascii="黑体" w:hAnsi="黑体"/>
          <w:szCs w:val="22"/>
        </w:rPr>
        <w:t>应</w:t>
      </w:r>
      <w:bookmarkEnd w:id="102"/>
      <w:r>
        <w:rPr>
          <w:rFonts w:hint="eastAsia" w:ascii="黑体" w:hAnsi="黑体"/>
          <w:szCs w:val="22"/>
          <w:lang w:val="zh-TW"/>
        </w:rPr>
        <w:t>建立并实施符合储罐安全管理要求的安全生产管理制度和操作规程</w:t>
      </w:r>
      <w:bookmarkEnd w:id="103"/>
      <w:r>
        <w:rPr>
          <w:rFonts w:hint="eastAsia" w:ascii="黑体" w:hAnsi="黑体"/>
          <w:szCs w:val="22"/>
          <w:lang w:val="zh-TW"/>
        </w:rPr>
        <w:t>。</w:t>
      </w:r>
    </w:p>
    <w:p w14:paraId="69D56361">
      <w:pPr>
        <w:pStyle w:val="165"/>
        <w:rPr>
          <w:strike/>
        </w:rPr>
      </w:pPr>
      <w:r>
        <w:rPr>
          <w:rFonts w:hint="eastAsia" w:ascii="黑体" w:hAnsi="黑体"/>
          <w:szCs w:val="22"/>
        </w:rPr>
        <w:t>储罐应经验收合格，才能投入使用</w:t>
      </w:r>
      <w:r>
        <w:rPr>
          <w:rFonts w:hint="eastAsia" w:ascii="黑体" w:hAnsi="黑体"/>
          <w:szCs w:val="22"/>
          <w:lang w:val="zh-TW"/>
        </w:rPr>
        <w:t>。</w:t>
      </w:r>
    </w:p>
    <w:p w14:paraId="3A5280D1">
      <w:pPr>
        <w:pStyle w:val="165"/>
      </w:pPr>
      <w:r>
        <w:rPr>
          <w:rFonts w:hint="eastAsia" w:ascii="黑体" w:hAnsi="黑体"/>
          <w:color w:val="0000FF"/>
          <w:szCs w:val="22"/>
        </w:rPr>
        <w:t>应从储罐设计、施工、</w:t>
      </w:r>
      <w:r>
        <w:rPr>
          <w:rFonts w:hint="eastAsia" w:ascii="黑体" w:hAnsi="黑体"/>
          <w:color w:val="0000FF"/>
          <w:szCs w:val="22"/>
          <w:lang w:eastAsia="zh-CN"/>
        </w:rPr>
        <w:t>验收、</w:t>
      </w:r>
      <w:r>
        <w:rPr>
          <w:rFonts w:hint="eastAsia" w:ascii="黑体" w:hAnsi="黑体"/>
          <w:color w:val="0000FF"/>
          <w:szCs w:val="22"/>
        </w:rPr>
        <w:t>运行、维</w:t>
      </w:r>
      <w:r>
        <w:rPr>
          <w:rFonts w:hint="eastAsia" w:ascii="黑体" w:hAnsi="黑体"/>
          <w:color w:val="0000FF"/>
          <w:szCs w:val="22"/>
          <w:lang w:eastAsia="zh-CN"/>
        </w:rPr>
        <w:t>修和报废各阶段中</w:t>
      </w:r>
      <w:r>
        <w:rPr>
          <w:rFonts w:hint="eastAsia" w:ascii="黑体" w:hAnsi="黑体"/>
          <w:color w:val="0000FF"/>
          <w:szCs w:val="22"/>
        </w:rPr>
        <w:t>收集、分析相关数据信息</w:t>
      </w:r>
      <w:r>
        <w:rPr>
          <w:rFonts w:hint="eastAsia" w:ascii="黑体" w:hAnsi="黑体"/>
          <w:szCs w:val="22"/>
        </w:rPr>
        <w:t>。</w:t>
      </w:r>
    </w:p>
    <w:p w14:paraId="363D1E97">
      <w:pPr>
        <w:pStyle w:val="165"/>
      </w:pPr>
      <w:r>
        <w:rPr>
          <w:rFonts w:hint="eastAsia" w:ascii="黑体" w:hAnsi="黑体"/>
          <w:szCs w:val="22"/>
        </w:rPr>
        <w:t>大</w:t>
      </w:r>
      <w:r>
        <w:rPr>
          <w:rFonts w:hint="eastAsia" w:ascii="黑体" w:hAnsi="黑体"/>
          <w:szCs w:val="22"/>
          <w:lang w:val="zh-TW"/>
        </w:rPr>
        <w:t>风（五级以上）、暴雨、大雾、暴雪、高温、寒潮等灾害性天气</w:t>
      </w:r>
      <w:r>
        <w:rPr>
          <w:rFonts w:hint="eastAsia" w:ascii="黑体" w:hAnsi="黑体"/>
          <w:szCs w:val="22"/>
        </w:rPr>
        <w:t>，</w:t>
      </w:r>
      <w:r>
        <w:rPr>
          <w:rFonts w:hint="eastAsia" w:ascii="黑体" w:hAnsi="黑体"/>
          <w:szCs w:val="22"/>
          <w:lang w:val="zh-TW"/>
        </w:rPr>
        <w:t>应停止</w:t>
      </w:r>
      <w:r>
        <w:rPr>
          <w:rFonts w:hint="eastAsia" w:ascii="黑体" w:hAnsi="黑体"/>
          <w:szCs w:val="22"/>
        </w:rPr>
        <w:t>储罐</w:t>
      </w:r>
      <w:r>
        <w:rPr>
          <w:rFonts w:hint="eastAsia" w:ascii="黑体" w:hAnsi="黑体"/>
          <w:szCs w:val="22"/>
          <w:lang w:val="zh-TW"/>
        </w:rPr>
        <w:t>上罐作业。</w:t>
      </w:r>
    </w:p>
    <w:p w14:paraId="0A24A014">
      <w:pPr>
        <w:pStyle w:val="107"/>
        <w:spacing w:before="312" w:after="312"/>
        <w:rPr>
          <w:rFonts w:hint="eastAsia" w:hAnsi="黑体" w:cs="黑体"/>
          <w:bCs/>
        </w:rPr>
      </w:pPr>
      <w:bookmarkStart w:id="104" w:name="_Toc183074785"/>
      <w:bookmarkStart w:id="105" w:name="_Toc183074814"/>
      <w:bookmarkStart w:id="106" w:name="_Toc181263718"/>
      <w:bookmarkStart w:id="107" w:name="_Toc182227876"/>
      <w:bookmarkStart w:id="108" w:name="_Toc182227068"/>
      <w:bookmarkStart w:id="109" w:name="_Toc182227167"/>
      <w:bookmarkStart w:id="110" w:name="_Toc182227668"/>
      <w:bookmarkStart w:id="111" w:name="_Toc182227745"/>
      <w:bookmarkStart w:id="112" w:name="_Toc181273015"/>
      <w:bookmarkStart w:id="113" w:name="_Toc182227130"/>
      <w:r>
        <w:rPr>
          <w:rFonts w:hint="eastAsia" w:hAnsi="黑体" w:cs="黑体"/>
          <w:bCs/>
        </w:rPr>
        <w:t>运行安全条件</w:t>
      </w:r>
      <w:bookmarkEnd w:id="104"/>
      <w:bookmarkEnd w:id="105"/>
      <w:bookmarkEnd w:id="106"/>
      <w:bookmarkEnd w:id="107"/>
      <w:bookmarkEnd w:id="108"/>
      <w:bookmarkEnd w:id="109"/>
      <w:bookmarkEnd w:id="110"/>
      <w:bookmarkEnd w:id="111"/>
      <w:bookmarkEnd w:id="112"/>
      <w:bookmarkEnd w:id="113"/>
    </w:p>
    <w:p w14:paraId="3A1DE40D">
      <w:pPr>
        <w:pStyle w:val="108"/>
        <w:spacing w:before="156" w:after="156"/>
        <w:rPr>
          <w:lang w:val="zh-TW"/>
        </w:rPr>
      </w:pPr>
      <w:bookmarkStart w:id="114" w:name="_Toc183074815"/>
      <w:bookmarkStart w:id="115" w:name="_Toc183074786"/>
      <w:bookmarkStart w:id="116" w:name="_Toc182227669"/>
      <w:bookmarkStart w:id="117" w:name="_Toc182227069"/>
      <w:bookmarkStart w:id="118" w:name="_Toc182227877"/>
      <w:bookmarkStart w:id="119" w:name="_Toc182227168"/>
      <w:bookmarkStart w:id="120" w:name="_Toc182227746"/>
      <w:bookmarkStart w:id="121" w:name="_Toc182227131"/>
      <w:r>
        <w:rPr>
          <w:rFonts w:hint="eastAsia"/>
          <w:lang w:val="zh-TW"/>
        </w:rPr>
        <w:t>工程技术措施</w:t>
      </w:r>
      <w:bookmarkEnd w:id="114"/>
      <w:bookmarkEnd w:id="115"/>
      <w:bookmarkEnd w:id="116"/>
      <w:bookmarkEnd w:id="117"/>
      <w:bookmarkEnd w:id="118"/>
      <w:bookmarkEnd w:id="119"/>
      <w:bookmarkEnd w:id="120"/>
      <w:bookmarkEnd w:id="121"/>
    </w:p>
    <w:p w14:paraId="27C296D3">
      <w:pPr>
        <w:pStyle w:val="168"/>
      </w:pPr>
      <w:r>
        <w:rPr>
          <w:rFonts w:hint="eastAsia" w:ascii="黑体" w:hAnsi="黑体" w:eastAsia="黑体" w:cs="黑体"/>
          <w:szCs w:val="22"/>
        </w:rPr>
        <w:t>呼吸阀、阻火器</w:t>
      </w:r>
    </w:p>
    <w:p w14:paraId="6F20D6CB">
      <w:pPr>
        <w:pStyle w:val="59"/>
        <w:ind w:firstLine="420"/>
        <w:rPr>
          <w:rFonts w:hint="eastAsia" w:ascii="黑体" w:hAnsi="黑体"/>
          <w:szCs w:val="22"/>
        </w:rPr>
      </w:pPr>
      <w:r>
        <w:rPr>
          <w:rFonts w:hint="eastAsia" w:ascii="黑体" w:hAnsi="黑体"/>
          <w:szCs w:val="22"/>
        </w:rPr>
        <w:t>储罐的呼吸阀、阻火器</w:t>
      </w:r>
      <w:r>
        <w:rPr>
          <w:rFonts w:hint="eastAsia" w:hAnsi="宋体" w:cs="宋体"/>
          <w:szCs w:val="21"/>
          <w:lang w:val="zh-TW"/>
        </w:rPr>
        <w:t>应</w:t>
      </w:r>
      <w:r>
        <w:rPr>
          <w:rFonts w:hint="eastAsia" w:ascii="黑体" w:hAnsi="黑体"/>
          <w:szCs w:val="22"/>
        </w:rPr>
        <w:t>满足以下要求：</w:t>
      </w:r>
    </w:p>
    <w:p w14:paraId="59DD2826">
      <w:pPr>
        <w:pStyle w:val="177"/>
        <w:numPr>
          <w:ilvl w:val="0"/>
          <w:numId w:val="32"/>
        </w:numPr>
      </w:pPr>
      <w:r>
        <w:rPr>
          <w:rFonts w:hint="eastAsia" w:hAnsi="宋体" w:cs="宋体"/>
          <w:szCs w:val="21"/>
        </w:rPr>
        <w:t>甲</w:t>
      </w:r>
      <w:r>
        <w:rPr>
          <w:rFonts w:hint="eastAsia" w:hAnsi="宋体" w:cs="宋体"/>
          <w:szCs w:val="21"/>
          <w:vertAlign w:val="subscript"/>
        </w:rPr>
        <w:t>B</w:t>
      </w:r>
      <w:r>
        <w:rPr>
          <w:rFonts w:hAnsi="宋体" w:cs="宋体"/>
          <w:szCs w:val="21"/>
        </w:rPr>
        <w:t>、乙类液体的固定顶罐</w:t>
      </w:r>
      <w:r>
        <w:rPr>
          <w:rFonts w:hint="eastAsia" w:hAnsi="宋体" w:cs="宋体"/>
          <w:szCs w:val="21"/>
          <w:lang w:eastAsia="zh-CN"/>
        </w:rPr>
        <w:t>设</w:t>
      </w:r>
      <w:r>
        <w:rPr>
          <w:rFonts w:hAnsi="宋体" w:cs="宋体"/>
          <w:szCs w:val="21"/>
        </w:rPr>
        <w:t>呼吸阀和阻火器</w:t>
      </w:r>
      <w:r>
        <w:rPr>
          <w:rFonts w:hint="eastAsia" w:hAnsi="宋体" w:cs="宋体"/>
          <w:szCs w:val="21"/>
        </w:rPr>
        <w:t>，</w:t>
      </w:r>
      <w:r>
        <w:rPr>
          <w:rFonts w:hAnsi="宋体" w:cs="宋体"/>
          <w:szCs w:val="21"/>
        </w:rPr>
        <w:t>采用氮气或其他气体气封的甲</w:t>
      </w:r>
      <w:r>
        <w:rPr>
          <w:rFonts w:hint="eastAsia" w:hAnsi="宋体" w:cs="宋体"/>
          <w:szCs w:val="21"/>
          <w:vertAlign w:val="subscript"/>
        </w:rPr>
        <w:t>B</w:t>
      </w:r>
      <w:r>
        <w:rPr>
          <w:rFonts w:hAnsi="宋体" w:cs="宋体"/>
          <w:szCs w:val="21"/>
        </w:rPr>
        <w:t>、乙类液体的储罐设置事故泄压设备</w:t>
      </w:r>
      <w:r>
        <w:rPr>
          <w:rFonts w:hint="eastAsia" w:hAnsi="宋体" w:cs="宋体"/>
          <w:szCs w:val="21"/>
        </w:rPr>
        <w:t>；</w:t>
      </w:r>
    </w:p>
    <w:p w14:paraId="145A2422">
      <w:pPr>
        <w:pStyle w:val="177"/>
        <w:numPr>
          <w:ilvl w:val="0"/>
          <w:numId w:val="32"/>
        </w:numPr>
      </w:pPr>
      <w:r>
        <w:rPr>
          <w:rFonts w:hint="eastAsia" w:hAnsi="宋体" w:cs="宋体"/>
          <w:szCs w:val="21"/>
          <w:lang w:val="zh-TW"/>
        </w:rPr>
        <w:t>丙</w:t>
      </w:r>
      <w:r>
        <w:rPr>
          <w:rFonts w:hint="eastAsia" w:hAnsi="宋体" w:cs="宋体"/>
          <w:szCs w:val="21"/>
          <w:vertAlign w:val="subscript"/>
          <w:lang w:val="zh-TW"/>
        </w:rPr>
        <w:t>A</w:t>
      </w:r>
      <w:r>
        <w:rPr>
          <w:rFonts w:hint="eastAsia" w:hAnsi="宋体" w:cs="宋体"/>
          <w:szCs w:val="21"/>
          <w:lang w:val="zh-TW"/>
        </w:rPr>
        <w:t>类液体的固定顶储罐和甲</w:t>
      </w:r>
      <w:r>
        <w:rPr>
          <w:rFonts w:hint="eastAsia" w:hAnsi="宋体" w:cs="宋体"/>
          <w:szCs w:val="21"/>
          <w:vertAlign w:val="subscript"/>
          <w:lang w:val="zh-TW"/>
        </w:rPr>
        <w:t xml:space="preserve">B </w:t>
      </w:r>
      <w:r>
        <w:rPr>
          <w:rFonts w:hint="eastAsia" w:hAnsi="宋体" w:cs="宋体"/>
          <w:szCs w:val="21"/>
          <w:lang w:val="zh-TW"/>
        </w:rPr>
        <w:t>、乙、丙</w:t>
      </w:r>
      <w:r>
        <w:rPr>
          <w:rFonts w:hint="eastAsia" w:hAnsi="宋体" w:cs="宋体"/>
          <w:szCs w:val="21"/>
          <w:vertAlign w:val="subscript"/>
          <w:lang w:val="zh-TW"/>
        </w:rPr>
        <w:t>A</w:t>
      </w:r>
      <w:r>
        <w:rPr>
          <w:rFonts w:hint="eastAsia" w:hAnsi="宋体" w:cs="宋体"/>
          <w:szCs w:val="21"/>
          <w:lang w:val="zh-TW"/>
        </w:rPr>
        <w:t>类液体的地上卧式储罐的通气管上装设阻火器；</w:t>
      </w:r>
    </w:p>
    <w:p w14:paraId="6128D629">
      <w:pPr>
        <w:pStyle w:val="177"/>
        <w:numPr>
          <w:ilvl w:val="0"/>
          <w:numId w:val="32"/>
        </w:numPr>
      </w:pPr>
      <w:r>
        <w:rPr>
          <w:rFonts w:hint="eastAsia" w:hAnsi="宋体" w:cs="宋体"/>
          <w:szCs w:val="21"/>
          <w:lang w:val="zh-TW"/>
        </w:rPr>
        <w:t>储存甲</w:t>
      </w:r>
      <w:r>
        <w:rPr>
          <w:rFonts w:hint="eastAsia" w:hAnsi="宋体" w:cs="宋体"/>
          <w:szCs w:val="21"/>
          <w:vertAlign w:val="subscript"/>
          <w:lang w:val="zh-TW"/>
        </w:rPr>
        <w:t>B</w:t>
      </w:r>
      <w:r>
        <w:rPr>
          <w:rFonts w:hint="eastAsia" w:hAnsi="宋体" w:cs="宋体"/>
          <w:szCs w:val="21"/>
          <w:lang w:val="zh-TW"/>
        </w:rPr>
        <w:t>、乙、丙</w:t>
      </w:r>
      <w:r>
        <w:rPr>
          <w:rFonts w:hint="eastAsia" w:hAnsi="宋体" w:cs="宋体"/>
          <w:szCs w:val="21"/>
          <w:vertAlign w:val="subscript"/>
          <w:lang w:val="zh-TW"/>
        </w:rPr>
        <w:t>A</w:t>
      </w:r>
      <w:r>
        <w:rPr>
          <w:rFonts w:hint="eastAsia" w:hAnsi="宋体" w:cs="宋体"/>
          <w:szCs w:val="21"/>
          <w:lang w:val="zh-TW"/>
        </w:rPr>
        <w:t>类液体并采用氮气密封保护系统的内浮顶储罐的通气管上装设阻火器。</w:t>
      </w:r>
    </w:p>
    <w:p w14:paraId="76ACCA5E">
      <w:pPr>
        <w:pStyle w:val="168"/>
      </w:pPr>
      <w:r>
        <w:rPr>
          <w:rFonts w:hint="eastAsia" w:ascii="黑体" w:hAnsi="黑体" w:eastAsia="黑体" w:cs="黑体"/>
          <w:szCs w:val="22"/>
        </w:rPr>
        <w:t>液位测量仪表</w:t>
      </w:r>
    </w:p>
    <w:p w14:paraId="5DDC726E">
      <w:pPr>
        <w:pStyle w:val="59"/>
        <w:ind w:firstLine="420"/>
        <w:rPr>
          <w:lang w:val="zh-TW"/>
        </w:rPr>
      </w:pPr>
      <w:r>
        <w:rPr>
          <w:rFonts w:hint="eastAsia" w:ascii="黑体" w:hAnsi="黑体" w:cstheme="minorBidi"/>
          <w:kern w:val="2"/>
          <w:szCs w:val="22"/>
          <w:lang w:val="zh-TW"/>
        </w:rPr>
        <w:t>储罐应设</w:t>
      </w:r>
      <w:r>
        <w:rPr>
          <w:rFonts w:hint="eastAsia"/>
          <w:lang w:val="zh-TW"/>
        </w:rPr>
        <w:t>置液位测量仪表，并满足以下要求：</w:t>
      </w:r>
    </w:p>
    <w:p w14:paraId="6D1ED095">
      <w:pPr>
        <w:pStyle w:val="177"/>
        <w:numPr>
          <w:ilvl w:val="0"/>
          <w:numId w:val="33"/>
        </w:numPr>
      </w:pPr>
      <w:r>
        <w:rPr>
          <w:rFonts w:hint="eastAsia" w:hAnsi="宋体" w:cs="宋体"/>
          <w:szCs w:val="21"/>
          <w:lang w:val="zh-TW"/>
        </w:rPr>
        <w:t>容量大于100</w:t>
      </w:r>
      <w:r>
        <w:rPr>
          <w:rFonts w:hint="eastAsia" w:hAnsi="宋体" w:cs="宋体"/>
          <w:szCs w:val="21"/>
        </w:rPr>
        <w:t xml:space="preserve"> </w:t>
      </w:r>
      <w:r>
        <w:rPr>
          <w:rFonts w:hint="eastAsia" w:hAnsi="宋体" w:cs="宋体"/>
          <w:szCs w:val="21"/>
          <w:lang w:val="zh-TW"/>
        </w:rPr>
        <w:t>m</w:t>
      </w:r>
      <w:r>
        <w:rPr>
          <w:rFonts w:hint="eastAsia" w:hAnsi="宋体" w:cs="宋体"/>
          <w:szCs w:val="21"/>
          <w:vertAlign w:val="superscript"/>
          <w:lang w:val="zh-TW"/>
        </w:rPr>
        <w:t>3</w:t>
      </w:r>
      <w:r>
        <w:rPr>
          <w:rFonts w:hint="eastAsia" w:hAnsi="宋体" w:cs="宋体"/>
          <w:szCs w:val="21"/>
          <w:lang w:val="zh-TW"/>
        </w:rPr>
        <w:t>储罐的液位测量仪表具有连续测量远传功能，液位连续测量信号接入自动控制系统；</w:t>
      </w:r>
    </w:p>
    <w:p w14:paraId="5234D02D">
      <w:pPr>
        <w:pStyle w:val="177"/>
        <w:numPr>
          <w:ilvl w:val="0"/>
          <w:numId w:val="33"/>
        </w:numPr>
      </w:pPr>
      <w:r>
        <w:rPr>
          <w:rFonts w:hint="eastAsia" w:hAnsi="宋体" w:cs="宋体"/>
          <w:szCs w:val="21"/>
          <w:lang w:val="zh-TW"/>
        </w:rPr>
        <w:t>储存</w:t>
      </w:r>
      <w:r>
        <w:rPr>
          <w:rFonts w:hint="eastAsia" w:hAnsi="宋体" w:cs="宋体"/>
          <w:szCs w:val="21"/>
        </w:rPr>
        <w:t>甲</w:t>
      </w:r>
      <w:r>
        <w:rPr>
          <w:rFonts w:hint="eastAsia" w:hAnsi="宋体" w:cs="宋体"/>
          <w:szCs w:val="21"/>
          <w:vertAlign w:val="subscript"/>
        </w:rPr>
        <w:t>B</w:t>
      </w:r>
      <w:r>
        <w:rPr>
          <w:rFonts w:hint="eastAsia" w:hAnsi="宋体" w:cs="宋体"/>
          <w:szCs w:val="21"/>
        </w:rPr>
        <w:t>、乙类</w:t>
      </w:r>
      <w:r>
        <w:rPr>
          <w:rFonts w:hint="eastAsia" w:hAnsi="宋体" w:cs="宋体"/>
          <w:szCs w:val="21"/>
          <w:lang w:val="zh-TW"/>
        </w:rPr>
        <w:t>液体的储罐至少配备两个不同类型的液位测量仪表。</w:t>
      </w:r>
    </w:p>
    <w:p w14:paraId="4F23257D">
      <w:pPr>
        <w:pStyle w:val="168"/>
      </w:pPr>
      <w:r>
        <w:rPr>
          <w:rFonts w:hint="eastAsia" w:ascii="黑体" w:hAnsi="黑体"/>
          <w:szCs w:val="22"/>
        </w:rPr>
        <w:t>温度测量仪表</w:t>
      </w:r>
    </w:p>
    <w:p w14:paraId="12620FC5">
      <w:pPr>
        <w:pStyle w:val="59"/>
        <w:ind w:firstLine="420"/>
        <w:rPr>
          <w:rFonts w:hint="eastAsia" w:ascii="黑体" w:hAnsi="黑体" w:cstheme="minorBidi"/>
          <w:kern w:val="2"/>
          <w:szCs w:val="22"/>
          <w:lang w:val="zh-TW"/>
        </w:rPr>
      </w:pPr>
      <w:r>
        <w:rPr>
          <w:rFonts w:hint="eastAsia" w:ascii="黑体" w:hAnsi="黑体" w:cstheme="minorBidi"/>
          <w:kern w:val="2"/>
          <w:szCs w:val="22"/>
          <w:lang w:val="zh-TW"/>
        </w:rPr>
        <w:t>可燃液体储罐应设温度测量仪表。</w:t>
      </w:r>
    </w:p>
    <w:p w14:paraId="5703A67F">
      <w:pPr>
        <w:pStyle w:val="168"/>
      </w:pPr>
      <w:r>
        <w:rPr>
          <w:rFonts w:hint="eastAsia" w:ascii="黑体" w:hAnsi="黑体" w:eastAsia="黑体" w:cs="黑体"/>
          <w:szCs w:val="22"/>
        </w:rPr>
        <w:t>压力仪表</w:t>
      </w:r>
    </w:p>
    <w:p w14:paraId="42173D3D">
      <w:pPr>
        <w:pStyle w:val="59"/>
        <w:ind w:firstLine="420"/>
        <w:rPr>
          <w:rFonts w:hint="eastAsia" w:ascii="黑体" w:hAnsi="黑体" w:cstheme="minorBidi"/>
          <w:kern w:val="2"/>
          <w:szCs w:val="22"/>
          <w:lang w:val="zh-TW"/>
        </w:rPr>
      </w:pPr>
      <w:r>
        <w:rPr>
          <w:rFonts w:hint="eastAsia" w:ascii="黑体" w:hAnsi="黑体" w:cstheme="minorBidi"/>
          <w:kern w:val="2"/>
          <w:szCs w:val="22"/>
          <w:lang w:val="zh-TW"/>
        </w:rPr>
        <w:t>设</w:t>
      </w:r>
      <w:r>
        <w:rPr>
          <w:rFonts w:hint="eastAsia" w:hAnsi="宋体" w:cs="宋体"/>
          <w:kern w:val="2"/>
          <w:szCs w:val="22"/>
          <w:lang w:val="zh-TW"/>
        </w:rPr>
        <w:t>计压力大于</w:t>
      </w:r>
      <w:r>
        <w:rPr>
          <w:rFonts w:hint="eastAsia"/>
          <w:lang w:val="zh-TW"/>
        </w:rPr>
        <w:t xml:space="preserve"> 6</w:t>
      </w:r>
      <w:r>
        <w:rPr>
          <w:rFonts w:hint="eastAsia"/>
          <w:lang w:val="en-US" w:eastAsia="zh-CN"/>
        </w:rPr>
        <w:t>.9</w:t>
      </w:r>
      <w:r>
        <w:rPr>
          <w:rFonts w:hint="eastAsia"/>
          <w:lang w:val="zh-TW"/>
        </w:rPr>
        <w:t xml:space="preserve"> kPa</w:t>
      </w:r>
      <w:r>
        <w:rPr>
          <w:rFonts w:hint="eastAsia"/>
          <w:lang w:val="zh-TW" w:eastAsia="zh-CN"/>
        </w:rPr>
        <w:t>的</w:t>
      </w:r>
      <w:r>
        <w:rPr>
          <w:rFonts w:hint="eastAsia" w:ascii="黑体" w:hAnsi="黑体" w:cstheme="minorBidi"/>
          <w:kern w:val="2"/>
          <w:szCs w:val="22"/>
          <w:lang w:val="zh-TW"/>
        </w:rPr>
        <w:t>储罐应设置压力仪表，并满足以下要求：</w:t>
      </w:r>
    </w:p>
    <w:p w14:paraId="1095249B">
      <w:pPr>
        <w:pStyle w:val="177"/>
        <w:numPr>
          <w:ilvl w:val="0"/>
          <w:numId w:val="34"/>
        </w:numPr>
      </w:pPr>
      <w:r>
        <w:rPr>
          <w:rFonts w:hint="eastAsia" w:hAnsi="宋体" w:cs="宋体"/>
          <w:szCs w:val="21"/>
          <w:lang w:val="zh-TW"/>
        </w:rPr>
        <w:t>设置压力测量就地指示仪表和压力远传仪表；</w:t>
      </w:r>
    </w:p>
    <w:p w14:paraId="44AA00CF">
      <w:pPr>
        <w:pStyle w:val="177"/>
        <w:numPr>
          <w:ilvl w:val="0"/>
          <w:numId w:val="34"/>
        </w:numPr>
      </w:pPr>
      <w:r>
        <w:rPr>
          <w:rFonts w:hint="eastAsia" w:hAnsi="宋体" w:cs="宋体"/>
          <w:szCs w:val="21"/>
          <w:lang w:val="zh-TW"/>
        </w:rPr>
        <w:t>压力就地指示仪表与压力远传仪表不共用一个开口；</w:t>
      </w:r>
    </w:p>
    <w:p w14:paraId="48EDEF5F">
      <w:pPr>
        <w:pStyle w:val="177"/>
        <w:numPr>
          <w:ilvl w:val="0"/>
          <w:numId w:val="34"/>
        </w:numPr>
      </w:pPr>
      <w:r>
        <w:rPr>
          <w:rFonts w:hint="eastAsia" w:hAnsi="宋体" w:cs="宋体"/>
          <w:szCs w:val="21"/>
          <w:lang w:val="zh-TW"/>
        </w:rPr>
        <w:t>甲</w:t>
      </w:r>
      <w:r>
        <w:rPr>
          <w:rFonts w:hint="eastAsia" w:hAnsi="宋体" w:cs="宋体"/>
          <w:szCs w:val="21"/>
          <w:vertAlign w:val="subscript"/>
          <w:lang w:val="zh-TW"/>
        </w:rPr>
        <w:t>B</w:t>
      </w:r>
      <w:r>
        <w:rPr>
          <w:rFonts w:hint="eastAsia" w:hAnsi="宋体" w:cs="宋体"/>
          <w:szCs w:val="21"/>
          <w:lang w:val="zh-TW"/>
        </w:rPr>
        <w:t>类液体储罐配置压力报警系统。</w:t>
      </w:r>
    </w:p>
    <w:p w14:paraId="6B04F81C">
      <w:pPr>
        <w:pStyle w:val="168"/>
      </w:pPr>
      <w:r>
        <w:rPr>
          <w:rFonts w:hint="eastAsia" w:ascii="黑体" w:hAnsi="黑体" w:eastAsia="黑体" w:cs="黑体"/>
          <w:szCs w:val="22"/>
        </w:rPr>
        <w:t>安全阀</w:t>
      </w:r>
    </w:p>
    <w:p w14:paraId="38AF39E4">
      <w:pPr>
        <w:pStyle w:val="59"/>
        <w:ind w:firstLine="420"/>
        <w:rPr>
          <w:lang w:val="zh-TW"/>
        </w:rPr>
      </w:pPr>
      <w:r>
        <w:rPr>
          <w:rFonts w:hint="eastAsia"/>
          <w:lang w:val="zh-TW"/>
        </w:rPr>
        <w:t>储罐应根据GB 50160</w:t>
      </w:r>
      <w:r>
        <w:rPr>
          <w:rFonts w:hint="eastAsia"/>
          <w:lang w:val="zh-TW" w:eastAsia="zh-CN"/>
        </w:rPr>
        <w:t>中</w:t>
      </w:r>
      <w:r>
        <w:rPr>
          <w:rFonts w:hint="eastAsia"/>
          <w:lang w:val="en-US" w:eastAsia="zh-CN"/>
        </w:rPr>
        <w:t>5.5.1的</w:t>
      </w:r>
      <w:r>
        <w:rPr>
          <w:rFonts w:hint="eastAsia"/>
          <w:lang w:val="zh-TW"/>
        </w:rPr>
        <w:t>要求设置安全阀。</w:t>
      </w:r>
    </w:p>
    <w:p w14:paraId="354CB313">
      <w:pPr>
        <w:pStyle w:val="168"/>
      </w:pPr>
      <w:r>
        <w:rPr>
          <w:rFonts w:hint="eastAsia" w:ascii="黑体" w:hAnsi="黑体" w:eastAsia="黑体" w:cs="黑体"/>
          <w:szCs w:val="22"/>
        </w:rPr>
        <w:t>液位联锁装置</w:t>
      </w:r>
    </w:p>
    <w:p w14:paraId="5A7EB22C">
      <w:pPr>
        <w:pStyle w:val="59"/>
        <w:ind w:firstLine="420"/>
        <w:rPr>
          <w:lang w:val="zh-TW"/>
        </w:rPr>
      </w:pPr>
      <w:r>
        <w:rPr>
          <w:rFonts w:hint="eastAsia"/>
          <w:lang w:val="zh-TW"/>
        </w:rPr>
        <w:t>储罐应按GB 50074、GB 50160、SH/T 3007、AQ 3053要求和操作需要，</w:t>
      </w:r>
      <w:bookmarkStart w:id="122" w:name="OLE_LINK18"/>
      <w:r>
        <w:rPr>
          <w:rFonts w:hint="eastAsia"/>
          <w:lang w:val="zh-TW"/>
        </w:rPr>
        <w:t>设置相应的高、低液位报警和高高、低低液位报警，采取高高液位自动联锁</w:t>
      </w:r>
      <w:bookmarkEnd w:id="122"/>
      <w:r>
        <w:rPr>
          <w:rFonts w:hint="eastAsia"/>
          <w:lang w:val="zh-TW"/>
        </w:rPr>
        <w:t>关闭储罐进料阀门和低低液位自动联锁停泵措施。</w:t>
      </w:r>
    </w:p>
    <w:p w14:paraId="49862CC2">
      <w:pPr>
        <w:pStyle w:val="168"/>
      </w:pPr>
      <w:r>
        <w:rPr>
          <w:rFonts w:hint="eastAsia" w:ascii="黑体" w:hAnsi="黑体" w:eastAsia="黑体" w:cs="黑体"/>
          <w:szCs w:val="22"/>
          <w:lang w:val="zh-TW"/>
        </w:rPr>
        <w:t>紧急切断阀</w:t>
      </w:r>
    </w:p>
    <w:p w14:paraId="3B6FE219">
      <w:pPr>
        <w:pStyle w:val="59"/>
        <w:ind w:firstLine="420"/>
      </w:pPr>
      <w:r>
        <w:rPr>
          <w:rFonts w:hint="eastAsia"/>
        </w:rPr>
        <w:t>下列情况，储罐</w:t>
      </w:r>
      <w:r>
        <w:rPr>
          <w:rFonts w:hint="eastAsia"/>
          <w:lang w:val="zh-TW"/>
        </w:rPr>
        <w:t>应设置紧急切断</w:t>
      </w:r>
      <w:bookmarkStart w:id="123" w:name="OLE_LINK12"/>
      <w:r>
        <w:rPr>
          <w:rFonts w:hint="eastAsia"/>
          <w:lang w:val="zh-TW"/>
        </w:rPr>
        <w:t>阀</w:t>
      </w:r>
      <w:bookmarkEnd w:id="123"/>
      <w:r>
        <w:rPr>
          <w:rFonts w:hint="eastAsia"/>
          <w:lang w:val="zh-TW"/>
        </w:rPr>
        <w:t>，紧急切断阀设置在储罐进、出口管道设有柔性连接之间，</w:t>
      </w:r>
      <w:r>
        <w:rPr>
          <w:rFonts w:hint="eastAsia"/>
        </w:rPr>
        <w:t>紧急切断阀的就地操作按钮设置在储罐组防火堤外：</w:t>
      </w:r>
    </w:p>
    <w:p w14:paraId="4E41A7D5">
      <w:pPr>
        <w:pStyle w:val="177"/>
        <w:numPr>
          <w:ilvl w:val="0"/>
          <w:numId w:val="35"/>
        </w:numPr>
      </w:pPr>
      <w:r>
        <w:rPr>
          <w:rFonts w:hint="eastAsia" w:hAnsi="宋体" w:cs="宋体"/>
          <w:szCs w:val="21"/>
          <w:lang w:val="zh-TW"/>
        </w:rPr>
        <w:t>储存极度、高度危害液体储罐，直径≥30</w:t>
      </w:r>
      <w:r>
        <w:rPr>
          <w:rFonts w:hint="eastAsia" w:hAnsi="宋体" w:cs="宋体"/>
          <w:szCs w:val="21"/>
        </w:rPr>
        <w:t xml:space="preserve"> </w:t>
      </w:r>
      <w:r>
        <w:rPr>
          <w:rFonts w:hint="eastAsia" w:hAnsi="宋体" w:cs="宋体"/>
          <w:szCs w:val="21"/>
          <w:lang w:val="zh-TW"/>
        </w:rPr>
        <w:t>m或容积≥10000</w:t>
      </w:r>
      <w:r>
        <w:rPr>
          <w:rFonts w:hint="eastAsia" w:hAnsi="宋体" w:cs="宋体"/>
          <w:szCs w:val="21"/>
        </w:rPr>
        <w:t xml:space="preserve"> </w:t>
      </w:r>
      <w:r>
        <w:rPr>
          <w:rFonts w:hint="eastAsia" w:hAnsi="宋体" w:cs="宋体"/>
          <w:szCs w:val="21"/>
          <w:lang w:val="zh-TW"/>
        </w:rPr>
        <w:t>m</w:t>
      </w:r>
      <w:r>
        <w:rPr>
          <w:rFonts w:hint="eastAsia" w:hAnsi="宋体" w:cs="宋体"/>
          <w:szCs w:val="21"/>
          <w:vertAlign w:val="superscript"/>
          <w:lang w:val="zh-TW"/>
        </w:rPr>
        <w:t>3</w:t>
      </w:r>
      <w:r>
        <w:rPr>
          <w:rFonts w:hint="eastAsia" w:hAnsi="宋体" w:cs="宋体"/>
          <w:szCs w:val="21"/>
          <w:lang w:val="zh-TW"/>
        </w:rPr>
        <w:t>储罐，在进、出口管道靠近罐体处设置紧急切断阀；</w:t>
      </w:r>
    </w:p>
    <w:p w14:paraId="47D06C8C">
      <w:pPr>
        <w:pStyle w:val="177"/>
        <w:numPr>
          <w:ilvl w:val="0"/>
          <w:numId w:val="35"/>
        </w:numPr>
      </w:pPr>
      <w:r>
        <w:rPr>
          <w:rFonts w:hint="eastAsia" w:hAnsi="宋体" w:cs="宋体"/>
          <w:szCs w:val="21"/>
          <w:lang w:val="zh-TW"/>
        </w:rPr>
        <w:t>可燃液体储罐或罐组构成一级或二级重大危险源时，在储罐的进、出口管道靠近罐体处设置紧急切断阀</w:t>
      </w:r>
      <w:r>
        <w:rPr>
          <w:rFonts w:hint="eastAsia"/>
          <w:lang w:val="zh-TW"/>
        </w:rPr>
        <w:t>。</w:t>
      </w:r>
    </w:p>
    <w:p w14:paraId="21E10C5B">
      <w:pPr>
        <w:pStyle w:val="168"/>
        <w:rPr>
          <w:lang w:val="zh-TW"/>
        </w:rPr>
      </w:pPr>
      <w:r>
        <w:rPr>
          <w:rFonts w:hint="eastAsia" w:ascii="黑体" w:hAnsi="黑体" w:eastAsia="黑体" w:cs="黑体"/>
          <w:szCs w:val="22"/>
          <w:lang w:val="zh-TW"/>
        </w:rPr>
        <w:t>可燃和有</w:t>
      </w:r>
      <w:r>
        <w:rPr>
          <w:rFonts w:hint="eastAsia" w:ascii="黑体" w:hAnsi="黑体" w:eastAsia="黑体" w:cs="黑体"/>
          <w:lang w:val="zh-TW"/>
        </w:rPr>
        <w:t>毒气体检测报警</w:t>
      </w:r>
    </w:p>
    <w:p w14:paraId="51A3BC33">
      <w:pPr>
        <w:pStyle w:val="59"/>
        <w:ind w:firstLine="420"/>
        <w:rPr>
          <w:lang w:val="zh-TW"/>
        </w:rPr>
      </w:pPr>
      <w:r>
        <w:rPr>
          <w:rFonts w:hint="eastAsia" w:hAnsi="宋体" w:cs="宋体"/>
          <w:szCs w:val="21"/>
          <w:lang w:val="zh-TW"/>
        </w:rPr>
        <w:t>甲</w:t>
      </w:r>
      <w:r>
        <w:rPr>
          <w:rFonts w:hint="eastAsia" w:hAnsi="宋体" w:cs="宋体"/>
          <w:szCs w:val="21"/>
          <w:vertAlign w:val="subscript"/>
          <w:lang w:val="en-US" w:eastAsia="zh-CN"/>
        </w:rPr>
        <w:t>B</w:t>
      </w:r>
      <w:r>
        <w:rPr>
          <w:rFonts w:hint="eastAsia" w:hAnsi="宋体" w:cs="宋体"/>
          <w:szCs w:val="21"/>
          <w:lang w:val="zh-TW"/>
        </w:rPr>
        <w:t>、</w:t>
      </w:r>
      <w:r>
        <w:rPr>
          <w:rFonts w:hint="eastAsia" w:hAnsi="宋体" w:cs="宋体"/>
          <w:szCs w:val="21"/>
          <w:lang w:val="en-US" w:eastAsia="zh-CN"/>
        </w:rPr>
        <w:t xml:space="preserve"> </w:t>
      </w:r>
      <w:r>
        <w:rPr>
          <w:rFonts w:hint="eastAsia"/>
          <w:lang w:val="zh-TW"/>
        </w:rPr>
        <w:t>乙</w:t>
      </w:r>
      <w:r>
        <w:rPr>
          <w:rFonts w:hint="eastAsia"/>
          <w:vertAlign w:val="subscript"/>
          <w:lang w:val="zh-TW"/>
        </w:rPr>
        <w:t>A</w:t>
      </w:r>
      <w:r>
        <w:rPr>
          <w:rFonts w:hint="eastAsia"/>
          <w:lang w:val="zh-TW"/>
        </w:rPr>
        <w:t>类液体和有毒液体储罐区应设置可燃气体或有毒气体探测器，并符合GB/T 50493、SH/T 3007的规定。</w:t>
      </w:r>
    </w:p>
    <w:p w14:paraId="1177D2C3">
      <w:pPr>
        <w:pStyle w:val="168"/>
      </w:pPr>
      <w:r>
        <w:rPr>
          <w:rFonts w:hint="eastAsia" w:ascii="黑体" w:hAnsi="黑体" w:eastAsia="黑体" w:cs="黑体"/>
          <w:szCs w:val="22"/>
        </w:rPr>
        <w:t>防雷</w:t>
      </w:r>
      <w:r>
        <w:rPr>
          <w:rFonts w:hint="eastAsia" w:ascii="黑体" w:hAnsi="黑体" w:eastAsia="黑体" w:cs="黑体"/>
          <w:szCs w:val="22"/>
          <w:lang w:val="zh-TW"/>
        </w:rPr>
        <w:t>防静电措施</w:t>
      </w:r>
    </w:p>
    <w:p w14:paraId="3CDD3B56">
      <w:pPr>
        <w:pStyle w:val="59"/>
        <w:ind w:firstLine="420"/>
        <w:rPr>
          <w:rFonts w:hint="eastAsia" w:hAnsi="宋体" w:cs="宋体"/>
          <w:szCs w:val="21"/>
          <w:lang w:val="zh-TW"/>
        </w:rPr>
      </w:pPr>
      <w:r>
        <w:rPr>
          <w:rFonts w:hint="eastAsia" w:hAnsi="宋体" w:cs="宋体"/>
          <w:szCs w:val="21"/>
          <w:lang w:val="zh-TW"/>
        </w:rPr>
        <w:t>可燃液体的储罐，设防雷防静电</w:t>
      </w:r>
      <w:r>
        <w:rPr>
          <w:rFonts w:hint="eastAsia" w:ascii="黑体" w:hAnsi="黑体"/>
          <w:szCs w:val="22"/>
          <w:lang w:val="zh-TW"/>
        </w:rPr>
        <w:t>措施</w:t>
      </w:r>
      <w:r>
        <w:rPr>
          <w:rFonts w:hint="eastAsia" w:hAnsi="宋体" w:cs="宋体"/>
          <w:szCs w:val="21"/>
          <w:lang w:val="zh-TW"/>
        </w:rPr>
        <w:t>并符合下列规定：</w:t>
      </w:r>
    </w:p>
    <w:p w14:paraId="0E3A2A70">
      <w:pPr>
        <w:pStyle w:val="177"/>
        <w:numPr>
          <w:ilvl w:val="0"/>
          <w:numId w:val="36"/>
        </w:numPr>
      </w:pPr>
      <w:r>
        <w:rPr>
          <w:rFonts w:hint="eastAsia" w:hAnsi="宋体" w:cs="宋体"/>
          <w:szCs w:val="21"/>
          <w:lang w:val="zh-TW"/>
        </w:rPr>
        <w:t>金属罐体应设防直击雷接地，防雷接地引下线不应少于2根，并沿罐周向均匀布置，引下线间距不宜大于18</w:t>
      </w:r>
      <w:r>
        <w:rPr>
          <w:rFonts w:hint="eastAsia" w:hAnsi="宋体" w:cs="宋体"/>
          <w:szCs w:val="21"/>
        </w:rPr>
        <w:t xml:space="preserve"> </w:t>
      </w:r>
      <w:r>
        <w:rPr>
          <w:rFonts w:hint="eastAsia" w:hAnsi="宋体" w:cs="宋体"/>
          <w:szCs w:val="21"/>
          <w:lang w:val="zh-TW"/>
        </w:rPr>
        <w:t>m。每根引下线的冲击接地电阻值不应大于10</w:t>
      </w:r>
      <w:r>
        <w:rPr>
          <w:rFonts w:hint="eastAsia" w:hAnsi="宋体" w:cs="宋体"/>
          <w:szCs w:val="21"/>
        </w:rPr>
        <w:t xml:space="preserve"> </w:t>
      </w:r>
      <w:r>
        <w:rPr>
          <w:rFonts w:ascii="Times New Roman"/>
          <w:szCs w:val="21"/>
          <w:lang w:val="zh-TW"/>
        </w:rPr>
        <w:t>Ω</w:t>
      </w:r>
      <w:r>
        <w:rPr>
          <w:rFonts w:hint="eastAsia" w:ascii="Times New Roman"/>
          <w:szCs w:val="21"/>
          <w:lang w:val="zh-TW"/>
        </w:rPr>
        <w:t>；</w:t>
      </w:r>
    </w:p>
    <w:p w14:paraId="687AB625">
      <w:pPr>
        <w:pStyle w:val="177"/>
        <w:numPr>
          <w:ilvl w:val="0"/>
          <w:numId w:val="36"/>
        </w:numPr>
      </w:pPr>
      <w:r>
        <w:rPr>
          <w:rFonts w:hint="eastAsia" w:hAnsi="宋体" w:cs="宋体"/>
          <w:szCs w:val="21"/>
          <w:lang w:val="zh-TW"/>
        </w:rPr>
        <w:t>甲</w:t>
      </w:r>
      <w:r>
        <w:rPr>
          <w:rFonts w:hint="eastAsia" w:hAnsi="宋体" w:cs="宋体"/>
          <w:szCs w:val="21"/>
          <w:vertAlign w:val="subscript"/>
          <w:lang w:val="zh-TW"/>
        </w:rPr>
        <w:t>B</w:t>
      </w:r>
      <w:r>
        <w:rPr>
          <w:rFonts w:hint="eastAsia" w:hAnsi="宋体" w:cs="宋体"/>
          <w:szCs w:val="21"/>
          <w:lang w:val="zh-TW"/>
        </w:rPr>
        <w:t>、乙类可燃液体地上固定顶罐，当顶板厚度小于4</w:t>
      </w:r>
      <w:r>
        <w:rPr>
          <w:rFonts w:hint="eastAsia" w:hAnsi="宋体" w:cs="宋体"/>
          <w:szCs w:val="21"/>
        </w:rPr>
        <w:t xml:space="preserve"> </w:t>
      </w:r>
      <w:r>
        <w:rPr>
          <w:rFonts w:hint="eastAsia" w:hAnsi="宋体" w:cs="宋体"/>
          <w:szCs w:val="21"/>
          <w:lang w:val="zh-TW"/>
        </w:rPr>
        <w:t>mm时，装设避雷针、线，保护范围应覆盖整个储罐；</w:t>
      </w:r>
    </w:p>
    <w:p w14:paraId="46AA90C4">
      <w:pPr>
        <w:pStyle w:val="177"/>
        <w:numPr>
          <w:ilvl w:val="0"/>
          <w:numId w:val="36"/>
        </w:numPr>
      </w:pPr>
      <w:r>
        <w:rPr>
          <w:rFonts w:hint="eastAsia" w:hAnsi="宋体" w:cs="宋体"/>
          <w:szCs w:val="21"/>
          <w:lang w:val="zh-TW"/>
        </w:rPr>
        <w:t>丙类液体储罐可不设避雷针、线，应设防感应雷接地；</w:t>
      </w:r>
    </w:p>
    <w:p w14:paraId="18809B8D">
      <w:pPr>
        <w:pStyle w:val="177"/>
        <w:numPr>
          <w:ilvl w:val="0"/>
          <w:numId w:val="36"/>
        </w:numPr>
      </w:pPr>
      <w:r>
        <w:rPr>
          <w:rFonts w:hint="eastAsia" w:hAnsi="宋体" w:cs="宋体"/>
          <w:szCs w:val="21"/>
          <w:lang w:val="zh-TW"/>
        </w:rPr>
        <w:t>浮顶罐及内浮顶罐可不设避雷针、线，应将浮顶与罐体用两根截面不小于25</w:t>
      </w:r>
      <w:r>
        <w:rPr>
          <w:rFonts w:hint="eastAsia" w:hAnsi="宋体" w:cs="宋体"/>
          <w:szCs w:val="21"/>
        </w:rPr>
        <w:t xml:space="preserve"> </w:t>
      </w:r>
      <w:r>
        <w:rPr>
          <w:rFonts w:hint="eastAsia" w:hAnsi="宋体" w:cs="宋体"/>
          <w:szCs w:val="21"/>
          <w:lang w:val="zh-TW"/>
        </w:rPr>
        <w:t>mm²的软铜线做电气连接；</w:t>
      </w:r>
    </w:p>
    <w:p w14:paraId="18DC3CBA">
      <w:pPr>
        <w:pStyle w:val="177"/>
        <w:numPr>
          <w:ilvl w:val="0"/>
          <w:numId w:val="36"/>
        </w:numPr>
      </w:pPr>
      <w:r>
        <w:rPr>
          <w:rFonts w:hint="eastAsia"/>
        </w:rPr>
        <w:t>浮顶罐的转动扶梯与罐体及浮顶各两处应作电气连接；</w:t>
      </w:r>
    </w:p>
    <w:p w14:paraId="54127081">
      <w:pPr>
        <w:pStyle w:val="177"/>
        <w:numPr>
          <w:ilvl w:val="0"/>
          <w:numId w:val="36"/>
        </w:numPr>
      </w:pPr>
      <w:r>
        <w:rPr>
          <w:rFonts w:hint="eastAsia" w:hAnsi="宋体" w:cs="宋体"/>
          <w:szCs w:val="21"/>
          <w:lang w:val="zh-TW"/>
        </w:rPr>
        <w:t>可燃液体储罐的温度、液位等测量装置应采用铠装电缆或钢管配线，电缆外皮或配线钢管与罐体应做电气连接；</w:t>
      </w:r>
    </w:p>
    <w:p w14:paraId="6272E2E6">
      <w:pPr>
        <w:pStyle w:val="177"/>
        <w:numPr>
          <w:ilvl w:val="0"/>
          <w:numId w:val="36"/>
        </w:numPr>
      </w:pPr>
      <w:r>
        <w:rPr>
          <w:rFonts w:hint="eastAsia" w:hAnsi="宋体" w:cs="宋体"/>
          <w:szCs w:val="21"/>
          <w:lang w:val="zh-TW"/>
        </w:rPr>
        <w:t>可燃液体储罐的管道在进出爆炸危险场所的边界处应采取静电接地措施；</w:t>
      </w:r>
    </w:p>
    <w:p w14:paraId="6C7769D1">
      <w:pPr>
        <w:pStyle w:val="177"/>
        <w:numPr>
          <w:ilvl w:val="0"/>
          <w:numId w:val="36"/>
        </w:numPr>
      </w:pPr>
      <w:r>
        <w:rPr>
          <w:rFonts w:hint="eastAsia" w:hAnsi="宋体" w:cs="宋体"/>
          <w:szCs w:val="21"/>
          <w:lang w:val="zh-TW"/>
        </w:rPr>
        <w:t>甲</w:t>
      </w:r>
      <w:r>
        <w:rPr>
          <w:rFonts w:hint="eastAsia" w:hAnsi="宋体" w:cs="宋体"/>
          <w:szCs w:val="21"/>
          <w:vertAlign w:val="subscript"/>
          <w:lang w:val="zh-TW"/>
        </w:rPr>
        <w:t>B</w:t>
      </w:r>
      <w:r>
        <w:rPr>
          <w:rFonts w:hint="eastAsia" w:hAnsi="宋体" w:cs="宋体"/>
          <w:szCs w:val="21"/>
          <w:lang w:val="zh-TW"/>
        </w:rPr>
        <w:t>、乙、丙</w:t>
      </w:r>
      <w:r>
        <w:rPr>
          <w:rFonts w:hint="eastAsia" w:hAnsi="宋体" w:cs="宋体"/>
          <w:szCs w:val="21"/>
          <w:vertAlign w:val="subscript"/>
          <w:lang w:val="zh-TW"/>
        </w:rPr>
        <w:t>A</w:t>
      </w:r>
      <w:r>
        <w:rPr>
          <w:rFonts w:hint="eastAsia" w:hAnsi="宋体" w:cs="宋体"/>
          <w:szCs w:val="21"/>
          <w:lang w:val="zh-TW"/>
        </w:rPr>
        <w:t>类液体储罐的上罐扶梯入口处应设消除人体静电装置；</w:t>
      </w:r>
    </w:p>
    <w:p w14:paraId="3C237614">
      <w:pPr>
        <w:pStyle w:val="177"/>
        <w:numPr>
          <w:ilvl w:val="0"/>
          <w:numId w:val="36"/>
        </w:numPr>
      </w:pPr>
      <w:r>
        <w:rPr>
          <w:rFonts w:hint="eastAsia" w:hAnsi="宋体" w:cs="宋体"/>
          <w:szCs w:val="21"/>
          <w:lang w:val="zh-TW"/>
        </w:rPr>
        <w:t>罐顶平台或浮顶上取样口的两侧1.5</w:t>
      </w:r>
      <w:r>
        <w:rPr>
          <w:rFonts w:hint="eastAsia" w:hAnsi="宋体" w:cs="宋体"/>
          <w:szCs w:val="21"/>
        </w:rPr>
        <w:t xml:space="preserve"> </w:t>
      </w:r>
      <w:r>
        <w:rPr>
          <w:rFonts w:hint="eastAsia" w:hAnsi="宋体" w:cs="宋体"/>
          <w:szCs w:val="21"/>
          <w:lang w:val="zh-TW"/>
        </w:rPr>
        <w:t>m之外应各设一组消除人体静电设施，并与罐体作电气连接。该消除人体静电设施可兼做人工检尺时取样绳索、检测尺等工具的电气连接体。电气连接导线的横截面积应不小于10mm</w:t>
      </w:r>
      <w:r>
        <w:rPr>
          <w:rFonts w:hint="eastAsia" w:hAnsi="宋体" w:cs="宋体"/>
          <w:szCs w:val="21"/>
          <w:vertAlign w:val="superscript"/>
          <w:lang w:val="zh-TW"/>
        </w:rPr>
        <w:t>2</w:t>
      </w:r>
      <w:r>
        <w:rPr>
          <w:rFonts w:hint="eastAsia" w:hAnsi="宋体" w:cs="宋体"/>
          <w:szCs w:val="21"/>
          <w:lang w:val="zh-TW"/>
        </w:rPr>
        <w:t>。</w:t>
      </w:r>
    </w:p>
    <w:p w14:paraId="3775C08C">
      <w:pPr>
        <w:pStyle w:val="168"/>
      </w:pPr>
      <w:r>
        <w:rPr>
          <w:rFonts w:hint="eastAsia" w:ascii="黑体" w:hAnsi="黑体" w:eastAsia="黑体" w:cs="黑体"/>
          <w:szCs w:val="22"/>
          <w:lang w:val="zh-TW"/>
        </w:rPr>
        <w:t>防腐措施</w:t>
      </w:r>
    </w:p>
    <w:p w14:paraId="3B688830">
      <w:pPr>
        <w:pStyle w:val="59"/>
        <w:ind w:firstLine="420"/>
        <w:rPr>
          <w:lang w:val="zh-TW"/>
        </w:rPr>
      </w:pPr>
      <w:r>
        <w:rPr>
          <w:rFonts w:hint="eastAsia"/>
          <w:lang w:val="zh-TW"/>
        </w:rPr>
        <w:t>储罐</w:t>
      </w:r>
      <w:r>
        <w:rPr>
          <w:rFonts w:hint="eastAsia"/>
          <w:lang w:val="zh-TW" w:eastAsia="zh-CN"/>
        </w:rPr>
        <w:t>及</w:t>
      </w:r>
      <w:r>
        <w:rPr>
          <w:rFonts w:hint="eastAsia"/>
          <w:lang w:val="zh-TW"/>
        </w:rPr>
        <w:t>盘梯、平台及栏杆的防腐</w:t>
      </w:r>
      <w:r>
        <w:rPr>
          <w:rFonts w:hint="eastAsia"/>
          <w:lang w:val="zh-TW" w:eastAsia="zh-CN"/>
        </w:rPr>
        <w:t>措施</w:t>
      </w:r>
      <w:r>
        <w:rPr>
          <w:rFonts w:hint="eastAsia"/>
          <w:lang w:val="zh-TW"/>
        </w:rPr>
        <w:t>应</w:t>
      </w:r>
      <w:r>
        <w:rPr>
          <w:rFonts w:hint="eastAsia"/>
          <w:lang w:val="zh-TW" w:eastAsia="zh-CN"/>
        </w:rPr>
        <w:t>执行</w:t>
      </w:r>
      <w:r>
        <w:rPr>
          <w:rFonts w:hint="eastAsia"/>
          <w:lang w:val="zh-TW"/>
        </w:rPr>
        <w:t>GB/T 50393、SY/T 6784</w:t>
      </w:r>
      <w:r>
        <w:rPr>
          <w:rFonts w:hint="eastAsia"/>
          <w:lang w:val="zh-TW" w:eastAsia="zh-CN"/>
        </w:rPr>
        <w:t>、</w:t>
      </w:r>
      <w:r>
        <w:rPr>
          <w:rFonts w:hint="eastAsia" w:ascii="宋体" w:hAnsi="宋体" w:cs="宋体"/>
          <w:szCs w:val="22"/>
        </w:rPr>
        <w:t>SY/T 5921</w:t>
      </w:r>
      <w:r>
        <w:rPr>
          <w:rFonts w:hint="eastAsia"/>
          <w:lang w:val="zh-TW"/>
        </w:rPr>
        <w:t>的相关要求。</w:t>
      </w:r>
    </w:p>
    <w:p w14:paraId="343D5E4C">
      <w:pPr>
        <w:pStyle w:val="168"/>
        <w:rPr>
          <w:color w:val="auto"/>
        </w:rPr>
      </w:pPr>
      <w:r>
        <w:rPr>
          <w:rFonts w:hint="eastAsia" w:ascii="黑体" w:hAnsi="黑体" w:eastAsia="黑体" w:cs="黑体"/>
          <w:szCs w:val="22"/>
          <w:lang w:val="zh-TW"/>
        </w:rPr>
        <w:t>消</w:t>
      </w:r>
      <w:bookmarkStart w:id="282" w:name="_GoBack"/>
      <w:r>
        <w:rPr>
          <w:rFonts w:hint="eastAsia" w:ascii="黑体" w:hAnsi="黑体" w:eastAsia="黑体" w:cs="黑体"/>
          <w:color w:val="auto"/>
          <w:szCs w:val="22"/>
          <w:lang w:val="zh-TW"/>
        </w:rPr>
        <w:t>防设施</w:t>
      </w:r>
    </w:p>
    <w:p w14:paraId="315760AD">
      <w:pPr>
        <w:pStyle w:val="59"/>
        <w:ind w:firstLine="420"/>
        <w:rPr>
          <w:color w:val="auto"/>
          <w:lang w:val="zh-TW"/>
        </w:rPr>
      </w:pPr>
      <w:r>
        <w:rPr>
          <w:rFonts w:hint="eastAsia" w:ascii="黑体" w:hAnsi="黑体"/>
          <w:color w:val="auto"/>
          <w:szCs w:val="22"/>
          <w:lang w:val="zh-TW"/>
        </w:rPr>
        <w:t>储罐的消防设施应</w:t>
      </w:r>
      <w:r>
        <w:rPr>
          <w:rFonts w:hint="eastAsia"/>
          <w:color w:val="auto"/>
          <w:lang w:val="zh-TW" w:eastAsia="zh-CN"/>
        </w:rPr>
        <w:t>执行</w:t>
      </w:r>
      <w:r>
        <w:rPr>
          <w:rFonts w:hint="eastAsia"/>
          <w:color w:val="auto"/>
          <w:lang w:val="zh-TW"/>
        </w:rPr>
        <w:t>GB 55036、GB 50160、GB 50074的相关要求。</w:t>
      </w:r>
    </w:p>
    <w:p w14:paraId="0024A93D">
      <w:pPr>
        <w:pStyle w:val="168"/>
        <w:rPr>
          <w:color w:val="auto"/>
        </w:rPr>
      </w:pPr>
      <w:bookmarkStart w:id="124" w:name="_Hlk181201583"/>
      <w:r>
        <w:rPr>
          <w:rFonts w:hint="eastAsia" w:ascii="黑体" w:hAnsi="黑体" w:eastAsia="黑体" w:cs="黑体"/>
          <w:color w:val="auto"/>
          <w:szCs w:val="22"/>
          <w:lang w:val="zh-TW"/>
        </w:rPr>
        <w:t>其他措施</w:t>
      </w:r>
      <w:bookmarkEnd w:id="124"/>
    </w:p>
    <w:p w14:paraId="197D3B37">
      <w:pPr>
        <w:pStyle w:val="59"/>
        <w:ind w:firstLine="420"/>
        <w:rPr>
          <w:rFonts w:hint="eastAsia" w:ascii="黑体" w:hAnsi="黑体"/>
          <w:color w:val="auto"/>
          <w:szCs w:val="22"/>
          <w:lang w:val="zh-TW"/>
        </w:rPr>
      </w:pPr>
      <w:r>
        <w:rPr>
          <w:rFonts w:hint="eastAsia" w:ascii="黑体" w:hAnsi="黑体"/>
          <w:color w:val="auto"/>
          <w:szCs w:val="22"/>
          <w:lang w:val="zh-TW"/>
        </w:rPr>
        <w:t>储罐的密闭保护措施包括但不限于以下要求：</w:t>
      </w:r>
    </w:p>
    <w:p w14:paraId="74556D58">
      <w:pPr>
        <w:pStyle w:val="177"/>
        <w:numPr>
          <w:ilvl w:val="0"/>
          <w:numId w:val="37"/>
        </w:numPr>
        <w:rPr>
          <w:color w:val="auto"/>
        </w:rPr>
      </w:pPr>
      <w:r>
        <w:rPr>
          <w:rFonts w:hint="eastAsia"/>
          <w:color w:val="auto"/>
          <w:lang w:val="zh-TW"/>
        </w:rPr>
        <w:t>储存极度、高度危害的甲</w:t>
      </w:r>
      <w:r>
        <w:rPr>
          <w:rFonts w:hint="eastAsia"/>
          <w:color w:val="auto"/>
          <w:vertAlign w:val="subscript"/>
          <w:lang w:val="zh-TW"/>
        </w:rPr>
        <w:t>B</w:t>
      </w:r>
      <w:r>
        <w:rPr>
          <w:rFonts w:hint="eastAsia"/>
          <w:color w:val="auto"/>
          <w:lang w:val="zh-TW"/>
        </w:rPr>
        <w:t>、乙</w:t>
      </w:r>
      <w:r>
        <w:rPr>
          <w:rFonts w:hint="eastAsia"/>
          <w:color w:val="auto"/>
          <w:vertAlign w:val="subscript"/>
          <w:lang w:val="zh-TW"/>
        </w:rPr>
        <w:t>A</w:t>
      </w:r>
      <w:r>
        <w:rPr>
          <w:rFonts w:hint="eastAsia"/>
          <w:color w:val="auto"/>
          <w:lang w:val="zh-TW"/>
        </w:rPr>
        <w:t>类液体储罐的单罐容量不应大于5000</w:t>
      </w:r>
      <w:r>
        <w:rPr>
          <w:rFonts w:hint="eastAsia"/>
          <w:color w:val="auto"/>
        </w:rPr>
        <w:t xml:space="preserve"> m</w:t>
      </w:r>
      <w:r>
        <w:rPr>
          <w:rFonts w:hint="eastAsia"/>
          <w:color w:val="auto"/>
          <w:vertAlign w:val="superscript"/>
        </w:rPr>
        <w:t>3</w:t>
      </w:r>
      <w:r>
        <w:rPr>
          <w:rFonts w:hint="eastAsia"/>
          <w:color w:val="auto"/>
          <w:lang w:val="zh-TW"/>
        </w:rPr>
        <w:t>，且应设置氮封保护系统；</w:t>
      </w:r>
    </w:p>
    <w:bookmarkEnd w:id="282"/>
    <w:p w14:paraId="0C50B24D">
      <w:pPr>
        <w:pStyle w:val="177"/>
        <w:numPr>
          <w:ilvl w:val="0"/>
          <w:numId w:val="37"/>
        </w:numPr>
      </w:pPr>
      <w:r>
        <w:rPr>
          <w:rFonts w:hint="eastAsia"/>
          <w:lang w:val="zh-TW"/>
        </w:rPr>
        <w:t>储存易氧化、易聚合不稳定的物料时，应采取氮气覆盖隔绝空气、添加阻聚剂等措施；</w:t>
      </w:r>
    </w:p>
    <w:p w14:paraId="1C29D123">
      <w:pPr>
        <w:pStyle w:val="177"/>
        <w:numPr>
          <w:ilvl w:val="0"/>
          <w:numId w:val="37"/>
        </w:numPr>
      </w:pPr>
      <w:r>
        <w:rPr>
          <w:rFonts w:hint="eastAsia"/>
          <w:lang w:val="zh-TW"/>
        </w:rPr>
        <w:t>多个储罐尾气联通回收系统应经</w:t>
      </w:r>
      <w:r>
        <w:rPr>
          <w:rFonts w:hint="eastAsia"/>
        </w:rPr>
        <w:t>安全</w:t>
      </w:r>
      <w:r>
        <w:rPr>
          <w:rFonts w:hint="eastAsia"/>
          <w:lang w:val="zh-TW"/>
        </w:rPr>
        <w:t>论证合格；</w:t>
      </w:r>
    </w:p>
    <w:p w14:paraId="0B48EBEF">
      <w:pPr>
        <w:pStyle w:val="177"/>
        <w:numPr>
          <w:ilvl w:val="0"/>
          <w:numId w:val="37"/>
        </w:numPr>
      </w:pPr>
      <w:r>
        <w:rPr>
          <w:rFonts w:hint="eastAsia"/>
          <w:lang w:val="zh-TW"/>
        </w:rPr>
        <w:t>储存剧毒化学品储罐，其凝液或残液密闭排入专用收集系统。</w:t>
      </w:r>
    </w:p>
    <w:p w14:paraId="078FD67E">
      <w:pPr>
        <w:pStyle w:val="108"/>
        <w:spacing w:before="156" w:after="156"/>
      </w:pPr>
      <w:bookmarkStart w:id="125" w:name="_Toc182227169"/>
      <w:bookmarkStart w:id="126" w:name="_Toc182227132"/>
      <w:bookmarkStart w:id="127" w:name="_Toc183074816"/>
      <w:bookmarkStart w:id="128" w:name="_Toc182227070"/>
      <w:bookmarkStart w:id="129" w:name="_Toc182227878"/>
      <w:bookmarkStart w:id="130" w:name="_Toc182227747"/>
      <w:bookmarkStart w:id="131" w:name="_Toc183074787"/>
      <w:bookmarkStart w:id="132" w:name="_Toc182227670"/>
      <w:r>
        <w:rPr>
          <w:rFonts w:hint="eastAsia"/>
          <w:lang w:val="zh-TW"/>
        </w:rPr>
        <w:t>管理控制措施</w:t>
      </w:r>
      <w:bookmarkEnd w:id="125"/>
      <w:bookmarkEnd w:id="126"/>
      <w:bookmarkEnd w:id="127"/>
      <w:bookmarkEnd w:id="128"/>
      <w:bookmarkEnd w:id="129"/>
      <w:bookmarkEnd w:id="130"/>
      <w:bookmarkEnd w:id="131"/>
      <w:bookmarkEnd w:id="132"/>
    </w:p>
    <w:p w14:paraId="342448C3">
      <w:pPr>
        <w:pStyle w:val="59"/>
        <w:ind w:firstLine="420"/>
        <w:rPr>
          <w:lang w:val="zh-TW"/>
        </w:rPr>
      </w:pPr>
      <w:r>
        <w:rPr>
          <w:rFonts w:hint="eastAsia"/>
          <w:lang w:val="zh-TW"/>
        </w:rPr>
        <w:t>储罐的管理控制措施包括但不限于以下内容：</w:t>
      </w:r>
    </w:p>
    <w:p w14:paraId="6F082206">
      <w:pPr>
        <w:pStyle w:val="177"/>
        <w:numPr>
          <w:ilvl w:val="0"/>
          <w:numId w:val="38"/>
        </w:numPr>
      </w:pPr>
      <w:r>
        <w:rPr>
          <w:rFonts w:hint="eastAsia" w:hAnsi="宋体" w:cs="宋体"/>
          <w:szCs w:val="21"/>
          <w:shd w:val="clear" w:color="auto" w:fill="FFFFFF"/>
          <w:lang w:bidi="ar"/>
        </w:rPr>
        <w:t>构成重大危险源的</w:t>
      </w:r>
      <w:r>
        <w:rPr>
          <w:rFonts w:hint="eastAsia" w:ascii="黑体" w:hAnsi="黑体"/>
          <w:szCs w:val="22"/>
          <w:lang w:val="zh-TW"/>
        </w:rPr>
        <w:t>储罐应</w:t>
      </w:r>
      <w:r>
        <w:rPr>
          <w:rFonts w:hint="eastAsia" w:hAnsi="宋体" w:cs="宋体"/>
          <w:szCs w:val="21"/>
          <w:shd w:val="clear" w:color="auto" w:fill="FFFFFF"/>
          <w:lang w:bidi="ar"/>
        </w:rPr>
        <w:t>建立安全监测监控体系，完善控制措施；</w:t>
      </w:r>
    </w:p>
    <w:p w14:paraId="260E416F">
      <w:pPr>
        <w:pStyle w:val="177"/>
        <w:numPr>
          <w:ilvl w:val="0"/>
          <w:numId w:val="38"/>
        </w:numPr>
      </w:pPr>
      <w:r>
        <w:rPr>
          <w:rFonts w:hint="eastAsia"/>
          <w:lang w:val="zh-TW"/>
        </w:rPr>
        <w:t>对储罐使用、维修变更过程产生的风险进行分析和控制。</w:t>
      </w:r>
      <w:r>
        <w:rPr>
          <w:rFonts w:hint="eastAsia"/>
        </w:rPr>
        <w:t>改变</w:t>
      </w:r>
      <w:r>
        <w:rPr>
          <w:rFonts w:hint="eastAsia"/>
          <w:lang w:val="zh-TW"/>
        </w:rPr>
        <w:t>储存的危险化学品品种或</w:t>
      </w:r>
      <w:r>
        <w:rPr>
          <w:rFonts w:hint="eastAsia"/>
        </w:rPr>
        <w:t>设计</w:t>
      </w:r>
      <w:r>
        <w:rPr>
          <w:rFonts w:hint="eastAsia"/>
          <w:lang w:val="zh-TW"/>
        </w:rPr>
        <w:t>工况条件</w:t>
      </w:r>
      <w:r>
        <w:rPr>
          <w:rFonts w:hint="eastAsia"/>
        </w:rPr>
        <w:t>前</w:t>
      </w:r>
      <w:r>
        <w:rPr>
          <w:rFonts w:hint="eastAsia"/>
          <w:lang w:val="zh-TW"/>
        </w:rPr>
        <w:t>，履行审批程序；</w:t>
      </w:r>
    </w:p>
    <w:p w14:paraId="0BF0FF8B">
      <w:pPr>
        <w:pStyle w:val="177"/>
        <w:numPr>
          <w:ilvl w:val="0"/>
          <w:numId w:val="38"/>
        </w:numPr>
      </w:pPr>
      <w:bookmarkStart w:id="133" w:name="_Hlk181201935"/>
      <w:r>
        <w:rPr>
          <w:rFonts w:hint="eastAsia" w:ascii="黑体" w:hAnsi="黑体"/>
          <w:szCs w:val="22"/>
        </w:rPr>
        <w:t>储罐涉及的</w:t>
      </w:r>
      <w:r>
        <w:rPr>
          <w:rFonts w:hint="eastAsia" w:ascii="黑体" w:hAnsi="黑体"/>
          <w:szCs w:val="22"/>
          <w:lang w:val="zh-TW"/>
        </w:rPr>
        <w:t>特殊作业，</w:t>
      </w:r>
      <w:bookmarkStart w:id="134" w:name="OLE_LINK3"/>
      <w:r>
        <w:rPr>
          <w:rFonts w:hint="eastAsia" w:ascii="黑体" w:hAnsi="黑体"/>
          <w:szCs w:val="22"/>
          <w:lang w:val="zh-TW"/>
        </w:rPr>
        <w:t>企业</w:t>
      </w:r>
      <w:bookmarkEnd w:id="134"/>
      <w:r>
        <w:rPr>
          <w:rFonts w:hint="eastAsia" w:ascii="黑体" w:hAnsi="黑体"/>
          <w:szCs w:val="22"/>
          <w:lang w:val="zh-TW"/>
        </w:rPr>
        <w:t>应执行</w:t>
      </w:r>
      <w:r>
        <w:rPr>
          <w:rFonts w:hint="eastAsia" w:hAnsi="宋体" w:cs="宋体"/>
          <w:szCs w:val="22"/>
          <w:lang w:val="zh-TW"/>
        </w:rPr>
        <w:t>GB 30871</w:t>
      </w:r>
      <w:r>
        <w:rPr>
          <w:rFonts w:hint="eastAsia" w:ascii="黑体" w:hAnsi="黑体"/>
          <w:szCs w:val="22"/>
          <w:lang w:val="zh-TW"/>
        </w:rPr>
        <w:t>规定的要求</w:t>
      </w:r>
      <w:bookmarkEnd w:id="133"/>
      <w:r>
        <w:rPr>
          <w:rFonts w:hint="eastAsia" w:ascii="黑体" w:hAnsi="黑体"/>
          <w:szCs w:val="22"/>
          <w:lang w:val="zh-TW"/>
        </w:rPr>
        <w:t>；</w:t>
      </w:r>
    </w:p>
    <w:p w14:paraId="37881E29">
      <w:pPr>
        <w:pStyle w:val="177"/>
        <w:numPr>
          <w:ilvl w:val="0"/>
          <w:numId w:val="38"/>
        </w:numPr>
      </w:pPr>
      <w:r>
        <w:rPr>
          <w:rFonts w:hint="eastAsia" w:ascii="黑体" w:hAnsi="黑体"/>
          <w:szCs w:val="22"/>
          <w:lang w:val="zh-TW"/>
        </w:rPr>
        <w:t>企业开展</w:t>
      </w:r>
      <w:r>
        <w:rPr>
          <w:rFonts w:hint="eastAsia" w:ascii="黑体" w:hAnsi="黑体"/>
          <w:szCs w:val="22"/>
        </w:rPr>
        <w:t>储罐涉及</w:t>
      </w:r>
      <w:r>
        <w:rPr>
          <w:rFonts w:hint="eastAsia" w:ascii="黑体" w:hAnsi="黑体"/>
          <w:szCs w:val="22"/>
          <w:lang w:val="zh-TW"/>
        </w:rPr>
        <w:t>动火、吊装、临时用电、</w:t>
      </w:r>
      <w:r>
        <w:rPr>
          <w:rFonts w:hint="eastAsia" w:ascii="黑体" w:hAnsi="黑体"/>
          <w:szCs w:val="22"/>
          <w:lang w:val="zh-TW" w:eastAsia="zh-CN"/>
        </w:rPr>
        <w:t>受</w:t>
      </w:r>
      <w:r>
        <w:rPr>
          <w:rFonts w:hint="eastAsia" w:ascii="黑体" w:hAnsi="黑体"/>
          <w:szCs w:val="22"/>
          <w:lang w:val="zh-TW"/>
        </w:rPr>
        <w:t>限空间作业应</w:t>
      </w:r>
      <w:r>
        <w:rPr>
          <w:rFonts w:hint="eastAsia" w:ascii="黑体" w:hAnsi="黑体"/>
          <w:szCs w:val="22"/>
        </w:rPr>
        <w:t>由相关负责人现场带班；</w:t>
      </w:r>
    </w:p>
    <w:p w14:paraId="7BF9DA3E">
      <w:pPr>
        <w:pStyle w:val="177"/>
        <w:numPr>
          <w:ilvl w:val="0"/>
          <w:numId w:val="38"/>
        </w:numPr>
      </w:pPr>
      <w:r>
        <w:rPr>
          <w:rFonts w:hint="eastAsia"/>
          <w:lang w:val="zh-TW"/>
        </w:rPr>
        <w:t>在现场设安全警示标识和危害告知且符合GB 2894和GB/T 30000.31要求；</w:t>
      </w:r>
    </w:p>
    <w:p w14:paraId="3B366413">
      <w:pPr>
        <w:pStyle w:val="177"/>
        <w:numPr>
          <w:ilvl w:val="0"/>
          <w:numId w:val="38"/>
        </w:numPr>
      </w:pPr>
      <w:r>
        <w:rPr>
          <w:rFonts w:hint="eastAsia"/>
        </w:rPr>
        <w:t>建立储罐</w:t>
      </w:r>
      <w:r>
        <w:rPr>
          <w:rFonts w:hint="eastAsia"/>
          <w:lang w:val="zh-TW"/>
        </w:rPr>
        <w:t>失效调查分析程序，收集失效相关信息，分析原因，提出相应的预防措施；</w:t>
      </w:r>
    </w:p>
    <w:p w14:paraId="30AA07F1">
      <w:pPr>
        <w:pStyle w:val="177"/>
        <w:numPr>
          <w:ilvl w:val="0"/>
          <w:numId w:val="38"/>
        </w:numPr>
      </w:pPr>
      <w:r>
        <w:rPr>
          <w:rFonts w:hint="eastAsia"/>
          <w:lang w:val="zh-TW"/>
        </w:rPr>
        <w:t>执行储罐安全生产管理制度和操作规程，重点落实下列要求：</w:t>
      </w:r>
    </w:p>
    <w:p w14:paraId="05FF76A1">
      <w:pPr>
        <w:pStyle w:val="112"/>
        <w:numPr>
          <w:ilvl w:val="1"/>
          <w:numId w:val="39"/>
        </w:numPr>
      </w:pPr>
      <w:r>
        <w:rPr>
          <w:rFonts w:hint="eastAsia"/>
          <w:lang w:val="zh-TW"/>
        </w:rPr>
        <w:t>定期开展作业人员安全生产教育和培训。开展外来人员安全生产教育和培训，提供必要的劳动防护用品。外来作业人员在进入作业现场前，由企业组织进行进入现场前的安全生产教育和培训，并保存培训记录；</w:t>
      </w:r>
    </w:p>
    <w:p w14:paraId="3476BC4E">
      <w:pPr>
        <w:pStyle w:val="112"/>
        <w:numPr>
          <w:ilvl w:val="1"/>
          <w:numId w:val="39"/>
        </w:numPr>
      </w:pPr>
      <w:r>
        <w:rPr>
          <w:rFonts w:hint="eastAsia"/>
          <w:lang w:val="zh-TW"/>
        </w:rPr>
        <w:t>对承包商及供应商资格预审、选择、表现评价、续用等过程进行管理。与相关的承包商、供应商签订安全生产管理协议，明确各自的安全生产职责；</w:t>
      </w:r>
    </w:p>
    <w:p w14:paraId="4A22D08E">
      <w:pPr>
        <w:pStyle w:val="112"/>
        <w:numPr>
          <w:ilvl w:val="1"/>
          <w:numId w:val="39"/>
        </w:numPr>
      </w:pPr>
      <w:r>
        <w:rPr>
          <w:rFonts w:hint="eastAsia"/>
          <w:lang w:val="zh-TW"/>
        </w:rPr>
        <w:t>定期识别和获取储罐适用的安全生产法律、法规、标准及其他要求，转换成企业的管理制度和操作规程内容；</w:t>
      </w:r>
    </w:p>
    <w:p w14:paraId="34A7B7B8">
      <w:pPr>
        <w:pStyle w:val="59"/>
        <w:ind w:firstLine="420"/>
        <w:rPr>
          <w:lang w:val="zh-TW"/>
        </w:rPr>
      </w:pPr>
      <w:r>
        <w:rPr>
          <w:rFonts w:hint="eastAsia"/>
          <w:lang w:val="zh-TW"/>
        </w:rPr>
        <w:t>h）</w:t>
      </w:r>
      <w:r>
        <w:rPr>
          <w:rFonts w:hint="eastAsia"/>
        </w:rPr>
        <w:t xml:space="preserve"> </w:t>
      </w:r>
      <w:r>
        <w:rPr>
          <w:rFonts w:hint="eastAsia"/>
          <w:lang w:val="zh-TW"/>
        </w:rPr>
        <w:t>完善储罐安全技术档案，应包括：</w:t>
      </w:r>
    </w:p>
    <w:p w14:paraId="213FE969">
      <w:pPr>
        <w:pStyle w:val="112"/>
        <w:numPr>
          <w:ilvl w:val="1"/>
          <w:numId w:val="40"/>
        </w:numPr>
        <w:rPr>
          <w:lang w:val="zh-TW"/>
        </w:rPr>
      </w:pPr>
      <w:r>
        <w:rPr>
          <w:rFonts w:hint="eastAsia"/>
          <w:lang w:val="zh-TW"/>
        </w:rPr>
        <w:t>设计资料；</w:t>
      </w:r>
    </w:p>
    <w:p w14:paraId="2BEA1346">
      <w:pPr>
        <w:pStyle w:val="112"/>
        <w:numPr>
          <w:ilvl w:val="1"/>
          <w:numId w:val="40"/>
        </w:numPr>
        <w:rPr>
          <w:lang w:val="zh-TW"/>
        </w:rPr>
      </w:pPr>
      <w:r>
        <w:rPr>
          <w:rFonts w:hint="eastAsia"/>
          <w:lang w:val="zh-TW"/>
        </w:rPr>
        <w:t>竣工验收资料；</w:t>
      </w:r>
    </w:p>
    <w:p w14:paraId="4DF22BC3">
      <w:pPr>
        <w:pStyle w:val="112"/>
        <w:numPr>
          <w:ilvl w:val="1"/>
          <w:numId w:val="40"/>
        </w:numPr>
        <w:rPr>
          <w:lang w:val="zh-TW"/>
        </w:rPr>
      </w:pPr>
      <w:r>
        <w:rPr>
          <w:rFonts w:hint="eastAsia"/>
          <w:lang w:val="zh-TW"/>
        </w:rPr>
        <w:t>年度检查报告、全面检验报告；</w:t>
      </w:r>
    </w:p>
    <w:p w14:paraId="5E85AEAE">
      <w:pPr>
        <w:pStyle w:val="112"/>
        <w:numPr>
          <w:ilvl w:val="1"/>
          <w:numId w:val="40"/>
        </w:numPr>
        <w:rPr>
          <w:lang w:val="zh-TW"/>
        </w:rPr>
      </w:pPr>
      <w:r>
        <w:rPr>
          <w:rFonts w:hint="eastAsia"/>
          <w:lang w:val="zh-TW"/>
        </w:rPr>
        <w:t>维修验收资料；</w:t>
      </w:r>
    </w:p>
    <w:p w14:paraId="498B370E">
      <w:pPr>
        <w:pStyle w:val="112"/>
        <w:numPr>
          <w:ilvl w:val="1"/>
          <w:numId w:val="40"/>
        </w:numPr>
        <w:rPr>
          <w:lang w:val="zh-TW"/>
        </w:rPr>
      </w:pPr>
      <w:r>
        <w:rPr>
          <w:rFonts w:hint="eastAsia"/>
          <w:lang w:val="zh-TW"/>
        </w:rPr>
        <w:t>安全附件台账及维护保养记录；</w:t>
      </w:r>
    </w:p>
    <w:p w14:paraId="7CCBF8DC">
      <w:pPr>
        <w:pStyle w:val="112"/>
        <w:numPr>
          <w:ilvl w:val="1"/>
          <w:numId w:val="40"/>
        </w:numPr>
        <w:rPr>
          <w:lang w:val="zh-TW"/>
        </w:rPr>
      </w:pPr>
      <w:r>
        <w:rPr>
          <w:rFonts w:hint="eastAsia"/>
          <w:lang w:val="zh-TW"/>
        </w:rPr>
        <w:t>测厚点布置图和测厚记录；</w:t>
      </w:r>
    </w:p>
    <w:p w14:paraId="38171BE4">
      <w:pPr>
        <w:pStyle w:val="112"/>
        <w:numPr>
          <w:ilvl w:val="1"/>
          <w:numId w:val="40"/>
        </w:numPr>
        <w:rPr>
          <w:lang w:val="zh-TW"/>
        </w:rPr>
      </w:pPr>
      <w:r>
        <w:rPr>
          <w:rFonts w:hint="eastAsia"/>
          <w:lang w:val="zh-TW"/>
        </w:rPr>
        <w:t>基础沉降测点布置图和沉降观测记录；</w:t>
      </w:r>
    </w:p>
    <w:p w14:paraId="6995B8FE">
      <w:pPr>
        <w:pStyle w:val="112"/>
        <w:numPr>
          <w:ilvl w:val="1"/>
          <w:numId w:val="40"/>
        </w:numPr>
        <w:rPr>
          <w:lang w:val="zh-TW"/>
        </w:rPr>
      </w:pPr>
      <w:r>
        <w:rPr>
          <w:rFonts w:hint="eastAsia"/>
          <w:lang w:val="zh-TW"/>
        </w:rPr>
        <w:t>防雷防静电设施检查、检验记录；</w:t>
      </w:r>
    </w:p>
    <w:p w14:paraId="2FE6C6D6">
      <w:pPr>
        <w:pStyle w:val="112"/>
        <w:numPr>
          <w:ilvl w:val="1"/>
          <w:numId w:val="40"/>
        </w:numPr>
        <w:rPr>
          <w:lang w:val="zh-TW"/>
        </w:rPr>
      </w:pPr>
      <w:r>
        <w:rPr>
          <w:rFonts w:hint="eastAsia"/>
          <w:lang w:val="zh-TW"/>
        </w:rPr>
        <w:t>储存危险化学品的中文安全技术说明书和安全标签；</w:t>
      </w:r>
    </w:p>
    <w:p w14:paraId="4366BC0F">
      <w:pPr>
        <w:pStyle w:val="112"/>
        <w:numPr>
          <w:ilvl w:val="1"/>
          <w:numId w:val="40"/>
        </w:numPr>
      </w:pPr>
      <w:r>
        <w:rPr>
          <w:rFonts w:hint="eastAsia"/>
          <w:lang w:val="zh-TW"/>
        </w:rPr>
        <w:t>有关事故或隐患整治的记录资料和处理报告。</w:t>
      </w:r>
    </w:p>
    <w:p w14:paraId="57496DC1">
      <w:pPr>
        <w:pStyle w:val="108"/>
        <w:spacing w:before="156" w:after="156"/>
      </w:pPr>
      <w:bookmarkStart w:id="135" w:name="_Toc183074817"/>
      <w:bookmarkStart w:id="136" w:name="_Toc183074788"/>
      <w:bookmarkStart w:id="137" w:name="_Toc182227133"/>
      <w:bookmarkStart w:id="138" w:name="_Toc182227671"/>
      <w:bookmarkStart w:id="139" w:name="_Toc182227748"/>
      <w:bookmarkStart w:id="140" w:name="_Toc182227071"/>
      <w:bookmarkStart w:id="141" w:name="_Toc182227879"/>
      <w:bookmarkStart w:id="142" w:name="_Toc182227170"/>
      <w:r>
        <w:rPr>
          <w:rFonts w:hint="eastAsia"/>
        </w:rPr>
        <w:t>个体防护措施</w:t>
      </w:r>
      <w:bookmarkEnd w:id="135"/>
      <w:bookmarkEnd w:id="136"/>
      <w:bookmarkEnd w:id="137"/>
      <w:bookmarkEnd w:id="138"/>
      <w:bookmarkEnd w:id="139"/>
      <w:bookmarkEnd w:id="140"/>
      <w:bookmarkEnd w:id="141"/>
      <w:bookmarkEnd w:id="142"/>
    </w:p>
    <w:p w14:paraId="37046AF1">
      <w:pPr>
        <w:pStyle w:val="59"/>
        <w:ind w:firstLine="420"/>
        <w:rPr>
          <w:lang w:val="zh-TW"/>
        </w:rPr>
      </w:pPr>
      <w:r>
        <w:rPr>
          <w:rFonts w:hint="eastAsia" w:ascii="黑体" w:hAnsi="黑体"/>
          <w:szCs w:val="22"/>
        </w:rPr>
        <w:t>应</w:t>
      </w:r>
      <w:r>
        <w:rPr>
          <w:rFonts w:hint="eastAsia"/>
          <w:lang w:val="zh-TW"/>
        </w:rPr>
        <w:t>按GB 39800</w:t>
      </w:r>
      <w:r>
        <w:rPr>
          <w:rFonts w:hint="eastAsia"/>
        </w:rPr>
        <w:t>.1和GB 39800.2</w:t>
      </w:r>
      <w:r>
        <w:rPr>
          <w:rFonts w:hint="eastAsia"/>
          <w:lang w:val="zh-TW"/>
        </w:rPr>
        <w:t>的要求，为作业人员配备个体防护装备，督促正确佩戴使用。</w:t>
      </w:r>
    </w:p>
    <w:p w14:paraId="163FD6D0">
      <w:pPr>
        <w:pStyle w:val="108"/>
        <w:spacing w:before="156" w:after="156"/>
      </w:pPr>
      <w:bookmarkStart w:id="143" w:name="_Toc182227074"/>
      <w:bookmarkStart w:id="144" w:name="_Toc183074790"/>
      <w:bookmarkStart w:id="145" w:name="_Toc182227673"/>
      <w:bookmarkStart w:id="146" w:name="_Toc183074819"/>
      <w:bookmarkStart w:id="147" w:name="_Toc182227881"/>
      <w:bookmarkStart w:id="148" w:name="_Toc182227750"/>
      <w:bookmarkStart w:id="149" w:name="_Toc182227136"/>
      <w:bookmarkStart w:id="150" w:name="_Toc182227172"/>
      <w:r>
        <w:rPr>
          <w:rFonts w:hint="eastAsia"/>
        </w:rPr>
        <w:t>隐患排查治理</w:t>
      </w:r>
      <w:bookmarkEnd w:id="143"/>
      <w:bookmarkEnd w:id="144"/>
      <w:bookmarkEnd w:id="145"/>
      <w:bookmarkEnd w:id="146"/>
      <w:bookmarkEnd w:id="147"/>
      <w:bookmarkEnd w:id="148"/>
      <w:bookmarkEnd w:id="149"/>
      <w:bookmarkEnd w:id="150"/>
    </w:p>
    <w:p w14:paraId="2A209AF1">
      <w:pPr>
        <w:pStyle w:val="59"/>
        <w:ind w:firstLine="420"/>
      </w:pPr>
      <w:r>
        <w:rPr>
          <w:rFonts w:hint="eastAsia"/>
        </w:rPr>
        <w:t>储罐的</w:t>
      </w:r>
      <w:r>
        <w:rPr>
          <w:rFonts w:hint="eastAsia" w:ascii="黑体" w:hAnsi="黑体"/>
          <w:szCs w:val="22"/>
        </w:rPr>
        <w:t>隐</w:t>
      </w:r>
      <w:r>
        <w:rPr>
          <w:rFonts w:hint="eastAsia"/>
        </w:rPr>
        <w:t>患排查治理包括以下内容：</w:t>
      </w:r>
    </w:p>
    <w:p w14:paraId="3FE4DDED">
      <w:pPr>
        <w:pStyle w:val="177"/>
        <w:numPr>
          <w:ilvl w:val="0"/>
          <w:numId w:val="41"/>
        </w:numPr>
      </w:pPr>
      <w:r>
        <w:rPr>
          <w:rFonts w:hint="eastAsia" w:hAnsi="宋体" w:cs="宋体"/>
          <w:szCs w:val="21"/>
          <w:lang w:val="zh-TW"/>
        </w:rPr>
        <w:t>应结合储罐的特点，采用定期检查（例行检查、年度检查）、全面检验等方式进行隐患排查；</w:t>
      </w:r>
    </w:p>
    <w:p w14:paraId="4A22A6C9">
      <w:pPr>
        <w:pStyle w:val="177"/>
        <w:numPr>
          <w:ilvl w:val="0"/>
          <w:numId w:val="41"/>
        </w:numPr>
      </w:pPr>
      <w:r>
        <w:rPr>
          <w:rFonts w:hint="eastAsia" w:hAnsi="宋体" w:cs="宋体"/>
          <w:szCs w:val="21"/>
          <w:lang w:val="zh-TW"/>
        </w:rPr>
        <w:t>应根据隐患排查的结果，制定隐患治理方案，对隐患及时进行治理。通过储罐维护、维修等措施，降低储罐安全使用风险；</w:t>
      </w:r>
    </w:p>
    <w:p w14:paraId="2E65571F">
      <w:pPr>
        <w:pStyle w:val="177"/>
        <w:numPr>
          <w:ilvl w:val="0"/>
          <w:numId w:val="41"/>
        </w:numPr>
      </w:pPr>
      <w:r>
        <w:rPr>
          <w:rFonts w:hint="eastAsia" w:hAnsi="宋体" w:cs="宋体"/>
          <w:szCs w:val="21"/>
          <w:lang w:val="zh-TW"/>
        </w:rPr>
        <w:t>隐患治理过程中，应采取相应的监控防范措施。隐患排除前或排除过程中无法保证安全的，应停止使用相关设备、设施。隐患治理完成后，应经评估、验收。</w:t>
      </w:r>
    </w:p>
    <w:p w14:paraId="00CBFB89">
      <w:pPr>
        <w:pStyle w:val="107"/>
        <w:spacing w:before="312" w:after="312"/>
        <w:rPr>
          <w:lang w:val="zh-TW"/>
        </w:rPr>
      </w:pPr>
      <w:bookmarkStart w:id="151" w:name="_Toc181273016"/>
      <w:bookmarkStart w:id="152" w:name="_Toc183074791"/>
      <w:bookmarkStart w:id="153" w:name="_Toc182227173"/>
      <w:bookmarkStart w:id="154" w:name="_Toc183074820"/>
      <w:bookmarkStart w:id="155" w:name="_Toc182227137"/>
      <w:bookmarkStart w:id="156" w:name="_Toc182227075"/>
      <w:bookmarkStart w:id="157" w:name="_Toc181263719"/>
      <w:bookmarkStart w:id="158" w:name="_Toc182227751"/>
      <w:bookmarkStart w:id="159" w:name="_Toc182227674"/>
      <w:bookmarkStart w:id="160" w:name="_Toc182227882"/>
      <w:r>
        <w:rPr>
          <w:rFonts w:hint="eastAsia"/>
        </w:rPr>
        <w:t>定期</w:t>
      </w:r>
      <w:r>
        <w:rPr>
          <w:rFonts w:hint="eastAsia"/>
          <w:lang w:val="zh-TW"/>
        </w:rPr>
        <w:t>检查</w:t>
      </w:r>
      <w:bookmarkEnd w:id="151"/>
      <w:bookmarkEnd w:id="152"/>
      <w:bookmarkEnd w:id="153"/>
      <w:bookmarkEnd w:id="154"/>
      <w:bookmarkEnd w:id="155"/>
      <w:bookmarkEnd w:id="156"/>
      <w:bookmarkEnd w:id="157"/>
      <w:bookmarkEnd w:id="158"/>
      <w:bookmarkEnd w:id="159"/>
      <w:bookmarkEnd w:id="160"/>
    </w:p>
    <w:p w14:paraId="2C7D5DE2">
      <w:pPr>
        <w:pStyle w:val="108"/>
        <w:spacing w:before="156" w:after="156"/>
        <w:rPr>
          <w:rFonts w:ascii="宋体"/>
          <w:lang w:val="zh-TW"/>
        </w:rPr>
      </w:pPr>
      <w:bookmarkStart w:id="161" w:name="_Toc182227174"/>
      <w:bookmarkStart w:id="162" w:name="_Toc182227883"/>
      <w:bookmarkStart w:id="163" w:name="_Toc182227138"/>
      <w:bookmarkStart w:id="164" w:name="_Toc182227675"/>
      <w:bookmarkStart w:id="165" w:name="_Toc182227752"/>
      <w:bookmarkStart w:id="166" w:name="_Toc182227076"/>
      <w:bookmarkStart w:id="167" w:name="_Toc183074821"/>
      <w:bookmarkStart w:id="168" w:name="_Toc183074792"/>
      <w:r>
        <w:rPr>
          <w:rFonts w:hint="eastAsia"/>
        </w:rPr>
        <w:t>例行检查</w:t>
      </w:r>
      <w:bookmarkEnd w:id="161"/>
      <w:bookmarkEnd w:id="162"/>
      <w:bookmarkEnd w:id="163"/>
      <w:bookmarkEnd w:id="164"/>
      <w:bookmarkEnd w:id="165"/>
      <w:bookmarkEnd w:id="166"/>
      <w:bookmarkEnd w:id="167"/>
      <w:bookmarkEnd w:id="168"/>
    </w:p>
    <w:p w14:paraId="608779E6">
      <w:pPr>
        <w:pStyle w:val="168"/>
        <w:rPr>
          <w:lang w:val="zh-TW"/>
        </w:rPr>
      </w:pPr>
      <w:r>
        <w:rPr>
          <w:rFonts w:hint="eastAsia"/>
          <w:lang w:val="zh-TW"/>
        </w:rPr>
        <w:t>例行检查以目视为主，近距离检查储罐外部状况。</w:t>
      </w:r>
    </w:p>
    <w:p w14:paraId="485C46E1">
      <w:pPr>
        <w:pStyle w:val="168"/>
        <w:rPr>
          <w:lang w:val="zh-TW"/>
        </w:rPr>
      </w:pPr>
      <w:r>
        <w:rPr>
          <w:rFonts w:hint="eastAsia" w:ascii="黑体" w:hAnsi="黑体"/>
          <w:szCs w:val="22"/>
        </w:rPr>
        <w:t>企业应定期开展</w:t>
      </w:r>
      <w:r>
        <w:rPr>
          <w:rFonts w:hint="eastAsia" w:ascii="黑体" w:hAnsi="黑体" w:cs="宋体"/>
          <w:szCs w:val="21"/>
          <w:lang w:val="zh-TW"/>
        </w:rPr>
        <w:t>例行检查，周期最长不超过</w:t>
      </w:r>
      <w:r>
        <w:rPr>
          <w:rFonts w:hint="eastAsia" w:hAnsi="宋体" w:cs="宋体"/>
          <w:szCs w:val="21"/>
          <w:lang w:val="zh-TW"/>
        </w:rPr>
        <w:t>1个月。</w:t>
      </w:r>
    </w:p>
    <w:p w14:paraId="1718117D">
      <w:pPr>
        <w:pStyle w:val="168"/>
        <w:rPr>
          <w:lang w:val="zh-TW"/>
        </w:rPr>
      </w:pPr>
      <w:r>
        <w:rPr>
          <w:rFonts w:hint="eastAsia" w:ascii="黑体" w:hAnsi="黑体"/>
          <w:szCs w:val="22"/>
        </w:rPr>
        <w:t>例行检查</w:t>
      </w:r>
      <w:r>
        <w:rPr>
          <w:rFonts w:hint="eastAsia" w:ascii="黑体" w:hAnsi="黑体"/>
          <w:szCs w:val="22"/>
          <w:lang w:val="zh-TW"/>
        </w:rPr>
        <w:t>项目包括</w:t>
      </w:r>
      <w:r>
        <w:rPr>
          <w:rFonts w:hint="eastAsia" w:ascii="黑体" w:hAnsi="黑体"/>
          <w:szCs w:val="22"/>
        </w:rPr>
        <w:t>储罐</w:t>
      </w:r>
      <w:r>
        <w:rPr>
          <w:rFonts w:hint="eastAsia" w:ascii="黑体" w:hAnsi="黑体"/>
          <w:szCs w:val="22"/>
          <w:lang w:val="zh-TW"/>
        </w:rPr>
        <w:t>是否存在渗漏、罐壁变形、沉降迹象以及罐体的保温装置、安全附件、</w:t>
      </w:r>
      <w:bookmarkStart w:id="169" w:name="OLE_LINK23"/>
      <w:r>
        <w:rPr>
          <w:rFonts w:hint="eastAsia" w:ascii="黑体" w:hAnsi="黑体"/>
          <w:szCs w:val="22"/>
          <w:lang w:val="zh-TW"/>
        </w:rPr>
        <w:t>相关配件</w:t>
      </w:r>
      <w:bookmarkEnd w:id="169"/>
      <w:r>
        <w:rPr>
          <w:rFonts w:hint="eastAsia" w:ascii="黑体" w:hAnsi="黑体"/>
          <w:szCs w:val="22"/>
          <w:lang w:val="zh-TW"/>
        </w:rPr>
        <w:t>运行状况。</w:t>
      </w:r>
    </w:p>
    <w:p w14:paraId="1163A388">
      <w:pPr>
        <w:pStyle w:val="168"/>
        <w:rPr>
          <w:lang w:val="zh-TW"/>
        </w:rPr>
      </w:pPr>
      <w:r>
        <w:rPr>
          <w:rFonts w:hint="eastAsia" w:hAnsi="宋体" w:cs="宋体"/>
          <w:szCs w:val="21"/>
        </w:rPr>
        <w:t>储存</w:t>
      </w:r>
      <w:r>
        <w:rPr>
          <w:rFonts w:hint="eastAsia" w:hAnsi="宋体" w:cs="宋体"/>
          <w:bCs/>
          <w:szCs w:val="21"/>
        </w:rPr>
        <w:t>易聚合、</w:t>
      </w:r>
      <w:r>
        <w:rPr>
          <w:rFonts w:hint="eastAsia" w:ascii="黑体" w:hAnsi="黑体" w:cs="宋体"/>
          <w:szCs w:val="21"/>
        </w:rPr>
        <w:t>易结晶、</w:t>
      </w:r>
      <w:r>
        <w:rPr>
          <w:rFonts w:hint="eastAsia" w:hAnsi="宋体" w:cs="宋体"/>
          <w:szCs w:val="21"/>
        </w:rPr>
        <w:t>易</w:t>
      </w:r>
      <w:r>
        <w:rPr>
          <w:rFonts w:hint="eastAsia" w:ascii="黑体" w:hAnsi="黑体" w:cs="宋体"/>
          <w:szCs w:val="21"/>
        </w:rPr>
        <w:t>凝结</w:t>
      </w:r>
      <w:r>
        <w:rPr>
          <w:rFonts w:hint="eastAsia" w:hAnsi="宋体" w:cs="宋体"/>
          <w:bCs/>
          <w:szCs w:val="21"/>
        </w:rPr>
        <w:t>物料</w:t>
      </w:r>
      <w:r>
        <w:rPr>
          <w:rFonts w:hint="eastAsia" w:ascii="黑体" w:hAnsi="黑体" w:cs="宋体"/>
          <w:szCs w:val="21"/>
        </w:rPr>
        <w:t>的储罐，呼吸阀、阻火器应按环境温度的变化</w:t>
      </w:r>
      <w:r>
        <w:rPr>
          <w:rFonts w:hint="eastAsia" w:ascii="黑体" w:hAnsi="黑体" w:eastAsia="宋体" w:cs="宋体"/>
          <w:szCs w:val="21"/>
        </w:rPr>
        <w:t>及</w:t>
      </w:r>
      <w:r>
        <w:rPr>
          <w:rFonts w:hint="default" w:ascii="黑体" w:hAnsi="黑体" w:eastAsia="宋体" w:cs="宋体"/>
          <w:szCs w:val="21"/>
          <w:lang w:val="zh-TW" w:eastAsia="zh-CN"/>
        </w:rPr>
        <w:t>防自聚</w:t>
      </w:r>
      <w:r>
        <w:rPr>
          <w:rFonts w:hint="eastAsia" w:ascii="黑体" w:hAnsi="黑体" w:eastAsia="宋体" w:cs="宋体"/>
          <w:szCs w:val="21"/>
          <w:lang w:val="zh-TW" w:eastAsia="zh-CN"/>
        </w:rPr>
        <w:t>、</w:t>
      </w:r>
      <w:r>
        <w:rPr>
          <w:rFonts w:hint="default" w:ascii="黑体" w:hAnsi="黑体" w:eastAsia="宋体" w:cs="宋体"/>
          <w:szCs w:val="21"/>
          <w:lang w:val="zh-TW" w:eastAsia="zh-CN"/>
        </w:rPr>
        <w:t>防结晶</w:t>
      </w:r>
      <w:r>
        <w:rPr>
          <w:rFonts w:hint="eastAsia" w:ascii="黑体" w:hAnsi="黑体" w:eastAsia="宋体" w:cs="宋体"/>
          <w:szCs w:val="21"/>
          <w:lang w:val="zh-TW" w:eastAsia="zh-CN"/>
        </w:rPr>
        <w:t>、</w:t>
      </w:r>
      <w:r>
        <w:rPr>
          <w:rFonts w:hint="default" w:ascii="黑体" w:hAnsi="黑体" w:eastAsia="宋体" w:cs="宋体"/>
          <w:szCs w:val="21"/>
          <w:lang w:val="zh-TW" w:eastAsia="zh-CN"/>
        </w:rPr>
        <w:t>防冻</w:t>
      </w:r>
      <w:r>
        <w:rPr>
          <w:rFonts w:hint="eastAsia" w:ascii="黑体" w:hAnsi="黑体" w:eastAsia="宋体" w:cs="宋体"/>
          <w:szCs w:val="21"/>
          <w:lang w:eastAsia="zh-CN"/>
        </w:rPr>
        <w:t>等</w:t>
      </w:r>
      <w:r>
        <w:rPr>
          <w:rFonts w:hint="eastAsia" w:ascii="黑体" w:hAnsi="黑体" w:eastAsia="宋体" w:cs="宋体"/>
          <w:szCs w:val="21"/>
        </w:rPr>
        <w:t>措施</w:t>
      </w:r>
      <w:r>
        <w:rPr>
          <w:rFonts w:hint="eastAsia" w:ascii="黑体" w:hAnsi="黑体" w:cs="宋体"/>
          <w:szCs w:val="21"/>
        </w:rPr>
        <w:t>确定检查周期。</w:t>
      </w:r>
    </w:p>
    <w:p w14:paraId="368557F2">
      <w:pPr>
        <w:pStyle w:val="168"/>
        <w:rPr>
          <w:lang w:val="zh-TW"/>
        </w:rPr>
      </w:pPr>
      <w:r>
        <w:rPr>
          <w:rFonts w:hint="eastAsia" w:ascii="黑体" w:hAnsi="黑体" w:cs="宋体"/>
          <w:szCs w:val="21"/>
          <w:lang w:val="zh-TW"/>
        </w:rPr>
        <w:t>例行检查</w:t>
      </w:r>
      <w:r>
        <w:rPr>
          <w:rFonts w:hint="eastAsia" w:ascii="黑体" w:hAnsi="黑体" w:cs="宋体"/>
          <w:szCs w:val="21"/>
        </w:rPr>
        <w:t>完成后，检查人员应填写检查记录并签字。</w:t>
      </w:r>
      <w:r>
        <w:rPr>
          <w:rFonts w:hint="eastAsia" w:ascii="黑体" w:hAnsi="黑体"/>
          <w:szCs w:val="22"/>
          <w:lang w:val="zh-TW"/>
        </w:rPr>
        <w:t>发现的异常情况，应及时处理。</w:t>
      </w:r>
    </w:p>
    <w:p w14:paraId="348BB9F4">
      <w:pPr>
        <w:pStyle w:val="108"/>
        <w:spacing w:before="156" w:after="156"/>
        <w:rPr>
          <w:rFonts w:ascii="宋体"/>
          <w:lang w:val="zh-TW"/>
        </w:rPr>
      </w:pPr>
      <w:bookmarkStart w:id="170" w:name="_Toc182227884"/>
      <w:bookmarkStart w:id="171" w:name="_Toc182227077"/>
      <w:bookmarkStart w:id="172" w:name="_Toc182227139"/>
      <w:bookmarkStart w:id="173" w:name="_Toc182227676"/>
      <w:bookmarkStart w:id="174" w:name="_Toc183074822"/>
      <w:bookmarkStart w:id="175" w:name="_Toc183074793"/>
      <w:bookmarkStart w:id="176" w:name="_Toc182227753"/>
      <w:bookmarkStart w:id="177" w:name="_Toc182227175"/>
      <w:r>
        <w:rPr>
          <w:rFonts w:hint="eastAsia"/>
        </w:rPr>
        <w:t>年度</w:t>
      </w:r>
      <w:r>
        <w:rPr>
          <w:rFonts w:hint="eastAsia"/>
          <w:lang w:val="zh-TW"/>
        </w:rPr>
        <w:t>检查</w:t>
      </w:r>
      <w:bookmarkEnd w:id="170"/>
      <w:bookmarkEnd w:id="171"/>
      <w:bookmarkEnd w:id="172"/>
      <w:bookmarkEnd w:id="173"/>
      <w:bookmarkEnd w:id="174"/>
      <w:bookmarkEnd w:id="175"/>
      <w:bookmarkEnd w:id="176"/>
      <w:bookmarkEnd w:id="177"/>
    </w:p>
    <w:p w14:paraId="6F6993B7">
      <w:pPr>
        <w:pStyle w:val="168"/>
        <w:rPr>
          <w:lang w:val="zh-TW"/>
        </w:rPr>
      </w:pPr>
      <w:r>
        <w:rPr>
          <w:rFonts w:hint="eastAsia" w:ascii="黑体" w:hAnsi="黑体"/>
          <w:szCs w:val="22"/>
        </w:rPr>
        <w:t>年度</w:t>
      </w:r>
      <w:r>
        <w:rPr>
          <w:rFonts w:hint="eastAsia" w:ascii="黑体" w:hAnsi="黑体"/>
          <w:szCs w:val="22"/>
          <w:lang w:val="zh-TW"/>
        </w:rPr>
        <w:t>检查是对储罐的安全状况和运行状况进行的外部检查。</w:t>
      </w:r>
    </w:p>
    <w:p w14:paraId="4054B7A9">
      <w:pPr>
        <w:pStyle w:val="168"/>
        <w:rPr>
          <w:lang w:val="zh-TW"/>
        </w:rPr>
      </w:pPr>
      <w:r>
        <w:rPr>
          <w:rFonts w:hint="eastAsia" w:ascii="黑体" w:hAnsi="黑体"/>
          <w:szCs w:val="22"/>
          <w:lang w:val="zh-TW"/>
        </w:rPr>
        <w:t>企业可自行开展或委托有资质的检验单位开展年度检查，</w:t>
      </w:r>
      <w:r>
        <w:rPr>
          <w:rFonts w:hint="eastAsia" w:hAnsi="宋体" w:cs="宋体"/>
          <w:szCs w:val="22"/>
          <w:lang w:val="zh-TW"/>
        </w:rPr>
        <w:t>周期最长不超过</w:t>
      </w:r>
      <w:r>
        <w:rPr>
          <w:rFonts w:hint="eastAsia" w:hAnsi="宋体" w:cs="宋体"/>
          <w:szCs w:val="22"/>
        </w:rPr>
        <w:t>1年。</w:t>
      </w:r>
      <w:r>
        <w:rPr>
          <w:rFonts w:hint="eastAsia" w:ascii="黑体" w:hAnsi="黑体"/>
          <w:szCs w:val="22"/>
          <w:lang w:val="zh-TW"/>
        </w:rPr>
        <w:t>企业检查人员应具有储罐操作或检修的能力。</w:t>
      </w:r>
    </w:p>
    <w:p w14:paraId="0D16A2B1">
      <w:pPr>
        <w:pStyle w:val="168"/>
        <w:rPr>
          <w:lang w:val="zh-TW"/>
        </w:rPr>
      </w:pPr>
      <w:r>
        <w:rPr>
          <w:rFonts w:hint="eastAsia" w:ascii="黑体" w:hAnsi="黑体"/>
          <w:szCs w:val="22"/>
          <w:lang w:val="zh-TW"/>
        </w:rPr>
        <w:t>年度检查</w:t>
      </w:r>
      <w:r>
        <w:rPr>
          <w:rFonts w:hint="eastAsia" w:hAnsi="宋体" w:cs="宋体"/>
          <w:szCs w:val="21"/>
          <w:lang w:bidi="ar"/>
        </w:rPr>
        <w:t>项目包括</w:t>
      </w:r>
      <w:r>
        <w:rPr>
          <w:rFonts w:hint="eastAsia" w:ascii="黑体" w:hAnsi="黑体"/>
          <w:szCs w:val="22"/>
          <w:lang w:val="zh-TW"/>
        </w:rPr>
        <w:t>储罐</w:t>
      </w:r>
      <w:r>
        <w:rPr>
          <w:rFonts w:hint="eastAsia" w:hAnsi="宋体" w:cs="宋体"/>
          <w:szCs w:val="21"/>
          <w:lang w:bidi="ar"/>
        </w:rPr>
        <w:t>罐顶、罐体检查及</w:t>
      </w:r>
      <w:r>
        <w:rPr>
          <w:rFonts w:hint="eastAsia" w:ascii="黑体" w:hAnsi="黑体"/>
          <w:szCs w:val="22"/>
          <w:lang w:val="zh-TW"/>
        </w:rPr>
        <w:t>厚度测定，</w:t>
      </w:r>
      <w:r>
        <w:rPr>
          <w:rFonts w:hint="eastAsia" w:ascii="黑体" w:hAnsi="黑体"/>
          <w:szCs w:val="22"/>
        </w:rPr>
        <w:t>防雷和防静电接地检测</w:t>
      </w:r>
      <w:r>
        <w:rPr>
          <w:rFonts w:hint="eastAsia" w:ascii="黑体" w:hAnsi="黑体"/>
          <w:szCs w:val="22"/>
          <w:lang w:val="zh-TW"/>
        </w:rPr>
        <w:t>，</w:t>
      </w:r>
      <w:r>
        <w:rPr>
          <w:rFonts w:hint="eastAsia" w:ascii="黑体" w:hAnsi="黑体"/>
          <w:szCs w:val="22"/>
        </w:rPr>
        <w:t>安全附件检查与校验</w:t>
      </w:r>
      <w:r>
        <w:rPr>
          <w:rFonts w:hint="eastAsia" w:ascii="黑体" w:hAnsi="黑体"/>
          <w:szCs w:val="22"/>
          <w:lang w:val="zh-TW"/>
        </w:rPr>
        <w:t>，</w:t>
      </w:r>
      <w:r>
        <w:rPr>
          <w:rFonts w:hint="eastAsia"/>
          <w:lang w:val="zh-TW"/>
        </w:rPr>
        <w:t>储罐</w:t>
      </w:r>
      <w:r>
        <w:rPr>
          <w:rFonts w:hint="eastAsia" w:hAnsi="宋体" w:cs="宋体"/>
          <w:szCs w:val="21"/>
          <w:lang w:bidi="ar"/>
        </w:rPr>
        <w:t>基础检查</w:t>
      </w:r>
      <w:r>
        <w:rPr>
          <w:rFonts w:hint="eastAsia" w:hAnsi="宋体" w:cs="宋体"/>
          <w:szCs w:val="21"/>
          <w:lang w:eastAsia="zh-CN" w:bidi="ar"/>
        </w:rPr>
        <w:t>（检测）</w:t>
      </w:r>
      <w:r>
        <w:rPr>
          <w:rFonts w:hint="eastAsia" w:hAnsi="宋体" w:cs="宋体"/>
          <w:szCs w:val="21"/>
          <w:lang w:bidi="ar"/>
        </w:rPr>
        <w:t>，</w:t>
      </w:r>
      <w:r>
        <w:rPr>
          <w:rFonts w:hint="eastAsia" w:ascii="黑体" w:hAnsi="黑体"/>
          <w:szCs w:val="22"/>
          <w:lang w:val="zh-TW"/>
        </w:rPr>
        <w:t>安全管理情况</w:t>
      </w:r>
      <w:r>
        <w:rPr>
          <w:rFonts w:hint="eastAsia" w:hAnsi="宋体" w:cs="宋体"/>
          <w:szCs w:val="21"/>
          <w:lang w:bidi="ar"/>
        </w:rPr>
        <w:t>检查等。</w:t>
      </w:r>
    </w:p>
    <w:p w14:paraId="386C210A">
      <w:pPr>
        <w:pStyle w:val="167"/>
        <w:rPr>
          <w:lang w:val="zh-TW"/>
        </w:rPr>
      </w:pPr>
      <w:r>
        <w:rPr>
          <w:rFonts w:hint="eastAsia"/>
          <w:lang w:val="zh-TW"/>
        </w:rPr>
        <w:t>相关设施校验检测包括但不限于：</w:t>
      </w:r>
    </w:p>
    <w:p w14:paraId="273C5413">
      <w:pPr>
        <w:pStyle w:val="177"/>
        <w:numPr>
          <w:ilvl w:val="0"/>
          <w:numId w:val="42"/>
        </w:numPr>
        <w:rPr>
          <w:lang w:val="zh-TW"/>
        </w:rPr>
      </w:pPr>
      <w:r>
        <w:rPr>
          <w:rFonts w:hint="eastAsia"/>
          <w:lang w:val="zh-TW"/>
        </w:rPr>
        <w:t>储罐呼吸阀</w:t>
      </w:r>
      <w:r>
        <w:rPr>
          <w:rFonts w:hint="eastAsia"/>
        </w:rPr>
        <w:t>/</w:t>
      </w:r>
      <w:r>
        <w:rPr>
          <w:rFonts w:hint="eastAsia"/>
          <w:lang w:val="zh-TW"/>
        </w:rPr>
        <w:t>安全阀应每年进行一次校验；</w:t>
      </w:r>
    </w:p>
    <w:p w14:paraId="507235C4">
      <w:pPr>
        <w:pStyle w:val="177"/>
        <w:numPr>
          <w:ilvl w:val="0"/>
          <w:numId w:val="42"/>
        </w:numPr>
        <w:rPr>
          <w:lang w:val="zh-TW"/>
        </w:rPr>
      </w:pPr>
      <w:r>
        <w:rPr>
          <w:rFonts w:hint="eastAsia"/>
          <w:lang w:val="zh-TW"/>
        </w:rPr>
        <w:t>储罐防爆区域内的防雷、防静电接地设施应半年进行一次检测；</w:t>
      </w:r>
    </w:p>
    <w:p w14:paraId="48858A60">
      <w:pPr>
        <w:pStyle w:val="177"/>
        <w:numPr>
          <w:ilvl w:val="0"/>
          <w:numId w:val="42"/>
        </w:numPr>
        <w:rPr>
          <w:lang w:val="zh-TW"/>
        </w:rPr>
      </w:pPr>
      <w:r>
        <w:rPr>
          <w:rFonts w:hint="eastAsia"/>
          <w:lang w:val="zh-TW"/>
        </w:rPr>
        <w:t>易燃、有毒气体报警探测器，应每年校验一次。</w:t>
      </w:r>
    </w:p>
    <w:p w14:paraId="461A6D7A">
      <w:pPr>
        <w:pStyle w:val="167"/>
        <w:rPr>
          <w:lang w:val="zh-TW"/>
        </w:rPr>
      </w:pPr>
      <w:r>
        <w:rPr>
          <w:rFonts w:hint="eastAsia"/>
          <w:lang w:val="zh-TW"/>
        </w:rPr>
        <w:t>储罐投产后三年内，每年一次储罐基础检测。储罐投用三年之后，结合沉降特征和储罐大修情况进行检测。</w:t>
      </w:r>
    </w:p>
    <w:p w14:paraId="7EE6AAAC">
      <w:pPr>
        <w:pStyle w:val="167"/>
        <w:rPr>
          <w:lang w:val="zh-TW"/>
        </w:rPr>
      </w:pPr>
      <w:r>
        <w:rPr>
          <w:rFonts w:hint="eastAsia"/>
          <w:lang w:val="zh-TW"/>
        </w:rPr>
        <w:t>安全管理情况检查内容包括：</w:t>
      </w:r>
    </w:p>
    <w:p w14:paraId="722E8204">
      <w:pPr>
        <w:pStyle w:val="177"/>
        <w:numPr>
          <w:ilvl w:val="0"/>
          <w:numId w:val="43"/>
        </w:numPr>
        <w:rPr>
          <w:lang w:val="zh-TW"/>
        </w:rPr>
      </w:pPr>
      <w:r>
        <w:rPr>
          <w:rFonts w:hint="eastAsia"/>
          <w:lang w:val="zh-TW"/>
        </w:rPr>
        <w:t>储罐岗位安全责任制落实情况；</w:t>
      </w:r>
    </w:p>
    <w:p w14:paraId="7D3EC544">
      <w:pPr>
        <w:pStyle w:val="177"/>
        <w:numPr>
          <w:ilvl w:val="0"/>
          <w:numId w:val="43"/>
        </w:numPr>
        <w:rPr>
          <w:lang w:val="zh-TW"/>
        </w:rPr>
      </w:pPr>
      <w:r>
        <w:rPr>
          <w:rFonts w:hint="eastAsia"/>
          <w:lang w:val="zh-TW"/>
        </w:rPr>
        <w:t>根据季节特点检查储罐防火防爆、防台防汛、防雷电、防暑降温、防冻</w:t>
      </w:r>
      <w:bookmarkStart w:id="178" w:name="OLE_LINK25"/>
      <w:r>
        <w:rPr>
          <w:rFonts w:hint="eastAsia"/>
          <w:lang w:val="zh-TW"/>
        </w:rPr>
        <w:t>措施落实情况</w:t>
      </w:r>
      <w:bookmarkEnd w:id="178"/>
      <w:r>
        <w:rPr>
          <w:rFonts w:hint="eastAsia"/>
          <w:lang w:val="zh-TW"/>
        </w:rPr>
        <w:t>；</w:t>
      </w:r>
    </w:p>
    <w:p w14:paraId="6C22BE9B">
      <w:pPr>
        <w:pStyle w:val="177"/>
        <w:numPr>
          <w:ilvl w:val="0"/>
          <w:numId w:val="43"/>
        </w:numPr>
        <w:rPr>
          <w:lang w:val="zh-TW"/>
        </w:rPr>
      </w:pPr>
      <w:r>
        <w:rPr>
          <w:rFonts w:hint="eastAsia"/>
          <w:lang w:val="zh-TW"/>
        </w:rPr>
        <w:t>节假日前储罐安全、消防、应急预案检查及应急物资落实情况。</w:t>
      </w:r>
    </w:p>
    <w:p w14:paraId="0BF738B9">
      <w:pPr>
        <w:pStyle w:val="168"/>
        <w:rPr>
          <w:lang w:val="zh-TW"/>
        </w:rPr>
      </w:pPr>
      <w:bookmarkStart w:id="179" w:name="_Hlk181260816"/>
      <w:r>
        <w:rPr>
          <w:rFonts w:hint="eastAsia" w:ascii="黑体" w:hAnsi="黑体"/>
          <w:szCs w:val="22"/>
          <w:lang w:val="zh-TW"/>
        </w:rPr>
        <w:t>年</w:t>
      </w:r>
      <w:r>
        <w:rPr>
          <w:rFonts w:hint="eastAsia" w:hAnsi="宋体" w:cs="宋体"/>
          <w:szCs w:val="22"/>
          <w:lang w:val="zh-TW"/>
        </w:rPr>
        <w:t>度检查完成后，检查人员</w:t>
      </w:r>
      <w:r>
        <w:rPr>
          <w:rFonts w:hint="eastAsia" w:hAnsi="宋体" w:cs="宋体"/>
          <w:szCs w:val="21"/>
        </w:rPr>
        <w:t>应</w:t>
      </w:r>
      <w:r>
        <w:rPr>
          <w:rFonts w:hint="eastAsia" w:hAnsi="宋体" w:cs="宋体"/>
          <w:szCs w:val="22"/>
          <w:lang w:val="zh-TW"/>
        </w:rPr>
        <w:t>出具检查报告，并作出下列之一的结论</w:t>
      </w:r>
      <w:bookmarkEnd w:id="179"/>
      <w:r>
        <w:rPr>
          <w:rFonts w:hint="eastAsia" w:hAnsi="宋体" w:cs="宋体"/>
          <w:szCs w:val="22"/>
          <w:lang w:val="zh-TW"/>
        </w:rPr>
        <w:t>：</w:t>
      </w:r>
    </w:p>
    <w:p w14:paraId="2647C0CA">
      <w:pPr>
        <w:pStyle w:val="177"/>
        <w:numPr>
          <w:ilvl w:val="0"/>
          <w:numId w:val="44"/>
        </w:numPr>
        <w:rPr>
          <w:lang w:val="zh-TW"/>
        </w:rPr>
      </w:pPr>
      <w:r>
        <w:rPr>
          <w:rFonts w:hint="eastAsia"/>
          <w:lang w:val="zh-TW"/>
        </w:rPr>
        <w:t>允许运行：未发现缺陷或者仅有不影响安全运行的轻微缺陷；</w:t>
      </w:r>
    </w:p>
    <w:p w14:paraId="29BBC5F9">
      <w:pPr>
        <w:pStyle w:val="177"/>
        <w:numPr>
          <w:ilvl w:val="0"/>
          <w:numId w:val="44"/>
        </w:numPr>
        <w:rPr>
          <w:lang w:val="zh-TW"/>
        </w:rPr>
      </w:pPr>
      <w:r>
        <w:rPr>
          <w:rFonts w:hint="eastAsia"/>
          <w:lang w:val="zh-TW"/>
        </w:rPr>
        <w:t>监督运行：发现一般缺陷，经过使用单位采取措施后能保证安全运行，结论中应注明监督运行需解决的问题及完成期限；</w:t>
      </w:r>
    </w:p>
    <w:p w14:paraId="23A6AAF7">
      <w:pPr>
        <w:pStyle w:val="177"/>
        <w:numPr>
          <w:ilvl w:val="0"/>
          <w:numId w:val="44"/>
        </w:numPr>
        <w:rPr>
          <w:lang w:val="zh-TW"/>
        </w:rPr>
      </w:pPr>
      <w:r>
        <w:rPr>
          <w:rFonts w:hint="eastAsia"/>
          <w:lang w:val="zh-TW"/>
        </w:rPr>
        <w:t>停止运行：发现严重缺陷，不能保证储罐安全运行的情况，应停止运行，</w:t>
      </w:r>
      <w:r>
        <w:rPr>
          <w:rFonts w:hint="eastAsia"/>
        </w:rPr>
        <w:t>进行维修或停用报废。</w:t>
      </w:r>
    </w:p>
    <w:p w14:paraId="4BF98079">
      <w:pPr>
        <w:pStyle w:val="107"/>
        <w:spacing w:before="312" w:after="312"/>
        <w:rPr>
          <w:lang w:val="zh-TW"/>
        </w:rPr>
      </w:pPr>
      <w:bookmarkStart w:id="180" w:name="_Toc182227677"/>
      <w:bookmarkStart w:id="181" w:name="_Toc182227885"/>
      <w:bookmarkStart w:id="182" w:name="_Toc182227176"/>
      <w:bookmarkStart w:id="183" w:name="_Toc182227078"/>
      <w:bookmarkStart w:id="184" w:name="_Toc183074794"/>
      <w:bookmarkStart w:id="185" w:name="_Toc183074823"/>
      <w:bookmarkStart w:id="186" w:name="_Toc182227754"/>
      <w:bookmarkStart w:id="187" w:name="_Toc181263720"/>
      <w:bookmarkStart w:id="188" w:name="_Toc182227140"/>
      <w:bookmarkStart w:id="189" w:name="_Toc181273017"/>
      <w:r>
        <w:rPr>
          <w:rFonts w:hint="eastAsia"/>
        </w:rPr>
        <w:t>全面</w:t>
      </w:r>
      <w:r>
        <w:rPr>
          <w:rFonts w:hint="eastAsia"/>
          <w:lang w:val="zh-TW"/>
        </w:rPr>
        <w:t>检验</w:t>
      </w:r>
      <w:bookmarkEnd w:id="180"/>
      <w:bookmarkEnd w:id="181"/>
      <w:bookmarkEnd w:id="182"/>
      <w:bookmarkEnd w:id="183"/>
      <w:bookmarkEnd w:id="184"/>
      <w:bookmarkEnd w:id="185"/>
      <w:bookmarkEnd w:id="186"/>
      <w:bookmarkEnd w:id="187"/>
      <w:bookmarkEnd w:id="188"/>
      <w:bookmarkEnd w:id="189"/>
    </w:p>
    <w:p w14:paraId="3DC28B62">
      <w:pPr>
        <w:pStyle w:val="108"/>
        <w:spacing w:before="156" w:after="156"/>
        <w:rPr>
          <w:rFonts w:ascii="宋体"/>
          <w:color w:val="auto"/>
          <w:lang w:val="zh-TW"/>
        </w:rPr>
      </w:pPr>
      <w:bookmarkStart w:id="190" w:name="_Toc182227678"/>
      <w:bookmarkStart w:id="191" w:name="_Toc182227755"/>
      <w:bookmarkStart w:id="192" w:name="_Toc182227886"/>
      <w:bookmarkStart w:id="193" w:name="_Toc182227079"/>
      <w:bookmarkStart w:id="194" w:name="_Toc182227177"/>
      <w:bookmarkStart w:id="195" w:name="_Toc182227141"/>
      <w:bookmarkStart w:id="196" w:name="_Toc183074824"/>
      <w:bookmarkStart w:id="197" w:name="_Toc183074795"/>
      <w:r>
        <w:rPr>
          <w:rFonts w:hint="eastAsia"/>
          <w:color w:val="auto"/>
        </w:rPr>
        <w:t>检验要求</w:t>
      </w:r>
      <w:bookmarkEnd w:id="190"/>
      <w:bookmarkEnd w:id="191"/>
      <w:bookmarkEnd w:id="192"/>
      <w:bookmarkEnd w:id="193"/>
      <w:bookmarkEnd w:id="194"/>
      <w:bookmarkEnd w:id="195"/>
      <w:bookmarkEnd w:id="196"/>
      <w:bookmarkEnd w:id="197"/>
    </w:p>
    <w:p w14:paraId="6B69F7E1">
      <w:pPr>
        <w:pStyle w:val="168"/>
        <w:rPr>
          <w:rFonts w:hint="eastAsia" w:ascii="黑体" w:hAnsi="黑体"/>
          <w:color w:val="auto"/>
          <w:szCs w:val="22"/>
          <w:lang w:val="zh-TW"/>
        </w:rPr>
      </w:pPr>
      <w:r>
        <w:rPr>
          <w:rFonts w:hint="eastAsia" w:ascii="黑体" w:hAnsi="黑体"/>
          <w:color w:val="auto"/>
          <w:szCs w:val="22"/>
        </w:rPr>
        <w:t>全面检验是对储罐进行较全面的检测</w:t>
      </w:r>
      <w:r>
        <w:rPr>
          <w:rFonts w:hint="eastAsia" w:ascii="黑体" w:hAnsi="黑体"/>
          <w:color w:val="auto"/>
          <w:szCs w:val="22"/>
          <w:lang w:val="zh-TW"/>
        </w:rPr>
        <w:t>，</w:t>
      </w:r>
      <w:r>
        <w:rPr>
          <w:rFonts w:hint="eastAsia" w:ascii="黑体" w:hAnsi="黑体"/>
          <w:color w:val="auto"/>
          <w:szCs w:val="22"/>
          <w:lang w:val="zh-TW" w:eastAsia="zh-CN"/>
        </w:rPr>
        <w:t>对储罐的适用性状况进行的符合性验证活动</w:t>
      </w:r>
      <w:r>
        <w:rPr>
          <w:rFonts w:hint="eastAsia" w:ascii="黑体" w:hAnsi="黑体"/>
          <w:color w:val="auto"/>
          <w:szCs w:val="22"/>
        </w:rPr>
        <w:t>。</w:t>
      </w:r>
    </w:p>
    <w:p w14:paraId="5B57654D">
      <w:pPr>
        <w:pStyle w:val="168"/>
        <w:rPr>
          <w:lang w:val="zh-TW"/>
        </w:rPr>
      </w:pPr>
      <w:r>
        <w:rPr>
          <w:rFonts w:hint="eastAsia" w:ascii="黑体" w:hAnsi="黑体"/>
          <w:szCs w:val="22"/>
        </w:rPr>
        <w:t>全面</w:t>
      </w:r>
      <w:r>
        <w:rPr>
          <w:rFonts w:hint="eastAsia" w:ascii="黑体" w:hAnsi="黑体"/>
          <w:szCs w:val="22"/>
          <w:lang w:val="zh-TW"/>
        </w:rPr>
        <w:t>检验应采用开罐检验方式。因生产原因，不能开罐检验的</w:t>
      </w:r>
      <w:r>
        <w:rPr>
          <w:rFonts w:hint="eastAsia" w:ascii="黑体" w:hAnsi="黑体"/>
          <w:szCs w:val="22"/>
        </w:rPr>
        <w:t>储罐</w:t>
      </w:r>
      <w:r>
        <w:rPr>
          <w:rFonts w:hint="eastAsia" w:ascii="黑体" w:hAnsi="黑体"/>
          <w:szCs w:val="22"/>
          <w:lang w:val="zh-TW"/>
        </w:rPr>
        <w:t>经</w:t>
      </w:r>
      <w:r>
        <w:rPr>
          <w:rFonts w:hint="eastAsia" w:ascii="黑体" w:hAnsi="黑体"/>
          <w:szCs w:val="22"/>
        </w:rPr>
        <w:t>检验</w:t>
      </w:r>
      <w:r>
        <w:rPr>
          <w:rFonts w:hint="eastAsia" w:ascii="黑体" w:hAnsi="黑体"/>
          <w:szCs w:val="22"/>
          <w:lang w:val="zh-TW"/>
        </w:rPr>
        <w:t>单位评估确认后，可采用在线检验代替开罐检验</w:t>
      </w:r>
      <w:r>
        <w:rPr>
          <w:rFonts w:hint="eastAsia" w:ascii="黑体" w:hAnsi="黑体"/>
          <w:szCs w:val="22"/>
          <w:lang w:val="zh-TW" w:eastAsia="zh-CN"/>
        </w:rPr>
        <w:t>，</w:t>
      </w:r>
      <w:r>
        <w:rPr>
          <w:rFonts w:hint="eastAsia" w:hAnsi="宋体" w:cs="宋体"/>
          <w:szCs w:val="22"/>
          <w:lang w:val="zh-TW"/>
        </w:rPr>
        <w:t>在线检验</w:t>
      </w:r>
      <w:r>
        <w:rPr>
          <w:rFonts w:hint="eastAsia" w:hAnsi="宋体" w:cs="宋体"/>
          <w:szCs w:val="22"/>
        </w:rPr>
        <w:t>项目</w:t>
      </w:r>
      <w:r>
        <w:rPr>
          <w:rFonts w:hint="eastAsia"/>
          <w:lang w:val="zh-TW"/>
        </w:rPr>
        <w:t>参见附录</w:t>
      </w:r>
      <w:r>
        <w:rPr>
          <w:rFonts w:hint="eastAsia"/>
        </w:rPr>
        <w:t>B</w:t>
      </w:r>
      <w:r>
        <w:rPr>
          <w:rFonts w:hint="eastAsia"/>
          <w:lang w:val="zh-TW"/>
        </w:rPr>
        <w:t>表</w:t>
      </w:r>
      <w:r>
        <w:rPr>
          <w:rFonts w:hint="eastAsia"/>
        </w:rPr>
        <w:t>B</w:t>
      </w:r>
      <w:r>
        <w:rPr>
          <w:rFonts w:hint="eastAsia"/>
          <w:lang w:val="zh-TW"/>
        </w:rPr>
        <w:t>.</w:t>
      </w:r>
      <w:r>
        <w:rPr>
          <w:rFonts w:hint="eastAsia"/>
        </w:rPr>
        <w:t>1</w:t>
      </w:r>
      <w:r>
        <w:rPr>
          <w:rFonts w:hint="eastAsia" w:ascii="黑体" w:hAnsi="黑体"/>
          <w:szCs w:val="22"/>
          <w:lang w:val="zh-TW"/>
        </w:rPr>
        <w:t>。</w:t>
      </w:r>
    </w:p>
    <w:p w14:paraId="42D630D6">
      <w:pPr>
        <w:pStyle w:val="168"/>
        <w:rPr>
          <w:lang w:val="zh-TW"/>
        </w:rPr>
      </w:pPr>
      <w:r>
        <w:rPr>
          <w:rFonts w:hint="eastAsia" w:ascii="黑体" w:hAnsi="黑体"/>
          <w:szCs w:val="22"/>
        </w:rPr>
        <w:t>全面检验</w:t>
      </w:r>
      <w:r>
        <w:rPr>
          <w:rFonts w:hint="eastAsia" w:ascii="黑体" w:hAnsi="黑体"/>
          <w:szCs w:val="22"/>
          <w:lang w:val="zh-TW"/>
        </w:rPr>
        <w:t>应</w:t>
      </w:r>
      <w:r>
        <w:rPr>
          <w:rFonts w:hint="eastAsia" w:ascii="黑体" w:hAnsi="黑体"/>
          <w:szCs w:val="22"/>
        </w:rPr>
        <w:t>委托有</w:t>
      </w:r>
      <w:r>
        <w:rPr>
          <w:rFonts w:hint="eastAsia" w:ascii="黑体" w:hAnsi="黑体"/>
          <w:szCs w:val="22"/>
          <w:lang w:val="zh-TW"/>
        </w:rPr>
        <w:t>资质</w:t>
      </w:r>
      <w:r>
        <w:rPr>
          <w:rFonts w:hint="eastAsia" w:ascii="黑体" w:hAnsi="黑体"/>
          <w:szCs w:val="22"/>
        </w:rPr>
        <w:t>的储罐检验</w:t>
      </w:r>
      <w:r>
        <w:rPr>
          <w:rFonts w:hint="eastAsia" w:ascii="黑体" w:hAnsi="黑体"/>
          <w:szCs w:val="22"/>
          <w:lang w:val="zh-TW"/>
        </w:rPr>
        <w:t>单位实施，</w:t>
      </w:r>
      <w:r>
        <w:rPr>
          <w:rFonts w:hint="eastAsia" w:ascii="黑体" w:hAnsi="黑体"/>
          <w:szCs w:val="22"/>
        </w:rPr>
        <w:t>检验</w:t>
      </w:r>
      <w:r>
        <w:rPr>
          <w:rFonts w:hint="eastAsia" w:ascii="黑体" w:hAnsi="黑体"/>
          <w:szCs w:val="22"/>
          <w:lang w:val="zh-TW"/>
        </w:rPr>
        <w:t>单位对</w:t>
      </w:r>
      <w:r>
        <w:rPr>
          <w:rFonts w:hint="eastAsia" w:ascii="黑体" w:hAnsi="黑体"/>
          <w:szCs w:val="22"/>
        </w:rPr>
        <w:t>检验结果负责。全面</w:t>
      </w:r>
      <w:r>
        <w:rPr>
          <w:rFonts w:hint="eastAsia" w:ascii="黑体" w:hAnsi="黑体" w:cs="宋体"/>
          <w:szCs w:val="21"/>
          <w:lang w:val="zh-TW"/>
        </w:rPr>
        <w:t>检验周期按以</w:t>
      </w:r>
      <w:r>
        <w:rPr>
          <w:rFonts w:hint="eastAsia" w:ascii="黑体" w:hAnsi="黑体" w:cs="宋体"/>
          <w:szCs w:val="21"/>
        </w:rPr>
        <w:t>下</w:t>
      </w:r>
      <w:r>
        <w:rPr>
          <w:rFonts w:hint="eastAsia" w:ascii="黑体" w:hAnsi="黑体" w:cs="宋体"/>
          <w:szCs w:val="21"/>
          <w:lang w:val="zh-TW"/>
        </w:rPr>
        <w:t>要求确定：</w:t>
      </w:r>
    </w:p>
    <w:p w14:paraId="2E1C50DE">
      <w:pPr>
        <w:pStyle w:val="177"/>
        <w:numPr>
          <w:ilvl w:val="0"/>
          <w:numId w:val="45"/>
        </w:numPr>
        <w:rPr>
          <w:lang w:val="zh-TW"/>
        </w:rPr>
      </w:pPr>
      <w:r>
        <w:rPr>
          <w:rFonts w:hint="eastAsia"/>
          <w:lang w:val="zh-TW"/>
        </w:rPr>
        <w:t>对于开罐检验的储罐，全面检验周期应根据实测的腐蚀速率和罐体的最小允许厚度来确定，检验周期应确保下次检验时罐体厚度不小于AQ 3053所要求的最小厚度；</w:t>
      </w:r>
    </w:p>
    <w:p w14:paraId="0F57274C">
      <w:pPr>
        <w:pStyle w:val="177"/>
        <w:numPr>
          <w:ilvl w:val="0"/>
          <w:numId w:val="45"/>
        </w:numPr>
        <w:rPr>
          <w:lang w:val="zh-TW"/>
        </w:rPr>
      </w:pPr>
      <w:r>
        <w:rPr>
          <w:rFonts w:hint="eastAsia"/>
          <w:lang w:val="zh-TW"/>
        </w:rPr>
        <w:t>对于无法进行开罐检验的储罐且腐蚀速率未知时，可根据类似工况条件下储罐运行经验预测腐蚀速率并采用基于风险的检验（RBI），按照GB/T</w:t>
      </w:r>
      <w:r>
        <w:rPr>
          <w:rFonts w:hint="eastAsia"/>
        </w:rPr>
        <w:t xml:space="preserve"> 30578</w:t>
      </w:r>
      <w:r>
        <w:rPr>
          <w:rFonts w:hint="eastAsia"/>
          <w:lang w:val="zh-TW"/>
        </w:rPr>
        <w:t>确定检验周期；</w:t>
      </w:r>
    </w:p>
    <w:p w14:paraId="1D8B4F80">
      <w:pPr>
        <w:pStyle w:val="177"/>
        <w:numPr>
          <w:ilvl w:val="0"/>
          <w:numId w:val="45"/>
        </w:numPr>
        <w:rPr>
          <w:lang w:val="zh-TW"/>
        </w:rPr>
      </w:pPr>
      <w:r>
        <w:rPr>
          <w:rFonts w:hint="eastAsia"/>
          <w:lang w:val="zh-TW"/>
        </w:rPr>
        <w:t>对于腐蚀速率未知，且没有类似储罐运行经验或数据时，检验周期不应超过4年；</w:t>
      </w:r>
    </w:p>
    <w:p w14:paraId="0475A085">
      <w:pPr>
        <w:pStyle w:val="177"/>
        <w:numPr>
          <w:ilvl w:val="0"/>
          <w:numId w:val="45"/>
        </w:numPr>
        <w:rPr>
          <w:lang w:val="zh-TW"/>
        </w:rPr>
      </w:pPr>
      <w:r>
        <w:rPr>
          <w:rFonts w:hint="eastAsia"/>
          <w:lang w:val="zh-TW"/>
        </w:rPr>
        <w:t>对于腐蚀较严重的储罐，可按照</w:t>
      </w:r>
      <w:r>
        <w:rPr>
          <w:rFonts w:hint="eastAsia"/>
        </w:rPr>
        <w:t>GB/T 50393腐蚀等级</w:t>
      </w:r>
      <w:r>
        <w:rPr>
          <w:rFonts w:hint="eastAsia"/>
          <w:lang w:val="zh-TW"/>
        </w:rPr>
        <w:t>要求，根据实际情况缩短检验周期；</w:t>
      </w:r>
    </w:p>
    <w:p w14:paraId="2F9BB894">
      <w:pPr>
        <w:pStyle w:val="177"/>
        <w:numPr>
          <w:ilvl w:val="0"/>
          <w:numId w:val="45"/>
        </w:numPr>
        <w:rPr>
          <w:lang w:val="zh-TW"/>
        </w:rPr>
      </w:pPr>
      <w:r>
        <w:rPr>
          <w:rFonts w:hint="eastAsia"/>
          <w:lang w:val="zh-TW"/>
        </w:rPr>
        <w:t>超出设计年限或无设计年限且已运行</w:t>
      </w:r>
      <w:r>
        <w:rPr>
          <w:rFonts w:hint="eastAsia"/>
        </w:rPr>
        <w:t>20年（含）以上</w:t>
      </w:r>
      <w:r>
        <w:rPr>
          <w:rFonts w:hint="eastAsia"/>
          <w:lang w:val="zh-TW"/>
        </w:rPr>
        <w:t>的储罐，应采取开罐检验确定储罐下次检验时间。</w:t>
      </w:r>
    </w:p>
    <w:p w14:paraId="0404CA54">
      <w:pPr>
        <w:pStyle w:val="168"/>
        <w:rPr>
          <w:lang w:val="zh-TW"/>
        </w:rPr>
      </w:pPr>
      <w:r>
        <w:rPr>
          <w:rFonts w:hint="eastAsia" w:hAnsi="宋体" w:cs="宋体"/>
          <w:szCs w:val="22"/>
          <w:lang w:val="zh-TW"/>
        </w:rPr>
        <w:t>储罐开罐</w:t>
      </w:r>
      <w:r>
        <w:rPr>
          <w:rFonts w:hint="eastAsia" w:hAnsi="宋体" w:cs="宋体"/>
          <w:szCs w:val="22"/>
        </w:rPr>
        <w:t>检验项目包括：</w:t>
      </w:r>
    </w:p>
    <w:p w14:paraId="46D2B3B5">
      <w:pPr>
        <w:pStyle w:val="177"/>
        <w:numPr>
          <w:ilvl w:val="0"/>
          <w:numId w:val="46"/>
        </w:numPr>
        <w:rPr>
          <w:lang w:val="zh-TW"/>
        </w:rPr>
      </w:pPr>
      <w:r>
        <w:rPr>
          <w:rFonts w:hint="eastAsia"/>
          <w:lang w:val="zh-TW"/>
        </w:rPr>
        <w:t>储罐顶板、壁板、底板外部</w:t>
      </w:r>
      <w:bookmarkStart w:id="198" w:name="OLE_LINK24"/>
      <w:r>
        <w:rPr>
          <w:rFonts w:hint="eastAsia"/>
          <w:lang w:val="zh-TW"/>
        </w:rPr>
        <w:t>检查</w:t>
      </w:r>
      <w:bookmarkEnd w:id="198"/>
      <w:r>
        <w:rPr>
          <w:rFonts w:hint="eastAsia"/>
          <w:lang w:val="zh-TW"/>
        </w:rPr>
        <w:t>，基础检查和</w:t>
      </w:r>
      <w:bookmarkStart w:id="199" w:name="OLE_LINK22"/>
      <w:r>
        <w:rPr>
          <w:rFonts w:hint="eastAsia" w:ascii="黑体" w:hAnsi="黑体"/>
          <w:szCs w:val="22"/>
          <w:lang w:val="zh-TW"/>
        </w:rPr>
        <w:t>相关配件检查</w:t>
      </w:r>
      <w:r>
        <w:rPr>
          <w:rFonts w:hint="eastAsia"/>
          <w:lang w:val="zh-TW"/>
        </w:rPr>
        <w:t>（见附录A表A.1）</w:t>
      </w:r>
      <w:bookmarkEnd w:id="199"/>
      <w:r>
        <w:rPr>
          <w:rFonts w:hint="eastAsia"/>
          <w:lang w:val="zh-TW"/>
        </w:rPr>
        <w:t>；</w:t>
      </w:r>
    </w:p>
    <w:p w14:paraId="1C4513A1">
      <w:pPr>
        <w:pStyle w:val="177"/>
        <w:numPr>
          <w:ilvl w:val="0"/>
          <w:numId w:val="46"/>
        </w:numPr>
        <w:rPr>
          <w:lang w:val="zh-TW"/>
        </w:rPr>
      </w:pPr>
      <w:r>
        <w:rPr>
          <w:rFonts w:hint="eastAsia"/>
          <w:lang w:val="zh-TW"/>
        </w:rPr>
        <w:t>安全附件检查与校验，防雷和防静电接地检测（见附录A表A.1）；</w:t>
      </w:r>
    </w:p>
    <w:p w14:paraId="210EB80B">
      <w:pPr>
        <w:pStyle w:val="177"/>
        <w:numPr>
          <w:ilvl w:val="0"/>
          <w:numId w:val="46"/>
        </w:numPr>
        <w:rPr>
          <w:lang w:val="zh-TW"/>
        </w:rPr>
      </w:pPr>
      <w:r>
        <w:rPr>
          <w:rFonts w:hint="eastAsia"/>
          <w:lang w:val="zh-TW"/>
        </w:rPr>
        <w:t>储罐壁板、顶板和底板内部检查及厚度测定、焊缝无损检测，罐体</w:t>
      </w:r>
      <w:bookmarkStart w:id="200" w:name="OLE_LINK21"/>
      <w:r>
        <w:rPr>
          <w:rFonts w:hint="eastAsia"/>
          <w:lang w:val="zh-TW"/>
        </w:rPr>
        <w:t>基础</w:t>
      </w:r>
      <w:bookmarkEnd w:id="200"/>
      <w:r>
        <w:rPr>
          <w:rFonts w:hint="eastAsia"/>
          <w:lang w:val="zh-TW"/>
        </w:rPr>
        <w:t>沉降检测（参见附录</w:t>
      </w:r>
      <w:r>
        <w:rPr>
          <w:rFonts w:hint="eastAsia"/>
        </w:rPr>
        <w:t>B</w:t>
      </w:r>
      <w:r>
        <w:rPr>
          <w:rFonts w:hint="eastAsia"/>
          <w:lang w:val="zh-TW"/>
        </w:rPr>
        <w:t>表</w:t>
      </w:r>
      <w:r>
        <w:rPr>
          <w:rFonts w:hint="eastAsia"/>
        </w:rPr>
        <w:t>B</w:t>
      </w:r>
      <w:r>
        <w:rPr>
          <w:rFonts w:hint="eastAsia"/>
          <w:lang w:val="zh-TW"/>
        </w:rPr>
        <w:t>.</w:t>
      </w:r>
      <w:r>
        <w:rPr>
          <w:rFonts w:hint="eastAsia"/>
        </w:rPr>
        <w:t>1</w:t>
      </w:r>
      <w:r>
        <w:rPr>
          <w:rFonts w:hint="eastAsia"/>
          <w:lang w:val="zh-TW"/>
        </w:rPr>
        <w:t>）；</w:t>
      </w:r>
    </w:p>
    <w:p w14:paraId="4CB74C72">
      <w:pPr>
        <w:pStyle w:val="177"/>
        <w:numPr>
          <w:ilvl w:val="0"/>
          <w:numId w:val="46"/>
        </w:numPr>
        <w:rPr>
          <w:lang w:val="zh-TW"/>
        </w:rPr>
      </w:pPr>
      <w:r>
        <w:rPr>
          <w:rFonts w:hint="eastAsia"/>
          <w:lang w:val="zh-TW"/>
        </w:rPr>
        <w:t>储罐资料审查和安全管理情况检查。</w:t>
      </w:r>
    </w:p>
    <w:p w14:paraId="2A7CA285">
      <w:pPr>
        <w:pStyle w:val="168"/>
        <w:rPr>
          <w:lang w:val="zh-TW"/>
        </w:rPr>
      </w:pPr>
      <w:r>
        <w:rPr>
          <w:rFonts w:hint="eastAsia" w:ascii="黑体" w:hAnsi="黑体"/>
          <w:szCs w:val="22"/>
          <w:lang w:val="zh-TW"/>
        </w:rPr>
        <w:t>全面检验完成后，应编制检验报告。检验报告应</w:t>
      </w:r>
      <w:r>
        <w:t>包括</w:t>
      </w:r>
      <w:r>
        <w:rPr>
          <w:rFonts w:hint="eastAsia" w:ascii="黑体" w:hAnsi="黑体"/>
          <w:szCs w:val="22"/>
          <w:lang w:val="zh-TW"/>
        </w:rPr>
        <w:t>以下信息：</w:t>
      </w:r>
    </w:p>
    <w:p w14:paraId="0A7383F7">
      <w:pPr>
        <w:pStyle w:val="177"/>
        <w:numPr>
          <w:ilvl w:val="0"/>
          <w:numId w:val="47"/>
        </w:numPr>
        <w:rPr>
          <w:lang w:val="zh-TW"/>
        </w:rPr>
      </w:pPr>
      <w:r>
        <w:rPr>
          <w:rFonts w:hint="eastAsia"/>
          <w:lang w:val="zh-TW"/>
        </w:rPr>
        <w:t>检验日期；</w:t>
      </w:r>
    </w:p>
    <w:p w14:paraId="0C9A3E53">
      <w:pPr>
        <w:pStyle w:val="177"/>
        <w:numPr>
          <w:ilvl w:val="0"/>
          <w:numId w:val="47"/>
        </w:numPr>
        <w:rPr>
          <w:lang w:val="zh-TW"/>
        </w:rPr>
      </w:pPr>
      <w:r>
        <w:rPr>
          <w:rFonts w:hint="eastAsia"/>
          <w:lang w:val="zh-TW"/>
        </w:rPr>
        <w:t>检验类型；</w:t>
      </w:r>
    </w:p>
    <w:p w14:paraId="1455B459">
      <w:pPr>
        <w:pStyle w:val="177"/>
        <w:numPr>
          <w:ilvl w:val="0"/>
          <w:numId w:val="47"/>
        </w:numPr>
        <w:rPr>
          <w:lang w:val="zh-TW"/>
        </w:rPr>
      </w:pPr>
      <w:r>
        <w:rPr>
          <w:rFonts w:hint="eastAsia"/>
          <w:lang w:val="zh-TW"/>
        </w:rPr>
        <w:t>检验范围，包括未检区域及原因；</w:t>
      </w:r>
    </w:p>
    <w:p w14:paraId="36F464AB">
      <w:pPr>
        <w:pStyle w:val="177"/>
        <w:numPr>
          <w:ilvl w:val="0"/>
          <w:numId w:val="47"/>
        </w:numPr>
        <w:rPr>
          <w:lang w:val="zh-TW"/>
        </w:rPr>
      </w:pPr>
      <w:r>
        <w:rPr>
          <w:rFonts w:hint="eastAsia"/>
          <w:lang w:val="zh-TW"/>
        </w:rPr>
        <w:t>储罐的描述（规格、容量、建造年份、材料、运行历史、罐顶和罐底设计等）；</w:t>
      </w:r>
    </w:p>
    <w:p w14:paraId="58C6BFA6">
      <w:pPr>
        <w:pStyle w:val="177"/>
        <w:numPr>
          <w:ilvl w:val="0"/>
          <w:numId w:val="47"/>
        </w:numPr>
        <w:rPr>
          <w:lang w:val="zh-TW"/>
        </w:rPr>
      </w:pPr>
      <w:r>
        <w:rPr>
          <w:rFonts w:hint="eastAsia"/>
          <w:lang w:val="zh-TW"/>
        </w:rPr>
        <w:t>检验构件及发现问题列表；</w:t>
      </w:r>
    </w:p>
    <w:p w14:paraId="5BB320BD">
      <w:pPr>
        <w:pStyle w:val="177"/>
        <w:numPr>
          <w:ilvl w:val="0"/>
          <w:numId w:val="47"/>
        </w:numPr>
        <w:rPr>
          <w:lang w:val="zh-TW"/>
        </w:rPr>
      </w:pPr>
      <w:r>
        <w:rPr>
          <w:rFonts w:hint="eastAsia"/>
          <w:lang w:val="zh-TW"/>
        </w:rPr>
        <w:t>使用的检测方法和检测结果；</w:t>
      </w:r>
    </w:p>
    <w:p w14:paraId="01FBDFE9">
      <w:pPr>
        <w:pStyle w:val="177"/>
        <w:numPr>
          <w:ilvl w:val="0"/>
          <w:numId w:val="47"/>
        </w:numPr>
        <w:rPr>
          <w:lang w:val="zh-TW"/>
        </w:rPr>
      </w:pPr>
      <w:r>
        <w:rPr>
          <w:rFonts w:hint="eastAsia"/>
          <w:lang w:val="zh-TW"/>
        </w:rPr>
        <w:t>罐底和罐壁的腐蚀速率；</w:t>
      </w:r>
    </w:p>
    <w:p w14:paraId="36C99AAD">
      <w:pPr>
        <w:pStyle w:val="177"/>
        <w:numPr>
          <w:ilvl w:val="0"/>
          <w:numId w:val="47"/>
        </w:numPr>
        <w:rPr>
          <w:lang w:val="zh-TW"/>
        </w:rPr>
      </w:pPr>
      <w:r>
        <w:rPr>
          <w:rFonts w:hint="eastAsia"/>
          <w:lang w:val="zh-TW"/>
        </w:rPr>
        <w:t>沉降检测及分析；</w:t>
      </w:r>
    </w:p>
    <w:p w14:paraId="6F3FBF0E">
      <w:pPr>
        <w:pStyle w:val="177"/>
        <w:numPr>
          <w:ilvl w:val="0"/>
          <w:numId w:val="47"/>
        </w:numPr>
        <w:rPr>
          <w:lang w:val="zh-TW"/>
        </w:rPr>
      </w:pPr>
      <w:r>
        <w:rPr>
          <w:rFonts w:hint="eastAsia"/>
          <w:lang w:val="zh-TW"/>
        </w:rPr>
        <w:t>维修和监督</w:t>
      </w:r>
      <w:r>
        <w:rPr>
          <w:rFonts w:hint="eastAsia"/>
          <w:lang w:val="zh-TW" w:eastAsia="zh-CN"/>
        </w:rPr>
        <w:t>运行</w:t>
      </w:r>
      <w:r>
        <w:rPr>
          <w:rFonts w:hint="eastAsia"/>
          <w:lang w:val="zh-TW"/>
        </w:rPr>
        <w:t>的建议及理由；</w:t>
      </w:r>
    </w:p>
    <w:p w14:paraId="7B91759E">
      <w:pPr>
        <w:pStyle w:val="177"/>
        <w:numPr>
          <w:ilvl w:val="0"/>
          <w:numId w:val="47"/>
        </w:numPr>
        <w:rPr>
          <w:lang w:val="zh-TW"/>
        </w:rPr>
      </w:pPr>
      <w:r>
        <w:rPr>
          <w:rFonts w:hint="eastAsia"/>
          <w:lang w:val="zh-TW"/>
        </w:rPr>
        <w:t>检验员的姓名、资格编号；</w:t>
      </w:r>
    </w:p>
    <w:p w14:paraId="165A2038">
      <w:pPr>
        <w:pStyle w:val="177"/>
        <w:numPr>
          <w:ilvl w:val="0"/>
          <w:numId w:val="47"/>
        </w:numPr>
        <w:rPr>
          <w:lang w:val="zh-TW"/>
        </w:rPr>
      </w:pPr>
      <w:r>
        <w:rPr>
          <w:rFonts w:hint="eastAsia"/>
          <w:lang w:val="zh-TW"/>
        </w:rPr>
        <w:t>图纸、无损检测报告和其他相关信息；</w:t>
      </w:r>
    </w:p>
    <w:p w14:paraId="1A92B486">
      <w:pPr>
        <w:pStyle w:val="177"/>
        <w:numPr>
          <w:ilvl w:val="0"/>
          <w:numId w:val="47"/>
        </w:numPr>
        <w:rPr>
          <w:lang w:val="zh-TW"/>
        </w:rPr>
      </w:pPr>
      <w:r>
        <w:rPr>
          <w:rFonts w:hint="eastAsia" w:ascii="黑体" w:hAnsi="黑体"/>
          <w:szCs w:val="22"/>
        </w:rPr>
        <w:t>明确作出结论（允许运行或监督运行或停止运行）及下次检验日期。</w:t>
      </w:r>
    </w:p>
    <w:p w14:paraId="09244AA8">
      <w:pPr>
        <w:pStyle w:val="108"/>
        <w:spacing w:before="156" w:after="156"/>
        <w:rPr>
          <w:rFonts w:ascii="宋体"/>
          <w:lang w:val="zh-TW"/>
        </w:rPr>
      </w:pPr>
      <w:bookmarkStart w:id="201" w:name="_Toc182227756"/>
      <w:bookmarkStart w:id="202" w:name="_Toc182227679"/>
      <w:bookmarkStart w:id="203" w:name="_Toc183074796"/>
      <w:bookmarkStart w:id="204" w:name="_Toc182227080"/>
      <w:bookmarkStart w:id="205" w:name="_Toc183074825"/>
      <w:bookmarkStart w:id="206" w:name="_Toc182227887"/>
      <w:bookmarkStart w:id="207" w:name="_Toc182227178"/>
      <w:bookmarkStart w:id="208" w:name="_Toc182227142"/>
      <w:r>
        <w:rPr>
          <w:rFonts w:hint="eastAsia"/>
          <w:lang w:val="zh-TW"/>
        </w:rPr>
        <w:t>检验</w:t>
      </w:r>
      <w:r>
        <w:rPr>
          <w:rFonts w:hint="eastAsia"/>
        </w:rPr>
        <w:t>过程安全管理</w:t>
      </w:r>
      <w:bookmarkEnd w:id="201"/>
      <w:bookmarkEnd w:id="202"/>
      <w:bookmarkEnd w:id="203"/>
      <w:bookmarkEnd w:id="204"/>
      <w:bookmarkEnd w:id="205"/>
      <w:bookmarkEnd w:id="206"/>
      <w:bookmarkEnd w:id="207"/>
      <w:bookmarkEnd w:id="208"/>
    </w:p>
    <w:p w14:paraId="5050B791">
      <w:pPr>
        <w:pStyle w:val="68"/>
        <w:spacing w:before="156" w:after="156"/>
        <w:rPr>
          <w:rFonts w:ascii="宋体"/>
          <w:lang w:val="zh-TW"/>
        </w:rPr>
      </w:pPr>
      <w:r>
        <w:rPr>
          <w:rFonts w:hint="eastAsia"/>
        </w:rPr>
        <w:t>检验前安全要求</w:t>
      </w:r>
    </w:p>
    <w:p w14:paraId="439F19C8">
      <w:pPr>
        <w:pStyle w:val="167"/>
        <w:rPr>
          <w:lang w:val="zh-TW"/>
        </w:rPr>
      </w:pPr>
      <w:r>
        <w:rPr>
          <w:rFonts w:hint="eastAsia" w:ascii="黑体" w:hAnsi="黑体"/>
          <w:szCs w:val="22"/>
        </w:rPr>
        <w:t>企业</w:t>
      </w:r>
      <w:r>
        <w:rPr>
          <w:rFonts w:hint="eastAsia" w:ascii="黑体" w:hAnsi="黑体"/>
          <w:szCs w:val="22"/>
          <w:lang w:val="zh-TW"/>
        </w:rPr>
        <w:t>应</w:t>
      </w:r>
      <w:r>
        <w:rPr>
          <w:rFonts w:hint="eastAsia" w:ascii="黑体" w:hAnsi="黑体"/>
          <w:szCs w:val="22"/>
        </w:rPr>
        <w:t>对</w:t>
      </w:r>
      <w:r>
        <w:rPr>
          <w:rFonts w:hint="eastAsia" w:ascii="黑体" w:hAnsi="黑体"/>
          <w:szCs w:val="22"/>
          <w:lang w:val="zh-TW"/>
        </w:rPr>
        <w:t>检验</w:t>
      </w:r>
      <w:r>
        <w:rPr>
          <w:rFonts w:hint="eastAsia" w:ascii="黑体" w:hAnsi="黑体"/>
          <w:szCs w:val="22"/>
        </w:rPr>
        <w:t>现场和</w:t>
      </w:r>
      <w:r>
        <w:rPr>
          <w:rFonts w:hint="eastAsia" w:ascii="黑体" w:hAnsi="黑体"/>
          <w:szCs w:val="22"/>
          <w:lang w:val="zh-TW"/>
        </w:rPr>
        <w:t>检验</w:t>
      </w:r>
      <w:r>
        <w:rPr>
          <w:rFonts w:hint="eastAsia" w:ascii="黑体" w:hAnsi="黑体"/>
          <w:szCs w:val="22"/>
        </w:rPr>
        <w:t>过程中可能存在的危险有害因素进行辨识和安全风险分析，并制定相应安全措施。</w:t>
      </w:r>
    </w:p>
    <w:p w14:paraId="49ACDAE8">
      <w:pPr>
        <w:pStyle w:val="167"/>
        <w:rPr>
          <w:lang w:val="zh-TW"/>
        </w:rPr>
      </w:pPr>
      <w:r>
        <w:rPr>
          <w:rFonts w:hint="eastAsia" w:ascii="黑体" w:hAnsi="黑体"/>
          <w:szCs w:val="22"/>
        </w:rPr>
        <w:t>企业应</w:t>
      </w:r>
      <w:r>
        <w:rPr>
          <w:rFonts w:hint="eastAsia" w:ascii="黑体" w:hAnsi="黑体"/>
          <w:szCs w:val="22"/>
          <w:lang w:val="zh-TW"/>
        </w:rPr>
        <w:t>对</w:t>
      </w:r>
      <w:r>
        <w:rPr>
          <w:rFonts w:hint="eastAsia" w:hAnsi="宋体" w:cs="宋体"/>
          <w:bCs/>
          <w:szCs w:val="21"/>
        </w:rPr>
        <w:t>需要开罐</w:t>
      </w:r>
      <w:r>
        <w:rPr>
          <w:rFonts w:hint="eastAsia" w:ascii="黑体" w:hAnsi="黑体"/>
          <w:szCs w:val="22"/>
          <w:lang w:val="zh-TW"/>
        </w:rPr>
        <w:t>检验的储罐采取措施进行处理，包括倒空、隔绝、清洗、置换等，确保储罐死角物料清理干净</w:t>
      </w:r>
      <w:r>
        <w:rPr>
          <w:rFonts w:hint="eastAsia" w:ascii="Times New Roman" w:eastAsia="仿宋"/>
          <w:bCs/>
          <w:sz w:val="24"/>
        </w:rPr>
        <w:t>，</w:t>
      </w:r>
      <w:r>
        <w:rPr>
          <w:rFonts w:hint="eastAsia" w:ascii="黑体" w:hAnsi="黑体"/>
          <w:szCs w:val="22"/>
          <w:lang w:val="zh-TW"/>
        </w:rPr>
        <w:t>满足检验作业的安全要求。</w:t>
      </w:r>
    </w:p>
    <w:p w14:paraId="0756DA8A">
      <w:pPr>
        <w:pStyle w:val="167"/>
        <w:rPr>
          <w:lang w:val="zh-TW"/>
        </w:rPr>
      </w:pPr>
      <w:r>
        <w:rPr>
          <w:rFonts w:hint="eastAsia" w:ascii="黑体" w:hAnsi="黑体"/>
          <w:szCs w:val="22"/>
        </w:rPr>
        <w:t>作业</w:t>
      </w:r>
      <w:r>
        <w:rPr>
          <w:rFonts w:hint="eastAsia" w:ascii="黑体" w:hAnsi="黑体"/>
          <w:szCs w:val="22"/>
          <w:lang w:val="zh-TW"/>
        </w:rPr>
        <w:t>前，</w:t>
      </w:r>
      <w:r>
        <w:rPr>
          <w:rFonts w:hint="eastAsia" w:ascii="黑体" w:hAnsi="黑体"/>
          <w:szCs w:val="22"/>
        </w:rPr>
        <w:t>企业对参加检验的人员</w:t>
      </w:r>
      <w:r>
        <w:rPr>
          <w:rFonts w:hint="eastAsia" w:ascii="黑体" w:hAnsi="黑体"/>
          <w:szCs w:val="22"/>
          <w:lang w:val="zh-TW"/>
        </w:rPr>
        <w:t>进行安全作业培训和安全措施交底，包括</w:t>
      </w:r>
      <w:r>
        <w:rPr>
          <w:rFonts w:hint="eastAsia" w:ascii="黑体" w:hAnsi="黑体"/>
          <w:szCs w:val="22"/>
        </w:rPr>
        <w:t>检验</w:t>
      </w:r>
      <w:r>
        <w:rPr>
          <w:rFonts w:hint="eastAsia" w:ascii="黑体" w:hAnsi="黑体"/>
          <w:szCs w:val="22"/>
          <w:lang w:val="zh-TW"/>
        </w:rPr>
        <w:t>现场和</w:t>
      </w:r>
      <w:r>
        <w:rPr>
          <w:rFonts w:hint="eastAsia" w:ascii="黑体" w:hAnsi="黑体"/>
          <w:szCs w:val="22"/>
        </w:rPr>
        <w:t>检验</w:t>
      </w:r>
      <w:r>
        <w:rPr>
          <w:rFonts w:hint="eastAsia" w:ascii="黑体" w:hAnsi="黑体"/>
          <w:szCs w:val="22"/>
          <w:lang w:val="zh-TW"/>
        </w:rPr>
        <w:t>过程中可能存在的危险有害因素及采取的安全措施。</w:t>
      </w:r>
    </w:p>
    <w:p w14:paraId="2A0A94F5">
      <w:pPr>
        <w:pStyle w:val="167"/>
        <w:rPr>
          <w:lang w:val="zh-TW"/>
        </w:rPr>
      </w:pPr>
      <w:r>
        <w:rPr>
          <w:rFonts w:hint="eastAsia" w:ascii="黑体" w:hAnsi="黑体"/>
          <w:szCs w:val="22"/>
        </w:rPr>
        <w:t>企业</w:t>
      </w:r>
      <w:r>
        <w:rPr>
          <w:rFonts w:hint="eastAsia" w:ascii="黑体" w:hAnsi="黑体"/>
          <w:szCs w:val="22"/>
          <w:lang w:val="zh-TW"/>
        </w:rPr>
        <w:t>应对</w:t>
      </w:r>
      <w:r>
        <w:rPr>
          <w:rFonts w:hint="eastAsia" w:hAnsi="宋体" w:cs="宋体"/>
          <w:szCs w:val="22"/>
        </w:rPr>
        <w:t>检验</w:t>
      </w:r>
      <w:r>
        <w:rPr>
          <w:rFonts w:hint="eastAsia" w:hAnsi="宋体" w:cs="宋体"/>
          <w:szCs w:val="22"/>
          <w:lang w:val="zh-TW"/>
        </w:rPr>
        <w:t>现场和涉及的设备、设施、工器具等按GB 30871</w:t>
      </w:r>
      <w:r>
        <w:rPr>
          <w:rFonts w:hint="eastAsia" w:hAnsi="宋体" w:cs="宋体"/>
          <w:szCs w:val="22"/>
        </w:rPr>
        <w:t>-2022中4.5规定进行检查，并满足以下要求：</w:t>
      </w:r>
    </w:p>
    <w:p w14:paraId="73015703">
      <w:pPr>
        <w:pStyle w:val="177"/>
        <w:numPr>
          <w:ilvl w:val="0"/>
          <w:numId w:val="48"/>
        </w:numPr>
        <w:rPr>
          <w:lang w:val="zh-TW"/>
        </w:rPr>
      </w:pPr>
      <w:r>
        <w:rPr>
          <w:rFonts w:hint="eastAsia"/>
          <w:lang w:val="zh-TW"/>
        </w:rPr>
        <w:t>有毒、腐蚀性介质的作业场所应在现场附近（15</w:t>
      </w:r>
      <w:r>
        <w:rPr>
          <w:rFonts w:hint="eastAsia"/>
        </w:rPr>
        <w:t xml:space="preserve"> </w:t>
      </w:r>
      <w:r>
        <w:rPr>
          <w:rFonts w:hint="eastAsia"/>
          <w:lang w:val="zh-TW"/>
        </w:rPr>
        <w:t>m内）配备人员应急用冲洗设备；</w:t>
      </w:r>
    </w:p>
    <w:p w14:paraId="15741065">
      <w:pPr>
        <w:pStyle w:val="177"/>
        <w:numPr>
          <w:ilvl w:val="0"/>
          <w:numId w:val="48"/>
        </w:numPr>
        <w:rPr>
          <w:lang w:val="zh-TW"/>
        </w:rPr>
      </w:pPr>
      <w:r>
        <w:rPr>
          <w:rFonts w:hint="eastAsia"/>
          <w:lang w:val="zh-TW"/>
        </w:rPr>
        <w:t>进入作业现场的人员应正确佩戴、使用满足GB 39800.1和GB 39800.2要求的个体防护装备；</w:t>
      </w:r>
    </w:p>
    <w:p w14:paraId="20A5A160">
      <w:pPr>
        <w:pStyle w:val="177"/>
        <w:numPr>
          <w:ilvl w:val="0"/>
          <w:numId w:val="48"/>
        </w:numPr>
        <w:rPr>
          <w:lang w:val="zh-TW"/>
        </w:rPr>
      </w:pPr>
      <w:r>
        <w:rPr>
          <w:rFonts w:hint="eastAsia"/>
          <w:lang w:val="zh-TW"/>
        </w:rPr>
        <w:t>现场进行射线检测时，应隔离出透照区，设置安全警示标志，遵守相应安全规定；</w:t>
      </w:r>
    </w:p>
    <w:p w14:paraId="0D2C9993">
      <w:pPr>
        <w:pStyle w:val="177"/>
        <w:numPr>
          <w:ilvl w:val="0"/>
          <w:numId w:val="48"/>
        </w:numPr>
        <w:rPr>
          <w:lang w:val="zh-TW"/>
        </w:rPr>
      </w:pPr>
      <w:r>
        <w:rPr>
          <w:rFonts w:hint="eastAsia"/>
          <w:lang w:val="zh-TW"/>
        </w:rPr>
        <w:t>储罐内作业照明用电电压不应超过</w:t>
      </w:r>
      <w:r>
        <w:rPr>
          <w:rFonts w:hint="eastAsia"/>
        </w:rPr>
        <w:t xml:space="preserve">12 </w:t>
      </w:r>
      <w:r>
        <w:rPr>
          <w:rFonts w:hint="eastAsia"/>
          <w:lang w:val="zh-TW"/>
        </w:rPr>
        <w:t>V，引入储罐内的电缆应绝缘良好、接地可靠；</w:t>
      </w:r>
      <w:r>
        <w:rPr>
          <w:rFonts w:hint="eastAsia" w:ascii="黑体" w:hAnsi="黑体"/>
          <w:szCs w:val="21"/>
        </w:rPr>
        <w:t>罐内防爆区域作业的照明应有足够照度，</w:t>
      </w:r>
      <w:r>
        <w:rPr>
          <w:rFonts w:hint="eastAsia" w:ascii="黑体" w:hAnsi="黑体"/>
          <w:szCs w:val="21"/>
          <w:lang w:val="zh-TW"/>
        </w:rPr>
        <w:t>使用防爆直流移动冷光源照明灯具；</w:t>
      </w:r>
    </w:p>
    <w:p w14:paraId="030C4AA3">
      <w:pPr>
        <w:pStyle w:val="177"/>
        <w:numPr>
          <w:ilvl w:val="0"/>
          <w:numId w:val="48"/>
        </w:numPr>
        <w:rPr>
          <w:lang w:val="zh-TW"/>
        </w:rPr>
      </w:pPr>
      <w:r>
        <w:rPr>
          <w:rFonts w:hint="eastAsia"/>
          <w:lang w:val="zh-TW"/>
        </w:rPr>
        <w:t>在可能发生爆炸危险的场所进行在线检验，</w:t>
      </w:r>
      <w:r>
        <w:rPr>
          <w:rFonts w:hint="eastAsia"/>
        </w:rPr>
        <w:t>如使用非</w:t>
      </w:r>
      <w:r>
        <w:rPr>
          <w:rFonts w:hint="eastAsia"/>
          <w:lang w:val="zh-TW"/>
        </w:rPr>
        <w:t>防爆、防火花型设备、器具</w:t>
      </w:r>
      <w:r>
        <w:rPr>
          <w:rFonts w:hint="eastAsia"/>
        </w:rPr>
        <w:t>时，</w:t>
      </w:r>
      <w:bookmarkStart w:id="209" w:name="OLE_LINK15"/>
      <w:r>
        <w:rPr>
          <w:rFonts w:hint="eastAsia"/>
        </w:rPr>
        <w:t>应按动火作业进行管理</w:t>
      </w:r>
      <w:bookmarkEnd w:id="209"/>
      <w:r>
        <w:rPr>
          <w:rFonts w:hint="eastAsia"/>
        </w:rPr>
        <w:t>；</w:t>
      </w:r>
    </w:p>
    <w:p w14:paraId="09980577">
      <w:pPr>
        <w:pStyle w:val="177"/>
        <w:numPr>
          <w:ilvl w:val="0"/>
          <w:numId w:val="48"/>
        </w:numPr>
        <w:rPr>
          <w:lang w:val="zh-TW"/>
        </w:rPr>
      </w:pPr>
      <w:r>
        <w:rPr>
          <w:rFonts w:hint="eastAsia" w:ascii="黑体" w:hAnsi="黑体"/>
          <w:szCs w:val="22"/>
        </w:rPr>
        <w:t>在储罐内部进行打磨，按动火作业要求管理。</w:t>
      </w:r>
    </w:p>
    <w:p w14:paraId="28166D31">
      <w:pPr>
        <w:pStyle w:val="167"/>
        <w:rPr>
          <w:lang w:val="zh-TW"/>
        </w:rPr>
      </w:pPr>
      <w:r>
        <w:rPr>
          <w:rFonts w:hint="eastAsia" w:ascii="黑体" w:hAnsi="黑体"/>
          <w:szCs w:val="22"/>
        </w:rPr>
        <w:t>企业和检验单位确认现场</w:t>
      </w:r>
      <w:r>
        <w:rPr>
          <w:rFonts w:hint="eastAsia" w:ascii="黑体" w:hAnsi="黑体" w:cs="宋体"/>
          <w:szCs w:val="21"/>
        </w:rPr>
        <w:t>安全条件符合要求后，应办理相关</w:t>
      </w:r>
      <w:r>
        <w:rPr>
          <w:rFonts w:hint="eastAsia" w:ascii="黑体" w:hAnsi="黑体"/>
          <w:szCs w:val="22"/>
          <w:lang w:val="zh-TW"/>
        </w:rPr>
        <w:t>审批</w:t>
      </w:r>
      <w:r>
        <w:rPr>
          <w:rFonts w:hint="eastAsia" w:ascii="黑体" w:hAnsi="黑体" w:cs="宋体"/>
          <w:szCs w:val="21"/>
          <w:lang w:val="zh-TW"/>
        </w:rPr>
        <w:t>手续</w:t>
      </w:r>
      <w:r>
        <w:rPr>
          <w:rFonts w:hint="eastAsia" w:ascii="黑体" w:hAnsi="黑体"/>
          <w:szCs w:val="22"/>
          <w:lang w:val="zh-TW"/>
        </w:rPr>
        <w:t>，由</w:t>
      </w:r>
      <w:r>
        <w:rPr>
          <w:rFonts w:hint="eastAsia" w:ascii="黑体" w:hAnsi="黑体"/>
          <w:szCs w:val="22"/>
        </w:rPr>
        <w:t>企业</w:t>
      </w:r>
      <w:r>
        <w:rPr>
          <w:rFonts w:hint="eastAsia" w:ascii="黑体" w:hAnsi="黑体"/>
          <w:szCs w:val="22"/>
          <w:lang w:val="zh-TW"/>
        </w:rPr>
        <w:t>相关责任人签字审批。</w:t>
      </w:r>
    </w:p>
    <w:p w14:paraId="7F67BBCB">
      <w:pPr>
        <w:pStyle w:val="68"/>
        <w:spacing w:before="156" w:after="156"/>
        <w:rPr>
          <w:rFonts w:ascii="宋体"/>
          <w:lang w:val="zh-TW"/>
        </w:rPr>
      </w:pPr>
      <w:r>
        <w:rPr>
          <w:rFonts w:hint="eastAsia"/>
        </w:rPr>
        <w:t>检验中安全要求</w:t>
      </w:r>
    </w:p>
    <w:p w14:paraId="499C44E2">
      <w:pPr>
        <w:pStyle w:val="167"/>
        <w:rPr>
          <w:lang w:val="zh-TW"/>
        </w:rPr>
      </w:pPr>
      <w:r>
        <w:rPr>
          <w:rFonts w:hint="eastAsia" w:ascii="黑体" w:hAnsi="黑体"/>
          <w:szCs w:val="22"/>
        </w:rPr>
        <w:t>检验</w:t>
      </w:r>
      <w:r>
        <w:rPr>
          <w:rFonts w:hint="eastAsia" w:ascii="黑体" w:hAnsi="黑体"/>
          <w:szCs w:val="22"/>
          <w:lang w:val="zh-TW"/>
        </w:rPr>
        <w:t>期间</w:t>
      </w:r>
      <w:r>
        <w:rPr>
          <w:rFonts w:hint="eastAsia" w:ascii="黑体" w:hAnsi="黑体"/>
          <w:szCs w:val="22"/>
        </w:rPr>
        <w:t>企业</w:t>
      </w:r>
      <w:r>
        <w:rPr>
          <w:rFonts w:hint="eastAsia" w:ascii="黑体" w:hAnsi="黑体"/>
          <w:szCs w:val="22"/>
          <w:lang w:val="zh-TW"/>
        </w:rPr>
        <w:t>应设安全</w:t>
      </w:r>
      <w:r>
        <w:rPr>
          <w:rFonts w:hint="eastAsia" w:ascii="黑体" w:hAnsi="黑体"/>
          <w:szCs w:val="22"/>
        </w:rPr>
        <w:t>监护人</w:t>
      </w:r>
      <w:r>
        <w:rPr>
          <w:rFonts w:hint="eastAsia" w:ascii="黑体" w:hAnsi="黑体"/>
          <w:szCs w:val="22"/>
          <w:lang w:val="zh-TW"/>
        </w:rPr>
        <w:t>。安全监护人工作</w:t>
      </w:r>
      <w:r>
        <w:rPr>
          <w:rFonts w:hint="eastAsia" w:ascii="黑体" w:hAnsi="黑体"/>
          <w:szCs w:val="22"/>
        </w:rPr>
        <w:t>包括但</w:t>
      </w:r>
      <w:r>
        <w:rPr>
          <w:rFonts w:hint="eastAsia" w:ascii="黑体" w:hAnsi="黑体"/>
          <w:szCs w:val="22"/>
          <w:lang w:val="zh-TW"/>
        </w:rPr>
        <w:t>不限于：</w:t>
      </w:r>
    </w:p>
    <w:p w14:paraId="0B0B6427">
      <w:pPr>
        <w:pStyle w:val="177"/>
        <w:numPr>
          <w:ilvl w:val="0"/>
          <w:numId w:val="49"/>
        </w:numPr>
        <w:rPr>
          <w:lang w:val="zh-TW"/>
        </w:rPr>
      </w:pPr>
      <w:r>
        <w:rPr>
          <w:rFonts w:hint="eastAsia"/>
          <w:lang w:val="zh-TW"/>
        </w:rPr>
        <w:t>确认作业审批手续与作业内容相符并在有效期内，各项安全措施已得到落实；</w:t>
      </w:r>
    </w:p>
    <w:p w14:paraId="4F0DDBAC">
      <w:pPr>
        <w:pStyle w:val="177"/>
        <w:numPr>
          <w:ilvl w:val="0"/>
          <w:numId w:val="49"/>
        </w:numPr>
        <w:rPr>
          <w:lang w:val="zh-TW"/>
        </w:rPr>
      </w:pPr>
      <w:r>
        <w:rPr>
          <w:rFonts w:hint="eastAsia"/>
          <w:lang w:val="zh-TW"/>
        </w:rPr>
        <w:t>确认相关检验人员持有效资格证书上岗；</w:t>
      </w:r>
    </w:p>
    <w:p w14:paraId="61B13577">
      <w:pPr>
        <w:pStyle w:val="177"/>
        <w:numPr>
          <w:ilvl w:val="0"/>
          <w:numId w:val="49"/>
        </w:numPr>
        <w:rPr>
          <w:lang w:val="zh-TW"/>
        </w:rPr>
      </w:pPr>
      <w:r>
        <w:rPr>
          <w:rFonts w:hint="eastAsia"/>
          <w:lang w:val="zh-TW"/>
        </w:rPr>
        <w:t>核查检验人员配备和使用的个体防护装备满足作业要求；</w:t>
      </w:r>
    </w:p>
    <w:p w14:paraId="665D0A38">
      <w:pPr>
        <w:pStyle w:val="177"/>
        <w:numPr>
          <w:ilvl w:val="0"/>
          <w:numId w:val="49"/>
        </w:numPr>
        <w:rPr>
          <w:lang w:val="zh-TW"/>
        </w:rPr>
      </w:pPr>
      <w:r>
        <w:rPr>
          <w:rFonts w:hint="eastAsia"/>
          <w:lang w:val="zh-TW"/>
        </w:rPr>
        <w:t>对检验人员的行为和现场安全作业条件进行检查与监督，作业现场的安全协调与联系；</w:t>
      </w:r>
    </w:p>
    <w:p w14:paraId="1A5DE714">
      <w:pPr>
        <w:pStyle w:val="177"/>
        <w:numPr>
          <w:ilvl w:val="0"/>
          <w:numId w:val="49"/>
        </w:numPr>
        <w:rPr>
          <w:lang w:val="zh-TW"/>
        </w:rPr>
      </w:pPr>
      <w:r>
        <w:rPr>
          <w:rFonts w:hint="eastAsia"/>
          <w:lang w:val="zh-TW"/>
        </w:rPr>
        <w:t>检验中出现异常情况时，应立即要求停止相关作业，并采取安全有效措施进行处置；</w:t>
      </w:r>
    </w:p>
    <w:p w14:paraId="1F76B0DA">
      <w:pPr>
        <w:pStyle w:val="177"/>
        <w:numPr>
          <w:ilvl w:val="0"/>
          <w:numId w:val="49"/>
        </w:numPr>
        <w:rPr>
          <w:lang w:val="zh-TW"/>
        </w:rPr>
      </w:pPr>
      <w:r>
        <w:rPr>
          <w:rFonts w:hint="eastAsia"/>
          <w:lang w:val="zh-TW"/>
        </w:rPr>
        <w:t>当检验人员违章时，应及时制止违章；情节严重时，应中止作业。</w:t>
      </w:r>
    </w:p>
    <w:p w14:paraId="276B52B8">
      <w:pPr>
        <w:pStyle w:val="167"/>
        <w:rPr>
          <w:lang w:val="zh-TW"/>
        </w:rPr>
      </w:pPr>
      <w:r>
        <w:rPr>
          <w:rFonts w:hint="eastAsia" w:hAnsi="宋体" w:cs="宋体"/>
          <w:szCs w:val="22"/>
          <w:lang w:val="zh-TW"/>
        </w:rPr>
        <w:t>检验人员</w:t>
      </w:r>
      <w:r>
        <w:rPr>
          <w:rFonts w:hint="eastAsia" w:hAnsi="宋体" w:cs="宋体"/>
          <w:szCs w:val="22"/>
        </w:rPr>
        <w:t>入</w:t>
      </w:r>
      <w:r>
        <w:rPr>
          <w:rFonts w:hint="eastAsia" w:hAnsi="宋体" w:cs="宋体"/>
          <w:szCs w:val="22"/>
          <w:lang w:val="zh-TW"/>
        </w:rPr>
        <w:t>罐作业时，</w:t>
      </w:r>
      <w:r>
        <w:rPr>
          <w:rFonts w:hint="eastAsia" w:hAnsi="宋体" w:cs="宋体"/>
          <w:szCs w:val="22"/>
        </w:rPr>
        <w:t>罐外至少有1</w:t>
      </w:r>
      <w:r>
        <w:rPr>
          <w:rFonts w:hint="eastAsia" w:hAnsi="宋体" w:cs="宋体"/>
          <w:szCs w:val="22"/>
          <w:lang w:val="zh-TW"/>
        </w:rPr>
        <w:t>名安全监护人，且不应同时监护2个（及以上）作业点。</w:t>
      </w:r>
    </w:p>
    <w:p w14:paraId="5B51272C">
      <w:pPr>
        <w:pStyle w:val="167"/>
        <w:rPr>
          <w:lang w:val="zh-TW"/>
        </w:rPr>
      </w:pPr>
      <w:r>
        <w:rPr>
          <w:rFonts w:hint="eastAsia" w:ascii="黑体" w:hAnsi="黑体"/>
          <w:szCs w:val="22"/>
          <w:lang w:val="zh-TW"/>
        </w:rPr>
        <w:t>检验人员发现安全监护人不在现场，应立即停止</w:t>
      </w:r>
      <w:r>
        <w:rPr>
          <w:rFonts w:hint="eastAsia" w:ascii="黑体" w:hAnsi="黑体"/>
          <w:szCs w:val="22"/>
        </w:rPr>
        <w:t>作业。</w:t>
      </w:r>
    </w:p>
    <w:p w14:paraId="5358A404">
      <w:pPr>
        <w:pStyle w:val="167"/>
        <w:rPr>
          <w:lang w:val="zh-TW"/>
        </w:rPr>
      </w:pPr>
      <w:r>
        <w:rPr>
          <w:rFonts w:hint="eastAsia" w:ascii="黑体" w:hAnsi="黑体"/>
          <w:szCs w:val="22"/>
        </w:rPr>
        <w:t>同一</w:t>
      </w:r>
      <w:r>
        <w:rPr>
          <w:rFonts w:hint="eastAsia" w:hAnsi="宋体" w:cs="宋体"/>
          <w:bCs/>
          <w:szCs w:val="21"/>
        </w:rPr>
        <w:t>检验</w:t>
      </w:r>
      <w:r>
        <w:rPr>
          <w:rFonts w:hint="eastAsia" w:ascii="黑体" w:hAnsi="黑体"/>
          <w:szCs w:val="22"/>
        </w:rPr>
        <w:t>作业区应避免交叉作业。</w:t>
      </w:r>
      <w:r>
        <w:rPr>
          <w:rFonts w:hint="eastAsia" w:hAnsi="宋体" w:cs="宋体"/>
          <w:bCs/>
          <w:szCs w:val="21"/>
        </w:rPr>
        <w:t>待检验储罐的同一罐组内的储罐，存在收货、发货作业的，应获得批准后，方可开始检验。</w:t>
      </w:r>
    </w:p>
    <w:p w14:paraId="0A990FEA">
      <w:pPr>
        <w:pStyle w:val="167"/>
        <w:rPr>
          <w:lang w:val="zh-TW"/>
        </w:rPr>
      </w:pPr>
      <w:r>
        <w:rPr>
          <w:rFonts w:hint="eastAsia" w:ascii="黑体" w:hAnsi="黑体"/>
          <w:szCs w:val="22"/>
        </w:rPr>
        <w:t>当检验现场出现异常，可能危及检验人员安全时，检验人员应停止作业，迅速撤离。</w:t>
      </w:r>
    </w:p>
    <w:p w14:paraId="2D042B0C">
      <w:pPr>
        <w:pStyle w:val="168"/>
        <w:spacing w:before="156" w:beforeLines="50" w:after="156" w:afterLines="50"/>
        <w:rPr>
          <w:rFonts w:ascii="黑体" w:eastAsia="黑体"/>
          <w:lang w:val="zh-TW"/>
        </w:rPr>
      </w:pPr>
      <w:r>
        <w:rPr>
          <w:rFonts w:hint="eastAsia" w:ascii="黑体" w:eastAsia="黑体"/>
        </w:rPr>
        <w:t>检验后安全要求</w:t>
      </w:r>
    </w:p>
    <w:p w14:paraId="13F43731">
      <w:pPr>
        <w:pStyle w:val="59"/>
        <w:ind w:firstLine="420"/>
        <w:rPr>
          <w:rFonts w:hint="eastAsia" w:ascii="黑体" w:hAnsi="黑体" w:cs="宋体"/>
          <w:szCs w:val="21"/>
        </w:rPr>
      </w:pPr>
      <w:r>
        <w:rPr>
          <w:rFonts w:hint="eastAsia" w:ascii="黑体" w:hAnsi="黑体"/>
          <w:szCs w:val="22"/>
        </w:rPr>
        <w:t>检验完毕，清点设备和工具确认无误后，企业应恢复拆移的安全设施，检验单位撤离现场，保存</w:t>
      </w:r>
      <w:r>
        <w:rPr>
          <w:rFonts w:hint="eastAsia" w:ascii="黑体" w:hAnsi="黑体" w:cs="宋体"/>
          <w:szCs w:val="21"/>
        </w:rPr>
        <w:t>检验记录等相关资料。</w:t>
      </w:r>
    </w:p>
    <w:p w14:paraId="1AF5FF63">
      <w:pPr>
        <w:pStyle w:val="107"/>
        <w:spacing w:before="312" w:after="312"/>
      </w:pPr>
      <w:bookmarkStart w:id="210" w:name="_Toc181273018"/>
      <w:bookmarkStart w:id="211" w:name="_Toc182227179"/>
      <w:bookmarkStart w:id="212" w:name="_Toc182227081"/>
      <w:bookmarkStart w:id="213" w:name="_Toc181263721"/>
      <w:bookmarkStart w:id="214" w:name="_Toc182227143"/>
      <w:bookmarkStart w:id="215" w:name="_Toc182227888"/>
      <w:bookmarkStart w:id="216" w:name="_Toc182227757"/>
      <w:bookmarkStart w:id="217" w:name="_Toc183074797"/>
      <w:bookmarkStart w:id="218" w:name="_Toc182227680"/>
      <w:bookmarkStart w:id="219" w:name="_Toc183074826"/>
      <w:r>
        <w:rPr>
          <w:rFonts w:hint="eastAsia"/>
        </w:rPr>
        <w:t>维修</w:t>
      </w:r>
      <w:bookmarkEnd w:id="210"/>
      <w:bookmarkEnd w:id="211"/>
      <w:bookmarkEnd w:id="212"/>
      <w:bookmarkEnd w:id="213"/>
      <w:bookmarkEnd w:id="214"/>
      <w:bookmarkEnd w:id="215"/>
      <w:bookmarkEnd w:id="216"/>
      <w:bookmarkEnd w:id="217"/>
      <w:bookmarkEnd w:id="218"/>
      <w:bookmarkEnd w:id="219"/>
    </w:p>
    <w:p w14:paraId="6A532F5C">
      <w:pPr>
        <w:pStyle w:val="165"/>
      </w:pPr>
      <w:r>
        <w:rPr>
          <w:rFonts w:hint="eastAsia"/>
        </w:rPr>
        <w:t>企业应委托有</w:t>
      </w:r>
      <w:r>
        <w:rPr>
          <w:rFonts w:hint="eastAsia"/>
          <w:lang w:val="zh-TW"/>
        </w:rPr>
        <w:t>施工或维修资质的单位，签订维修合同和安全生产管理协议。</w:t>
      </w:r>
    </w:p>
    <w:p w14:paraId="144CD7AF">
      <w:pPr>
        <w:pStyle w:val="165"/>
      </w:pPr>
      <w:r>
        <w:rPr>
          <w:rFonts w:hint="eastAsia" w:ascii="黑体" w:hAnsi="黑体"/>
          <w:szCs w:val="22"/>
        </w:rPr>
        <w:t>储罐维修前，企业</w:t>
      </w:r>
      <w:r>
        <w:rPr>
          <w:rFonts w:hint="eastAsia" w:ascii="黑体" w:hAnsi="黑体"/>
          <w:szCs w:val="22"/>
          <w:lang w:val="zh-TW"/>
        </w:rPr>
        <w:t>与维修单位</w:t>
      </w:r>
      <w:r>
        <w:rPr>
          <w:rFonts w:hint="eastAsia" w:hAnsi="宋体" w:cs="宋体"/>
          <w:kern w:val="2"/>
          <w:szCs w:val="22"/>
          <w:lang w:val="zh-TW"/>
        </w:rPr>
        <w:t>（含承包商）</w:t>
      </w:r>
      <w:r>
        <w:rPr>
          <w:rFonts w:hint="eastAsia" w:ascii="黑体" w:hAnsi="黑体"/>
          <w:szCs w:val="22"/>
          <w:lang w:val="zh-TW"/>
        </w:rPr>
        <w:t>应</w:t>
      </w:r>
      <w:r>
        <w:rPr>
          <w:rFonts w:hint="eastAsia" w:ascii="黑体" w:hAnsi="黑体"/>
          <w:szCs w:val="22"/>
        </w:rPr>
        <w:t>对作业活动进行安全风险分析，编制</w:t>
      </w:r>
      <w:r>
        <w:rPr>
          <w:rFonts w:hint="eastAsia" w:ascii="黑体" w:hAnsi="黑体"/>
          <w:szCs w:val="22"/>
          <w:lang w:val="zh-TW"/>
        </w:rPr>
        <w:t>储罐</w:t>
      </w:r>
      <w:r>
        <w:rPr>
          <w:rFonts w:hint="eastAsia" w:ascii="黑体" w:hAnsi="黑体"/>
          <w:szCs w:val="22"/>
        </w:rPr>
        <w:t>维修方案、制定安全防范措施。</w:t>
      </w:r>
    </w:p>
    <w:p w14:paraId="62FB0055">
      <w:pPr>
        <w:pStyle w:val="165"/>
      </w:pPr>
      <w:r>
        <w:rPr>
          <w:rFonts w:hint="eastAsia" w:ascii="黑体" w:hAnsi="黑体"/>
          <w:szCs w:val="22"/>
          <w:lang w:val="zh-TW"/>
        </w:rPr>
        <w:t>储罐维修</w:t>
      </w:r>
      <w:r>
        <w:rPr>
          <w:rFonts w:hint="eastAsia" w:ascii="黑体" w:hAnsi="黑体"/>
          <w:szCs w:val="22"/>
        </w:rPr>
        <w:t>方案</w:t>
      </w:r>
      <w:r>
        <w:rPr>
          <w:rFonts w:hint="eastAsia" w:ascii="黑体" w:hAnsi="黑体"/>
          <w:szCs w:val="22"/>
          <w:lang w:val="zh-TW"/>
        </w:rPr>
        <w:t>应包含作业内容、步骤、方法、危害分析、项目指挥</w:t>
      </w:r>
      <w:r>
        <w:rPr>
          <w:rFonts w:hint="eastAsia" w:ascii="黑体" w:hAnsi="黑体"/>
          <w:szCs w:val="22"/>
        </w:rPr>
        <w:t>和</w:t>
      </w:r>
      <w:r>
        <w:rPr>
          <w:rFonts w:hint="eastAsia" w:ascii="黑体" w:hAnsi="黑体"/>
          <w:szCs w:val="22"/>
          <w:lang w:val="zh-TW"/>
        </w:rPr>
        <w:t>作业组织机构、安全措施等内容。</w:t>
      </w:r>
    </w:p>
    <w:p w14:paraId="524899B7">
      <w:pPr>
        <w:pStyle w:val="165"/>
      </w:pPr>
      <w:r>
        <w:rPr>
          <w:rFonts w:hint="eastAsia" w:ascii="黑体" w:hAnsi="黑体"/>
          <w:szCs w:val="22"/>
        </w:rPr>
        <w:t>经企业审批后的</w:t>
      </w:r>
      <w:r>
        <w:rPr>
          <w:rFonts w:hint="eastAsia" w:ascii="黑体" w:hAnsi="黑体"/>
          <w:szCs w:val="22"/>
          <w:lang w:val="zh-TW"/>
        </w:rPr>
        <w:t>储罐</w:t>
      </w:r>
      <w:bookmarkStart w:id="220" w:name="OLE_LINK10"/>
      <w:r>
        <w:rPr>
          <w:rFonts w:hint="eastAsia" w:ascii="黑体" w:hAnsi="黑体"/>
          <w:szCs w:val="22"/>
        </w:rPr>
        <w:t>维</w:t>
      </w:r>
      <w:bookmarkEnd w:id="220"/>
      <w:r>
        <w:rPr>
          <w:rFonts w:hint="eastAsia" w:ascii="黑体" w:hAnsi="黑体"/>
          <w:szCs w:val="22"/>
        </w:rPr>
        <w:t>修方案在开工前，应进行技术交底。</w:t>
      </w:r>
    </w:p>
    <w:p w14:paraId="463DDD58">
      <w:pPr>
        <w:pStyle w:val="165"/>
      </w:pPr>
      <w:r>
        <w:rPr>
          <w:rFonts w:hint="eastAsia" w:ascii="黑体" w:hAnsi="黑体"/>
          <w:szCs w:val="22"/>
        </w:rPr>
        <w:t>企业</w:t>
      </w:r>
      <w:r>
        <w:rPr>
          <w:rFonts w:hint="eastAsia" w:ascii="黑体" w:hAnsi="黑体"/>
          <w:szCs w:val="22"/>
          <w:lang w:val="zh-TW"/>
        </w:rPr>
        <w:t>、</w:t>
      </w:r>
      <w:r>
        <w:rPr>
          <w:rFonts w:hint="eastAsia" w:ascii="黑体" w:hAnsi="黑体"/>
          <w:szCs w:val="22"/>
        </w:rPr>
        <w:t>维修单位</w:t>
      </w:r>
      <w:r>
        <w:rPr>
          <w:rFonts w:hint="eastAsia" w:hAnsi="宋体" w:cs="宋体"/>
          <w:kern w:val="2"/>
          <w:szCs w:val="22"/>
          <w:lang w:val="zh-TW"/>
        </w:rPr>
        <w:t>（含承包商）</w:t>
      </w:r>
      <w:r>
        <w:rPr>
          <w:rFonts w:hint="eastAsia" w:ascii="黑体" w:hAnsi="黑体"/>
          <w:szCs w:val="22"/>
        </w:rPr>
        <w:t>应按维修方案中的作业管理要求，对</w:t>
      </w:r>
      <w:r>
        <w:rPr>
          <w:rFonts w:hint="eastAsia" w:ascii="黑体" w:hAnsi="黑体"/>
          <w:szCs w:val="22"/>
          <w:lang w:val="zh-TW"/>
        </w:rPr>
        <w:t>作业</w:t>
      </w:r>
      <w:r>
        <w:rPr>
          <w:rFonts w:hint="eastAsia" w:ascii="黑体" w:hAnsi="黑体"/>
          <w:szCs w:val="22"/>
        </w:rPr>
        <w:t>安全条件进行确认，办理相关作业票后实施</w:t>
      </w:r>
      <w:r>
        <w:rPr>
          <w:rFonts w:hint="eastAsia" w:hAnsi="宋体" w:cs="宋体"/>
          <w:szCs w:val="22"/>
          <w:lang w:val="zh-TW"/>
        </w:rPr>
        <w:t>维修</w:t>
      </w:r>
      <w:r>
        <w:rPr>
          <w:rFonts w:hint="eastAsia" w:ascii="黑体" w:hAnsi="黑体"/>
          <w:szCs w:val="22"/>
        </w:rPr>
        <w:t>作业。</w:t>
      </w:r>
    </w:p>
    <w:p w14:paraId="4E6146F8">
      <w:pPr>
        <w:pStyle w:val="165"/>
      </w:pPr>
      <w:r>
        <w:rPr>
          <w:rFonts w:hint="eastAsia" w:hAnsi="宋体" w:cs="宋体"/>
          <w:kern w:val="2"/>
          <w:szCs w:val="22"/>
          <w:lang w:val="zh-TW"/>
        </w:rPr>
        <w:t>应按GB</w:t>
      </w:r>
      <w:r>
        <w:rPr>
          <w:rFonts w:hint="eastAsia" w:hAnsi="宋体" w:cs="宋体"/>
          <w:kern w:val="2"/>
          <w:szCs w:val="22"/>
        </w:rPr>
        <w:t xml:space="preserve"> </w:t>
      </w:r>
      <w:r>
        <w:rPr>
          <w:rFonts w:hint="eastAsia" w:hAnsi="宋体" w:cs="宋体"/>
          <w:kern w:val="2"/>
          <w:szCs w:val="22"/>
          <w:lang w:val="zh-TW"/>
        </w:rPr>
        <w:t>30871、AQ 3018、AQ 30</w:t>
      </w:r>
      <w:r>
        <w:rPr>
          <w:rFonts w:hint="eastAsia" w:hAnsi="宋体" w:cs="宋体"/>
          <w:kern w:val="2"/>
          <w:szCs w:val="22"/>
        </w:rPr>
        <w:t>5</w:t>
      </w:r>
      <w:r>
        <w:rPr>
          <w:rFonts w:hint="eastAsia" w:hAnsi="宋体" w:cs="宋体"/>
          <w:kern w:val="2"/>
          <w:szCs w:val="22"/>
          <w:lang w:val="zh-TW"/>
        </w:rPr>
        <w:t>8、SY/T</w:t>
      </w:r>
      <w:r>
        <w:rPr>
          <w:rFonts w:hint="eastAsia" w:hAnsi="宋体" w:cs="宋体"/>
          <w:kern w:val="2"/>
          <w:szCs w:val="22"/>
        </w:rPr>
        <w:t xml:space="preserve"> 5921</w:t>
      </w:r>
      <w:r>
        <w:rPr>
          <w:rFonts w:hint="eastAsia" w:hAnsi="宋体" w:cs="宋体"/>
          <w:kern w:val="2"/>
          <w:szCs w:val="22"/>
          <w:lang w:val="zh-TW"/>
        </w:rPr>
        <w:t>的要求进行维修作业，落实安全管理措施，企业、维修单位</w:t>
      </w:r>
      <w:bookmarkStart w:id="221" w:name="OLE_LINK28"/>
      <w:r>
        <w:rPr>
          <w:rFonts w:hint="eastAsia" w:hAnsi="宋体" w:cs="宋体"/>
          <w:kern w:val="2"/>
          <w:szCs w:val="22"/>
          <w:lang w:val="zh-TW"/>
        </w:rPr>
        <w:t>（含承包商）</w:t>
      </w:r>
      <w:bookmarkEnd w:id="221"/>
      <w:r>
        <w:rPr>
          <w:rFonts w:hint="eastAsia" w:hAnsi="宋体" w:cs="宋体"/>
          <w:kern w:val="2"/>
          <w:szCs w:val="22"/>
          <w:lang w:val="zh-TW"/>
        </w:rPr>
        <w:t>应对作业过程实施全程监督管理，并设置安全双监护人履行安全监护职责。</w:t>
      </w:r>
    </w:p>
    <w:p w14:paraId="7E5D09AC">
      <w:pPr>
        <w:pStyle w:val="165"/>
      </w:pPr>
      <w:r>
        <w:rPr>
          <w:rFonts w:hint="eastAsia" w:ascii="黑体" w:hAnsi="黑体"/>
          <w:szCs w:val="22"/>
          <w:lang w:val="zh-TW"/>
        </w:rPr>
        <w:t>储罐</w:t>
      </w:r>
      <w:r>
        <w:rPr>
          <w:rFonts w:hint="eastAsia" w:ascii="黑体" w:hAnsi="黑体"/>
          <w:szCs w:val="22"/>
        </w:rPr>
        <w:t>维</w:t>
      </w:r>
      <w:r>
        <w:rPr>
          <w:rFonts w:hint="eastAsia" w:ascii="黑体" w:hAnsi="黑体"/>
          <w:szCs w:val="22"/>
          <w:lang w:val="zh-TW"/>
        </w:rPr>
        <w:t>修过程中，作业内容、人员、设备、环境等发生变更时，应履行变更程序，重新办理作业票。</w:t>
      </w:r>
    </w:p>
    <w:p w14:paraId="5249119B">
      <w:pPr>
        <w:pStyle w:val="165"/>
      </w:pPr>
      <w:r>
        <w:rPr>
          <w:rFonts w:hint="eastAsia" w:ascii="黑体" w:hAnsi="黑体"/>
          <w:szCs w:val="22"/>
          <w:lang w:val="zh-TW"/>
        </w:rPr>
        <w:t>储罐维修验收记录应有验收参与方</w:t>
      </w:r>
      <w:r>
        <w:rPr>
          <w:rFonts w:hint="eastAsia" w:hAnsi="宋体" w:cs="宋体"/>
          <w:szCs w:val="22"/>
          <w:lang w:val="zh-TW"/>
        </w:rPr>
        <w:t>签字。验收交工资料存档期不少于6年。</w:t>
      </w:r>
    </w:p>
    <w:p w14:paraId="5835468B">
      <w:pPr>
        <w:pStyle w:val="107"/>
        <w:spacing w:before="312" w:after="312"/>
      </w:pPr>
      <w:bookmarkStart w:id="222" w:name="_Toc182227758"/>
      <w:bookmarkStart w:id="223" w:name="_Toc183074827"/>
      <w:bookmarkStart w:id="224" w:name="_Toc181273019"/>
      <w:bookmarkStart w:id="225" w:name="_Toc183074798"/>
      <w:bookmarkStart w:id="226" w:name="_Toc182227889"/>
      <w:bookmarkStart w:id="227" w:name="_Toc182227082"/>
      <w:bookmarkStart w:id="228" w:name="_Toc182227144"/>
      <w:bookmarkStart w:id="229" w:name="_Toc181263722"/>
      <w:bookmarkStart w:id="230" w:name="_Toc182227180"/>
      <w:bookmarkStart w:id="231" w:name="_Toc182227681"/>
      <w:r>
        <w:rPr>
          <w:rFonts w:hint="eastAsia"/>
          <w:lang w:val="zh-TW"/>
        </w:rPr>
        <w:t>停用</w:t>
      </w:r>
      <w:r>
        <w:rPr>
          <w:rFonts w:hint="eastAsia"/>
        </w:rPr>
        <w:t>报废</w:t>
      </w:r>
      <w:bookmarkEnd w:id="222"/>
      <w:bookmarkEnd w:id="223"/>
      <w:bookmarkEnd w:id="224"/>
      <w:bookmarkEnd w:id="225"/>
      <w:bookmarkEnd w:id="226"/>
      <w:bookmarkEnd w:id="227"/>
      <w:bookmarkEnd w:id="228"/>
      <w:bookmarkEnd w:id="229"/>
      <w:bookmarkEnd w:id="230"/>
      <w:bookmarkEnd w:id="231"/>
    </w:p>
    <w:p w14:paraId="0EE0172B">
      <w:pPr>
        <w:pStyle w:val="165"/>
      </w:pPr>
      <w:r>
        <w:rPr>
          <w:rFonts w:hint="eastAsia" w:ascii="黑体" w:hAnsi="黑体"/>
          <w:szCs w:val="22"/>
          <w:lang w:val="zh-TW"/>
        </w:rPr>
        <w:t>应停用不能满足安全运行要求的储罐。</w:t>
      </w:r>
    </w:p>
    <w:p w14:paraId="11E5BFF2">
      <w:pPr>
        <w:pStyle w:val="165"/>
      </w:pPr>
      <w:r>
        <w:rPr>
          <w:rFonts w:hint="eastAsia" w:ascii="黑体" w:hAnsi="黑体"/>
          <w:szCs w:val="22"/>
          <w:lang w:val="zh-TW"/>
        </w:rPr>
        <w:t>储罐停用后，应对储罐及其相应系统进行停用封存处置。储罐停用封存应满足以下要求：</w:t>
      </w:r>
    </w:p>
    <w:p w14:paraId="36015B4A">
      <w:pPr>
        <w:pStyle w:val="177"/>
        <w:numPr>
          <w:ilvl w:val="0"/>
          <w:numId w:val="50"/>
        </w:numPr>
      </w:pPr>
      <w:r>
        <w:rPr>
          <w:rFonts w:hint="eastAsia"/>
          <w:lang w:val="zh-TW"/>
        </w:rPr>
        <w:t>清罐，对停用储罐与相关管道应用盲板、盲法兰等有效隔离；</w:t>
      </w:r>
    </w:p>
    <w:p w14:paraId="6D17FE72">
      <w:pPr>
        <w:pStyle w:val="177"/>
        <w:numPr>
          <w:ilvl w:val="0"/>
          <w:numId w:val="50"/>
        </w:numPr>
      </w:pPr>
      <w:r>
        <w:rPr>
          <w:rFonts w:hint="eastAsia"/>
          <w:lang w:val="zh-TW"/>
        </w:rPr>
        <w:t>采用适宜的介质填充储罐；</w:t>
      </w:r>
    </w:p>
    <w:p w14:paraId="4C895014">
      <w:pPr>
        <w:pStyle w:val="177"/>
        <w:numPr>
          <w:ilvl w:val="0"/>
          <w:numId w:val="50"/>
        </w:numPr>
      </w:pPr>
      <w:r>
        <w:rPr>
          <w:rFonts w:hint="eastAsia"/>
          <w:lang w:val="zh-TW"/>
        </w:rPr>
        <w:t>储罐设置停用标识、隔离区域。</w:t>
      </w:r>
    </w:p>
    <w:p w14:paraId="4AD1E210">
      <w:pPr>
        <w:pStyle w:val="165"/>
      </w:pPr>
      <w:r>
        <w:rPr>
          <w:rFonts w:hint="eastAsia" w:ascii="黑体" w:hAnsi="黑体"/>
          <w:szCs w:val="22"/>
          <w:lang w:val="zh-TW"/>
        </w:rPr>
        <w:t>储罐封存施工完成后，应按设备停用的管理制度进行管理，包括建立台账，详细记录封存时储罐的状况及所执行的保护措施。</w:t>
      </w:r>
    </w:p>
    <w:p w14:paraId="70DA4EA2">
      <w:pPr>
        <w:pStyle w:val="165"/>
      </w:pPr>
      <w:r>
        <w:rPr>
          <w:rFonts w:hint="eastAsia" w:ascii="黑体" w:hAnsi="黑体"/>
          <w:szCs w:val="22"/>
          <w:lang w:val="zh-TW"/>
        </w:rPr>
        <w:t>储罐维修后</w:t>
      </w:r>
      <w:r>
        <w:rPr>
          <w:rFonts w:hint="eastAsia" w:ascii="黑体" w:hAnsi="黑体"/>
          <w:szCs w:val="22"/>
        </w:rPr>
        <w:t>重新启用，应执行</w:t>
      </w:r>
      <w:r>
        <w:rPr>
          <w:rFonts w:hint="eastAsia" w:ascii="黑体" w:hAnsi="黑体"/>
          <w:szCs w:val="22"/>
          <w:lang w:val="zh-TW"/>
        </w:rPr>
        <w:t>变更管理制度，委托</w:t>
      </w:r>
      <w:r>
        <w:rPr>
          <w:rFonts w:hint="eastAsia" w:hAnsi="宋体" w:cs="宋体"/>
          <w:szCs w:val="21"/>
        </w:rPr>
        <w:t>有资质的检验单位进行全面检验</w:t>
      </w:r>
      <w:r>
        <w:rPr>
          <w:rFonts w:hint="eastAsia" w:ascii="黑体" w:hAnsi="黑体"/>
          <w:szCs w:val="22"/>
          <w:lang w:val="zh-TW"/>
        </w:rPr>
        <w:t>，履行审批程序。</w:t>
      </w:r>
    </w:p>
    <w:p w14:paraId="0207A05B">
      <w:pPr>
        <w:pStyle w:val="165"/>
      </w:pPr>
      <w:r>
        <w:rPr>
          <w:rFonts w:hint="eastAsia" w:ascii="黑体" w:hAnsi="黑体"/>
          <w:szCs w:val="22"/>
          <w:lang w:val="zh-TW"/>
        </w:rPr>
        <w:t>储罐不能满足安全运行要求，修复不具备经济性，或超出设计使用年限，无继续使用价值时，</w:t>
      </w:r>
      <w:r>
        <w:rPr>
          <w:rFonts w:hint="eastAsia" w:ascii="黑体" w:hAnsi="黑体"/>
          <w:szCs w:val="22"/>
        </w:rPr>
        <w:t>应</w:t>
      </w:r>
      <w:r>
        <w:rPr>
          <w:rFonts w:hint="eastAsia" w:ascii="黑体" w:hAnsi="黑体"/>
          <w:szCs w:val="22"/>
          <w:lang w:val="zh-TW"/>
        </w:rPr>
        <w:t>对储罐进行报废处置。储罐一旦报废，应立即拆除。</w:t>
      </w:r>
    </w:p>
    <w:p w14:paraId="799F6E24">
      <w:pPr>
        <w:pStyle w:val="107"/>
        <w:spacing w:before="312" w:after="312"/>
        <w:rPr>
          <w:lang w:val="zh-TW"/>
        </w:rPr>
      </w:pPr>
      <w:bookmarkStart w:id="232" w:name="_Toc181263723"/>
      <w:bookmarkStart w:id="233" w:name="_Toc181273020"/>
      <w:bookmarkStart w:id="234" w:name="_Toc183074828"/>
      <w:bookmarkStart w:id="235" w:name="_Toc182227145"/>
      <w:bookmarkStart w:id="236" w:name="_Toc182227682"/>
      <w:bookmarkStart w:id="237" w:name="_Toc182227083"/>
      <w:bookmarkStart w:id="238" w:name="_Toc182227890"/>
      <w:bookmarkStart w:id="239" w:name="_Toc182227759"/>
      <w:bookmarkStart w:id="240" w:name="_Toc182227181"/>
      <w:bookmarkStart w:id="241" w:name="_Toc183074799"/>
      <w:r>
        <w:rPr>
          <w:rFonts w:hint="eastAsia"/>
          <w:lang w:val="zh-TW"/>
        </w:rPr>
        <w:t>应急管理</w:t>
      </w:r>
      <w:bookmarkEnd w:id="232"/>
      <w:bookmarkEnd w:id="233"/>
      <w:bookmarkEnd w:id="234"/>
      <w:bookmarkEnd w:id="235"/>
      <w:bookmarkEnd w:id="236"/>
      <w:bookmarkEnd w:id="237"/>
      <w:bookmarkEnd w:id="238"/>
      <w:bookmarkEnd w:id="239"/>
      <w:bookmarkEnd w:id="240"/>
      <w:bookmarkEnd w:id="241"/>
    </w:p>
    <w:p w14:paraId="745145ED">
      <w:pPr>
        <w:pStyle w:val="165"/>
        <w:rPr>
          <w:lang w:val="zh-TW"/>
        </w:rPr>
      </w:pPr>
      <w:r>
        <w:rPr>
          <w:rFonts w:hint="eastAsia"/>
          <w:lang w:val="zh-TW"/>
        </w:rPr>
        <w:t>应按GB/T 29639的规定编制专项应急预案或现场处置方案。</w:t>
      </w:r>
    </w:p>
    <w:p w14:paraId="6CF486C3">
      <w:pPr>
        <w:pStyle w:val="165"/>
        <w:rPr>
          <w:lang w:val="zh-TW"/>
        </w:rPr>
      </w:pPr>
      <w:r>
        <w:rPr>
          <w:rFonts w:hint="eastAsia"/>
          <w:lang w:val="zh-TW"/>
        </w:rPr>
        <w:t>现场处置方案应至少包括</w:t>
      </w:r>
      <w:r>
        <w:rPr>
          <w:rFonts w:hint="eastAsia"/>
        </w:rPr>
        <w:t>事故风险描述、应急工作职责、应急处置和注意事项等，体现自救互救、信息报告和先期处置的特点。</w:t>
      </w:r>
    </w:p>
    <w:p w14:paraId="7BE2D5CE">
      <w:pPr>
        <w:pStyle w:val="165"/>
        <w:rPr>
          <w:lang w:val="zh-TW"/>
        </w:rPr>
      </w:pPr>
      <w:r>
        <w:rPr>
          <w:rFonts w:hint="eastAsia"/>
        </w:rPr>
        <w:t>应急处置内容，应包括但不限于：</w:t>
      </w:r>
    </w:p>
    <w:p w14:paraId="4831407D">
      <w:pPr>
        <w:pStyle w:val="177"/>
        <w:numPr>
          <w:ilvl w:val="0"/>
          <w:numId w:val="51"/>
        </w:numPr>
        <w:rPr>
          <w:lang w:val="zh-TW"/>
        </w:rPr>
      </w:pPr>
      <w:r>
        <w:rPr>
          <w:rFonts w:hint="eastAsia"/>
          <w:lang w:val="zh-TW"/>
        </w:rPr>
        <w:t>根据可能发生的事故及现场情况，明确事故报警、各项应急措施启动、应急救护人员的引导、事故扩大及同单位应急预案的衔接程序；</w:t>
      </w:r>
    </w:p>
    <w:p w14:paraId="2483D09B">
      <w:pPr>
        <w:pStyle w:val="177"/>
        <w:numPr>
          <w:ilvl w:val="0"/>
          <w:numId w:val="51"/>
        </w:numPr>
        <w:rPr>
          <w:lang w:val="zh-TW"/>
        </w:rPr>
      </w:pPr>
      <w:r>
        <w:rPr>
          <w:rFonts w:hint="eastAsia"/>
          <w:lang w:val="zh-TW"/>
        </w:rPr>
        <w:t>针对可能发生的事故从人员救护、工艺操作、事故控制、消防、现场恢复等方面制定明确的应急处置措施；</w:t>
      </w:r>
    </w:p>
    <w:p w14:paraId="6FE691F0">
      <w:pPr>
        <w:pStyle w:val="177"/>
        <w:numPr>
          <w:ilvl w:val="0"/>
          <w:numId w:val="51"/>
        </w:numPr>
        <w:rPr>
          <w:lang w:val="zh-TW"/>
        </w:rPr>
      </w:pPr>
      <w:r>
        <w:rPr>
          <w:rFonts w:hint="eastAsia"/>
          <w:lang w:val="zh-TW"/>
        </w:rPr>
        <w:t>明确报警责任人、报警电话和上级管理部门、相关应急救援单位联络方式和联系人员，事故报告基本要求和内容。</w:t>
      </w:r>
    </w:p>
    <w:p w14:paraId="7B7996E6">
      <w:pPr>
        <w:pStyle w:val="165"/>
        <w:rPr>
          <w:lang w:val="zh-TW"/>
        </w:rPr>
      </w:pPr>
      <w:r>
        <w:rPr>
          <w:rFonts w:hint="eastAsia" w:ascii="黑体" w:hAnsi="黑体"/>
          <w:szCs w:val="22"/>
        </w:rPr>
        <w:t>应急处置措施应</w:t>
      </w:r>
      <w:r>
        <w:rPr>
          <w:rFonts w:hint="eastAsia"/>
        </w:rPr>
        <w:t>包含对储罐异常现象的处置，异常现象不限于：</w:t>
      </w:r>
    </w:p>
    <w:p w14:paraId="029EF95C">
      <w:pPr>
        <w:pStyle w:val="177"/>
        <w:numPr>
          <w:ilvl w:val="0"/>
          <w:numId w:val="52"/>
        </w:numPr>
        <w:rPr>
          <w:lang w:val="zh-TW"/>
        </w:rPr>
      </w:pPr>
      <w:r>
        <w:rPr>
          <w:rFonts w:hint="eastAsia"/>
          <w:lang w:val="zh-TW"/>
        </w:rPr>
        <w:t>溢罐</w:t>
      </w:r>
      <w:r>
        <w:rPr>
          <w:rFonts w:hint="eastAsia"/>
        </w:rPr>
        <w:t>、跑料；</w:t>
      </w:r>
    </w:p>
    <w:p w14:paraId="27D0DF04">
      <w:pPr>
        <w:pStyle w:val="177"/>
        <w:numPr>
          <w:ilvl w:val="0"/>
          <w:numId w:val="52"/>
        </w:numPr>
        <w:rPr>
          <w:lang w:val="zh-TW"/>
        </w:rPr>
      </w:pPr>
      <w:r>
        <w:rPr>
          <w:rFonts w:hint="eastAsia"/>
          <w:lang w:val="zh-TW"/>
        </w:rPr>
        <w:t>罐体抽瘪；</w:t>
      </w:r>
    </w:p>
    <w:p w14:paraId="130876D2">
      <w:pPr>
        <w:pStyle w:val="177"/>
        <w:numPr>
          <w:ilvl w:val="0"/>
          <w:numId w:val="52"/>
        </w:numPr>
        <w:rPr>
          <w:lang w:val="zh-TW"/>
        </w:rPr>
      </w:pPr>
      <w:r>
        <w:rPr>
          <w:rFonts w:hint="eastAsia"/>
          <w:lang w:val="zh-TW"/>
        </w:rPr>
        <w:t>罐体鼓包；</w:t>
      </w:r>
    </w:p>
    <w:p w14:paraId="46C32304">
      <w:pPr>
        <w:pStyle w:val="177"/>
        <w:numPr>
          <w:ilvl w:val="0"/>
          <w:numId w:val="52"/>
        </w:numPr>
        <w:rPr>
          <w:lang w:val="zh-TW"/>
        </w:rPr>
      </w:pPr>
      <w:r>
        <w:rPr>
          <w:rFonts w:hint="eastAsia"/>
          <w:lang w:val="zh-TW"/>
        </w:rPr>
        <w:t>（内）浮顶卡阻或倾斜；</w:t>
      </w:r>
    </w:p>
    <w:p w14:paraId="47232A4B">
      <w:pPr>
        <w:pStyle w:val="177"/>
        <w:numPr>
          <w:ilvl w:val="0"/>
          <w:numId w:val="52"/>
        </w:numPr>
        <w:rPr>
          <w:lang w:val="zh-TW"/>
        </w:rPr>
      </w:pPr>
      <w:r>
        <w:rPr>
          <w:rFonts w:hint="eastAsia"/>
          <w:lang w:val="zh-TW"/>
        </w:rPr>
        <w:t>浮顶罐平台歪斜或断裂；</w:t>
      </w:r>
    </w:p>
    <w:p w14:paraId="2B1A50EB">
      <w:pPr>
        <w:pStyle w:val="177"/>
        <w:numPr>
          <w:ilvl w:val="0"/>
          <w:numId w:val="52"/>
        </w:numPr>
        <w:rPr>
          <w:lang w:val="zh-TW"/>
        </w:rPr>
      </w:pPr>
      <w:r>
        <w:rPr>
          <w:rFonts w:hint="eastAsia"/>
          <w:lang w:val="zh-TW"/>
        </w:rPr>
        <w:t>罐体发生裂纹、泄漏等；</w:t>
      </w:r>
    </w:p>
    <w:p w14:paraId="2B9F20C3">
      <w:pPr>
        <w:pStyle w:val="177"/>
        <w:numPr>
          <w:ilvl w:val="0"/>
          <w:numId w:val="52"/>
        </w:numPr>
        <w:rPr>
          <w:lang w:val="zh-TW"/>
        </w:rPr>
      </w:pPr>
      <w:r>
        <w:rPr>
          <w:rFonts w:hint="eastAsia"/>
          <w:lang w:val="zh-TW"/>
        </w:rPr>
        <w:t>储罐本体或附近发生着火等；</w:t>
      </w:r>
    </w:p>
    <w:p w14:paraId="12B8A711">
      <w:pPr>
        <w:pStyle w:val="177"/>
        <w:numPr>
          <w:ilvl w:val="0"/>
          <w:numId w:val="52"/>
        </w:numPr>
        <w:rPr>
          <w:lang w:val="zh-TW"/>
        </w:rPr>
      </w:pPr>
      <w:r>
        <w:rPr>
          <w:rFonts w:hint="eastAsia"/>
          <w:lang w:val="zh-TW"/>
        </w:rPr>
        <w:t>储罐物料发生泄漏出现中毒、灼伤等。</w:t>
      </w:r>
    </w:p>
    <w:p w14:paraId="50EE02ED">
      <w:pPr>
        <w:pStyle w:val="165"/>
        <w:rPr>
          <w:lang w:val="zh-TW"/>
        </w:rPr>
      </w:pPr>
      <w:r>
        <w:rPr>
          <w:rFonts w:hint="eastAsia" w:hAnsi="宋体" w:cs="宋体"/>
          <w:szCs w:val="22"/>
        </w:rPr>
        <w:t>应</w:t>
      </w:r>
      <w:r>
        <w:rPr>
          <w:rFonts w:hint="eastAsia" w:hAnsi="宋体" w:cs="宋体"/>
          <w:szCs w:val="22"/>
          <w:lang w:val="zh-TW"/>
        </w:rPr>
        <w:t>配备满足GB 30077要求的应急物资与用品，并定期检查和维护。</w:t>
      </w:r>
    </w:p>
    <w:p w14:paraId="55F33070">
      <w:pPr>
        <w:pStyle w:val="165"/>
        <w:rPr>
          <w:lang w:val="zh-TW"/>
        </w:rPr>
      </w:pPr>
      <w:r>
        <w:rPr>
          <w:rFonts w:hint="eastAsia" w:hAnsi="宋体" w:cs="宋体"/>
          <w:szCs w:val="22"/>
          <w:lang w:val="zh-TW"/>
        </w:rPr>
        <w:t>应至少每半年组织一次应急演练</w:t>
      </w:r>
      <w:r>
        <w:rPr>
          <w:rFonts w:hint="eastAsia" w:ascii="黑体" w:hAnsi="黑体"/>
          <w:szCs w:val="22"/>
        </w:rPr>
        <w:t>。</w:t>
      </w:r>
      <w:r>
        <w:rPr>
          <w:rFonts w:hint="eastAsia" w:hAnsi="宋体" w:cs="宋体"/>
          <w:szCs w:val="22"/>
          <w:lang w:val="zh-TW"/>
        </w:rPr>
        <w:t>演练后按AQ/T 9009的规定对应急演练效果进行评估</w:t>
      </w:r>
      <w:r>
        <w:rPr>
          <w:rFonts w:hint="eastAsia" w:ascii="黑体" w:hAnsi="黑体"/>
          <w:szCs w:val="22"/>
          <w:lang w:val="zh-TW"/>
        </w:rPr>
        <w:t>。</w:t>
      </w:r>
    </w:p>
    <w:p w14:paraId="6D961991">
      <w:pPr>
        <w:pStyle w:val="165"/>
        <w:rPr>
          <w:lang w:val="zh-TW"/>
        </w:rPr>
      </w:pPr>
      <w:r>
        <w:rPr>
          <w:rFonts w:hint="eastAsia" w:ascii="黑体" w:hAnsi="黑体"/>
          <w:szCs w:val="22"/>
          <w:lang w:val="zh-TW"/>
        </w:rPr>
        <w:t>应分析</w:t>
      </w:r>
      <w:r>
        <w:rPr>
          <w:rFonts w:hint="eastAsia" w:ascii="Times New Roman"/>
          <w:lang w:val="zh-TW"/>
        </w:rPr>
        <w:t>演练过程中</w:t>
      </w:r>
      <w:r>
        <w:rPr>
          <w:rFonts w:hint="eastAsia" w:ascii="Times New Roman"/>
        </w:rPr>
        <w:t>发现的问题和不足，必要时对应急预案和应急处置措施进行修改完善。</w:t>
      </w:r>
    </w:p>
    <w:p w14:paraId="325FCA8F">
      <w:pPr>
        <w:pStyle w:val="107"/>
        <w:spacing w:before="312" w:after="312"/>
      </w:pPr>
      <w:bookmarkStart w:id="242" w:name="_Toc181263724"/>
      <w:bookmarkStart w:id="243" w:name="_Toc182227146"/>
      <w:bookmarkStart w:id="244" w:name="_Toc183074829"/>
      <w:bookmarkStart w:id="245" w:name="_Toc181273021"/>
      <w:bookmarkStart w:id="246" w:name="_Toc182227760"/>
      <w:bookmarkStart w:id="247" w:name="_Toc182227182"/>
      <w:bookmarkStart w:id="248" w:name="_Toc183074800"/>
      <w:bookmarkStart w:id="249" w:name="_Toc182227891"/>
      <w:bookmarkStart w:id="250" w:name="_Toc182227084"/>
      <w:bookmarkStart w:id="251" w:name="_Toc182227683"/>
      <w:r>
        <w:rPr>
          <w:rFonts w:hint="eastAsia"/>
        </w:rPr>
        <w:t>评估与改进</w:t>
      </w:r>
      <w:bookmarkEnd w:id="242"/>
      <w:bookmarkEnd w:id="243"/>
      <w:bookmarkEnd w:id="244"/>
      <w:bookmarkEnd w:id="245"/>
      <w:bookmarkEnd w:id="246"/>
      <w:bookmarkEnd w:id="247"/>
      <w:bookmarkEnd w:id="248"/>
      <w:bookmarkEnd w:id="249"/>
      <w:bookmarkEnd w:id="250"/>
      <w:bookmarkEnd w:id="251"/>
    </w:p>
    <w:p w14:paraId="1FEAA598">
      <w:pPr>
        <w:pStyle w:val="165"/>
      </w:pPr>
      <w:r>
        <w:rPr>
          <w:rFonts w:hint="eastAsia" w:hAnsi="宋体" w:cs="宋体"/>
        </w:rPr>
        <w:t>应</w:t>
      </w:r>
      <w:r>
        <w:rPr>
          <w:rFonts w:hint="eastAsia" w:hAnsi="宋体" w:cs="宋体"/>
          <w:bCs/>
          <w:szCs w:val="21"/>
        </w:rPr>
        <w:t>每3～5年</w:t>
      </w:r>
      <w:r>
        <w:rPr>
          <w:rFonts w:hint="eastAsia" w:hAnsi="宋体" w:cs="宋体"/>
          <w:bCs/>
          <w:szCs w:val="21"/>
          <w:lang w:eastAsia="zh-CN"/>
        </w:rPr>
        <w:t>参照</w:t>
      </w:r>
      <w:r>
        <w:rPr>
          <w:rFonts w:hint="eastAsia" w:ascii="宋体" w:hAnsi="宋体" w:cs="宋体"/>
          <w:szCs w:val="22"/>
        </w:rPr>
        <w:t>GB/T 37327</w:t>
      </w:r>
      <w:r>
        <w:rPr>
          <w:rFonts w:hint="eastAsia" w:hAnsi="宋体" w:cs="宋体"/>
          <w:bCs/>
          <w:szCs w:val="21"/>
        </w:rPr>
        <w:t>进行储罐完整性评估</w:t>
      </w:r>
      <w:r>
        <w:rPr>
          <w:rFonts w:hint="eastAsia"/>
        </w:rPr>
        <w:t>。通过现场检查、第三方检验、系统评估以及日常文件记录抽查检查等方式，对储罐运行安全管理进行评估。</w:t>
      </w:r>
    </w:p>
    <w:p w14:paraId="07DF834D">
      <w:pPr>
        <w:pStyle w:val="165"/>
      </w:pPr>
      <w:r>
        <w:rPr>
          <w:rFonts w:hint="eastAsia" w:ascii="黑体" w:hAnsi="黑体"/>
          <w:szCs w:val="22"/>
        </w:rPr>
        <w:t>应根据评估结果，针对发现的问题，分析原因，及时制定整改计划，明确整改目标，制定并落实整改措施。</w:t>
      </w:r>
    </w:p>
    <w:p w14:paraId="24BCD49A">
      <w:pPr>
        <w:pStyle w:val="165"/>
      </w:pPr>
      <w:r>
        <w:rPr>
          <w:rFonts w:hint="eastAsia"/>
        </w:rPr>
        <w:t>应妥善保管评估过程中所收集的资料，做好评估记录、整改计划和措施的归档工作。</w:t>
      </w:r>
    </w:p>
    <w:p w14:paraId="7B34D130">
      <w:pPr>
        <w:pStyle w:val="165"/>
        <w:numPr>
          <w:ilvl w:val="0"/>
          <w:numId w:val="0"/>
        </w:numPr>
      </w:pPr>
    </w:p>
    <w:p w14:paraId="1BBB82D6">
      <w:pPr>
        <w:pStyle w:val="165"/>
        <w:numPr>
          <w:ilvl w:val="0"/>
          <w:numId w:val="0"/>
        </w:num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32"/>
    <w:p w14:paraId="1938DA54">
      <w:pPr>
        <w:pStyle w:val="201"/>
        <w:rPr>
          <w:rFonts w:hint="eastAsia"/>
          <w:vanish w:val="0"/>
        </w:rPr>
      </w:pPr>
      <w:bookmarkStart w:id="252" w:name="BookMark5"/>
    </w:p>
    <w:p w14:paraId="351C9432">
      <w:pPr>
        <w:pStyle w:val="202"/>
        <w:rPr>
          <w:vanish w:val="0"/>
        </w:rPr>
      </w:pPr>
    </w:p>
    <w:p w14:paraId="246E072D">
      <w:pPr>
        <w:pStyle w:val="79"/>
        <w:spacing w:after="156"/>
      </w:pPr>
      <w:r>
        <w:br w:type="textWrapping"/>
      </w:r>
      <w:bookmarkStart w:id="253" w:name="_Toc182227085"/>
      <w:bookmarkStart w:id="254" w:name="_Toc182227684"/>
      <w:bookmarkStart w:id="255" w:name="_Toc181273022"/>
      <w:bookmarkStart w:id="256" w:name="_Toc182227147"/>
      <w:bookmarkStart w:id="257" w:name="_Toc182227892"/>
      <w:bookmarkStart w:id="258" w:name="_Toc182227183"/>
      <w:bookmarkStart w:id="259" w:name="_Toc182227761"/>
      <w:bookmarkStart w:id="260" w:name="_Toc183074801"/>
      <w:bookmarkStart w:id="261" w:name="_Toc183074830"/>
      <w:r>
        <w:rPr>
          <w:rFonts w:hint="eastAsia"/>
        </w:rPr>
        <w:t>（规范性）</w:t>
      </w:r>
      <w:r>
        <w:br w:type="textWrapping"/>
      </w:r>
      <w:r>
        <w:rPr>
          <w:rFonts w:hint="eastAsia"/>
        </w:rPr>
        <w:t>储罐检查</w:t>
      </w:r>
      <w:bookmarkEnd w:id="253"/>
      <w:bookmarkEnd w:id="254"/>
      <w:bookmarkEnd w:id="255"/>
      <w:bookmarkEnd w:id="256"/>
      <w:bookmarkEnd w:id="257"/>
      <w:bookmarkEnd w:id="258"/>
      <w:bookmarkEnd w:id="259"/>
      <w:r>
        <w:rPr>
          <w:rFonts w:hint="eastAsia"/>
        </w:rPr>
        <w:t>内容</w:t>
      </w:r>
      <w:bookmarkEnd w:id="260"/>
      <w:bookmarkEnd w:id="261"/>
    </w:p>
    <w:p w14:paraId="2C1607FD">
      <w:pPr>
        <w:pStyle w:val="59"/>
        <w:ind w:firstLine="420"/>
      </w:pPr>
      <w:r>
        <w:rPr>
          <w:rFonts w:hint="eastAsia"/>
        </w:rPr>
        <w:t>表A.1规定了储罐检查内容。</w:t>
      </w:r>
    </w:p>
    <w:p w14:paraId="643D490E">
      <w:pPr>
        <w:pStyle w:val="80"/>
        <w:spacing w:before="156" w:after="156"/>
        <w:rPr>
          <w:rFonts w:hint="eastAsia" w:hAnsi="黑体" w:cs="黑体"/>
        </w:rPr>
      </w:pPr>
      <w:r>
        <w:rPr>
          <w:rStyle w:val="34"/>
          <w:rFonts w:hint="eastAsia" w:ascii="黑体" w:hAnsi="黑体" w:eastAsia="黑体" w:cs="黑体"/>
          <w:b/>
          <w:lang w:val="zh-TW"/>
        </w:rPr>
        <w:t>储罐</w:t>
      </w:r>
      <w:r>
        <w:rPr>
          <w:rStyle w:val="34"/>
          <w:rFonts w:hint="eastAsia" w:ascii="黑体" w:hAnsi="黑体" w:eastAsia="黑体" w:cs="黑体"/>
          <w:b/>
        </w:rPr>
        <w:t>检查内容</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31"/>
        <w:gridCol w:w="7703"/>
      </w:tblGrid>
      <w:tr w14:paraId="1E7DF5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31" w:type="dxa"/>
            <w:tcBorders>
              <w:tl2br w:val="nil"/>
              <w:tr2bl w:val="nil"/>
            </w:tcBorders>
          </w:tcPr>
          <w:p w14:paraId="1E287741">
            <w:pPr>
              <w:pStyle w:val="181"/>
            </w:pPr>
            <w:r>
              <w:rPr>
                <w:rFonts w:hint="eastAsia" w:hAnsi="宋体" w:cs="宋体"/>
                <w:szCs w:val="18"/>
                <w:lang w:val="zh-TW"/>
              </w:rPr>
              <w:t>储罐部位</w:t>
            </w:r>
          </w:p>
        </w:tc>
        <w:tc>
          <w:tcPr>
            <w:tcW w:w="7703" w:type="dxa"/>
            <w:tcBorders>
              <w:tl2br w:val="nil"/>
              <w:tr2bl w:val="nil"/>
            </w:tcBorders>
          </w:tcPr>
          <w:p w14:paraId="1173B1F0">
            <w:pPr>
              <w:pStyle w:val="181"/>
            </w:pPr>
            <w:r>
              <w:rPr>
                <w:rFonts w:hint="eastAsia" w:hAnsi="宋体" w:cs="宋体"/>
                <w:szCs w:val="18"/>
              </w:rPr>
              <w:t>检查内容</w:t>
            </w:r>
          </w:p>
        </w:tc>
      </w:tr>
      <w:tr w14:paraId="2562AD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restart"/>
            <w:tcBorders>
              <w:top w:val="single" w:color="auto" w:sz="8" w:space="0"/>
            </w:tcBorders>
            <w:shd w:val="clear" w:color="auto" w:fill="auto"/>
            <w:vAlign w:val="center"/>
          </w:tcPr>
          <w:p w14:paraId="6150E967">
            <w:pPr>
              <w:pStyle w:val="181"/>
            </w:pPr>
            <w:r>
              <w:rPr>
                <w:rFonts w:hint="eastAsia" w:hAnsi="宋体" w:cs="宋体"/>
                <w:szCs w:val="18"/>
                <w:lang w:val="zh-TW"/>
              </w:rPr>
              <w:t>储罐顶板</w:t>
            </w:r>
          </w:p>
        </w:tc>
        <w:tc>
          <w:tcPr>
            <w:tcW w:w="7703" w:type="dxa"/>
            <w:tcBorders>
              <w:tl2br w:val="nil"/>
              <w:tr2bl w:val="nil"/>
            </w:tcBorders>
            <w:vAlign w:val="center"/>
          </w:tcPr>
          <w:p w14:paraId="7816FFDD">
            <w:pPr>
              <w:pStyle w:val="181"/>
              <w:jc w:val="left"/>
            </w:pPr>
            <w:r>
              <w:rPr>
                <w:rFonts w:hint="eastAsia" w:hAnsi="宋体" w:cs="宋体"/>
                <w:szCs w:val="18"/>
              </w:rPr>
              <w:t>1)</w:t>
            </w:r>
            <w:r>
              <w:rPr>
                <w:rFonts w:hint="eastAsia" w:hAnsi="宋体" w:cs="宋体"/>
                <w:szCs w:val="18"/>
                <w:lang w:val="zh-TW"/>
              </w:rPr>
              <w:t>顶板无变形，无积水，无凹陷、鼓包、折褶及渗漏穿孔等现象，浮顶罐的浮顶平整</w:t>
            </w:r>
          </w:p>
        </w:tc>
      </w:tr>
      <w:tr w14:paraId="02157E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559D8D13">
            <w:pPr>
              <w:pStyle w:val="181"/>
            </w:pPr>
          </w:p>
        </w:tc>
        <w:tc>
          <w:tcPr>
            <w:tcW w:w="7703" w:type="dxa"/>
            <w:tcBorders>
              <w:tl2br w:val="nil"/>
              <w:tr2bl w:val="nil"/>
            </w:tcBorders>
            <w:vAlign w:val="center"/>
          </w:tcPr>
          <w:p w14:paraId="1839F26A">
            <w:pPr>
              <w:pStyle w:val="181"/>
              <w:jc w:val="left"/>
            </w:pPr>
            <w:r>
              <w:rPr>
                <w:rFonts w:hint="eastAsia" w:hAnsi="宋体" w:cs="宋体"/>
                <w:szCs w:val="18"/>
              </w:rPr>
              <w:t>2)</w:t>
            </w:r>
            <w:r>
              <w:rPr>
                <w:rFonts w:hint="eastAsia" w:hAnsi="宋体" w:cs="宋体"/>
                <w:szCs w:val="18"/>
                <w:lang w:val="zh-TW"/>
              </w:rPr>
              <w:t>顶板及浮顶裸露部分防腐层无脱落、起皮等缺陷</w:t>
            </w:r>
          </w:p>
        </w:tc>
      </w:tr>
      <w:tr w14:paraId="2A222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0D96BB53">
            <w:pPr>
              <w:pStyle w:val="181"/>
            </w:pPr>
          </w:p>
        </w:tc>
        <w:tc>
          <w:tcPr>
            <w:tcW w:w="7703" w:type="dxa"/>
            <w:tcBorders>
              <w:tl2br w:val="nil"/>
              <w:tr2bl w:val="nil"/>
            </w:tcBorders>
            <w:vAlign w:val="center"/>
          </w:tcPr>
          <w:p w14:paraId="6A9D285B">
            <w:pPr>
              <w:pStyle w:val="181"/>
              <w:jc w:val="left"/>
            </w:pPr>
            <w:r>
              <w:rPr>
                <w:rFonts w:hint="eastAsia" w:hAnsi="宋体" w:cs="宋体"/>
                <w:szCs w:val="18"/>
              </w:rPr>
              <w:t>3)</w:t>
            </w:r>
            <w:r>
              <w:rPr>
                <w:rFonts w:hint="eastAsia" w:hAnsi="宋体" w:cs="宋体"/>
                <w:szCs w:val="18"/>
                <w:lang w:val="zh-TW"/>
              </w:rPr>
              <w:t>顶板焊缝无腐蚀、开裂等缺陷</w:t>
            </w:r>
          </w:p>
        </w:tc>
      </w:tr>
      <w:tr w14:paraId="106772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C3E76DF">
            <w:pPr>
              <w:pStyle w:val="181"/>
            </w:pPr>
          </w:p>
        </w:tc>
        <w:tc>
          <w:tcPr>
            <w:tcW w:w="7703" w:type="dxa"/>
            <w:tcBorders>
              <w:tl2br w:val="nil"/>
              <w:tr2bl w:val="nil"/>
            </w:tcBorders>
            <w:vAlign w:val="center"/>
          </w:tcPr>
          <w:p w14:paraId="036337FC">
            <w:pPr>
              <w:pStyle w:val="181"/>
              <w:jc w:val="left"/>
            </w:pPr>
            <w:r>
              <w:rPr>
                <w:rFonts w:hint="eastAsia" w:hAnsi="宋体" w:cs="宋体"/>
                <w:szCs w:val="18"/>
              </w:rPr>
              <w:t>4)</w:t>
            </w:r>
            <w:r>
              <w:rPr>
                <w:rFonts w:hint="eastAsia" w:hAnsi="宋体" w:cs="宋体"/>
                <w:szCs w:val="18"/>
                <w:lang w:val="zh-TW"/>
              </w:rPr>
              <w:t>固定顶、内浮顶及浮顶设有人孔，人孔处的开孔补强满足要求；密封人孔的盖板采用防风结构，安装高度高于浮顶允许积水高度</w:t>
            </w:r>
          </w:p>
        </w:tc>
      </w:tr>
      <w:tr w14:paraId="50030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6B9F6113">
            <w:pPr>
              <w:pStyle w:val="181"/>
            </w:pPr>
          </w:p>
        </w:tc>
        <w:tc>
          <w:tcPr>
            <w:tcW w:w="7703" w:type="dxa"/>
            <w:tcBorders>
              <w:tl2br w:val="nil"/>
              <w:tr2bl w:val="nil"/>
            </w:tcBorders>
            <w:vAlign w:val="center"/>
          </w:tcPr>
          <w:p w14:paraId="5C5BFCED">
            <w:pPr>
              <w:pStyle w:val="181"/>
              <w:jc w:val="left"/>
            </w:pPr>
            <w:r>
              <w:rPr>
                <w:rFonts w:hint="eastAsia" w:hAnsi="宋体" w:cs="宋体"/>
                <w:szCs w:val="18"/>
              </w:rPr>
              <w:t>5)</w:t>
            </w:r>
            <w:r>
              <w:rPr>
                <w:rFonts w:hint="eastAsia" w:hAnsi="宋体" w:cs="宋体"/>
                <w:szCs w:val="18"/>
                <w:lang w:val="zh-TW"/>
              </w:rPr>
              <w:t>隔热层及防水檐完好，无明显损坏，无渗漏痕迹</w:t>
            </w:r>
          </w:p>
        </w:tc>
      </w:tr>
      <w:tr w14:paraId="3D78D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1F30BBAF">
            <w:pPr>
              <w:pStyle w:val="181"/>
            </w:pPr>
          </w:p>
        </w:tc>
        <w:tc>
          <w:tcPr>
            <w:tcW w:w="7703" w:type="dxa"/>
            <w:tcBorders>
              <w:tl2br w:val="nil"/>
              <w:tr2bl w:val="nil"/>
            </w:tcBorders>
            <w:vAlign w:val="center"/>
          </w:tcPr>
          <w:p w14:paraId="2B9CE7E4">
            <w:pPr>
              <w:pStyle w:val="181"/>
              <w:jc w:val="left"/>
            </w:pPr>
            <w:r>
              <w:rPr>
                <w:rFonts w:hint="eastAsia" w:hAnsi="宋体" w:cs="宋体"/>
                <w:szCs w:val="18"/>
              </w:rPr>
              <w:t>6)</w:t>
            </w:r>
            <w:r>
              <w:rPr>
                <w:rFonts w:hint="eastAsia" w:hAnsi="宋体" w:cs="宋体"/>
                <w:szCs w:val="18"/>
                <w:lang w:val="zh-TW"/>
              </w:rPr>
              <w:t>转动扶梯、导向装置灵活好用，扶梯无锈蚀，踏步板水平，无滑动现象</w:t>
            </w:r>
          </w:p>
        </w:tc>
      </w:tr>
      <w:tr w14:paraId="2F521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609B46CE">
            <w:pPr>
              <w:pStyle w:val="181"/>
            </w:pPr>
          </w:p>
        </w:tc>
        <w:tc>
          <w:tcPr>
            <w:tcW w:w="7703" w:type="dxa"/>
            <w:tcBorders>
              <w:tl2br w:val="nil"/>
              <w:tr2bl w:val="nil"/>
            </w:tcBorders>
            <w:vAlign w:val="center"/>
          </w:tcPr>
          <w:p w14:paraId="3FF82FE4">
            <w:pPr>
              <w:pStyle w:val="181"/>
              <w:jc w:val="left"/>
            </w:pPr>
            <w:r>
              <w:rPr>
                <w:rFonts w:hint="eastAsia" w:hAnsi="宋体" w:cs="宋体"/>
                <w:szCs w:val="18"/>
              </w:rPr>
              <w:t>7)</w:t>
            </w:r>
            <w:r>
              <w:rPr>
                <w:rFonts w:hint="eastAsia" w:hAnsi="宋体" w:cs="宋体"/>
                <w:szCs w:val="18"/>
                <w:lang w:val="zh-TW"/>
              </w:rPr>
              <w:t>浮顶的排水装置运行正常，出口阀门、加热器完好</w:t>
            </w:r>
          </w:p>
        </w:tc>
      </w:tr>
      <w:tr w14:paraId="44E2F7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C208441">
            <w:pPr>
              <w:pStyle w:val="181"/>
            </w:pPr>
          </w:p>
        </w:tc>
        <w:tc>
          <w:tcPr>
            <w:tcW w:w="7703" w:type="dxa"/>
            <w:tcBorders>
              <w:tl2br w:val="nil"/>
              <w:tr2bl w:val="nil"/>
            </w:tcBorders>
            <w:vAlign w:val="center"/>
          </w:tcPr>
          <w:p w14:paraId="067EADEC">
            <w:pPr>
              <w:pStyle w:val="181"/>
              <w:jc w:val="left"/>
            </w:pPr>
            <w:r>
              <w:rPr>
                <w:rFonts w:hint="eastAsia" w:hAnsi="宋体" w:cs="宋体"/>
                <w:szCs w:val="18"/>
              </w:rPr>
              <w:t>8)</w:t>
            </w:r>
            <w:r>
              <w:rPr>
                <w:rFonts w:hint="eastAsia" w:hAnsi="宋体" w:cs="宋体"/>
                <w:szCs w:val="18"/>
                <w:lang w:val="zh-TW"/>
              </w:rPr>
              <w:t>浮顶罐密封系统完好</w:t>
            </w:r>
          </w:p>
        </w:tc>
      </w:tr>
      <w:tr w14:paraId="4C8F2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5239D487">
            <w:pPr>
              <w:pStyle w:val="181"/>
            </w:pPr>
          </w:p>
        </w:tc>
        <w:tc>
          <w:tcPr>
            <w:tcW w:w="7703" w:type="dxa"/>
            <w:tcBorders>
              <w:tl2br w:val="nil"/>
              <w:tr2bl w:val="nil"/>
            </w:tcBorders>
            <w:vAlign w:val="center"/>
          </w:tcPr>
          <w:p w14:paraId="0F9B1C08">
            <w:pPr>
              <w:pStyle w:val="181"/>
              <w:jc w:val="left"/>
            </w:pPr>
            <w:r>
              <w:rPr>
                <w:rFonts w:hint="eastAsia" w:hAnsi="宋体" w:cs="宋体"/>
                <w:szCs w:val="18"/>
              </w:rPr>
              <w:t>9)</w:t>
            </w:r>
            <w:r>
              <w:rPr>
                <w:rFonts w:hint="eastAsia" w:hAnsi="宋体" w:cs="宋体"/>
                <w:szCs w:val="18"/>
                <w:lang w:val="zh-TW"/>
              </w:rPr>
              <w:t>导向管、量油管未发生弯曲变形</w:t>
            </w:r>
          </w:p>
        </w:tc>
      </w:tr>
      <w:tr w14:paraId="1899E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2A254FBB">
            <w:pPr>
              <w:pStyle w:val="181"/>
            </w:pPr>
          </w:p>
        </w:tc>
        <w:tc>
          <w:tcPr>
            <w:tcW w:w="7703" w:type="dxa"/>
            <w:tcBorders>
              <w:tl2br w:val="nil"/>
              <w:tr2bl w:val="nil"/>
            </w:tcBorders>
            <w:vAlign w:val="center"/>
          </w:tcPr>
          <w:p w14:paraId="74707087">
            <w:pPr>
              <w:pStyle w:val="181"/>
              <w:jc w:val="left"/>
            </w:pPr>
            <w:r>
              <w:rPr>
                <w:rFonts w:hint="eastAsia" w:hAnsi="宋体" w:cs="宋体"/>
                <w:szCs w:val="18"/>
              </w:rPr>
              <w:t>10)</w:t>
            </w:r>
            <w:r>
              <w:rPr>
                <w:rFonts w:hint="eastAsia" w:hAnsi="宋体" w:cs="宋体"/>
                <w:szCs w:val="18"/>
                <w:lang w:val="zh-TW"/>
              </w:rPr>
              <w:t>浮舱无腐蚀泄漏</w:t>
            </w:r>
          </w:p>
        </w:tc>
      </w:tr>
      <w:tr w14:paraId="602FB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629AF060">
            <w:pPr>
              <w:pStyle w:val="181"/>
            </w:pPr>
          </w:p>
        </w:tc>
        <w:tc>
          <w:tcPr>
            <w:tcW w:w="7703" w:type="dxa"/>
            <w:tcBorders>
              <w:tl2br w:val="nil"/>
              <w:tr2bl w:val="nil"/>
            </w:tcBorders>
            <w:vAlign w:val="center"/>
          </w:tcPr>
          <w:p w14:paraId="6D047CAC">
            <w:pPr>
              <w:pStyle w:val="181"/>
              <w:jc w:val="left"/>
            </w:pPr>
            <w:bookmarkStart w:id="262" w:name="OLE_LINK11"/>
            <w:r>
              <w:rPr>
                <w:rFonts w:hint="eastAsia" w:hAnsi="宋体" w:cs="宋体"/>
                <w:szCs w:val="18"/>
              </w:rPr>
              <w:t>11)</w:t>
            </w:r>
            <w:r>
              <w:rPr>
                <w:rFonts w:hint="eastAsia" w:hAnsi="宋体" w:cs="宋体"/>
                <w:szCs w:val="18"/>
                <w:lang w:val="zh-TW"/>
              </w:rPr>
              <w:t>内浮盘无渗漏、沉没</w:t>
            </w:r>
            <w:bookmarkEnd w:id="262"/>
            <w:r>
              <w:rPr>
                <w:rFonts w:hint="eastAsia" w:hAnsi="宋体" w:cs="宋体"/>
                <w:szCs w:val="18"/>
                <w:lang w:val="zh-TW"/>
              </w:rPr>
              <w:t xml:space="preserve"> </w:t>
            </w:r>
          </w:p>
        </w:tc>
      </w:tr>
      <w:tr w14:paraId="75284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22B01E59">
            <w:pPr>
              <w:pStyle w:val="181"/>
            </w:pPr>
          </w:p>
        </w:tc>
        <w:tc>
          <w:tcPr>
            <w:tcW w:w="7703" w:type="dxa"/>
            <w:tcBorders>
              <w:tl2br w:val="nil"/>
              <w:tr2bl w:val="nil"/>
            </w:tcBorders>
            <w:vAlign w:val="center"/>
          </w:tcPr>
          <w:p w14:paraId="5988EE3C">
            <w:pPr>
              <w:pStyle w:val="181"/>
              <w:jc w:val="left"/>
            </w:pPr>
            <w:r>
              <w:rPr>
                <w:rFonts w:hint="eastAsia" w:hAnsi="宋体" w:cs="宋体"/>
                <w:szCs w:val="18"/>
              </w:rPr>
              <w:t>12)</w:t>
            </w:r>
            <w:r>
              <w:rPr>
                <w:rFonts w:hint="eastAsia" w:hAnsi="宋体" w:cs="宋体"/>
                <w:szCs w:val="18"/>
                <w:lang w:val="zh-TW"/>
              </w:rPr>
              <w:t>设置火灾报警系统的，确保系统完好</w:t>
            </w:r>
          </w:p>
        </w:tc>
      </w:tr>
      <w:tr w14:paraId="0FCAB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260EF9B3">
            <w:pPr>
              <w:pStyle w:val="181"/>
            </w:pPr>
          </w:p>
        </w:tc>
        <w:tc>
          <w:tcPr>
            <w:tcW w:w="7703" w:type="dxa"/>
            <w:tcBorders>
              <w:tl2br w:val="nil"/>
              <w:tr2bl w:val="nil"/>
            </w:tcBorders>
            <w:vAlign w:val="center"/>
          </w:tcPr>
          <w:p w14:paraId="278E0E63">
            <w:pPr>
              <w:pStyle w:val="181"/>
              <w:jc w:val="left"/>
            </w:pPr>
            <w:r>
              <w:rPr>
                <w:rFonts w:hint="eastAsia" w:hAnsi="宋体" w:cs="宋体"/>
                <w:szCs w:val="18"/>
              </w:rPr>
              <w:t>13）</w:t>
            </w:r>
            <w:r>
              <w:rPr>
                <w:rFonts w:hint="eastAsia" w:hAnsi="宋体" w:cs="宋体"/>
                <w:szCs w:val="18"/>
                <w:lang w:val="zh-TW"/>
              </w:rPr>
              <w:t xml:space="preserve">消防泡沫发生装置完好 </w:t>
            </w:r>
          </w:p>
        </w:tc>
      </w:tr>
      <w:tr w14:paraId="5A638B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6E8C7E9B">
            <w:pPr>
              <w:pStyle w:val="181"/>
            </w:pPr>
          </w:p>
        </w:tc>
        <w:tc>
          <w:tcPr>
            <w:tcW w:w="7703" w:type="dxa"/>
            <w:tcBorders>
              <w:tl2br w:val="nil"/>
              <w:tr2bl w:val="nil"/>
            </w:tcBorders>
            <w:vAlign w:val="center"/>
          </w:tcPr>
          <w:p w14:paraId="1EE1E038">
            <w:pPr>
              <w:pStyle w:val="181"/>
              <w:jc w:val="left"/>
              <w:rPr>
                <w:rFonts w:hint="eastAsia" w:hAnsi="宋体" w:cs="宋体"/>
                <w:szCs w:val="18"/>
                <w:lang w:val="zh-TW"/>
              </w:rPr>
            </w:pPr>
            <w:r>
              <w:rPr>
                <w:rFonts w:hint="eastAsia" w:hAnsi="宋体" w:cs="宋体"/>
                <w:szCs w:val="18"/>
              </w:rPr>
              <w:t>14）</w:t>
            </w:r>
            <w:r>
              <w:rPr>
                <w:rFonts w:hint="eastAsia" w:hAnsi="宋体" w:cs="宋体"/>
                <w:szCs w:val="18"/>
                <w:lang w:val="zh-TW"/>
              </w:rPr>
              <w:t>静电接地连接线完好</w:t>
            </w:r>
          </w:p>
        </w:tc>
      </w:tr>
      <w:tr w14:paraId="3620D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restart"/>
            <w:shd w:val="clear" w:color="auto" w:fill="auto"/>
            <w:vAlign w:val="center"/>
          </w:tcPr>
          <w:p w14:paraId="37D863DB">
            <w:pPr>
              <w:pStyle w:val="181"/>
            </w:pPr>
            <w:r>
              <w:rPr>
                <w:rFonts w:hint="eastAsia" w:hAnsi="宋体" w:cs="宋体"/>
                <w:szCs w:val="18"/>
                <w:lang w:val="zh-TW"/>
              </w:rPr>
              <w:t>储罐壁板</w:t>
            </w:r>
          </w:p>
        </w:tc>
        <w:tc>
          <w:tcPr>
            <w:tcW w:w="7703" w:type="dxa"/>
            <w:tcBorders>
              <w:tl2br w:val="nil"/>
              <w:tr2bl w:val="nil"/>
            </w:tcBorders>
            <w:vAlign w:val="center"/>
          </w:tcPr>
          <w:p w14:paraId="037B8EC5">
            <w:pPr>
              <w:pStyle w:val="181"/>
              <w:jc w:val="left"/>
              <w:rPr>
                <w:rFonts w:hint="eastAsia" w:hAnsi="宋体" w:cs="宋体"/>
                <w:szCs w:val="18"/>
                <w:lang w:val="zh-TW"/>
              </w:rPr>
            </w:pPr>
            <w:r>
              <w:rPr>
                <w:rFonts w:hint="eastAsia" w:hAnsi="宋体" w:cs="宋体"/>
                <w:szCs w:val="18"/>
              </w:rPr>
              <w:t>1）</w:t>
            </w:r>
            <w:r>
              <w:rPr>
                <w:rFonts w:hint="eastAsia" w:hAnsi="宋体" w:cs="宋体"/>
                <w:szCs w:val="18"/>
                <w:lang w:val="zh-TW"/>
              </w:rPr>
              <w:t>储罐的罐体、接口（阀门、管路）部位、焊接接头等无裂纹、变形、腐蚀、泄漏及其他缺陷等</w:t>
            </w:r>
          </w:p>
        </w:tc>
      </w:tr>
      <w:tr w14:paraId="7DBE8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24D5FD9C">
            <w:pPr>
              <w:pStyle w:val="181"/>
            </w:pPr>
          </w:p>
        </w:tc>
        <w:tc>
          <w:tcPr>
            <w:tcW w:w="7703" w:type="dxa"/>
            <w:tcBorders>
              <w:tl2br w:val="nil"/>
              <w:tr2bl w:val="nil"/>
            </w:tcBorders>
            <w:vAlign w:val="center"/>
          </w:tcPr>
          <w:p w14:paraId="406F0278">
            <w:pPr>
              <w:pStyle w:val="181"/>
              <w:jc w:val="left"/>
              <w:rPr>
                <w:rFonts w:hint="eastAsia" w:hAnsi="宋体" w:cs="宋体"/>
                <w:szCs w:val="18"/>
                <w:lang w:val="zh-TW"/>
              </w:rPr>
            </w:pPr>
            <w:r>
              <w:rPr>
                <w:rFonts w:hint="eastAsia" w:hAnsi="宋体" w:cs="宋体"/>
                <w:szCs w:val="18"/>
              </w:rPr>
              <w:t>2）</w:t>
            </w:r>
            <w:r>
              <w:rPr>
                <w:rFonts w:hint="eastAsia" w:hAnsi="宋体" w:cs="宋体"/>
                <w:szCs w:val="18"/>
                <w:lang w:val="zh-TW"/>
              </w:rPr>
              <w:t>壁板无腐蚀、泄漏、异常变形，防腐涂层无破损、脱落等</w:t>
            </w:r>
          </w:p>
        </w:tc>
      </w:tr>
      <w:tr w14:paraId="0126F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10BFBBF3">
            <w:pPr>
              <w:pStyle w:val="181"/>
            </w:pPr>
          </w:p>
        </w:tc>
        <w:tc>
          <w:tcPr>
            <w:tcW w:w="7703" w:type="dxa"/>
            <w:tcBorders>
              <w:tl2br w:val="nil"/>
              <w:tr2bl w:val="nil"/>
            </w:tcBorders>
            <w:vAlign w:val="center"/>
          </w:tcPr>
          <w:p w14:paraId="269A1BBE">
            <w:pPr>
              <w:pStyle w:val="181"/>
              <w:jc w:val="left"/>
              <w:rPr>
                <w:rFonts w:hint="eastAsia" w:hAnsi="宋体" w:cs="宋体"/>
                <w:szCs w:val="18"/>
                <w:lang w:val="zh-TW"/>
              </w:rPr>
            </w:pPr>
            <w:r>
              <w:rPr>
                <w:rFonts w:hint="eastAsia" w:hAnsi="宋体" w:cs="宋体"/>
                <w:szCs w:val="18"/>
              </w:rPr>
              <w:t>3）</w:t>
            </w:r>
            <w:r>
              <w:rPr>
                <w:rFonts w:hint="eastAsia" w:hAnsi="宋体" w:cs="宋体"/>
                <w:szCs w:val="18"/>
                <w:lang w:val="zh-TW"/>
              </w:rPr>
              <w:t>隔热层有无破损、脱落、潮湿</w:t>
            </w:r>
          </w:p>
        </w:tc>
      </w:tr>
      <w:tr w14:paraId="5D82A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5034C78A">
            <w:pPr>
              <w:pStyle w:val="181"/>
            </w:pPr>
          </w:p>
        </w:tc>
        <w:tc>
          <w:tcPr>
            <w:tcW w:w="7703" w:type="dxa"/>
            <w:tcBorders>
              <w:tl2br w:val="nil"/>
              <w:tr2bl w:val="nil"/>
            </w:tcBorders>
            <w:vAlign w:val="center"/>
          </w:tcPr>
          <w:p w14:paraId="13D7EBED">
            <w:pPr>
              <w:pStyle w:val="181"/>
              <w:jc w:val="left"/>
              <w:rPr>
                <w:rFonts w:hint="eastAsia" w:hAnsi="宋体" w:cs="宋体"/>
                <w:szCs w:val="18"/>
                <w:lang w:val="zh-TW"/>
              </w:rPr>
            </w:pPr>
            <w:r>
              <w:rPr>
                <w:rFonts w:hint="eastAsia" w:hAnsi="宋体" w:cs="宋体"/>
                <w:szCs w:val="18"/>
              </w:rPr>
              <w:t>4）</w:t>
            </w:r>
            <w:r>
              <w:rPr>
                <w:rFonts w:hint="eastAsia" w:hAnsi="宋体" w:cs="宋体"/>
                <w:szCs w:val="18"/>
                <w:lang w:val="zh-TW"/>
              </w:rPr>
              <w:t>抗风圈和罐壁加强圈无腐蚀、脱焊和变形</w:t>
            </w:r>
          </w:p>
        </w:tc>
      </w:tr>
      <w:tr w14:paraId="74DDD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921912E">
            <w:pPr>
              <w:pStyle w:val="181"/>
            </w:pPr>
          </w:p>
        </w:tc>
        <w:tc>
          <w:tcPr>
            <w:tcW w:w="7703" w:type="dxa"/>
            <w:tcBorders>
              <w:tl2br w:val="nil"/>
              <w:tr2bl w:val="nil"/>
            </w:tcBorders>
            <w:vAlign w:val="center"/>
          </w:tcPr>
          <w:p w14:paraId="17CB7F42">
            <w:pPr>
              <w:pStyle w:val="181"/>
              <w:jc w:val="left"/>
              <w:rPr>
                <w:rFonts w:hint="eastAsia" w:hAnsi="宋体" w:cs="宋体"/>
                <w:szCs w:val="18"/>
                <w:lang w:val="zh-TW"/>
              </w:rPr>
            </w:pPr>
            <w:r>
              <w:rPr>
                <w:rFonts w:hint="eastAsia" w:hAnsi="宋体" w:cs="宋体"/>
                <w:szCs w:val="18"/>
              </w:rPr>
              <w:t>5）</w:t>
            </w:r>
            <w:r>
              <w:rPr>
                <w:rFonts w:hint="eastAsia" w:hAnsi="宋体" w:cs="宋体"/>
                <w:szCs w:val="18"/>
                <w:lang w:val="zh-TW"/>
              </w:rPr>
              <w:t>储罐与相邻管道或者构件无异常振动、响声或者相互摩擦</w:t>
            </w:r>
          </w:p>
        </w:tc>
      </w:tr>
      <w:tr w14:paraId="2BA87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C82A090">
            <w:pPr>
              <w:pStyle w:val="181"/>
            </w:pPr>
          </w:p>
        </w:tc>
        <w:tc>
          <w:tcPr>
            <w:tcW w:w="7703" w:type="dxa"/>
            <w:tcBorders>
              <w:tl2br w:val="nil"/>
              <w:tr2bl w:val="nil"/>
            </w:tcBorders>
            <w:vAlign w:val="center"/>
          </w:tcPr>
          <w:p w14:paraId="3A56B69D">
            <w:pPr>
              <w:pStyle w:val="181"/>
              <w:jc w:val="left"/>
              <w:rPr>
                <w:rFonts w:hint="eastAsia" w:hAnsi="宋体" w:cs="宋体"/>
                <w:szCs w:val="18"/>
                <w:lang w:val="zh-TW"/>
              </w:rPr>
            </w:pPr>
            <w:r>
              <w:rPr>
                <w:rFonts w:hint="eastAsia" w:hAnsi="宋体" w:cs="宋体"/>
                <w:szCs w:val="18"/>
              </w:rPr>
              <w:t>6）</w:t>
            </w:r>
            <w:r>
              <w:rPr>
                <w:rFonts w:hint="eastAsia" w:hAnsi="宋体" w:cs="宋体"/>
                <w:szCs w:val="18"/>
                <w:lang w:val="zh-TW"/>
              </w:rPr>
              <w:t>储罐罐壁的垂直度、圆度（同一断面最大直径与最小直径）无异常</w:t>
            </w:r>
          </w:p>
        </w:tc>
      </w:tr>
      <w:tr w14:paraId="1322A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9603152">
            <w:pPr>
              <w:pStyle w:val="181"/>
            </w:pPr>
          </w:p>
        </w:tc>
        <w:tc>
          <w:tcPr>
            <w:tcW w:w="7703" w:type="dxa"/>
            <w:tcBorders>
              <w:tl2br w:val="nil"/>
              <w:tr2bl w:val="nil"/>
            </w:tcBorders>
            <w:vAlign w:val="center"/>
          </w:tcPr>
          <w:p w14:paraId="7A5111BE">
            <w:pPr>
              <w:pStyle w:val="181"/>
              <w:jc w:val="left"/>
              <w:rPr>
                <w:rFonts w:hint="eastAsia" w:hAnsi="宋体" w:cs="宋体"/>
                <w:szCs w:val="18"/>
                <w:lang w:val="zh-TW"/>
              </w:rPr>
            </w:pPr>
            <w:r>
              <w:rPr>
                <w:rFonts w:hint="eastAsia" w:hAnsi="宋体" w:cs="宋体"/>
                <w:szCs w:val="18"/>
              </w:rPr>
              <w:t>7）</w:t>
            </w:r>
            <w:r>
              <w:rPr>
                <w:rFonts w:hint="eastAsia" w:hAnsi="宋体" w:cs="宋体"/>
                <w:szCs w:val="18"/>
                <w:lang w:val="zh-TW"/>
              </w:rPr>
              <w:t>有侧向搅拌装置的，其根部焊缝无腐蚀开裂</w:t>
            </w:r>
          </w:p>
        </w:tc>
      </w:tr>
      <w:tr w14:paraId="6D201C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restart"/>
            <w:shd w:val="clear" w:color="auto" w:fill="auto"/>
            <w:vAlign w:val="center"/>
          </w:tcPr>
          <w:p w14:paraId="33BD0BE7">
            <w:pPr>
              <w:pStyle w:val="181"/>
            </w:pPr>
            <w:r>
              <w:rPr>
                <w:rFonts w:hint="eastAsia" w:hAnsi="宋体" w:cs="宋体"/>
                <w:szCs w:val="18"/>
                <w:lang w:val="zh-TW"/>
              </w:rPr>
              <w:t>储罐底板</w:t>
            </w:r>
          </w:p>
        </w:tc>
        <w:tc>
          <w:tcPr>
            <w:tcW w:w="7703" w:type="dxa"/>
            <w:tcBorders>
              <w:tl2br w:val="nil"/>
              <w:tr2bl w:val="nil"/>
            </w:tcBorders>
            <w:vAlign w:val="center"/>
          </w:tcPr>
          <w:p w14:paraId="767E7A20">
            <w:pPr>
              <w:pStyle w:val="181"/>
              <w:jc w:val="left"/>
              <w:rPr>
                <w:rFonts w:hint="eastAsia" w:hAnsi="宋体" w:cs="宋体"/>
                <w:szCs w:val="18"/>
                <w:lang w:val="zh-TW"/>
              </w:rPr>
            </w:pPr>
            <w:r>
              <w:rPr>
                <w:rFonts w:hint="eastAsia" w:hAnsi="宋体" w:cs="宋体"/>
                <w:szCs w:val="18"/>
              </w:rPr>
              <w:t>1）</w:t>
            </w:r>
            <w:r>
              <w:rPr>
                <w:rFonts w:hint="eastAsia" w:hAnsi="宋体" w:cs="宋体"/>
                <w:szCs w:val="18"/>
                <w:lang w:val="zh-TW"/>
              </w:rPr>
              <w:t>储罐底板与壁板连接的角焊缝等无裂纹、变形、腐蚀、泄漏及其他缺陷等</w:t>
            </w:r>
          </w:p>
        </w:tc>
      </w:tr>
      <w:tr w14:paraId="412A7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03EBA25A">
            <w:pPr>
              <w:pStyle w:val="181"/>
            </w:pPr>
          </w:p>
        </w:tc>
        <w:tc>
          <w:tcPr>
            <w:tcW w:w="7703" w:type="dxa"/>
            <w:tcBorders>
              <w:tl2br w:val="nil"/>
              <w:tr2bl w:val="nil"/>
            </w:tcBorders>
            <w:vAlign w:val="center"/>
          </w:tcPr>
          <w:p w14:paraId="01C01677">
            <w:pPr>
              <w:pStyle w:val="181"/>
              <w:jc w:val="left"/>
              <w:rPr>
                <w:rFonts w:hint="eastAsia" w:hAnsi="宋体" w:cs="宋体"/>
                <w:szCs w:val="18"/>
                <w:lang w:val="zh-TW"/>
              </w:rPr>
            </w:pPr>
            <w:r>
              <w:rPr>
                <w:rFonts w:hint="eastAsia" w:hAnsi="宋体" w:cs="宋体"/>
                <w:szCs w:val="18"/>
              </w:rPr>
              <w:t>2）</w:t>
            </w:r>
            <w:r>
              <w:rPr>
                <w:rFonts w:hint="eastAsia" w:hAnsi="宋体" w:cs="宋体"/>
                <w:szCs w:val="18"/>
                <w:lang w:val="zh-TW"/>
              </w:rPr>
              <w:t>储罐底板外侧的腐蚀无异常</w:t>
            </w:r>
          </w:p>
        </w:tc>
      </w:tr>
      <w:tr w14:paraId="1030C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150EDB7F">
            <w:pPr>
              <w:pStyle w:val="181"/>
            </w:pPr>
          </w:p>
        </w:tc>
        <w:tc>
          <w:tcPr>
            <w:tcW w:w="7703" w:type="dxa"/>
            <w:tcBorders>
              <w:tl2br w:val="nil"/>
              <w:tr2bl w:val="nil"/>
            </w:tcBorders>
            <w:vAlign w:val="center"/>
          </w:tcPr>
          <w:p w14:paraId="760746B7">
            <w:pPr>
              <w:pStyle w:val="181"/>
              <w:jc w:val="left"/>
              <w:rPr>
                <w:rFonts w:hint="eastAsia" w:hAnsi="宋体" w:cs="宋体"/>
                <w:szCs w:val="18"/>
                <w:lang w:val="zh-TW"/>
              </w:rPr>
            </w:pPr>
            <w:r>
              <w:rPr>
                <w:rFonts w:hint="eastAsia" w:hAnsi="宋体" w:cs="宋体"/>
                <w:szCs w:val="18"/>
              </w:rPr>
              <w:t>3）</w:t>
            </w:r>
            <w:r>
              <w:rPr>
                <w:rFonts w:hint="eastAsia" w:hAnsi="宋体" w:cs="宋体"/>
                <w:szCs w:val="18"/>
                <w:lang w:val="zh-TW"/>
              </w:rPr>
              <w:t>底板外侧的防腐、防水保护层无破损、脱落</w:t>
            </w:r>
          </w:p>
        </w:tc>
      </w:tr>
      <w:tr w14:paraId="494E7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397988FB">
            <w:pPr>
              <w:pStyle w:val="181"/>
            </w:pPr>
          </w:p>
        </w:tc>
        <w:tc>
          <w:tcPr>
            <w:tcW w:w="7703" w:type="dxa"/>
            <w:tcBorders>
              <w:tl2br w:val="nil"/>
              <w:tr2bl w:val="nil"/>
            </w:tcBorders>
            <w:vAlign w:val="center"/>
          </w:tcPr>
          <w:p w14:paraId="0688CDDE">
            <w:pPr>
              <w:pStyle w:val="181"/>
              <w:jc w:val="left"/>
              <w:rPr>
                <w:rFonts w:hint="eastAsia" w:hAnsi="宋体" w:cs="宋体"/>
                <w:szCs w:val="18"/>
                <w:lang w:val="zh-TW"/>
              </w:rPr>
            </w:pPr>
            <w:r>
              <w:rPr>
                <w:rFonts w:hint="eastAsia" w:hAnsi="宋体" w:cs="宋体"/>
                <w:szCs w:val="18"/>
              </w:rPr>
              <w:t>4）</w:t>
            </w:r>
            <w:r>
              <w:rPr>
                <w:rFonts w:hint="eastAsia" w:hAnsi="宋体" w:cs="宋体"/>
                <w:szCs w:val="18"/>
                <w:lang w:val="zh-TW"/>
              </w:rPr>
              <w:t>储罐底板泄漏探测系统中无泄漏痕迹</w:t>
            </w:r>
          </w:p>
        </w:tc>
      </w:tr>
      <w:tr w14:paraId="0DAD2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62705D9F">
            <w:pPr>
              <w:pStyle w:val="181"/>
            </w:pPr>
          </w:p>
        </w:tc>
        <w:tc>
          <w:tcPr>
            <w:tcW w:w="7703" w:type="dxa"/>
            <w:tcBorders>
              <w:tl2br w:val="nil"/>
              <w:tr2bl w:val="nil"/>
            </w:tcBorders>
            <w:vAlign w:val="center"/>
          </w:tcPr>
          <w:p w14:paraId="0BC4884A">
            <w:pPr>
              <w:pStyle w:val="181"/>
              <w:jc w:val="left"/>
              <w:rPr>
                <w:rFonts w:hint="eastAsia" w:hAnsi="宋体" w:cs="宋体"/>
                <w:szCs w:val="18"/>
                <w:lang w:val="zh-TW"/>
              </w:rPr>
            </w:pPr>
            <w:r>
              <w:rPr>
                <w:rFonts w:hint="eastAsia" w:hAnsi="宋体" w:cs="宋体"/>
                <w:szCs w:val="18"/>
              </w:rPr>
              <w:t>5）</w:t>
            </w:r>
            <w:r>
              <w:rPr>
                <w:rFonts w:hint="eastAsia" w:hAnsi="宋体" w:cs="宋体"/>
                <w:szCs w:val="18"/>
                <w:lang w:val="zh-TW"/>
              </w:rPr>
              <w:t>储罐罐底无翘起或设置锚栓的储罐基础环墙（或锚栓）未被拔起</w:t>
            </w:r>
          </w:p>
        </w:tc>
      </w:tr>
      <w:tr w14:paraId="73F7A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4674FBFC">
            <w:pPr>
              <w:pStyle w:val="181"/>
            </w:pPr>
          </w:p>
        </w:tc>
        <w:tc>
          <w:tcPr>
            <w:tcW w:w="7703" w:type="dxa"/>
            <w:tcBorders>
              <w:tl2br w:val="nil"/>
              <w:tr2bl w:val="nil"/>
            </w:tcBorders>
            <w:vAlign w:val="center"/>
          </w:tcPr>
          <w:p w14:paraId="10F3CC77">
            <w:pPr>
              <w:pStyle w:val="181"/>
              <w:jc w:val="left"/>
              <w:rPr>
                <w:rFonts w:hint="eastAsia" w:hAnsi="宋体" w:cs="宋体"/>
                <w:szCs w:val="18"/>
                <w:lang w:val="zh-TW"/>
              </w:rPr>
            </w:pPr>
            <w:r>
              <w:rPr>
                <w:rFonts w:hint="eastAsia" w:hAnsi="宋体" w:cs="宋体"/>
                <w:szCs w:val="18"/>
              </w:rPr>
              <w:t>6）</w:t>
            </w:r>
            <w:r>
              <w:rPr>
                <w:rFonts w:hint="eastAsia" w:hAnsi="宋体" w:cs="宋体"/>
                <w:szCs w:val="18"/>
                <w:lang w:val="zh-TW"/>
              </w:rPr>
              <w:t>基础无开裂，地脚螺栓无腐蚀</w:t>
            </w:r>
          </w:p>
        </w:tc>
      </w:tr>
      <w:tr w14:paraId="1B2097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7E48877E">
            <w:pPr>
              <w:pStyle w:val="181"/>
            </w:pPr>
          </w:p>
        </w:tc>
        <w:tc>
          <w:tcPr>
            <w:tcW w:w="7703" w:type="dxa"/>
            <w:tcBorders>
              <w:tl2br w:val="nil"/>
              <w:tr2bl w:val="nil"/>
            </w:tcBorders>
            <w:vAlign w:val="center"/>
          </w:tcPr>
          <w:p w14:paraId="3F82E1E3">
            <w:pPr>
              <w:pStyle w:val="181"/>
              <w:jc w:val="left"/>
              <w:rPr>
                <w:rFonts w:hint="eastAsia" w:hAnsi="宋体" w:cs="宋体"/>
                <w:szCs w:val="18"/>
                <w:lang w:val="zh-TW"/>
              </w:rPr>
            </w:pPr>
            <w:r>
              <w:rPr>
                <w:rFonts w:hint="eastAsia" w:hAnsi="宋体" w:cs="宋体"/>
                <w:szCs w:val="18"/>
              </w:rPr>
              <w:t>7）</w:t>
            </w:r>
            <w:r>
              <w:rPr>
                <w:rFonts w:hint="eastAsia" w:hAnsi="宋体" w:cs="宋体"/>
                <w:szCs w:val="18"/>
                <w:lang w:val="zh-TW"/>
              </w:rPr>
              <w:t>底板的阴极设施正常</w:t>
            </w:r>
          </w:p>
        </w:tc>
      </w:tr>
      <w:tr w14:paraId="62202A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vMerge w:val="continue"/>
            <w:shd w:val="clear" w:color="auto" w:fill="auto"/>
            <w:vAlign w:val="center"/>
          </w:tcPr>
          <w:p w14:paraId="4C68D737">
            <w:pPr>
              <w:pStyle w:val="181"/>
            </w:pPr>
          </w:p>
        </w:tc>
        <w:tc>
          <w:tcPr>
            <w:tcW w:w="7703" w:type="dxa"/>
            <w:tcBorders>
              <w:tl2br w:val="nil"/>
              <w:tr2bl w:val="nil"/>
            </w:tcBorders>
            <w:vAlign w:val="center"/>
          </w:tcPr>
          <w:p w14:paraId="6D15385D">
            <w:pPr>
              <w:pStyle w:val="181"/>
              <w:jc w:val="left"/>
              <w:rPr>
                <w:rFonts w:hint="eastAsia" w:hAnsi="宋体" w:cs="宋体"/>
                <w:szCs w:val="18"/>
                <w:lang w:val="zh-TW"/>
              </w:rPr>
            </w:pPr>
            <w:r>
              <w:rPr>
                <w:rFonts w:hint="eastAsia" w:hAnsi="宋体" w:cs="宋体"/>
                <w:szCs w:val="18"/>
              </w:rPr>
              <w:t>8）</w:t>
            </w:r>
            <w:r>
              <w:rPr>
                <w:rFonts w:hint="eastAsia" w:hAnsi="宋体" w:cs="宋体"/>
                <w:szCs w:val="18"/>
                <w:lang w:val="zh-TW"/>
              </w:rPr>
              <w:t>排放（排水、排污）系统正常</w:t>
            </w:r>
          </w:p>
        </w:tc>
      </w:tr>
    </w:tbl>
    <w:p w14:paraId="070719AB">
      <w:pPr>
        <w:pStyle w:val="59"/>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表A.1 储罐检查内容</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31"/>
        <w:gridCol w:w="7703"/>
      </w:tblGrid>
      <w:tr w14:paraId="73BE6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shd w:val="clear" w:color="auto" w:fill="auto"/>
            <w:vAlign w:val="center"/>
          </w:tcPr>
          <w:p w14:paraId="712BEF5B">
            <w:pPr>
              <w:pStyle w:val="181"/>
              <w:rPr>
                <w:rFonts w:hint="eastAsia"/>
              </w:rPr>
            </w:pPr>
            <w:r>
              <w:rPr>
                <w:rFonts w:hint="eastAsia" w:hAnsi="宋体" w:cs="宋体"/>
                <w:szCs w:val="18"/>
                <w:lang w:val="zh-TW"/>
              </w:rPr>
              <w:t>储罐部位</w:t>
            </w:r>
          </w:p>
        </w:tc>
        <w:tc>
          <w:tcPr>
            <w:tcW w:w="7703" w:type="dxa"/>
            <w:tcBorders>
              <w:tl2br w:val="nil"/>
              <w:tr2bl w:val="nil"/>
            </w:tcBorders>
            <w:vAlign w:val="center"/>
          </w:tcPr>
          <w:p w14:paraId="2CC3457C">
            <w:pPr>
              <w:pStyle w:val="181"/>
              <w:jc w:val="center"/>
              <w:rPr>
                <w:rFonts w:hint="eastAsia" w:hAnsi="宋体" w:cs="宋体"/>
                <w:szCs w:val="18"/>
                <w:lang w:val="zh-TW"/>
              </w:rPr>
            </w:pPr>
            <w:r>
              <w:rPr>
                <w:rFonts w:hint="eastAsia" w:hAnsi="宋体" w:cs="宋体"/>
                <w:szCs w:val="18"/>
              </w:rPr>
              <w:t>检查内容</w:t>
            </w:r>
          </w:p>
        </w:tc>
      </w:tr>
      <w:tr w14:paraId="35999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shd w:val="clear" w:color="auto" w:fill="auto"/>
            <w:vAlign w:val="center"/>
          </w:tcPr>
          <w:p w14:paraId="367078B5">
            <w:pPr>
              <w:pStyle w:val="181"/>
            </w:pPr>
            <w:r>
              <w:rPr>
                <w:rFonts w:hint="eastAsia"/>
              </w:rPr>
              <w:t>储罐基础</w:t>
            </w:r>
          </w:p>
        </w:tc>
        <w:tc>
          <w:tcPr>
            <w:tcW w:w="7703" w:type="dxa"/>
            <w:tcBorders>
              <w:tl2br w:val="nil"/>
              <w:tr2bl w:val="nil"/>
            </w:tcBorders>
            <w:vAlign w:val="center"/>
          </w:tcPr>
          <w:p w14:paraId="13D38B74">
            <w:pPr>
              <w:pStyle w:val="181"/>
              <w:jc w:val="left"/>
              <w:rPr>
                <w:rFonts w:hint="eastAsia" w:hAnsi="宋体" w:cs="宋体"/>
                <w:szCs w:val="18"/>
                <w:lang w:val="zh-TW"/>
              </w:rPr>
            </w:pPr>
            <w:r>
              <w:rPr>
                <w:rFonts w:hint="eastAsia" w:hAnsi="宋体" w:cs="宋体"/>
                <w:szCs w:val="18"/>
                <w:lang w:val="zh-TW"/>
              </w:rPr>
              <w:t>储罐基础无下沉，罐体无倾斜，散水坡无破损，沥青封口完好</w:t>
            </w:r>
          </w:p>
        </w:tc>
      </w:tr>
      <w:tr w14:paraId="0F1D57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shd w:val="clear" w:color="auto" w:fill="auto"/>
            <w:vAlign w:val="center"/>
          </w:tcPr>
          <w:p w14:paraId="5F492A2E">
            <w:pPr>
              <w:pStyle w:val="181"/>
            </w:pPr>
            <w:r>
              <w:rPr>
                <w:rFonts w:hint="eastAsia"/>
              </w:rPr>
              <w:t>安全附件</w:t>
            </w:r>
          </w:p>
        </w:tc>
        <w:tc>
          <w:tcPr>
            <w:tcW w:w="7703" w:type="dxa"/>
            <w:tcBorders>
              <w:tl2br w:val="nil"/>
              <w:tr2bl w:val="nil"/>
            </w:tcBorders>
            <w:vAlign w:val="center"/>
          </w:tcPr>
          <w:p w14:paraId="14E422F2">
            <w:pPr>
              <w:pStyle w:val="181"/>
              <w:jc w:val="left"/>
              <w:rPr>
                <w:rFonts w:hint="eastAsia" w:hAnsi="宋体" w:cs="宋体"/>
                <w:szCs w:val="18"/>
                <w:lang w:val="zh-TW"/>
              </w:rPr>
            </w:pPr>
            <w:r>
              <w:rPr>
                <w:rFonts w:hint="eastAsia" w:hAnsi="宋体" w:cs="宋体"/>
                <w:szCs w:val="18"/>
                <w:lang w:val="zh-TW"/>
              </w:rPr>
              <w:t>储罐液位计、温度计、高低液位报警、温度报警、呼吸阀/安全阀等按要求进行校验或测试且功能正常</w:t>
            </w:r>
          </w:p>
        </w:tc>
      </w:tr>
      <w:tr w14:paraId="5D33A3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shd w:val="clear" w:color="auto" w:fill="auto"/>
            <w:vAlign w:val="center"/>
          </w:tcPr>
          <w:p w14:paraId="73B3F064">
            <w:pPr>
              <w:pStyle w:val="181"/>
            </w:pPr>
            <w:r>
              <w:rPr>
                <w:rFonts w:hint="eastAsia"/>
              </w:rPr>
              <w:t>防雷和防静电接地设施</w:t>
            </w:r>
          </w:p>
        </w:tc>
        <w:tc>
          <w:tcPr>
            <w:tcW w:w="7703" w:type="dxa"/>
            <w:tcBorders>
              <w:tl2br w:val="nil"/>
              <w:tr2bl w:val="nil"/>
            </w:tcBorders>
            <w:vAlign w:val="center"/>
          </w:tcPr>
          <w:p w14:paraId="591A336C">
            <w:pPr>
              <w:pStyle w:val="181"/>
              <w:jc w:val="left"/>
              <w:rPr>
                <w:rFonts w:hint="eastAsia" w:hAnsi="宋体" w:cs="宋体"/>
                <w:szCs w:val="18"/>
                <w:lang w:val="zh-TW"/>
              </w:rPr>
            </w:pPr>
            <w:r>
              <w:rPr>
                <w:rFonts w:hint="eastAsia" w:hAnsi="宋体" w:cs="宋体"/>
                <w:szCs w:val="18"/>
                <w:lang w:val="zh-TW"/>
              </w:rPr>
              <w:t>防雷、防静电等附件检测且功能正常</w:t>
            </w:r>
          </w:p>
        </w:tc>
      </w:tr>
      <w:tr w14:paraId="60B71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31" w:type="dxa"/>
            <w:shd w:val="clear" w:color="auto" w:fill="auto"/>
            <w:vAlign w:val="center"/>
          </w:tcPr>
          <w:p w14:paraId="210AD978">
            <w:pPr>
              <w:pStyle w:val="181"/>
            </w:pPr>
            <w:r>
              <w:rPr>
                <w:rFonts w:hint="eastAsia"/>
              </w:rPr>
              <w:t>相关配件</w:t>
            </w:r>
          </w:p>
        </w:tc>
        <w:tc>
          <w:tcPr>
            <w:tcW w:w="7703" w:type="dxa"/>
            <w:tcBorders>
              <w:tl2br w:val="nil"/>
              <w:tr2bl w:val="nil"/>
            </w:tcBorders>
            <w:vAlign w:val="center"/>
          </w:tcPr>
          <w:p w14:paraId="384596CD">
            <w:pPr>
              <w:pStyle w:val="181"/>
              <w:jc w:val="left"/>
              <w:rPr>
                <w:rFonts w:hint="eastAsia" w:hAnsi="宋体" w:cs="宋体"/>
                <w:szCs w:val="18"/>
              </w:rPr>
            </w:pPr>
            <w:r>
              <w:rPr>
                <w:rFonts w:hint="eastAsia" w:hAnsi="宋体" w:cs="宋体"/>
                <w:szCs w:val="18"/>
                <w:lang w:val="zh-TW"/>
              </w:rPr>
              <w:t>储罐盘梯、平台及栏杆牢固、完整、腐蚀</w:t>
            </w:r>
          </w:p>
        </w:tc>
      </w:tr>
    </w:tbl>
    <w:p w14:paraId="6B1BF1AC">
      <w:pPr>
        <w:pStyle w:val="59"/>
        <w:ind w:firstLine="420"/>
      </w:pPr>
    </w:p>
    <w:p w14:paraId="2A1332A5">
      <w:pPr>
        <w:pStyle w:val="59"/>
        <w:ind w:firstLine="420"/>
      </w:pPr>
    </w:p>
    <w:p w14:paraId="0BBE3B56">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0CD38806">
      <w:pPr>
        <w:pStyle w:val="201"/>
        <w:rPr>
          <w:rFonts w:hint="eastAsia"/>
          <w:vanish w:val="0"/>
        </w:rPr>
      </w:pPr>
    </w:p>
    <w:p w14:paraId="2A160867">
      <w:pPr>
        <w:pStyle w:val="202"/>
        <w:rPr>
          <w:vanish w:val="0"/>
        </w:rPr>
      </w:pPr>
    </w:p>
    <w:p w14:paraId="2A4D1011">
      <w:pPr>
        <w:pStyle w:val="79"/>
        <w:spacing w:after="156"/>
      </w:pPr>
      <w:r>
        <w:br w:type="textWrapping"/>
      </w:r>
      <w:bookmarkStart w:id="263" w:name="_Toc182227184"/>
      <w:bookmarkStart w:id="264" w:name="_Toc182227086"/>
      <w:bookmarkStart w:id="265" w:name="_Toc182227148"/>
      <w:bookmarkStart w:id="266" w:name="_Toc182227762"/>
      <w:bookmarkStart w:id="267" w:name="_Toc182227685"/>
      <w:bookmarkStart w:id="268" w:name="_Toc182227893"/>
      <w:bookmarkStart w:id="269" w:name="_Toc183074831"/>
      <w:bookmarkStart w:id="270" w:name="_Toc183074802"/>
      <w:r>
        <w:rPr>
          <w:rFonts w:hint="eastAsia"/>
        </w:rPr>
        <w:t>（资料性）</w:t>
      </w:r>
      <w:r>
        <w:br w:type="textWrapping"/>
      </w:r>
      <w:r>
        <w:rPr>
          <w:rFonts w:hint="eastAsia"/>
        </w:rPr>
        <w:t>储罐开罐和在线检验</w:t>
      </w:r>
      <w:bookmarkEnd w:id="263"/>
      <w:bookmarkEnd w:id="264"/>
      <w:bookmarkEnd w:id="265"/>
      <w:r>
        <w:rPr>
          <w:rFonts w:hint="eastAsia"/>
        </w:rPr>
        <w:t>项目</w:t>
      </w:r>
      <w:bookmarkEnd w:id="266"/>
      <w:bookmarkEnd w:id="267"/>
      <w:bookmarkEnd w:id="268"/>
      <w:bookmarkEnd w:id="269"/>
      <w:bookmarkEnd w:id="270"/>
    </w:p>
    <w:p w14:paraId="696E1BF0">
      <w:pPr>
        <w:pStyle w:val="59"/>
        <w:ind w:firstLine="0" w:firstLineChars="0"/>
      </w:pPr>
      <w:r>
        <w:rPr>
          <w:rFonts w:hint="eastAsia"/>
          <w:lang w:val="zh-TW"/>
        </w:rPr>
        <w:t>表B.1提出了储罐开罐和在线检验项目。</w:t>
      </w:r>
    </w:p>
    <w:p w14:paraId="4032B621">
      <w:pPr>
        <w:pStyle w:val="80"/>
        <w:spacing w:before="156" w:after="156"/>
        <w:rPr>
          <w:rStyle w:val="34"/>
          <w:rFonts w:hint="eastAsia" w:ascii="黑体" w:hAnsi="黑体" w:cs="黑体"/>
          <w:b/>
        </w:rPr>
      </w:pPr>
      <w:r>
        <w:rPr>
          <w:rStyle w:val="34"/>
          <w:rFonts w:hint="eastAsia" w:ascii="黑体" w:hAnsi="黑体" w:eastAsia="黑体" w:cs="黑体"/>
          <w:b/>
          <w:lang w:val="zh-TW"/>
        </w:rPr>
        <w:t>储罐开罐和在线</w:t>
      </w:r>
      <w:r>
        <w:rPr>
          <w:rStyle w:val="34"/>
          <w:rFonts w:hint="eastAsia" w:ascii="黑体" w:hAnsi="黑体" w:eastAsia="黑体" w:cs="黑体"/>
          <w:b/>
        </w:rPr>
        <w:t>检验项目</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01"/>
        <w:gridCol w:w="4940"/>
        <w:gridCol w:w="2627"/>
      </w:tblGrid>
      <w:tr w14:paraId="37C3F3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01" w:type="dxa"/>
            <w:tcBorders>
              <w:top w:val="single" w:color="auto" w:sz="8" w:space="0"/>
              <w:bottom w:val="single" w:color="auto" w:sz="8" w:space="0"/>
            </w:tcBorders>
            <w:shd w:val="clear" w:color="auto" w:fill="auto"/>
          </w:tcPr>
          <w:p w14:paraId="7481F810">
            <w:pPr>
              <w:pStyle w:val="181"/>
            </w:pPr>
            <w:r>
              <w:rPr>
                <w:rFonts w:hint="eastAsia"/>
              </w:rPr>
              <w:t>储罐部位</w:t>
            </w:r>
          </w:p>
        </w:tc>
        <w:tc>
          <w:tcPr>
            <w:tcW w:w="4940" w:type="dxa"/>
            <w:tcBorders>
              <w:top w:val="single" w:color="auto" w:sz="8" w:space="0"/>
              <w:bottom w:val="single" w:color="auto" w:sz="8" w:space="0"/>
            </w:tcBorders>
            <w:shd w:val="clear" w:color="auto" w:fill="auto"/>
          </w:tcPr>
          <w:p w14:paraId="3916631E">
            <w:pPr>
              <w:pStyle w:val="181"/>
            </w:pPr>
            <w:r>
              <w:rPr>
                <w:rFonts w:hint="eastAsia"/>
              </w:rPr>
              <w:t>开罐检验项目</w:t>
            </w:r>
          </w:p>
        </w:tc>
        <w:tc>
          <w:tcPr>
            <w:tcW w:w="2627" w:type="dxa"/>
            <w:tcBorders>
              <w:top w:val="single" w:color="auto" w:sz="8" w:space="0"/>
              <w:bottom w:val="single" w:color="auto" w:sz="8" w:space="0"/>
            </w:tcBorders>
            <w:shd w:val="clear" w:color="auto" w:fill="auto"/>
          </w:tcPr>
          <w:p w14:paraId="2AE53F8E">
            <w:pPr>
              <w:pStyle w:val="181"/>
            </w:pPr>
            <w:r>
              <w:rPr>
                <w:rFonts w:hint="eastAsia"/>
              </w:rPr>
              <w:t>在线检验项目</w:t>
            </w:r>
          </w:p>
        </w:tc>
      </w:tr>
      <w:tr w14:paraId="13631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restart"/>
            <w:tcBorders>
              <w:top w:val="single" w:color="auto" w:sz="8" w:space="0"/>
            </w:tcBorders>
            <w:shd w:val="clear" w:color="auto" w:fill="auto"/>
            <w:vAlign w:val="center"/>
          </w:tcPr>
          <w:p w14:paraId="735858E2">
            <w:pPr>
              <w:pStyle w:val="181"/>
            </w:pPr>
            <w:r>
              <w:rPr>
                <w:rFonts w:hint="eastAsia" w:hAnsi="宋体" w:cs="宋体"/>
                <w:szCs w:val="18"/>
                <w:lang w:val="zh-TW"/>
              </w:rPr>
              <w:t>储罐顶板</w:t>
            </w:r>
          </w:p>
        </w:tc>
        <w:tc>
          <w:tcPr>
            <w:tcW w:w="4940" w:type="dxa"/>
            <w:tcBorders>
              <w:top w:val="single" w:color="auto" w:sz="8" w:space="0"/>
            </w:tcBorders>
            <w:shd w:val="clear" w:color="auto" w:fill="auto"/>
            <w:vAlign w:val="center"/>
          </w:tcPr>
          <w:p w14:paraId="1F56C67F">
            <w:pPr>
              <w:pStyle w:val="181"/>
              <w:jc w:val="both"/>
            </w:pPr>
            <w:r>
              <w:rPr>
                <w:rFonts w:hint="eastAsia" w:hAnsi="宋体" w:cs="宋体"/>
                <w:szCs w:val="18"/>
              </w:rPr>
              <w:t>1）</w:t>
            </w:r>
            <w:r>
              <w:rPr>
                <w:rFonts w:hint="eastAsia" w:hAnsi="宋体" w:cs="宋体"/>
                <w:szCs w:val="18"/>
                <w:lang w:val="zh-TW"/>
              </w:rPr>
              <w:t>顶板检查</w:t>
            </w:r>
          </w:p>
        </w:tc>
        <w:tc>
          <w:tcPr>
            <w:tcW w:w="2627" w:type="dxa"/>
            <w:vMerge w:val="restart"/>
            <w:tcBorders>
              <w:top w:val="single" w:color="auto" w:sz="8" w:space="0"/>
            </w:tcBorders>
            <w:shd w:val="clear" w:color="auto" w:fill="auto"/>
            <w:vAlign w:val="center"/>
          </w:tcPr>
          <w:p w14:paraId="5F09BB4B">
            <w:pPr>
              <w:pStyle w:val="181"/>
              <w:jc w:val="left"/>
            </w:pPr>
            <w:r>
              <w:rPr>
                <w:rFonts w:hint="eastAsia" w:hAnsi="宋体" w:cs="宋体"/>
                <w:szCs w:val="18"/>
              </w:rPr>
              <w:t>1）</w:t>
            </w:r>
            <w:r>
              <w:rPr>
                <w:rFonts w:hint="eastAsia" w:hAnsi="宋体" w:cs="宋体"/>
                <w:szCs w:val="18"/>
                <w:lang w:val="zh-TW"/>
              </w:rPr>
              <w:t>顶板检查</w:t>
            </w:r>
          </w:p>
        </w:tc>
      </w:tr>
      <w:tr w14:paraId="42BBD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5CB04057">
            <w:pPr>
              <w:pStyle w:val="181"/>
            </w:pPr>
          </w:p>
        </w:tc>
        <w:tc>
          <w:tcPr>
            <w:tcW w:w="4940" w:type="dxa"/>
            <w:shd w:val="clear" w:color="auto" w:fill="auto"/>
            <w:vAlign w:val="center"/>
          </w:tcPr>
          <w:p w14:paraId="70A12384">
            <w:pPr>
              <w:pStyle w:val="181"/>
              <w:jc w:val="both"/>
            </w:pPr>
            <w:r>
              <w:rPr>
                <w:rFonts w:hint="eastAsia" w:hAnsi="宋体" w:cs="宋体"/>
                <w:szCs w:val="18"/>
              </w:rPr>
              <w:t>2）</w:t>
            </w:r>
            <w:r>
              <w:rPr>
                <w:rFonts w:hint="eastAsia" w:hAnsi="宋体" w:cs="宋体"/>
                <w:szCs w:val="18"/>
                <w:lang w:val="zh-TW"/>
              </w:rPr>
              <w:t>顶板内部检查：</w:t>
            </w:r>
          </w:p>
          <w:p w14:paraId="70DC7DF4">
            <w:pPr>
              <w:pStyle w:val="181"/>
              <w:ind w:firstLine="180" w:firstLineChars="100"/>
              <w:jc w:val="both"/>
              <w:rPr>
                <w:rFonts w:hint="eastAsia" w:hAnsi="宋体" w:cs="宋体"/>
              </w:rPr>
            </w:pPr>
            <w:r>
              <w:rPr>
                <w:rFonts w:hint="eastAsia" w:hAnsi="宋体" w:cs="宋体"/>
                <w:szCs w:val="18"/>
                <w:lang w:val="zh-TW"/>
              </w:rPr>
              <w:t>①罐顶下表面无空洞、锈皮和剥蚀等；</w:t>
            </w:r>
          </w:p>
          <w:p w14:paraId="55D8F559">
            <w:pPr>
              <w:pStyle w:val="181"/>
              <w:ind w:firstLine="180" w:firstLineChars="100"/>
              <w:jc w:val="both"/>
              <w:rPr>
                <w:rFonts w:hint="eastAsia" w:hAnsi="宋体" w:cs="宋体"/>
              </w:rPr>
            </w:pPr>
            <w:r>
              <w:rPr>
                <w:rFonts w:hint="eastAsia" w:hAnsi="宋体" w:cs="宋体"/>
                <w:szCs w:val="18"/>
                <w:lang w:val="zh-TW"/>
              </w:rPr>
              <w:t>②支架、托架及支撑无断裂等；</w:t>
            </w:r>
          </w:p>
          <w:p w14:paraId="7F492CF9">
            <w:pPr>
              <w:pStyle w:val="181"/>
              <w:ind w:firstLine="180" w:firstLineChars="100"/>
              <w:jc w:val="both"/>
              <w:rPr>
                <w:rFonts w:hint="eastAsia" w:hAnsi="宋体" w:cs="宋体"/>
              </w:rPr>
            </w:pPr>
            <w:r>
              <w:rPr>
                <w:rFonts w:hint="eastAsia" w:hAnsi="宋体" w:cs="宋体"/>
                <w:szCs w:val="18"/>
                <w:lang w:val="zh-TW"/>
              </w:rPr>
              <w:t>③支柱无变薄、腐蚀、松动及扭曲等；</w:t>
            </w:r>
          </w:p>
          <w:p w14:paraId="354F3DE6">
            <w:pPr>
              <w:pStyle w:val="181"/>
              <w:ind w:firstLine="180" w:firstLineChars="100"/>
              <w:jc w:val="both"/>
              <w:rPr>
                <w:rFonts w:hint="eastAsia" w:hAnsi="宋体" w:cs="宋体"/>
              </w:rPr>
            </w:pPr>
            <w:r>
              <w:rPr>
                <w:rFonts w:hint="eastAsia" w:hAnsi="宋体" w:cs="宋体"/>
                <w:szCs w:val="18"/>
                <w:lang w:val="zh-TW"/>
              </w:rPr>
              <w:t>④浮舱内隔板、肋板和桁架等完好，内表面清洁，无腐蚀等；</w:t>
            </w:r>
          </w:p>
          <w:p w14:paraId="3C067AB2">
            <w:pPr>
              <w:pStyle w:val="181"/>
              <w:ind w:firstLine="180" w:firstLineChars="100"/>
              <w:jc w:val="both"/>
              <w:rPr>
                <w:rFonts w:hint="eastAsia" w:hAnsi="宋体" w:cs="宋体"/>
                <w:szCs w:val="18"/>
                <w:lang w:val="zh-TW"/>
              </w:rPr>
            </w:pPr>
            <w:r>
              <w:rPr>
                <w:rFonts w:hint="eastAsia" w:hAnsi="宋体" w:cs="宋体"/>
                <w:szCs w:val="18"/>
                <w:lang w:val="zh-TW"/>
              </w:rPr>
              <w:t>⑤</w:t>
            </w:r>
            <w:r>
              <w:rPr>
                <w:rFonts w:hint="eastAsia" w:hAnsi="宋体" w:cs="宋体"/>
                <w:spacing w:val="10"/>
                <w:szCs w:val="18"/>
                <w:lang w:val="zh-TW"/>
              </w:rPr>
              <w:t>中央排水系统通畅</w:t>
            </w:r>
          </w:p>
        </w:tc>
        <w:tc>
          <w:tcPr>
            <w:tcW w:w="2627" w:type="dxa"/>
            <w:vMerge w:val="continue"/>
            <w:shd w:val="clear" w:color="auto" w:fill="auto"/>
            <w:vAlign w:val="center"/>
          </w:tcPr>
          <w:p w14:paraId="5F9DC5D8">
            <w:pPr>
              <w:pStyle w:val="181"/>
              <w:jc w:val="left"/>
            </w:pPr>
          </w:p>
        </w:tc>
      </w:tr>
      <w:tr w14:paraId="4AB30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01" w:type="dxa"/>
            <w:vMerge w:val="continue"/>
            <w:shd w:val="clear" w:color="auto" w:fill="auto"/>
            <w:vAlign w:val="center"/>
          </w:tcPr>
          <w:p w14:paraId="3C5CC862">
            <w:pPr>
              <w:pStyle w:val="181"/>
            </w:pPr>
          </w:p>
        </w:tc>
        <w:tc>
          <w:tcPr>
            <w:tcW w:w="4940" w:type="dxa"/>
            <w:tcBorders>
              <w:tl2br w:val="nil"/>
              <w:tr2bl w:val="nil"/>
            </w:tcBorders>
            <w:vAlign w:val="center"/>
          </w:tcPr>
          <w:p w14:paraId="4E803BA1">
            <w:pPr>
              <w:pStyle w:val="181"/>
              <w:jc w:val="both"/>
              <w:rPr>
                <w:rFonts w:hint="eastAsia" w:hAnsi="宋体" w:cs="宋体"/>
                <w:szCs w:val="18"/>
                <w:lang w:val="zh-TW"/>
              </w:rPr>
            </w:pPr>
            <w:r>
              <w:rPr>
                <w:rFonts w:hint="eastAsia" w:hAnsi="宋体" w:cs="宋体"/>
                <w:szCs w:val="18"/>
              </w:rPr>
              <w:t>3）</w:t>
            </w:r>
            <w:r>
              <w:rPr>
                <w:rFonts w:hint="eastAsia" w:hAnsi="宋体" w:cs="宋体"/>
                <w:szCs w:val="18"/>
                <w:lang w:val="zh-TW"/>
              </w:rPr>
              <w:t>顶板测厚</w:t>
            </w:r>
          </w:p>
        </w:tc>
        <w:tc>
          <w:tcPr>
            <w:tcW w:w="2627" w:type="dxa"/>
            <w:vMerge w:val="restart"/>
            <w:shd w:val="clear" w:color="auto" w:fill="auto"/>
            <w:vAlign w:val="center"/>
          </w:tcPr>
          <w:p w14:paraId="287C7C23">
            <w:pPr>
              <w:pStyle w:val="181"/>
              <w:jc w:val="left"/>
            </w:pPr>
            <w:r>
              <w:rPr>
                <w:rFonts w:hint="eastAsia"/>
              </w:rPr>
              <w:t>2）顶板测厚</w:t>
            </w:r>
          </w:p>
        </w:tc>
      </w:tr>
      <w:tr w14:paraId="1D3EC1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51FC1662">
            <w:pPr>
              <w:pStyle w:val="181"/>
            </w:pPr>
          </w:p>
        </w:tc>
        <w:tc>
          <w:tcPr>
            <w:tcW w:w="4940" w:type="dxa"/>
            <w:tcBorders>
              <w:tl2br w:val="nil"/>
              <w:tr2bl w:val="nil"/>
            </w:tcBorders>
            <w:vAlign w:val="center"/>
          </w:tcPr>
          <w:p w14:paraId="4EF38D22">
            <w:pPr>
              <w:pStyle w:val="181"/>
              <w:jc w:val="both"/>
              <w:rPr>
                <w:rFonts w:hint="eastAsia" w:hAnsi="宋体" w:cs="宋体"/>
                <w:szCs w:val="18"/>
                <w:lang w:val="zh-TW"/>
              </w:rPr>
            </w:pPr>
            <w:r>
              <w:rPr>
                <w:rFonts w:hint="eastAsia" w:hAnsi="宋体" w:cs="宋体"/>
                <w:szCs w:val="18"/>
              </w:rPr>
              <w:t>4）</w:t>
            </w:r>
            <w:r>
              <w:rPr>
                <w:rFonts w:hint="eastAsia" w:hAnsi="宋体" w:cs="宋体"/>
                <w:szCs w:val="18"/>
                <w:lang w:val="zh-TW"/>
              </w:rPr>
              <w:t>焊缝、浮舱严密性</w:t>
            </w:r>
          </w:p>
        </w:tc>
        <w:tc>
          <w:tcPr>
            <w:tcW w:w="2627" w:type="dxa"/>
            <w:vMerge w:val="continue"/>
            <w:shd w:val="clear" w:color="auto" w:fill="auto"/>
            <w:vAlign w:val="center"/>
          </w:tcPr>
          <w:p w14:paraId="707A41E4">
            <w:pPr>
              <w:pStyle w:val="181"/>
              <w:jc w:val="left"/>
            </w:pPr>
          </w:p>
        </w:tc>
      </w:tr>
      <w:tr w14:paraId="36D16E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01" w:type="dxa"/>
            <w:vMerge w:val="continue"/>
            <w:shd w:val="clear" w:color="auto" w:fill="auto"/>
            <w:vAlign w:val="center"/>
          </w:tcPr>
          <w:p w14:paraId="0B89F84C">
            <w:pPr>
              <w:pStyle w:val="181"/>
            </w:pPr>
          </w:p>
        </w:tc>
        <w:tc>
          <w:tcPr>
            <w:tcW w:w="4940" w:type="dxa"/>
            <w:tcBorders>
              <w:tl2br w:val="nil"/>
              <w:tr2bl w:val="nil"/>
            </w:tcBorders>
          </w:tcPr>
          <w:p w14:paraId="470728DE">
            <w:pPr>
              <w:pStyle w:val="181"/>
              <w:jc w:val="both"/>
              <w:rPr>
                <w:rFonts w:hint="eastAsia" w:hAnsi="宋体" w:cs="宋体"/>
                <w:szCs w:val="18"/>
                <w:lang w:val="zh-TW"/>
              </w:rPr>
            </w:pPr>
            <w:r>
              <w:rPr>
                <w:rFonts w:hint="eastAsia" w:hAnsi="宋体" w:cs="宋体"/>
                <w:szCs w:val="18"/>
              </w:rPr>
              <w:t>5）</w:t>
            </w:r>
            <w:r>
              <w:rPr>
                <w:rFonts w:hint="eastAsia" w:hAnsi="宋体" w:cs="宋体"/>
                <w:szCs w:val="18"/>
                <w:lang w:val="zh-TW"/>
              </w:rPr>
              <w:t>内角焊缝（磁粉检测、渗透检测）</w:t>
            </w:r>
          </w:p>
        </w:tc>
        <w:tc>
          <w:tcPr>
            <w:tcW w:w="2627" w:type="dxa"/>
            <w:vMerge w:val="continue"/>
            <w:shd w:val="clear" w:color="auto" w:fill="auto"/>
            <w:vAlign w:val="center"/>
          </w:tcPr>
          <w:p w14:paraId="78B79B65">
            <w:pPr>
              <w:pStyle w:val="181"/>
              <w:jc w:val="left"/>
            </w:pPr>
          </w:p>
        </w:tc>
      </w:tr>
      <w:tr w14:paraId="0F14D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1B7E565A">
            <w:pPr>
              <w:pStyle w:val="181"/>
            </w:pPr>
          </w:p>
        </w:tc>
        <w:tc>
          <w:tcPr>
            <w:tcW w:w="4940" w:type="dxa"/>
            <w:tcBorders>
              <w:tl2br w:val="nil"/>
              <w:tr2bl w:val="nil"/>
            </w:tcBorders>
          </w:tcPr>
          <w:p w14:paraId="58C385C6">
            <w:pPr>
              <w:pStyle w:val="181"/>
              <w:jc w:val="both"/>
              <w:rPr>
                <w:rFonts w:hint="eastAsia" w:hAnsi="宋体" w:cs="宋体"/>
                <w:szCs w:val="18"/>
                <w:lang w:val="zh-TW"/>
              </w:rPr>
            </w:pPr>
            <w:r>
              <w:rPr>
                <w:rFonts w:hint="eastAsia" w:hAnsi="宋体" w:cs="宋体"/>
                <w:szCs w:val="18"/>
              </w:rPr>
              <w:t>6）</w:t>
            </w:r>
            <w:r>
              <w:rPr>
                <w:rFonts w:hint="eastAsia" w:hAnsi="宋体" w:cs="宋体"/>
                <w:szCs w:val="18"/>
                <w:lang w:val="zh-TW"/>
              </w:rPr>
              <w:t>浮盘偏移量</w:t>
            </w:r>
          </w:p>
        </w:tc>
        <w:tc>
          <w:tcPr>
            <w:tcW w:w="2627" w:type="dxa"/>
            <w:shd w:val="clear" w:color="auto" w:fill="auto"/>
            <w:vAlign w:val="center"/>
          </w:tcPr>
          <w:p w14:paraId="5FEFD6EB">
            <w:pPr>
              <w:pStyle w:val="181"/>
              <w:jc w:val="left"/>
            </w:pPr>
            <w:r>
              <w:rPr>
                <w:rFonts w:hint="eastAsia"/>
              </w:rPr>
              <w:t>3）浮盘偏移量</w:t>
            </w:r>
          </w:p>
        </w:tc>
      </w:tr>
      <w:tr w14:paraId="5FD0FB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restart"/>
            <w:shd w:val="clear" w:color="auto" w:fill="auto"/>
            <w:vAlign w:val="center"/>
          </w:tcPr>
          <w:p w14:paraId="2D3B7255">
            <w:pPr>
              <w:pStyle w:val="181"/>
            </w:pPr>
            <w:r>
              <w:rPr>
                <w:rFonts w:hint="eastAsia" w:hAnsi="宋体" w:cs="宋体"/>
                <w:szCs w:val="18"/>
                <w:lang w:val="zh-TW"/>
              </w:rPr>
              <w:t>储罐壁板</w:t>
            </w:r>
          </w:p>
        </w:tc>
        <w:tc>
          <w:tcPr>
            <w:tcW w:w="4940" w:type="dxa"/>
            <w:shd w:val="clear" w:color="auto" w:fill="auto"/>
            <w:vAlign w:val="center"/>
          </w:tcPr>
          <w:p w14:paraId="5C9DF5DA">
            <w:pPr>
              <w:pStyle w:val="181"/>
              <w:jc w:val="both"/>
            </w:pPr>
            <w:r>
              <w:rPr>
                <w:rFonts w:hint="eastAsia" w:hAnsi="宋体" w:cs="宋体"/>
                <w:szCs w:val="18"/>
              </w:rPr>
              <w:t>1）</w:t>
            </w:r>
            <w:r>
              <w:rPr>
                <w:rFonts w:hint="eastAsia" w:hAnsi="宋体" w:cs="宋体"/>
                <w:szCs w:val="18"/>
                <w:lang w:val="zh-TW"/>
              </w:rPr>
              <w:t>壁板检查</w:t>
            </w:r>
          </w:p>
        </w:tc>
        <w:tc>
          <w:tcPr>
            <w:tcW w:w="2627" w:type="dxa"/>
            <w:shd w:val="clear" w:color="auto" w:fill="auto"/>
            <w:vAlign w:val="center"/>
          </w:tcPr>
          <w:p w14:paraId="32ED9745">
            <w:pPr>
              <w:pStyle w:val="181"/>
              <w:jc w:val="left"/>
            </w:pPr>
            <w:r>
              <w:rPr>
                <w:rFonts w:hint="eastAsia" w:hAnsi="宋体" w:cs="宋体"/>
                <w:szCs w:val="18"/>
              </w:rPr>
              <w:t>1）</w:t>
            </w:r>
            <w:r>
              <w:rPr>
                <w:rFonts w:hint="eastAsia" w:hAnsi="宋体" w:cs="宋体"/>
                <w:szCs w:val="18"/>
                <w:lang w:val="zh-TW"/>
              </w:rPr>
              <w:t>壁板检查</w:t>
            </w:r>
          </w:p>
        </w:tc>
      </w:tr>
      <w:tr w14:paraId="3FF6EF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77" w:hRule="atLeast"/>
          <w:jc w:val="center"/>
        </w:trPr>
        <w:tc>
          <w:tcPr>
            <w:tcW w:w="1601" w:type="dxa"/>
            <w:vMerge w:val="continue"/>
            <w:tcBorders>
              <w:bottom w:val="single" w:color="auto" w:sz="4" w:space="0"/>
            </w:tcBorders>
            <w:shd w:val="clear" w:color="auto" w:fill="auto"/>
            <w:vAlign w:val="center"/>
          </w:tcPr>
          <w:p w14:paraId="6F4191CA">
            <w:pPr>
              <w:pStyle w:val="181"/>
            </w:pPr>
          </w:p>
        </w:tc>
        <w:tc>
          <w:tcPr>
            <w:tcW w:w="4940" w:type="dxa"/>
            <w:tcBorders>
              <w:bottom w:val="single" w:color="auto" w:sz="4" w:space="0"/>
            </w:tcBorders>
            <w:shd w:val="clear" w:color="auto" w:fill="auto"/>
            <w:vAlign w:val="center"/>
          </w:tcPr>
          <w:p w14:paraId="4182F06A">
            <w:pPr>
              <w:pStyle w:val="181"/>
              <w:jc w:val="both"/>
            </w:pPr>
            <w:r>
              <w:rPr>
                <w:rFonts w:hint="eastAsia" w:hAnsi="宋体" w:cs="宋体"/>
                <w:szCs w:val="18"/>
              </w:rPr>
              <w:t>2）</w:t>
            </w:r>
            <w:r>
              <w:rPr>
                <w:rFonts w:hint="eastAsia" w:hAnsi="宋体" w:cs="宋体"/>
                <w:szCs w:val="18"/>
                <w:lang w:val="zh-TW"/>
              </w:rPr>
              <w:t>壁板内部检查：</w:t>
            </w:r>
          </w:p>
          <w:p w14:paraId="574DDA10">
            <w:pPr>
              <w:pStyle w:val="181"/>
              <w:ind w:firstLine="180" w:firstLineChars="100"/>
              <w:jc w:val="both"/>
            </w:pPr>
            <w:r>
              <w:rPr>
                <w:rFonts w:hint="eastAsia" w:hAnsi="宋体" w:cs="宋体"/>
                <w:szCs w:val="18"/>
                <w:lang w:val="zh-TW"/>
              </w:rPr>
              <w:t>①储罐壁板的内表面、接口（阀门、管路)部位、焊接接头等无裂纹、变形、腐蚀、泄漏及其他缺陷等；</w:t>
            </w:r>
          </w:p>
          <w:p w14:paraId="60B3838F">
            <w:pPr>
              <w:pStyle w:val="181"/>
              <w:ind w:firstLine="180" w:firstLineChars="100"/>
              <w:jc w:val="both"/>
            </w:pPr>
            <w:r>
              <w:rPr>
                <w:rFonts w:hint="eastAsia" w:hAnsi="宋体" w:cs="宋体"/>
                <w:szCs w:val="18"/>
                <w:lang w:val="zh-TW"/>
              </w:rPr>
              <w:t>②内表面壁板无腐蚀、泄漏、凹凸变形、防腐涂层无破损、脱落）等</w:t>
            </w:r>
          </w:p>
        </w:tc>
        <w:tc>
          <w:tcPr>
            <w:tcW w:w="2627" w:type="dxa"/>
            <w:vMerge w:val="restart"/>
            <w:shd w:val="clear" w:color="auto" w:fill="auto"/>
            <w:vAlign w:val="center"/>
          </w:tcPr>
          <w:p w14:paraId="61CAE66E">
            <w:pPr>
              <w:pStyle w:val="181"/>
              <w:jc w:val="left"/>
            </w:pPr>
            <w:r>
              <w:rPr>
                <w:rFonts w:hint="eastAsia" w:hAnsi="宋体" w:cs="宋体"/>
                <w:szCs w:val="18"/>
              </w:rPr>
              <w:t>2）</w:t>
            </w:r>
            <w:r>
              <w:rPr>
                <w:rFonts w:hint="eastAsia" w:hAnsi="宋体" w:cs="宋体"/>
                <w:szCs w:val="18"/>
                <w:lang w:val="zh-TW"/>
              </w:rPr>
              <w:t>壁板测厚（超声波检测）</w:t>
            </w:r>
          </w:p>
        </w:tc>
      </w:tr>
      <w:tr w14:paraId="71D8F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7F5CCC52">
            <w:pPr>
              <w:pStyle w:val="181"/>
            </w:pPr>
          </w:p>
        </w:tc>
        <w:tc>
          <w:tcPr>
            <w:tcW w:w="4940" w:type="dxa"/>
            <w:tcBorders>
              <w:tl2br w:val="nil"/>
              <w:tr2bl w:val="nil"/>
            </w:tcBorders>
          </w:tcPr>
          <w:p w14:paraId="26175A3B">
            <w:pPr>
              <w:pStyle w:val="181"/>
              <w:jc w:val="both"/>
            </w:pPr>
            <w:r>
              <w:rPr>
                <w:rFonts w:hint="eastAsia" w:hAnsi="宋体" w:cs="宋体"/>
                <w:szCs w:val="18"/>
              </w:rPr>
              <w:t>3）</w:t>
            </w:r>
            <w:r>
              <w:rPr>
                <w:rFonts w:hint="eastAsia" w:hAnsi="宋体" w:cs="宋体"/>
                <w:szCs w:val="18"/>
                <w:lang w:val="zh-TW"/>
              </w:rPr>
              <w:t>壁板测厚（超声波检测）</w:t>
            </w:r>
          </w:p>
        </w:tc>
        <w:tc>
          <w:tcPr>
            <w:tcW w:w="2627" w:type="dxa"/>
            <w:vMerge w:val="continue"/>
            <w:shd w:val="clear" w:color="auto" w:fill="auto"/>
            <w:vAlign w:val="center"/>
          </w:tcPr>
          <w:p w14:paraId="68ED4766">
            <w:pPr>
              <w:pStyle w:val="181"/>
              <w:jc w:val="left"/>
            </w:pPr>
          </w:p>
        </w:tc>
      </w:tr>
      <w:tr w14:paraId="4F4975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2B6A4D82">
            <w:pPr>
              <w:pStyle w:val="181"/>
            </w:pPr>
          </w:p>
        </w:tc>
        <w:tc>
          <w:tcPr>
            <w:tcW w:w="4940" w:type="dxa"/>
            <w:tcBorders>
              <w:tl2br w:val="nil"/>
              <w:tr2bl w:val="nil"/>
            </w:tcBorders>
          </w:tcPr>
          <w:p w14:paraId="282C509D">
            <w:pPr>
              <w:pStyle w:val="181"/>
              <w:jc w:val="both"/>
              <w:rPr>
                <w:rFonts w:hint="eastAsia" w:hAnsi="宋体" w:eastAsia="宋体" w:cs="宋体"/>
                <w:szCs w:val="18"/>
                <w:lang w:eastAsia="zh-CN"/>
              </w:rPr>
            </w:pPr>
            <w:r>
              <w:rPr>
                <w:rFonts w:hint="eastAsia" w:hAnsi="宋体" w:cs="宋体"/>
                <w:szCs w:val="18"/>
              </w:rPr>
              <w:t>4）变形</w:t>
            </w:r>
            <w:r>
              <w:rPr>
                <w:rFonts w:hint="eastAsia" w:hAnsi="宋体" w:cs="宋体"/>
                <w:szCs w:val="18"/>
                <w:lang w:eastAsia="zh-CN"/>
              </w:rPr>
              <w:t>检测</w:t>
            </w:r>
          </w:p>
        </w:tc>
        <w:tc>
          <w:tcPr>
            <w:tcW w:w="2627" w:type="dxa"/>
            <w:vMerge w:val="restart"/>
            <w:shd w:val="clear" w:color="auto" w:fill="auto"/>
            <w:vAlign w:val="center"/>
          </w:tcPr>
          <w:p w14:paraId="471D6F73">
            <w:pPr>
              <w:pStyle w:val="181"/>
              <w:jc w:val="left"/>
            </w:pPr>
            <w:r>
              <w:rPr>
                <w:rFonts w:hint="eastAsia" w:hAnsi="宋体" w:cs="宋体"/>
                <w:szCs w:val="18"/>
              </w:rPr>
              <w:t>3）</w:t>
            </w:r>
            <w:r>
              <w:rPr>
                <w:rFonts w:hint="eastAsia"/>
              </w:rPr>
              <w:t>变形</w:t>
            </w:r>
            <w:r>
              <w:rPr>
                <w:rFonts w:hint="eastAsia" w:hAnsi="宋体" w:cs="宋体"/>
                <w:szCs w:val="18"/>
                <w:lang w:eastAsia="zh-CN"/>
              </w:rPr>
              <w:t>检测</w:t>
            </w:r>
          </w:p>
        </w:tc>
      </w:tr>
      <w:tr w14:paraId="0B2AF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502DB0D3">
            <w:pPr>
              <w:pStyle w:val="181"/>
            </w:pPr>
          </w:p>
        </w:tc>
        <w:tc>
          <w:tcPr>
            <w:tcW w:w="4940" w:type="dxa"/>
            <w:tcBorders>
              <w:tl2br w:val="nil"/>
              <w:tr2bl w:val="nil"/>
            </w:tcBorders>
          </w:tcPr>
          <w:p w14:paraId="03E57C20">
            <w:pPr>
              <w:pStyle w:val="181"/>
              <w:jc w:val="both"/>
            </w:pPr>
            <w:r>
              <w:rPr>
                <w:rFonts w:hint="eastAsia" w:hAnsi="宋体" w:cs="宋体"/>
                <w:szCs w:val="18"/>
              </w:rPr>
              <w:t>5）</w:t>
            </w:r>
            <w:r>
              <w:rPr>
                <w:rFonts w:hint="eastAsia" w:hAnsi="宋体" w:cs="宋体"/>
                <w:szCs w:val="18"/>
                <w:lang w:val="zh-TW"/>
              </w:rPr>
              <w:t>焊缝缺陷（超声波检测等）</w:t>
            </w:r>
          </w:p>
        </w:tc>
        <w:tc>
          <w:tcPr>
            <w:tcW w:w="2627" w:type="dxa"/>
            <w:vMerge w:val="continue"/>
            <w:shd w:val="clear" w:color="auto" w:fill="auto"/>
            <w:vAlign w:val="center"/>
          </w:tcPr>
          <w:p w14:paraId="15D79991">
            <w:pPr>
              <w:pStyle w:val="181"/>
              <w:jc w:val="left"/>
            </w:pPr>
          </w:p>
        </w:tc>
      </w:tr>
      <w:tr w14:paraId="1AD34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restart"/>
            <w:shd w:val="clear" w:color="auto" w:fill="auto"/>
            <w:vAlign w:val="center"/>
          </w:tcPr>
          <w:p w14:paraId="0B3ECB30">
            <w:pPr>
              <w:pStyle w:val="181"/>
            </w:pPr>
            <w:r>
              <w:rPr>
                <w:rFonts w:hint="eastAsia" w:hAnsi="宋体" w:cs="宋体"/>
                <w:szCs w:val="18"/>
                <w:lang w:val="zh-TW"/>
              </w:rPr>
              <w:t>储罐底板</w:t>
            </w:r>
          </w:p>
        </w:tc>
        <w:tc>
          <w:tcPr>
            <w:tcW w:w="4940" w:type="dxa"/>
            <w:shd w:val="clear" w:color="auto" w:fill="auto"/>
            <w:vAlign w:val="center"/>
          </w:tcPr>
          <w:p w14:paraId="0305BA3F">
            <w:pPr>
              <w:pStyle w:val="181"/>
              <w:jc w:val="both"/>
            </w:pPr>
            <w:r>
              <w:rPr>
                <w:rFonts w:hint="eastAsia" w:hAnsi="宋体" w:cs="宋体"/>
                <w:szCs w:val="18"/>
              </w:rPr>
              <w:t>1）</w:t>
            </w:r>
            <w:r>
              <w:rPr>
                <w:rFonts w:hint="eastAsia" w:hAnsi="宋体" w:cs="宋体"/>
                <w:szCs w:val="18"/>
                <w:lang w:val="zh-TW"/>
              </w:rPr>
              <w:t>底板检查</w:t>
            </w:r>
          </w:p>
        </w:tc>
        <w:tc>
          <w:tcPr>
            <w:tcW w:w="2627" w:type="dxa"/>
            <w:vMerge w:val="restart"/>
            <w:shd w:val="clear" w:color="auto" w:fill="auto"/>
            <w:vAlign w:val="center"/>
          </w:tcPr>
          <w:p w14:paraId="0DC6B325">
            <w:pPr>
              <w:pStyle w:val="181"/>
              <w:jc w:val="left"/>
            </w:pPr>
            <w:r>
              <w:rPr>
                <w:rFonts w:hint="eastAsia"/>
              </w:rPr>
              <w:t>1）底板检查</w:t>
            </w:r>
          </w:p>
        </w:tc>
      </w:tr>
      <w:tr w14:paraId="39AD7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68" w:hRule="atLeast"/>
          <w:jc w:val="center"/>
        </w:trPr>
        <w:tc>
          <w:tcPr>
            <w:tcW w:w="1601" w:type="dxa"/>
            <w:vMerge w:val="continue"/>
            <w:tcBorders>
              <w:bottom w:val="single" w:color="auto" w:sz="4" w:space="0"/>
            </w:tcBorders>
            <w:shd w:val="clear" w:color="auto" w:fill="auto"/>
            <w:vAlign w:val="center"/>
          </w:tcPr>
          <w:p w14:paraId="360BB299">
            <w:pPr>
              <w:pStyle w:val="181"/>
            </w:pPr>
          </w:p>
        </w:tc>
        <w:tc>
          <w:tcPr>
            <w:tcW w:w="4940" w:type="dxa"/>
            <w:tcBorders>
              <w:bottom w:val="single" w:color="auto" w:sz="4" w:space="0"/>
            </w:tcBorders>
            <w:shd w:val="clear" w:color="auto" w:fill="auto"/>
            <w:vAlign w:val="center"/>
          </w:tcPr>
          <w:p w14:paraId="79CF72FE">
            <w:pPr>
              <w:pStyle w:val="181"/>
              <w:jc w:val="both"/>
            </w:pPr>
            <w:r>
              <w:rPr>
                <w:rFonts w:hint="eastAsia" w:hAnsi="宋体" w:cs="宋体"/>
                <w:szCs w:val="18"/>
              </w:rPr>
              <w:t>2）</w:t>
            </w:r>
            <w:r>
              <w:rPr>
                <w:rFonts w:hint="eastAsia" w:hAnsi="宋体" w:cs="宋体"/>
                <w:szCs w:val="18"/>
                <w:lang w:val="zh-TW"/>
              </w:rPr>
              <w:t>罐内底板检查：</w:t>
            </w:r>
          </w:p>
          <w:p w14:paraId="267B6B31">
            <w:pPr>
              <w:pStyle w:val="181"/>
              <w:ind w:firstLine="180" w:firstLineChars="100"/>
              <w:jc w:val="both"/>
            </w:pPr>
            <w:r>
              <w:rPr>
                <w:rFonts w:hint="eastAsia" w:hAnsi="宋体" w:cs="宋体"/>
                <w:szCs w:val="18"/>
                <w:lang w:val="zh-TW"/>
              </w:rPr>
              <w:t>①检查储罐底板、焊接接头等处有裂纹、变形、腐蚀、泄漏及其他缺陷；</w:t>
            </w:r>
          </w:p>
          <w:p w14:paraId="67CC0673">
            <w:pPr>
              <w:pStyle w:val="181"/>
              <w:ind w:firstLine="180" w:firstLineChars="100"/>
              <w:jc w:val="both"/>
            </w:pPr>
            <w:r>
              <w:rPr>
                <w:rFonts w:hint="eastAsia" w:hAnsi="宋体" w:cs="宋体"/>
                <w:szCs w:val="18"/>
                <w:lang w:val="zh-TW"/>
              </w:rPr>
              <w:t>②底板相连接的内件角焊缝有腐蚀、裂纹和变形；</w:t>
            </w:r>
          </w:p>
          <w:p w14:paraId="192046D7">
            <w:pPr>
              <w:pStyle w:val="181"/>
              <w:ind w:firstLine="180" w:firstLineChars="100"/>
              <w:jc w:val="both"/>
            </w:pPr>
            <w:r>
              <w:rPr>
                <w:rFonts w:hint="eastAsia" w:hAnsi="宋体" w:cs="宋体"/>
                <w:szCs w:val="18"/>
                <w:lang w:val="zh-TW"/>
              </w:rPr>
              <w:t>③检查储罐罐底与罐内加热器、浮顶支柱、仪表卡子等附件相接触部位补强垫板完好，垫板周边焊缝是连续焊接，焊缝表面无未焊满、裂纹、腐蚀等；</w:t>
            </w:r>
          </w:p>
          <w:p w14:paraId="064A7083">
            <w:pPr>
              <w:pStyle w:val="236"/>
              <w:ind w:right="40" w:firstLine="180" w:firstLineChars="100"/>
              <w:rPr>
                <w:rFonts w:hint="eastAsia"/>
              </w:rPr>
            </w:pPr>
            <w:r>
              <w:rPr>
                <w:rFonts w:hint="eastAsia" w:ascii="宋体" w:hAnsi="宋体" w:eastAsia="宋体" w:cs="宋体"/>
                <w:sz w:val="18"/>
                <w:szCs w:val="18"/>
                <w:lang w:val="zh-TW"/>
              </w:rPr>
              <w:t>④罐内加热盘管腐蚀情况，无渗漏，支架无损坏，管线接头无异常变形和开裂</w:t>
            </w:r>
          </w:p>
        </w:tc>
        <w:tc>
          <w:tcPr>
            <w:tcW w:w="2627" w:type="dxa"/>
            <w:vMerge w:val="continue"/>
            <w:tcBorders>
              <w:bottom w:val="single" w:color="auto" w:sz="4" w:space="0"/>
            </w:tcBorders>
            <w:shd w:val="clear" w:color="auto" w:fill="auto"/>
            <w:vAlign w:val="center"/>
          </w:tcPr>
          <w:p w14:paraId="70CB1339">
            <w:pPr>
              <w:pStyle w:val="181"/>
              <w:jc w:val="left"/>
            </w:pPr>
          </w:p>
        </w:tc>
      </w:tr>
    </w:tbl>
    <w:p w14:paraId="4EA441A2">
      <w:pPr>
        <w:pStyle w:val="59"/>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表B.1 储罐开罐和在线检验项目</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01"/>
        <w:gridCol w:w="4940"/>
        <w:gridCol w:w="2627"/>
      </w:tblGrid>
      <w:tr w14:paraId="17E6B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shd w:val="clear" w:color="auto" w:fill="auto"/>
            <w:vAlign w:val="top"/>
          </w:tcPr>
          <w:p w14:paraId="0E76B321">
            <w:pPr>
              <w:pStyle w:val="181"/>
              <w:ind w:firstLine="0" w:firstLineChars="0"/>
            </w:pPr>
            <w:r>
              <w:rPr>
                <w:rFonts w:hint="eastAsia"/>
              </w:rPr>
              <w:t>储罐部位</w:t>
            </w:r>
          </w:p>
        </w:tc>
        <w:tc>
          <w:tcPr>
            <w:tcW w:w="4940" w:type="dxa"/>
            <w:tcBorders>
              <w:tl2br w:val="nil"/>
              <w:tr2bl w:val="nil"/>
            </w:tcBorders>
            <w:vAlign w:val="top"/>
          </w:tcPr>
          <w:p w14:paraId="2D147AD4">
            <w:pPr>
              <w:pStyle w:val="181"/>
              <w:ind w:firstLine="0" w:firstLineChars="0"/>
              <w:rPr>
                <w:rFonts w:hint="eastAsia" w:ascii="宋体" w:hAnsi="宋体" w:eastAsia="宋体" w:cs="宋体"/>
                <w:sz w:val="18"/>
                <w:szCs w:val="18"/>
              </w:rPr>
            </w:pPr>
            <w:r>
              <w:rPr>
                <w:rFonts w:hint="eastAsia"/>
              </w:rPr>
              <w:t>开罐检验项目</w:t>
            </w:r>
          </w:p>
        </w:tc>
        <w:tc>
          <w:tcPr>
            <w:tcW w:w="2627" w:type="dxa"/>
            <w:shd w:val="clear" w:color="auto" w:fill="auto"/>
            <w:vAlign w:val="top"/>
          </w:tcPr>
          <w:p w14:paraId="107FFB96">
            <w:pPr>
              <w:pStyle w:val="181"/>
              <w:ind w:firstLine="0" w:firstLineChars="0"/>
              <w:rPr>
                <w:rFonts w:hint="eastAsia"/>
              </w:rPr>
            </w:pPr>
            <w:r>
              <w:rPr>
                <w:rFonts w:hint="eastAsia"/>
              </w:rPr>
              <w:t>在线检验项目</w:t>
            </w:r>
          </w:p>
        </w:tc>
      </w:tr>
      <w:tr w14:paraId="368C0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restart"/>
            <w:shd w:val="clear" w:color="auto" w:fill="auto"/>
            <w:vAlign w:val="center"/>
          </w:tcPr>
          <w:p w14:paraId="474F4161">
            <w:pPr>
              <w:pStyle w:val="181"/>
            </w:pPr>
          </w:p>
        </w:tc>
        <w:tc>
          <w:tcPr>
            <w:tcW w:w="4940" w:type="dxa"/>
            <w:tcBorders>
              <w:tl2br w:val="nil"/>
              <w:tr2bl w:val="nil"/>
            </w:tcBorders>
          </w:tcPr>
          <w:p w14:paraId="7AC2B334">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3）</w:t>
            </w:r>
            <w:r>
              <w:rPr>
                <w:rFonts w:hint="eastAsia" w:ascii="宋体" w:hAnsi="宋体" w:eastAsia="宋体" w:cs="宋体"/>
                <w:sz w:val="18"/>
                <w:szCs w:val="18"/>
                <w:lang w:val="zh-TW"/>
              </w:rPr>
              <w:t>底板腐蚀检测（漏磁检测等）</w:t>
            </w:r>
          </w:p>
        </w:tc>
        <w:tc>
          <w:tcPr>
            <w:tcW w:w="2627" w:type="dxa"/>
            <w:vMerge w:val="restart"/>
            <w:shd w:val="clear" w:color="auto" w:fill="auto"/>
            <w:vAlign w:val="center"/>
          </w:tcPr>
          <w:p w14:paraId="1A61D744">
            <w:pPr>
              <w:pStyle w:val="181"/>
              <w:jc w:val="left"/>
            </w:pPr>
            <w:r>
              <w:rPr>
                <w:rFonts w:hint="eastAsia"/>
              </w:rPr>
              <w:t>2）底板腐蚀检测（声发射检测等）</w:t>
            </w:r>
          </w:p>
        </w:tc>
      </w:tr>
      <w:tr w14:paraId="08151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35A0C42D">
            <w:pPr>
              <w:pStyle w:val="181"/>
            </w:pPr>
          </w:p>
        </w:tc>
        <w:tc>
          <w:tcPr>
            <w:tcW w:w="4940" w:type="dxa"/>
            <w:tcBorders>
              <w:tl2br w:val="nil"/>
              <w:tr2bl w:val="nil"/>
            </w:tcBorders>
          </w:tcPr>
          <w:p w14:paraId="7392B40F">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4）</w:t>
            </w:r>
            <w:r>
              <w:rPr>
                <w:rFonts w:hint="eastAsia" w:ascii="宋体" w:hAnsi="宋体" w:eastAsia="宋体" w:cs="宋体"/>
                <w:sz w:val="18"/>
                <w:szCs w:val="18"/>
                <w:lang w:val="zh-TW"/>
              </w:rPr>
              <w:t>焊缝缺陷（磁粉检测、渗透检测等）</w:t>
            </w:r>
          </w:p>
        </w:tc>
        <w:tc>
          <w:tcPr>
            <w:tcW w:w="2627" w:type="dxa"/>
            <w:vMerge w:val="continue"/>
            <w:shd w:val="clear" w:color="auto" w:fill="auto"/>
            <w:vAlign w:val="center"/>
          </w:tcPr>
          <w:p w14:paraId="5E1288C0">
            <w:pPr>
              <w:pStyle w:val="181"/>
              <w:jc w:val="left"/>
            </w:pPr>
          </w:p>
        </w:tc>
      </w:tr>
      <w:tr w14:paraId="3FE64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2D23D740">
            <w:pPr>
              <w:pStyle w:val="181"/>
            </w:pPr>
          </w:p>
        </w:tc>
        <w:tc>
          <w:tcPr>
            <w:tcW w:w="4940" w:type="dxa"/>
            <w:tcBorders>
              <w:tl2br w:val="nil"/>
              <w:tr2bl w:val="nil"/>
            </w:tcBorders>
          </w:tcPr>
          <w:p w14:paraId="53056D11">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5）</w:t>
            </w:r>
            <w:r>
              <w:rPr>
                <w:rFonts w:hint="eastAsia" w:ascii="宋体" w:hAnsi="宋体" w:eastAsia="宋体" w:cs="宋体"/>
                <w:sz w:val="18"/>
                <w:szCs w:val="18"/>
                <w:lang w:val="zh-TW"/>
              </w:rPr>
              <w:t>变形（凹凸变形量测量）</w:t>
            </w:r>
          </w:p>
        </w:tc>
        <w:tc>
          <w:tcPr>
            <w:tcW w:w="2627" w:type="dxa"/>
            <w:vMerge w:val="restart"/>
            <w:shd w:val="clear" w:color="auto" w:fill="auto"/>
            <w:vAlign w:val="center"/>
          </w:tcPr>
          <w:p w14:paraId="12361592">
            <w:pPr>
              <w:pStyle w:val="181"/>
              <w:jc w:val="left"/>
            </w:pPr>
            <w:r>
              <w:rPr>
                <w:rFonts w:hint="eastAsia"/>
              </w:rPr>
              <w:t>3）阴极保护（保护参数测量）</w:t>
            </w:r>
          </w:p>
        </w:tc>
      </w:tr>
      <w:tr w14:paraId="5994B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00463C1C">
            <w:pPr>
              <w:pStyle w:val="181"/>
            </w:pPr>
          </w:p>
        </w:tc>
        <w:tc>
          <w:tcPr>
            <w:tcW w:w="4940" w:type="dxa"/>
            <w:tcBorders>
              <w:tl2br w:val="nil"/>
              <w:tr2bl w:val="nil"/>
            </w:tcBorders>
          </w:tcPr>
          <w:p w14:paraId="217CA3B7">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6）</w:t>
            </w:r>
            <w:r>
              <w:rPr>
                <w:rFonts w:hint="eastAsia" w:ascii="宋体" w:hAnsi="宋体" w:eastAsia="宋体" w:cs="宋体"/>
                <w:sz w:val="18"/>
                <w:szCs w:val="18"/>
                <w:lang w:val="zh-TW"/>
              </w:rPr>
              <w:t>牺牲阳极（损失量检查）</w:t>
            </w:r>
          </w:p>
        </w:tc>
        <w:tc>
          <w:tcPr>
            <w:tcW w:w="2627" w:type="dxa"/>
            <w:vMerge w:val="continue"/>
            <w:shd w:val="clear" w:color="auto" w:fill="auto"/>
            <w:vAlign w:val="center"/>
          </w:tcPr>
          <w:p w14:paraId="45A15708">
            <w:pPr>
              <w:pStyle w:val="181"/>
              <w:jc w:val="left"/>
            </w:pPr>
          </w:p>
        </w:tc>
      </w:tr>
      <w:tr w14:paraId="60232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38EE054C">
            <w:pPr>
              <w:pStyle w:val="181"/>
            </w:pPr>
          </w:p>
        </w:tc>
        <w:tc>
          <w:tcPr>
            <w:tcW w:w="4940" w:type="dxa"/>
            <w:tcBorders>
              <w:tl2br w:val="nil"/>
              <w:tr2bl w:val="nil"/>
            </w:tcBorders>
          </w:tcPr>
          <w:p w14:paraId="1E4E1199">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7）</w:t>
            </w:r>
            <w:r>
              <w:rPr>
                <w:rFonts w:hint="eastAsia" w:ascii="宋体" w:hAnsi="宋体" w:eastAsia="宋体" w:cs="宋体"/>
                <w:sz w:val="18"/>
                <w:szCs w:val="18"/>
                <w:lang w:val="zh-TW"/>
              </w:rPr>
              <w:t>排水管（腐蚀深度测量）</w:t>
            </w:r>
          </w:p>
        </w:tc>
        <w:tc>
          <w:tcPr>
            <w:tcW w:w="2627" w:type="dxa"/>
            <w:vMerge w:val="continue"/>
            <w:shd w:val="clear" w:color="auto" w:fill="auto"/>
            <w:vAlign w:val="center"/>
          </w:tcPr>
          <w:p w14:paraId="3405DE05">
            <w:pPr>
              <w:pStyle w:val="181"/>
              <w:jc w:val="left"/>
            </w:pPr>
          </w:p>
        </w:tc>
      </w:tr>
      <w:tr w14:paraId="64566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restart"/>
            <w:shd w:val="clear" w:color="auto" w:fill="auto"/>
            <w:vAlign w:val="center"/>
          </w:tcPr>
          <w:p w14:paraId="404B845D">
            <w:pPr>
              <w:pStyle w:val="181"/>
            </w:pPr>
            <w:r>
              <w:rPr>
                <w:rFonts w:hint="eastAsia" w:hAnsi="宋体" w:cs="宋体"/>
                <w:szCs w:val="18"/>
                <w:lang w:val="zh-TW"/>
              </w:rPr>
              <w:t>储罐基础</w:t>
            </w:r>
          </w:p>
        </w:tc>
        <w:tc>
          <w:tcPr>
            <w:tcW w:w="4940" w:type="dxa"/>
            <w:tcBorders>
              <w:tl2br w:val="nil"/>
              <w:tr2bl w:val="nil"/>
            </w:tcBorders>
            <w:vAlign w:val="center"/>
          </w:tcPr>
          <w:p w14:paraId="2C21B515">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1）</w:t>
            </w:r>
            <w:r>
              <w:rPr>
                <w:rFonts w:hint="eastAsia" w:ascii="宋体" w:hAnsi="宋体" w:eastAsia="宋体" w:cs="宋体"/>
                <w:sz w:val="18"/>
                <w:szCs w:val="18"/>
                <w:lang w:val="zh-TW"/>
              </w:rPr>
              <w:t>基础检查</w:t>
            </w:r>
          </w:p>
        </w:tc>
        <w:tc>
          <w:tcPr>
            <w:tcW w:w="2627" w:type="dxa"/>
            <w:tcBorders>
              <w:tl2br w:val="nil"/>
              <w:tr2bl w:val="nil"/>
            </w:tcBorders>
            <w:vAlign w:val="center"/>
          </w:tcPr>
          <w:p w14:paraId="242CC38B">
            <w:pPr>
              <w:pStyle w:val="181"/>
              <w:jc w:val="left"/>
            </w:pPr>
            <w:r>
              <w:rPr>
                <w:rFonts w:hint="eastAsia" w:hAnsi="宋体" w:cs="宋体"/>
                <w:szCs w:val="18"/>
              </w:rPr>
              <w:t>1）</w:t>
            </w:r>
            <w:r>
              <w:rPr>
                <w:rFonts w:hint="eastAsia" w:hAnsi="宋体" w:cs="宋体"/>
                <w:szCs w:val="18"/>
                <w:lang w:val="zh-TW"/>
              </w:rPr>
              <w:t>基础检查</w:t>
            </w:r>
          </w:p>
        </w:tc>
      </w:tr>
      <w:tr w14:paraId="1A12FB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01" w:type="dxa"/>
            <w:vMerge w:val="continue"/>
            <w:shd w:val="clear" w:color="auto" w:fill="auto"/>
            <w:vAlign w:val="center"/>
          </w:tcPr>
          <w:p w14:paraId="61DF389C">
            <w:pPr>
              <w:pStyle w:val="181"/>
            </w:pPr>
          </w:p>
        </w:tc>
        <w:tc>
          <w:tcPr>
            <w:tcW w:w="4940" w:type="dxa"/>
            <w:tcBorders>
              <w:tl2br w:val="nil"/>
              <w:tr2bl w:val="nil"/>
            </w:tcBorders>
          </w:tcPr>
          <w:p w14:paraId="4B8B9642">
            <w:pPr>
              <w:pStyle w:val="236"/>
              <w:shd w:val="clear" w:color="auto" w:fill="auto"/>
              <w:ind w:right="40"/>
              <w:rPr>
                <w:rFonts w:hint="eastAsia" w:ascii="宋体" w:hAnsi="宋体" w:eastAsia="宋体" w:cs="宋体"/>
                <w:sz w:val="18"/>
                <w:szCs w:val="18"/>
                <w:lang w:val="zh-TW"/>
              </w:rPr>
            </w:pPr>
            <w:r>
              <w:rPr>
                <w:rFonts w:hint="eastAsia" w:ascii="宋体" w:hAnsi="宋体" w:eastAsia="宋体" w:cs="宋体"/>
                <w:sz w:val="18"/>
                <w:szCs w:val="18"/>
              </w:rPr>
              <w:t>2）</w:t>
            </w:r>
            <w:r>
              <w:rPr>
                <w:rFonts w:hint="eastAsia" w:ascii="宋体" w:hAnsi="宋体" w:eastAsia="宋体" w:cs="宋体"/>
                <w:sz w:val="18"/>
                <w:szCs w:val="18"/>
                <w:lang w:val="zh-TW"/>
              </w:rPr>
              <w:t>基础沉降检测</w:t>
            </w:r>
          </w:p>
        </w:tc>
        <w:tc>
          <w:tcPr>
            <w:tcW w:w="2627" w:type="dxa"/>
            <w:tcBorders>
              <w:tl2br w:val="nil"/>
              <w:tr2bl w:val="nil"/>
            </w:tcBorders>
            <w:vAlign w:val="center"/>
          </w:tcPr>
          <w:p w14:paraId="451036CC">
            <w:pPr>
              <w:pStyle w:val="181"/>
              <w:jc w:val="left"/>
            </w:pPr>
            <w:r>
              <w:rPr>
                <w:rFonts w:hint="eastAsia" w:hAnsi="宋体" w:cs="宋体"/>
                <w:szCs w:val="18"/>
              </w:rPr>
              <w:t>2）</w:t>
            </w:r>
            <w:r>
              <w:rPr>
                <w:rFonts w:hint="eastAsia" w:hAnsi="宋体" w:cs="宋体"/>
                <w:szCs w:val="18"/>
                <w:lang w:val="zh-TW"/>
              </w:rPr>
              <w:t>基础沉降检测</w:t>
            </w:r>
          </w:p>
        </w:tc>
      </w:tr>
    </w:tbl>
    <w:p w14:paraId="2A77080F">
      <w:pPr>
        <w:pStyle w:val="59"/>
        <w:ind w:firstLine="420"/>
      </w:pPr>
    </w:p>
    <w:p w14:paraId="1A83B119">
      <w:pPr>
        <w:pStyle w:val="59"/>
        <w:ind w:firstLine="420"/>
      </w:pPr>
    </w:p>
    <w:p w14:paraId="492DDD9B">
      <w:pPr>
        <w:pStyle w:val="59"/>
        <w:ind w:firstLine="420"/>
      </w:pPr>
    </w:p>
    <w:p w14:paraId="7F9B4EC2">
      <w:pPr>
        <w:pStyle w:val="59"/>
        <w:ind w:firstLine="420"/>
      </w:pPr>
    </w:p>
    <w:p w14:paraId="04296550">
      <w:pPr>
        <w:pStyle w:val="59"/>
        <w:ind w:firstLine="420"/>
      </w:pPr>
    </w:p>
    <w:p w14:paraId="432052DA">
      <w:pPr>
        <w:pStyle w:val="59"/>
        <w:ind w:firstLine="420"/>
      </w:pPr>
    </w:p>
    <w:bookmarkEnd w:id="252"/>
    <w:p w14:paraId="2403BA53">
      <w:pPr>
        <w:pStyle w:val="59"/>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bookmarkStart w:id="271" w:name="BookMark6"/>
    </w:p>
    <w:p w14:paraId="7C50F1A7">
      <w:pPr>
        <w:pStyle w:val="66"/>
        <w:spacing w:after="156"/>
      </w:pPr>
      <w:bookmarkStart w:id="272" w:name="_Toc181273023"/>
      <w:bookmarkStart w:id="273" w:name="_Toc182227088"/>
      <w:bookmarkStart w:id="274" w:name="_Toc182227894"/>
      <w:bookmarkStart w:id="275" w:name="_Toc182227763"/>
      <w:bookmarkStart w:id="276" w:name="_Toc182227185"/>
      <w:bookmarkStart w:id="277" w:name="_Toc183074832"/>
      <w:bookmarkStart w:id="278" w:name="_Toc182227686"/>
      <w:bookmarkStart w:id="279" w:name="_Toc183074803"/>
      <w:bookmarkStart w:id="280" w:name="_Toc182227149"/>
      <w:r>
        <w:rPr>
          <w:rFonts w:hint="eastAsia"/>
          <w:spacing w:val="105"/>
        </w:rPr>
        <w:t>参考文</w:t>
      </w:r>
      <w:r>
        <w:rPr>
          <w:rFonts w:hint="eastAsia"/>
        </w:rPr>
        <w:t>献</w:t>
      </w:r>
      <w:bookmarkEnd w:id="272"/>
      <w:bookmarkEnd w:id="273"/>
      <w:bookmarkEnd w:id="274"/>
      <w:bookmarkEnd w:id="275"/>
      <w:bookmarkEnd w:id="276"/>
      <w:bookmarkEnd w:id="277"/>
      <w:bookmarkEnd w:id="278"/>
      <w:bookmarkEnd w:id="279"/>
      <w:bookmarkEnd w:id="280"/>
    </w:p>
    <w:p w14:paraId="48538B8E">
      <w:pPr>
        <w:pStyle w:val="59"/>
        <w:ind w:firstLine="420"/>
      </w:pPr>
      <w:r>
        <w:rPr>
          <w:rFonts w:hint="eastAsia"/>
        </w:rPr>
        <w:t>[1] GB/T 13861  生产过程危险和有害因素分类与代码</w:t>
      </w:r>
    </w:p>
    <w:p w14:paraId="481D920A">
      <w:pPr>
        <w:pStyle w:val="59"/>
        <w:ind w:firstLine="420"/>
      </w:pPr>
      <w:r>
        <w:rPr>
          <w:rFonts w:hint="eastAsia"/>
        </w:rPr>
        <w:t>[2] GB 18218-2018  危险化学品重大危险源辨识</w:t>
      </w:r>
    </w:p>
    <w:p w14:paraId="3178601A">
      <w:pPr>
        <w:pStyle w:val="59"/>
        <w:ind w:firstLine="420"/>
      </w:pPr>
      <w:r>
        <w:rPr>
          <w:rFonts w:hint="eastAsia"/>
        </w:rPr>
        <w:t>[3] GB/T 33000  企业安全生产标准化基本规范</w:t>
      </w:r>
    </w:p>
    <w:p w14:paraId="720B9072">
      <w:pPr>
        <w:pStyle w:val="59"/>
        <w:ind w:firstLine="420"/>
      </w:pPr>
      <w:r>
        <w:rPr>
          <w:rFonts w:hint="eastAsia"/>
        </w:rPr>
        <w:t>[4] GB 50128  立式圆筒形钢制焊接储罐施工规范</w:t>
      </w:r>
    </w:p>
    <w:p w14:paraId="40B15ECC">
      <w:pPr>
        <w:pStyle w:val="59"/>
        <w:ind w:firstLine="420"/>
      </w:pPr>
      <w:r>
        <w:rPr>
          <w:rFonts w:hint="eastAsia"/>
        </w:rPr>
        <w:t>[5] GB 50341  立式圆筒形钢制焊接油罐设计规范</w:t>
      </w:r>
    </w:p>
    <w:p w14:paraId="6F8E9BD6">
      <w:pPr>
        <w:pStyle w:val="59"/>
        <w:ind w:firstLine="420"/>
      </w:pPr>
      <w:r>
        <w:rPr>
          <w:rFonts w:hint="eastAsia"/>
        </w:rPr>
        <w:t>[6] GB 51283  精细化工企业工程设计防火标准</w:t>
      </w:r>
    </w:p>
    <w:p w14:paraId="4CFD57E1">
      <w:pPr>
        <w:pStyle w:val="59"/>
        <w:ind w:firstLine="420"/>
      </w:pPr>
      <w:r>
        <w:rPr>
          <w:rFonts w:hint="eastAsia"/>
        </w:rPr>
        <w:t>[7] AQ 3013  危险化学品从业单位安全标准化通用规范</w:t>
      </w:r>
    </w:p>
    <w:p w14:paraId="2E212563">
      <w:pPr>
        <w:pStyle w:val="59"/>
        <w:ind w:firstLine="420"/>
      </w:pPr>
      <w:r>
        <w:rPr>
          <w:rFonts w:hint="eastAsia"/>
        </w:rPr>
        <w:t xml:space="preserve">[8] </w:t>
      </w:r>
      <w:r>
        <w:rPr>
          <w:rFonts w:hint="eastAsia" w:hAnsi="宋体" w:cs="宋体"/>
          <w:szCs w:val="22"/>
        </w:rPr>
        <w:t xml:space="preserve">AQ 3035  </w:t>
      </w:r>
      <w:r>
        <w:rPr>
          <w:rFonts w:hAnsi="宋体" w:cs="宋体"/>
          <w:szCs w:val="22"/>
        </w:rPr>
        <w:t>危险化学品重大危险源安全监控通用技术规范</w:t>
      </w:r>
    </w:p>
    <w:p w14:paraId="48A407DA">
      <w:pPr>
        <w:pStyle w:val="59"/>
        <w:ind w:firstLine="420"/>
      </w:pPr>
      <w:r>
        <w:rPr>
          <w:rFonts w:hint="eastAsia"/>
        </w:rPr>
        <w:t xml:space="preserve">[9] </w:t>
      </w:r>
      <w:r>
        <w:rPr>
          <w:rFonts w:hint="eastAsia" w:hAnsi="宋体" w:cs="宋体"/>
          <w:szCs w:val="22"/>
        </w:rPr>
        <w:t>AQ 3036  危险化学品重大危险源罐区现场安全监控装备设置规范</w:t>
      </w:r>
    </w:p>
    <w:p w14:paraId="57CE1B92">
      <w:pPr>
        <w:pStyle w:val="59"/>
        <w:ind w:firstLine="420"/>
      </w:pPr>
      <w:r>
        <w:rPr>
          <w:rFonts w:hint="eastAsia"/>
        </w:rPr>
        <w:t>[10] HG/T 20660  压力容器中化学介质毒性危害和爆炸危险程度分类标准</w:t>
      </w:r>
    </w:p>
    <w:p w14:paraId="1904A707">
      <w:pPr>
        <w:pStyle w:val="59"/>
        <w:ind w:firstLine="420"/>
      </w:pPr>
      <w:r>
        <w:rPr>
          <w:rFonts w:hint="eastAsia"/>
        </w:rPr>
        <w:t>[11] SY/T 6306  钢质原油储罐运行安全规范</w:t>
      </w:r>
    </w:p>
    <w:p w14:paraId="62887C1A">
      <w:pPr>
        <w:pStyle w:val="59"/>
        <w:ind w:firstLine="420"/>
      </w:pPr>
      <w:r>
        <w:rPr>
          <w:rFonts w:hint="eastAsia"/>
        </w:rPr>
        <w:t>[12] SY/T 6620  油罐的检验、修理、改建及翻建</w:t>
      </w:r>
    </w:p>
    <w:p w14:paraId="290DD301">
      <w:pPr>
        <w:pStyle w:val="59"/>
        <w:ind w:firstLine="420"/>
      </w:pPr>
      <w:r>
        <w:rPr>
          <w:rFonts w:hint="eastAsia"/>
        </w:rPr>
        <w:t>[13] SY/T 7684  大型立式圆筒形钢制焊接储罐检测技术规范</w:t>
      </w:r>
    </w:p>
    <w:p w14:paraId="126493E0">
      <w:pPr>
        <w:pStyle w:val="59"/>
        <w:ind w:firstLine="420"/>
      </w:pPr>
      <w:r>
        <w:rPr>
          <w:rFonts w:hint="eastAsia"/>
        </w:rPr>
        <w:t>[14]危险化学品重大危险源监督管理暂行规定（原国家安全生产监督管理总局令第40号）</w:t>
      </w:r>
    </w:p>
    <w:p w14:paraId="3789A8EE">
      <w:pPr>
        <w:pStyle w:val="59"/>
        <w:ind w:firstLine="0" w:firstLineChars="0"/>
        <w:jc w:val="center"/>
      </w:pPr>
      <w:bookmarkStart w:id="281" w:name="BookMark8"/>
      <w:r>
        <w:rPr>
          <w:rFonts w:hint="eastAsia"/>
        </w:rPr>
        <w:drawing>
          <wp:inline distT="0" distB="0" distL="0" distR="0">
            <wp:extent cx="1485900" cy="317500"/>
            <wp:effectExtent l="0" t="0" r="0" b="6350"/>
            <wp:docPr id="1387803531" name="图片 3"/>
            <wp:cNvGraphicFramePr/>
            <a:graphic xmlns:a="http://schemas.openxmlformats.org/drawingml/2006/main">
              <a:graphicData uri="http://schemas.openxmlformats.org/drawingml/2006/picture">
                <pic:pic xmlns:pic="http://schemas.openxmlformats.org/drawingml/2006/picture">
                  <pic:nvPicPr>
                    <pic:cNvPr id="1387803531" name="图片 3"/>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1"/>
    </w:p>
    <w:bookmarkEnd w:id="271"/>
    <w:p w14:paraId="372280E9">
      <w:pPr>
        <w:pStyle w:val="59"/>
        <w:ind w:firstLine="420"/>
      </w:pPr>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8154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C4A25">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D77CF">
    <w:pPr>
      <w:pStyle w:val="54"/>
    </w:pPr>
    <w:r>
      <w:fldChar w:fldCharType="begin"/>
    </w:r>
    <w:r>
      <w:instrText xml:space="preserve"> PAGE   \* MERGEFORMAT \* MERGEFORMAT </w:instrText>
    </w:r>
    <w:r>
      <w:fldChar w:fldCharType="separate"/>
    </w:r>
    <w: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0DD10">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6021">
    <w:pPr>
      <w:pStyle w:val="54"/>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B9417">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F312E">
    <w:pPr>
      <w:pStyle w:val="54"/>
    </w:pPr>
    <w:r>
      <w:fldChar w:fldCharType="begin"/>
    </w:r>
    <w:r>
      <w:instrText xml:space="preserve"> PAGE   \* MERGEFORMAT \* MERGEFORMAT </w:instrText>
    </w:r>
    <w:r>
      <w:fldChar w:fldCharType="separate"/>
    </w:r>
    <w: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B13B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A6BC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940F9">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E176B">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96DE1">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88F9E">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61912">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1420F">
    <w:pPr>
      <w:pStyle w:val="54"/>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4858C">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A43B1">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CDAF4">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0ECFC">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8076A">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5D29A">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45B30">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088B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75C52">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A4072">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18965">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302E1">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2F2D9">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74B9C">
    <w:pPr>
      <w:pStyle w:val="64"/>
      <w:rPr>
        <w:rFonts w:hint="eastAsia"/>
      </w:rPr>
    </w:pPr>
    <w:r>
      <w:fldChar w:fldCharType="begin"/>
    </w:r>
    <w:r>
      <w:instrText xml:space="preserve"> STYLEREF  标准文件_文件编号  \* MERGEFORMAT </w:instrText>
    </w:r>
    <w:r>
      <w:fldChar w:fldCharType="separate"/>
    </w:r>
    <w:r>
      <w:t>DB 31/T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BAE29">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31/T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46"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UYMzlJuw0DB8WldLdPXTndheYFnIRO/Dsb6zthZyXIhZ+of5iupgp4wiJl4dI0aNwxpgA7U/CvJLrjkdvutYUA==" w:salt="Z/W92CCdk7BNWRGIPN8r4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hNzk3MThiY2E2NjczOWNmOTg4YTM5ZDQ3M2YwN2QifQ=="/>
  </w:docVars>
  <w:rsids>
    <w:rsidRoot w:val="00F50407"/>
    <w:rsid w:val="0000040A"/>
    <w:rsid w:val="00000A94"/>
    <w:rsid w:val="00001972"/>
    <w:rsid w:val="000019FF"/>
    <w:rsid w:val="00001D9A"/>
    <w:rsid w:val="00007B3A"/>
    <w:rsid w:val="000107E0"/>
    <w:rsid w:val="00011FDE"/>
    <w:rsid w:val="00012FFD"/>
    <w:rsid w:val="00014162"/>
    <w:rsid w:val="00014340"/>
    <w:rsid w:val="00016A9C"/>
    <w:rsid w:val="00022184"/>
    <w:rsid w:val="00022762"/>
    <w:rsid w:val="000238E0"/>
    <w:rsid w:val="000249DB"/>
    <w:rsid w:val="0002595E"/>
    <w:rsid w:val="00025EFB"/>
    <w:rsid w:val="00026069"/>
    <w:rsid w:val="00027A49"/>
    <w:rsid w:val="000303C3"/>
    <w:rsid w:val="00031E35"/>
    <w:rsid w:val="000331D3"/>
    <w:rsid w:val="00034088"/>
    <w:rsid w:val="000346A5"/>
    <w:rsid w:val="000359C3"/>
    <w:rsid w:val="00035A7D"/>
    <w:rsid w:val="000365ED"/>
    <w:rsid w:val="00037BD0"/>
    <w:rsid w:val="0004249A"/>
    <w:rsid w:val="00043282"/>
    <w:rsid w:val="00044286"/>
    <w:rsid w:val="00047430"/>
    <w:rsid w:val="00047F28"/>
    <w:rsid w:val="000503AA"/>
    <w:rsid w:val="000506A1"/>
    <w:rsid w:val="000515DD"/>
    <w:rsid w:val="0005265A"/>
    <w:rsid w:val="000539DD"/>
    <w:rsid w:val="00053BD3"/>
    <w:rsid w:val="000556ED"/>
    <w:rsid w:val="00055FE2"/>
    <w:rsid w:val="0005616F"/>
    <w:rsid w:val="00060C2E"/>
    <w:rsid w:val="00060FB4"/>
    <w:rsid w:val="00061033"/>
    <w:rsid w:val="000619E9"/>
    <w:rsid w:val="000622D4"/>
    <w:rsid w:val="0006357D"/>
    <w:rsid w:val="00067F1E"/>
    <w:rsid w:val="00071CC0"/>
    <w:rsid w:val="00073C8C"/>
    <w:rsid w:val="000741FB"/>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E86"/>
    <w:rsid w:val="000A0B60"/>
    <w:rsid w:val="000A0EB8"/>
    <w:rsid w:val="000A19FC"/>
    <w:rsid w:val="000A296B"/>
    <w:rsid w:val="000A31D7"/>
    <w:rsid w:val="000A4094"/>
    <w:rsid w:val="000A7311"/>
    <w:rsid w:val="000B05A8"/>
    <w:rsid w:val="000B060F"/>
    <w:rsid w:val="000B1592"/>
    <w:rsid w:val="000B1FF2"/>
    <w:rsid w:val="000B3CDA"/>
    <w:rsid w:val="000B436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B81"/>
    <w:rsid w:val="000E6FD7"/>
    <w:rsid w:val="000F06E1"/>
    <w:rsid w:val="000F0E3C"/>
    <w:rsid w:val="000F19D5"/>
    <w:rsid w:val="000F4AEA"/>
    <w:rsid w:val="000F4CD0"/>
    <w:rsid w:val="000F633F"/>
    <w:rsid w:val="000F67E9"/>
    <w:rsid w:val="001002DE"/>
    <w:rsid w:val="00104926"/>
    <w:rsid w:val="001053CF"/>
    <w:rsid w:val="00113B1E"/>
    <w:rsid w:val="0011711C"/>
    <w:rsid w:val="0012059C"/>
    <w:rsid w:val="00124E4F"/>
    <w:rsid w:val="001260B7"/>
    <w:rsid w:val="001265CB"/>
    <w:rsid w:val="001321C6"/>
    <w:rsid w:val="001325C4"/>
    <w:rsid w:val="00132640"/>
    <w:rsid w:val="00133010"/>
    <w:rsid w:val="001338EE"/>
    <w:rsid w:val="00133AAE"/>
    <w:rsid w:val="00135323"/>
    <w:rsid w:val="001356C4"/>
    <w:rsid w:val="00141114"/>
    <w:rsid w:val="00142969"/>
    <w:rsid w:val="001446C2"/>
    <w:rsid w:val="001457E7"/>
    <w:rsid w:val="00145D9D"/>
    <w:rsid w:val="00146388"/>
    <w:rsid w:val="0015108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A2A"/>
    <w:rsid w:val="001852C9"/>
    <w:rsid w:val="00190087"/>
    <w:rsid w:val="001913C4"/>
    <w:rsid w:val="0019348F"/>
    <w:rsid w:val="00193A07"/>
    <w:rsid w:val="00194C95"/>
    <w:rsid w:val="00195C34"/>
    <w:rsid w:val="00196EF5"/>
    <w:rsid w:val="001A1A53"/>
    <w:rsid w:val="001A234A"/>
    <w:rsid w:val="001A4CF3"/>
    <w:rsid w:val="001B06E8"/>
    <w:rsid w:val="001B428D"/>
    <w:rsid w:val="001B71D0"/>
    <w:rsid w:val="001B71EE"/>
    <w:rsid w:val="001C04A8"/>
    <w:rsid w:val="001C2C03"/>
    <w:rsid w:val="001C382A"/>
    <w:rsid w:val="001C42F7"/>
    <w:rsid w:val="001C49E5"/>
    <w:rsid w:val="001C680C"/>
    <w:rsid w:val="001C7FEA"/>
    <w:rsid w:val="001D0499"/>
    <w:rsid w:val="001D0BBE"/>
    <w:rsid w:val="001D0ED4"/>
    <w:rsid w:val="001D16D8"/>
    <w:rsid w:val="001D212F"/>
    <w:rsid w:val="001D29D7"/>
    <w:rsid w:val="001D2DE7"/>
    <w:rsid w:val="001D411C"/>
    <w:rsid w:val="001D65EB"/>
    <w:rsid w:val="001E1B6A"/>
    <w:rsid w:val="001E2484"/>
    <w:rsid w:val="001E3711"/>
    <w:rsid w:val="001E3CC4"/>
    <w:rsid w:val="001E4882"/>
    <w:rsid w:val="001E73AB"/>
    <w:rsid w:val="001F092D"/>
    <w:rsid w:val="001F1094"/>
    <w:rsid w:val="001F143A"/>
    <w:rsid w:val="001F1605"/>
    <w:rsid w:val="001F2508"/>
    <w:rsid w:val="001F4816"/>
    <w:rsid w:val="001F4EE9"/>
    <w:rsid w:val="001F69B4"/>
    <w:rsid w:val="001F77C7"/>
    <w:rsid w:val="00200183"/>
    <w:rsid w:val="00200333"/>
    <w:rsid w:val="0020107D"/>
    <w:rsid w:val="0020148A"/>
    <w:rsid w:val="00201B80"/>
    <w:rsid w:val="0020205A"/>
    <w:rsid w:val="00202AA4"/>
    <w:rsid w:val="002031F7"/>
    <w:rsid w:val="002040E6"/>
    <w:rsid w:val="0020527B"/>
    <w:rsid w:val="00205D3C"/>
    <w:rsid w:val="00205F2C"/>
    <w:rsid w:val="00210B15"/>
    <w:rsid w:val="002142EA"/>
    <w:rsid w:val="0021757B"/>
    <w:rsid w:val="002204BB"/>
    <w:rsid w:val="00221B79"/>
    <w:rsid w:val="00221C6B"/>
    <w:rsid w:val="00224999"/>
    <w:rsid w:val="002253A1"/>
    <w:rsid w:val="00225CF8"/>
    <w:rsid w:val="0022794E"/>
    <w:rsid w:val="00233D64"/>
    <w:rsid w:val="0023482A"/>
    <w:rsid w:val="002359CB"/>
    <w:rsid w:val="00240F6F"/>
    <w:rsid w:val="0024133C"/>
    <w:rsid w:val="00243540"/>
    <w:rsid w:val="0024497B"/>
    <w:rsid w:val="0024515B"/>
    <w:rsid w:val="00246021"/>
    <w:rsid w:val="0024666E"/>
    <w:rsid w:val="00247F52"/>
    <w:rsid w:val="00250B25"/>
    <w:rsid w:val="00250BBE"/>
    <w:rsid w:val="002515C2"/>
    <w:rsid w:val="0025194F"/>
    <w:rsid w:val="0026148A"/>
    <w:rsid w:val="00262696"/>
    <w:rsid w:val="00263A54"/>
    <w:rsid w:val="00263D25"/>
    <w:rsid w:val="002643C3"/>
    <w:rsid w:val="00264A0C"/>
    <w:rsid w:val="00266EEB"/>
    <w:rsid w:val="00267EF4"/>
    <w:rsid w:val="00270CB8"/>
    <w:rsid w:val="00272B08"/>
    <w:rsid w:val="002771AC"/>
    <w:rsid w:val="002805F4"/>
    <w:rsid w:val="00281BB8"/>
    <w:rsid w:val="00281E9E"/>
    <w:rsid w:val="00282405"/>
    <w:rsid w:val="00283D02"/>
    <w:rsid w:val="00285170"/>
    <w:rsid w:val="00285361"/>
    <w:rsid w:val="00291A72"/>
    <w:rsid w:val="00292D60"/>
    <w:rsid w:val="00293B30"/>
    <w:rsid w:val="00294D34"/>
    <w:rsid w:val="00294E3B"/>
    <w:rsid w:val="00296128"/>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F2A"/>
    <w:rsid w:val="002B5779"/>
    <w:rsid w:val="002B7332"/>
    <w:rsid w:val="002B7F51"/>
    <w:rsid w:val="002C029C"/>
    <w:rsid w:val="002C09E7"/>
    <w:rsid w:val="002C1E06"/>
    <w:rsid w:val="002C1E1C"/>
    <w:rsid w:val="002C3F07"/>
    <w:rsid w:val="002C5278"/>
    <w:rsid w:val="002C6AC1"/>
    <w:rsid w:val="002C7EBB"/>
    <w:rsid w:val="002D045C"/>
    <w:rsid w:val="002D06C1"/>
    <w:rsid w:val="002D42B5"/>
    <w:rsid w:val="002D4F1A"/>
    <w:rsid w:val="002D6EC6"/>
    <w:rsid w:val="002D79AC"/>
    <w:rsid w:val="002E039D"/>
    <w:rsid w:val="002E4D5A"/>
    <w:rsid w:val="002E6326"/>
    <w:rsid w:val="002F1155"/>
    <w:rsid w:val="002F2376"/>
    <w:rsid w:val="002F284C"/>
    <w:rsid w:val="002F30E0"/>
    <w:rsid w:val="002F35E4"/>
    <w:rsid w:val="002F3730"/>
    <w:rsid w:val="002F38E1"/>
    <w:rsid w:val="002F7AF6"/>
    <w:rsid w:val="00300E63"/>
    <w:rsid w:val="00302F5F"/>
    <w:rsid w:val="0030441D"/>
    <w:rsid w:val="00306063"/>
    <w:rsid w:val="00307FB7"/>
    <w:rsid w:val="00313B85"/>
    <w:rsid w:val="00316570"/>
    <w:rsid w:val="00316DDB"/>
    <w:rsid w:val="00317988"/>
    <w:rsid w:val="003221B4"/>
    <w:rsid w:val="0032258D"/>
    <w:rsid w:val="00322E62"/>
    <w:rsid w:val="00324080"/>
    <w:rsid w:val="00324D13"/>
    <w:rsid w:val="00324D2A"/>
    <w:rsid w:val="00324EDD"/>
    <w:rsid w:val="0032572C"/>
    <w:rsid w:val="003331E4"/>
    <w:rsid w:val="00336C64"/>
    <w:rsid w:val="00337162"/>
    <w:rsid w:val="0034194F"/>
    <w:rsid w:val="00344494"/>
    <w:rsid w:val="00344605"/>
    <w:rsid w:val="003474AA"/>
    <w:rsid w:val="00350D1D"/>
    <w:rsid w:val="00352C83"/>
    <w:rsid w:val="003615D2"/>
    <w:rsid w:val="0036429C"/>
    <w:rsid w:val="0036470E"/>
    <w:rsid w:val="00364A53"/>
    <w:rsid w:val="003654CB"/>
    <w:rsid w:val="00365AA9"/>
    <w:rsid w:val="00365F86"/>
    <w:rsid w:val="00365F87"/>
    <w:rsid w:val="00366E89"/>
    <w:rsid w:val="003705F4"/>
    <w:rsid w:val="00370D58"/>
    <w:rsid w:val="00371316"/>
    <w:rsid w:val="00376713"/>
    <w:rsid w:val="003769D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E13"/>
    <w:rsid w:val="003B1F18"/>
    <w:rsid w:val="003B5BF0"/>
    <w:rsid w:val="003B60BF"/>
    <w:rsid w:val="003B6BE3"/>
    <w:rsid w:val="003C010C"/>
    <w:rsid w:val="003C0A6C"/>
    <w:rsid w:val="003C14F8"/>
    <w:rsid w:val="003C5231"/>
    <w:rsid w:val="003C5A43"/>
    <w:rsid w:val="003C5E3A"/>
    <w:rsid w:val="003C7A6D"/>
    <w:rsid w:val="003D0519"/>
    <w:rsid w:val="003D0FF6"/>
    <w:rsid w:val="003D262C"/>
    <w:rsid w:val="003D600D"/>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41A"/>
    <w:rsid w:val="00414677"/>
    <w:rsid w:val="0041477A"/>
    <w:rsid w:val="004167A3"/>
    <w:rsid w:val="00432DAA"/>
    <w:rsid w:val="00434305"/>
    <w:rsid w:val="00435DF7"/>
    <w:rsid w:val="0044083F"/>
    <w:rsid w:val="00441AE7"/>
    <w:rsid w:val="00445574"/>
    <w:rsid w:val="004467FB"/>
    <w:rsid w:val="00451700"/>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06B"/>
    <w:rsid w:val="00496883"/>
    <w:rsid w:val="004A0B58"/>
    <w:rsid w:val="004A12DF"/>
    <w:rsid w:val="004A17E6"/>
    <w:rsid w:val="004A1BA8"/>
    <w:rsid w:val="004A4B57"/>
    <w:rsid w:val="004A63FA"/>
    <w:rsid w:val="004B0272"/>
    <w:rsid w:val="004B2701"/>
    <w:rsid w:val="004B2E1B"/>
    <w:rsid w:val="004B373F"/>
    <w:rsid w:val="004B3AA8"/>
    <w:rsid w:val="004B3E93"/>
    <w:rsid w:val="004B7494"/>
    <w:rsid w:val="004B7E08"/>
    <w:rsid w:val="004C1FBC"/>
    <w:rsid w:val="004C3F1D"/>
    <w:rsid w:val="004C458D"/>
    <w:rsid w:val="004C7556"/>
    <w:rsid w:val="004C7E8B"/>
    <w:rsid w:val="004C7E9D"/>
    <w:rsid w:val="004C7F67"/>
    <w:rsid w:val="004D076D"/>
    <w:rsid w:val="004D0EF1"/>
    <w:rsid w:val="004D2253"/>
    <w:rsid w:val="004D4406"/>
    <w:rsid w:val="004D7C42"/>
    <w:rsid w:val="004E0465"/>
    <w:rsid w:val="004E0D38"/>
    <w:rsid w:val="004E127B"/>
    <w:rsid w:val="004E1C0A"/>
    <w:rsid w:val="004E2B06"/>
    <w:rsid w:val="004E30C5"/>
    <w:rsid w:val="004E4AA5"/>
    <w:rsid w:val="004E4AEE"/>
    <w:rsid w:val="004E59E3"/>
    <w:rsid w:val="004E67C0"/>
    <w:rsid w:val="004F391A"/>
    <w:rsid w:val="004F3CFB"/>
    <w:rsid w:val="004F5499"/>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5CD"/>
    <w:rsid w:val="00533D04"/>
    <w:rsid w:val="00534804"/>
    <w:rsid w:val="00534BDF"/>
    <w:rsid w:val="005354EA"/>
    <w:rsid w:val="0053585F"/>
    <w:rsid w:val="00535EC4"/>
    <w:rsid w:val="00535ED9"/>
    <w:rsid w:val="0053692B"/>
    <w:rsid w:val="00541853"/>
    <w:rsid w:val="005422DB"/>
    <w:rsid w:val="00543BDA"/>
    <w:rsid w:val="005441CC"/>
    <w:rsid w:val="005479DA"/>
    <w:rsid w:val="00547BCC"/>
    <w:rsid w:val="0055013B"/>
    <w:rsid w:val="00551F6F"/>
    <w:rsid w:val="00552374"/>
    <w:rsid w:val="00555044"/>
    <w:rsid w:val="00561475"/>
    <w:rsid w:val="0056487B"/>
    <w:rsid w:val="00564FB9"/>
    <w:rsid w:val="00566B0F"/>
    <w:rsid w:val="00573D9E"/>
    <w:rsid w:val="005801E3"/>
    <w:rsid w:val="00581802"/>
    <w:rsid w:val="0058363B"/>
    <w:rsid w:val="005836A8"/>
    <w:rsid w:val="0058409C"/>
    <w:rsid w:val="00584262"/>
    <w:rsid w:val="00586630"/>
    <w:rsid w:val="00587ADD"/>
    <w:rsid w:val="00587F19"/>
    <w:rsid w:val="00591E27"/>
    <w:rsid w:val="00596160"/>
    <w:rsid w:val="005966E2"/>
    <w:rsid w:val="00597007"/>
    <w:rsid w:val="005A05E8"/>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F01"/>
    <w:rsid w:val="005D4171"/>
    <w:rsid w:val="005D65BB"/>
    <w:rsid w:val="005D6A95"/>
    <w:rsid w:val="005D6B2C"/>
    <w:rsid w:val="005D6D9C"/>
    <w:rsid w:val="005E2335"/>
    <w:rsid w:val="005E34CA"/>
    <w:rsid w:val="005E3C18"/>
    <w:rsid w:val="005E6812"/>
    <w:rsid w:val="005E7881"/>
    <w:rsid w:val="005E78E0"/>
    <w:rsid w:val="005F0D9C"/>
    <w:rsid w:val="005F284E"/>
    <w:rsid w:val="005F2F56"/>
    <w:rsid w:val="005F348C"/>
    <w:rsid w:val="005F3DC5"/>
    <w:rsid w:val="005F4712"/>
    <w:rsid w:val="005F696D"/>
    <w:rsid w:val="006015CE"/>
    <w:rsid w:val="00602483"/>
    <w:rsid w:val="00604784"/>
    <w:rsid w:val="00606419"/>
    <w:rsid w:val="00607D29"/>
    <w:rsid w:val="00612952"/>
    <w:rsid w:val="00614CC1"/>
    <w:rsid w:val="00615A9D"/>
    <w:rsid w:val="00617387"/>
    <w:rsid w:val="006205D6"/>
    <w:rsid w:val="006209D8"/>
    <w:rsid w:val="00621BB1"/>
    <w:rsid w:val="006252D8"/>
    <w:rsid w:val="006259BC"/>
    <w:rsid w:val="0062636B"/>
    <w:rsid w:val="00626ECF"/>
    <w:rsid w:val="0063115D"/>
    <w:rsid w:val="00632182"/>
    <w:rsid w:val="00632AE0"/>
    <w:rsid w:val="00633C17"/>
    <w:rsid w:val="00634D9E"/>
    <w:rsid w:val="00636E3E"/>
    <w:rsid w:val="006379F7"/>
    <w:rsid w:val="00637E4D"/>
    <w:rsid w:val="00640620"/>
    <w:rsid w:val="00641A1F"/>
    <w:rsid w:val="00645575"/>
    <w:rsid w:val="00645904"/>
    <w:rsid w:val="006519D8"/>
    <w:rsid w:val="00651ACB"/>
    <w:rsid w:val="00651C47"/>
    <w:rsid w:val="00652AB2"/>
    <w:rsid w:val="00653FED"/>
    <w:rsid w:val="00654EC0"/>
    <w:rsid w:val="0065525B"/>
    <w:rsid w:val="00655D4F"/>
    <w:rsid w:val="00656D29"/>
    <w:rsid w:val="006577C1"/>
    <w:rsid w:val="00662A92"/>
    <w:rsid w:val="006640E5"/>
    <w:rsid w:val="006646F1"/>
    <w:rsid w:val="00664929"/>
    <w:rsid w:val="00664F62"/>
    <w:rsid w:val="006655E1"/>
    <w:rsid w:val="00672060"/>
    <w:rsid w:val="00672B06"/>
    <w:rsid w:val="00672BFD"/>
    <w:rsid w:val="006770F4"/>
    <w:rsid w:val="00677A84"/>
    <w:rsid w:val="0068026D"/>
    <w:rsid w:val="00680A27"/>
    <w:rsid w:val="006816A4"/>
    <w:rsid w:val="006819B8"/>
    <w:rsid w:val="006840A6"/>
    <w:rsid w:val="00684525"/>
    <w:rsid w:val="006850CD"/>
    <w:rsid w:val="00685AAB"/>
    <w:rsid w:val="006909AF"/>
    <w:rsid w:val="00694B6D"/>
    <w:rsid w:val="00695D22"/>
    <w:rsid w:val="006A07AA"/>
    <w:rsid w:val="006A0FF4"/>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924"/>
    <w:rsid w:val="006D6593"/>
    <w:rsid w:val="006E13B5"/>
    <w:rsid w:val="006E23EA"/>
    <w:rsid w:val="006E5CBC"/>
    <w:rsid w:val="006F03A8"/>
    <w:rsid w:val="006F2ACA"/>
    <w:rsid w:val="006F2ADC"/>
    <w:rsid w:val="006F2BFE"/>
    <w:rsid w:val="006F31E9"/>
    <w:rsid w:val="006F6284"/>
    <w:rsid w:val="006F7FB3"/>
    <w:rsid w:val="007002C5"/>
    <w:rsid w:val="00704387"/>
    <w:rsid w:val="00707669"/>
    <w:rsid w:val="00710F3B"/>
    <w:rsid w:val="00711CBA"/>
    <w:rsid w:val="00711FB5"/>
    <w:rsid w:val="00712A01"/>
    <w:rsid w:val="00713150"/>
    <w:rsid w:val="00714F58"/>
    <w:rsid w:val="00722FBF"/>
    <w:rsid w:val="00722FC2"/>
    <w:rsid w:val="00724879"/>
    <w:rsid w:val="00724B76"/>
    <w:rsid w:val="00724E1B"/>
    <w:rsid w:val="00725949"/>
    <w:rsid w:val="00727FA2"/>
    <w:rsid w:val="007322D9"/>
    <w:rsid w:val="0073241B"/>
    <w:rsid w:val="00732BC0"/>
    <w:rsid w:val="0073720F"/>
    <w:rsid w:val="00737796"/>
    <w:rsid w:val="0074165C"/>
    <w:rsid w:val="0074167F"/>
    <w:rsid w:val="00742181"/>
    <w:rsid w:val="00742C35"/>
    <w:rsid w:val="007432CA"/>
    <w:rsid w:val="007439EB"/>
    <w:rsid w:val="00743CB4"/>
    <w:rsid w:val="00743F0A"/>
    <w:rsid w:val="007444E8"/>
    <w:rsid w:val="0074548E"/>
    <w:rsid w:val="00745773"/>
    <w:rsid w:val="00746726"/>
    <w:rsid w:val="00746800"/>
    <w:rsid w:val="007501A8"/>
    <w:rsid w:val="00750D61"/>
    <w:rsid w:val="00750EE1"/>
    <w:rsid w:val="00752B4D"/>
    <w:rsid w:val="00755402"/>
    <w:rsid w:val="00756B26"/>
    <w:rsid w:val="00756EDF"/>
    <w:rsid w:val="007600E3"/>
    <w:rsid w:val="00761E55"/>
    <w:rsid w:val="007645C4"/>
    <w:rsid w:val="00765C43"/>
    <w:rsid w:val="00765EFB"/>
    <w:rsid w:val="007671CA"/>
    <w:rsid w:val="00767C61"/>
    <w:rsid w:val="0077008A"/>
    <w:rsid w:val="00773C1F"/>
    <w:rsid w:val="00774DA4"/>
    <w:rsid w:val="00776599"/>
    <w:rsid w:val="007776E2"/>
    <w:rsid w:val="00780A94"/>
    <w:rsid w:val="0078114B"/>
    <w:rsid w:val="00781DD2"/>
    <w:rsid w:val="00783ECF"/>
    <w:rsid w:val="0078413A"/>
    <w:rsid w:val="007959E8"/>
    <w:rsid w:val="00795E9C"/>
    <w:rsid w:val="007A0521"/>
    <w:rsid w:val="007A2E12"/>
    <w:rsid w:val="007A3475"/>
    <w:rsid w:val="007A41C8"/>
    <w:rsid w:val="007A54CE"/>
    <w:rsid w:val="007A63E5"/>
    <w:rsid w:val="007A6FD9"/>
    <w:rsid w:val="007A7FFA"/>
    <w:rsid w:val="007B04EB"/>
    <w:rsid w:val="007B0D4F"/>
    <w:rsid w:val="007B5A3D"/>
    <w:rsid w:val="007B5B95"/>
    <w:rsid w:val="007B68EA"/>
    <w:rsid w:val="007B7453"/>
    <w:rsid w:val="007C0853"/>
    <w:rsid w:val="007C1E8B"/>
    <w:rsid w:val="007C2D89"/>
    <w:rsid w:val="007C4593"/>
    <w:rsid w:val="007C4921"/>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391"/>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E8C"/>
    <w:rsid w:val="0085173A"/>
    <w:rsid w:val="00854A77"/>
    <w:rsid w:val="00856316"/>
    <w:rsid w:val="008603CE"/>
    <w:rsid w:val="008620FC"/>
    <w:rsid w:val="008627A5"/>
    <w:rsid w:val="00863E05"/>
    <w:rsid w:val="00865ACA"/>
    <w:rsid w:val="00865D28"/>
    <w:rsid w:val="00865F85"/>
    <w:rsid w:val="00867C10"/>
    <w:rsid w:val="00870439"/>
    <w:rsid w:val="00870DA1"/>
    <w:rsid w:val="00877FD6"/>
    <w:rsid w:val="0088228D"/>
    <w:rsid w:val="00883F93"/>
    <w:rsid w:val="00884DB3"/>
    <w:rsid w:val="00885A9D"/>
    <w:rsid w:val="008864F6"/>
    <w:rsid w:val="00886D3B"/>
    <w:rsid w:val="0089049D"/>
    <w:rsid w:val="008914DA"/>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A68"/>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A27"/>
    <w:rsid w:val="00911BE5"/>
    <w:rsid w:val="00913CA9"/>
    <w:rsid w:val="00913CBF"/>
    <w:rsid w:val="009145AE"/>
    <w:rsid w:val="009146CE"/>
    <w:rsid w:val="00914CA7"/>
    <w:rsid w:val="00915C3E"/>
    <w:rsid w:val="009161A8"/>
    <w:rsid w:val="00916E2D"/>
    <w:rsid w:val="00921903"/>
    <w:rsid w:val="009245F5"/>
    <w:rsid w:val="009249EC"/>
    <w:rsid w:val="009273B3"/>
    <w:rsid w:val="009305B5"/>
    <w:rsid w:val="0094298D"/>
    <w:rsid w:val="009429D5"/>
    <w:rsid w:val="00942BF1"/>
    <w:rsid w:val="00945180"/>
    <w:rsid w:val="00945428"/>
    <w:rsid w:val="0094607B"/>
    <w:rsid w:val="00953604"/>
    <w:rsid w:val="0095496B"/>
    <w:rsid w:val="00957BA4"/>
    <w:rsid w:val="009610DC"/>
    <w:rsid w:val="00961490"/>
    <w:rsid w:val="0096381A"/>
    <w:rsid w:val="00965E04"/>
    <w:rsid w:val="009674AD"/>
    <w:rsid w:val="00970CDC"/>
    <w:rsid w:val="0097461E"/>
    <w:rsid w:val="00977010"/>
    <w:rsid w:val="00977BC7"/>
    <w:rsid w:val="00977D02"/>
    <w:rsid w:val="009809BB"/>
    <w:rsid w:val="009833ED"/>
    <w:rsid w:val="0098364B"/>
    <w:rsid w:val="00985F22"/>
    <w:rsid w:val="009911AF"/>
    <w:rsid w:val="00991875"/>
    <w:rsid w:val="00991F92"/>
    <w:rsid w:val="00992985"/>
    <w:rsid w:val="00993889"/>
    <w:rsid w:val="0099551B"/>
    <w:rsid w:val="00997BF1"/>
    <w:rsid w:val="009A0123"/>
    <w:rsid w:val="009A089C"/>
    <w:rsid w:val="009A118E"/>
    <w:rsid w:val="009A21CD"/>
    <w:rsid w:val="009A278C"/>
    <w:rsid w:val="009A2AE3"/>
    <w:rsid w:val="009A2BC2"/>
    <w:rsid w:val="009A42C1"/>
    <w:rsid w:val="009A5429"/>
    <w:rsid w:val="009A72AD"/>
    <w:rsid w:val="009B09E0"/>
    <w:rsid w:val="009B0BC5"/>
    <w:rsid w:val="009B1247"/>
    <w:rsid w:val="009B46F9"/>
    <w:rsid w:val="009B6029"/>
    <w:rsid w:val="009B6971"/>
    <w:rsid w:val="009C11EB"/>
    <w:rsid w:val="009C27F1"/>
    <w:rsid w:val="009C3152"/>
    <w:rsid w:val="009C3F1B"/>
    <w:rsid w:val="009C4CFA"/>
    <w:rsid w:val="009C5070"/>
    <w:rsid w:val="009D112C"/>
    <w:rsid w:val="009D47FA"/>
    <w:rsid w:val="009D4C5B"/>
    <w:rsid w:val="009D50D2"/>
    <w:rsid w:val="009D6BCA"/>
    <w:rsid w:val="009E0F62"/>
    <w:rsid w:val="009E4A58"/>
    <w:rsid w:val="009E5A2D"/>
    <w:rsid w:val="009E5AB2"/>
    <w:rsid w:val="009E6219"/>
    <w:rsid w:val="009F03B3"/>
    <w:rsid w:val="00A00506"/>
    <w:rsid w:val="00A0096C"/>
    <w:rsid w:val="00A01757"/>
    <w:rsid w:val="00A028C0"/>
    <w:rsid w:val="00A02BAE"/>
    <w:rsid w:val="00A06A6B"/>
    <w:rsid w:val="00A07E47"/>
    <w:rsid w:val="00A129D0"/>
    <w:rsid w:val="00A12C33"/>
    <w:rsid w:val="00A138BA"/>
    <w:rsid w:val="00A14C8E"/>
    <w:rsid w:val="00A153D9"/>
    <w:rsid w:val="00A15F09"/>
    <w:rsid w:val="00A16552"/>
    <w:rsid w:val="00A169B6"/>
    <w:rsid w:val="00A2271D"/>
    <w:rsid w:val="00A22AB6"/>
    <w:rsid w:val="00A237D5"/>
    <w:rsid w:val="00A30A86"/>
    <w:rsid w:val="00A30EFC"/>
    <w:rsid w:val="00A31984"/>
    <w:rsid w:val="00A32D73"/>
    <w:rsid w:val="00A3367B"/>
    <w:rsid w:val="00A3597D"/>
    <w:rsid w:val="00A36DD1"/>
    <w:rsid w:val="00A4006C"/>
    <w:rsid w:val="00A40091"/>
    <w:rsid w:val="00A4030F"/>
    <w:rsid w:val="00A40538"/>
    <w:rsid w:val="00A41C79"/>
    <w:rsid w:val="00A41CB5"/>
    <w:rsid w:val="00A42CDF"/>
    <w:rsid w:val="00A4452E"/>
    <w:rsid w:val="00A4472C"/>
    <w:rsid w:val="00A44E69"/>
    <w:rsid w:val="00A4661E"/>
    <w:rsid w:val="00A55BD6"/>
    <w:rsid w:val="00A55D50"/>
    <w:rsid w:val="00A57142"/>
    <w:rsid w:val="00A63987"/>
    <w:rsid w:val="00A648CD"/>
    <w:rsid w:val="00A6537A"/>
    <w:rsid w:val="00A67018"/>
    <w:rsid w:val="00A67866"/>
    <w:rsid w:val="00A70685"/>
    <w:rsid w:val="00A70B07"/>
    <w:rsid w:val="00A723F8"/>
    <w:rsid w:val="00A7414C"/>
    <w:rsid w:val="00A77CCB"/>
    <w:rsid w:val="00A80A3C"/>
    <w:rsid w:val="00A83D8D"/>
    <w:rsid w:val="00A8446B"/>
    <w:rsid w:val="00A8473F"/>
    <w:rsid w:val="00A862D6"/>
    <w:rsid w:val="00A8715E"/>
    <w:rsid w:val="00A874D6"/>
    <w:rsid w:val="00A9295B"/>
    <w:rsid w:val="00A93B09"/>
    <w:rsid w:val="00A93B57"/>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27B6"/>
    <w:rsid w:val="00AC30F7"/>
    <w:rsid w:val="00AC3A5A"/>
    <w:rsid w:val="00AC4D95"/>
    <w:rsid w:val="00AC5DF4"/>
    <w:rsid w:val="00AD04D1"/>
    <w:rsid w:val="00AD0AEF"/>
    <w:rsid w:val="00AD11B7"/>
    <w:rsid w:val="00AD1A94"/>
    <w:rsid w:val="00AD1C05"/>
    <w:rsid w:val="00AD4126"/>
    <w:rsid w:val="00AD421C"/>
    <w:rsid w:val="00AD44FA"/>
    <w:rsid w:val="00AE070A"/>
    <w:rsid w:val="00AE101C"/>
    <w:rsid w:val="00AE32A2"/>
    <w:rsid w:val="00AE37E5"/>
    <w:rsid w:val="00AE5EB4"/>
    <w:rsid w:val="00AF0C18"/>
    <w:rsid w:val="00AF39D9"/>
    <w:rsid w:val="00AF47C5"/>
    <w:rsid w:val="00AF5398"/>
    <w:rsid w:val="00B01968"/>
    <w:rsid w:val="00B049AF"/>
    <w:rsid w:val="00B07242"/>
    <w:rsid w:val="00B10534"/>
    <w:rsid w:val="00B113DB"/>
    <w:rsid w:val="00B11D8A"/>
    <w:rsid w:val="00B12981"/>
    <w:rsid w:val="00B147DD"/>
    <w:rsid w:val="00B156FD"/>
    <w:rsid w:val="00B21F61"/>
    <w:rsid w:val="00B2303B"/>
    <w:rsid w:val="00B261F1"/>
    <w:rsid w:val="00B265BC"/>
    <w:rsid w:val="00B26FC4"/>
    <w:rsid w:val="00B3023F"/>
    <w:rsid w:val="00B31FB1"/>
    <w:rsid w:val="00B33952"/>
    <w:rsid w:val="00B33C5E"/>
    <w:rsid w:val="00B342F4"/>
    <w:rsid w:val="00B34369"/>
    <w:rsid w:val="00B343D6"/>
    <w:rsid w:val="00B34DC2"/>
    <w:rsid w:val="00B36D37"/>
    <w:rsid w:val="00B36E86"/>
    <w:rsid w:val="00B378E5"/>
    <w:rsid w:val="00B40CCA"/>
    <w:rsid w:val="00B43347"/>
    <w:rsid w:val="00B4346D"/>
    <w:rsid w:val="00B440F4"/>
    <w:rsid w:val="00B447A5"/>
    <w:rsid w:val="00B4654C"/>
    <w:rsid w:val="00B46AF0"/>
    <w:rsid w:val="00B47293"/>
    <w:rsid w:val="00B50C64"/>
    <w:rsid w:val="00B50E50"/>
    <w:rsid w:val="00B52120"/>
    <w:rsid w:val="00B54ABC"/>
    <w:rsid w:val="00B54DDE"/>
    <w:rsid w:val="00B56FBE"/>
    <w:rsid w:val="00B60ACF"/>
    <w:rsid w:val="00B62B58"/>
    <w:rsid w:val="00B65149"/>
    <w:rsid w:val="00B66567"/>
    <w:rsid w:val="00B66F52"/>
    <w:rsid w:val="00B66FE5"/>
    <w:rsid w:val="00B71674"/>
    <w:rsid w:val="00B72880"/>
    <w:rsid w:val="00B735F1"/>
    <w:rsid w:val="00B758BF"/>
    <w:rsid w:val="00B76443"/>
    <w:rsid w:val="00B77EC8"/>
    <w:rsid w:val="00B827A6"/>
    <w:rsid w:val="00B831CE"/>
    <w:rsid w:val="00B860AE"/>
    <w:rsid w:val="00B86677"/>
    <w:rsid w:val="00B87131"/>
    <w:rsid w:val="00B939B1"/>
    <w:rsid w:val="00B96D40"/>
    <w:rsid w:val="00B97386"/>
    <w:rsid w:val="00BA263B"/>
    <w:rsid w:val="00BA42B2"/>
    <w:rsid w:val="00BA58D4"/>
    <w:rsid w:val="00BA5B9E"/>
    <w:rsid w:val="00BA7C9A"/>
    <w:rsid w:val="00BB0501"/>
    <w:rsid w:val="00BB079C"/>
    <w:rsid w:val="00BB203B"/>
    <w:rsid w:val="00BB5F8F"/>
    <w:rsid w:val="00BB6122"/>
    <w:rsid w:val="00BB657A"/>
    <w:rsid w:val="00BC1A4E"/>
    <w:rsid w:val="00BC3995"/>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07C"/>
    <w:rsid w:val="00C04904"/>
    <w:rsid w:val="00C056B3"/>
    <w:rsid w:val="00C103E5"/>
    <w:rsid w:val="00C13319"/>
    <w:rsid w:val="00C13EE9"/>
    <w:rsid w:val="00C21540"/>
    <w:rsid w:val="00C21906"/>
    <w:rsid w:val="00C21BFA"/>
    <w:rsid w:val="00C22148"/>
    <w:rsid w:val="00C24C8D"/>
    <w:rsid w:val="00C25C37"/>
    <w:rsid w:val="00C25FE2"/>
    <w:rsid w:val="00C26B53"/>
    <w:rsid w:val="00C279B2"/>
    <w:rsid w:val="00C3065A"/>
    <w:rsid w:val="00C33E50"/>
    <w:rsid w:val="00C34C20"/>
    <w:rsid w:val="00C35A3E"/>
    <w:rsid w:val="00C42130"/>
    <w:rsid w:val="00C423A4"/>
    <w:rsid w:val="00C44BF5"/>
    <w:rsid w:val="00C46DEE"/>
    <w:rsid w:val="00C521D6"/>
    <w:rsid w:val="00C55232"/>
    <w:rsid w:val="00C553A4"/>
    <w:rsid w:val="00C55A06"/>
    <w:rsid w:val="00C55D03"/>
    <w:rsid w:val="00C601BC"/>
    <w:rsid w:val="00C62FB1"/>
    <w:rsid w:val="00C6329F"/>
    <w:rsid w:val="00C63340"/>
    <w:rsid w:val="00C643F9"/>
    <w:rsid w:val="00C64E95"/>
    <w:rsid w:val="00C71372"/>
    <w:rsid w:val="00C72410"/>
    <w:rsid w:val="00C7287F"/>
    <w:rsid w:val="00C769A8"/>
    <w:rsid w:val="00C80982"/>
    <w:rsid w:val="00C80CB8"/>
    <w:rsid w:val="00C819F8"/>
    <w:rsid w:val="00C8248C"/>
    <w:rsid w:val="00C84E33"/>
    <w:rsid w:val="00C86D6F"/>
    <w:rsid w:val="00C905FC"/>
    <w:rsid w:val="00C927BB"/>
    <w:rsid w:val="00C92D03"/>
    <w:rsid w:val="00C9319C"/>
    <w:rsid w:val="00C9435D"/>
    <w:rsid w:val="00C94DF2"/>
    <w:rsid w:val="00C96741"/>
    <w:rsid w:val="00C969F3"/>
    <w:rsid w:val="00CA07D4"/>
    <w:rsid w:val="00CA2D1B"/>
    <w:rsid w:val="00CA375D"/>
    <w:rsid w:val="00CA662A"/>
    <w:rsid w:val="00CA7AFD"/>
    <w:rsid w:val="00CA7C3C"/>
    <w:rsid w:val="00CB00E0"/>
    <w:rsid w:val="00CB0189"/>
    <w:rsid w:val="00CB0BA2"/>
    <w:rsid w:val="00CB1A42"/>
    <w:rsid w:val="00CB1B0C"/>
    <w:rsid w:val="00CB2C0B"/>
    <w:rsid w:val="00CB517D"/>
    <w:rsid w:val="00CB6ED8"/>
    <w:rsid w:val="00CC038D"/>
    <w:rsid w:val="00CC08DB"/>
    <w:rsid w:val="00CC0BE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A53"/>
    <w:rsid w:val="00CE0C4F"/>
    <w:rsid w:val="00CE1681"/>
    <w:rsid w:val="00CE30EA"/>
    <w:rsid w:val="00CF048A"/>
    <w:rsid w:val="00CF155A"/>
    <w:rsid w:val="00CF2947"/>
    <w:rsid w:val="00CF686F"/>
    <w:rsid w:val="00CF6E60"/>
    <w:rsid w:val="00CF722A"/>
    <w:rsid w:val="00CF7BCA"/>
    <w:rsid w:val="00D008FD"/>
    <w:rsid w:val="00D0321C"/>
    <w:rsid w:val="00D035EC"/>
    <w:rsid w:val="00D068FB"/>
    <w:rsid w:val="00D06AB1"/>
    <w:rsid w:val="00D072ED"/>
    <w:rsid w:val="00D07527"/>
    <w:rsid w:val="00D07A16"/>
    <w:rsid w:val="00D1067E"/>
    <w:rsid w:val="00D10F50"/>
    <w:rsid w:val="00D11272"/>
    <w:rsid w:val="00D126F5"/>
    <w:rsid w:val="00D14780"/>
    <w:rsid w:val="00D1489E"/>
    <w:rsid w:val="00D20737"/>
    <w:rsid w:val="00D21E81"/>
    <w:rsid w:val="00D223DE"/>
    <w:rsid w:val="00D25E37"/>
    <w:rsid w:val="00D2661A"/>
    <w:rsid w:val="00D27582"/>
    <w:rsid w:val="00D275C0"/>
    <w:rsid w:val="00D27EC4"/>
    <w:rsid w:val="00D31ECF"/>
    <w:rsid w:val="00D32719"/>
    <w:rsid w:val="00D33333"/>
    <w:rsid w:val="00D33457"/>
    <w:rsid w:val="00D352A2"/>
    <w:rsid w:val="00D3660F"/>
    <w:rsid w:val="00D4162B"/>
    <w:rsid w:val="00D43AD1"/>
    <w:rsid w:val="00D4514F"/>
    <w:rsid w:val="00D451E2"/>
    <w:rsid w:val="00D45E89"/>
    <w:rsid w:val="00D45E8D"/>
    <w:rsid w:val="00D466AE"/>
    <w:rsid w:val="00D4734F"/>
    <w:rsid w:val="00D51BF3"/>
    <w:rsid w:val="00D57EDE"/>
    <w:rsid w:val="00D62656"/>
    <w:rsid w:val="00D66846"/>
    <w:rsid w:val="00D675FB"/>
    <w:rsid w:val="00D71F25"/>
    <w:rsid w:val="00D72A9C"/>
    <w:rsid w:val="00D7314C"/>
    <w:rsid w:val="00D7559E"/>
    <w:rsid w:val="00D77031"/>
    <w:rsid w:val="00D84941"/>
    <w:rsid w:val="00D84FA1"/>
    <w:rsid w:val="00D851F0"/>
    <w:rsid w:val="00D86DB7"/>
    <w:rsid w:val="00D90DE4"/>
    <w:rsid w:val="00D911AA"/>
    <w:rsid w:val="00D91C0D"/>
    <w:rsid w:val="00D926D0"/>
    <w:rsid w:val="00D93030"/>
    <w:rsid w:val="00D950E1"/>
    <w:rsid w:val="00D952A6"/>
    <w:rsid w:val="00D97F99"/>
    <w:rsid w:val="00DA1E08"/>
    <w:rsid w:val="00DA24F8"/>
    <w:rsid w:val="00DA28E8"/>
    <w:rsid w:val="00DA38D3"/>
    <w:rsid w:val="00DA3932"/>
    <w:rsid w:val="00DA3AFC"/>
    <w:rsid w:val="00DA5191"/>
    <w:rsid w:val="00DA57F0"/>
    <w:rsid w:val="00DA64F8"/>
    <w:rsid w:val="00DA6C15"/>
    <w:rsid w:val="00DB0258"/>
    <w:rsid w:val="00DB1609"/>
    <w:rsid w:val="00DB28C5"/>
    <w:rsid w:val="00DB38EE"/>
    <w:rsid w:val="00DB498B"/>
    <w:rsid w:val="00DB66CA"/>
    <w:rsid w:val="00DB6BCA"/>
    <w:rsid w:val="00DB72C2"/>
    <w:rsid w:val="00DB73F7"/>
    <w:rsid w:val="00DB7BB5"/>
    <w:rsid w:val="00DC0321"/>
    <w:rsid w:val="00DC07FB"/>
    <w:rsid w:val="00DC2F36"/>
    <w:rsid w:val="00DC3067"/>
    <w:rsid w:val="00DC370B"/>
    <w:rsid w:val="00DC5B90"/>
    <w:rsid w:val="00DD00FF"/>
    <w:rsid w:val="00DD0619"/>
    <w:rsid w:val="00DD07FB"/>
    <w:rsid w:val="00DD25C6"/>
    <w:rsid w:val="00DD4B95"/>
    <w:rsid w:val="00DD4FE5"/>
    <w:rsid w:val="00DD54B0"/>
    <w:rsid w:val="00DD57EE"/>
    <w:rsid w:val="00DD5B26"/>
    <w:rsid w:val="00DD69F0"/>
    <w:rsid w:val="00DD6BCC"/>
    <w:rsid w:val="00DE07E7"/>
    <w:rsid w:val="00DE0A4B"/>
    <w:rsid w:val="00DE2410"/>
    <w:rsid w:val="00DE2939"/>
    <w:rsid w:val="00DE6E81"/>
    <w:rsid w:val="00DE703F"/>
    <w:rsid w:val="00DE7595"/>
    <w:rsid w:val="00DF1961"/>
    <w:rsid w:val="00DF44DE"/>
    <w:rsid w:val="00DF5F11"/>
    <w:rsid w:val="00DF7550"/>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E05"/>
    <w:rsid w:val="00E34A98"/>
    <w:rsid w:val="00E35D1E"/>
    <w:rsid w:val="00E364F9"/>
    <w:rsid w:val="00E365FA"/>
    <w:rsid w:val="00E36789"/>
    <w:rsid w:val="00E44A83"/>
    <w:rsid w:val="00E45B73"/>
    <w:rsid w:val="00E46683"/>
    <w:rsid w:val="00E502C1"/>
    <w:rsid w:val="00E502DD"/>
    <w:rsid w:val="00E50D3A"/>
    <w:rsid w:val="00E51387"/>
    <w:rsid w:val="00E51E68"/>
    <w:rsid w:val="00E52EFD"/>
    <w:rsid w:val="00E52F62"/>
    <w:rsid w:val="00E5408A"/>
    <w:rsid w:val="00E557B7"/>
    <w:rsid w:val="00E56800"/>
    <w:rsid w:val="00E60C63"/>
    <w:rsid w:val="00E62FF9"/>
    <w:rsid w:val="00E635D6"/>
    <w:rsid w:val="00E639BC"/>
    <w:rsid w:val="00E64E0D"/>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8B4"/>
    <w:rsid w:val="00E969D5"/>
    <w:rsid w:val="00EA29A2"/>
    <w:rsid w:val="00EA448D"/>
    <w:rsid w:val="00EA58D1"/>
    <w:rsid w:val="00EA61BC"/>
    <w:rsid w:val="00EA681A"/>
    <w:rsid w:val="00EA735B"/>
    <w:rsid w:val="00EB152B"/>
    <w:rsid w:val="00EB17DE"/>
    <w:rsid w:val="00EB1E69"/>
    <w:rsid w:val="00EB2086"/>
    <w:rsid w:val="00EB2B5E"/>
    <w:rsid w:val="00EB5EDF"/>
    <w:rsid w:val="00EB60FE"/>
    <w:rsid w:val="00EB74DB"/>
    <w:rsid w:val="00EC3A0F"/>
    <w:rsid w:val="00EC5359"/>
    <w:rsid w:val="00EC562A"/>
    <w:rsid w:val="00ED067A"/>
    <w:rsid w:val="00ED2B50"/>
    <w:rsid w:val="00ED744A"/>
    <w:rsid w:val="00EE0350"/>
    <w:rsid w:val="00EE0719"/>
    <w:rsid w:val="00EE0E80"/>
    <w:rsid w:val="00EE54A6"/>
    <w:rsid w:val="00EE613F"/>
    <w:rsid w:val="00EE7295"/>
    <w:rsid w:val="00EE7869"/>
    <w:rsid w:val="00EF0274"/>
    <w:rsid w:val="00EF054A"/>
    <w:rsid w:val="00EF3235"/>
    <w:rsid w:val="00EF7897"/>
    <w:rsid w:val="00EF7E72"/>
    <w:rsid w:val="00F06962"/>
    <w:rsid w:val="00F06D37"/>
    <w:rsid w:val="00F076B7"/>
    <w:rsid w:val="00F07B9D"/>
    <w:rsid w:val="00F11586"/>
    <w:rsid w:val="00F1183B"/>
    <w:rsid w:val="00F11C9F"/>
    <w:rsid w:val="00F12263"/>
    <w:rsid w:val="00F1409D"/>
    <w:rsid w:val="00F14214"/>
    <w:rsid w:val="00F146C9"/>
    <w:rsid w:val="00F157A9"/>
    <w:rsid w:val="00F22357"/>
    <w:rsid w:val="00F25BB6"/>
    <w:rsid w:val="00F26B7E"/>
    <w:rsid w:val="00F27A3B"/>
    <w:rsid w:val="00F33817"/>
    <w:rsid w:val="00F420D5"/>
    <w:rsid w:val="00F451EA"/>
    <w:rsid w:val="00F45447"/>
    <w:rsid w:val="00F456C6"/>
    <w:rsid w:val="00F4577B"/>
    <w:rsid w:val="00F46496"/>
    <w:rsid w:val="00F474D0"/>
    <w:rsid w:val="00F50179"/>
    <w:rsid w:val="00F50407"/>
    <w:rsid w:val="00F515EE"/>
    <w:rsid w:val="00F54372"/>
    <w:rsid w:val="00F56511"/>
    <w:rsid w:val="00F5798A"/>
    <w:rsid w:val="00F6194E"/>
    <w:rsid w:val="00F623AC"/>
    <w:rsid w:val="00F6412A"/>
    <w:rsid w:val="00F65893"/>
    <w:rsid w:val="00F66A4A"/>
    <w:rsid w:val="00F66B70"/>
    <w:rsid w:val="00F71E22"/>
    <w:rsid w:val="00F72142"/>
    <w:rsid w:val="00F72AE7"/>
    <w:rsid w:val="00F768D4"/>
    <w:rsid w:val="00F81141"/>
    <w:rsid w:val="00F833BA"/>
    <w:rsid w:val="00F84FD0"/>
    <w:rsid w:val="00F859A8"/>
    <w:rsid w:val="00F86D87"/>
    <w:rsid w:val="00F90CA1"/>
    <w:rsid w:val="00F9108B"/>
    <w:rsid w:val="00F91349"/>
    <w:rsid w:val="00F9257D"/>
    <w:rsid w:val="00F93A8A"/>
    <w:rsid w:val="00F95248"/>
    <w:rsid w:val="00F956A9"/>
    <w:rsid w:val="00F963ED"/>
    <w:rsid w:val="00F966CF"/>
    <w:rsid w:val="00F96CAE"/>
    <w:rsid w:val="00F97C99"/>
    <w:rsid w:val="00FA4DAC"/>
    <w:rsid w:val="00FA662D"/>
    <w:rsid w:val="00FA73B1"/>
    <w:rsid w:val="00FB0206"/>
    <w:rsid w:val="00FB0CB9"/>
    <w:rsid w:val="00FB231D"/>
    <w:rsid w:val="00FB45F1"/>
    <w:rsid w:val="00FB4A72"/>
    <w:rsid w:val="00FB54E8"/>
    <w:rsid w:val="00FB7054"/>
    <w:rsid w:val="00FC07C8"/>
    <w:rsid w:val="00FC17B7"/>
    <w:rsid w:val="00FC2CB7"/>
    <w:rsid w:val="00FC4090"/>
    <w:rsid w:val="00FC55B4"/>
    <w:rsid w:val="00FD00E6"/>
    <w:rsid w:val="00FD09A1"/>
    <w:rsid w:val="00FD2A7C"/>
    <w:rsid w:val="00FD3464"/>
    <w:rsid w:val="00FD59EB"/>
    <w:rsid w:val="00FD7299"/>
    <w:rsid w:val="00FE1FBE"/>
    <w:rsid w:val="00FE3901"/>
    <w:rsid w:val="00FE39D3"/>
    <w:rsid w:val="00FE4BCE"/>
    <w:rsid w:val="00FE54AE"/>
    <w:rsid w:val="00FE576A"/>
    <w:rsid w:val="00FE6D52"/>
    <w:rsid w:val="00FE7E79"/>
    <w:rsid w:val="00FF28E0"/>
    <w:rsid w:val="00FF3E7D"/>
    <w:rsid w:val="00FF55F9"/>
    <w:rsid w:val="00FF5B99"/>
    <w:rsid w:val="00FF730C"/>
    <w:rsid w:val="00FF73F4"/>
    <w:rsid w:val="00FF7CE4"/>
    <w:rsid w:val="00FF7E39"/>
    <w:rsid w:val="01C012ED"/>
    <w:rsid w:val="03155B98"/>
    <w:rsid w:val="035548B0"/>
    <w:rsid w:val="03EC0177"/>
    <w:rsid w:val="04545D1C"/>
    <w:rsid w:val="05BC001D"/>
    <w:rsid w:val="0734406D"/>
    <w:rsid w:val="08EC0C19"/>
    <w:rsid w:val="092156AA"/>
    <w:rsid w:val="0C6A2581"/>
    <w:rsid w:val="0EED4E83"/>
    <w:rsid w:val="118045F5"/>
    <w:rsid w:val="11D77231"/>
    <w:rsid w:val="12B46304"/>
    <w:rsid w:val="12D631F2"/>
    <w:rsid w:val="13051255"/>
    <w:rsid w:val="133438E9"/>
    <w:rsid w:val="16A82624"/>
    <w:rsid w:val="18C33745"/>
    <w:rsid w:val="1A967104"/>
    <w:rsid w:val="1B724FAE"/>
    <w:rsid w:val="1BA57132"/>
    <w:rsid w:val="1D8066C9"/>
    <w:rsid w:val="1DB976EA"/>
    <w:rsid w:val="1E122A78"/>
    <w:rsid w:val="1FC81641"/>
    <w:rsid w:val="20B86878"/>
    <w:rsid w:val="214E3DC8"/>
    <w:rsid w:val="215C4736"/>
    <w:rsid w:val="219043E0"/>
    <w:rsid w:val="21E06BCE"/>
    <w:rsid w:val="22E520F0"/>
    <w:rsid w:val="23A02DD9"/>
    <w:rsid w:val="24CC68E3"/>
    <w:rsid w:val="25987D07"/>
    <w:rsid w:val="279D32FA"/>
    <w:rsid w:val="289742A6"/>
    <w:rsid w:val="28A73B39"/>
    <w:rsid w:val="28D177B8"/>
    <w:rsid w:val="28DC43AF"/>
    <w:rsid w:val="292F318E"/>
    <w:rsid w:val="294471C1"/>
    <w:rsid w:val="2A6D6825"/>
    <w:rsid w:val="2B35362F"/>
    <w:rsid w:val="2D157E8F"/>
    <w:rsid w:val="2F4F2CC4"/>
    <w:rsid w:val="2F8039F8"/>
    <w:rsid w:val="2F8135BA"/>
    <w:rsid w:val="2F837332"/>
    <w:rsid w:val="2F851855"/>
    <w:rsid w:val="30230B30"/>
    <w:rsid w:val="30811EAD"/>
    <w:rsid w:val="317167A5"/>
    <w:rsid w:val="31781750"/>
    <w:rsid w:val="31A11CF2"/>
    <w:rsid w:val="329B0A66"/>
    <w:rsid w:val="333B667A"/>
    <w:rsid w:val="34162C43"/>
    <w:rsid w:val="34A9783B"/>
    <w:rsid w:val="35F5085E"/>
    <w:rsid w:val="3781030F"/>
    <w:rsid w:val="379B7E94"/>
    <w:rsid w:val="385A64B7"/>
    <w:rsid w:val="38DE1A7D"/>
    <w:rsid w:val="390019F4"/>
    <w:rsid w:val="3AE957EA"/>
    <w:rsid w:val="3BE73D8C"/>
    <w:rsid w:val="3D366888"/>
    <w:rsid w:val="3DDB3BF6"/>
    <w:rsid w:val="3EEF6792"/>
    <w:rsid w:val="417E204F"/>
    <w:rsid w:val="42624FCD"/>
    <w:rsid w:val="4504461A"/>
    <w:rsid w:val="46DD1C51"/>
    <w:rsid w:val="4B287208"/>
    <w:rsid w:val="4D061A05"/>
    <w:rsid w:val="4D8740B7"/>
    <w:rsid w:val="4DD977ED"/>
    <w:rsid w:val="4FB05A0F"/>
    <w:rsid w:val="51743CE6"/>
    <w:rsid w:val="517D5E7F"/>
    <w:rsid w:val="554E01C2"/>
    <w:rsid w:val="558A0B6B"/>
    <w:rsid w:val="56476712"/>
    <w:rsid w:val="57F8000E"/>
    <w:rsid w:val="5A0228C5"/>
    <w:rsid w:val="5A5543F0"/>
    <w:rsid w:val="5A587827"/>
    <w:rsid w:val="5A8E6B2B"/>
    <w:rsid w:val="5AB43656"/>
    <w:rsid w:val="5ADA39FB"/>
    <w:rsid w:val="5ADD46A1"/>
    <w:rsid w:val="5C036F81"/>
    <w:rsid w:val="5C52445D"/>
    <w:rsid w:val="5C5F68AD"/>
    <w:rsid w:val="5CF3349A"/>
    <w:rsid w:val="5CFC4066"/>
    <w:rsid w:val="5FAB1E44"/>
    <w:rsid w:val="60C84BD3"/>
    <w:rsid w:val="60CA0081"/>
    <w:rsid w:val="60FA449E"/>
    <w:rsid w:val="612400C6"/>
    <w:rsid w:val="619B17A7"/>
    <w:rsid w:val="61A42FB4"/>
    <w:rsid w:val="61F77588"/>
    <w:rsid w:val="622F594D"/>
    <w:rsid w:val="629B1BAF"/>
    <w:rsid w:val="643152F7"/>
    <w:rsid w:val="668F5FE1"/>
    <w:rsid w:val="674768BC"/>
    <w:rsid w:val="67656D42"/>
    <w:rsid w:val="67BF28F6"/>
    <w:rsid w:val="684352D5"/>
    <w:rsid w:val="691B0000"/>
    <w:rsid w:val="6AA67D9D"/>
    <w:rsid w:val="6B385BA8"/>
    <w:rsid w:val="6B3E6875"/>
    <w:rsid w:val="6B4C26F3"/>
    <w:rsid w:val="6D56199F"/>
    <w:rsid w:val="6D7970A3"/>
    <w:rsid w:val="6F721651"/>
    <w:rsid w:val="70732E07"/>
    <w:rsid w:val="721024A5"/>
    <w:rsid w:val="73C53042"/>
    <w:rsid w:val="75526B58"/>
    <w:rsid w:val="76230E09"/>
    <w:rsid w:val="767F3E5C"/>
    <w:rsid w:val="76C5235F"/>
    <w:rsid w:val="77F4C7DC"/>
    <w:rsid w:val="79DB1D65"/>
    <w:rsid w:val="7A262361"/>
    <w:rsid w:val="7AABFE5C"/>
    <w:rsid w:val="7AB6270A"/>
    <w:rsid w:val="7ACA7190"/>
    <w:rsid w:val="7B130B37"/>
    <w:rsid w:val="7C093617"/>
    <w:rsid w:val="7F4A6AF1"/>
    <w:rsid w:val="E8A3A078"/>
    <w:rsid w:val="F3FE3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9"/>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0"/>
    <w:semiHidden/>
    <w:unhideWhenUsed/>
    <w:qFormat/>
    <w:uiPriority w:val="99"/>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列出段落1"/>
    <w:basedOn w:val="1"/>
    <w:qFormat/>
    <w:uiPriority w:val="34"/>
    <w:pPr>
      <w:adjustRightInd/>
      <w:spacing w:line="240" w:lineRule="auto"/>
      <w:ind w:firstLine="420" w:firstLineChars="200"/>
    </w:pPr>
    <w:rPr>
      <w:rFonts w:asciiTheme="minorHAnsi" w:hAnsiTheme="minorHAnsi" w:eastAsiaTheme="minorEastAsia" w:cstheme="minorBidi"/>
      <w:szCs w:val="24"/>
    </w:rPr>
  </w:style>
  <w:style w:type="character" w:customStyle="1" w:styleId="234">
    <w:name w:val="正文文本 (4) + MingLiU1"/>
    <w:basedOn w:val="30"/>
    <w:qFormat/>
    <w:uiPriority w:val="0"/>
    <w:rPr>
      <w:rFonts w:ascii="MingLiU" w:hAnsi="MingLiU" w:eastAsia="MingLiU" w:cs="MingLiU"/>
      <w:color w:val="000000"/>
      <w:spacing w:val="0"/>
      <w:w w:val="100"/>
      <w:position w:val="0"/>
      <w:sz w:val="19"/>
      <w:szCs w:val="19"/>
      <w:u w:val="none"/>
      <w:lang w:val="zh-TW"/>
    </w:rPr>
  </w:style>
  <w:style w:type="character" w:customStyle="1" w:styleId="235">
    <w:name w:val="正文文本 (7) + Arial Unicode MS1"/>
    <w:basedOn w:val="30"/>
    <w:qFormat/>
    <w:uiPriority w:val="0"/>
    <w:rPr>
      <w:rFonts w:ascii="Arial Unicode MS" w:hAnsi="Arial Unicode MS" w:eastAsia="Arial Unicode MS" w:cs="Arial Unicode MS"/>
      <w:color w:val="000000"/>
      <w:spacing w:val="0"/>
      <w:w w:val="100"/>
      <w:position w:val="0"/>
      <w:sz w:val="20"/>
      <w:szCs w:val="20"/>
      <w:u w:val="none"/>
      <w:lang w:val="zh-TW"/>
    </w:rPr>
  </w:style>
  <w:style w:type="paragraph" w:customStyle="1" w:styleId="236">
    <w:name w:val="正文文本1"/>
    <w:basedOn w:val="1"/>
    <w:link w:val="237"/>
    <w:qFormat/>
    <w:uiPriority w:val="0"/>
    <w:pPr>
      <w:shd w:val="clear" w:color="auto" w:fill="FFFFFF"/>
      <w:adjustRightInd/>
      <w:spacing w:line="312" w:lineRule="exact"/>
    </w:pPr>
    <w:rPr>
      <w:rFonts w:ascii="MingLiU" w:hAnsi="MingLiU" w:eastAsia="MingLiU" w:cs="MingLiU"/>
      <w:sz w:val="19"/>
      <w:szCs w:val="19"/>
    </w:rPr>
  </w:style>
  <w:style w:type="character" w:customStyle="1" w:styleId="237">
    <w:name w:val="正文文本_"/>
    <w:basedOn w:val="30"/>
    <w:link w:val="236"/>
    <w:qFormat/>
    <w:uiPriority w:val="0"/>
    <w:rPr>
      <w:rFonts w:ascii="MingLiU" w:hAnsi="MingLiU" w:eastAsia="MingLiU" w:cs="MingLiU"/>
      <w:kern w:val="2"/>
      <w:sz w:val="19"/>
      <w:szCs w:val="19"/>
      <w:shd w:val="clear" w:color="auto" w:fill="FFFFFF"/>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9">
    <w:name w:val="批注文字 字符"/>
    <w:basedOn w:val="30"/>
    <w:link w:val="13"/>
    <w:semiHidden/>
    <w:qFormat/>
    <w:uiPriority w:val="99"/>
    <w:rPr>
      <w:kern w:val="2"/>
      <w:sz w:val="21"/>
      <w:szCs w:val="21"/>
    </w:rPr>
  </w:style>
  <w:style w:type="character" w:customStyle="1" w:styleId="240">
    <w:name w:val="批注主题 字符"/>
    <w:basedOn w:val="239"/>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jpeg"/><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14C2A2AF74E4ED188587CCC104A14C0"/>
        <w:style w:val=""/>
        <w:category>
          <w:name w:val="常规"/>
          <w:gallery w:val="placeholder"/>
        </w:category>
        <w:types>
          <w:type w:val="bbPlcHdr"/>
        </w:types>
        <w:behaviors>
          <w:behavior w:val="content"/>
        </w:behaviors>
        <w:description w:val=""/>
        <w:guid w:val="{8DB39952-1C75-4F8F-8A77-855773C2A8F7}"/>
      </w:docPartPr>
      <w:docPartBody>
        <w:p w14:paraId="35965BE1">
          <w:pPr>
            <w:pStyle w:val="5"/>
            <w:rPr>
              <w:rFonts w:hint="eastAsia"/>
            </w:rPr>
          </w:pPr>
          <w:r>
            <w:rPr>
              <w:rStyle w:val="4"/>
              <w:rFonts w:hint="eastAsia"/>
            </w:rPr>
            <w:t>单击或点击此处输入文字。</w:t>
          </w:r>
        </w:p>
      </w:docPartBody>
    </w:docPart>
    <w:docPart>
      <w:docPartPr>
        <w:name w:val="7B453578ED0A4F95B8AAAF34DA700081"/>
        <w:style w:val=""/>
        <w:category>
          <w:name w:val="常规"/>
          <w:gallery w:val="placeholder"/>
        </w:category>
        <w:types>
          <w:type w:val="bbPlcHdr"/>
        </w:types>
        <w:behaviors>
          <w:behavior w:val="content"/>
        </w:behaviors>
        <w:description w:val=""/>
        <w:guid w:val="{871D4137-B747-4EFE-AE15-386F625FCB4A}"/>
      </w:docPartPr>
      <w:docPartBody>
        <w:p w14:paraId="5D8DE6D6">
          <w:pPr>
            <w:pStyle w:val="6"/>
            <w:rPr>
              <w:rFonts w:hint="eastAsia"/>
            </w:rPr>
          </w:pPr>
          <w:r>
            <w:rPr>
              <w:rStyle w:val="4"/>
              <w:rFonts w:hint="eastAsia"/>
            </w:rPr>
            <w:t>选择一项。</w:t>
          </w:r>
        </w:p>
      </w:docPartBody>
    </w:docPart>
    <w:docPart>
      <w:docPartPr>
        <w:name w:val="A82642D36AB54D96B978D0FAF22DE821"/>
        <w:style w:val=""/>
        <w:category>
          <w:name w:val="常规"/>
          <w:gallery w:val="placeholder"/>
        </w:category>
        <w:types>
          <w:type w:val="bbPlcHdr"/>
        </w:types>
        <w:behaviors>
          <w:behavior w:val="content"/>
        </w:behaviors>
        <w:description w:val=""/>
        <w:guid w:val="{9A76665C-E977-4284-A23C-07847521F590}"/>
      </w:docPartPr>
      <w:docPartBody>
        <w:p w14:paraId="3A591BA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E7"/>
    <w:rsid w:val="000019FF"/>
    <w:rsid w:val="0063115D"/>
    <w:rsid w:val="006442DF"/>
    <w:rsid w:val="00694B6D"/>
    <w:rsid w:val="00713150"/>
    <w:rsid w:val="008E04F1"/>
    <w:rsid w:val="00A16552"/>
    <w:rsid w:val="00A4357B"/>
    <w:rsid w:val="00A70DF8"/>
    <w:rsid w:val="00B860AE"/>
    <w:rsid w:val="00C668E7"/>
    <w:rsid w:val="00D31254"/>
    <w:rsid w:val="00D90DE4"/>
    <w:rsid w:val="00E245FD"/>
    <w:rsid w:val="00EB2B5E"/>
    <w:rsid w:val="00FB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14C2A2AF74E4ED188587CCC104A14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B453578ED0A4F95B8AAAF34DA7000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82642D36AB54D96B978D0FAF22DE8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18</Pages>
  <Words>254</Words>
  <Characters>404</Characters>
  <Lines>92</Lines>
  <Paragraphs>25</Paragraphs>
  <TotalTime>17</TotalTime>
  <ScaleCrop>false</ScaleCrop>
  <LinksUpToDate>false</LinksUpToDate>
  <CharactersWithSpaces>498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2024-10-30T16:02:00Z</dcterms:created>
  <dc:creator>HP Inc.</dc:creator>
  <dc:description>&lt;config cover="true" show_menu="true" version="1.0.0" doctype="SDKXY"&gt;_x000d_
&lt;/config&gt;</dc:description>
  <cp:lastModifiedBy>陈思强</cp:lastModifiedBy>
  <cp:lastPrinted>2024-11-15T01:23:00Z</cp:lastPrinted>
  <dcterms:modified xsi:type="dcterms:W3CDTF">2024-12-11T03:03:58Z</dcterms:modified>
  <dc:title>地方标准</dc:title>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82D501DE25E04E96AD15CAE40554DBEB_13</vt:lpwstr>
  </property>
  <property fmtid="{D5CDD505-2E9C-101B-9397-08002B2CF9AE}" pid="16" name="DoublePage">
    <vt:lpwstr>true</vt:lpwstr>
  </property>
</Properties>
</file>