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4AD58">
      <w:pPr>
        <w:jc w:val="center"/>
        <w:rPr>
          <w:rFonts w:hint="eastAsia" w:ascii="黑体" w:hAnsi="黑体" w:eastAsia="黑体" w:cs="黑体"/>
          <w:b w:val="0"/>
          <w:bCs w:val="0"/>
          <w:sz w:val="36"/>
          <w:szCs w:val="36"/>
          <w:lang w:val="en-US" w:eastAsia="zh-CN"/>
        </w:rPr>
      </w:pPr>
      <w:r>
        <w:rPr>
          <w:rFonts w:hint="eastAsia" w:ascii="黑体" w:hAnsi="黑体" w:eastAsia="黑体" w:cs="黑体"/>
          <w:b w:val="0"/>
          <w:bCs w:val="0"/>
          <w:sz w:val="36"/>
          <w:szCs w:val="36"/>
          <w:lang w:val="en-US" w:eastAsia="zh-CN"/>
        </w:rPr>
        <w:t>《区域品牌价值评价》团体标准</w:t>
      </w:r>
    </w:p>
    <w:p w14:paraId="153E5AF3">
      <w:pPr>
        <w:jc w:val="center"/>
        <w:rPr>
          <w:rFonts w:hint="eastAsia" w:ascii="黑体" w:hAnsi="黑体" w:eastAsia="黑体" w:cs="黑体"/>
          <w:b w:val="0"/>
          <w:bCs w:val="0"/>
          <w:sz w:val="36"/>
          <w:szCs w:val="36"/>
          <w:lang w:val="en-US" w:eastAsia="zh-CN"/>
        </w:rPr>
      </w:pPr>
      <w:r>
        <w:rPr>
          <w:rFonts w:hint="eastAsia" w:ascii="黑体" w:hAnsi="黑体" w:eastAsia="黑体" w:cs="黑体"/>
          <w:b w:val="0"/>
          <w:bCs w:val="0"/>
          <w:sz w:val="36"/>
          <w:szCs w:val="36"/>
          <w:lang w:val="en-US" w:eastAsia="zh-CN"/>
        </w:rPr>
        <w:t>编制说明</w:t>
      </w:r>
    </w:p>
    <w:p w14:paraId="58BE1D09">
      <w:pPr>
        <w:numPr>
          <w:ilvl w:val="0"/>
          <w:numId w:val="0"/>
        </w:numPr>
        <w:jc w:val="left"/>
        <w:rPr>
          <w:rFonts w:hint="eastAsia" w:ascii="黑体" w:hAnsi="黑体" w:eastAsia="黑体" w:cs="黑体"/>
          <w:b w:val="0"/>
          <w:bCs w:val="0"/>
          <w:sz w:val="32"/>
          <w:szCs w:val="32"/>
          <w:lang w:val="en-US" w:eastAsia="zh-CN"/>
        </w:rPr>
      </w:pPr>
      <w:r>
        <w:rPr>
          <w:rFonts w:hint="eastAsia" w:ascii="黑体" w:hAnsi="黑体" w:eastAsia="黑体" w:cs="黑体"/>
          <w:b w:val="0"/>
          <w:bCs w:val="0"/>
          <w:kern w:val="2"/>
          <w:sz w:val="32"/>
          <w:szCs w:val="32"/>
          <w:lang w:val="en-US" w:eastAsia="zh-CN" w:bidi="ar-SA"/>
        </w:rPr>
        <w:t>一、</w:t>
      </w:r>
      <w:r>
        <w:rPr>
          <w:rFonts w:hint="eastAsia" w:ascii="黑体" w:hAnsi="黑体" w:eastAsia="黑体" w:cs="黑体"/>
          <w:b w:val="0"/>
          <w:bCs w:val="0"/>
          <w:sz w:val="32"/>
          <w:szCs w:val="32"/>
          <w:lang w:val="en-US" w:eastAsia="zh-CN"/>
        </w:rPr>
        <w:t>项目来源</w:t>
      </w:r>
    </w:p>
    <w:p w14:paraId="4A4C6F81">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2023年2月，中共中央、国务院发布《质量强国建设纲要》提出“完善品牌培育发展机制，开展中国品牌创建行动”，实现“品牌培育、发展、壮大的促进机制和支持制度更加健全，品牌建设水平显著提高，企业争创品牌、大众信赖品牌的氛围更加浓厚，品质卓越、特色鲜明的品牌领军企业持续涌现，形成一大批质量过硬、优势明显的中国品牌”。</w:t>
      </w:r>
    </w:p>
    <w:p w14:paraId="04D0A421">
      <w:pPr>
        <w:numPr>
          <w:ilvl w:val="0"/>
          <w:numId w:val="0"/>
        </w:numPr>
        <w:ind w:firstLine="640" w:firstLineChars="200"/>
        <w:jc w:val="both"/>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b w:val="0"/>
          <w:bCs w:val="0"/>
          <w:sz w:val="32"/>
          <w:szCs w:val="32"/>
          <w:lang w:val="en-US" w:eastAsia="zh-CN"/>
        </w:rPr>
        <w:t>区域品牌是众多产品品牌的升华，它代表着一个地方产业、产品的主体形象，在一定程度上体现着区域经济可持续发展的能力和水平，对促进区域经济发展具有不可忽视的重要意义。开展区域品牌价值评价有助于提升产品所在区域的知名度与美誉度，充分发挥区域相关产业集群的凝聚力和向心力，促进区域经济提质增效，积极推动国家竞争力提升。</w:t>
      </w:r>
      <w:r>
        <w:rPr>
          <w:rFonts w:hint="eastAsia" w:ascii="仿宋" w:hAnsi="仿宋" w:eastAsia="仿宋" w:cs="仿宋"/>
          <w:color w:val="auto"/>
          <w:sz w:val="32"/>
          <w:szCs w:val="28"/>
          <w:highlight w:val="none"/>
          <w:lang w:val="en-US" w:eastAsia="zh-CN"/>
        </w:rPr>
        <w:t>由江西绿色生态品牌建设促进会提出，</w:t>
      </w:r>
      <w:r>
        <w:rPr>
          <w:rFonts w:hint="eastAsia" w:ascii="仿宋" w:hAnsi="仿宋" w:eastAsia="仿宋" w:cs="仿宋"/>
          <w:i w:val="0"/>
          <w:iCs w:val="0"/>
          <w:caps w:val="0"/>
          <w:color w:val="333333"/>
          <w:spacing w:val="0"/>
          <w:sz w:val="32"/>
          <w:szCs w:val="32"/>
          <w:shd w:val="clear" w:fill="FFFFFF"/>
          <w:lang w:val="en-US" w:eastAsia="zh-CN"/>
        </w:rPr>
        <w:t>江西省质量和标准化研究、院中国标准化研究院等单位共同组织起草制定《区域品牌价值评价》团体标准。</w:t>
      </w:r>
    </w:p>
    <w:p w14:paraId="7C6B27C9">
      <w:pPr>
        <w:numPr>
          <w:ilvl w:val="0"/>
          <w:numId w:val="0"/>
        </w:num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kern w:val="2"/>
          <w:sz w:val="32"/>
          <w:szCs w:val="32"/>
          <w:lang w:val="en-US" w:eastAsia="zh-CN" w:bidi="ar-SA"/>
        </w:rPr>
        <w:t>二、</w:t>
      </w:r>
      <w:r>
        <w:rPr>
          <w:rFonts w:hint="eastAsia" w:ascii="黑体" w:hAnsi="黑体" w:eastAsia="黑体" w:cs="黑体"/>
          <w:b w:val="0"/>
          <w:bCs w:val="0"/>
          <w:sz w:val="32"/>
          <w:szCs w:val="32"/>
          <w:lang w:val="en-US" w:eastAsia="zh-CN"/>
        </w:rPr>
        <w:t>背景和意义</w:t>
      </w:r>
    </w:p>
    <w:p w14:paraId="0D352F21">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开展区域品牌价值评价工作，是在全球经济一体化与市场竞争加剧的大背景下，提升地区经济竞争力、促进区域可持续发展的重要举措。随着品牌经济的兴起，品牌已成为衡量一个地区经济实力和市场影响力的重要指标。区域品牌，作为区域内企业群体和特定产业共同拥有的无形资产，其价值的彰显不仅关乎单个企业的兴衰，更直接影响到整个区域的经济形象和发展潜力。</w:t>
      </w:r>
    </w:p>
    <w:p w14:paraId="560D1F78">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区域品牌价值，首先有助于地方政府和相关部门准确把握区域品牌的发展现状与潜力，为制定科学合理的品牌战略规划提供数据支持。其次，通过评价可以激励区域内企业加强品牌建设，提升产品质量和服务水平，共同维护和提升区域品牌形象。此外，区域品牌价值评价还有助于吸引外部投资，增强投资者信心，为区域经济发展注入新的活力。</w:t>
      </w:r>
    </w:p>
    <w:p w14:paraId="4F3E9A7B">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总之，开展区域品牌价值评价工作，对于推动区域品牌建设、提升区域竞争力、促进经济转型升级具有重要意义。它不仅是区域经济发展的现实需求，也是实现经济高质量发展的重要途径。因此，各地应高度重视区域品牌价值评价工作，不断完善评价体系，提升评价质量，为区域经济的持续健康发展提供有力支撑。</w:t>
      </w:r>
    </w:p>
    <w:p w14:paraId="0026C742">
      <w:pPr>
        <w:numPr>
          <w:ilvl w:val="0"/>
          <w:numId w:val="0"/>
        </w:num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lang w:val="en-US" w:eastAsia="zh-CN"/>
        </w:rPr>
        <w:t>主要工作过程</w:t>
      </w:r>
    </w:p>
    <w:p w14:paraId="78C59848">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成立标准起草工作组：组成标准起草小组，并编制标准编制计划，明确小组各成员的职责和分工，把握标准编制的时间阶段和进度。由江西省质量和标准化研究院和中国标准化研究院承担本标准的主要起草任务，启动本标准的编制工作。</w:t>
      </w:r>
    </w:p>
    <w:p w14:paraId="5902A81C">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2.形成标准框架：通过调研我省食品相关产品企业，了解区域品牌建设方面的情况，同时收集相关国家标准、行业标准等资料，如《品牌评价 品牌价值评价要求》（GB/T 29187-2012）、《品牌价值评价 多周期超额收益法》（GB/T 29188-2022）等，分析区域品牌的内容和界限、品牌的评价原则、品牌评价指标体系、品牌评价的方法等，为研制《区域品牌价值评价》标准做准备，形成标准框架，并在标准起草组内部进行讨论，进一步完善标准框架内容。</w:t>
      </w:r>
    </w:p>
    <w:p w14:paraId="709C9C90">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形成标准草稿：根据调研和专家意见，起草小组讨论确定标准的主要框架，包括区域品牌价值评价的测算模型、测算指标、测算过程等；根据框架形成标准初稿，并在起草小组内进行讨论，根据修改意见形成修改，修改后组织相关专家进行研讨，听取专家意见，对标准进行修改。</w:t>
      </w:r>
    </w:p>
    <w:p w14:paraId="6518D5E9">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广泛征求意见。为贯彻标准化工作“统一、简化、协调、最优”的基本原理，确保本标准的科学性和实用性，主要起草单位面向社会广泛征求意见，对各个单位专家的意见进行收集和整理，省质标院对标准的内容进行修改完善，保证该标准的科学性和适用性。</w:t>
      </w:r>
    </w:p>
    <w:p w14:paraId="31E08419">
      <w:pPr>
        <w:numPr>
          <w:ilvl w:val="0"/>
          <w:numId w:val="0"/>
        </w:num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四、编制原则及技术依据</w:t>
      </w:r>
    </w:p>
    <w:p w14:paraId="7604F6BE">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 编制原则</w:t>
      </w:r>
    </w:p>
    <w:p w14:paraId="71D91166">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1、与有关法律法规一致，并与现行有效标准相协调。</w:t>
      </w:r>
    </w:p>
    <w:p w14:paraId="367802DF">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2、编写格式符合GB/T 1.1-2020 《标准化工作导则 第1部分：标准化文件的结构和起草规则》的要求。</w:t>
      </w:r>
    </w:p>
    <w:p w14:paraId="1789AB81">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3、技术条款内容的编制遵循协商一致、共同使用、重复使用的原则。</w:t>
      </w:r>
    </w:p>
    <w:p w14:paraId="5278CBA6">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（二）技术依据</w:t>
      </w:r>
    </w:p>
    <w:p w14:paraId="1714F489">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本文件规范性引用文件包括：</w:t>
      </w:r>
    </w:p>
    <w:p w14:paraId="5BD26BB3">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GB/T 29185  品牌价值术语</w:t>
      </w:r>
    </w:p>
    <w:p w14:paraId="26C08C10">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GB/T 29186  品牌价值要素</w:t>
      </w:r>
    </w:p>
    <w:p w14:paraId="5CE2B95D">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GB/T 29187  品牌评价 品牌价值评价要求</w:t>
      </w:r>
    </w:p>
    <w:p w14:paraId="0E4F3D9E">
      <w:pPr>
        <w:numPr>
          <w:ilvl w:val="0"/>
          <w:numId w:val="0"/>
        </w:num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五、标准主要内容</w:t>
      </w:r>
    </w:p>
    <w:p w14:paraId="2F95983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本文件规定了区域品牌价值评价的测算模型、测算指标、测算过程等内容的相关要求，适用于产品类区域品牌价值评价。主要内容框架如下表1所示。</w:t>
      </w:r>
    </w:p>
    <w:p w14:paraId="43A2DC2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center"/>
        <w:textAlignment w:val="auto"/>
        <w:rPr>
          <w:rFonts w:hint="eastAsia" w:ascii="仿宋" w:hAnsi="仿宋" w:eastAsia="仿宋" w:cs="仿宋"/>
          <w:sz w:val="32"/>
          <w:szCs w:val="32"/>
          <w:lang w:val="en-US"/>
        </w:rPr>
      </w:pPr>
      <w:r>
        <w:rPr>
          <w:rFonts w:hint="eastAsia" w:ascii="仿宋" w:hAnsi="仿宋" w:eastAsia="仿宋" w:cs="仿宋"/>
          <w:b w:val="0"/>
          <w:bCs w:val="0"/>
          <w:sz w:val="32"/>
          <w:szCs w:val="32"/>
          <w:lang w:val="en-US" w:eastAsia="zh-CN"/>
        </w:rPr>
        <w:t>表1 区域品牌价值评价主要内容框架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548"/>
        <w:gridCol w:w="3145"/>
        <w:gridCol w:w="3829"/>
      </w:tblGrid>
      <w:tr w14:paraId="3C81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79" w:hRule="atLeast"/>
        </w:trPr>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14:paraId="5842039D">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品牌价值测算模型</w:t>
            </w:r>
          </w:p>
        </w:tc>
        <w:tc>
          <w:tcPr>
            <w:tcW w:w="6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494137">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规定了品牌价值评价的超额收益测算模型及在计算单位超额收益、毛利率、品牌强度等指标时的计算公式</w:t>
            </w:r>
          </w:p>
        </w:tc>
      </w:tr>
      <w:tr w14:paraId="4D149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48" w:type="dxa"/>
            <w:vMerge w:val="restart"/>
            <w:tcBorders>
              <w:top w:val="single" w:color="auto" w:sz="4" w:space="0"/>
              <w:left w:val="single" w:color="auto" w:sz="4" w:space="0"/>
              <w:right w:val="single" w:color="auto" w:sz="4" w:space="0"/>
            </w:tcBorders>
            <w:shd w:val="clear" w:color="auto" w:fill="auto"/>
            <w:vAlign w:val="center"/>
          </w:tcPr>
          <w:p w14:paraId="7A9D143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场地设施要求</w:t>
            </w: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39D9247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概述</w:t>
            </w:r>
          </w:p>
        </w:tc>
        <w:tc>
          <w:tcPr>
            <w:tcW w:w="3829" w:type="dxa"/>
            <w:vMerge w:val="restart"/>
            <w:tcBorders>
              <w:top w:val="single" w:color="auto" w:sz="4" w:space="0"/>
              <w:left w:val="single" w:color="auto" w:sz="4" w:space="0"/>
              <w:right w:val="single" w:color="auto" w:sz="4" w:space="0"/>
            </w:tcBorders>
            <w:shd w:val="clear" w:color="auto" w:fill="auto"/>
            <w:vAlign w:val="center"/>
          </w:tcPr>
          <w:p w14:paraId="3FAE10C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本部分规定了产品品牌强度测算指标包括无形要素、质量、服务和保护创新。</w:t>
            </w:r>
          </w:p>
        </w:tc>
      </w:tr>
      <w:tr w14:paraId="39D7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48" w:type="dxa"/>
            <w:vMerge w:val="continue"/>
            <w:tcBorders>
              <w:left w:val="single" w:color="auto" w:sz="4" w:space="0"/>
              <w:right w:val="single" w:color="auto" w:sz="4" w:space="0"/>
            </w:tcBorders>
            <w:shd w:val="clear" w:color="auto" w:fill="auto"/>
            <w:vAlign w:val="center"/>
          </w:tcPr>
          <w:p w14:paraId="70378B1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eastAsia" w:ascii="仿宋" w:hAnsi="仿宋" w:eastAsia="仿宋" w:cs="仿宋"/>
                <w:b w:val="0"/>
                <w:bCs w:val="0"/>
                <w:kern w:val="2"/>
                <w:sz w:val="32"/>
                <w:szCs w:val="32"/>
                <w:lang w:val="en-US" w:eastAsia="zh-CN" w:bidi="ar-SA"/>
              </w:rPr>
            </w:pP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7D3CEC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无形要素</w:t>
            </w:r>
          </w:p>
        </w:tc>
        <w:tc>
          <w:tcPr>
            <w:tcW w:w="3829" w:type="dxa"/>
            <w:vMerge w:val="continue"/>
            <w:tcBorders>
              <w:left w:val="single" w:color="auto" w:sz="4" w:space="0"/>
              <w:right w:val="single" w:color="auto" w:sz="4" w:space="0"/>
            </w:tcBorders>
            <w:shd w:val="clear" w:color="auto" w:fill="auto"/>
            <w:vAlign w:val="center"/>
          </w:tcPr>
          <w:p w14:paraId="63FBFAB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r>
      <w:tr w14:paraId="4753D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48" w:type="dxa"/>
            <w:vMerge w:val="continue"/>
            <w:tcBorders>
              <w:left w:val="single" w:color="auto" w:sz="4" w:space="0"/>
              <w:right w:val="single" w:color="auto" w:sz="4" w:space="0"/>
            </w:tcBorders>
            <w:shd w:val="clear" w:color="auto" w:fill="auto"/>
            <w:vAlign w:val="center"/>
          </w:tcPr>
          <w:p w14:paraId="2F86B0E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eastAsia" w:ascii="仿宋" w:hAnsi="仿宋" w:eastAsia="仿宋" w:cs="仿宋"/>
                <w:b w:val="0"/>
                <w:bCs w:val="0"/>
                <w:kern w:val="2"/>
                <w:sz w:val="32"/>
                <w:szCs w:val="32"/>
                <w:lang w:val="en-US" w:eastAsia="zh-CN" w:bidi="ar-SA"/>
              </w:rPr>
            </w:pP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0EA634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质量</w:t>
            </w:r>
          </w:p>
        </w:tc>
        <w:tc>
          <w:tcPr>
            <w:tcW w:w="3829" w:type="dxa"/>
            <w:vMerge w:val="continue"/>
            <w:tcBorders>
              <w:left w:val="single" w:color="auto" w:sz="4" w:space="0"/>
              <w:right w:val="single" w:color="auto" w:sz="4" w:space="0"/>
            </w:tcBorders>
            <w:shd w:val="clear" w:color="auto" w:fill="auto"/>
            <w:vAlign w:val="center"/>
          </w:tcPr>
          <w:p w14:paraId="3752462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r>
      <w:tr w14:paraId="698AF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48" w:type="dxa"/>
            <w:vMerge w:val="continue"/>
            <w:tcBorders>
              <w:left w:val="single" w:color="auto" w:sz="4" w:space="0"/>
              <w:right w:val="single" w:color="auto" w:sz="4" w:space="0"/>
            </w:tcBorders>
            <w:shd w:val="clear" w:color="auto" w:fill="auto"/>
            <w:vAlign w:val="center"/>
          </w:tcPr>
          <w:p w14:paraId="505B6A3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eastAsia" w:ascii="仿宋" w:hAnsi="仿宋" w:eastAsia="仿宋" w:cs="仿宋"/>
                <w:b w:val="0"/>
                <w:bCs w:val="0"/>
                <w:kern w:val="2"/>
                <w:sz w:val="32"/>
                <w:szCs w:val="32"/>
                <w:lang w:val="en-US" w:eastAsia="zh-CN" w:bidi="ar-SA"/>
              </w:rPr>
            </w:pP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5D60F6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服务</w:t>
            </w:r>
          </w:p>
        </w:tc>
        <w:tc>
          <w:tcPr>
            <w:tcW w:w="3829" w:type="dxa"/>
            <w:vMerge w:val="continue"/>
            <w:tcBorders>
              <w:left w:val="single" w:color="auto" w:sz="4" w:space="0"/>
              <w:right w:val="single" w:color="auto" w:sz="4" w:space="0"/>
            </w:tcBorders>
            <w:shd w:val="clear" w:color="auto" w:fill="auto"/>
            <w:vAlign w:val="center"/>
          </w:tcPr>
          <w:p w14:paraId="11B2B29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r>
      <w:tr w14:paraId="7BE2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48" w:type="dxa"/>
            <w:vMerge w:val="continue"/>
            <w:tcBorders>
              <w:left w:val="single" w:color="auto" w:sz="4" w:space="0"/>
              <w:bottom w:val="single" w:color="auto" w:sz="4" w:space="0"/>
              <w:right w:val="single" w:color="auto" w:sz="4" w:space="0"/>
            </w:tcBorders>
            <w:shd w:val="clear" w:color="auto" w:fill="auto"/>
            <w:vAlign w:val="center"/>
          </w:tcPr>
          <w:p w14:paraId="2696AA8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eastAsia" w:ascii="仿宋" w:hAnsi="仿宋" w:eastAsia="仿宋" w:cs="仿宋"/>
                <w:b w:val="0"/>
                <w:bCs w:val="0"/>
                <w:kern w:val="2"/>
                <w:sz w:val="32"/>
                <w:szCs w:val="32"/>
                <w:lang w:val="en-US" w:eastAsia="zh-CN" w:bidi="ar-SA"/>
              </w:rPr>
            </w:pP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716CF4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保护创新</w:t>
            </w:r>
          </w:p>
        </w:tc>
        <w:tc>
          <w:tcPr>
            <w:tcW w:w="3829" w:type="dxa"/>
            <w:vMerge w:val="continue"/>
            <w:tcBorders>
              <w:left w:val="single" w:color="auto" w:sz="4" w:space="0"/>
              <w:bottom w:val="single" w:color="auto" w:sz="4" w:space="0"/>
              <w:right w:val="single" w:color="auto" w:sz="4" w:space="0"/>
            </w:tcBorders>
            <w:shd w:val="clear" w:color="auto" w:fill="auto"/>
            <w:vAlign w:val="center"/>
          </w:tcPr>
          <w:p w14:paraId="1C3FF22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r>
      <w:tr w14:paraId="1AA19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5" w:hRule="atLeast"/>
        </w:trPr>
        <w:tc>
          <w:tcPr>
            <w:tcW w:w="1548" w:type="dxa"/>
            <w:vMerge w:val="restart"/>
            <w:tcBorders>
              <w:top w:val="single" w:color="auto" w:sz="4" w:space="0"/>
              <w:left w:val="single" w:color="auto" w:sz="4" w:space="0"/>
              <w:right w:val="single" w:color="auto" w:sz="4" w:space="0"/>
            </w:tcBorders>
            <w:shd w:val="clear" w:color="auto" w:fill="auto"/>
            <w:vAlign w:val="center"/>
          </w:tcPr>
          <w:p w14:paraId="20CDF79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测算过程</w:t>
            </w: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0C7A324F">
            <w:pPr>
              <w:pStyle w:val="3"/>
              <w:keepNext w:val="0"/>
              <w:keepLines w:val="0"/>
              <w:widowControl/>
              <w:numPr>
                <w:ilvl w:val="0"/>
                <w:numId w:val="0"/>
              </w:numPr>
              <w:suppressLineNumbers w:val="0"/>
              <w:spacing w:before="120" w:beforeLines="50" w:beforeAutospacing="0" w:after="120" w:afterLines="50" w:afterAutospacing="0"/>
              <w:ind w:left="0" w:right="0" w:rightChars="0"/>
              <w:jc w:val="center"/>
              <w:outlineLvl w:val="2"/>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识别评价目的</w:t>
            </w:r>
          </w:p>
        </w:tc>
        <w:tc>
          <w:tcPr>
            <w:tcW w:w="3829" w:type="dxa"/>
            <w:vMerge w:val="restart"/>
            <w:tcBorders>
              <w:top w:val="single" w:color="auto" w:sz="4" w:space="0"/>
              <w:left w:val="single" w:color="auto" w:sz="4" w:space="0"/>
              <w:right w:val="single" w:color="auto" w:sz="4" w:space="0"/>
            </w:tcBorders>
            <w:shd w:val="clear" w:color="auto" w:fill="auto"/>
            <w:vAlign w:val="center"/>
          </w:tcPr>
          <w:p w14:paraId="00E4871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本部分规定了区域品牌价值评价的测算过程，包括评价目的、确定影响因素、描述品牌、采集相关数据、测算过程、报告测算的结果等。</w:t>
            </w:r>
          </w:p>
        </w:tc>
      </w:tr>
      <w:tr w14:paraId="2369D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7" w:hRule="atLeast"/>
        </w:trPr>
        <w:tc>
          <w:tcPr>
            <w:tcW w:w="1548" w:type="dxa"/>
            <w:vMerge w:val="continue"/>
            <w:tcBorders>
              <w:left w:val="single" w:color="auto" w:sz="4" w:space="0"/>
              <w:right w:val="single" w:color="auto" w:sz="4" w:space="0"/>
            </w:tcBorders>
            <w:shd w:val="clear" w:color="auto" w:fill="auto"/>
            <w:vAlign w:val="center"/>
          </w:tcPr>
          <w:p w14:paraId="0209EE4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40E85F28">
            <w:pPr>
              <w:pStyle w:val="3"/>
              <w:keepNext w:val="0"/>
              <w:keepLines w:val="0"/>
              <w:widowControl/>
              <w:numPr>
                <w:ilvl w:val="0"/>
                <w:numId w:val="0"/>
              </w:numPr>
              <w:suppressLineNumbers w:val="0"/>
              <w:spacing w:before="120" w:beforeLines="50" w:beforeAutospacing="0" w:after="120" w:afterLines="50" w:afterAutospacing="0"/>
              <w:ind w:left="0" w:right="0" w:rightChars="0"/>
              <w:jc w:val="center"/>
              <w:outlineLvl w:val="2"/>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明确价值影响因素</w:t>
            </w:r>
          </w:p>
        </w:tc>
        <w:tc>
          <w:tcPr>
            <w:tcW w:w="3829" w:type="dxa"/>
            <w:vMerge w:val="continue"/>
            <w:tcBorders>
              <w:left w:val="single" w:color="auto" w:sz="4" w:space="0"/>
              <w:right w:val="single" w:color="auto" w:sz="4" w:space="0"/>
            </w:tcBorders>
            <w:shd w:val="clear" w:color="auto" w:fill="auto"/>
            <w:vAlign w:val="center"/>
          </w:tcPr>
          <w:p w14:paraId="6D614DF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r>
      <w:tr w14:paraId="6CDB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48" w:type="dxa"/>
            <w:vMerge w:val="continue"/>
            <w:tcBorders>
              <w:left w:val="single" w:color="auto" w:sz="4" w:space="0"/>
              <w:right w:val="single" w:color="auto" w:sz="4" w:space="0"/>
            </w:tcBorders>
            <w:shd w:val="clear" w:color="auto" w:fill="auto"/>
            <w:vAlign w:val="center"/>
          </w:tcPr>
          <w:p w14:paraId="2A42DAE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0BDBE5CB">
            <w:pPr>
              <w:pStyle w:val="3"/>
              <w:keepNext w:val="0"/>
              <w:keepLines w:val="0"/>
              <w:widowControl/>
              <w:numPr>
                <w:ilvl w:val="0"/>
                <w:numId w:val="0"/>
              </w:numPr>
              <w:suppressLineNumbers w:val="0"/>
              <w:spacing w:before="120" w:beforeLines="50" w:beforeAutospacing="0" w:after="120" w:afterLines="50" w:afterAutospacing="0"/>
              <w:ind w:left="0" w:right="0" w:rightChars="0"/>
              <w:jc w:val="center"/>
              <w:outlineLvl w:val="2"/>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描述测算区域品牌</w:t>
            </w:r>
          </w:p>
        </w:tc>
        <w:tc>
          <w:tcPr>
            <w:tcW w:w="3829" w:type="dxa"/>
            <w:vMerge w:val="continue"/>
            <w:tcBorders>
              <w:left w:val="single" w:color="auto" w:sz="4" w:space="0"/>
              <w:right w:val="single" w:color="auto" w:sz="4" w:space="0"/>
            </w:tcBorders>
            <w:shd w:val="clear" w:color="auto" w:fill="auto"/>
            <w:vAlign w:val="center"/>
          </w:tcPr>
          <w:p w14:paraId="2C890F9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r>
      <w:tr w14:paraId="5C25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48" w:type="dxa"/>
            <w:vMerge w:val="continue"/>
            <w:tcBorders>
              <w:left w:val="single" w:color="auto" w:sz="4" w:space="0"/>
              <w:right w:val="single" w:color="auto" w:sz="4" w:space="0"/>
            </w:tcBorders>
            <w:shd w:val="clear" w:color="auto" w:fill="auto"/>
            <w:vAlign w:val="center"/>
          </w:tcPr>
          <w:p w14:paraId="0080299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4BD01E40">
            <w:pPr>
              <w:pStyle w:val="3"/>
              <w:keepNext w:val="0"/>
              <w:keepLines w:val="0"/>
              <w:widowControl/>
              <w:numPr>
                <w:ilvl w:val="0"/>
                <w:numId w:val="0"/>
              </w:numPr>
              <w:suppressLineNumbers w:val="0"/>
              <w:spacing w:before="120" w:beforeLines="50" w:beforeAutospacing="0" w:after="120" w:afterLines="50" w:afterAutospacing="0"/>
              <w:ind w:left="0" w:right="0" w:rightChars="0"/>
              <w:jc w:val="center"/>
              <w:outlineLvl w:val="2"/>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采集测算数据</w:t>
            </w:r>
          </w:p>
        </w:tc>
        <w:tc>
          <w:tcPr>
            <w:tcW w:w="3829" w:type="dxa"/>
            <w:vMerge w:val="continue"/>
            <w:tcBorders>
              <w:left w:val="single" w:color="auto" w:sz="4" w:space="0"/>
              <w:right w:val="single" w:color="auto" w:sz="4" w:space="0"/>
            </w:tcBorders>
            <w:shd w:val="clear" w:color="auto" w:fill="auto"/>
            <w:vAlign w:val="center"/>
          </w:tcPr>
          <w:p w14:paraId="36AA241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r>
      <w:tr w14:paraId="5080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48" w:type="dxa"/>
            <w:vMerge w:val="continue"/>
            <w:tcBorders>
              <w:left w:val="single" w:color="auto" w:sz="4" w:space="0"/>
              <w:right w:val="single" w:color="auto" w:sz="4" w:space="0"/>
            </w:tcBorders>
            <w:shd w:val="clear" w:color="auto" w:fill="auto"/>
            <w:vAlign w:val="center"/>
          </w:tcPr>
          <w:p w14:paraId="0A15E9F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4CC508F4">
            <w:pPr>
              <w:pStyle w:val="3"/>
              <w:keepNext w:val="0"/>
              <w:keepLines w:val="0"/>
              <w:widowControl/>
              <w:numPr>
                <w:ilvl w:val="0"/>
                <w:numId w:val="0"/>
              </w:numPr>
              <w:suppressLineNumbers w:val="0"/>
              <w:spacing w:before="120" w:beforeLines="50" w:beforeAutospacing="0" w:after="120" w:afterLines="50" w:afterAutospacing="0"/>
              <w:ind w:left="0" w:right="0" w:rightChars="0"/>
              <w:jc w:val="center"/>
              <w:outlineLvl w:val="2"/>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执行测算过程</w:t>
            </w:r>
          </w:p>
        </w:tc>
        <w:tc>
          <w:tcPr>
            <w:tcW w:w="3829" w:type="dxa"/>
            <w:vMerge w:val="continue"/>
            <w:tcBorders>
              <w:left w:val="single" w:color="auto" w:sz="4" w:space="0"/>
              <w:right w:val="single" w:color="auto" w:sz="4" w:space="0"/>
            </w:tcBorders>
            <w:shd w:val="clear" w:color="auto" w:fill="auto"/>
            <w:vAlign w:val="center"/>
          </w:tcPr>
          <w:p w14:paraId="39FEB72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r>
      <w:tr w14:paraId="05577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48" w:type="dxa"/>
            <w:vMerge w:val="continue"/>
            <w:tcBorders>
              <w:left w:val="single" w:color="auto" w:sz="4" w:space="0"/>
              <w:bottom w:val="single" w:color="auto" w:sz="4" w:space="0"/>
              <w:right w:val="single" w:color="auto" w:sz="4" w:space="0"/>
            </w:tcBorders>
            <w:shd w:val="clear" w:color="auto" w:fill="auto"/>
            <w:vAlign w:val="center"/>
          </w:tcPr>
          <w:p w14:paraId="594B3EA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2AD92DCB">
            <w:pPr>
              <w:pStyle w:val="3"/>
              <w:keepNext w:val="0"/>
              <w:keepLines w:val="0"/>
              <w:widowControl/>
              <w:numPr>
                <w:ilvl w:val="0"/>
                <w:numId w:val="0"/>
              </w:numPr>
              <w:suppressLineNumbers w:val="0"/>
              <w:spacing w:before="120" w:beforeLines="50" w:beforeAutospacing="0" w:after="120" w:afterLines="50" w:afterAutospacing="0"/>
              <w:ind w:left="0" w:right="0" w:rightChars="0"/>
              <w:jc w:val="center"/>
              <w:outlineLvl w:val="2"/>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报告测算结果</w:t>
            </w:r>
          </w:p>
        </w:tc>
        <w:tc>
          <w:tcPr>
            <w:tcW w:w="3829" w:type="dxa"/>
            <w:vMerge w:val="continue"/>
            <w:tcBorders>
              <w:left w:val="single" w:color="auto" w:sz="4" w:space="0"/>
              <w:bottom w:val="single" w:color="auto" w:sz="4" w:space="0"/>
              <w:right w:val="single" w:color="auto" w:sz="4" w:space="0"/>
            </w:tcBorders>
            <w:shd w:val="clear" w:color="auto" w:fill="auto"/>
            <w:vAlign w:val="center"/>
          </w:tcPr>
          <w:p w14:paraId="46DF95B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方正仿宋_GB2312" w:hAnsi="方正仿宋_GB2312" w:eastAsia="方正仿宋_GB2312" w:cs="方正仿宋_GB2312"/>
                <w:b w:val="0"/>
                <w:bCs w:val="0"/>
                <w:kern w:val="2"/>
                <w:sz w:val="32"/>
                <w:szCs w:val="32"/>
                <w:lang w:val="en-US" w:eastAsia="zh-CN" w:bidi="ar-SA"/>
              </w:rPr>
            </w:pPr>
          </w:p>
        </w:tc>
      </w:tr>
      <w:tr w14:paraId="5F4B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F3307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Times New Roman" w:hAnsi="Times New Roman" w:cs="Times New Roman"/>
                <w:sz w:val="20"/>
                <w:szCs w:val="20"/>
              </w:rPr>
            </w:pPr>
          </w:p>
        </w:tc>
        <w:tc>
          <w:tcPr>
            <w:tcW w:w="3145" w:type="dxa"/>
            <w:tcBorders>
              <w:top w:val="single" w:color="auto" w:sz="4" w:space="0"/>
              <w:left w:val="single" w:color="auto" w:sz="4" w:space="0"/>
              <w:bottom w:val="single" w:color="auto" w:sz="4" w:space="0"/>
              <w:right w:val="single" w:color="auto" w:sz="4" w:space="0"/>
            </w:tcBorders>
            <w:shd w:val="clear" w:color="auto" w:fill="auto"/>
            <w:vAlign w:val="center"/>
          </w:tcPr>
          <w:p w14:paraId="055C2E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持续改进</w:t>
            </w:r>
          </w:p>
        </w:tc>
        <w:tc>
          <w:tcPr>
            <w:tcW w:w="382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8F265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default" w:ascii="Times New Roman" w:hAnsi="Times New Roman" w:cs="Times New Roman"/>
                <w:sz w:val="20"/>
                <w:szCs w:val="20"/>
              </w:rPr>
            </w:pPr>
          </w:p>
        </w:tc>
      </w:tr>
    </w:tbl>
    <w:p w14:paraId="2323ED26">
      <w:pPr>
        <w:numPr>
          <w:ilvl w:val="0"/>
          <w:numId w:val="0"/>
        </w:num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六、标准实施预期效益</w:t>
      </w:r>
    </w:p>
    <w:p w14:paraId="61DA6B81">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 w:hAnsi="仿宋" w:eastAsia="仿宋" w:cs="仿宋"/>
          <w:bCs/>
          <w:kern w:val="2"/>
          <w:sz w:val="32"/>
          <w:szCs w:val="32"/>
          <w:lang w:val="en-US" w:eastAsia="zh-CN" w:bidi="ar"/>
        </w:rPr>
      </w:pPr>
      <w:r>
        <w:rPr>
          <w:rFonts w:hint="eastAsia" w:ascii="仿宋" w:hAnsi="仿宋" w:eastAsia="仿宋" w:cs="仿宋"/>
          <w:i w:val="0"/>
          <w:iCs w:val="0"/>
          <w:caps w:val="0"/>
          <w:color w:val="333333"/>
          <w:spacing w:val="0"/>
          <w:sz w:val="32"/>
          <w:szCs w:val="32"/>
          <w:shd w:val="clear" w:fill="FFFFFF"/>
          <w:lang w:val="en-US" w:eastAsia="zh-CN"/>
        </w:rPr>
        <w:t>该标准的发布实施，可以进一步规范区域品牌的价值评价工作，激励区域内企业加强品牌建设，提升产品质量和服务水平，共同维护和提升区域品牌形象。</w:t>
      </w:r>
    </w:p>
    <w:p w14:paraId="292C3447">
      <w:pPr>
        <w:numPr>
          <w:ilvl w:val="0"/>
          <w:numId w:val="0"/>
        </w:num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七、贯彻标准的要求和措施建议</w:t>
      </w:r>
      <w:bookmarkStart w:id="0" w:name="_GoBack"/>
      <w:bookmarkEnd w:id="0"/>
    </w:p>
    <w:p w14:paraId="4BAD4A04">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为贯彻实施本标准，建议标准发布后有针对性的开展标准的宣贯和集中培训，增强相关单位实施标准的自觉性，使标准得到有效运用，逐渐形成标准化长效机制，有力推进区域品牌的价值评价工作高质量发展。</w:t>
      </w:r>
    </w:p>
    <w:p w14:paraId="57443A41">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 w:hAnsi="仿宋" w:eastAsia="仿宋" w:cs="仿宋"/>
          <w:i w:val="0"/>
          <w:iCs w:val="0"/>
          <w:caps w:val="0"/>
          <w:color w:val="333333"/>
          <w:spacing w:val="0"/>
          <w:sz w:val="32"/>
          <w:szCs w:val="32"/>
          <w:shd w:val="clear" w:fill="FFFFFF"/>
          <w:lang w:val="en-US" w:eastAsia="zh-CN"/>
        </w:rPr>
      </w:pPr>
    </w:p>
    <w:p w14:paraId="6007F9E1">
      <w:pPr>
        <w:keepNext w:val="0"/>
        <w:keepLines w:val="0"/>
        <w:widowControl w:val="0"/>
        <w:suppressLineNumbers w:val="0"/>
        <w:spacing w:before="0" w:beforeAutospacing="0" w:after="0" w:afterAutospacing="0" w:line="560" w:lineRule="exact"/>
        <w:ind w:left="0" w:right="0" w:firstLine="640" w:firstLineChars="200"/>
        <w:jc w:val="center"/>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 xml:space="preserve">                              标准起草组</w:t>
      </w:r>
    </w:p>
    <w:p w14:paraId="648CA63B">
      <w:pPr>
        <w:keepNext w:val="0"/>
        <w:keepLines w:val="0"/>
        <w:widowControl w:val="0"/>
        <w:suppressLineNumbers w:val="0"/>
        <w:spacing w:before="0" w:beforeAutospacing="0" w:after="0" w:afterAutospacing="0" w:line="560" w:lineRule="exact"/>
        <w:ind w:left="0" w:right="0" w:firstLine="640" w:firstLineChars="200"/>
        <w:jc w:val="center"/>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 xml:space="preserve">                             2024.11.10</w:t>
      </w:r>
    </w:p>
    <w:p w14:paraId="47CB5F9D">
      <w:pPr>
        <w:numPr>
          <w:ilvl w:val="0"/>
          <w:numId w:val="0"/>
        </w:numPr>
        <w:jc w:val="both"/>
        <w:rPr>
          <w:rFonts w:hint="default"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B403D1-DAB0-4B1A-8DA1-142CB65612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F6848F8A-AFCA-4918-BD26-EF29FFBBB846}"/>
  </w:font>
  <w:font w:name="仿宋">
    <w:panose1 w:val="02010609060101010101"/>
    <w:charset w:val="86"/>
    <w:family w:val="auto"/>
    <w:pitch w:val="default"/>
    <w:sig w:usb0="800002BF" w:usb1="38CF7CFA" w:usb2="00000016" w:usb3="00000000" w:csb0="00040001" w:csb1="00000000"/>
    <w:embedRegular r:id="rId3" w:fontKey="{3B4E2CE7-DB38-40FC-BD8D-3DE999FE0043}"/>
  </w:font>
  <w:font w:name="方正仿宋_GB2312">
    <w:panose1 w:val="02000000000000000000"/>
    <w:charset w:val="86"/>
    <w:family w:val="auto"/>
    <w:pitch w:val="default"/>
    <w:sig w:usb0="A00002BF" w:usb1="184F6CFA" w:usb2="00000012" w:usb3="00000000" w:csb0="00040001" w:csb1="00000000"/>
    <w:embedRegular r:id="rId4" w:fontKey="{C588DA43-7F76-4529-8A3C-C549C4FE89FC}"/>
  </w:font>
  <w:font w:name="方正楷体_GBK">
    <w:panose1 w:val="02000000000000000000"/>
    <w:charset w:val="86"/>
    <w:family w:val="auto"/>
    <w:pitch w:val="default"/>
    <w:sig w:usb0="800002BF" w:usb1="38C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2NGY1MWQ2Y2Q5NjVlMGQ3ZmMyYTQxYzZhN2IwN2UifQ=="/>
  </w:docVars>
  <w:rsids>
    <w:rsidRoot w:val="00000000"/>
    <w:rsid w:val="008C4421"/>
    <w:rsid w:val="03F0230F"/>
    <w:rsid w:val="05A641DE"/>
    <w:rsid w:val="05FD14F7"/>
    <w:rsid w:val="062C0D20"/>
    <w:rsid w:val="073E4C1D"/>
    <w:rsid w:val="080F3108"/>
    <w:rsid w:val="08947D6A"/>
    <w:rsid w:val="08A913A8"/>
    <w:rsid w:val="08F37D4B"/>
    <w:rsid w:val="09E42A36"/>
    <w:rsid w:val="0AA775B5"/>
    <w:rsid w:val="0C3D75AD"/>
    <w:rsid w:val="0CF47519"/>
    <w:rsid w:val="0E2239A0"/>
    <w:rsid w:val="0E6D3EB2"/>
    <w:rsid w:val="0FA03CFB"/>
    <w:rsid w:val="107879B7"/>
    <w:rsid w:val="10F438A6"/>
    <w:rsid w:val="117F1B61"/>
    <w:rsid w:val="118C0CE6"/>
    <w:rsid w:val="11E22BE4"/>
    <w:rsid w:val="124078A3"/>
    <w:rsid w:val="12CD7A3B"/>
    <w:rsid w:val="13A46FD7"/>
    <w:rsid w:val="141F3524"/>
    <w:rsid w:val="147A1AB5"/>
    <w:rsid w:val="161C2EBD"/>
    <w:rsid w:val="16364B39"/>
    <w:rsid w:val="168D7B86"/>
    <w:rsid w:val="16F063CE"/>
    <w:rsid w:val="16FA7B44"/>
    <w:rsid w:val="17281012"/>
    <w:rsid w:val="180D3A19"/>
    <w:rsid w:val="180D48EB"/>
    <w:rsid w:val="180D615B"/>
    <w:rsid w:val="184E5AE0"/>
    <w:rsid w:val="190C355D"/>
    <w:rsid w:val="193219F3"/>
    <w:rsid w:val="1A28746E"/>
    <w:rsid w:val="1A9F5C83"/>
    <w:rsid w:val="1AC518BC"/>
    <w:rsid w:val="1D661760"/>
    <w:rsid w:val="1D7E1366"/>
    <w:rsid w:val="1E3C748F"/>
    <w:rsid w:val="1EAD473D"/>
    <w:rsid w:val="1EE35021"/>
    <w:rsid w:val="1F2977B4"/>
    <w:rsid w:val="1FB35B25"/>
    <w:rsid w:val="1FBC675E"/>
    <w:rsid w:val="203E5C0E"/>
    <w:rsid w:val="20D34192"/>
    <w:rsid w:val="20E31C95"/>
    <w:rsid w:val="22A52D87"/>
    <w:rsid w:val="23132F9D"/>
    <w:rsid w:val="23A913AF"/>
    <w:rsid w:val="25425AB7"/>
    <w:rsid w:val="256B1EE2"/>
    <w:rsid w:val="26265483"/>
    <w:rsid w:val="26351C0F"/>
    <w:rsid w:val="26690DBB"/>
    <w:rsid w:val="26A36CD3"/>
    <w:rsid w:val="26AA62DB"/>
    <w:rsid w:val="26B9340C"/>
    <w:rsid w:val="26D25226"/>
    <w:rsid w:val="284534CD"/>
    <w:rsid w:val="2906688B"/>
    <w:rsid w:val="2930142C"/>
    <w:rsid w:val="2A4D1CD3"/>
    <w:rsid w:val="2A6312C5"/>
    <w:rsid w:val="2A947685"/>
    <w:rsid w:val="2AD13990"/>
    <w:rsid w:val="2B1D3BAD"/>
    <w:rsid w:val="2BB7066B"/>
    <w:rsid w:val="2BE46CB6"/>
    <w:rsid w:val="2C0840FB"/>
    <w:rsid w:val="2C0954BB"/>
    <w:rsid w:val="2C192FB5"/>
    <w:rsid w:val="2D2F4D5E"/>
    <w:rsid w:val="2D946321"/>
    <w:rsid w:val="2DEA0667"/>
    <w:rsid w:val="2FFA2029"/>
    <w:rsid w:val="31CD3195"/>
    <w:rsid w:val="331D7851"/>
    <w:rsid w:val="336640DF"/>
    <w:rsid w:val="336773A2"/>
    <w:rsid w:val="341B00A5"/>
    <w:rsid w:val="34C0167E"/>
    <w:rsid w:val="3577082C"/>
    <w:rsid w:val="35976B2D"/>
    <w:rsid w:val="360F23FC"/>
    <w:rsid w:val="36112732"/>
    <w:rsid w:val="365A7770"/>
    <w:rsid w:val="36C1635E"/>
    <w:rsid w:val="37E53E5A"/>
    <w:rsid w:val="3A2D08E8"/>
    <w:rsid w:val="3AEA1B07"/>
    <w:rsid w:val="3B062D80"/>
    <w:rsid w:val="3B51036B"/>
    <w:rsid w:val="3B531703"/>
    <w:rsid w:val="3D733BDF"/>
    <w:rsid w:val="3DB14F91"/>
    <w:rsid w:val="3E3D38EC"/>
    <w:rsid w:val="3F3D113E"/>
    <w:rsid w:val="3F871E17"/>
    <w:rsid w:val="3FC73256"/>
    <w:rsid w:val="3FF47AD0"/>
    <w:rsid w:val="40404B2D"/>
    <w:rsid w:val="40412D53"/>
    <w:rsid w:val="405904C7"/>
    <w:rsid w:val="40A9786C"/>
    <w:rsid w:val="40EA6DA0"/>
    <w:rsid w:val="41B911D9"/>
    <w:rsid w:val="42411286"/>
    <w:rsid w:val="42A8486F"/>
    <w:rsid w:val="42CE77DC"/>
    <w:rsid w:val="4351130C"/>
    <w:rsid w:val="45A3697F"/>
    <w:rsid w:val="45D54999"/>
    <w:rsid w:val="45FB0E39"/>
    <w:rsid w:val="469E3156"/>
    <w:rsid w:val="477D0B96"/>
    <w:rsid w:val="493C36E5"/>
    <w:rsid w:val="49730B1D"/>
    <w:rsid w:val="4B9A2945"/>
    <w:rsid w:val="4C600F0A"/>
    <w:rsid w:val="4CA00282"/>
    <w:rsid w:val="4CA57EF7"/>
    <w:rsid w:val="4D344DD8"/>
    <w:rsid w:val="4E145669"/>
    <w:rsid w:val="50935D71"/>
    <w:rsid w:val="52327BFD"/>
    <w:rsid w:val="52AE0292"/>
    <w:rsid w:val="52C84F9C"/>
    <w:rsid w:val="52EF39E7"/>
    <w:rsid w:val="53D21809"/>
    <w:rsid w:val="54063B97"/>
    <w:rsid w:val="545021DD"/>
    <w:rsid w:val="547E6335"/>
    <w:rsid w:val="548418BD"/>
    <w:rsid w:val="54F733A3"/>
    <w:rsid w:val="55446B86"/>
    <w:rsid w:val="557C2F60"/>
    <w:rsid w:val="5594795D"/>
    <w:rsid w:val="5772549B"/>
    <w:rsid w:val="57C27305"/>
    <w:rsid w:val="58234108"/>
    <w:rsid w:val="586F0E15"/>
    <w:rsid w:val="58E92F8C"/>
    <w:rsid w:val="5918390E"/>
    <w:rsid w:val="593E1C02"/>
    <w:rsid w:val="59A22338"/>
    <w:rsid w:val="5A693273"/>
    <w:rsid w:val="5A9977C2"/>
    <w:rsid w:val="5B6B0DBA"/>
    <w:rsid w:val="5C07551A"/>
    <w:rsid w:val="5C1E08E3"/>
    <w:rsid w:val="5C634802"/>
    <w:rsid w:val="5CB66792"/>
    <w:rsid w:val="5CC642F3"/>
    <w:rsid w:val="5E094BBE"/>
    <w:rsid w:val="5E3379FA"/>
    <w:rsid w:val="5E412C38"/>
    <w:rsid w:val="5F0167AA"/>
    <w:rsid w:val="5F284B06"/>
    <w:rsid w:val="5F353CB5"/>
    <w:rsid w:val="5F4B19FF"/>
    <w:rsid w:val="5F6429C7"/>
    <w:rsid w:val="60093D47"/>
    <w:rsid w:val="60563CB7"/>
    <w:rsid w:val="606F6E3F"/>
    <w:rsid w:val="615B6749"/>
    <w:rsid w:val="622C75D8"/>
    <w:rsid w:val="641A09B9"/>
    <w:rsid w:val="642F4735"/>
    <w:rsid w:val="648A7D2A"/>
    <w:rsid w:val="64F04D84"/>
    <w:rsid w:val="656A3ADE"/>
    <w:rsid w:val="65724A28"/>
    <w:rsid w:val="6586160D"/>
    <w:rsid w:val="65C46213"/>
    <w:rsid w:val="66400D4E"/>
    <w:rsid w:val="67884BEB"/>
    <w:rsid w:val="67885022"/>
    <w:rsid w:val="68B2012E"/>
    <w:rsid w:val="68E4520C"/>
    <w:rsid w:val="68FD4BB4"/>
    <w:rsid w:val="69634BC7"/>
    <w:rsid w:val="69A94D64"/>
    <w:rsid w:val="69ED7834"/>
    <w:rsid w:val="6AB87835"/>
    <w:rsid w:val="6AE36966"/>
    <w:rsid w:val="6BBF7EEE"/>
    <w:rsid w:val="6D1F5A5E"/>
    <w:rsid w:val="6D654C96"/>
    <w:rsid w:val="6DB30E52"/>
    <w:rsid w:val="6F3E2A96"/>
    <w:rsid w:val="6F9F70EA"/>
    <w:rsid w:val="6FAF1A22"/>
    <w:rsid w:val="6FE5677F"/>
    <w:rsid w:val="6FE612EC"/>
    <w:rsid w:val="715327AC"/>
    <w:rsid w:val="72C46C06"/>
    <w:rsid w:val="72D0771C"/>
    <w:rsid w:val="73590636"/>
    <w:rsid w:val="73646CBC"/>
    <w:rsid w:val="73A06775"/>
    <w:rsid w:val="74544F7D"/>
    <w:rsid w:val="75956A46"/>
    <w:rsid w:val="75B301BA"/>
    <w:rsid w:val="76FE044B"/>
    <w:rsid w:val="77153F52"/>
    <w:rsid w:val="77565A2B"/>
    <w:rsid w:val="77D52E62"/>
    <w:rsid w:val="78090097"/>
    <w:rsid w:val="78C75A60"/>
    <w:rsid w:val="78F63940"/>
    <w:rsid w:val="790F0804"/>
    <w:rsid w:val="79FC12C1"/>
    <w:rsid w:val="7A043BA8"/>
    <w:rsid w:val="7B1B66DA"/>
    <w:rsid w:val="7BD00F9E"/>
    <w:rsid w:val="7D195D1A"/>
    <w:rsid w:val="7DB511E9"/>
    <w:rsid w:val="7E2F5334"/>
    <w:rsid w:val="7E3D535C"/>
    <w:rsid w:val="7E4348D5"/>
    <w:rsid w:val="7E7E3DD3"/>
    <w:rsid w:val="7E85626A"/>
    <w:rsid w:val="7EDA1B2A"/>
    <w:rsid w:val="7F186123"/>
    <w:rsid w:val="7FEA0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Web)"/>
    <w:basedOn w:val="1"/>
    <w:qFormat/>
    <w:uiPriority w:val="0"/>
    <w:rPr>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00FF"/>
      <w:u w:val="single"/>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
    <w:name w:val="一级无"/>
    <w:basedOn w:val="10"/>
    <w:qFormat/>
    <w:uiPriority w:val="0"/>
    <w:pPr>
      <w:spacing w:before="0" w:beforeLines="0" w:after="0" w:afterLines="0"/>
    </w:pPr>
    <w:rPr>
      <w:rFonts w:ascii="宋体" w:eastAsia="宋体"/>
    </w:rPr>
  </w:style>
  <w:style w:type="paragraph" w:customStyle="1" w:styleId="10">
    <w:name w:val="一级条标题"/>
    <w:next w:val="8"/>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2061</Words>
  <Characters>2133</Characters>
  <Lines>0</Lines>
  <Paragraphs>0</Paragraphs>
  <TotalTime>95</TotalTime>
  <ScaleCrop>false</ScaleCrop>
  <LinksUpToDate>false</LinksUpToDate>
  <CharactersWithSpaces>2152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2023-07-19T09:26:00Z</dcterms:created>
  <dc:creator>Lenovo</dc:creator>
  <cp:lastModifiedBy>jiangshui</cp:lastModifiedBy>
  <dcterms:modified xsi:type="dcterms:W3CDTF">2024-11-13T08:23:47Z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E1D77DB51246434D9D1CF2747B603E38_13</vt:lpwstr>
  </property>
</Properties>
</file>