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b/>
          <w:sz w:val="36"/>
          <w:szCs w:val="28"/>
        </w:rPr>
      </w:pPr>
      <w:r>
        <w:rPr>
          <w:rFonts w:hint="eastAsia" w:ascii="Times New Roman" w:hAnsi="Times New Roman" w:eastAsia="宋体"/>
          <w:b/>
          <w:sz w:val="36"/>
          <w:szCs w:val="28"/>
        </w:rPr>
        <w:t>广西地方检定规程《称重容罐校准规范》</w:t>
      </w:r>
    </w:p>
    <w:p>
      <w:pPr>
        <w:jc w:val="center"/>
        <w:rPr>
          <w:rFonts w:ascii="Times New Roman" w:hAnsi="Times New Roman" w:eastAsia="宋体"/>
          <w:b/>
          <w:sz w:val="36"/>
          <w:szCs w:val="28"/>
        </w:rPr>
      </w:pPr>
      <w:r>
        <w:rPr>
          <w:rFonts w:hint="eastAsia" w:ascii="Times New Roman" w:hAnsi="Times New Roman" w:eastAsia="宋体"/>
          <w:b/>
          <w:sz w:val="36"/>
          <w:szCs w:val="28"/>
        </w:rPr>
        <w:t>编制说明</w:t>
      </w:r>
    </w:p>
    <w:p>
      <w:pPr>
        <w:pStyle w:val="8"/>
        <w:numPr>
          <w:ilvl w:val="0"/>
          <w:numId w:val="1"/>
        </w:numPr>
        <w:spacing w:line="360" w:lineRule="auto"/>
        <w:ind w:firstLineChars="0"/>
        <w:rPr>
          <w:rFonts w:ascii="Times New Roman" w:hAnsi="Times New Roman" w:eastAsia="宋体"/>
          <w:sz w:val="28"/>
          <w:szCs w:val="28"/>
        </w:rPr>
      </w:pPr>
      <w:r>
        <w:rPr>
          <w:rFonts w:hint="eastAsia" w:ascii="Times New Roman" w:hAnsi="Times New Roman" w:eastAsia="宋体"/>
          <w:sz w:val="28"/>
          <w:szCs w:val="28"/>
        </w:rPr>
        <w:t>任务来源</w:t>
      </w:r>
    </w:p>
    <w:p>
      <w:pPr>
        <w:pStyle w:val="8"/>
        <w:spacing w:line="360" w:lineRule="auto"/>
        <w:ind w:firstLine="560"/>
        <w:rPr>
          <w:rFonts w:ascii="Times New Roman" w:hAnsi="Times New Roman" w:eastAsia="宋体"/>
          <w:sz w:val="28"/>
          <w:szCs w:val="28"/>
        </w:rPr>
      </w:pPr>
      <w:r>
        <w:rPr>
          <w:rFonts w:hint="eastAsia" w:ascii="Times New Roman" w:hAnsi="Times New Roman" w:eastAsia="宋体"/>
          <w:sz w:val="28"/>
          <w:szCs w:val="28"/>
        </w:rPr>
        <w:t>根据《广西壮族自治区市场监督管理局关于</w:t>
      </w:r>
      <w:r>
        <w:rPr>
          <w:rFonts w:hint="eastAsia" w:ascii="Times New Roman" w:hAnsi="Times New Roman" w:eastAsia="宋体"/>
          <w:sz w:val="28"/>
          <w:szCs w:val="28"/>
          <w:lang w:eastAsia="zh-CN"/>
        </w:rPr>
        <w:t>发布</w:t>
      </w:r>
      <w:r>
        <w:rPr>
          <w:rFonts w:hint="eastAsia" w:ascii="Times New Roman" w:hAnsi="Times New Roman" w:eastAsia="宋体"/>
          <w:sz w:val="28"/>
          <w:szCs w:val="28"/>
          <w:lang w:val="en-US" w:eastAsia="zh-CN"/>
        </w:rPr>
        <w:t>2024</w:t>
      </w:r>
      <w:r>
        <w:rPr>
          <w:rFonts w:hint="eastAsia" w:ascii="Times New Roman" w:hAnsi="Times New Roman" w:eastAsia="宋体"/>
          <w:sz w:val="28"/>
          <w:szCs w:val="28"/>
        </w:rPr>
        <w:t>年度广西地方计量技术规范制修订计划的通告》</w:t>
      </w:r>
      <w:r>
        <w:rPr>
          <w:rFonts w:ascii="Times New Roman" w:hAnsi="Times New Roman" w:eastAsia="宋体"/>
          <w:sz w:val="28"/>
          <w:szCs w:val="28"/>
        </w:rPr>
        <w:t>的要求，由</w:t>
      </w:r>
      <w:r>
        <w:rPr>
          <w:rFonts w:hint="eastAsia" w:ascii="Times New Roman" w:hAnsi="Times New Roman" w:eastAsia="宋体"/>
          <w:sz w:val="28"/>
          <w:szCs w:val="28"/>
        </w:rPr>
        <w:t>柳州市计量技术测试研究所承担</w:t>
      </w:r>
      <w:r>
        <w:rPr>
          <w:rFonts w:ascii="Times New Roman" w:hAnsi="Times New Roman" w:eastAsia="宋体"/>
          <w:sz w:val="28"/>
          <w:szCs w:val="28"/>
        </w:rPr>
        <w:t>《</w:t>
      </w:r>
      <w:r>
        <w:rPr>
          <w:rFonts w:hint="eastAsia" w:ascii="Times New Roman" w:hAnsi="Times New Roman" w:eastAsia="宋体"/>
          <w:sz w:val="28"/>
          <w:szCs w:val="28"/>
        </w:rPr>
        <w:t>称重容罐校准规范</w:t>
      </w:r>
      <w:r>
        <w:rPr>
          <w:rFonts w:ascii="Times New Roman" w:hAnsi="Times New Roman" w:eastAsia="宋体"/>
          <w:sz w:val="28"/>
          <w:szCs w:val="28"/>
        </w:rPr>
        <w:t>》的</w:t>
      </w:r>
      <w:r>
        <w:rPr>
          <w:rFonts w:hint="eastAsia" w:ascii="Times New Roman" w:hAnsi="Times New Roman" w:eastAsia="宋体"/>
          <w:sz w:val="28"/>
          <w:szCs w:val="28"/>
        </w:rPr>
        <w:t>编写任务。</w:t>
      </w:r>
    </w:p>
    <w:p>
      <w:pPr>
        <w:pStyle w:val="8"/>
        <w:numPr>
          <w:ilvl w:val="0"/>
          <w:numId w:val="1"/>
        </w:numPr>
        <w:ind w:firstLineChars="0"/>
        <w:rPr>
          <w:rFonts w:ascii="Times New Roman" w:hAnsi="Times New Roman" w:eastAsia="宋体" w:cs="宋体"/>
          <w:kern w:val="0"/>
          <w:sz w:val="28"/>
          <w:szCs w:val="28"/>
        </w:rPr>
      </w:pPr>
      <w:r>
        <w:rPr>
          <w:rFonts w:hint="eastAsia" w:ascii="Times New Roman" w:hAnsi="Times New Roman" w:eastAsia="宋体" w:cs="宋体"/>
          <w:kern w:val="0"/>
          <w:sz w:val="28"/>
          <w:szCs w:val="28"/>
        </w:rPr>
        <w:t>规程编制修订的主要依据</w:t>
      </w:r>
    </w:p>
    <w:p>
      <w:pPr>
        <w:pStyle w:val="8"/>
        <w:ind w:firstLine="560"/>
        <w:rPr>
          <w:rFonts w:ascii="Times New Roman" w:hAnsi="Times New Roman" w:eastAsia="宋体" w:cs="宋体"/>
          <w:kern w:val="0"/>
          <w:sz w:val="28"/>
          <w:szCs w:val="28"/>
        </w:rPr>
      </w:pPr>
      <w:r>
        <w:rPr>
          <w:rFonts w:hint="eastAsia" w:ascii="Times New Roman" w:hAnsi="Times New Roman" w:eastAsia="宋体" w:cs="宋体"/>
          <w:kern w:val="0"/>
          <w:sz w:val="28"/>
          <w:szCs w:val="28"/>
        </w:rPr>
        <w:t>本规范的编写格式遵从了</w:t>
      </w:r>
      <w:r>
        <w:rPr>
          <w:rFonts w:ascii="Times New Roman" w:hAnsi="Times New Roman" w:eastAsia="宋体" w:cs="宋体"/>
          <w:kern w:val="0"/>
          <w:sz w:val="28"/>
          <w:szCs w:val="28"/>
        </w:rPr>
        <w:t>JJF 1002-2010《国家计量检定规程编写规则》</w:t>
      </w:r>
      <w:r>
        <w:rPr>
          <w:rFonts w:hint="eastAsia" w:ascii="Times New Roman" w:hAnsi="Times New Roman" w:eastAsia="宋体" w:cs="宋体"/>
          <w:kern w:val="0"/>
          <w:sz w:val="28"/>
          <w:szCs w:val="28"/>
        </w:rPr>
        <w:t>、</w:t>
      </w:r>
      <w:r>
        <w:rPr>
          <w:rFonts w:ascii="Times New Roman" w:hAnsi="Times New Roman" w:eastAsia="宋体" w:cs="宋体"/>
          <w:kern w:val="0"/>
          <w:sz w:val="28"/>
          <w:szCs w:val="28"/>
        </w:rPr>
        <w:t>JJF1001-2011《通用计量术语及定义》</w:t>
      </w:r>
      <w:r>
        <w:rPr>
          <w:rFonts w:hint="eastAsia" w:ascii="Times New Roman" w:hAnsi="Times New Roman" w:eastAsia="宋体" w:cs="宋体"/>
          <w:kern w:val="0"/>
          <w:sz w:val="28"/>
          <w:szCs w:val="28"/>
        </w:rPr>
        <w:t>和JJF 1181-2007《衡器计量名词术语及定义》</w:t>
      </w:r>
      <w:r>
        <w:rPr>
          <w:rFonts w:ascii="Times New Roman" w:hAnsi="Times New Roman" w:eastAsia="宋体" w:cs="宋体"/>
          <w:kern w:val="0"/>
          <w:sz w:val="28"/>
          <w:szCs w:val="28"/>
        </w:rPr>
        <w:t>的要求，</w:t>
      </w:r>
      <w:r>
        <w:rPr>
          <w:rFonts w:hint="eastAsia" w:ascii="Times New Roman" w:hAnsi="Times New Roman" w:eastAsia="宋体" w:cs="宋体"/>
          <w:kern w:val="0"/>
          <w:sz w:val="28"/>
          <w:szCs w:val="28"/>
        </w:rPr>
        <w:t>编写修订过程参考了国家计量技术规范JJG99-2006 砝码、JJG539-201 数字指示秤、JJG133-2016汽车油罐车容量、JF1181-2007 衡器计量名词术语及定义、JJF1001-2018 通用计量术语与定义。</w:t>
      </w:r>
    </w:p>
    <w:p>
      <w:pPr>
        <w:pStyle w:val="8"/>
        <w:numPr>
          <w:ilvl w:val="0"/>
          <w:numId w:val="1"/>
        </w:numPr>
        <w:ind w:firstLineChars="0"/>
        <w:rPr>
          <w:rFonts w:ascii="Times New Roman" w:hAnsi="Times New Roman" w:eastAsia="宋体" w:cs="宋体"/>
          <w:kern w:val="0"/>
          <w:sz w:val="28"/>
          <w:szCs w:val="28"/>
        </w:rPr>
      </w:pPr>
      <w:r>
        <w:rPr>
          <w:rFonts w:hint="eastAsia" w:ascii="Times New Roman" w:hAnsi="Times New Roman" w:eastAsia="宋体" w:cs="宋体"/>
          <w:kern w:val="0"/>
          <w:sz w:val="28"/>
          <w:szCs w:val="28"/>
        </w:rPr>
        <w:t>修订规程的目的和意义</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称重容罐一般指常压式储罐，用来储存液体物料并显示其质量。它们是许多工业和商业应用中的关键组件，在确保精确测量和控制物料流量方面起着至关重要的作用。因此</w:t>
      </w:r>
      <w:r>
        <w:rPr>
          <w:rFonts w:ascii="Times New Roman" w:hAnsi="Times New Roman" w:eastAsia="宋体" w:cs="宋体"/>
          <w:kern w:val="0"/>
          <w:sz w:val="28"/>
          <w:szCs w:val="28"/>
        </w:rPr>
        <w:t>对其检定方法进行深入的研究，形成一套适用于我</w:t>
      </w:r>
      <w:r>
        <w:rPr>
          <w:rFonts w:hint="eastAsia" w:ascii="Times New Roman" w:hAnsi="Times New Roman" w:eastAsia="宋体" w:cs="宋体"/>
          <w:kern w:val="0"/>
          <w:sz w:val="28"/>
          <w:szCs w:val="28"/>
        </w:rPr>
        <w:t>区</w:t>
      </w:r>
      <w:r>
        <w:rPr>
          <w:rFonts w:ascii="Times New Roman" w:hAnsi="Times New Roman" w:eastAsia="宋体" w:cs="宋体"/>
          <w:kern w:val="0"/>
          <w:sz w:val="28"/>
          <w:szCs w:val="28"/>
        </w:rPr>
        <w:t>的计量</w:t>
      </w:r>
      <w:r>
        <w:rPr>
          <w:rFonts w:hint="eastAsia" w:ascii="Times New Roman" w:hAnsi="Times New Roman" w:eastAsia="宋体" w:cs="宋体"/>
          <w:kern w:val="0"/>
          <w:sz w:val="28"/>
          <w:szCs w:val="28"/>
        </w:rPr>
        <w:t>校准规程</w:t>
      </w:r>
      <w:r>
        <w:rPr>
          <w:rFonts w:ascii="Times New Roman" w:hAnsi="Times New Roman" w:eastAsia="宋体" w:cs="宋体"/>
          <w:kern w:val="0"/>
          <w:sz w:val="28"/>
          <w:szCs w:val="28"/>
        </w:rPr>
        <w:t>，为称重容罐的质量监管、计量</w:t>
      </w:r>
      <w:r>
        <w:rPr>
          <w:rFonts w:hint="eastAsia" w:ascii="Times New Roman" w:hAnsi="Times New Roman" w:eastAsia="宋体" w:cs="宋体"/>
          <w:kern w:val="0"/>
          <w:sz w:val="28"/>
          <w:szCs w:val="28"/>
        </w:rPr>
        <w:t>校准</w:t>
      </w:r>
      <w:r>
        <w:rPr>
          <w:rFonts w:ascii="Times New Roman" w:hAnsi="Times New Roman" w:eastAsia="宋体" w:cs="宋体"/>
          <w:kern w:val="0"/>
          <w:sz w:val="28"/>
          <w:szCs w:val="28"/>
        </w:rPr>
        <w:t>和质控安全等提供技术基础。</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目前称重容罐的主要用途有以下几点：</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1. 精确测量</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称重容罐能够提供精确的重量测量，这对于许多工业过程至关重要。例如，在制药、食品和饮料生产中，精确的配料和混合是必不可少的。称重容罐可以确保每个成分的精确测量，从而保证产品质量和一致性。</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2. 流量控制</w:t>
      </w:r>
      <w:bookmarkStart w:id="0" w:name="_GoBack"/>
      <w:bookmarkEnd w:id="0"/>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在许多工业过程中，物料的流量控制是至关重要的。称重容罐可以实时测量物料的流入和流出，从而帮助操作员精确控制流量，优化生产效率。</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3. 库存管理</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称重容罐也可以用于库存管理。通过实时监测容器中的物料量，企业可以更有效地管理其库存，预测需求，避免过度或不足的库存。</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4. 安全</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在某些情况下，过量或过少的物料可能会导致安全问题。例如，在化工行业，某些化学品的过量或过少可能会导致危险的化学反应。称重容罐可以帮助防止这种情况，提高工作场所的安全性。</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5. 成本效益</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最后，称重容罐可以帮助企业节省成本。通过精确测量和控制物料流量，企业可以减少浪费，提高生产效率，从而节省成本。</w:t>
      </w:r>
    </w:p>
    <w:p>
      <w:pPr>
        <w:ind w:firstLine="560" w:firstLineChars="200"/>
        <w:rPr>
          <w:rFonts w:ascii="Times New Roman" w:hAnsi="Times New Roman" w:eastAsia="宋体" w:cs="宋体"/>
          <w:kern w:val="0"/>
          <w:sz w:val="28"/>
          <w:szCs w:val="28"/>
        </w:rPr>
      </w:pPr>
      <w:r>
        <w:rPr>
          <w:rFonts w:hint="eastAsia" w:ascii="Times New Roman" w:hAnsi="Times New Roman" w:eastAsia="宋体" w:cs="宋体"/>
          <w:kern w:val="0"/>
          <w:sz w:val="28"/>
          <w:szCs w:val="28"/>
        </w:rPr>
        <w:t>现在，全区许多工业和商业应用中称重容罐都发挥着至关重要的作用</w:t>
      </w:r>
      <w:r>
        <w:rPr>
          <w:rFonts w:ascii="Times New Roman" w:hAnsi="Times New Roman" w:eastAsia="宋体" w:cs="宋体"/>
          <w:kern w:val="0"/>
          <w:sz w:val="28"/>
          <w:szCs w:val="28"/>
        </w:rPr>
        <w:t>，它的精确计量与可靠性能是保证</w:t>
      </w:r>
      <w:r>
        <w:rPr>
          <w:rFonts w:hint="eastAsia" w:ascii="Times New Roman" w:hAnsi="Times New Roman" w:eastAsia="宋体" w:cs="宋体"/>
          <w:kern w:val="0"/>
          <w:sz w:val="28"/>
          <w:szCs w:val="28"/>
        </w:rPr>
        <w:t>贸易</w:t>
      </w:r>
      <w:r>
        <w:rPr>
          <w:rFonts w:ascii="Times New Roman" w:hAnsi="Times New Roman" w:eastAsia="宋体" w:cs="宋体"/>
          <w:kern w:val="0"/>
          <w:sz w:val="28"/>
          <w:szCs w:val="28"/>
        </w:rPr>
        <w:t>结算</w:t>
      </w:r>
      <w:r>
        <w:rPr>
          <w:rFonts w:hint="eastAsia" w:ascii="Times New Roman" w:hAnsi="Times New Roman" w:eastAsia="宋体" w:cs="宋体"/>
          <w:kern w:val="0"/>
          <w:sz w:val="28"/>
          <w:szCs w:val="28"/>
        </w:rPr>
        <w:t>公平性</w:t>
      </w:r>
      <w:r>
        <w:rPr>
          <w:rFonts w:ascii="Times New Roman" w:hAnsi="Times New Roman" w:eastAsia="宋体" w:cs="宋体"/>
          <w:kern w:val="0"/>
          <w:sz w:val="28"/>
          <w:szCs w:val="28"/>
        </w:rPr>
        <w:t>与</w:t>
      </w:r>
      <w:r>
        <w:rPr>
          <w:rFonts w:hint="eastAsia" w:ascii="Times New Roman" w:hAnsi="Times New Roman" w:eastAsia="宋体" w:cs="宋体"/>
          <w:kern w:val="0"/>
          <w:sz w:val="28"/>
          <w:szCs w:val="28"/>
        </w:rPr>
        <w:t>生产监管安全性</w:t>
      </w:r>
      <w:r>
        <w:rPr>
          <w:rFonts w:ascii="Times New Roman" w:hAnsi="Times New Roman" w:eastAsia="宋体" w:cs="宋体"/>
          <w:kern w:val="0"/>
          <w:sz w:val="28"/>
          <w:szCs w:val="28"/>
        </w:rPr>
        <w:t>的关键，并且其数目逐年增加。称重容罐已是各</w:t>
      </w:r>
      <w:r>
        <w:rPr>
          <w:rFonts w:hint="eastAsia" w:ascii="Times New Roman" w:hAnsi="Times New Roman" w:eastAsia="宋体" w:cs="宋体"/>
          <w:kern w:val="0"/>
          <w:sz w:val="28"/>
          <w:szCs w:val="28"/>
        </w:rPr>
        <w:t>行业不可或缺的</w:t>
      </w:r>
      <w:r>
        <w:rPr>
          <w:rFonts w:ascii="Times New Roman" w:hAnsi="Times New Roman" w:eastAsia="宋体" w:cs="宋体"/>
          <w:kern w:val="0"/>
          <w:sz w:val="28"/>
          <w:szCs w:val="28"/>
        </w:rPr>
        <w:t>重要装料计量器械，但由于缺乏与之配套的国家相关的测量、</w:t>
      </w:r>
      <w:r>
        <w:rPr>
          <w:rFonts w:hint="eastAsia" w:ascii="Times New Roman" w:hAnsi="Times New Roman" w:eastAsia="宋体" w:cs="宋体"/>
          <w:kern w:val="0"/>
          <w:sz w:val="28"/>
          <w:szCs w:val="28"/>
        </w:rPr>
        <w:t>校准</w:t>
      </w:r>
      <w:r>
        <w:rPr>
          <w:rFonts w:ascii="Times New Roman" w:hAnsi="Times New Roman" w:eastAsia="宋体" w:cs="宋体"/>
          <w:kern w:val="0"/>
          <w:sz w:val="28"/>
          <w:szCs w:val="28"/>
        </w:rPr>
        <w:t>标准，致使我</w:t>
      </w:r>
      <w:r>
        <w:rPr>
          <w:rFonts w:hint="eastAsia" w:ascii="Times New Roman" w:hAnsi="Times New Roman" w:eastAsia="宋体" w:cs="宋体"/>
          <w:kern w:val="0"/>
          <w:sz w:val="28"/>
          <w:szCs w:val="28"/>
        </w:rPr>
        <w:t>区</w:t>
      </w:r>
      <w:r>
        <w:rPr>
          <w:rFonts w:ascii="Times New Roman" w:hAnsi="Times New Roman" w:eastAsia="宋体" w:cs="宋体"/>
          <w:kern w:val="0"/>
          <w:sz w:val="28"/>
          <w:szCs w:val="28"/>
        </w:rPr>
        <w:t>对这类仪器不能进行精确的测量、检测，且很难判断其测量性能及结果的准确度，从而存在监管漏洞。因此，迫切需要开展其校准方法与规范的研究。</w:t>
      </w:r>
    </w:p>
    <w:p>
      <w:pPr>
        <w:pStyle w:val="8"/>
        <w:numPr>
          <w:ilvl w:val="0"/>
          <w:numId w:val="1"/>
        </w:numPr>
        <w:ind w:firstLineChars="0"/>
        <w:rPr>
          <w:rFonts w:ascii="Times New Roman" w:hAnsi="Times New Roman" w:eastAsia="宋体" w:cs="宋体"/>
          <w:kern w:val="0"/>
          <w:sz w:val="28"/>
          <w:szCs w:val="28"/>
        </w:rPr>
      </w:pPr>
      <w:r>
        <w:rPr>
          <w:rFonts w:hint="eastAsia" w:ascii="Times New Roman" w:hAnsi="Times New Roman" w:eastAsia="宋体" w:cs="宋体"/>
          <w:kern w:val="0"/>
          <w:sz w:val="28"/>
          <w:szCs w:val="28"/>
        </w:rPr>
        <w:t>编制规范的简要过程</w:t>
      </w:r>
    </w:p>
    <w:p>
      <w:pPr>
        <w:pStyle w:val="8"/>
        <w:ind w:firstLine="560"/>
        <w:rPr>
          <w:rFonts w:ascii="Times New Roman" w:hAnsi="Times New Roman" w:eastAsia="宋体" w:cs="宋体"/>
          <w:kern w:val="0"/>
          <w:sz w:val="28"/>
          <w:szCs w:val="28"/>
        </w:rPr>
      </w:pPr>
      <w:r>
        <w:rPr>
          <w:rFonts w:ascii="Times New Roman" w:hAnsi="Times New Roman" w:eastAsia="宋体" w:cs="宋体"/>
          <w:kern w:val="0"/>
          <w:sz w:val="28"/>
          <w:szCs w:val="28"/>
        </w:rPr>
        <w:t>202</w:t>
      </w:r>
      <w:r>
        <w:rPr>
          <w:rFonts w:hint="eastAsia" w:ascii="Times New Roman" w:hAnsi="Times New Roman" w:eastAsia="宋体" w:cs="宋体"/>
          <w:kern w:val="0"/>
          <w:sz w:val="28"/>
          <w:szCs w:val="28"/>
        </w:rPr>
        <w:t>3</w:t>
      </w:r>
      <w:r>
        <w:rPr>
          <w:rFonts w:ascii="Times New Roman" w:hAnsi="Times New Roman" w:eastAsia="宋体" w:cs="宋体"/>
          <w:kern w:val="0"/>
          <w:sz w:val="28"/>
          <w:szCs w:val="28"/>
        </w:rPr>
        <w:t>年</w:t>
      </w:r>
      <w:r>
        <w:rPr>
          <w:rFonts w:hint="eastAsia" w:ascii="Times New Roman" w:hAnsi="Times New Roman" w:eastAsia="宋体" w:cs="宋体"/>
          <w:kern w:val="0"/>
          <w:sz w:val="28"/>
          <w:szCs w:val="28"/>
        </w:rPr>
        <w:t>7</w:t>
      </w:r>
      <w:r>
        <w:rPr>
          <w:rFonts w:ascii="Times New Roman" w:hAnsi="Times New Roman" w:eastAsia="宋体" w:cs="宋体"/>
          <w:kern w:val="0"/>
          <w:sz w:val="28"/>
          <w:szCs w:val="28"/>
        </w:rPr>
        <w:t>月成立立项</w:t>
      </w:r>
      <w:r>
        <w:rPr>
          <w:rFonts w:hint="eastAsia" w:ascii="Times New Roman" w:hAnsi="Times New Roman" w:eastAsia="宋体" w:cs="宋体"/>
          <w:kern w:val="0"/>
          <w:sz w:val="28"/>
          <w:szCs w:val="28"/>
        </w:rPr>
        <w:t>起草</w:t>
      </w:r>
      <w:r>
        <w:rPr>
          <w:rFonts w:ascii="Times New Roman" w:hAnsi="Times New Roman" w:eastAsia="宋体" w:cs="宋体"/>
          <w:kern w:val="0"/>
          <w:sz w:val="28"/>
          <w:szCs w:val="28"/>
        </w:rPr>
        <w:t>小组开始对该检定规程的</w:t>
      </w:r>
      <w:r>
        <w:rPr>
          <w:rFonts w:hint="eastAsia" w:ascii="Times New Roman" w:hAnsi="Times New Roman" w:eastAsia="宋体" w:cs="宋体"/>
          <w:kern w:val="0"/>
          <w:sz w:val="28"/>
          <w:szCs w:val="28"/>
        </w:rPr>
        <w:t>起草</w:t>
      </w:r>
      <w:r>
        <w:rPr>
          <w:rFonts w:ascii="Times New Roman" w:hAnsi="Times New Roman" w:eastAsia="宋体" w:cs="宋体"/>
          <w:kern w:val="0"/>
          <w:sz w:val="28"/>
          <w:szCs w:val="28"/>
        </w:rPr>
        <w:t>可行性进行前期调研，202</w:t>
      </w:r>
      <w:r>
        <w:rPr>
          <w:rFonts w:hint="eastAsia" w:ascii="Times New Roman" w:hAnsi="Times New Roman" w:eastAsia="宋体" w:cs="宋体"/>
          <w:kern w:val="0"/>
          <w:sz w:val="28"/>
          <w:szCs w:val="28"/>
        </w:rPr>
        <w:t>3</w:t>
      </w:r>
      <w:r>
        <w:rPr>
          <w:rFonts w:ascii="Times New Roman" w:hAnsi="Times New Roman" w:eastAsia="宋体" w:cs="宋体"/>
          <w:kern w:val="0"/>
          <w:sz w:val="28"/>
          <w:szCs w:val="28"/>
        </w:rPr>
        <w:t>年</w:t>
      </w:r>
      <w:r>
        <w:rPr>
          <w:rFonts w:hint="eastAsia" w:ascii="Times New Roman" w:hAnsi="Times New Roman" w:eastAsia="宋体" w:cs="宋体"/>
          <w:kern w:val="0"/>
          <w:sz w:val="28"/>
          <w:szCs w:val="28"/>
        </w:rPr>
        <w:t>10</w:t>
      </w:r>
      <w:r>
        <w:rPr>
          <w:rFonts w:ascii="Times New Roman" w:hAnsi="Times New Roman" w:eastAsia="宋体" w:cs="宋体"/>
          <w:kern w:val="0"/>
          <w:sz w:val="28"/>
          <w:szCs w:val="28"/>
        </w:rPr>
        <w:t>月开始结合前期调研的情况，到司能化工、各大糖厂等企业对市面上不同规格的称重容罐进行调查研究并做相应</w:t>
      </w:r>
      <w:r>
        <w:rPr>
          <w:rFonts w:hint="eastAsia" w:ascii="Times New Roman" w:hAnsi="Times New Roman" w:eastAsia="宋体" w:cs="宋体"/>
          <w:kern w:val="0"/>
          <w:sz w:val="28"/>
          <w:szCs w:val="28"/>
        </w:rPr>
        <w:t>校准</w:t>
      </w:r>
      <w:r>
        <w:rPr>
          <w:rFonts w:ascii="Times New Roman" w:hAnsi="Times New Roman" w:eastAsia="宋体" w:cs="宋体"/>
          <w:kern w:val="0"/>
          <w:sz w:val="28"/>
          <w:szCs w:val="28"/>
        </w:rPr>
        <w:t>方法实验和验证。202</w:t>
      </w:r>
      <w:r>
        <w:rPr>
          <w:rFonts w:hint="eastAsia" w:ascii="Times New Roman" w:hAnsi="Times New Roman" w:eastAsia="宋体" w:cs="宋体"/>
          <w:kern w:val="0"/>
          <w:sz w:val="28"/>
          <w:szCs w:val="28"/>
        </w:rPr>
        <w:t>3</w:t>
      </w:r>
      <w:r>
        <w:rPr>
          <w:rFonts w:ascii="Times New Roman" w:hAnsi="Times New Roman" w:eastAsia="宋体" w:cs="宋体"/>
          <w:kern w:val="0"/>
          <w:sz w:val="28"/>
          <w:szCs w:val="28"/>
        </w:rPr>
        <w:t>年</w:t>
      </w:r>
      <w:r>
        <w:rPr>
          <w:rFonts w:hint="eastAsia" w:ascii="Times New Roman" w:hAnsi="Times New Roman" w:eastAsia="宋体" w:cs="宋体"/>
          <w:kern w:val="0"/>
          <w:sz w:val="28"/>
          <w:szCs w:val="28"/>
        </w:rPr>
        <w:t>12</w:t>
      </w:r>
      <w:r>
        <w:rPr>
          <w:rFonts w:ascii="Times New Roman" w:hAnsi="Times New Roman" w:eastAsia="宋体" w:cs="宋体"/>
          <w:kern w:val="0"/>
          <w:sz w:val="28"/>
          <w:szCs w:val="28"/>
        </w:rPr>
        <w:t>月根据前期调研情况形成修订可行性分析报告。202</w:t>
      </w:r>
      <w:r>
        <w:rPr>
          <w:rFonts w:hint="eastAsia" w:ascii="Times New Roman" w:hAnsi="Times New Roman" w:eastAsia="宋体" w:cs="宋体"/>
          <w:kern w:val="0"/>
          <w:sz w:val="28"/>
          <w:szCs w:val="28"/>
        </w:rPr>
        <w:t>4</w:t>
      </w:r>
      <w:r>
        <w:rPr>
          <w:rFonts w:ascii="Times New Roman" w:hAnsi="Times New Roman" w:eastAsia="宋体" w:cs="宋体"/>
          <w:kern w:val="0"/>
          <w:sz w:val="28"/>
          <w:szCs w:val="28"/>
        </w:rPr>
        <w:t>年</w:t>
      </w:r>
      <w:r>
        <w:rPr>
          <w:rFonts w:hint="eastAsia" w:ascii="Times New Roman" w:hAnsi="Times New Roman" w:eastAsia="宋体" w:cs="宋体"/>
          <w:kern w:val="0"/>
          <w:sz w:val="28"/>
          <w:szCs w:val="28"/>
        </w:rPr>
        <w:t>3</w:t>
      </w:r>
      <w:r>
        <w:rPr>
          <w:rFonts w:ascii="Times New Roman" w:hAnsi="Times New Roman" w:eastAsia="宋体" w:cs="宋体"/>
          <w:kern w:val="0"/>
          <w:sz w:val="28"/>
          <w:szCs w:val="28"/>
        </w:rPr>
        <w:t>月至202</w:t>
      </w:r>
      <w:r>
        <w:rPr>
          <w:rFonts w:hint="eastAsia" w:ascii="Times New Roman" w:hAnsi="Times New Roman" w:eastAsia="宋体" w:cs="宋体"/>
          <w:kern w:val="0"/>
          <w:sz w:val="28"/>
          <w:szCs w:val="28"/>
        </w:rPr>
        <w:t>4</w:t>
      </w:r>
      <w:r>
        <w:rPr>
          <w:rFonts w:ascii="Times New Roman" w:hAnsi="Times New Roman" w:eastAsia="宋体" w:cs="宋体"/>
          <w:kern w:val="0"/>
          <w:sz w:val="28"/>
          <w:szCs w:val="28"/>
        </w:rPr>
        <w:t>年</w:t>
      </w:r>
      <w:r>
        <w:rPr>
          <w:rFonts w:hint="eastAsia" w:ascii="Times New Roman" w:hAnsi="Times New Roman" w:eastAsia="宋体" w:cs="宋体"/>
          <w:kern w:val="0"/>
          <w:sz w:val="28"/>
          <w:szCs w:val="28"/>
        </w:rPr>
        <w:t>6</w:t>
      </w:r>
      <w:r>
        <w:rPr>
          <w:rFonts w:ascii="Times New Roman" w:hAnsi="Times New Roman" w:eastAsia="宋体" w:cs="宋体"/>
          <w:kern w:val="0"/>
          <w:sz w:val="28"/>
          <w:szCs w:val="28"/>
        </w:rPr>
        <w:t>月间提前对该规程</w:t>
      </w:r>
      <w:r>
        <w:rPr>
          <w:rFonts w:hint="eastAsia" w:ascii="Times New Roman" w:hAnsi="Times New Roman" w:eastAsia="宋体" w:cs="宋体"/>
          <w:kern w:val="0"/>
          <w:sz w:val="28"/>
          <w:szCs w:val="28"/>
        </w:rPr>
        <w:t>起草</w:t>
      </w:r>
      <w:r>
        <w:rPr>
          <w:rFonts w:ascii="Times New Roman" w:hAnsi="Times New Roman" w:eastAsia="宋体" w:cs="宋体"/>
          <w:kern w:val="0"/>
          <w:sz w:val="28"/>
          <w:szCs w:val="28"/>
        </w:rPr>
        <w:t>搭建框架完善实验数据并草拟规程草稿。202</w:t>
      </w:r>
      <w:r>
        <w:rPr>
          <w:rFonts w:hint="eastAsia" w:ascii="Times New Roman" w:hAnsi="Times New Roman" w:eastAsia="宋体" w:cs="宋体"/>
          <w:kern w:val="0"/>
          <w:sz w:val="28"/>
          <w:szCs w:val="28"/>
        </w:rPr>
        <w:t>4</w:t>
      </w:r>
      <w:r>
        <w:rPr>
          <w:rFonts w:ascii="Times New Roman" w:hAnsi="Times New Roman" w:eastAsia="宋体" w:cs="宋体"/>
          <w:kern w:val="0"/>
          <w:sz w:val="28"/>
          <w:szCs w:val="28"/>
        </w:rPr>
        <w:t>年</w:t>
      </w:r>
      <w:r>
        <w:rPr>
          <w:rFonts w:hint="eastAsia" w:ascii="Times New Roman" w:hAnsi="Times New Roman" w:eastAsia="宋体" w:cs="宋体"/>
          <w:kern w:val="0"/>
          <w:sz w:val="28"/>
          <w:szCs w:val="28"/>
        </w:rPr>
        <w:t>8</w:t>
      </w:r>
      <w:r>
        <w:rPr>
          <w:rFonts w:ascii="Times New Roman" w:hAnsi="Times New Roman" w:eastAsia="宋体" w:cs="宋体"/>
          <w:kern w:val="0"/>
          <w:sz w:val="28"/>
          <w:szCs w:val="28"/>
        </w:rPr>
        <w:t>月接到批准立项任务书后，立项</w:t>
      </w:r>
      <w:r>
        <w:rPr>
          <w:rFonts w:hint="eastAsia" w:ascii="Times New Roman" w:hAnsi="Times New Roman" w:eastAsia="宋体" w:cs="宋体"/>
          <w:kern w:val="0"/>
          <w:sz w:val="28"/>
          <w:szCs w:val="28"/>
        </w:rPr>
        <w:t>起草</w:t>
      </w:r>
      <w:r>
        <w:rPr>
          <w:rFonts w:ascii="Times New Roman" w:hAnsi="Times New Roman" w:eastAsia="宋体" w:cs="宋体"/>
          <w:kern w:val="0"/>
          <w:sz w:val="28"/>
          <w:szCs w:val="28"/>
        </w:rPr>
        <w:t>小组转为</w:t>
      </w:r>
      <w:r>
        <w:rPr>
          <w:rFonts w:hint="eastAsia" w:ascii="Times New Roman" w:hAnsi="Times New Roman" w:eastAsia="宋体" w:cs="宋体"/>
          <w:kern w:val="0"/>
          <w:sz w:val="28"/>
          <w:szCs w:val="28"/>
        </w:rPr>
        <w:t>规程</w:t>
      </w:r>
      <w:r>
        <w:rPr>
          <w:rFonts w:ascii="Times New Roman" w:hAnsi="Times New Roman" w:eastAsia="宋体" w:cs="宋体"/>
          <w:kern w:val="0"/>
          <w:sz w:val="28"/>
          <w:szCs w:val="28"/>
        </w:rPr>
        <w:t>起草小组，并于202</w:t>
      </w:r>
      <w:r>
        <w:rPr>
          <w:rFonts w:hint="eastAsia" w:ascii="Times New Roman" w:hAnsi="Times New Roman" w:eastAsia="宋体" w:cs="宋体"/>
          <w:kern w:val="0"/>
          <w:sz w:val="28"/>
          <w:szCs w:val="28"/>
        </w:rPr>
        <w:t>4</w:t>
      </w:r>
      <w:r>
        <w:rPr>
          <w:rFonts w:ascii="Times New Roman" w:hAnsi="Times New Roman" w:eastAsia="宋体" w:cs="宋体"/>
          <w:kern w:val="0"/>
          <w:sz w:val="28"/>
          <w:szCs w:val="28"/>
        </w:rPr>
        <w:t>年</w:t>
      </w:r>
      <w:r>
        <w:rPr>
          <w:rFonts w:hint="eastAsia" w:ascii="Times New Roman" w:hAnsi="Times New Roman" w:eastAsia="宋体" w:cs="宋体"/>
          <w:kern w:val="0"/>
          <w:sz w:val="28"/>
          <w:szCs w:val="28"/>
        </w:rPr>
        <w:t>9</w:t>
      </w:r>
      <w:r>
        <w:rPr>
          <w:rFonts w:ascii="Times New Roman" w:hAnsi="Times New Roman" w:eastAsia="宋体" w:cs="宋体"/>
          <w:kern w:val="0"/>
          <w:sz w:val="28"/>
          <w:szCs w:val="28"/>
        </w:rPr>
        <w:t>月根据前期调研的实验数据形成初稿。202</w:t>
      </w:r>
      <w:r>
        <w:rPr>
          <w:rFonts w:hint="eastAsia" w:ascii="Times New Roman" w:hAnsi="Times New Roman" w:eastAsia="宋体" w:cs="宋体"/>
          <w:kern w:val="0"/>
          <w:sz w:val="28"/>
          <w:szCs w:val="28"/>
        </w:rPr>
        <w:t>4</w:t>
      </w:r>
      <w:r>
        <w:rPr>
          <w:rFonts w:ascii="Times New Roman" w:hAnsi="Times New Roman" w:eastAsia="宋体" w:cs="宋体"/>
          <w:kern w:val="0"/>
          <w:sz w:val="28"/>
          <w:szCs w:val="28"/>
        </w:rPr>
        <w:t>年</w:t>
      </w:r>
      <w:r>
        <w:rPr>
          <w:rFonts w:hint="eastAsia" w:ascii="Times New Roman" w:hAnsi="Times New Roman" w:eastAsia="宋体" w:cs="宋体"/>
          <w:kern w:val="0"/>
          <w:sz w:val="28"/>
          <w:szCs w:val="28"/>
        </w:rPr>
        <w:t>10</w:t>
      </w:r>
      <w:r>
        <w:rPr>
          <w:rFonts w:ascii="Times New Roman" w:hAnsi="Times New Roman" w:eastAsia="宋体" w:cs="宋体"/>
          <w:kern w:val="0"/>
          <w:sz w:val="28"/>
          <w:szCs w:val="28"/>
        </w:rPr>
        <w:t>月，</w:t>
      </w:r>
      <w:r>
        <w:rPr>
          <w:rFonts w:hint="eastAsia" w:ascii="Times New Roman" w:hAnsi="Times New Roman" w:eastAsia="宋体" w:cs="宋体"/>
          <w:kern w:val="0"/>
          <w:sz w:val="28"/>
          <w:szCs w:val="28"/>
        </w:rPr>
        <w:t>起草人修改初稿形成《称重容罐校准规范》广西地方计量校准规程征求意见稿，将广泛征求意见后进行修改。</w:t>
      </w:r>
    </w:p>
    <w:p>
      <w:pPr>
        <w:pStyle w:val="8"/>
        <w:numPr>
          <w:ilvl w:val="0"/>
          <w:numId w:val="1"/>
        </w:numPr>
        <w:ind w:firstLineChars="0"/>
        <w:rPr>
          <w:rFonts w:ascii="Times New Roman" w:hAnsi="Times New Roman" w:eastAsia="宋体" w:cs="宋体"/>
          <w:kern w:val="0"/>
          <w:sz w:val="28"/>
          <w:szCs w:val="28"/>
        </w:rPr>
      </w:pPr>
      <w:r>
        <w:rPr>
          <w:rFonts w:hint="eastAsia" w:ascii="Times New Roman" w:hAnsi="Times New Roman" w:eastAsia="宋体" w:cs="宋体"/>
          <w:kern w:val="0"/>
          <w:sz w:val="28"/>
          <w:szCs w:val="28"/>
        </w:rPr>
        <w:t>规程起草的要点及说明</w:t>
      </w:r>
    </w:p>
    <w:p>
      <w:pPr>
        <w:pStyle w:val="8"/>
        <w:ind w:firstLine="560"/>
        <w:rPr>
          <w:rFonts w:ascii="Times New Roman" w:hAnsi="Times New Roman" w:eastAsia="宋体" w:cs="宋体"/>
          <w:kern w:val="0"/>
          <w:sz w:val="28"/>
          <w:szCs w:val="28"/>
        </w:rPr>
      </w:pPr>
      <w:r>
        <w:rPr>
          <w:rFonts w:hint="eastAsia" w:ascii="Times New Roman" w:hAnsi="Times New Roman" w:eastAsia="宋体" w:cs="宋体"/>
          <w:kern w:val="0"/>
          <w:sz w:val="28"/>
          <w:szCs w:val="28"/>
        </w:rPr>
        <w:t>规程主要内容包括：</w:t>
      </w:r>
      <w:r>
        <w:rPr>
          <w:rFonts w:ascii="Times New Roman" w:hAnsi="Times New Roman" w:eastAsia="宋体" w:cs="宋体"/>
          <w:kern w:val="0"/>
          <w:sz w:val="28"/>
          <w:szCs w:val="28"/>
        </w:rPr>
        <w:t>1）适用范围；2）引用文件；3）术语和计量单位；4）概述；5）计量</w:t>
      </w:r>
      <w:r>
        <w:rPr>
          <w:rFonts w:hint="eastAsia" w:ascii="Times New Roman" w:hAnsi="Times New Roman" w:eastAsia="宋体" w:cs="宋体"/>
          <w:kern w:val="0"/>
          <w:sz w:val="28"/>
          <w:szCs w:val="28"/>
        </w:rPr>
        <w:t>特性</w:t>
      </w:r>
      <w:r>
        <w:rPr>
          <w:rFonts w:ascii="Times New Roman" w:hAnsi="Times New Roman" w:eastAsia="宋体" w:cs="宋体"/>
          <w:kern w:val="0"/>
          <w:sz w:val="28"/>
          <w:szCs w:val="28"/>
        </w:rPr>
        <w:t>；6）</w:t>
      </w:r>
      <w:r>
        <w:rPr>
          <w:rFonts w:hint="eastAsia" w:ascii="Times New Roman" w:hAnsi="Times New Roman" w:eastAsia="宋体" w:cs="宋体"/>
          <w:kern w:val="0"/>
          <w:sz w:val="28"/>
          <w:szCs w:val="28"/>
        </w:rPr>
        <w:t>校准条件</w:t>
      </w:r>
      <w:r>
        <w:rPr>
          <w:rFonts w:ascii="Times New Roman" w:hAnsi="Times New Roman" w:eastAsia="宋体" w:cs="宋体"/>
          <w:kern w:val="0"/>
          <w:sz w:val="28"/>
          <w:szCs w:val="28"/>
        </w:rPr>
        <w:t>；7）校准项目和校准方法；8）校准结果；9）</w:t>
      </w:r>
      <w:r>
        <w:rPr>
          <w:rFonts w:hint="eastAsia" w:ascii="Times New Roman" w:hAnsi="Times New Roman" w:eastAsia="宋体" w:cs="宋体"/>
          <w:kern w:val="0"/>
          <w:sz w:val="28"/>
          <w:szCs w:val="28"/>
        </w:rPr>
        <w:t>复校时间间隔；</w:t>
      </w:r>
      <w:r>
        <w:rPr>
          <w:rFonts w:ascii="Times New Roman" w:hAnsi="Times New Roman" w:eastAsia="宋体" w:cs="宋体"/>
          <w:kern w:val="0"/>
          <w:sz w:val="28"/>
          <w:szCs w:val="28"/>
        </w:rPr>
        <w:t>10）</w:t>
      </w:r>
      <w:r>
        <w:rPr>
          <w:rFonts w:hint="eastAsia" w:ascii="Times New Roman" w:hAnsi="Times New Roman" w:eastAsia="宋体" w:cs="宋体"/>
          <w:kern w:val="0"/>
          <w:sz w:val="28"/>
          <w:szCs w:val="28"/>
        </w:rPr>
        <w:t>附录</w:t>
      </w:r>
      <w:r>
        <w:rPr>
          <w:rFonts w:ascii="Times New Roman" w:hAnsi="Times New Roman" w:eastAsia="宋体" w:cs="宋体"/>
          <w:kern w:val="0"/>
          <w:sz w:val="28"/>
          <w:szCs w:val="28"/>
        </w:rPr>
        <w:t>等。</w:t>
      </w:r>
    </w:p>
    <w:p>
      <w:pPr>
        <w:pStyle w:val="8"/>
        <w:ind w:firstLine="560"/>
        <w:rPr>
          <w:rFonts w:ascii="Times New Roman" w:hAnsi="Times New Roman" w:eastAsia="宋体" w:cs="宋体"/>
          <w:kern w:val="0"/>
          <w:sz w:val="28"/>
          <w:szCs w:val="28"/>
        </w:rPr>
      </w:pPr>
      <w:r>
        <w:rPr>
          <w:rFonts w:hint="eastAsia" w:ascii="Times New Roman" w:hAnsi="Times New Roman" w:eastAsia="宋体" w:cs="宋体"/>
          <w:kern w:val="0"/>
          <w:sz w:val="28"/>
          <w:szCs w:val="28"/>
        </w:rPr>
        <w:t>通过对目前不同品牌、不同规格型号的称重容罐</w:t>
      </w:r>
      <w:r>
        <w:rPr>
          <w:rFonts w:ascii="Times New Roman" w:hAnsi="Times New Roman" w:eastAsia="宋体" w:cs="宋体"/>
          <w:kern w:val="0"/>
          <w:sz w:val="28"/>
          <w:szCs w:val="28"/>
        </w:rPr>
        <w:t>的</w:t>
      </w:r>
      <w:r>
        <w:rPr>
          <w:rFonts w:hint="eastAsia" w:ascii="Times New Roman" w:hAnsi="Times New Roman" w:eastAsia="宋体" w:cs="宋体"/>
          <w:kern w:val="0"/>
          <w:sz w:val="28"/>
          <w:szCs w:val="28"/>
        </w:rPr>
        <w:t>校准</w:t>
      </w:r>
      <w:r>
        <w:rPr>
          <w:rFonts w:ascii="Times New Roman" w:hAnsi="Times New Roman" w:eastAsia="宋体" w:cs="宋体"/>
          <w:kern w:val="0"/>
          <w:sz w:val="28"/>
          <w:szCs w:val="28"/>
        </w:rPr>
        <w:t>方法、</w:t>
      </w:r>
      <w:r>
        <w:rPr>
          <w:rFonts w:hint="eastAsia" w:ascii="Times New Roman" w:hAnsi="Times New Roman" w:eastAsia="宋体" w:cs="宋体"/>
          <w:kern w:val="0"/>
          <w:sz w:val="28"/>
          <w:szCs w:val="28"/>
        </w:rPr>
        <w:t>校准</w:t>
      </w:r>
      <w:r>
        <w:rPr>
          <w:rFonts w:ascii="Times New Roman" w:hAnsi="Times New Roman" w:eastAsia="宋体" w:cs="宋体"/>
          <w:kern w:val="0"/>
          <w:sz w:val="28"/>
          <w:szCs w:val="28"/>
        </w:rPr>
        <w:t>结果的比较，与有关厂商及使用单位进行调查、交流，参考</w:t>
      </w:r>
      <w:r>
        <w:rPr>
          <w:rFonts w:hint="eastAsia" w:ascii="Times New Roman" w:hAnsi="Times New Roman" w:eastAsia="宋体" w:cs="宋体"/>
          <w:kern w:val="0"/>
          <w:sz w:val="28"/>
          <w:szCs w:val="28"/>
        </w:rPr>
        <w:t>国家和地方</w:t>
      </w:r>
      <w:r>
        <w:rPr>
          <w:rFonts w:ascii="Times New Roman" w:hAnsi="Times New Roman" w:eastAsia="宋体" w:cs="宋体"/>
          <w:kern w:val="0"/>
          <w:sz w:val="28"/>
          <w:szCs w:val="28"/>
        </w:rPr>
        <w:t>上的先进标准及</w:t>
      </w:r>
      <w:r>
        <w:rPr>
          <w:rFonts w:hint="eastAsia" w:ascii="Times New Roman" w:hAnsi="Times New Roman" w:eastAsia="宋体" w:cs="宋体"/>
          <w:kern w:val="0"/>
          <w:sz w:val="28"/>
          <w:szCs w:val="28"/>
        </w:rPr>
        <w:t>校准</w:t>
      </w:r>
      <w:r>
        <w:rPr>
          <w:rFonts w:ascii="Times New Roman" w:hAnsi="Times New Roman" w:eastAsia="宋体" w:cs="宋体"/>
          <w:kern w:val="0"/>
          <w:sz w:val="28"/>
          <w:szCs w:val="28"/>
        </w:rPr>
        <w:t>技术方法，并结合各厂商的技术要求，制订出</w:t>
      </w:r>
      <w:r>
        <w:rPr>
          <w:rFonts w:hint="eastAsia" w:ascii="Times New Roman" w:hAnsi="Times New Roman" w:eastAsia="宋体" w:cs="宋体"/>
          <w:kern w:val="0"/>
          <w:sz w:val="28"/>
          <w:szCs w:val="28"/>
        </w:rPr>
        <w:t>校准规程</w:t>
      </w:r>
      <w:r>
        <w:rPr>
          <w:rFonts w:ascii="Times New Roman" w:hAnsi="Times New Roman" w:eastAsia="宋体" w:cs="宋体"/>
          <w:kern w:val="0"/>
          <w:sz w:val="28"/>
          <w:szCs w:val="28"/>
        </w:rPr>
        <w:t>的技术要求，并进行各种试验验证，确保数据的科学性、全面性。</w:t>
      </w:r>
    </w:p>
    <w:p>
      <w:pPr>
        <w:pStyle w:val="8"/>
        <w:ind w:firstLine="560"/>
        <w:rPr>
          <w:rFonts w:ascii="Times New Roman" w:hAnsi="Times New Roman" w:eastAsia="宋体" w:cs="宋体"/>
          <w:kern w:val="0"/>
          <w:sz w:val="28"/>
          <w:szCs w:val="28"/>
        </w:rPr>
      </w:pPr>
      <w:r>
        <w:rPr>
          <w:rFonts w:ascii="Times New Roman" w:hAnsi="Times New Roman" w:eastAsia="宋体" w:cs="宋体"/>
          <w:kern w:val="0"/>
          <w:sz w:val="28"/>
          <w:szCs w:val="28"/>
        </w:rPr>
        <w:t>1.用于</w:t>
      </w:r>
      <w:r>
        <w:rPr>
          <w:rFonts w:hint="eastAsia" w:ascii="Times New Roman" w:hAnsi="Times New Roman" w:eastAsia="宋体" w:cs="宋体"/>
          <w:kern w:val="0"/>
          <w:sz w:val="28"/>
          <w:szCs w:val="28"/>
        </w:rPr>
        <w:t>校准的标准器具</w:t>
      </w:r>
    </w:p>
    <w:p>
      <w:pPr>
        <w:pStyle w:val="8"/>
        <w:ind w:firstLine="560"/>
        <w:rPr>
          <w:rFonts w:ascii="Times New Roman" w:hAnsi="Times New Roman" w:eastAsia="宋体" w:cs="宋体"/>
          <w:kern w:val="0"/>
          <w:sz w:val="28"/>
          <w:szCs w:val="28"/>
        </w:rPr>
      </w:pPr>
      <w:r>
        <w:rPr>
          <w:rFonts w:hint="eastAsia" w:ascii="Times New Roman" w:hAnsi="Times New Roman" w:eastAsia="宋体" w:cs="宋体"/>
          <w:kern w:val="0"/>
          <w:sz w:val="28"/>
          <w:szCs w:val="28"/>
        </w:rPr>
        <w:t>本文在调研的基础上，结合国内大部分的计量检定机构、产品检验机构和化工环境检测机构，对称重容罐</w:t>
      </w:r>
      <w:r>
        <w:rPr>
          <w:rFonts w:ascii="Times New Roman" w:hAnsi="Times New Roman" w:eastAsia="宋体" w:cs="宋体"/>
          <w:kern w:val="0"/>
          <w:sz w:val="28"/>
          <w:szCs w:val="28"/>
        </w:rPr>
        <w:t>的计量和性能测试方案进行了全面的对比研究。本项目拟以</w:t>
      </w:r>
      <w:r>
        <w:rPr>
          <w:rFonts w:hint="eastAsia" w:ascii="Times New Roman" w:hAnsi="Times New Roman" w:eastAsia="宋体" w:cs="宋体"/>
          <w:kern w:val="0"/>
          <w:sz w:val="28"/>
          <w:szCs w:val="28"/>
        </w:rPr>
        <w:t>符合J</w:t>
      </w:r>
      <w:r>
        <w:rPr>
          <w:rFonts w:ascii="Times New Roman" w:hAnsi="Times New Roman" w:eastAsia="宋体" w:cs="宋体"/>
          <w:kern w:val="0"/>
          <w:sz w:val="28"/>
          <w:szCs w:val="28"/>
        </w:rPr>
        <w:t>JG 99</w:t>
      </w:r>
      <w:r>
        <w:rPr>
          <w:rFonts w:hint="eastAsia" w:ascii="Times New Roman" w:hAnsi="Times New Roman" w:eastAsia="宋体" w:cs="宋体"/>
          <w:kern w:val="0"/>
          <w:sz w:val="28"/>
          <w:szCs w:val="28"/>
        </w:rPr>
        <w:t>砝码检定规程的M</w:t>
      </w:r>
      <w:r>
        <w:rPr>
          <w:rFonts w:ascii="Times New Roman" w:hAnsi="Times New Roman" w:eastAsia="宋体" w:cs="宋体"/>
          <w:kern w:val="0"/>
          <w:sz w:val="28"/>
          <w:szCs w:val="28"/>
          <w:vertAlign w:val="subscript"/>
        </w:rPr>
        <w:t>1</w:t>
      </w:r>
      <w:r>
        <w:rPr>
          <w:rFonts w:hint="eastAsia" w:ascii="Times New Roman" w:hAnsi="Times New Roman" w:eastAsia="宋体" w:cs="宋体"/>
          <w:kern w:val="0"/>
          <w:sz w:val="28"/>
          <w:szCs w:val="28"/>
        </w:rPr>
        <w:t>砝码、</w:t>
      </w:r>
      <w:r>
        <w:rPr>
          <w:rFonts w:ascii="Times New Roman" w:hAnsi="Times New Roman" w:eastAsia="宋体" w:cs="宋体"/>
          <w:kern w:val="0"/>
          <w:sz w:val="28"/>
          <w:szCs w:val="28"/>
        </w:rPr>
        <w:t>JJG 667</w:t>
      </w:r>
      <w:r>
        <w:rPr>
          <w:rFonts w:ascii="Arial" w:hAnsi="Arial" w:cs="Arial"/>
          <w:b/>
          <w:bCs/>
          <w:color w:val="555555"/>
          <w:sz w:val="28"/>
          <w:szCs w:val="28"/>
          <w:shd w:val="clear" w:color="auto" w:fill="FFFFFF"/>
        </w:rPr>
        <w:t> </w:t>
      </w:r>
      <w:r>
        <w:rPr>
          <w:rFonts w:ascii="Times New Roman" w:hAnsi="Times New Roman" w:eastAsia="宋体" w:cs="宋体"/>
          <w:kern w:val="0"/>
          <w:sz w:val="28"/>
          <w:szCs w:val="28"/>
        </w:rPr>
        <w:t>液体容积式流量计</w:t>
      </w:r>
      <w:r>
        <w:rPr>
          <w:rFonts w:hint="eastAsia" w:ascii="Times New Roman" w:hAnsi="Times New Roman" w:eastAsia="宋体" w:cs="宋体"/>
          <w:kern w:val="0"/>
          <w:sz w:val="28"/>
          <w:szCs w:val="28"/>
        </w:rPr>
        <w:t>检定规程的容积式</w:t>
      </w:r>
      <w:r>
        <w:rPr>
          <w:rFonts w:ascii="Times New Roman" w:hAnsi="Times New Roman" w:eastAsia="宋体" w:cs="宋体"/>
          <w:kern w:val="0"/>
          <w:sz w:val="28"/>
          <w:szCs w:val="28"/>
        </w:rPr>
        <w:t>流量计进行系统的实验研究。</w:t>
      </w:r>
    </w:p>
    <w:p>
      <w:pPr>
        <w:pStyle w:val="8"/>
        <w:ind w:firstLine="560"/>
        <w:rPr>
          <w:rFonts w:ascii="Times New Roman" w:hAnsi="Times New Roman" w:eastAsia="宋体" w:cs="宋体"/>
          <w:kern w:val="0"/>
          <w:sz w:val="28"/>
          <w:szCs w:val="28"/>
        </w:rPr>
      </w:pPr>
      <w:r>
        <w:rPr>
          <w:rFonts w:ascii="Times New Roman" w:hAnsi="Times New Roman" w:eastAsia="宋体" w:cs="宋体"/>
          <w:kern w:val="0"/>
          <w:sz w:val="28"/>
          <w:szCs w:val="28"/>
        </w:rPr>
        <w:t>2.</w:t>
      </w:r>
      <w:r>
        <w:rPr>
          <w:rFonts w:hint="eastAsia" w:ascii="Times New Roman" w:hAnsi="Times New Roman" w:eastAsia="宋体" w:cs="宋体"/>
          <w:kern w:val="0"/>
          <w:sz w:val="28"/>
          <w:szCs w:val="28"/>
        </w:rPr>
        <w:t>计量技术性能要求</w:t>
      </w:r>
    </w:p>
    <w:p>
      <w:pPr>
        <w:pStyle w:val="8"/>
        <w:ind w:firstLine="560"/>
        <w:rPr>
          <w:rFonts w:ascii="Times New Roman" w:hAnsi="Times New Roman" w:eastAsia="宋体" w:cs="宋体"/>
          <w:kern w:val="0"/>
          <w:sz w:val="28"/>
          <w:szCs w:val="28"/>
        </w:rPr>
      </w:pPr>
      <w:r>
        <w:rPr>
          <w:rFonts w:hint="eastAsia" w:ascii="Times New Roman" w:hAnsi="Times New Roman" w:eastAsia="宋体" w:cs="宋体"/>
          <w:kern w:val="0"/>
          <w:sz w:val="28"/>
          <w:szCs w:val="28"/>
        </w:rPr>
        <w:t>根据相关的技术规范，结合数字指示秤</w:t>
      </w:r>
      <w:r>
        <w:rPr>
          <w:rFonts w:ascii="Times New Roman" w:hAnsi="Times New Roman" w:eastAsia="宋体" w:cs="宋体"/>
          <w:kern w:val="0"/>
          <w:sz w:val="28"/>
          <w:szCs w:val="28"/>
        </w:rPr>
        <w:t>、</w:t>
      </w:r>
      <w:r>
        <w:rPr>
          <w:rFonts w:hint="eastAsia" w:ascii="Times New Roman" w:hAnsi="Times New Roman" w:eastAsia="宋体" w:cs="宋体"/>
          <w:kern w:val="0"/>
          <w:sz w:val="28"/>
          <w:szCs w:val="28"/>
        </w:rPr>
        <w:t>汽车油罐车容量</w:t>
      </w:r>
      <w:r>
        <w:rPr>
          <w:rFonts w:ascii="Times New Roman" w:hAnsi="Times New Roman" w:eastAsia="宋体" w:cs="宋体"/>
          <w:kern w:val="0"/>
          <w:sz w:val="28"/>
          <w:szCs w:val="28"/>
        </w:rPr>
        <w:t>等仪器的</w:t>
      </w:r>
      <w:r>
        <w:rPr>
          <w:rFonts w:hint="eastAsia" w:ascii="Times New Roman" w:hAnsi="Times New Roman" w:eastAsia="宋体" w:cs="宋体"/>
          <w:kern w:val="0"/>
          <w:sz w:val="28"/>
          <w:szCs w:val="28"/>
        </w:rPr>
        <w:t>检定</w:t>
      </w:r>
      <w:r>
        <w:rPr>
          <w:rFonts w:ascii="Times New Roman" w:hAnsi="Times New Roman" w:eastAsia="宋体" w:cs="宋体"/>
          <w:kern w:val="0"/>
          <w:sz w:val="28"/>
          <w:szCs w:val="28"/>
        </w:rPr>
        <w:t>方法，</w:t>
      </w:r>
      <w:r>
        <w:rPr>
          <w:rFonts w:hint="eastAsia" w:ascii="Times New Roman" w:hAnsi="Times New Roman" w:eastAsia="宋体" w:cs="宋体"/>
          <w:kern w:val="0"/>
          <w:sz w:val="28"/>
          <w:szCs w:val="28"/>
        </w:rPr>
        <w:t>对称重容罐</w:t>
      </w:r>
      <w:r>
        <w:rPr>
          <w:rFonts w:ascii="Times New Roman" w:hAnsi="Times New Roman" w:eastAsia="宋体" w:cs="宋体"/>
          <w:kern w:val="0"/>
          <w:sz w:val="28"/>
          <w:szCs w:val="28"/>
        </w:rPr>
        <w:t>的</w:t>
      </w:r>
      <w:r>
        <w:rPr>
          <w:rFonts w:hint="eastAsia" w:ascii="Times New Roman" w:hAnsi="Times New Roman" w:eastAsia="宋体" w:cs="宋体"/>
          <w:kern w:val="0"/>
          <w:sz w:val="28"/>
          <w:szCs w:val="28"/>
        </w:rPr>
        <w:t>校准技术指标</w:t>
      </w:r>
      <w:r>
        <w:rPr>
          <w:rFonts w:ascii="Times New Roman" w:hAnsi="Times New Roman" w:eastAsia="宋体" w:cs="宋体"/>
          <w:kern w:val="0"/>
          <w:sz w:val="28"/>
          <w:szCs w:val="28"/>
        </w:rPr>
        <w:t>分为两个部分</w:t>
      </w:r>
      <w:r>
        <w:rPr>
          <w:rFonts w:hint="eastAsia" w:ascii="Times New Roman" w:hAnsi="Times New Roman" w:eastAsia="宋体" w:cs="宋体"/>
          <w:kern w:val="0"/>
          <w:sz w:val="28"/>
          <w:szCs w:val="28"/>
        </w:rPr>
        <w:t>即外观及功能性检查和计量性能校准</w:t>
      </w:r>
      <w:r>
        <w:rPr>
          <w:rFonts w:ascii="Times New Roman" w:hAnsi="Times New Roman" w:eastAsia="宋体" w:cs="宋体"/>
          <w:kern w:val="0"/>
          <w:sz w:val="28"/>
          <w:szCs w:val="28"/>
        </w:rPr>
        <w:t>。</w:t>
      </w:r>
    </w:p>
    <w:p>
      <w:pPr>
        <w:pStyle w:val="8"/>
        <w:ind w:firstLine="560"/>
        <w:rPr>
          <w:rFonts w:ascii="Times New Roman" w:hAnsi="Times New Roman" w:eastAsia="宋体" w:cs="宋体"/>
          <w:kern w:val="0"/>
          <w:sz w:val="28"/>
          <w:szCs w:val="28"/>
        </w:rPr>
      </w:pPr>
      <w:r>
        <w:rPr>
          <w:rFonts w:hint="eastAsia" w:ascii="Times New Roman" w:hAnsi="Times New Roman" w:eastAsia="宋体" w:cs="宋体"/>
          <w:kern w:val="0"/>
          <w:sz w:val="28"/>
          <w:szCs w:val="28"/>
        </w:rPr>
        <w:t>在外观及功能性检查</w:t>
      </w:r>
      <w:r>
        <w:rPr>
          <w:rFonts w:ascii="Times New Roman" w:hAnsi="Times New Roman" w:eastAsia="宋体" w:cs="宋体"/>
          <w:kern w:val="0"/>
          <w:sz w:val="28"/>
          <w:szCs w:val="28"/>
        </w:rPr>
        <w:t>中，</w:t>
      </w:r>
      <w:r>
        <w:rPr>
          <w:rFonts w:hint="eastAsia" w:ascii="Times New Roman" w:hAnsi="Times New Roman" w:eastAsia="宋体" w:cs="宋体"/>
          <w:kern w:val="0"/>
          <w:sz w:val="28"/>
          <w:szCs w:val="28"/>
        </w:rPr>
        <w:t>主要对称重容罐的计量安全性、计量法制标志和计量器具标识</w:t>
      </w:r>
      <w:r>
        <w:rPr>
          <w:rFonts w:ascii="Times New Roman" w:hAnsi="Times New Roman" w:eastAsia="宋体" w:cs="宋体"/>
          <w:kern w:val="0"/>
          <w:sz w:val="28"/>
          <w:szCs w:val="28"/>
        </w:rPr>
        <w:t>等几个方面</w:t>
      </w:r>
      <w:r>
        <w:rPr>
          <w:rFonts w:hint="eastAsia" w:ascii="Times New Roman" w:hAnsi="Times New Roman" w:eastAsia="宋体" w:cs="宋体"/>
          <w:kern w:val="0"/>
          <w:sz w:val="28"/>
          <w:szCs w:val="28"/>
        </w:rPr>
        <w:t>进行检查</w:t>
      </w:r>
      <w:r>
        <w:rPr>
          <w:rFonts w:ascii="Times New Roman" w:hAnsi="Times New Roman" w:eastAsia="宋体" w:cs="宋体"/>
          <w:kern w:val="0"/>
          <w:sz w:val="28"/>
          <w:szCs w:val="28"/>
        </w:rPr>
        <w:t>。</w:t>
      </w:r>
      <w:r>
        <w:rPr>
          <w:rFonts w:hint="eastAsia" w:ascii="Times New Roman" w:hAnsi="Times New Roman" w:eastAsia="宋体" w:cs="宋体"/>
          <w:kern w:val="0"/>
          <w:sz w:val="28"/>
          <w:szCs w:val="28"/>
        </w:rPr>
        <w:t>目测检查被校容罐的外观及附件，其应有铭牌，标明产品名称、型号规格、制造厂、出厂日期和出厂编号。被校称重容罐应满足以下要求：结构完整，无影响正常工作和妨碍读数的缺陷和机械损伤，各部件连接牢固，无明显松动，且不影响示值读数</w:t>
      </w:r>
      <w:r>
        <w:rPr>
          <w:rFonts w:ascii="Times New Roman" w:hAnsi="Times New Roman" w:eastAsia="宋体" w:cs="宋体"/>
          <w:kern w:val="0"/>
          <w:sz w:val="28"/>
          <w:szCs w:val="28"/>
        </w:rPr>
        <w:t>。</w:t>
      </w:r>
    </w:p>
    <w:p>
      <w:pPr>
        <w:pStyle w:val="8"/>
        <w:ind w:firstLine="560"/>
        <w:rPr>
          <w:rFonts w:ascii="Times New Roman" w:hAnsi="Times New Roman" w:eastAsia="宋体" w:cs="宋体"/>
          <w:kern w:val="0"/>
          <w:sz w:val="28"/>
          <w:szCs w:val="28"/>
        </w:rPr>
      </w:pPr>
      <w:r>
        <w:rPr>
          <w:rFonts w:hint="eastAsia" w:ascii="Times New Roman" w:hAnsi="Times New Roman" w:eastAsia="宋体" w:cs="宋体"/>
          <w:kern w:val="0"/>
          <w:sz w:val="28"/>
          <w:szCs w:val="28"/>
        </w:rPr>
        <w:t>计量性能校准通常是称重测量，主要进行示值误差和重复性两个重要指标的测试。</w:t>
      </w:r>
    </w:p>
    <w:p>
      <w:pPr>
        <w:pStyle w:val="8"/>
        <w:ind w:firstLine="560"/>
        <w:rPr>
          <w:rFonts w:ascii="Times New Roman" w:hAnsi="Times New Roman" w:eastAsia="宋体" w:cs="宋体"/>
          <w:kern w:val="0"/>
          <w:sz w:val="28"/>
          <w:szCs w:val="28"/>
        </w:rPr>
      </w:pPr>
      <w:r>
        <w:rPr>
          <w:rFonts w:ascii="Times New Roman" w:hAnsi="Times New Roman" w:eastAsia="宋体" w:cs="宋体"/>
          <w:kern w:val="0"/>
          <w:sz w:val="28"/>
          <w:szCs w:val="28"/>
        </w:rPr>
        <w:t>3.确认办法</w:t>
      </w:r>
    </w:p>
    <w:p>
      <w:pPr>
        <w:pStyle w:val="8"/>
        <w:ind w:firstLine="560"/>
        <w:rPr>
          <w:rFonts w:ascii="Times New Roman" w:hAnsi="Times New Roman" w:eastAsia="宋体" w:cs="宋体"/>
          <w:kern w:val="0"/>
          <w:sz w:val="28"/>
          <w:szCs w:val="28"/>
        </w:rPr>
      </w:pPr>
      <w:r>
        <w:rPr>
          <w:rFonts w:hint="eastAsia" w:ascii="Times New Roman" w:hAnsi="Times New Roman" w:eastAsia="宋体" w:cs="宋体"/>
          <w:kern w:val="0"/>
          <w:sz w:val="28"/>
          <w:szCs w:val="28"/>
        </w:rPr>
        <w:t>规程中所采用的校准方法，是参考了有关的国家检定规程、国家标准、国际标准、地方标准、行业标准等技术资料，并结合实际工作中的具体情况来确定的。</w:t>
      </w:r>
    </w:p>
    <w:p>
      <w:pPr>
        <w:pStyle w:val="8"/>
        <w:ind w:firstLine="560"/>
        <w:rPr>
          <w:rFonts w:ascii="Times New Roman" w:hAnsi="Times New Roman" w:eastAsia="宋体" w:cs="宋体"/>
          <w:kern w:val="0"/>
          <w:sz w:val="28"/>
          <w:szCs w:val="28"/>
        </w:rPr>
      </w:pPr>
      <w:r>
        <w:rPr>
          <w:rFonts w:ascii="Times New Roman" w:hAnsi="Times New Roman" w:eastAsia="宋体" w:cs="宋体"/>
          <w:kern w:val="0"/>
          <w:sz w:val="28"/>
          <w:szCs w:val="28"/>
        </w:rPr>
        <w:t>4.</w:t>
      </w:r>
      <w:r>
        <w:rPr>
          <w:rFonts w:hint="eastAsia" w:ascii="Times New Roman" w:hAnsi="Times New Roman" w:eastAsia="宋体" w:cs="宋体"/>
          <w:kern w:val="0"/>
          <w:sz w:val="28"/>
          <w:szCs w:val="28"/>
        </w:rPr>
        <w:t>校准周期</w:t>
      </w:r>
    </w:p>
    <w:p>
      <w:pPr>
        <w:pStyle w:val="8"/>
        <w:ind w:firstLine="560"/>
        <w:rPr>
          <w:rFonts w:ascii="Times New Roman" w:hAnsi="Times New Roman" w:eastAsia="宋体" w:cs="宋体"/>
          <w:kern w:val="0"/>
          <w:sz w:val="28"/>
          <w:szCs w:val="28"/>
        </w:rPr>
      </w:pPr>
      <w:r>
        <w:rPr>
          <w:rFonts w:hint="eastAsia" w:ascii="Times New Roman" w:hAnsi="Times New Roman" w:eastAsia="宋体" w:cs="宋体"/>
          <w:kern w:val="0"/>
          <w:sz w:val="28"/>
          <w:szCs w:val="28"/>
        </w:rPr>
        <w:t>根据《计量器具检定周期的确定原则和方法》（</w:t>
      </w:r>
      <w:r>
        <w:rPr>
          <w:rFonts w:ascii="Times New Roman" w:hAnsi="Times New Roman" w:eastAsia="宋体" w:cs="宋体"/>
          <w:kern w:val="0"/>
          <w:sz w:val="28"/>
          <w:szCs w:val="28"/>
        </w:rPr>
        <w:t>JJF 1139—2005）</w:t>
      </w:r>
      <w:r>
        <w:rPr>
          <w:rFonts w:hint="eastAsia" w:ascii="Times New Roman" w:hAnsi="Times New Roman" w:eastAsia="宋体" w:cs="宋体"/>
          <w:kern w:val="0"/>
          <w:sz w:val="28"/>
          <w:szCs w:val="28"/>
        </w:rPr>
        <w:t>，本规程确定的校准周期为一年。</w:t>
      </w:r>
    </w:p>
    <w:p>
      <w:pPr>
        <w:rPr>
          <w:rFonts w:ascii="Times New Roman" w:hAnsi="Times New Roman" w:eastAsia="宋体" w:cs="宋体"/>
          <w:kern w:val="0"/>
          <w:sz w:val="28"/>
          <w:szCs w:val="28"/>
        </w:rPr>
      </w:pPr>
    </w:p>
    <w:p>
      <w:pPr>
        <w:ind w:firstLine="480"/>
        <w:jc w:val="right"/>
        <w:rPr>
          <w:rFonts w:ascii="Times New Roman" w:hAnsi="Times New Roman" w:eastAsia="宋体"/>
          <w:sz w:val="28"/>
          <w:szCs w:val="28"/>
        </w:rPr>
      </w:pPr>
      <w:r>
        <w:rPr>
          <w:rFonts w:hint="eastAsia" w:ascii="Times New Roman" w:hAnsi="Times New Roman" w:eastAsia="宋体"/>
          <w:sz w:val="28"/>
          <w:szCs w:val="28"/>
        </w:rPr>
        <w:t>《</w:t>
      </w:r>
      <w:r>
        <w:rPr>
          <w:rFonts w:hint="eastAsia" w:ascii="Times New Roman" w:hAnsi="Times New Roman" w:eastAsia="宋体" w:cs="宋体"/>
          <w:kern w:val="0"/>
          <w:sz w:val="28"/>
          <w:szCs w:val="28"/>
        </w:rPr>
        <w:t>称重容罐校准规范</w:t>
      </w:r>
      <w:r>
        <w:rPr>
          <w:rFonts w:hint="eastAsia" w:ascii="Times New Roman" w:hAnsi="Times New Roman" w:eastAsia="宋体"/>
          <w:sz w:val="28"/>
          <w:szCs w:val="28"/>
        </w:rPr>
        <w:t>》起草小组</w:t>
      </w:r>
    </w:p>
    <w:p>
      <w:pPr>
        <w:ind w:right="1120" w:firstLine="480"/>
        <w:jc w:val="right"/>
        <w:rPr>
          <w:rFonts w:ascii="Times New Roman" w:hAnsi="Times New Roman" w:eastAsia="宋体"/>
          <w:sz w:val="28"/>
          <w:szCs w:val="28"/>
        </w:rPr>
      </w:pPr>
      <w:r>
        <w:rPr>
          <w:rFonts w:hint="eastAsia" w:ascii="Times New Roman" w:hAnsi="Times New Roman" w:eastAsia="宋体"/>
          <w:sz w:val="28"/>
          <w:szCs w:val="28"/>
        </w:rPr>
        <w:t>20</w:t>
      </w:r>
      <w:r>
        <w:rPr>
          <w:rFonts w:ascii="Times New Roman" w:hAnsi="Times New Roman" w:eastAsia="宋体"/>
          <w:sz w:val="28"/>
          <w:szCs w:val="28"/>
        </w:rPr>
        <w:t>2</w:t>
      </w:r>
      <w:r>
        <w:rPr>
          <w:rFonts w:hint="eastAsia" w:ascii="Times New Roman" w:hAnsi="Times New Roman" w:eastAsia="宋体"/>
          <w:sz w:val="28"/>
          <w:szCs w:val="28"/>
        </w:rPr>
        <w:t>4年10月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华文宋体"/>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中宋"/>
    <w:panose1 w:val="02010600030101010101"/>
    <w:charset w:val="86"/>
    <w:family w:val="auto"/>
    <w:pitch w:val="default"/>
    <w:sig w:usb0="00000000" w:usb1="00000000" w:usb2="00000016" w:usb3="00000000" w:csb0="0004000F" w:csb1="00000000"/>
  </w:font>
  <w:font w:name="Arial">
    <w:altName w:val="Times New Roman"/>
    <w:panose1 w:val="020B0604020202020204"/>
    <w:charset w:val="00"/>
    <w:family w:val="swiss"/>
    <w:pitch w:val="default"/>
    <w:sig w:usb0="00000000" w:usb1="00000000" w:usb2="00000009" w:usb3="00000000" w:csb0="000001FF" w:csb1="00000000"/>
  </w:font>
  <w:font w:name="华文宋体">
    <w:panose1 w:val="02010600040101010101"/>
    <w:charset w:val="86"/>
    <w:family w:val="auto"/>
    <w:pitch w:val="default"/>
    <w:sig w:usb0="00000287" w:usb1="080F0000" w:usb2="00000000" w:usb3="00000000" w:csb0="0004009F" w:csb1="DFD70000"/>
  </w:font>
  <w:font w:name="等线">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9F181F"/>
    <w:multiLevelType w:val="multilevel"/>
    <w:tmpl w:val="459F181F"/>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QwMzFlOWEwZDA0ZjJjZjk4YjhmNmE1YTJiMGQwMWUifQ=="/>
  </w:docVars>
  <w:rsids>
    <w:rsidRoot w:val="00D24425"/>
    <w:rsid w:val="001259BA"/>
    <w:rsid w:val="00136867"/>
    <w:rsid w:val="002207B2"/>
    <w:rsid w:val="00240551"/>
    <w:rsid w:val="00243E92"/>
    <w:rsid w:val="002F449B"/>
    <w:rsid w:val="003178ED"/>
    <w:rsid w:val="004205D8"/>
    <w:rsid w:val="00443310"/>
    <w:rsid w:val="0046750C"/>
    <w:rsid w:val="004C2B57"/>
    <w:rsid w:val="00533AC7"/>
    <w:rsid w:val="00534B9C"/>
    <w:rsid w:val="00546B9E"/>
    <w:rsid w:val="00565DBF"/>
    <w:rsid w:val="00583A5C"/>
    <w:rsid w:val="005B2994"/>
    <w:rsid w:val="005B61F1"/>
    <w:rsid w:val="005F3DBA"/>
    <w:rsid w:val="006054CE"/>
    <w:rsid w:val="00623948"/>
    <w:rsid w:val="00662C8C"/>
    <w:rsid w:val="006B0EF6"/>
    <w:rsid w:val="006C0E2B"/>
    <w:rsid w:val="006C2705"/>
    <w:rsid w:val="006C38A2"/>
    <w:rsid w:val="006D60A7"/>
    <w:rsid w:val="007A029A"/>
    <w:rsid w:val="007E34C6"/>
    <w:rsid w:val="007E3D26"/>
    <w:rsid w:val="008575E0"/>
    <w:rsid w:val="00952902"/>
    <w:rsid w:val="00994FB5"/>
    <w:rsid w:val="009E08AC"/>
    <w:rsid w:val="00A40E76"/>
    <w:rsid w:val="00A42DEA"/>
    <w:rsid w:val="00AC5C2D"/>
    <w:rsid w:val="00B3357E"/>
    <w:rsid w:val="00B56E10"/>
    <w:rsid w:val="00B7196B"/>
    <w:rsid w:val="00BD620C"/>
    <w:rsid w:val="00C05D01"/>
    <w:rsid w:val="00C36FFD"/>
    <w:rsid w:val="00CB45C1"/>
    <w:rsid w:val="00D24425"/>
    <w:rsid w:val="00D3027D"/>
    <w:rsid w:val="00D33577"/>
    <w:rsid w:val="00D36816"/>
    <w:rsid w:val="00D54439"/>
    <w:rsid w:val="00D74674"/>
    <w:rsid w:val="00DC3E22"/>
    <w:rsid w:val="00E07CD9"/>
    <w:rsid w:val="00E436BD"/>
    <w:rsid w:val="00E7749C"/>
    <w:rsid w:val="00E81741"/>
    <w:rsid w:val="00ED63A4"/>
    <w:rsid w:val="00F32DDA"/>
    <w:rsid w:val="00F430BD"/>
    <w:rsid w:val="00F56D57"/>
    <w:rsid w:val="00F97C63"/>
    <w:rsid w:val="00FB4F4E"/>
    <w:rsid w:val="00FE7834"/>
    <w:rsid w:val="06176342"/>
    <w:rsid w:val="0838050C"/>
    <w:rsid w:val="085A4C9D"/>
    <w:rsid w:val="0E790393"/>
    <w:rsid w:val="11E95859"/>
    <w:rsid w:val="35E07CE3"/>
    <w:rsid w:val="3CE55A3E"/>
    <w:rsid w:val="4242165C"/>
    <w:rsid w:val="78F8DC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325</Words>
  <Characters>1855</Characters>
  <Lines>15</Lines>
  <Paragraphs>4</Paragraphs>
  <TotalTime>118</TotalTime>
  <ScaleCrop>false</ScaleCrop>
  <LinksUpToDate>false</LinksUpToDate>
  <CharactersWithSpaces>2176</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2023-04-14T08:50:00Z</dcterms:created>
  <dc:creator>Administrator</dc:creator>
  <cp:lastModifiedBy>吴巍</cp:lastModifiedBy>
  <dcterms:modified xsi:type="dcterms:W3CDTF">2024-11-20T15:00:56Z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3BAB6880E6B240A6924C218B9A8C8EE1_13</vt:lpwstr>
  </property>
</Properties>
</file>