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pacing w:val="70"/>
          <w:sz w:val="48"/>
          <w:szCs w:val="48"/>
        </w:rPr>
      </w:pPr>
      <w:bookmarkStart w:id="0" w:name="_Toc447893962"/>
    </w:p>
    <w:bookmarkEnd w:id="0"/>
    <w:p>
      <w:pPr>
        <w:rPr>
          <w:rFonts w:ascii="Times New Roman" w:hAnsi="Times New Roman" w:cs="Times New Roman"/>
          <w:b/>
          <w:bCs/>
          <w:spacing w:val="20"/>
          <w:sz w:val="48"/>
          <w:szCs w:val="56"/>
        </w:rPr>
      </w:pPr>
      <w:r>
        <w:rPr>
          <w:rFonts w:hint="eastAsia" w:ascii="华光小标宋_CNKI" w:hAnsi="华光小标宋_CNKI" w:eastAsia="华光小标宋_CNKI"/>
          <w:sz w:val="18"/>
          <w:szCs w:val="18"/>
        </w:rPr>
        <w:drawing>
          <wp:anchor distT="0" distB="0" distL="114300" distR="114300" simplePos="0" relativeHeight="251660288" behindDoc="0" locked="0" layoutInCell="1" allowOverlap="1">
            <wp:simplePos x="0" y="0"/>
            <wp:positionH relativeFrom="column">
              <wp:posOffset>3183890</wp:posOffset>
            </wp:positionH>
            <wp:positionV relativeFrom="paragraph">
              <wp:posOffset>-397510</wp:posOffset>
            </wp:positionV>
            <wp:extent cx="1997075" cy="935990"/>
            <wp:effectExtent l="0" t="0" r="3175" b="16510"/>
            <wp:wrapNone/>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11">
                      <a:biLevel thresh="50000"/>
                      <a:grayscl/>
                    </a:blip>
                    <a:stretch>
                      <a:fillRect/>
                    </a:stretch>
                  </pic:blipFill>
                  <pic:spPr>
                    <a:xfrm>
                      <a:off x="0" y="0"/>
                      <a:ext cx="1997075" cy="935990"/>
                    </a:xfrm>
                    <a:prstGeom prst="rect">
                      <a:avLst/>
                    </a:prstGeom>
                    <a:noFill/>
                    <a:ln>
                      <a:noFill/>
                    </a:ln>
                  </pic:spPr>
                </pic:pic>
              </a:graphicData>
            </a:graphic>
          </wp:anchor>
        </w:drawing>
      </w:r>
    </w:p>
    <w:p>
      <w:pPr>
        <w:jc w:val="center"/>
        <w:rPr>
          <w:rFonts w:ascii="Times New Roman" w:hAnsi="Times New Roman" w:cs="Times New Roman"/>
          <w:b/>
          <w:bCs/>
          <w:sz w:val="48"/>
          <w:szCs w:val="56"/>
        </w:rPr>
      </w:pPr>
    </w:p>
    <w:p>
      <w:pPr>
        <w:spacing w:line="0" w:lineRule="atLeast"/>
        <w:contextualSpacing/>
        <w:jc w:val="center"/>
        <w:rPr>
          <w:rFonts w:ascii="Times New Roman" w:hAnsi="Times New Roman" w:cs="Times New Roman" w:eastAsiaTheme="majorEastAsia"/>
          <w:sz w:val="32"/>
          <w:szCs w:val="40"/>
        </w:rPr>
      </w:pPr>
      <w:r>
        <w:rPr>
          <w:rFonts w:ascii="Times New Roman" w:hAnsi="Times New Roman" w:cs="Times New Roman" w:eastAsiaTheme="majorEastAsia"/>
          <w:b/>
          <w:bCs/>
          <w:sz w:val="52"/>
          <w:szCs w:val="72"/>
        </w:rPr>
        <w:t>广西壮族自治区地方计量技术规范</w:t>
      </w:r>
    </w:p>
    <w:p>
      <w:pPr>
        <w:ind w:left="5793" w:leftChars="2219" w:hanging="467" w:hangingChars="167"/>
        <w:rPr>
          <w:rFonts w:ascii="Times New Roman" w:hAnsi="Times New Roman" w:eastAsia="黑体" w:cs="Times New Roman"/>
          <w:sz w:val="28"/>
          <w:szCs w:val="28"/>
        </w:rPr>
      </w:pPr>
      <w:r>
        <w:rPr>
          <w:rFonts w:ascii="Times New Roman" w:hAnsi="Times New Roman" w:eastAsia="黑体" w:cs="Times New Roman"/>
          <w:bCs/>
          <w:sz w:val="28"/>
          <w:szCs w:val="28"/>
        </w:rPr>
        <w:t>JJF（桂）XXXX－XXXX</w:t>
      </w:r>
    </w:p>
    <w:p>
      <w:pPr>
        <w:tabs>
          <w:tab w:val="left" w:pos="4500"/>
        </w:tabs>
        <w:spacing w:line="360" w:lineRule="auto"/>
        <w:jc w:val="left"/>
        <w:rPr>
          <w:rFonts w:eastAsia="黑体"/>
          <w:sz w:val="52"/>
          <w:szCs w:val="52"/>
        </w:rPr>
      </w:pPr>
      <w:r>
        <mc:AlternateContent>
          <mc:Choice Requires="wps">
            <w:drawing>
              <wp:anchor distT="0" distB="0" distL="114300" distR="114300" simplePos="0" relativeHeight="251659264" behindDoc="0" locked="0" layoutInCell="1" allowOverlap="1">
                <wp:simplePos x="0" y="0"/>
                <wp:positionH relativeFrom="margin">
                  <wp:posOffset>-1905</wp:posOffset>
                </wp:positionH>
                <wp:positionV relativeFrom="paragraph">
                  <wp:posOffset>86995</wp:posOffset>
                </wp:positionV>
                <wp:extent cx="5939790" cy="0"/>
                <wp:effectExtent l="0" t="0" r="0" b="0"/>
                <wp:wrapNone/>
                <wp:docPr id="2" name="直线 2"/>
                <wp:cNvGraphicFramePr/>
                <a:graphic xmlns:a="http://schemas.openxmlformats.org/drawingml/2006/main">
                  <a:graphicData uri="http://schemas.microsoft.com/office/word/2010/wordprocessingShape">
                    <wps:wsp>
                      <wps:cNvCnPr/>
                      <wps:spPr>
                        <a:xfrm>
                          <a:off x="0" y="0"/>
                          <a:ext cx="593979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0.15pt;margin-top:6.85pt;height:0pt;width:467.7pt;mso-position-horizontal-relative:margin;z-index:251659264;mso-width-relative:page;mso-height-relative:page;" filled="f" stroked="t" coordsize="21600,21600" o:gfxdata="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aHON&#10;0wAAAAcBAAAPAAAAAAAAAAEAIAAAACIAAABkcnMvZG93bnJldi54bWxQSwECFAAUAAAACACHTuJA&#10;Hpn0wu0BAADpAwAADgAAAAAAAAABACAAAAAiAQAAZHJzL2Uyb0RvYy54bWxQSwUGAAAAAAYABgBZ&#10;AQAAgQUAAAAA&#10;">
                <v:fill on="f" focussize="0,0"/>
                <v:stroke color="#000000" joinstyle="round"/>
                <v:imagedata o:title=""/>
                <o:lock v:ext="edit" aspectratio="f"/>
              </v:line>
            </w:pict>
          </mc:Fallback>
        </mc:AlternateContent>
      </w:r>
    </w:p>
    <w:p>
      <w:pPr>
        <w:tabs>
          <w:tab w:val="left" w:pos="4500"/>
        </w:tabs>
        <w:spacing w:line="360" w:lineRule="auto"/>
        <w:jc w:val="left"/>
        <w:rPr>
          <w:rFonts w:eastAsia="黑体"/>
          <w:sz w:val="52"/>
          <w:szCs w:val="52"/>
        </w:rPr>
      </w:pPr>
    </w:p>
    <w:p>
      <w:pPr>
        <w:tabs>
          <w:tab w:val="left" w:pos="4500"/>
        </w:tabs>
        <w:spacing w:line="360" w:lineRule="auto"/>
        <w:jc w:val="left"/>
        <w:rPr>
          <w:rFonts w:eastAsia="黑体"/>
          <w:sz w:val="52"/>
          <w:szCs w:val="52"/>
        </w:rPr>
      </w:pPr>
    </w:p>
    <w:p>
      <w:pPr>
        <w:tabs>
          <w:tab w:val="left" w:pos="4500"/>
        </w:tabs>
        <w:spacing w:line="360" w:lineRule="auto"/>
        <w:jc w:val="center"/>
        <w:rPr>
          <w:rFonts w:eastAsia="黑体"/>
          <w:sz w:val="52"/>
          <w:szCs w:val="52"/>
        </w:rPr>
      </w:pPr>
      <w:r>
        <w:rPr>
          <w:rFonts w:hint="eastAsia" w:eastAsia="黑体"/>
          <w:sz w:val="52"/>
          <w:szCs w:val="52"/>
          <w:lang w:eastAsia="zh-CN"/>
        </w:rPr>
        <w:t>液化气灌装秤</w:t>
      </w:r>
      <w:r>
        <w:rPr>
          <w:rFonts w:eastAsia="黑体"/>
          <w:sz w:val="52"/>
          <w:szCs w:val="52"/>
        </w:rPr>
        <w:t>校准规范</w:t>
      </w: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Calibration Specification for</w:t>
      </w:r>
    </w:p>
    <w:p>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Automatic  Liquefied  Gas  Filling  Instrument</w:t>
      </w:r>
    </w:p>
    <w:p>
      <w:pPr>
        <w:spacing w:line="360" w:lineRule="auto"/>
        <w:jc w:val="center"/>
        <w:rPr>
          <w:rFonts w:eastAsia="黑体"/>
          <w:sz w:val="28"/>
          <w:szCs w:val="28"/>
        </w:rPr>
      </w:pPr>
      <w:r>
        <w:rPr>
          <w:rFonts w:eastAsia="黑体"/>
          <w:sz w:val="28"/>
          <w:szCs w:val="28"/>
        </w:rPr>
        <w:t>（</w:t>
      </w:r>
      <w:r>
        <w:rPr>
          <w:rFonts w:hint="eastAsia" w:eastAsia="黑体"/>
          <w:sz w:val="28"/>
          <w:szCs w:val="28"/>
        </w:rPr>
        <w:t>征求意见</w:t>
      </w:r>
      <w:r>
        <w:rPr>
          <w:rFonts w:eastAsia="黑体"/>
          <w:sz w:val="28"/>
          <w:szCs w:val="28"/>
        </w:rPr>
        <w:t>稿）</w:t>
      </w:r>
    </w:p>
    <w:p/>
    <w:p>
      <w:pPr>
        <w:tabs>
          <w:tab w:val="left" w:pos="4500"/>
        </w:tabs>
        <w:spacing w:line="360" w:lineRule="auto"/>
        <w:jc w:val="left"/>
        <w:rPr>
          <w:rFonts w:eastAsia="黑体"/>
          <w:sz w:val="28"/>
        </w:rPr>
      </w:pPr>
    </w:p>
    <w:p>
      <w:pPr>
        <w:tabs>
          <w:tab w:val="left" w:pos="4500"/>
        </w:tabs>
        <w:spacing w:line="360" w:lineRule="auto"/>
        <w:jc w:val="left"/>
        <w:rPr>
          <w:rFonts w:eastAsia="黑体"/>
          <w:sz w:val="28"/>
        </w:rPr>
      </w:pPr>
    </w:p>
    <w:p>
      <w:pPr>
        <w:tabs>
          <w:tab w:val="left" w:pos="4500"/>
        </w:tabs>
        <w:spacing w:line="360" w:lineRule="auto"/>
        <w:jc w:val="left"/>
        <w:rPr>
          <w:rFonts w:eastAsia="黑体"/>
          <w:sz w:val="28"/>
        </w:rPr>
      </w:pPr>
    </w:p>
    <w:p>
      <w:pPr>
        <w:tabs>
          <w:tab w:val="left" w:pos="4500"/>
        </w:tabs>
        <w:spacing w:line="360" w:lineRule="auto"/>
        <w:jc w:val="left"/>
        <w:rPr>
          <w:rFonts w:eastAsia="黑体"/>
          <w:sz w:val="28"/>
        </w:rPr>
      </w:pPr>
    </w:p>
    <w:p>
      <w:pPr>
        <w:tabs>
          <w:tab w:val="left" w:pos="4500"/>
        </w:tabs>
        <w:spacing w:line="360" w:lineRule="auto"/>
        <w:jc w:val="left"/>
        <w:rPr>
          <w:rFonts w:eastAsia="黑体"/>
          <w:sz w:val="28"/>
        </w:rPr>
      </w:pPr>
    </w:p>
    <w:p>
      <w:pPr>
        <w:tabs>
          <w:tab w:val="left" w:pos="4500"/>
        </w:tabs>
        <w:spacing w:line="360" w:lineRule="auto"/>
        <w:jc w:val="center"/>
        <w:rPr>
          <w:rFonts w:eastAsia="黑体"/>
          <w:sz w:val="28"/>
        </w:rPr>
      </w:pPr>
      <w:r>
        <w:rPr>
          <w:rFonts w:eastAsia="黑体"/>
          <w:sz w:val="28"/>
        </w:rPr>
        <w:t>20</w:t>
      </w:r>
      <w:r>
        <w:rPr>
          <w:rFonts w:hint="eastAsia" w:eastAsia="黑体"/>
          <w:sz w:val="28"/>
        </w:rPr>
        <w:t>2</w:t>
      </w:r>
      <w:r>
        <w:rPr>
          <w:rFonts w:hint="eastAsia" w:eastAsia="黑体"/>
          <w:sz w:val="28"/>
          <w:lang w:val="en-US" w:eastAsia="zh-CN"/>
        </w:rPr>
        <w:t>4</w:t>
      </w:r>
      <w:r>
        <w:rPr>
          <w:rFonts w:eastAsia="黑体"/>
          <w:sz w:val="28"/>
        </w:rPr>
        <w:t>—XX—XX发布                            20</w:t>
      </w:r>
      <w:r>
        <w:rPr>
          <w:rFonts w:hint="eastAsia" w:eastAsia="黑体"/>
          <w:sz w:val="28"/>
        </w:rPr>
        <w:t>2</w:t>
      </w:r>
      <w:r>
        <w:rPr>
          <w:rFonts w:hint="eastAsia" w:eastAsia="黑体"/>
          <w:sz w:val="28"/>
          <w:lang w:val="en-US" w:eastAsia="zh-CN"/>
        </w:rPr>
        <w:t>4</w:t>
      </w:r>
      <w:r>
        <w:rPr>
          <w:rFonts w:eastAsia="黑体"/>
          <w:sz w:val="28"/>
        </w:rPr>
        <w:t>—XX—XX实施</w:t>
      </w:r>
    </w:p>
    <w:p>
      <w:pPr>
        <w:spacing w:line="360" w:lineRule="auto"/>
        <w:jc w:val="center"/>
        <w:rPr>
          <w:rFonts w:eastAsia="黑体"/>
          <w:spacing w:val="32"/>
          <w:sz w:val="28"/>
        </w:rPr>
        <w:sectPr>
          <w:headerReference r:id="rId3" w:type="default"/>
          <w:footerReference r:id="rId5" w:type="default"/>
          <w:headerReference r:id="rId4" w:type="even"/>
          <w:footerReference r:id="rId6" w:type="even"/>
          <w:pgSz w:w="11906" w:h="16838"/>
          <w:pgMar w:top="1588" w:right="1134" w:bottom="1361" w:left="1418" w:header="851" w:footer="992" w:gutter="0"/>
          <w:pgNumType w:fmt="upperRoman" w:start="1"/>
          <w:cols w:space="720" w:num="1"/>
          <w:titlePg/>
          <w:docGrid w:type="lines" w:linePitch="312" w:charSpace="0"/>
        </w:sect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939790" cy="0"/>
                <wp:effectExtent l="0" t="0" r="0" b="0"/>
                <wp:wrapNone/>
                <wp:docPr id="3" name="直线 3"/>
                <wp:cNvGraphicFramePr/>
                <a:graphic xmlns:a="http://schemas.openxmlformats.org/drawingml/2006/main">
                  <a:graphicData uri="http://schemas.microsoft.com/office/word/2010/wordprocessingShape">
                    <wps:wsp>
                      <wps:cNvCnPr/>
                      <wps:spPr>
                        <a:xfrm>
                          <a:off x="0" y="0"/>
                          <a:ext cx="593979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top:0pt;height:0pt;width:467.7pt;mso-position-horizontal:center;mso-position-horizontal-relative:margin;z-index:251659264;mso-width-relative:page;mso-height-relative:page;" filled="f" stroked="t" coordsize="21600,21600" o:gfxdata="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vQc/HS&#10;AAAAAgEAAA8AAAAAAAAAAQAgAAAAIgAAAGRycy9kb3ducmV2LnhtbFBLAQIUABQAAAAIAIdO4kB/&#10;2U/w7QEAAOkDAAAOAAAAAAAAAAEAIAAAACEBAABkcnMvZTJvRG9jLnhtbFBLBQYAAAAABgAGAFkB&#10;AACABQAAAAA=&#10;">
                <v:fill on="f" focussize="0,0"/>
                <v:stroke color="#000000" joinstyle="round"/>
                <v:imagedata o:title=""/>
                <o:lock v:ext="edit" aspectratio="f"/>
              </v:line>
            </w:pict>
          </mc:Fallback>
        </mc:AlternateContent>
      </w:r>
      <w:r>
        <w:rPr>
          <w:b/>
          <w:spacing w:val="40"/>
          <w:sz w:val="36"/>
          <w:szCs w:val="36"/>
        </w:rPr>
        <w:t>广西壮族自治区市场监督管理局</w:t>
      </w:r>
      <w:r>
        <w:rPr>
          <w:rFonts w:eastAsia="黑体"/>
          <w:spacing w:val="32"/>
          <w:sz w:val="28"/>
        </w:rPr>
        <w:t>发 布</w:t>
      </w:r>
    </w:p>
    <w:p>
      <w:pPr>
        <w:pageBreakBefore/>
        <w:tabs>
          <w:tab w:val="left" w:pos="4500"/>
          <w:tab w:val="left" w:pos="6195"/>
        </w:tabs>
        <w:spacing w:beforeLines="100" w:line="360" w:lineRule="auto"/>
        <w:rPr>
          <w:rFonts w:eastAsia="黑体"/>
          <w:spacing w:val="30"/>
          <w:sz w:val="48"/>
          <w:szCs w:val="48"/>
        </w:rPr>
      </w:pPr>
      <w:r>
        <w:rPr>
          <w:rFonts w:ascii="黑体" w:hAnsi="黑体" w:eastAsia="黑体" w:cs="黑体"/>
          <w:sz w:val="48"/>
          <w:szCs w:val="48"/>
        </w:rPr>
        <mc:AlternateContent>
          <mc:Choice Requires="wps">
            <w:drawing>
              <wp:anchor distT="0" distB="0" distL="114300" distR="114300" simplePos="0" relativeHeight="251659264" behindDoc="0" locked="0" layoutInCell="1" allowOverlap="1">
                <wp:simplePos x="0" y="0"/>
                <wp:positionH relativeFrom="column">
                  <wp:posOffset>4061460</wp:posOffset>
                </wp:positionH>
                <wp:positionV relativeFrom="paragraph">
                  <wp:posOffset>219710</wp:posOffset>
                </wp:positionV>
                <wp:extent cx="1774825" cy="791845"/>
                <wp:effectExtent l="4445" t="4445" r="11430" b="22860"/>
                <wp:wrapNone/>
                <wp:docPr id="4" name="自选图形 4"/>
                <wp:cNvGraphicFramePr/>
                <a:graphic xmlns:a="http://schemas.openxmlformats.org/drawingml/2006/main">
                  <a:graphicData uri="http://schemas.microsoft.com/office/word/2010/wordprocessingShape">
                    <wps:wsp>
                      <wps:cNvSpPr/>
                      <wps:spPr>
                        <a:xfrm>
                          <a:off x="0" y="0"/>
                          <a:ext cx="1774825" cy="791845"/>
                        </a:xfrm>
                        <a:prstGeom prst="roundRect">
                          <a:avLst>
                            <a:gd name="adj" fmla="val 16667"/>
                          </a:avLst>
                        </a:prstGeom>
                        <a:solidFill>
                          <a:srgbClr val="FFFFFF"/>
                        </a:solidFill>
                        <a:ln w="9525" cap="flat" cmpd="sng">
                          <a:solidFill>
                            <a:srgbClr val="000000"/>
                          </a:solidFill>
                          <a:prstDash val="lgDashDotDot"/>
                          <a:headEnd type="none" w="med" len="med"/>
                          <a:tailEnd type="none" w="med" len="med"/>
                        </a:ln>
                        <a:effectLst/>
                      </wps:spPr>
                      <wps:txbx>
                        <w:txbxContent>
                          <w:p>
                            <w:pPr>
                              <w:spacing w:line="500" w:lineRule="exact"/>
                              <w:jc w:val="center"/>
                              <w:rPr>
                                <w:rFonts w:hint="default" w:ascii="黑体" w:hAnsi="黑体" w:eastAsia="黑体"/>
                                <w:sz w:val="28"/>
                                <w:szCs w:val="28"/>
                                <w:lang w:val="en-US" w:eastAsia="zh-CN"/>
                              </w:rPr>
                            </w:pPr>
                            <w:r>
                              <w:rPr>
                                <w:rFonts w:ascii="黑体" w:hAnsi="黑体" w:eastAsia="黑体"/>
                                <w:color w:val="000000"/>
                                <w:w w:val="94"/>
                                <w:kern w:val="0"/>
                                <w:sz w:val="28"/>
                                <w:szCs w:val="28"/>
                              </w:rPr>
                              <w:t>JJF</w:t>
                            </w:r>
                            <w:r>
                              <w:rPr>
                                <w:rFonts w:hint="eastAsia" w:ascii="黑体" w:hAnsi="黑体" w:eastAsia="黑体"/>
                                <w:color w:val="000000"/>
                                <w:w w:val="94"/>
                                <w:kern w:val="0"/>
                                <w:sz w:val="28"/>
                                <w:szCs w:val="28"/>
                              </w:rPr>
                              <w:t>（桂）</w:t>
                            </w:r>
                            <w:r>
                              <w:rPr>
                                <w:rFonts w:ascii="黑体" w:hAnsi="黑体" w:eastAsia="黑体"/>
                                <w:color w:val="000000"/>
                                <w:w w:val="94"/>
                                <w:kern w:val="0"/>
                                <w:sz w:val="28"/>
                                <w:szCs w:val="28"/>
                              </w:rPr>
                              <w:t>XXXX—</w:t>
                            </w:r>
                            <w:r>
                              <w:rPr>
                                <w:rFonts w:hint="eastAsia" w:ascii="黑体" w:hAnsi="黑体" w:eastAsia="黑体"/>
                                <w:color w:val="000000"/>
                                <w:w w:val="94"/>
                                <w:kern w:val="0"/>
                                <w:sz w:val="28"/>
                                <w:szCs w:val="28"/>
                                <w:lang w:val="en-US" w:eastAsia="zh-CN"/>
                              </w:rPr>
                              <w:t>XXXX</w:t>
                            </w:r>
                          </w:p>
                        </w:txbxContent>
                      </wps:txbx>
                      <wps:bodyPr wrap="square" anchor="ctr" anchorCtr="0" upright="1"/>
                    </wps:wsp>
                  </a:graphicData>
                </a:graphic>
              </wp:anchor>
            </w:drawing>
          </mc:Choice>
          <mc:Fallback>
            <w:pict>
              <v:roundrect id="自选图形 4" o:spid="_x0000_s1026" o:spt="2" style="position:absolute;left:0pt;margin-left:319.8pt;margin-top:17.3pt;height:62.35pt;width:139.75pt;z-index:251659264;v-text-anchor:middle;mso-width-relative:page;mso-height-relative:page;" fillcolor="#FFFFFF" filled="t" stroked="t" coordsize="21600,21600" arcsize="0.166666666666667" o:gfxdata="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jLFjXaAAAACgEAAA8AAAAAAAAAAQAg&#10;AAAAIgAAAGRycy9kb3ducmV2LnhtbFBLAQIUABQAAAAIAIdO4kDSuAhYRQIAAJQEAAAOAAAAAAAA&#10;AAEAIAAAACkBAABkcnMvZTJvRG9jLnhtbFBLBQYAAAAABgAGAFkBAADgBQAAAAA=&#10;">
                <v:fill on="t" focussize="0,0"/>
                <v:stroke color="#000000" joinstyle="round" dashstyle="longDashDotDot"/>
                <v:imagedata o:title=""/>
                <o:lock v:ext="edit" aspectratio="f"/>
                <v:textbox>
                  <w:txbxContent>
                    <w:p>
                      <w:pPr>
                        <w:spacing w:line="500" w:lineRule="exact"/>
                        <w:jc w:val="center"/>
                        <w:rPr>
                          <w:rFonts w:hint="default" w:ascii="黑体" w:hAnsi="黑体" w:eastAsia="黑体"/>
                          <w:sz w:val="28"/>
                          <w:szCs w:val="28"/>
                          <w:lang w:val="en-US" w:eastAsia="zh-CN"/>
                        </w:rPr>
                      </w:pPr>
                      <w:r>
                        <w:rPr>
                          <w:rFonts w:ascii="黑体" w:hAnsi="黑体" w:eastAsia="黑体"/>
                          <w:color w:val="000000"/>
                          <w:w w:val="94"/>
                          <w:kern w:val="0"/>
                          <w:sz w:val="28"/>
                          <w:szCs w:val="28"/>
                        </w:rPr>
                        <w:t>JJF</w:t>
                      </w:r>
                      <w:r>
                        <w:rPr>
                          <w:rFonts w:hint="eastAsia" w:ascii="黑体" w:hAnsi="黑体" w:eastAsia="黑体"/>
                          <w:color w:val="000000"/>
                          <w:w w:val="94"/>
                          <w:kern w:val="0"/>
                          <w:sz w:val="28"/>
                          <w:szCs w:val="28"/>
                        </w:rPr>
                        <w:t>（桂）</w:t>
                      </w:r>
                      <w:r>
                        <w:rPr>
                          <w:rFonts w:ascii="黑体" w:hAnsi="黑体" w:eastAsia="黑体"/>
                          <w:color w:val="000000"/>
                          <w:w w:val="94"/>
                          <w:kern w:val="0"/>
                          <w:sz w:val="28"/>
                          <w:szCs w:val="28"/>
                        </w:rPr>
                        <w:t>XXXX—</w:t>
                      </w:r>
                      <w:r>
                        <w:rPr>
                          <w:rFonts w:hint="eastAsia" w:ascii="黑体" w:hAnsi="黑体" w:eastAsia="黑体"/>
                          <w:color w:val="000000"/>
                          <w:w w:val="94"/>
                          <w:kern w:val="0"/>
                          <w:sz w:val="28"/>
                          <w:szCs w:val="28"/>
                          <w:lang w:val="en-US" w:eastAsia="zh-CN"/>
                        </w:rPr>
                        <w:t>XXXX</w:t>
                      </w:r>
                    </w:p>
                  </w:txbxContent>
                </v:textbox>
              </v:roundrect>
            </w:pict>
          </mc:Fallback>
        </mc:AlternateContent>
      </w:r>
      <w:r>
        <w:rPr>
          <w:rFonts w:hint="eastAsia" w:eastAsia="黑体"/>
          <w:sz w:val="48"/>
          <w:szCs w:val="48"/>
          <w:lang w:eastAsia="zh-CN"/>
        </w:rPr>
        <w:t>液化气灌装秤</w:t>
      </w:r>
      <w:r>
        <w:rPr>
          <w:rFonts w:eastAsia="黑体"/>
          <w:sz w:val="48"/>
          <w:szCs w:val="48"/>
        </w:rPr>
        <w:t>校准规范</w:t>
      </w:r>
    </w:p>
    <w:p>
      <w:pPr>
        <w:rPr>
          <w:rFonts w:hint="eastAsia" w:ascii="宋体" w:hAnsi="宋体" w:eastAsia="宋体" w:cs="宋体"/>
          <w:b/>
          <w:bCs/>
          <w:sz w:val="28"/>
          <w:szCs w:val="28"/>
        </w:rPr>
      </w:pPr>
      <w:bookmarkStart w:id="1" w:name="_Toc447893964"/>
      <w:r>
        <w:rPr>
          <w:rFonts w:hint="eastAsia" w:ascii="宋体" w:hAnsi="宋体" w:eastAsia="宋体" w:cs="宋体"/>
          <w:b/>
          <w:bCs/>
          <w:sz w:val="28"/>
          <w:szCs w:val="28"/>
        </w:rPr>
        <w:t>Calibration Specification for</w:t>
      </w:r>
      <w:bookmarkEnd w:id="1"/>
      <w:r>
        <w:rPr>
          <w:rFonts w:hint="eastAsia" w:ascii="宋体" w:hAnsi="宋体" w:eastAsia="宋体" w:cs="宋体"/>
          <w:b/>
          <w:bCs/>
          <w:sz w:val="28"/>
          <w:szCs w:val="28"/>
        </w:rPr>
        <w:t xml:space="preserve"> </w:t>
      </w:r>
    </w:p>
    <w:p>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Automatic  Liquefied  Gas  Filling  Instrument</w:t>
      </w:r>
    </w:p>
    <w:p>
      <w:pPr>
        <w:spacing w:line="360" w:lineRule="auto"/>
        <w:rPr>
          <w:rFonts w:eastAsia="黑体"/>
          <w:b/>
          <w:sz w:val="28"/>
          <w:szCs w:val="28"/>
        </w:rPr>
      </w:pPr>
    </w:p>
    <w:p>
      <w:pPr>
        <w:tabs>
          <w:tab w:val="left" w:pos="4500"/>
        </w:tabs>
        <w:spacing w:beforeLines="100" w:line="360" w:lineRule="auto"/>
        <w:ind w:firstLine="567"/>
        <w:rPr>
          <w:color w:val="FF0000"/>
        </w:rPr>
      </w:pPr>
      <w:r>
        <w:rPr>
          <w:color w:val="FF000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139065</wp:posOffset>
                </wp:positionV>
                <wp:extent cx="5939790" cy="0"/>
                <wp:effectExtent l="0" t="0" r="0" b="0"/>
                <wp:wrapNone/>
                <wp:docPr id="5" name="直线 5"/>
                <wp:cNvGraphicFramePr/>
                <a:graphic xmlns:a="http://schemas.openxmlformats.org/drawingml/2006/main">
                  <a:graphicData uri="http://schemas.microsoft.com/office/word/2010/wordprocessingShape">
                    <wps:wsp>
                      <wps:cNvCnPr/>
                      <wps:spPr>
                        <a:xfrm>
                          <a:off x="0" y="0"/>
                          <a:ext cx="593979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top:10.95pt;height:0pt;width:467.7pt;mso-position-horizontal:center;mso-position-horizontal-relative:margin;z-index:251659264;mso-width-relative:page;mso-height-relative:page;" filled="f" stroked="t" coordsize="21600,21600" o:gfxdata="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q+&#10;E9QAAAAGAQAADwAAAAAAAAABACAAAAAiAAAAZHJzL2Rvd25yZXYueG1sUEsBAhQAFAAAAAgAh07i&#10;QDlY1F/tAQAA6QMAAA4AAAAAAAAAAQAgAAAAIwEAAGRycy9lMm9Eb2MueG1sUEsFBgAAAAAGAAYA&#10;WQEAAIIFAAAAAA==&#10;">
                <v:fill on="f" focussize="0,0"/>
                <v:stroke color="#000000" joinstyle="round"/>
                <v:imagedata o:title=""/>
                <o:lock v:ext="edit" aspectratio="f"/>
              </v:line>
            </w:pict>
          </mc:Fallback>
        </mc:AlternateContent>
      </w:r>
    </w:p>
    <w:p>
      <w:pPr>
        <w:tabs>
          <w:tab w:val="left" w:pos="4500"/>
        </w:tabs>
        <w:spacing w:beforeLines="100" w:line="360" w:lineRule="auto"/>
        <w:ind w:firstLine="567"/>
        <w:rPr>
          <w:color w:val="FF0000"/>
        </w:rPr>
      </w:pPr>
    </w:p>
    <w:p>
      <w:pPr>
        <w:tabs>
          <w:tab w:val="left" w:pos="4500"/>
        </w:tabs>
        <w:spacing w:beforeLines="100" w:line="360" w:lineRule="auto"/>
        <w:ind w:firstLine="567"/>
        <w:rPr>
          <w:color w:val="FF0000"/>
        </w:rPr>
      </w:pPr>
    </w:p>
    <w:p>
      <w:pPr>
        <w:spacing w:line="360" w:lineRule="auto"/>
        <w:ind w:firstLine="560" w:firstLineChars="200"/>
        <w:rPr>
          <w:rFonts w:eastAsia="黑体"/>
          <w:sz w:val="28"/>
        </w:rPr>
      </w:pPr>
    </w:p>
    <w:p>
      <w:pPr>
        <w:spacing w:line="360" w:lineRule="auto"/>
        <w:ind w:firstLine="560" w:firstLineChars="200"/>
        <w:rPr>
          <w:rFonts w:eastAsia="黑体"/>
          <w:sz w:val="28"/>
        </w:rPr>
      </w:pPr>
    </w:p>
    <w:p>
      <w:pPr>
        <w:ind w:firstLine="1120" w:firstLineChars="400"/>
        <w:jc w:val="left"/>
        <w:rPr>
          <w:rFonts w:ascii="Times New Roman" w:hAnsi="Times New Roman" w:eastAsia="黑体" w:cs="Times New Roman"/>
          <w:sz w:val="28"/>
          <w:szCs w:val="36"/>
        </w:rPr>
      </w:pPr>
      <w:r>
        <w:rPr>
          <w:rFonts w:ascii="Times New Roman" w:hAnsi="Times New Roman" w:eastAsia="黑体" w:cs="Times New Roman"/>
          <w:sz w:val="28"/>
          <w:szCs w:val="36"/>
        </w:rPr>
        <w:t>归口单位：广西壮族自治区省市场监督管理局</w:t>
      </w:r>
    </w:p>
    <w:p>
      <w:pPr>
        <w:ind w:firstLine="1120" w:firstLineChars="400"/>
        <w:jc w:val="left"/>
        <w:rPr>
          <w:rFonts w:ascii="Times New Roman" w:hAnsi="Times New Roman" w:eastAsia="黑体" w:cs="Times New Roman"/>
          <w:sz w:val="28"/>
          <w:szCs w:val="36"/>
        </w:rPr>
      </w:pPr>
      <w:r>
        <w:rPr>
          <w:rFonts w:ascii="Times New Roman" w:hAnsi="Times New Roman" w:eastAsia="黑体" w:cs="Times New Roman"/>
          <w:sz w:val="28"/>
          <w:szCs w:val="36"/>
        </w:rPr>
        <w:t>主要起草单位：柳州市计量技术测试研究所</w:t>
      </w:r>
    </w:p>
    <w:p>
      <w:pPr>
        <w:ind w:firstLine="1600" w:firstLineChars="500"/>
        <w:rPr>
          <w:rFonts w:hint="default" w:ascii="Times New Roman" w:hAnsi="Times New Roman" w:eastAsia="黑体" w:cs="Times New Roman"/>
          <w:sz w:val="28"/>
          <w:szCs w:val="36"/>
          <w:lang w:val="en-US" w:eastAsia="zh-CN"/>
        </w:rPr>
      </w:pPr>
      <w:r>
        <w:rPr>
          <w:rFonts w:hint="eastAsia" w:ascii="Times New Roman" w:hAnsi="Times New Roman" w:cs="Times New Roman"/>
          <w:sz w:val="32"/>
          <w:szCs w:val="40"/>
          <w:lang w:val="en-US" w:eastAsia="zh-CN"/>
        </w:rPr>
        <w:t xml:space="preserve">   </w:t>
      </w:r>
      <w:r>
        <w:rPr>
          <w:rFonts w:hint="eastAsia" w:ascii="Times New Roman" w:hAnsi="Times New Roman" w:eastAsia="黑体" w:cs="Times New Roman"/>
          <w:sz w:val="28"/>
          <w:szCs w:val="36"/>
          <w:lang w:val="en-US" w:eastAsia="zh-CN"/>
        </w:rPr>
        <w:t xml:space="preserve">       </w:t>
      </w:r>
    </w:p>
    <w:p>
      <w:pPr>
        <w:ind w:firstLine="1600" w:firstLineChars="500"/>
        <w:rPr>
          <w:rFonts w:hint="eastAsia" w:ascii="Times New Roman" w:hAnsi="Times New Roman" w:cs="Times New Roman"/>
          <w:sz w:val="32"/>
          <w:szCs w:val="40"/>
          <w:lang w:val="en-US" w:eastAsia="zh-CN"/>
        </w:rPr>
      </w:pPr>
      <w:r>
        <w:rPr>
          <w:rFonts w:hint="eastAsia" w:ascii="Times New Roman" w:hAnsi="Times New Roman" w:cs="Times New Roman"/>
          <w:sz w:val="32"/>
          <w:szCs w:val="40"/>
          <w:lang w:val="en-US" w:eastAsia="zh-CN"/>
        </w:rPr>
        <w:t xml:space="preserve">         </w:t>
      </w:r>
    </w:p>
    <w:p>
      <w:pPr>
        <w:ind w:firstLine="1600" w:firstLineChars="500"/>
        <w:rPr>
          <w:rFonts w:hint="default" w:ascii="Times New Roman" w:hAnsi="Times New Roman" w:cs="Times New Roman"/>
          <w:sz w:val="32"/>
          <w:szCs w:val="40"/>
          <w:lang w:val="en-US" w:eastAsia="zh-CN"/>
        </w:rPr>
      </w:pPr>
      <w:bookmarkStart w:id="7" w:name="_GoBack"/>
      <w:bookmarkEnd w:id="7"/>
    </w:p>
    <w:p>
      <w:pPr>
        <w:ind w:firstLine="1600" w:firstLineChars="500"/>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rPr>
          <w:rFonts w:ascii="Times New Roman" w:hAnsi="Times New Roman" w:cs="Times New Roman"/>
          <w:sz w:val="32"/>
          <w:szCs w:val="40"/>
        </w:rPr>
      </w:pPr>
    </w:p>
    <w:p>
      <w:pPr>
        <w:ind w:firstLine="560" w:firstLineChars="200"/>
        <w:rPr>
          <w:rFonts w:ascii="Times New Roman" w:hAnsi="Times New Roman" w:eastAsia="宋体" w:cs="Times New Roman"/>
          <w:sz w:val="28"/>
          <w:szCs w:val="36"/>
        </w:rPr>
      </w:pPr>
    </w:p>
    <w:p>
      <w:pPr>
        <w:ind w:firstLine="560" w:firstLineChars="200"/>
        <w:rPr>
          <w:rFonts w:ascii="Times New Roman" w:hAnsi="Times New Roman" w:eastAsia="宋体" w:cs="Times New Roman"/>
          <w:sz w:val="28"/>
          <w:szCs w:val="36"/>
        </w:rPr>
      </w:pPr>
    </w:p>
    <w:p>
      <w:pPr>
        <w:ind w:firstLine="560" w:firstLineChars="200"/>
        <w:rPr>
          <w:rFonts w:ascii="Times New Roman" w:hAnsi="Times New Roman" w:eastAsia="宋体" w:cs="Times New Roman"/>
          <w:sz w:val="32"/>
          <w:szCs w:val="40"/>
        </w:rPr>
      </w:pPr>
      <w:r>
        <w:rPr>
          <w:rFonts w:ascii="Times New Roman" w:hAnsi="Times New Roman" w:eastAsia="宋体" w:cs="Times New Roman"/>
          <w:sz w:val="28"/>
          <w:szCs w:val="36"/>
        </w:rPr>
        <w:t>本规范由柳州市计量技术测试研究所负责解释</w:t>
      </w:r>
    </w:p>
    <w:p>
      <w:pPr>
        <w:ind w:firstLine="560" w:firstLineChars="200"/>
        <w:rPr>
          <w:rFonts w:ascii="Times New Roman" w:hAnsi="Times New Roman" w:eastAsia="黑体" w:cs="Times New Roman"/>
          <w:sz w:val="28"/>
          <w:szCs w:val="36"/>
        </w:rPr>
      </w:pPr>
    </w:p>
    <w:p>
      <w:pPr>
        <w:ind w:firstLine="560" w:firstLineChars="200"/>
        <w:rPr>
          <w:rFonts w:ascii="Times New Roman" w:hAnsi="Times New Roman" w:eastAsia="黑体" w:cs="Times New Roman"/>
          <w:sz w:val="28"/>
          <w:szCs w:val="36"/>
        </w:rPr>
      </w:pPr>
      <w:r>
        <w:rPr>
          <w:rFonts w:ascii="Times New Roman" w:hAnsi="Times New Roman" w:eastAsia="黑体" w:cs="Times New Roman"/>
          <w:sz w:val="28"/>
          <w:szCs w:val="36"/>
        </w:rPr>
        <w:t>本规范主要起草人：</w:t>
      </w:r>
    </w:p>
    <w:p>
      <w:pPr>
        <w:ind w:firstLine="1960" w:firstLineChars="700"/>
        <w:rPr>
          <w:rFonts w:ascii="Times New Roman" w:hAnsi="Times New Roman" w:eastAsia="黑体" w:cs="Times New Roman"/>
          <w:sz w:val="28"/>
          <w:szCs w:val="36"/>
        </w:rPr>
      </w:pPr>
      <w:r>
        <w:rPr>
          <w:rFonts w:ascii="Times New Roman" w:hAnsi="Times New Roman" w:eastAsia="黑体" w:cs="Times New Roman"/>
          <w:sz w:val="28"/>
          <w:szCs w:val="36"/>
        </w:rPr>
        <w:t>邓李斌（柳州市计量技术测试研究所）</w:t>
      </w:r>
    </w:p>
    <w:p>
      <w:pPr>
        <w:ind w:firstLine="1960" w:firstLineChars="700"/>
        <w:rPr>
          <w:rFonts w:ascii="Times New Roman" w:hAnsi="Times New Roman" w:eastAsia="黑体" w:cs="Times New Roman"/>
          <w:sz w:val="28"/>
          <w:szCs w:val="36"/>
        </w:rPr>
      </w:pPr>
      <w:r>
        <w:rPr>
          <w:rFonts w:hint="eastAsia" w:ascii="Times New Roman" w:hAnsi="Times New Roman" w:eastAsia="黑体" w:cs="Times New Roman"/>
          <w:sz w:val="28"/>
          <w:szCs w:val="36"/>
          <w:lang w:eastAsia="zh-CN"/>
        </w:rPr>
        <w:t>姚淋栊</w:t>
      </w:r>
      <w:r>
        <w:rPr>
          <w:rFonts w:ascii="Times New Roman" w:hAnsi="Times New Roman" w:eastAsia="黑体" w:cs="Times New Roman"/>
          <w:sz w:val="28"/>
          <w:szCs w:val="36"/>
        </w:rPr>
        <w:t>（</w:t>
      </w:r>
      <w:r>
        <w:rPr>
          <w:rFonts w:hint="eastAsia" w:ascii="Times New Roman" w:hAnsi="Times New Roman" w:eastAsia="黑体" w:cs="Times New Roman"/>
          <w:sz w:val="28"/>
          <w:szCs w:val="36"/>
          <w:lang w:eastAsia="zh-CN"/>
        </w:rPr>
        <w:t>桂平市公共检验检测中心</w:t>
      </w:r>
      <w:r>
        <w:rPr>
          <w:rFonts w:ascii="Times New Roman" w:hAnsi="Times New Roman" w:eastAsia="黑体" w:cs="Times New Roman"/>
          <w:sz w:val="28"/>
          <w:szCs w:val="36"/>
        </w:rPr>
        <w:t>）</w:t>
      </w:r>
    </w:p>
    <w:p>
      <w:pPr>
        <w:ind w:firstLine="1960" w:firstLineChars="700"/>
        <w:rPr>
          <w:rFonts w:hint="eastAsia" w:ascii="Times New Roman" w:hAnsi="Times New Roman" w:eastAsia="黑体" w:cs="Times New Roman"/>
          <w:sz w:val="28"/>
          <w:szCs w:val="36"/>
          <w:lang w:eastAsia="zh-CN"/>
        </w:rPr>
      </w:pPr>
      <w:r>
        <w:rPr>
          <w:rFonts w:hint="eastAsia" w:ascii="Times New Roman" w:hAnsi="Times New Roman" w:eastAsia="黑体" w:cs="Times New Roman"/>
          <w:sz w:val="28"/>
          <w:szCs w:val="36"/>
          <w:lang w:val="en-US" w:eastAsia="zh-CN"/>
        </w:rPr>
        <w:t>罗若梅</w:t>
      </w:r>
      <w:r>
        <w:rPr>
          <w:rFonts w:hint="eastAsia" w:ascii="Times New Roman" w:hAnsi="Times New Roman" w:eastAsia="黑体" w:cs="Times New Roman"/>
          <w:sz w:val="28"/>
          <w:szCs w:val="36"/>
          <w:lang w:eastAsia="zh-CN"/>
        </w:rPr>
        <w:t>（柳州职业技术学院）</w:t>
      </w:r>
    </w:p>
    <w:p>
      <w:pPr>
        <w:ind w:firstLine="1960" w:firstLineChars="700"/>
        <w:rPr>
          <w:rFonts w:ascii="Times New Roman" w:hAnsi="Times New Roman" w:eastAsia="黑体" w:cs="Times New Roman"/>
          <w:sz w:val="28"/>
          <w:szCs w:val="36"/>
        </w:rPr>
      </w:pPr>
      <w:r>
        <w:rPr>
          <w:rFonts w:hint="eastAsia" w:ascii="Times New Roman" w:hAnsi="Times New Roman" w:eastAsia="黑体" w:cs="Times New Roman"/>
          <w:sz w:val="28"/>
          <w:szCs w:val="36"/>
          <w:lang w:val="en-US" w:eastAsia="zh-CN"/>
        </w:rPr>
        <w:t>鱼沉鱼（柳州市计量技术测试研究所）</w:t>
      </w:r>
    </w:p>
    <w:p>
      <w:pPr>
        <w:ind w:firstLine="1120" w:firstLineChars="400"/>
        <w:rPr>
          <w:rFonts w:ascii="Times New Roman" w:hAnsi="Times New Roman" w:eastAsia="黑体" w:cs="Times New Roman"/>
          <w:sz w:val="28"/>
          <w:szCs w:val="36"/>
        </w:rPr>
      </w:pPr>
      <w:r>
        <w:rPr>
          <w:rFonts w:ascii="Times New Roman" w:hAnsi="Times New Roman" w:eastAsia="黑体" w:cs="Times New Roman"/>
          <w:sz w:val="28"/>
          <w:szCs w:val="36"/>
        </w:rPr>
        <w:t>参加起草人：</w:t>
      </w:r>
    </w:p>
    <w:p>
      <w:pPr>
        <w:ind w:firstLine="1960" w:firstLineChars="700"/>
        <w:rPr>
          <w:rFonts w:hint="eastAsia"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龙  锋（柳州市计量技术测试研究所）</w:t>
      </w:r>
    </w:p>
    <w:p>
      <w:pPr>
        <w:ind w:firstLine="1960" w:firstLineChars="700"/>
        <w:rPr>
          <w:rFonts w:hint="eastAsia" w:ascii="Times New Roman" w:hAnsi="Times New Roman" w:eastAsia="黑体" w:cs="Times New Roman"/>
          <w:sz w:val="28"/>
          <w:szCs w:val="36"/>
          <w:lang w:val="en-US" w:eastAsia="zh-CN"/>
        </w:rPr>
      </w:pPr>
      <w:r>
        <w:rPr>
          <w:rFonts w:hint="eastAsia" w:ascii="Times New Roman" w:hAnsi="Times New Roman" w:eastAsia="黑体" w:cs="Times New Roman"/>
          <w:sz w:val="28"/>
          <w:szCs w:val="36"/>
          <w:lang w:val="en-US" w:eastAsia="zh-CN"/>
        </w:rPr>
        <w:t>黄龙飞（柳州市计量技术测试研究所）</w:t>
      </w:r>
    </w:p>
    <w:p>
      <w:pPr>
        <w:tabs>
          <w:tab w:val="left" w:pos="4500"/>
        </w:tabs>
        <w:ind w:firstLine="1400" w:firstLineChars="500"/>
        <w:rPr>
          <w:rFonts w:eastAsia="黑体"/>
          <w:sz w:val="28"/>
        </w:rPr>
      </w:pPr>
    </w:p>
    <w:p>
      <w:pPr>
        <w:pStyle w:val="55"/>
        <w:pageBreakBefore/>
        <w:jc w:val="center"/>
        <w:rPr>
          <w:rFonts w:ascii="黑体" w:hAnsi="黑体" w:eastAsia="黑体"/>
          <w:color w:val="auto"/>
          <w:sz w:val="44"/>
          <w:szCs w:val="44"/>
          <w:lang w:val="zh-CN"/>
        </w:rPr>
        <w:sectPr>
          <w:footerReference r:id="rId7" w:type="default"/>
          <w:pgSz w:w="11906" w:h="16838"/>
          <w:pgMar w:top="1134" w:right="1418" w:bottom="1440" w:left="1418" w:header="851" w:footer="992" w:gutter="0"/>
          <w:pgNumType w:fmt="upperRoman"/>
          <w:cols w:space="720" w:num="1"/>
          <w:docGrid w:type="lines" w:linePitch="326" w:charSpace="0"/>
        </w:sectPr>
      </w:pPr>
    </w:p>
    <w:p>
      <w:pPr>
        <w:keepNext w:val="0"/>
        <w:keepLines w:val="0"/>
        <w:pageBreakBefore w:val="0"/>
        <w:widowControl/>
        <w:kinsoku/>
        <w:wordWrap/>
        <w:overflowPunct/>
        <w:topLinePunct w:val="0"/>
        <w:autoSpaceDE/>
        <w:autoSpaceDN/>
        <w:bidi w:val="0"/>
        <w:adjustRightInd/>
        <w:snapToGrid/>
        <w:spacing w:line="170" w:lineRule="exact"/>
        <w:ind w:firstLine="420"/>
        <w:textAlignment w:val="auto"/>
        <w:rPr>
          <w:sz w:val="16"/>
          <w:szCs w:val="16"/>
        </w:rPr>
      </w:pPr>
    </w:p>
    <w:p>
      <w:pPr>
        <w:jc w:val="center"/>
        <w:rPr>
          <w:rFonts w:hint="eastAsia" w:ascii="黑体" w:hAnsi="黑体" w:eastAsia="黑体" w:cs="黑体"/>
          <w:b/>
          <w:bCs/>
          <w:sz w:val="44"/>
          <w:szCs w:val="44"/>
        </w:rPr>
      </w:pPr>
      <w:r>
        <w:rPr>
          <w:rFonts w:hint="eastAsia" w:ascii="黑体" w:hAnsi="黑体" w:eastAsia="黑体" w:cs="黑体"/>
          <w:b/>
          <w:bCs/>
          <w:sz w:val="44"/>
          <w:szCs w:val="44"/>
        </w:rPr>
        <w:t>目录</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eastAsia="宋体"/>
          <w:lang w:val="en-US" w:eastAsia="zh-CN"/>
        </w:rPr>
      </w:pPr>
      <w:r>
        <w:rPr>
          <w:rFonts w:hint="eastAsia"/>
          <w:sz w:val="24"/>
          <w:szCs w:val="24"/>
        </w:rPr>
        <w:t>引 言</w:t>
      </w:r>
      <w:r>
        <w:rPr>
          <w:rFonts w:hint="eastAsia"/>
          <w:sz w:val="24"/>
          <w:szCs w:val="24"/>
          <w:lang w:val="en-US" w:eastAsia="zh-CN"/>
        </w:rPr>
        <w:t xml:space="preserve"> ......................................................................................................................Ⅱ</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eastAsia="宋体"/>
          <w:sz w:val="24"/>
          <w:szCs w:val="24"/>
          <w:lang w:val="en-US" w:eastAsia="zh-CN"/>
        </w:rPr>
      </w:pPr>
      <w:r>
        <w:rPr>
          <w:rFonts w:hint="eastAsia"/>
          <w:sz w:val="24"/>
          <w:szCs w:val="24"/>
          <w:lang w:val="en-US" w:eastAsia="zh-CN"/>
        </w:rPr>
        <w:t xml:space="preserve">1 </w:t>
      </w:r>
      <w:r>
        <w:rPr>
          <w:rFonts w:hint="eastAsia"/>
          <w:sz w:val="24"/>
          <w:szCs w:val="24"/>
        </w:rPr>
        <w:t>范围</w:t>
      </w:r>
      <w:r>
        <w:rPr>
          <w:rFonts w:hint="eastAsia"/>
          <w:sz w:val="24"/>
          <w:szCs w:val="24"/>
          <w:lang w:val="en-US" w:eastAsia="zh-CN"/>
        </w:rPr>
        <w:t xml:space="preserve"> ....................................................................................................................1 </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2 </w:t>
      </w:r>
      <w:r>
        <w:rPr>
          <w:rFonts w:hint="eastAsia"/>
          <w:sz w:val="24"/>
          <w:szCs w:val="24"/>
        </w:rPr>
        <w:t>引用文件</w:t>
      </w:r>
      <w:r>
        <w:rPr>
          <w:rFonts w:hint="eastAsia"/>
          <w:sz w:val="24"/>
          <w:szCs w:val="24"/>
          <w:lang w:val="en-US" w:eastAsia="zh-CN"/>
        </w:rPr>
        <w:t xml:space="preserve"> ............................................................................................................1</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 </w:t>
      </w:r>
      <w:r>
        <w:rPr>
          <w:rFonts w:hint="eastAsia"/>
          <w:sz w:val="24"/>
          <w:szCs w:val="24"/>
        </w:rPr>
        <w:t>术语与定义</w:t>
      </w:r>
      <w:r>
        <w:rPr>
          <w:rFonts w:hint="eastAsia"/>
          <w:sz w:val="24"/>
          <w:szCs w:val="24"/>
          <w:lang w:val="en-US" w:eastAsia="zh-CN"/>
        </w:rPr>
        <w:t xml:space="preserve"> ........................................................................................................1</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3.1 </w:t>
      </w:r>
      <w:r>
        <w:rPr>
          <w:rFonts w:hint="eastAsia"/>
          <w:sz w:val="24"/>
          <w:szCs w:val="24"/>
          <w:lang w:eastAsia="zh-CN"/>
        </w:rPr>
        <w:t>液化气灌装秤</w:t>
      </w:r>
      <w:r>
        <w:rPr>
          <w:rFonts w:hint="eastAsia"/>
          <w:sz w:val="24"/>
          <w:szCs w:val="24"/>
          <w:lang w:val="en-US" w:eastAsia="zh-CN"/>
        </w:rPr>
        <w:t xml:space="preserve"> .....................................................................................1</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3.2 </w:t>
      </w:r>
      <w:r>
        <w:rPr>
          <w:rFonts w:hint="eastAsia"/>
          <w:sz w:val="24"/>
          <w:szCs w:val="24"/>
        </w:rPr>
        <w:t>称量单元</w:t>
      </w:r>
      <w:r>
        <w:rPr>
          <w:rFonts w:hint="eastAsia"/>
          <w:sz w:val="24"/>
          <w:szCs w:val="24"/>
          <w:lang w:val="en-US" w:eastAsia="zh-CN"/>
        </w:rPr>
        <w:t xml:space="preserve"> .........................................................................................................1</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3.3 </w:t>
      </w:r>
      <w:r>
        <w:rPr>
          <w:rFonts w:hint="eastAsia"/>
          <w:sz w:val="24"/>
          <w:szCs w:val="24"/>
        </w:rPr>
        <w:t>承</w:t>
      </w:r>
      <w:r>
        <w:rPr>
          <w:rFonts w:hint="eastAsia"/>
          <w:sz w:val="24"/>
          <w:szCs w:val="24"/>
          <w:lang w:eastAsia="zh-CN"/>
        </w:rPr>
        <w:t>载</w:t>
      </w:r>
      <w:r>
        <w:rPr>
          <w:rFonts w:hint="eastAsia"/>
          <w:sz w:val="24"/>
          <w:szCs w:val="24"/>
        </w:rPr>
        <w:t>器</w:t>
      </w:r>
      <w:r>
        <w:rPr>
          <w:rFonts w:hint="eastAsia"/>
          <w:sz w:val="24"/>
          <w:szCs w:val="24"/>
          <w:lang w:val="en-US" w:eastAsia="zh-CN"/>
        </w:rPr>
        <w:t xml:space="preserve"> .............................................................................................................1</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3.4 </w:t>
      </w:r>
      <w:r>
        <w:rPr>
          <w:rFonts w:hint="eastAsia"/>
          <w:sz w:val="24"/>
          <w:szCs w:val="24"/>
          <w:lang w:eastAsia="zh-CN"/>
        </w:rPr>
        <w:t>灌</w:t>
      </w:r>
      <w:r>
        <w:rPr>
          <w:rFonts w:hint="eastAsia"/>
          <w:sz w:val="24"/>
          <w:szCs w:val="24"/>
        </w:rPr>
        <w:t>装装置</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3.5 </w:t>
      </w:r>
      <w:r>
        <w:rPr>
          <w:rFonts w:hint="eastAsia"/>
          <w:sz w:val="24"/>
          <w:szCs w:val="24"/>
        </w:rPr>
        <w:t>控制装置</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 xml:space="preserve">3.6 </w:t>
      </w:r>
      <w:r>
        <w:rPr>
          <w:rFonts w:hint="eastAsia"/>
          <w:sz w:val="24"/>
          <w:szCs w:val="24"/>
        </w:rPr>
        <w:t>预设值</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3.7 </w:t>
      </w:r>
      <w:r>
        <w:rPr>
          <w:rFonts w:hint="eastAsia"/>
          <w:sz w:val="24"/>
          <w:szCs w:val="24"/>
        </w:rPr>
        <w:t>充装量设定装置</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3.8 </w:t>
      </w:r>
      <w:r>
        <w:rPr>
          <w:rFonts w:hint="eastAsia"/>
          <w:sz w:val="24"/>
          <w:szCs w:val="24"/>
        </w:rPr>
        <w:t>最小</w:t>
      </w:r>
      <w:r>
        <w:rPr>
          <w:rFonts w:hint="eastAsia"/>
          <w:sz w:val="24"/>
          <w:szCs w:val="24"/>
          <w:lang w:eastAsia="zh-CN"/>
        </w:rPr>
        <w:t>秤</w:t>
      </w:r>
      <w:r>
        <w:rPr>
          <w:rFonts w:hint="eastAsia"/>
          <w:sz w:val="24"/>
          <w:szCs w:val="24"/>
        </w:rPr>
        <w:t>量</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 xml:space="preserve">3.9 </w:t>
      </w:r>
      <w:r>
        <w:rPr>
          <w:rFonts w:hint="eastAsia"/>
          <w:sz w:val="24"/>
          <w:szCs w:val="24"/>
        </w:rPr>
        <w:t>最大</w:t>
      </w:r>
      <w:r>
        <w:rPr>
          <w:rFonts w:hint="eastAsia"/>
          <w:sz w:val="24"/>
          <w:szCs w:val="24"/>
          <w:lang w:eastAsia="zh-CN"/>
        </w:rPr>
        <w:t>秤</w:t>
      </w:r>
      <w:r>
        <w:rPr>
          <w:rFonts w:hint="eastAsia"/>
          <w:sz w:val="24"/>
          <w:szCs w:val="24"/>
        </w:rPr>
        <w:t>量</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 xml:space="preserve">4 </w:t>
      </w:r>
      <w:r>
        <w:rPr>
          <w:rFonts w:hint="eastAsia"/>
          <w:sz w:val="24"/>
          <w:szCs w:val="24"/>
        </w:rPr>
        <w:t>概述</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 xml:space="preserve">5 </w:t>
      </w:r>
      <w:r>
        <w:rPr>
          <w:rFonts w:hint="eastAsia"/>
          <w:sz w:val="24"/>
          <w:szCs w:val="24"/>
        </w:rPr>
        <w:t>计量性能</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5.1 </w:t>
      </w:r>
      <w:r>
        <w:rPr>
          <w:rFonts w:hint="eastAsia"/>
          <w:sz w:val="24"/>
          <w:szCs w:val="24"/>
        </w:rPr>
        <w:t>准确度等级</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5.2 </w:t>
      </w:r>
      <w:r>
        <w:rPr>
          <w:rFonts w:hint="eastAsia"/>
          <w:sz w:val="24"/>
          <w:szCs w:val="24"/>
        </w:rPr>
        <w:t>分度值</w:t>
      </w:r>
      <w:r>
        <w:rPr>
          <w:rFonts w:hint="eastAsia"/>
          <w:sz w:val="24"/>
          <w:szCs w:val="24"/>
          <w:lang w:val="en-US" w:eastAsia="zh-CN"/>
        </w:rPr>
        <w:t xml:space="preserve"> .............................................................................................................2</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5.3 </w:t>
      </w:r>
      <w:r>
        <w:rPr>
          <w:rFonts w:hint="eastAsia"/>
          <w:sz w:val="24"/>
          <w:szCs w:val="24"/>
        </w:rPr>
        <w:t>计量单位</w:t>
      </w:r>
      <w:r>
        <w:rPr>
          <w:rFonts w:hint="eastAsia"/>
          <w:sz w:val="24"/>
          <w:szCs w:val="24"/>
          <w:lang w:val="en-US" w:eastAsia="zh-CN"/>
        </w:rPr>
        <w:t xml:space="preserve"> .........................................................................................................3</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5.4 </w:t>
      </w:r>
      <w:r>
        <w:rPr>
          <w:rFonts w:hint="eastAsia"/>
          <w:sz w:val="24"/>
          <w:szCs w:val="24"/>
          <w:lang w:eastAsia="zh-CN"/>
        </w:rPr>
        <w:t>灌</w:t>
      </w:r>
      <w:r>
        <w:rPr>
          <w:rFonts w:hint="eastAsia"/>
          <w:sz w:val="24"/>
          <w:szCs w:val="24"/>
        </w:rPr>
        <w:t>装偏差</w:t>
      </w:r>
      <w:r>
        <w:rPr>
          <w:rFonts w:hint="eastAsia"/>
          <w:sz w:val="24"/>
          <w:szCs w:val="24"/>
          <w:lang w:val="en-US" w:eastAsia="zh-CN"/>
        </w:rPr>
        <w:t xml:space="preserve"> .........................................................................................................3</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 xml:space="preserve">5.5 </w:t>
      </w:r>
      <w:r>
        <w:rPr>
          <w:rFonts w:hint="eastAsia"/>
          <w:sz w:val="24"/>
          <w:szCs w:val="24"/>
        </w:rPr>
        <w:t>误差极限</w:t>
      </w:r>
      <w:r>
        <w:rPr>
          <w:rFonts w:hint="eastAsia"/>
          <w:sz w:val="24"/>
          <w:szCs w:val="24"/>
          <w:lang w:val="en-US" w:eastAsia="zh-CN"/>
        </w:rPr>
        <w:t xml:space="preserve"> .........................................................................................................3</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5.6 </w:t>
      </w:r>
      <w:r>
        <w:rPr>
          <w:rFonts w:hint="eastAsia"/>
          <w:sz w:val="24"/>
          <w:szCs w:val="24"/>
        </w:rPr>
        <w:t>静态性</w:t>
      </w:r>
      <w:r>
        <w:rPr>
          <w:rFonts w:hint="eastAsia"/>
          <w:sz w:val="24"/>
          <w:szCs w:val="24"/>
          <w:lang w:eastAsia="zh-CN"/>
        </w:rPr>
        <w:t>能</w:t>
      </w:r>
      <w:r>
        <w:rPr>
          <w:rFonts w:hint="eastAsia"/>
          <w:sz w:val="24"/>
          <w:szCs w:val="24"/>
          <w:lang w:val="en-US" w:eastAsia="zh-CN"/>
        </w:rPr>
        <w:t>...........................................................................................................3</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6 </w:t>
      </w:r>
      <w:r>
        <w:rPr>
          <w:rFonts w:hint="eastAsia"/>
          <w:sz w:val="24"/>
          <w:szCs w:val="24"/>
        </w:rPr>
        <w:t>校准条件</w:t>
      </w:r>
      <w:r>
        <w:rPr>
          <w:rFonts w:hint="eastAsia"/>
          <w:sz w:val="24"/>
          <w:szCs w:val="24"/>
          <w:lang w:val="en-US" w:eastAsia="zh-CN"/>
        </w:rPr>
        <w:t xml:space="preserve"> ............................................................................................................3</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6.1 </w:t>
      </w:r>
      <w:r>
        <w:rPr>
          <w:rFonts w:hint="eastAsia"/>
          <w:sz w:val="24"/>
          <w:szCs w:val="24"/>
        </w:rPr>
        <w:t>环境条件</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6.2 </w:t>
      </w:r>
      <w:r>
        <w:rPr>
          <w:rFonts w:hint="eastAsia"/>
          <w:sz w:val="24"/>
          <w:szCs w:val="24"/>
        </w:rPr>
        <w:t>校准设备</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7 </w:t>
      </w:r>
      <w:r>
        <w:rPr>
          <w:rFonts w:hint="eastAsia"/>
          <w:sz w:val="24"/>
          <w:szCs w:val="24"/>
        </w:rPr>
        <w:t>校准项目和校准方法</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7.1</w:t>
      </w:r>
      <w:r>
        <w:rPr>
          <w:rFonts w:hint="eastAsia"/>
          <w:sz w:val="24"/>
          <w:szCs w:val="24"/>
        </w:rPr>
        <w:t>校准前准备</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7.2 </w:t>
      </w:r>
      <w:r>
        <w:rPr>
          <w:rFonts w:hint="eastAsia"/>
          <w:sz w:val="24"/>
          <w:szCs w:val="24"/>
        </w:rPr>
        <w:t>置零和零点跟踪装置检查</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7.3 </w:t>
      </w:r>
      <w:r>
        <w:rPr>
          <w:rFonts w:hint="eastAsia"/>
          <w:sz w:val="24"/>
          <w:szCs w:val="24"/>
        </w:rPr>
        <w:t>调整</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7.4 </w:t>
      </w:r>
      <w:r>
        <w:rPr>
          <w:rFonts w:hint="eastAsia"/>
          <w:sz w:val="24"/>
          <w:szCs w:val="24"/>
        </w:rPr>
        <w:t>集成控制衡器</w:t>
      </w:r>
      <w:r>
        <w:rPr>
          <w:rFonts w:hint="eastAsia"/>
          <w:sz w:val="24"/>
          <w:szCs w:val="24"/>
          <w:lang w:val="en-US" w:eastAsia="zh-CN"/>
        </w:rPr>
        <w:t xml:space="preserve"> .................................................................................................4</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7.5 </w:t>
      </w:r>
      <w:r>
        <w:rPr>
          <w:rFonts w:hint="eastAsia"/>
          <w:sz w:val="24"/>
          <w:szCs w:val="24"/>
        </w:rPr>
        <w:t>灌装试验</w:t>
      </w:r>
      <w:r>
        <w:rPr>
          <w:rFonts w:hint="eastAsia"/>
          <w:sz w:val="24"/>
          <w:szCs w:val="24"/>
          <w:lang w:val="en-US" w:eastAsia="zh-CN"/>
        </w:rPr>
        <w:t xml:space="preserve"> .........................................................................................................6</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8 </w:t>
      </w:r>
      <w:r>
        <w:rPr>
          <w:rFonts w:hint="eastAsia"/>
          <w:sz w:val="24"/>
          <w:szCs w:val="24"/>
        </w:rPr>
        <w:t>校准结果表达</w:t>
      </w:r>
      <w:r>
        <w:rPr>
          <w:rFonts w:hint="eastAsia"/>
          <w:sz w:val="24"/>
          <w:szCs w:val="24"/>
          <w:lang w:val="en-US" w:eastAsia="zh-CN"/>
        </w:rPr>
        <w:t xml:space="preserve"> .....................................................................................................6</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8.1 </w:t>
      </w:r>
      <w:r>
        <w:rPr>
          <w:rFonts w:hint="eastAsia"/>
          <w:sz w:val="24"/>
          <w:szCs w:val="24"/>
        </w:rPr>
        <w:t>校准结果处理</w:t>
      </w:r>
      <w:r>
        <w:rPr>
          <w:rFonts w:hint="eastAsia"/>
          <w:sz w:val="24"/>
          <w:szCs w:val="24"/>
          <w:lang w:val="en-US" w:eastAsia="zh-CN"/>
        </w:rPr>
        <w:t xml:space="preserve"> ..................................................................................................6</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eastAsia"/>
          <w:sz w:val="24"/>
          <w:szCs w:val="24"/>
        </w:rPr>
      </w:pPr>
      <w:r>
        <w:rPr>
          <w:rFonts w:hint="eastAsia"/>
          <w:sz w:val="24"/>
          <w:szCs w:val="24"/>
          <w:lang w:val="en-US" w:eastAsia="zh-CN"/>
        </w:rPr>
        <w:t xml:space="preserve">8.2 </w:t>
      </w:r>
      <w:r>
        <w:rPr>
          <w:rFonts w:hint="eastAsia"/>
          <w:sz w:val="24"/>
          <w:szCs w:val="24"/>
        </w:rPr>
        <w:t>校准结果的测量不确定度</w:t>
      </w:r>
      <w:r>
        <w:rPr>
          <w:rFonts w:hint="eastAsia"/>
          <w:sz w:val="24"/>
          <w:szCs w:val="24"/>
          <w:lang w:val="en-US" w:eastAsia="zh-CN"/>
        </w:rPr>
        <w:t xml:space="preserve"> ..............................................................................6</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sz w:val="24"/>
          <w:szCs w:val="24"/>
          <w:lang w:val="en-US"/>
        </w:rPr>
      </w:pPr>
      <w:r>
        <w:rPr>
          <w:rFonts w:hint="eastAsia"/>
          <w:sz w:val="24"/>
          <w:szCs w:val="24"/>
          <w:lang w:val="en-US" w:eastAsia="zh-CN"/>
        </w:rPr>
        <w:t xml:space="preserve">9 </w:t>
      </w:r>
      <w:r>
        <w:rPr>
          <w:rFonts w:hint="eastAsia"/>
          <w:sz w:val="24"/>
          <w:szCs w:val="24"/>
        </w:rPr>
        <w:t>复校时间间隔</w:t>
      </w:r>
      <w:r>
        <w:rPr>
          <w:rFonts w:hint="eastAsia"/>
          <w:sz w:val="24"/>
          <w:szCs w:val="24"/>
          <w:lang w:val="en-US" w:eastAsia="zh-CN"/>
        </w:rPr>
        <w:t xml:space="preserve"> .....................................................................................................6</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eastAsia="宋体"/>
          <w:sz w:val="24"/>
          <w:szCs w:val="24"/>
          <w:lang w:val="en-US" w:eastAsia="zh-CN"/>
        </w:rPr>
      </w:pPr>
      <w:r>
        <w:rPr>
          <w:rFonts w:hint="eastAsia"/>
          <w:sz w:val="24"/>
          <w:szCs w:val="24"/>
        </w:rPr>
        <w:t>附录</w:t>
      </w:r>
      <w:r>
        <w:rPr>
          <w:rFonts w:hint="eastAsia"/>
          <w:sz w:val="24"/>
          <w:szCs w:val="24"/>
          <w:lang w:val="en-US" w:eastAsia="zh-CN"/>
        </w:rPr>
        <w:t>A ......................................................................................................................8</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eastAsia="宋体"/>
          <w:sz w:val="24"/>
          <w:szCs w:val="24"/>
          <w:lang w:val="en-US" w:eastAsia="zh-CN"/>
        </w:rPr>
      </w:pPr>
      <w:r>
        <w:rPr>
          <w:rFonts w:hint="eastAsia"/>
          <w:sz w:val="24"/>
          <w:szCs w:val="24"/>
        </w:rPr>
        <w:t>附录</w:t>
      </w:r>
      <w:r>
        <w:rPr>
          <w:rFonts w:hint="eastAsia"/>
          <w:sz w:val="24"/>
          <w:szCs w:val="24"/>
          <w:lang w:val="en-US" w:eastAsia="zh-CN"/>
        </w:rPr>
        <w:t>B .....................................................................................................................11</w:t>
      </w:r>
    </w:p>
    <w:p>
      <w:pPr>
        <w:keepNext w:val="0"/>
        <w:keepLines w:val="0"/>
        <w:pageBreakBefore w:val="0"/>
        <w:widowControl w:val="0"/>
        <w:kinsoku/>
        <w:wordWrap/>
        <w:overflowPunct/>
        <w:topLinePunct w:val="0"/>
        <w:autoSpaceDE/>
        <w:autoSpaceDN/>
        <w:bidi w:val="0"/>
        <w:adjustRightInd/>
        <w:snapToGrid w:val="0"/>
        <w:spacing w:line="264" w:lineRule="auto"/>
        <w:ind w:firstLine="480" w:firstLineChars="200"/>
        <w:jc w:val="left"/>
        <w:textAlignment w:val="auto"/>
        <w:rPr>
          <w:rFonts w:hint="default" w:eastAsia="宋体"/>
          <w:sz w:val="24"/>
          <w:szCs w:val="24"/>
          <w:lang w:val="en-US" w:eastAsia="zh-CN"/>
        </w:rPr>
      </w:pPr>
      <w:r>
        <w:rPr>
          <w:rFonts w:hint="eastAsia"/>
          <w:sz w:val="24"/>
          <w:szCs w:val="24"/>
        </w:rPr>
        <w:t>附录</w:t>
      </w:r>
      <w:r>
        <w:rPr>
          <w:rFonts w:hint="eastAsia"/>
          <w:sz w:val="24"/>
          <w:szCs w:val="24"/>
          <w:lang w:val="en-US" w:eastAsia="zh-CN"/>
        </w:rPr>
        <w:t>C .....................................................................................................................12</w:t>
      </w:r>
    </w:p>
    <w:p/>
    <w:p/>
    <w:p/>
    <w:p/>
    <w:p/>
    <w:p>
      <w:pPr>
        <w:jc w:val="center"/>
        <w:rPr>
          <w:b/>
          <w:bCs/>
          <w:i w:val="0"/>
          <w:iCs w:val="0"/>
          <w:spacing w:val="567"/>
          <w:sz w:val="52"/>
          <w:szCs w:val="52"/>
        </w:rPr>
      </w:pPr>
      <w:bookmarkStart w:id="2" w:name="_Toc447894921"/>
      <w:bookmarkStart w:id="3" w:name="_Toc25511"/>
      <w:bookmarkStart w:id="4" w:name="_Toc411058912"/>
      <w:bookmarkStart w:id="5" w:name="_Toc518564027"/>
      <w:r>
        <w:rPr>
          <w:b/>
          <w:bCs/>
          <w:i w:val="0"/>
          <w:iCs w:val="0"/>
          <w:spacing w:val="567"/>
          <w:sz w:val="52"/>
          <w:szCs w:val="52"/>
        </w:rPr>
        <w:t>引 言</w:t>
      </w:r>
    </w:p>
    <w:p>
      <w:pPr>
        <w:ind w:firstLine="560" w:firstLineChars="200"/>
        <w:rPr>
          <w:rFonts w:hint="eastAsia"/>
          <w:sz w:val="28"/>
          <w:szCs w:val="28"/>
          <w:lang w:val="en-US" w:eastAsia="zh-CN"/>
        </w:rPr>
      </w:pPr>
      <w:r>
        <w:rPr>
          <w:sz w:val="28"/>
          <w:szCs w:val="28"/>
        </w:rPr>
        <w:t>本规范依据 JJF 1001-2011《通用计量术语及定义》和 JJF 1071-2010《国家计量校准规范编写规则》的要求编写。校准方法及计量特性等主要参考了国家强制性标准GB17267-</w:t>
      </w:r>
      <w:r>
        <w:rPr>
          <w:rFonts w:hint="eastAsia"/>
          <w:sz w:val="28"/>
          <w:szCs w:val="28"/>
          <w:lang w:val="en-US" w:eastAsia="zh-CN"/>
        </w:rPr>
        <w:t>19</w:t>
      </w:r>
      <w:r>
        <w:rPr>
          <w:sz w:val="28"/>
          <w:szCs w:val="28"/>
        </w:rPr>
        <w:t>98</w:t>
      </w:r>
      <w:r>
        <w:rPr>
          <w:rFonts w:hint="eastAsia"/>
          <w:sz w:val="28"/>
          <w:szCs w:val="28"/>
          <w:lang w:eastAsia="zh-CN"/>
        </w:rPr>
        <w:t>《液化石油气充装站安全技术条件》。</w:t>
      </w:r>
      <w:r>
        <w:rPr>
          <w:rFonts w:hint="eastAsia"/>
          <w:sz w:val="28"/>
          <w:szCs w:val="28"/>
          <w:lang w:val="en-US" w:eastAsia="zh-CN"/>
        </w:rPr>
        <w:t xml:space="preserve">            </w:t>
      </w:r>
    </w:p>
    <w:p>
      <w:pPr>
        <w:ind w:firstLine="560" w:firstLineChars="200"/>
        <w:rPr>
          <w:sz w:val="28"/>
          <w:szCs w:val="28"/>
        </w:rPr>
      </w:pPr>
      <w:r>
        <w:rPr>
          <w:sz w:val="28"/>
          <w:szCs w:val="28"/>
        </w:rPr>
        <w:t>本规范依据 JJF 1059.1-2012《测量不确定度评定与表示》给出了灌装偏差校准结果的测量不确定度评定示例。</w:t>
      </w:r>
    </w:p>
    <w:p>
      <w:pPr>
        <w:ind w:left="0" w:leftChars="0" w:firstLine="719" w:firstLineChars="257"/>
        <w:rPr>
          <w:sz w:val="28"/>
          <w:szCs w:val="28"/>
        </w:rPr>
      </w:pPr>
      <w:r>
        <w:rPr>
          <w:sz w:val="28"/>
          <w:szCs w:val="28"/>
        </w:rPr>
        <w:t>本规范为首次发布。</w:t>
      </w:r>
    </w:p>
    <w:bookmarkEnd w:id="2"/>
    <w:bookmarkEnd w:id="3"/>
    <w:bookmarkEnd w:id="4"/>
    <w:bookmarkEnd w:id="5"/>
    <w:p>
      <w:pPr>
        <w:snapToGrid w:val="0"/>
        <w:spacing w:line="360" w:lineRule="auto"/>
        <w:ind w:firstLine="480" w:firstLineChars="200"/>
        <w:rPr>
          <w:lang w:val="en-GB"/>
        </w:rPr>
      </w:pPr>
    </w:p>
    <w:p>
      <w:pPr>
        <w:snapToGrid w:val="0"/>
        <w:spacing w:line="360" w:lineRule="auto"/>
        <w:ind w:firstLine="480" w:firstLineChars="200"/>
        <w:rPr>
          <w:lang w:val="en-GB"/>
        </w:rPr>
      </w:pPr>
    </w:p>
    <w:p>
      <w:pPr>
        <w:snapToGrid w:val="0"/>
        <w:spacing w:line="360" w:lineRule="auto"/>
        <w:ind w:firstLine="480" w:firstLineChars="200"/>
        <w:rPr>
          <w:rFonts w:hint="eastAsia"/>
          <w:sz w:val="24"/>
          <w:szCs w:val="24"/>
        </w:rPr>
      </w:pPr>
    </w:p>
    <w:p>
      <w:pPr>
        <w:snapToGrid w:val="0"/>
        <w:spacing w:line="360" w:lineRule="auto"/>
        <w:ind w:firstLine="480" w:firstLineChars="200"/>
        <w:rPr>
          <w:rFonts w:hint="eastAsia"/>
          <w:sz w:val="24"/>
          <w:szCs w:val="24"/>
          <w:lang w:val="en-GB"/>
        </w:rPr>
        <w:sectPr>
          <w:footerReference r:id="rId8" w:type="default"/>
          <w:pgSz w:w="11906" w:h="16838"/>
          <w:pgMar w:top="1134" w:right="1418" w:bottom="1440" w:left="1418" w:header="851" w:footer="992" w:gutter="0"/>
          <w:pgNumType w:fmt="upperRoman" w:start="1"/>
          <w:cols w:space="720" w:num="1"/>
          <w:docGrid w:type="lines" w:linePitch="326" w:charSpace="0"/>
        </w:sectPr>
      </w:pPr>
    </w:p>
    <w:p>
      <w:pPr>
        <w:pageBreakBefore/>
        <w:spacing w:beforeLines="100" w:afterLines="100" w:line="360" w:lineRule="auto"/>
        <w:jc w:val="center"/>
        <w:outlineLvl w:val="0"/>
        <w:rPr>
          <w:rFonts w:eastAsia="黑体"/>
          <w:b/>
          <w:bCs/>
          <w:sz w:val="32"/>
          <w:szCs w:val="32"/>
        </w:rPr>
      </w:pPr>
      <w:bookmarkStart w:id="6" w:name="_Toc14589"/>
      <w:r>
        <w:rPr>
          <w:rFonts w:hint="eastAsia" w:eastAsia="黑体"/>
          <w:b/>
          <w:bCs/>
          <w:sz w:val="32"/>
          <w:szCs w:val="32"/>
          <w:lang w:eastAsia="zh-CN"/>
        </w:rPr>
        <w:t>液化气灌装秤</w:t>
      </w:r>
      <w:r>
        <w:rPr>
          <w:rFonts w:eastAsia="黑体"/>
          <w:b/>
          <w:bCs/>
          <w:sz w:val="32"/>
          <w:szCs w:val="32"/>
        </w:rPr>
        <w:t>校准规范</w:t>
      </w:r>
    </w:p>
    <w:p>
      <w:pPr>
        <w:pStyle w:val="2"/>
        <w:spacing w:beforeLines="100" w:afterLines="100" w:line="360" w:lineRule="auto"/>
        <w:ind w:firstLine="0" w:firstLineChars="0"/>
        <w:rPr>
          <w:rFonts w:hAnsi="黑体" w:eastAsia="黑体"/>
          <w:b/>
          <w:sz w:val="24"/>
          <w:lang w:val="en-US" w:eastAsia="zh-CN"/>
        </w:rPr>
      </w:pPr>
      <w:r>
        <w:rPr>
          <w:rFonts w:hAnsi="黑体" w:eastAsia="黑体"/>
          <w:b/>
          <w:sz w:val="24"/>
          <w:lang w:val="en-US" w:eastAsia="zh-CN"/>
        </w:rPr>
        <w:t>1范围</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本规范适用于对液化石油气、丙烷等液化气体介质进行自动灌装的秤的校准</w:t>
      </w:r>
    </w:p>
    <w:p>
      <w:pPr>
        <w:pStyle w:val="2"/>
        <w:spacing w:beforeLines="100" w:afterLines="100" w:line="360" w:lineRule="auto"/>
        <w:ind w:firstLine="0" w:firstLineChars="0"/>
        <w:rPr>
          <w:rFonts w:hAnsi="黑体" w:eastAsia="黑体"/>
          <w:b/>
          <w:sz w:val="24"/>
          <w:lang w:val="en-US" w:eastAsia="zh-CN"/>
        </w:rPr>
      </w:pPr>
      <w:r>
        <w:rPr>
          <w:rFonts w:hAnsi="黑体" w:eastAsia="黑体"/>
          <w:b/>
          <w:sz w:val="24"/>
          <w:lang w:val="en-US" w:eastAsia="zh-CN"/>
        </w:rPr>
        <w:t>2 引用文件</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本规范引用下列文件：</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GB/T27738 重力式自动装料衡器</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JF 1059.1 测量不确定度评定与表示</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JJG539 数字指示秤</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JJG564 重力式自动装料衡器</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JJF 1181 衡器计量名词术语及定义</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DB32/T 3976-2021《液化气体自动灌装衡器通用技术规范》.</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GB17267-</w:t>
      </w:r>
      <w:r>
        <w:rPr>
          <w:rFonts w:hint="eastAsia" w:ascii="Times New Roman" w:hAnsi="Calibri" w:eastAsia="宋体" w:cs="Times New Roman"/>
          <w:kern w:val="2"/>
          <w:sz w:val="24"/>
          <w:szCs w:val="24"/>
          <w:lang w:val="en-US" w:eastAsia="zh-CN" w:bidi="ar-SA"/>
        </w:rPr>
        <w:t>19</w:t>
      </w:r>
      <w:r>
        <w:rPr>
          <w:rFonts w:ascii="Times New Roman" w:hAnsi="Calibri" w:eastAsia="宋体" w:cs="Times New Roman"/>
          <w:kern w:val="2"/>
          <w:sz w:val="24"/>
          <w:szCs w:val="24"/>
          <w:lang w:val="en-US" w:eastAsia="zh-CN" w:bidi="ar-SA"/>
        </w:rPr>
        <w:t>98</w:t>
      </w:r>
      <w:r>
        <w:rPr>
          <w:rFonts w:hint="eastAsia" w:ascii="Times New Roman" w:hAnsi="Calibri" w:eastAsia="宋体" w:cs="Times New Roman"/>
          <w:kern w:val="2"/>
          <w:sz w:val="24"/>
          <w:szCs w:val="24"/>
          <w:lang w:val="en-US" w:eastAsia="zh-CN" w:bidi="ar-SA"/>
        </w:rPr>
        <w:t>《液化石油气充装站安全技术条件》</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凡是注明日期的引用文件，仅标注日期的版本适用于本规范；凡是不注明日期的引用文件，其最新版本（包括所有的修改单）适用于本规范。</w:t>
      </w:r>
    </w:p>
    <w:p>
      <w:pPr>
        <w:pStyle w:val="2"/>
        <w:spacing w:beforeLines="100" w:afterLines="100" w:line="360" w:lineRule="auto"/>
        <w:ind w:firstLine="0" w:firstLineChars="0"/>
        <w:rPr>
          <w:rFonts w:hAnsi="黑体" w:eastAsia="黑体"/>
          <w:b/>
          <w:sz w:val="24"/>
          <w:lang w:val="en-US" w:eastAsia="zh-CN"/>
        </w:rPr>
      </w:pPr>
      <w:r>
        <w:rPr>
          <w:rFonts w:hAnsi="黑体" w:eastAsia="黑体"/>
          <w:b/>
          <w:sz w:val="24"/>
          <w:lang w:val="en-US" w:eastAsia="zh-CN"/>
        </w:rPr>
        <w:t>3 术语与定义</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JF 1181 衡器计量名词术语及定义界定的下列术语和定义适用于本文件。为了便于使用，以下重复列出了JF 1181中的某些术语和定义(列出时，在词条后表明JF 1181的相应条款)，并增加了仅适用于本规范的专用术语。</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 xml:space="preserve">3.1 </w:t>
      </w:r>
      <w:r>
        <w:rPr>
          <w:rFonts w:hint="eastAsia" w:ascii="Times New Roman" w:cs="Times New Roman"/>
          <w:kern w:val="2"/>
          <w:sz w:val="24"/>
          <w:szCs w:val="24"/>
          <w:lang w:val="en-US" w:eastAsia="zh-CN" w:bidi="ar-SA"/>
        </w:rPr>
        <w:t>液化气灌装秤</w:t>
      </w:r>
      <w:r>
        <w:rPr>
          <w:rFonts w:ascii="Times New Roman" w:hAnsi="Calibri" w:eastAsia="宋体" w:cs="Times New Roman"/>
          <w:kern w:val="2"/>
          <w:sz w:val="24"/>
          <w:szCs w:val="24"/>
          <w:lang w:val="en-US" w:eastAsia="zh-CN" w:bidi="ar-SA"/>
        </w:rPr>
        <w:t xml:space="preserve"> automati</w:t>
      </w:r>
      <w:r>
        <w:rPr>
          <w:rFonts w:hint="eastAsia" w:ascii="Times New Roman" w:cs="Times New Roman"/>
          <w:kern w:val="2"/>
          <w:sz w:val="24"/>
          <w:szCs w:val="24"/>
          <w:lang w:val="en-US" w:eastAsia="zh-CN" w:bidi="ar-SA"/>
        </w:rPr>
        <w:t>c</w:t>
      </w:r>
      <w:r>
        <w:rPr>
          <w:rFonts w:ascii="Times New Roman" w:hAnsi="Calibri" w:eastAsia="宋体" w:cs="Times New Roman"/>
          <w:kern w:val="2"/>
          <w:sz w:val="24"/>
          <w:szCs w:val="24"/>
          <w:lang w:val="en-US" w:eastAsia="zh-CN" w:bidi="ar-SA"/>
        </w:rPr>
        <w:t xml:space="preserve"> liquef</w:t>
      </w:r>
      <w:r>
        <w:rPr>
          <w:rFonts w:hint="eastAsia" w:ascii="Times New Roman" w:cs="Times New Roman"/>
          <w:kern w:val="2"/>
          <w:sz w:val="24"/>
          <w:szCs w:val="24"/>
          <w:lang w:val="en-US" w:eastAsia="zh-CN" w:bidi="ar-SA"/>
        </w:rPr>
        <w:t>i</w:t>
      </w:r>
      <w:r>
        <w:rPr>
          <w:rFonts w:ascii="Times New Roman" w:hAnsi="Calibri" w:eastAsia="宋体" w:cs="Times New Roman"/>
          <w:kern w:val="2"/>
          <w:sz w:val="24"/>
          <w:szCs w:val="24"/>
          <w:lang w:val="en-US" w:eastAsia="zh-CN" w:bidi="ar-SA"/>
        </w:rPr>
        <w:t>ed gas filli</w:t>
      </w:r>
      <w:r>
        <w:rPr>
          <w:rFonts w:hint="eastAsia" w:ascii="Times New Roman" w:cs="Times New Roman"/>
          <w:kern w:val="2"/>
          <w:sz w:val="24"/>
          <w:szCs w:val="24"/>
          <w:lang w:val="en-US" w:eastAsia="zh-CN" w:bidi="ar-SA"/>
        </w:rPr>
        <w:t>n</w:t>
      </w:r>
      <w:r>
        <w:rPr>
          <w:rFonts w:ascii="Times New Roman" w:hAnsi="Calibri" w:eastAsia="宋体" w:cs="Times New Roman"/>
          <w:kern w:val="2"/>
          <w:sz w:val="24"/>
          <w:szCs w:val="24"/>
          <w:lang w:val="en-US" w:eastAsia="zh-CN" w:bidi="ar-SA"/>
        </w:rPr>
        <w:t>g instrument</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将液化气体自动装入容器的秤。主要由与称重单元相关联的自动充灌装置以及相应的控制和显示装置组成(在本规范中简称“自动灌装秤”)。</w:t>
      </w:r>
    </w:p>
    <w:p>
      <w:pPr>
        <w:pStyle w:val="77"/>
        <w:spacing w:line="360" w:lineRule="auto"/>
        <w:ind w:left="0" w:leftChars="0" w:firstLine="0" w:firstLineChars="0"/>
        <w:rPr>
          <w:rFonts w:hint="eastAsia" w:ascii="Times New Roman" w:cs="Times New Roman"/>
          <w:kern w:val="2"/>
          <w:sz w:val="24"/>
          <w:szCs w:val="24"/>
          <w:lang w:val="en-US" w:eastAsia="zh-CN" w:bidi="ar-SA"/>
        </w:rPr>
      </w:pPr>
      <w:r>
        <w:rPr>
          <w:rFonts w:ascii="Times New Roman" w:hAnsi="Calibri" w:eastAsia="宋体" w:cs="Times New Roman"/>
          <w:kern w:val="2"/>
          <w:sz w:val="24"/>
          <w:szCs w:val="24"/>
          <w:lang w:val="en-US" w:eastAsia="zh-CN" w:bidi="ar-SA"/>
        </w:rPr>
        <w:t>3.2 称量单元 weighing unit</w:t>
      </w:r>
      <w:r>
        <w:rPr>
          <w:rFonts w:hint="eastAsia" w:ascii="Times New Roman" w:cs="Times New Roman"/>
          <w:kern w:val="2"/>
          <w:sz w:val="24"/>
          <w:szCs w:val="24"/>
          <w:lang w:val="en-US" w:eastAsia="zh-CN" w:bidi="ar-SA"/>
        </w:rPr>
        <w:t xml:space="preserve"> [</w:t>
      </w:r>
      <w:r>
        <w:rPr>
          <w:rFonts w:ascii="Times New Roman" w:hAnsi="Calibri" w:eastAsia="宋体" w:cs="Times New Roman"/>
          <w:kern w:val="2"/>
          <w:sz w:val="24"/>
          <w:szCs w:val="24"/>
          <w:lang w:val="en-US" w:eastAsia="zh-CN" w:bidi="ar-SA"/>
        </w:rPr>
        <w:t>JJF 1181</w:t>
      </w:r>
      <w:r>
        <w:rPr>
          <w:rFonts w:hint="eastAsia" w:ascii="Times New Roman" w:cs="Times New Roman"/>
          <w:kern w:val="2"/>
          <w:sz w:val="24"/>
          <w:szCs w:val="24"/>
          <w:lang w:val="en-US" w:eastAsia="zh-CN" w:bidi="ar-SA"/>
        </w:rPr>
        <w:t>，</w:t>
      </w:r>
      <w:r>
        <w:rPr>
          <w:rFonts w:ascii="Times New Roman" w:hAnsi="Calibri" w:eastAsia="宋体" w:cs="Times New Roman"/>
          <w:kern w:val="2"/>
          <w:sz w:val="24"/>
          <w:szCs w:val="24"/>
          <w:lang w:val="en-US" w:eastAsia="zh-CN" w:bidi="ar-SA"/>
        </w:rPr>
        <w:t>5</w:t>
      </w:r>
      <w:r>
        <w:rPr>
          <w:rFonts w:hint="eastAsia" w:ascii="Times New Roman" w:cs="Times New Roman"/>
          <w:kern w:val="2"/>
          <w:sz w:val="24"/>
          <w:szCs w:val="24"/>
          <w:lang w:val="en-US" w:eastAsia="zh-CN" w:bidi="ar-SA"/>
        </w:rPr>
        <w:t>.</w:t>
      </w:r>
      <w:r>
        <w:rPr>
          <w:rFonts w:ascii="Times New Roman" w:hAnsi="Calibri" w:eastAsia="宋体" w:cs="Times New Roman"/>
          <w:kern w:val="2"/>
          <w:sz w:val="24"/>
          <w:szCs w:val="24"/>
          <w:lang w:val="en-US" w:eastAsia="zh-CN" w:bidi="ar-SA"/>
        </w:rPr>
        <w:t>3.1</w:t>
      </w:r>
      <w:r>
        <w:rPr>
          <w:rFonts w:hint="eastAsia" w:ascii="Times New Roman" w:cs="Times New Roman"/>
          <w:kern w:val="2"/>
          <w:sz w:val="24"/>
          <w:szCs w:val="24"/>
          <w:lang w:val="en-US" w:eastAsia="zh-CN" w:bidi="ar-SA"/>
        </w:rPr>
        <w:t>]</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提供被称载荷的称量信息的装置。</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3.3 承载器 load receptor [JJF1181,5.1</w:t>
      </w:r>
      <w:r>
        <w:rPr>
          <w:rFonts w:hint="eastAsia" w:ascii="Times New Roman" w:cs="Times New Roman"/>
          <w:kern w:val="2"/>
          <w:sz w:val="24"/>
          <w:szCs w:val="24"/>
          <w:lang w:val="en-US" w:eastAsia="zh-CN" w:bidi="ar-SA"/>
        </w:rPr>
        <w:t>]</w:t>
      </w:r>
      <w:r>
        <w:rPr>
          <w:rFonts w:ascii="Times New Roman" w:hAnsi="Calibri" w:eastAsia="宋体" w:cs="Times New Roman"/>
          <w:kern w:val="2"/>
          <w:sz w:val="24"/>
          <w:szCs w:val="24"/>
          <w:lang w:val="en-US" w:eastAsia="zh-CN" w:bidi="ar-SA"/>
        </w:rPr>
        <w:t xml:space="preserve"> </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用于承受</w:t>
      </w:r>
      <w:r>
        <w:rPr>
          <w:rFonts w:hint="eastAsia" w:ascii="Times New Roman" w:cs="Times New Roman"/>
          <w:kern w:val="2"/>
          <w:sz w:val="24"/>
          <w:szCs w:val="24"/>
          <w:lang w:val="en-US" w:eastAsia="zh-CN" w:bidi="ar-SA"/>
        </w:rPr>
        <w:t>载</w:t>
      </w:r>
      <w:r>
        <w:rPr>
          <w:rFonts w:ascii="Times New Roman" w:hAnsi="Calibri" w:eastAsia="宋体" w:cs="Times New Roman"/>
          <w:kern w:val="2"/>
          <w:sz w:val="24"/>
          <w:szCs w:val="24"/>
          <w:lang w:val="en-US" w:eastAsia="zh-CN" w:bidi="ar-SA"/>
        </w:rPr>
        <w:t>荷的部件。</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3.4 灌装装置 feeding device</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向称重单元提供灌装液化气体的装置，该装置可以有一级或多级工作方式。</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3.5 控制装置 control device</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控制液化气充装过程操作的装置，可以是配有软件功能的装置。</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3.6 预设值 preset value</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为规定液化气体充装量的标称值，由操作人员</w:t>
      </w:r>
      <w:r>
        <w:rPr>
          <w:rFonts w:hint="eastAsia" w:ascii="Times New Roman" w:cs="Times New Roman"/>
          <w:kern w:val="2"/>
          <w:sz w:val="24"/>
          <w:szCs w:val="24"/>
          <w:lang w:val="en-US" w:eastAsia="zh-CN" w:bidi="ar-SA"/>
        </w:rPr>
        <w:t>借</w:t>
      </w:r>
      <w:r>
        <w:rPr>
          <w:rFonts w:ascii="Times New Roman" w:hAnsi="Calibri" w:eastAsia="宋体" w:cs="Times New Roman"/>
          <w:kern w:val="2"/>
          <w:sz w:val="24"/>
          <w:szCs w:val="24"/>
          <w:lang w:val="en-US" w:eastAsia="zh-CN" w:bidi="ar-SA"/>
        </w:rPr>
        <w:t>助充装量设定装置预设的、以质量单位表示的值。</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3.7 充装量设定装置fil</w:t>
      </w:r>
      <w:r>
        <w:rPr>
          <w:rFonts w:hint="eastAsia" w:ascii="Times New Roman" w:cs="Times New Roman"/>
          <w:kern w:val="2"/>
          <w:sz w:val="24"/>
          <w:szCs w:val="24"/>
          <w:lang w:val="en-US" w:eastAsia="zh-CN" w:bidi="ar-SA"/>
        </w:rPr>
        <w:t>l</w:t>
      </w:r>
      <w:r>
        <w:rPr>
          <w:rFonts w:ascii="Times New Roman" w:hAnsi="Calibri" w:eastAsia="宋体" w:cs="Times New Roman"/>
          <w:kern w:val="2"/>
          <w:sz w:val="24"/>
          <w:szCs w:val="24"/>
          <w:lang w:val="en-US" w:eastAsia="zh-CN" w:bidi="ar-SA"/>
        </w:rPr>
        <w:t xml:space="preserve"> setting device</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允许设定充装预设值的装置。</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3.8 最小秤量(Min) minimum capacity (Min)</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在自动灌装秤的承载器上可以称量的最小量值，包括瓶气本身的质量和附加的灌装装置的质量。</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3.9 最大秤量(Max)maximum capacity (Max)</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在自动灌装秤的承载器上可以称量的最大量值，包括瓶气本身的质量和附加的灌装装置的质量。</w:t>
      </w:r>
    </w:p>
    <w:p>
      <w:pPr>
        <w:pStyle w:val="2"/>
        <w:spacing w:beforeLines="100" w:afterLines="100" w:line="360" w:lineRule="auto"/>
        <w:ind w:firstLine="0" w:firstLineChars="0"/>
        <w:rPr>
          <w:rFonts w:hAnsi="黑体" w:eastAsia="黑体"/>
          <w:b/>
          <w:sz w:val="24"/>
          <w:lang w:val="en-US" w:eastAsia="zh-CN"/>
        </w:rPr>
      </w:pPr>
      <w:r>
        <w:rPr>
          <w:rFonts w:hAnsi="黑体" w:eastAsia="黑体"/>
          <w:b/>
          <w:sz w:val="24"/>
          <w:lang w:val="en-US" w:eastAsia="zh-CN"/>
        </w:rPr>
        <w:t>4 概述</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自动灌装秤是一种自动衡器。</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结构：由控制阀门、称重传感器、承载器以及控制与显示装置等主要部分组成。</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原理：自动灌装秤按预设值进行灌装，仪表动态监测计算灌装量，达到预设值时自动停止灌装。</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用途：用于对液化石油气、丙烷等液化气体介质进行定量灌装。</w:t>
      </w:r>
    </w:p>
    <w:p>
      <w:pPr>
        <w:pStyle w:val="2"/>
        <w:spacing w:beforeLines="100" w:afterLines="100" w:line="360" w:lineRule="auto"/>
        <w:ind w:firstLine="0" w:firstLineChars="0"/>
        <w:rPr>
          <w:rFonts w:hAnsi="黑体" w:eastAsia="黑体"/>
          <w:b/>
          <w:sz w:val="24"/>
          <w:lang w:val="en-US" w:eastAsia="zh-CN"/>
        </w:rPr>
      </w:pPr>
      <w:r>
        <w:rPr>
          <w:rFonts w:hAnsi="黑体" w:eastAsia="黑体"/>
          <w:b/>
          <w:sz w:val="24"/>
          <w:lang w:val="en-US" w:eastAsia="zh-CN"/>
        </w:rPr>
        <w:t>5 计量性能</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5.1 准确度等级</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自动灌装秤的准确度等级划分为2个等级，用符号表示为：1</w:t>
      </w:r>
      <w:r>
        <w:rPr>
          <w:rFonts w:hint="eastAsia" w:ascii="Times New Roman" w:cs="Times New Roman"/>
          <w:kern w:val="2"/>
          <w:sz w:val="24"/>
          <w:szCs w:val="24"/>
          <w:lang w:val="en-US" w:eastAsia="zh-CN" w:bidi="ar-SA"/>
        </w:rPr>
        <w:t>，</w:t>
      </w:r>
      <w:r>
        <w:rPr>
          <w:rFonts w:ascii="Times New Roman" w:hAnsi="Calibri" w:eastAsia="宋体" w:cs="Times New Roman"/>
          <w:kern w:val="2"/>
          <w:sz w:val="24"/>
          <w:szCs w:val="24"/>
          <w:lang w:val="en-US" w:eastAsia="zh-CN" w:bidi="ar-SA"/>
        </w:rPr>
        <w:t>2</w:t>
      </w:r>
      <w:r>
        <w:rPr>
          <w:rFonts w:hint="eastAsia" w:ascii="Times New Roman" w:cs="Times New Roman"/>
          <w:kern w:val="2"/>
          <w:sz w:val="24"/>
          <w:szCs w:val="24"/>
          <w:lang w:val="en-US" w:eastAsia="zh-CN" w:bidi="ar-SA"/>
        </w:rPr>
        <w:t>。</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5.2 分度值</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自动灌装秤的分度值（</w:t>
      </w:r>
      <w:r>
        <w:rPr>
          <w:rFonts w:ascii="Times New Roman" w:hAnsi="Calibri" w:eastAsia="宋体" w:cs="Times New Roman"/>
          <w:i/>
          <w:iCs/>
          <w:kern w:val="2"/>
          <w:sz w:val="24"/>
          <w:szCs w:val="24"/>
          <w:lang w:val="en-US" w:eastAsia="zh-CN" w:bidi="ar-SA"/>
        </w:rPr>
        <w:t>d</w:t>
      </w:r>
      <w:r>
        <w:rPr>
          <w:rFonts w:ascii="Times New Roman" w:hAnsi="Calibri" w:eastAsia="宋体" w:cs="Times New Roman"/>
          <w:kern w:val="2"/>
          <w:sz w:val="24"/>
          <w:szCs w:val="24"/>
          <w:lang w:val="en-US" w:eastAsia="zh-CN" w:bidi="ar-SA"/>
        </w:rPr>
        <w:t>）以含质量单位的下列数字之一表示，</w:t>
      </w:r>
      <w:r>
        <w:rPr>
          <w:rFonts w:hint="eastAsia" w:ascii="Times New Roman" w:cs="Times New Roman"/>
          <w:kern w:val="2"/>
          <w:sz w:val="24"/>
          <w:szCs w:val="24"/>
          <w:lang w:val="en-US" w:eastAsia="zh-CN" w:bidi="ar-SA"/>
        </w:rPr>
        <w:t>1</w:t>
      </w:r>
      <w:r>
        <w:rPr>
          <w:rFonts w:ascii="Times New Roman" w:hAnsi="Calibri" w:eastAsia="宋体" w:cs="Times New Roman"/>
          <w:kern w:val="2"/>
          <w:sz w:val="24"/>
          <w:szCs w:val="24"/>
          <w:lang w:val="en-US" w:eastAsia="zh-CN" w:bidi="ar-SA"/>
        </w:rPr>
        <w:t>×10</w:t>
      </w:r>
      <w:r>
        <w:rPr>
          <w:rFonts w:hint="eastAsia" w:ascii="Times New Roman" w:cs="Times New Roman"/>
          <w:kern w:val="2"/>
          <w:sz w:val="24"/>
          <w:szCs w:val="24"/>
          <w:vertAlign w:val="superscript"/>
          <w:lang w:val="en-US" w:eastAsia="zh-CN" w:bidi="ar-SA"/>
        </w:rPr>
        <w:t>k</w:t>
      </w:r>
      <w:r>
        <w:rPr>
          <w:rFonts w:ascii="Times New Roman" w:hAnsi="Calibri" w:eastAsia="宋体" w:cs="Times New Roman"/>
          <w:kern w:val="2"/>
          <w:sz w:val="24"/>
          <w:szCs w:val="24"/>
          <w:lang w:val="en-US" w:eastAsia="zh-CN" w:bidi="ar-SA"/>
        </w:rPr>
        <w:t>、2×10</w:t>
      </w:r>
      <w:r>
        <w:rPr>
          <w:rFonts w:hint="eastAsia" w:ascii="Times New Roman" w:cs="Times New Roman"/>
          <w:kern w:val="2"/>
          <w:sz w:val="24"/>
          <w:szCs w:val="24"/>
          <w:vertAlign w:val="superscript"/>
          <w:lang w:val="en-US" w:eastAsia="zh-CN" w:bidi="ar-SA"/>
        </w:rPr>
        <w:t>k</w:t>
      </w:r>
      <w:r>
        <w:rPr>
          <w:rFonts w:ascii="Times New Roman" w:hAnsi="Calibri" w:eastAsia="宋体" w:cs="Times New Roman"/>
          <w:kern w:val="2"/>
          <w:sz w:val="24"/>
          <w:szCs w:val="24"/>
          <w:lang w:val="en-US" w:eastAsia="zh-CN" w:bidi="ar-SA"/>
        </w:rPr>
        <w:t>、5×10</w:t>
      </w:r>
      <w:r>
        <w:rPr>
          <w:rFonts w:hint="eastAsia" w:ascii="Times New Roman" w:cs="Times New Roman"/>
          <w:kern w:val="2"/>
          <w:sz w:val="24"/>
          <w:szCs w:val="24"/>
          <w:vertAlign w:val="superscript"/>
          <w:lang w:val="en-US" w:eastAsia="zh-CN" w:bidi="ar-SA"/>
        </w:rPr>
        <w:t>k</w:t>
      </w:r>
      <w:r>
        <w:rPr>
          <w:rFonts w:ascii="Times New Roman" w:hAnsi="Calibri" w:eastAsia="宋体" w:cs="Times New Roman"/>
          <w:kern w:val="2"/>
          <w:sz w:val="24"/>
          <w:szCs w:val="24"/>
          <w:lang w:val="en-US" w:eastAsia="zh-CN" w:bidi="ar-SA"/>
        </w:rPr>
        <w:t>（k为正整数、负整数或零)。</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5.3 计量单位</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自动灌装秤使用的质量单位有</w:t>
      </w:r>
      <w:r>
        <w:rPr>
          <w:rFonts w:hint="eastAsia" w:ascii="Times New Roman" w:cs="Times New Roman"/>
          <w:kern w:val="2"/>
          <w:sz w:val="24"/>
          <w:szCs w:val="24"/>
          <w:lang w:val="en-US" w:eastAsia="zh-CN" w:bidi="ar-SA"/>
        </w:rPr>
        <w:t>：</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——克(g)</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 千克(kg)</w:t>
      </w:r>
    </w:p>
    <w:p>
      <w:pPr>
        <w:pStyle w:val="77"/>
        <w:spacing w:line="360" w:lineRule="auto"/>
        <w:ind w:left="0" w:leftChars="0" w:firstLine="0" w:firstLineChars="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5.4 灌装偏差</w:t>
      </w:r>
    </w:p>
    <w:p>
      <w:pPr>
        <w:pStyle w:val="77"/>
        <w:spacing w:line="360" w:lineRule="auto"/>
        <w:ind w:firstLine="480"/>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按预先设定的程序充装，自动灌装后瓶气总重与设定值的偏差。</w:t>
      </w:r>
    </w:p>
    <w:p>
      <w:pPr>
        <w:spacing w:line="360" w:lineRule="auto"/>
        <w:rPr>
          <w:rFonts w:ascii="Times New Roman"/>
          <w:lang w:val="en-US" w:eastAsia="zh-CN"/>
        </w:rPr>
      </w:pPr>
      <w:r>
        <w:rPr>
          <w:rFonts w:ascii="Times New Roman"/>
          <w:lang w:val="en-US" w:eastAsia="zh-CN"/>
        </w:rPr>
        <w:t>5.5 误差极限</w:t>
      </w:r>
    </w:p>
    <w:p>
      <w:pPr>
        <w:spacing w:line="360" w:lineRule="auto"/>
        <w:ind w:firstLine="480" w:firstLineChars="200"/>
        <w:rPr>
          <w:rFonts w:ascii="Times New Roman"/>
          <w:lang w:val="en-US" w:eastAsia="zh-CN"/>
        </w:rPr>
      </w:pPr>
      <w:r>
        <w:rPr>
          <w:rFonts w:ascii="Times New Roman"/>
          <w:lang w:val="en-US" w:eastAsia="zh-CN"/>
        </w:rPr>
        <w:t>自动灌装秤每次灌装后的瓶气总重与预设值的最大偏差见表1</w:t>
      </w:r>
      <w:r>
        <w:rPr>
          <w:rFonts w:hint="eastAsia" w:ascii="Times New Roman"/>
          <w:lang w:val="en-US" w:eastAsia="zh-CN"/>
        </w:rPr>
        <w:t>。</w:t>
      </w:r>
    </w:p>
    <w:p>
      <w:pPr>
        <w:spacing w:line="360" w:lineRule="auto"/>
        <w:ind w:firstLine="480" w:firstLineChars="200"/>
        <w:jc w:val="center"/>
        <w:rPr>
          <w:rFonts w:ascii="Times New Roman"/>
          <w:lang w:val="en-US" w:eastAsia="zh-CN"/>
        </w:rPr>
      </w:pPr>
      <w:r>
        <w:rPr>
          <w:rFonts w:ascii="Times New Roman"/>
          <w:lang w:val="en-US" w:eastAsia="zh-CN"/>
        </w:rPr>
        <w:t>表1自动灌装的最大偏差</w:t>
      </w:r>
    </w:p>
    <w:tbl>
      <w:tblPr>
        <w:tblStyle w:val="26"/>
        <w:tblpPr w:leftFromText="180" w:rightFromText="180" w:vertAnchor="text" w:horzAnchor="page" w:tblpX="1985"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952" w:type="dxa"/>
            <w:vAlign w:val="top"/>
          </w:tcPr>
          <w:p>
            <w:pPr>
              <w:spacing w:line="360" w:lineRule="auto"/>
              <w:jc w:val="center"/>
              <w:rPr>
                <w:rFonts w:ascii="Times New Roman"/>
                <w:lang w:val="en-US" w:eastAsia="zh-CN"/>
              </w:rPr>
            </w:pPr>
            <w:r>
              <w:rPr>
                <w:rFonts w:ascii="Times New Roman"/>
                <w:lang w:val="en-US" w:eastAsia="zh-CN"/>
              </w:rPr>
              <w:t>准确度等级</w:t>
            </w:r>
          </w:p>
        </w:tc>
        <w:tc>
          <w:tcPr>
            <w:tcW w:w="2952" w:type="dxa"/>
            <w:vAlign w:val="top"/>
          </w:tcPr>
          <w:p>
            <w:pPr>
              <w:spacing w:line="360" w:lineRule="auto"/>
              <w:jc w:val="center"/>
              <w:rPr>
                <w:rFonts w:ascii="Times New Roman"/>
                <w:lang w:val="en-US" w:eastAsia="zh-CN"/>
              </w:rPr>
            </w:pPr>
            <w:r>
              <w:rPr>
                <w:rFonts w:ascii="Times New Roman"/>
                <w:lang w:val="en-US" w:eastAsia="zh-CN"/>
              </w:rPr>
              <w:t>最大偏差（%）</w:t>
            </w:r>
          </w:p>
        </w:tc>
        <w:tc>
          <w:tcPr>
            <w:tcW w:w="2952" w:type="dxa"/>
            <w:vAlign w:val="top"/>
          </w:tcPr>
          <w:p>
            <w:pPr>
              <w:spacing w:line="360" w:lineRule="auto"/>
              <w:jc w:val="center"/>
              <w:rPr>
                <w:rFonts w:ascii="Times New Roman"/>
                <w:lang w:val="en-US" w:eastAsia="zh-CN"/>
              </w:rPr>
            </w:pPr>
            <w:r>
              <w:rPr>
                <w:rFonts w:ascii="Times New Roman"/>
                <w:lang w:val="en-US" w:eastAsia="zh-CN"/>
              </w:rPr>
              <w:t>分度数n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52" w:type="dxa"/>
          </w:tcPr>
          <w:p>
            <w:pPr>
              <w:spacing w:line="360" w:lineRule="auto"/>
              <w:jc w:val="center"/>
              <w:rPr>
                <w:rFonts w:ascii="Times New Roman"/>
                <w:lang w:val="en-US" w:eastAsia="zh-CN"/>
              </w:rPr>
            </w:pPr>
            <w:r>
              <w:rPr>
                <w:rFonts w:ascii="Times New Roman"/>
                <w:lang w:val="en-US" w:eastAsia="zh-CN"/>
              </w:rPr>
              <w:t>1</w:t>
            </w:r>
          </w:p>
        </w:tc>
        <w:tc>
          <w:tcPr>
            <w:tcW w:w="2952" w:type="dxa"/>
          </w:tcPr>
          <w:p>
            <w:pPr>
              <w:spacing w:line="360" w:lineRule="auto"/>
              <w:jc w:val="center"/>
              <w:rPr>
                <w:rFonts w:ascii="Times New Roman"/>
                <w:lang w:val="en-US" w:eastAsia="zh-CN"/>
              </w:rPr>
            </w:pPr>
            <w:r>
              <w:rPr>
                <w:rFonts w:ascii="Times New Roman"/>
                <w:lang w:val="en-US" w:eastAsia="zh-CN"/>
              </w:rPr>
              <w:t>0.50%</w:t>
            </w:r>
          </w:p>
        </w:tc>
        <w:tc>
          <w:tcPr>
            <w:tcW w:w="2952" w:type="dxa"/>
          </w:tcPr>
          <w:p>
            <w:pPr>
              <w:spacing w:line="360" w:lineRule="auto"/>
              <w:jc w:val="center"/>
              <w:rPr>
                <w:rFonts w:ascii="Times New Roman"/>
                <w:lang w:val="en-US" w:eastAsia="zh-CN"/>
              </w:rPr>
            </w:pPr>
            <w:r>
              <w:rPr>
                <w:rFonts w:ascii="Times New Roman"/>
                <w:lang w:val="en-US" w:eastAsia="zh-CN"/>
              </w:rPr>
              <w:t>n&gt;200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60" w:lineRule="auto"/>
              <w:jc w:val="center"/>
              <w:rPr>
                <w:rFonts w:ascii="Times New Roman"/>
                <w:lang w:val="en-US" w:eastAsia="zh-CN"/>
              </w:rPr>
            </w:pPr>
            <w:r>
              <w:rPr>
                <w:rFonts w:ascii="Times New Roman"/>
                <w:lang w:val="en-US" w:eastAsia="zh-CN"/>
              </w:rPr>
              <w:t>2</w:t>
            </w:r>
          </w:p>
        </w:tc>
        <w:tc>
          <w:tcPr>
            <w:tcW w:w="2952" w:type="dxa"/>
          </w:tcPr>
          <w:p>
            <w:pPr>
              <w:spacing w:line="360" w:lineRule="auto"/>
              <w:jc w:val="center"/>
              <w:rPr>
                <w:rFonts w:ascii="Times New Roman"/>
                <w:lang w:val="en-US" w:eastAsia="zh-CN"/>
              </w:rPr>
            </w:pPr>
            <w:r>
              <w:rPr>
                <w:rFonts w:ascii="Times New Roman"/>
                <w:lang w:val="en-US" w:eastAsia="zh-CN"/>
              </w:rPr>
              <w:t>1.0%</w:t>
            </w:r>
          </w:p>
        </w:tc>
        <w:tc>
          <w:tcPr>
            <w:tcW w:w="2952" w:type="dxa"/>
          </w:tcPr>
          <w:p>
            <w:pPr>
              <w:spacing w:line="360" w:lineRule="auto"/>
              <w:jc w:val="center"/>
              <w:rPr>
                <w:rFonts w:ascii="Times New Roman"/>
                <w:lang w:val="en-US" w:eastAsia="zh-CN"/>
              </w:rPr>
            </w:pPr>
            <w:r>
              <w:rPr>
                <w:rFonts w:ascii="Times New Roman"/>
                <w:lang w:val="en-US" w:eastAsia="zh-CN"/>
              </w:rPr>
              <w:t>n&gt;100</w:t>
            </w:r>
          </w:p>
        </w:tc>
      </w:tr>
    </w:tbl>
    <w:p>
      <w:pPr>
        <w:spacing w:line="360" w:lineRule="auto"/>
        <w:ind w:firstLine="480" w:firstLineChars="200"/>
        <w:rPr>
          <w:rFonts w:ascii="Times New Roman"/>
          <w:lang w:val="en-US" w:eastAsia="zh-CN"/>
        </w:rPr>
      </w:pPr>
      <w:r>
        <w:rPr>
          <w:rFonts w:ascii="Times New Roman"/>
          <w:lang w:val="en-US" w:eastAsia="zh-CN"/>
        </w:rPr>
        <w:t xml:space="preserve">  </w:t>
      </w:r>
    </w:p>
    <w:p>
      <w:pPr>
        <w:spacing w:line="360" w:lineRule="auto"/>
        <w:rPr>
          <w:rFonts w:ascii="Times New Roman"/>
          <w:lang w:val="en-US" w:eastAsia="zh-CN"/>
        </w:rPr>
      </w:pPr>
      <w:r>
        <w:rPr>
          <w:rFonts w:ascii="Times New Roman"/>
          <w:lang w:val="en-US" w:eastAsia="zh-CN"/>
        </w:rPr>
        <w:t>5.6 静态性能</w:t>
      </w:r>
    </w:p>
    <w:p>
      <w:pPr>
        <w:spacing w:line="360" w:lineRule="auto"/>
        <w:rPr>
          <w:rFonts w:ascii="Times New Roman"/>
          <w:lang w:val="en-US" w:eastAsia="zh-CN"/>
        </w:rPr>
      </w:pPr>
      <w:r>
        <w:rPr>
          <w:rFonts w:ascii="Times New Roman"/>
          <w:lang w:val="en-US" w:eastAsia="zh-CN"/>
        </w:rPr>
        <w:t>5.6.1 最大允许误差</w:t>
      </w:r>
    </w:p>
    <w:p>
      <w:pPr>
        <w:spacing w:line="360" w:lineRule="auto"/>
        <w:ind w:firstLine="480" w:firstLineChars="200"/>
        <w:rPr>
          <w:rFonts w:ascii="Times New Roman"/>
          <w:lang w:val="en-US" w:eastAsia="zh-CN"/>
        </w:rPr>
      </w:pPr>
      <w:r>
        <w:rPr>
          <w:rFonts w:ascii="Times New Roman"/>
          <w:lang w:val="en-US" w:eastAsia="zh-CN"/>
        </w:rPr>
        <w:t>控制衡器的最大允许误差应符合表2的规定。</w:t>
      </w:r>
    </w:p>
    <w:p>
      <w:pPr>
        <w:spacing w:line="360" w:lineRule="auto"/>
        <w:ind w:firstLine="480" w:firstLineChars="200"/>
        <w:jc w:val="center"/>
        <w:rPr>
          <w:rFonts w:ascii="Times New Roman"/>
          <w:lang w:val="en-US" w:eastAsia="zh-CN"/>
        </w:rPr>
      </w:pPr>
      <w:r>
        <w:rPr>
          <w:rFonts w:ascii="Times New Roman"/>
          <w:lang w:val="en-US" w:eastAsia="zh-CN"/>
        </w:rPr>
        <w:t>表2 控制衡器的最大允许误差(MPE)</w:t>
      </w:r>
    </w:p>
    <w:tbl>
      <w:tblPr>
        <w:tblStyle w:val="26"/>
        <w:tblpPr w:leftFromText="180" w:rightFromText="180" w:vertAnchor="text" w:horzAnchor="page" w:tblpX="2127" w:tblpY="12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8"/>
        <w:gridCol w:w="3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载荷m以分度值</w:t>
            </w:r>
            <w:r>
              <w:rPr>
                <w:rFonts w:hint="eastAsia" w:ascii="宋体" w:hAnsi="宋体" w:eastAsia="宋体" w:cs="宋体"/>
                <w:i/>
                <w:iCs/>
                <w:lang w:val="en-US" w:eastAsia="zh-CN"/>
              </w:rPr>
              <w:t>d</w:t>
            </w:r>
            <w:r>
              <w:rPr>
                <w:rFonts w:hint="eastAsia" w:ascii="宋体" w:hAnsi="宋体" w:eastAsia="宋体" w:cs="宋体"/>
                <w:lang w:val="en-US" w:eastAsia="zh-CN"/>
              </w:rPr>
              <w:t>表示</w:t>
            </w:r>
          </w:p>
        </w:tc>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最大允许误为MPE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0≤m≤500</w:t>
            </w:r>
          </w:p>
        </w:tc>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±0.5</w:t>
            </w:r>
            <w:r>
              <w:rPr>
                <w:rFonts w:hint="eastAsia" w:ascii="宋体" w:hAnsi="宋体" w:eastAsia="宋体" w:cs="宋体"/>
                <w:i/>
                <w:iCs/>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500＜m≤2000</w:t>
            </w:r>
          </w:p>
        </w:tc>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土1.0</w:t>
            </w:r>
            <w:r>
              <w:rPr>
                <w:rFonts w:hint="eastAsia" w:ascii="宋体" w:hAnsi="宋体" w:eastAsia="宋体" w:cs="宋体"/>
                <w:i/>
                <w:iCs/>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2000&lt;m≤10000</w:t>
            </w:r>
          </w:p>
        </w:tc>
        <w:tc>
          <w:tcPr>
            <w:tcW w:w="3968" w:type="dxa"/>
            <w:vAlign w:val="top"/>
          </w:tcPr>
          <w:p>
            <w:pPr>
              <w:spacing w:line="360" w:lineRule="auto"/>
              <w:jc w:val="center"/>
              <w:rPr>
                <w:rFonts w:hint="eastAsia" w:ascii="宋体" w:hAnsi="宋体" w:eastAsia="宋体" w:cs="宋体"/>
                <w:lang w:val="en-US" w:eastAsia="zh-CN"/>
              </w:rPr>
            </w:pPr>
            <w:r>
              <w:rPr>
                <w:rFonts w:hint="eastAsia" w:ascii="宋体" w:hAnsi="宋体" w:eastAsia="宋体" w:cs="宋体"/>
                <w:lang w:val="en-US" w:eastAsia="zh-CN"/>
              </w:rPr>
              <w:t>±1.5</w:t>
            </w:r>
            <w:r>
              <w:rPr>
                <w:rFonts w:hint="eastAsia" w:ascii="宋体" w:hAnsi="宋体" w:eastAsia="宋体" w:cs="宋体"/>
                <w:i/>
                <w:iCs/>
                <w:lang w:val="en-US" w:eastAsia="zh-CN"/>
              </w:rPr>
              <w:t>d</w:t>
            </w:r>
          </w:p>
        </w:tc>
      </w:tr>
    </w:tbl>
    <w:p>
      <w:pPr>
        <w:spacing w:line="360" w:lineRule="auto"/>
        <w:ind w:firstLine="480" w:firstLineChars="200"/>
        <w:rPr>
          <w:rFonts w:ascii="Times New Roman"/>
          <w:lang w:val="en-US" w:eastAsia="zh-CN"/>
        </w:rPr>
      </w:pPr>
    </w:p>
    <w:p>
      <w:pPr>
        <w:spacing w:line="360" w:lineRule="auto"/>
        <w:ind w:firstLine="480" w:firstLineChars="200"/>
        <w:rPr>
          <w:rFonts w:ascii="Times New Roman"/>
          <w:lang w:val="en-US" w:eastAsia="zh-CN"/>
        </w:rPr>
      </w:pPr>
    </w:p>
    <w:p>
      <w:pPr>
        <w:spacing w:line="360" w:lineRule="auto"/>
        <w:ind w:firstLine="480" w:firstLineChars="200"/>
        <w:rPr>
          <w:rFonts w:ascii="Times New Roman"/>
          <w:lang w:val="en-US" w:eastAsia="zh-CN"/>
        </w:rPr>
      </w:pPr>
    </w:p>
    <w:p>
      <w:pPr>
        <w:spacing w:line="360" w:lineRule="auto"/>
        <w:ind w:firstLine="480" w:firstLineChars="200"/>
        <w:rPr>
          <w:rFonts w:ascii="Times New Roman"/>
          <w:lang w:val="en-US" w:eastAsia="zh-CN"/>
        </w:rPr>
      </w:pPr>
    </w:p>
    <w:p>
      <w:pPr>
        <w:spacing w:line="360" w:lineRule="auto"/>
        <w:ind w:firstLine="480" w:firstLineChars="200"/>
        <w:rPr>
          <w:rFonts w:ascii="Times New Roman"/>
          <w:lang w:val="en-US" w:eastAsia="zh-CN"/>
        </w:rPr>
      </w:pPr>
    </w:p>
    <w:p>
      <w:pPr>
        <w:spacing w:line="360" w:lineRule="auto"/>
        <w:rPr>
          <w:rFonts w:ascii="Times New Roman"/>
          <w:lang w:val="en-US" w:eastAsia="zh-CN"/>
        </w:rPr>
      </w:pPr>
      <w:r>
        <w:rPr>
          <w:rFonts w:ascii="Times New Roman"/>
          <w:lang w:val="en-US" w:eastAsia="zh-CN"/>
        </w:rPr>
        <w:t>5.6.2 重复性</w:t>
      </w:r>
    </w:p>
    <w:p>
      <w:pPr>
        <w:spacing w:line="360" w:lineRule="auto"/>
        <w:ind w:firstLine="480" w:firstLineChars="200"/>
        <w:rPr>
          <w:rFonts w:hint="eastAsia" w:ascii="Times New Roman" w:eastAsia="宋体"/>
          <w:lang w:val="en-US" w:eastAsia="zh-CN"/>
        </w:rPr>
      </w:pPr>
      <w:r>
        <w:rPr>
          <w:rFonts w:ascii="Times New Roman" w:hAnsi="Times New Roman" w:eastAsia="宋体" w:cs="Times New Roman"/>
          <w:sz w:val="24"/>
        </w:rPr>
        <w:t>同一载荷在秤上多次称量结果之间的差值</w:t>
      </w:r>
      <w:r>
        <w:rPr>
          <w:rFonts w:hint="eastAsia" w:ascii="Times New Roman" w:hAnsi="Times New Roman" w:cs="Times New Roman"/>
          <w:sz w:val="24"/>
          <w:lang w:eastAsia="zh-CN"/>
        </w:rPr>
        <w:t>。</w:t>
      </w:r>
    </w:p>
    <w:p>
      <w:pPr>
        <w:spacing w:line="360" w:lineRule="auto"/>
        <w:rPr>
          <w:rFonts w:ascii="Times New Roman"/>
          <w:lang w:val="en-US" w:eastAsia="zh-CN"/>
        </w:rPr>
      </w:pPr>
      <w:r>
        <w:rPr>
          <w:rFonts w:ascii="Times New Roman"/>
          <w:lang w:val="en-US" w:eastAsia="zh-CN"/>
        </w:rPr>
        <w:t>5.6.3 置零准确度及除皮准确度</w:t>
      </w:r>
    </w:p>
    <w:p>
      <w:pPr>
        <w:spacing w:line="360" w:lineRule="auto"/>
        <w:ind w:firstLine="480" w:firstLineChars="200"/>
        <w:rPr>
          <w:rFonts w:ascii="Times New Roman"/>
          <w:lang w:val="en-US" w:eastAsia="zh-CN"/>
        </w:rPr>
      </w:pPr>
      <w:r>
        <w:rPr>
          <w:rFonts w:ascii="Times New Roman"/>
          <w:lang w:val="en-US" w:eastAsia="zh-CN"/>
        </w:rPr>
        <w:t>置零或除皮后的零点误差。</w:t>
      </w:r>
    </w:p>
    <w:p>
      <w:pPr>
        <w:spacing w:line="360" w:lineRule="auto"/>
        <w:rPr>
          <w:rFonts w:ascii="Times New Roman"/>
          <w:lang w:val="en-US" w:eastAsia="zh-CN"/>
        </w:rPr>
      </w:pPr>
      <w:r>
        <w:rPr>
          <w:rFonts w:ascii="Times New Roman"/>
          <w:lang w:val="en-US" w:eastAsia="zh-CN"/>
        </w:rPr>
        <w:t>6 校准条件</w:t>
      </w:r>
    </w:p>
    <w:p>
      <w:pPr>
        <w:spacing w:line="360" w:lineRule="auto"/>
        <w:ind w:firstLine="480" w:firstLineChars="200"/>
        <w:rPr>
          <w:rFonts w:ascii="Times New Roman"/>
          <w:lang w:val="en-US" w:eastAsia="zh-CN"/>
        </w:rPr>
      </w:pPr>
    </w:p>
    <w:p>
      <w:pPr>
        <w:spacing w:line="360" w:lineRule="auto"/>
        <w:rPr>
          <w:rFonts w:ascii="Times New Roman"/>
          <w:lang w:val="en-US" w:eastAsia="zh-CN"/>
        </w:rPr>
      </w:pPr>
      <w:r>
        <w:rPr>
          <w:rFonts w:ascii="Times New Roman"/>
          <w:lang w:val="en-US" w:eastAsia="zh-CN"/>
        </w:rPr>
        <w:t>6.1 环境条件</w:t>
      </w:r>
    </w:p>
    <w:p>
      <w:pPr>
        <w:spacing w:line="360" w:lineRule="auto"/>
        <w:rPr>
          <w:rFonts w:ascii="Times New Roman"/>
          <w:lang w:val="en-US" w:eastAsia="zh-CN"/>
        </w:rPr>
      </w:pPr>
      <w:r>
        <w:rPr>
          <w:rFonts w:ascii="Times New Roman"/>
          <w:lang w:val="en-US" w:eastAsia="zh-CN"/>
        </w:rPr>
        <w:t>6.1.1环境温度：校准应在环境温度稳定的条件下进行，一般为-10℃～40°℃，且温度变化率不超过5℃/h。</w:t>
      </w:r>
    </w:p>
    <w:p>
      <w:pPr>
        <w:spacing w:line="360" w:lineRule="auto"/>
        <w:rPr>
          <w:rFonts w:ascii="Times New Roman"/>
          <w:lang w:val="en-US" w:eastAsia="zh-CN"/>
        </w:rPr>
      </w:pPr>
      <w:r>
        <w:rPr>
          <w:rFonts w:ascii="Times New Roman"/>
          <w:lang w:val="en-US" w:eastAsia="zh-CN"/>
        </w:rPr>
        <w:t>6.1.2 供电电源：按照制造厂商技术说明书中规定的供电方式接通被校准灌装秤的电源。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lang w:val="en-US" w:eastAsia="zh-CN"/>
        </w:rPr>
      </w:pPr>
      <w:r>
        <w:rPr>
          <w:rFonts w:ascii="Times New Roman"/>
          <w:lang w:val="en-US" w:eastAsia="zh-CN"/>
        </w:rPr>
        <w:t>6.2 校准设备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6.2.1控制衡器：若控制衡器是与自动灌装秤相分离的单独衡器，即为分离式控制衡器；若自动灌装秤自身作为控制衡器，即为集成式控制衡器。应保证控制衡器所确定的试验载荷的误差或瓶气重量的误差不大于表1最大偏差值的1/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eastAsia="宋体" w:cs="Times New Roman"/>
          <w:kern w:val="2"/>
          <w:sz w:val="24"/>
          <w:szCs w:val="24"/>
          <w:lang w:val="en-US" w:eastAsia="zh-CN" w:bidi="ar-SA"/>
        </w:rPr>
      </w:pPr>
      <w:r>
        <w:rPr>
          <w:rFonts w:ascii="Calibri" w:hAnsi="Calibri" w:eastAsia="宋体" w:cs="Times New Roman"/>
          <w:kern w:val="2"/>
          <w:sz w:val="24"/>
          <w:szCs w:val="24"/>
          <w:lang w:val="en-US" w:eastAsia="zh-CN" w:bidi="ar-SA"/>
        </w:rPr>
        <w:t>6.22 标准砝码：校准过程中使用的标准砝码，其误差应不大于表2中规定的最大允许误差的1/3.</w:t>
      </w:r>
    </w:p>
    <w:p>
      <w:pPr>
        <w:pStyle w:val="2"/>
        <w:spacing w:beforeLines="100" w:afterLines="100" w:line="360" w:lineRule="auto"/>
        <w:ind w:firstLine="0" w:firstLineChars="0"/>
        <w:rPr>
          <w:rFonts w:hAnsi="黑体" w:eastAsia="黑体"/>
          <w:b/>
          <w:sz w:val="24"/>
          <w:lang w:val="en-US" w:eastAsia="zh-CN"/>
        </w:rPr>
      </w:pPr>
      <w:r>
        <w:rPr>
          <w:rFonts w:hAnsi="黑体" w:eastAsia="黑体"/>
          <w:b/>
          <w:sz w:val="24"/>
          <w:lang w:val="en-US" w:eastAsia="zh-CN"/>
        </w:rPr>
        <w:t>7 校准项目和校准方法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eastAsia="宋体" w:cs="Times New Roman"/>
          <w:kern w:val="2"/>
          <w:sz w:val="24"/>
          <w:szCs w:val="24"/>
          <w:lang w:val="en-US" w:eastAsia="zh-CN" w:bidi="ar-SA"/>
        </w:rPr>
      </w:pPr>
      <w:r>
        <w:rPr>
          <w:rFonts w:ascii="Calibri" w:hAnsi="Calibri" w:eastAsia="宋体" w:cs="Times New Roman"/>
          <w:kern w:val="2"/>
          <w:sz w:val="24"/>
          <w:szCs w:val="24"/>
          <w:lang w:val="en-US" w:eastAsia="zh-CN" w:bidi="ar-SA"/>
        </w:rPr>
        <w:t>7.1 校准前准备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eastAsia="宋体" w:cs="Times New Roman"/>
          <w:kern w:val="2"/>
          <w:sz w:val="24"/>
          <w:szCs w:val="24"/>
          <w:lang w:val="en-US" w:eastAsia="zh-CN" w:bidi="ar-SA"/>
        </w:rPr>
      </w:pPr>
      <w:r>
        <w:rPr>
          <w:rFonts w:ascii="Calibri" w:hAnsi="Calibri" w:eastAsia="宋体" w:cs="Times New Roman"/>
          <w:kern w:val="2"/>
          <w:sz w:val="24"/>
          <w:szCs w:val="24"/>
          <w:lang w:val="en-US" w:eastAsia="zh-CN" w:bidi="ar-SA"/>
        </w:rPr>
        <w:t>7.1.1 预热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Calibri" w:hAnsi="Calibri" w:eastAsia="宋体" w:cs="Times New Roman"/>
          <w:kern w:val="2"/>
          <w:sz w:val="24"/>
          <w:szCs w:val="24"/>
          <w:lang w:val="en-US" w:eastAsia="zh-CN" w:bidi="ar-SA"/>
        </w:rPr>
      </w:pPr>
      <w:r>
        <w:rPr>
          <w:rFonts w:ascii="Calibri" w:hAnsi="Calibri" w:eastAsia="宋体" w:cs="Times New Roman"/>
          <w:kern w:val="2"/>
          <w:sz w:val="24"/>
          <w:szCs w:val="24"/>
          <w:lang w:val="en-US" w:eastAsia="zh-CN" w:bidi="ar-SA"/>
        </w:rPr>
        <w:t>若适用，校准前应对自动灌装秤通电预热，预热时间不少于产品的规定。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eastAsia="宋体" w:cs="Times New Roman"/>
          <w:kern w:val="2"/>
          <w:sz w:val="24"/>
          <w:szCs w:val="24"/>
          <w:lang w:val="en-US" w:eastAsia="zh-CN" w:bidi="ar-SA"/>
        </w:rPr>
      </w:pPr>
      <w:r>
        <w:rPr>
          <w:rFonts w:ascii="Calibri" w:hAnsi="Calibri" w:eastAsia="宋体" w:cs="Times New Roman"/>
          <w:kern w:val="2"/>
          <w:sz w:val="24"/>
          <w:szCs w:val="24"/>
          <w:lang w:val="en-US" w:eastAsia="zh-CN" w:bidi="ar-SA"/>
        </w:rPr>
        <w:t>7.1.2 预加载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开始校准之前，应使用砝码将自动灌装秤预先加载到最大秤量。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7.2 置零和零点跟踪装置检查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校准期间可以关闭置零或零点跟踪功能，或在校准开始时用10</w:t>
      </w:r>
      <w:r>
        <w:rPr>
          <w:rFonts w:ascii="Times New Roman" w:hAnsi="Calibri" w:eastAsia="宋体" w:cs="Times New Roman"/>
          <w:i/>
          <w:iCs/>
          <w:kern w:val="2"/>
          <w:sz w:val="24"/>
          <w:szCs w:val="24"/>
          <w:lang w:val="en-US" w:eastAsia="zh-CN" w:bidi="ar-SA"/>
        </w:rPr>
        <w:t>d</w:t>
      </w:r>
      <w:r>
        <w:rPr>
          <w:rFonts w:ascii="Times New Roman" w:hAnsi="Calibri" w:eastAsia="宋体" w:cs="Times New Roman"/>
          <w:kern w:val="2"/>
          <w:sz w:val="24"/>
          <w:szCs w:val="24"/>
          <w:lang w:val="en-US" w:eastAsia="zh-CN" w:bidi="ar-SA"/>
        </w:rPr>
        <w:t>砝码予以摆脱。对于某些校准项目，置零与零点跟踪功能是否运行，应在校准报告中具体写明。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7.3 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所有的调整只允许在开始校准前进行。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7.4 集成控制衡器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7</w:t>
      </w:r>
      <w:r>
        <w:rPr>
          <w:rFonts w:hint="eastAsia" w:ascii="Times New Roman" w:cs="Times New Roman"/>
          <w:kern w:val="2"/>
          <w:sz w:val="24"/>
          <w:szCs w:val="24"/>
          <w:lang w:val="en-US" w:eastAsia="zh-CN" w:bidi="ar-SA"/>
        </w:rPr>
        <w:t>.</w:t>
      </w:r>
      <w:r>
        <w:rPr>
          <w:rFonts w:ascii="Times New Roman" w:hAnsi="Calibri" w:eastAsia="宋体" w:cs="Times New Roman"/>
          <w:kern w:val="2"/>
          <w:sz w:val="24"/>
          <w:szCs w:val="24"/>
          <w:lang w:val="en-US" w:eastAsia="zh-CN" w:bidi="ar-SA"/>
        </w:rPr>
        <w:t>4.1 示值化整误差的消除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如果灌装衡器带有一个能够显示较小分度值（不大于0.2</w:t>
      </w:r>
      <w:r>
        <w:rPr>
          <w:rFonts w:ascii="Times New Roman" w:hAnsi="Calibri" w:eastAsia="宋体" w:cs="Times New Roman"/>
          <w:i/>
          <w:iCs/>
          <w:kern w:val="2"/>
          <w:sz w:val="24"/>
          <w:szCs w:val="24"/>
          <w:lang w:val="en-US" w:eastAsia="zh-CN" w:bidi="ar-SA"/>
        </w:rPr>
        <w:t>d</w:t>
      </w:r>
      <w:r>
        <w:rPr>
          <w:rFonts w:ascii="Times New Roman" w:hAnsi="Calibri" w:eastAsia="宋体" w:cs="Times New Roman"/>
          <w:kern w:val="2"/>
          <w:sz w:val="24"/>
          <w:szCs w:val="24"/>
          <w:lang w:val="en-US" w:eastAsia="zh-CN" w:bidi="ar-SA"/>
        </w:rPr>
        <w:t>)的数字指示装置或功能，则该装置可用于确定称量误差。如使用该装置，应在校准报告中予以说明。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7</w:t>
      </w:r>
      <w:r>
        <w:rPr>
          <w:rFonts w:hint="eastAsia" w:ascii="Times New Roman" w:cs="Times New Roman"/>
          <w:kern w:val="2"/>
          <w:sz w:val="24"/>
          <w:szCs w:val="24"/>
          <w:lang w:val="en-US" w:eastAsia="zh-CN" w:bidi="ar-SA"/>
        </w:rPr>
        <w:t>.</w:t>
      </w:r>
      <w:r>
        <w:rPr>
          <w:rFonts w:ascii="Times New Roman" w:hAnsi="Calibri" w:eastAsia="宋体" w:cs="Times New Roman"/>
          <w:kern w:val="2"/>
          <w:sz w:val="24"/>
          <w:szCs w:val="24"/>
          <w:lang w:val="en-US" w:eastAsia="zh-CN" w:bidi="ar-SA"/>
        </w:rPr>
        <w:t>4.1.1 确定示值化整前误差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Calibri" w:eastAsia="宋体" w:cs="Times New Roman"/>
          <w:kern w:val="2"/>
          <w:sz w:val="24"/>
          <w:szCs w:val="24"/>
          <w:lang w:val="en-US" w:eastAsia="zh-CN" w:bidi="ar-SA"/>
        </w:rPr>
      </w:pPr>
      <w:r>
        <w:rPr>
          <w:rFonts w:ascii="Times New Roman" w:hAnsi="Calibri" w:eastAsia="宋体" w:cs="Times New Roman"/>
          <w:kern w:val="2"/>
          <w:sz w:val="24"/>
          <w:szCs w:val="24"/>
          <w:lang w:val="en-US" w:eastAsia="zh-CN" w:bidi="ar-SA"/>
        </w:rPr>
        <w:t>对于分度值为</w:t>
      </w:r>
      <w:r>
        <w:rPr>
          <w:rFonts w:ascii="Times New Roman" w:hAnsi="Calibri" w:eastAsia="宋体" w:cs="Times New Roman"/>
          <w:i/>
          <w:iCs/>
          <w:kern w:val="2"/>
          <w:sz w:val="24"/>
          <w:szCs w:val="24"/>
          <w:lang w:val="en-US" w:eastAsia="zh-CN" w:bidi="ar-SA"/>
        </w:rPr>
        <w:t>d</w:t>
      </w:r>
      <w:r>
        <w:rPr>
          <w:rFonts w:ascii="Times New Roman" w:hAnsi="Calibri" w:eastAsia="宋体" w:cs="Times New Roman"/>
          <w:kern w:val="2"/>
          <w:sz w:val="24"/>
          <w:szCs w:val="24"/>
          <w:lang w:val="en-US" w:eastAsia="zh-CN" w:bidi="ar-SA"/>
        </w:rPr>
        <w:t>的控制衡器，可以采用在分度值之间插入闪变点的方法，确定控制衡器在化整前的示值。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对于控制衡器上某一确定的载荷</w:t>
      </w:r>
      <w:r>
        <w:rPr>
          <w:rFonts w:hint="eastAsia" w:ascii="宋体" w:hAnsi="宋体" w:eastAsia="宋体" w:cs="宋体"/>
          <w:i/>
          <w:iCs/>
          <w:kern w:val="2"/>
          <w:sz w:val="24"/>
          <w:szCs w:val="24"/>
          <w:lang w:val="en-US" w:eastAsia="zh-CN" w:bidi="ar-SA"/>
        </w:rPr>
        <w:t>L</w:t>
      </w:r>
      <w:r>
        <w:rPr>
          <w:rFonts w:hint="eastAsia" w:ascii="宋体" w:hAnsi="宋体" w:eastAsia="宋体" w:cs="宋体"/>
          <w:kern w:val="2"/>
          <w:sz w:val="24"/>
          <w:szCs w:val="24"/>
          <w:lang w:val="en-US" w:eastAsia="zh-CN" w:bidi="ar-SA"/>
        </w:rPr>
        <w:t>，其示值为</w:t>
      </w:r>
      <w:r>
        <w:rPr>
          <w:rFonts w:hint="eastAsia" w:ascii="宋体" w:hAnsi="宋体" w:eastAsia="宋体" w:cs="宋体"/>
          <w:i/>
          <w:iCs/>
          <w:kern w:val="2"/>
          <w:sz w:val="24"/>
          <w:szCs w:val="24"/>
          <w:lang w:val="en-US" w:eastAsia="zh-CN" w:bidi="ar-SA"/>
        </w:rPr>
        <w:t>I</w:t>
      </w:r>
      <w:r>
        <w:rPr>
          <w:rFonts w:hint="eastAsia" w:ascii="宋体" w:hAnsi="宋体" w:eastAsia="宋体" w:cs="宋体"/>
          <w:kern w:val="2"/>
          <w:sz w:val="24"/>
          <w:szCs w:val="24"/>
          <w:lang w:val="en-US" w:eastAsia="zh-CN" w:bidi="ar-SA"/>
        </w:rPr>
        <w:t>。逐一加放0.1</w:t>
      </w:r>
      <w:r>
        <w:rPr>
          <w:rFonts w:hint="eastAsia" w:ascii="宋体" w:hAnsi="宋体" w:eastAsia="宋体" w:cs="宋体"/>
          <w:i/>
          <w:iCs/>
          <w:kern w:val="2"/>
          <w:sz w:val="24"/>
          <w:szCs w:val="24"/>
          <w:lang w:val="en-US" w:eastAsia="zh-CN" w:bidi="ar-SA"/>
        </w:rPr>
        <w:t>d</w:t>
      </w:r>
      <w:r>
        <w:rPr>
          <w:rFonts w:hint="eastAsia" w:ascii="宋体" w:hAnsi="宋体" w:eastAsia="宋体" w:cs="宋体"/>
          <w:kern w:val="2"/>
          <w:sz w:val="24"/>
          <w:szCs w:val="24"/>
          <w:lang w:val="en-US" w:eastAsia="zh-CN" w:bidi="ar-SA"/>
        </w:rPr>
        <w:t>的附加砝码，直至示值明显地增加了一个，变成（</w:t>
      </w:r>
      <w:r>
        <w:rPr>
          <w:rFonts w:hint="eastAsia" w:ascii="宋体" w:hAnsi="宋体" w:eastAsia="宋体" w:cs="宋体"/>
          <w:i/>
          <w:iCs/>
          <w:kern w:val="2"/>
          <w:sz w:val="24"/>
          <w:szCs w:val="24"/>
          <w:lang w:val="en-US" w:eastAsia="zh-CN" w:bidi="ar-SA"/>
        </w:rPr>
        <w:t>I</w:t>
      </w:r>
      <w:r>
        <w:rPr>
          <w:rFonts w:hint="eastAsia" w:ascii="宋体" w:hAnsi="宋体" w:eastAsia="宋体" w:cs="宋体"/>
          <w:kern w:val="2"/>
          <w:sz w:val="24"/>
          <w:szCs w:val="24"/>
          <w:lang w:val="en-US" w:eastAsia="zh-CN" w:bidi="ar-SA"/>
        </w:rPr>
        <w:t>+</w:t>
      </w:r>
      <w:r>
        <w:rPr>
          <w:rFonts w:hint="eastAsia" w:ascii="宋体" w:hAnsi="宋体" w:eastAsia="宋体" w:cs="宋体"/>
          <w:i/>
          <w:iCs/>
          <w:kern w:val="2"/>
          <w:sz w:val="24"/>
          <w:szCs w:val="24"/>
          <w:lang w:val="en-US" w:eastAsia="zh-CN" w:bidi="ar-SA"/>
        </w:rPr>
        <w:t>d</w:t>
      </w:r>
      <w:r>
        <w:rPr>
          <w:rFonts w:hint="eastAsia" w:ascii="宋体" w:hAnsi="宋体" w:eastAsia="宋体" w:cs="宋体"/>
          <w:kern w:val="2"/>
          <w:sz w:val="24"/>
          <w:szCs w:val="24"/>
          <w:lang w:val="en-US" w:eastAsia="zh-CN" w:bidi="ar-SA"/>
        </w:rPr>
        <w:t>)。所加的附加砝码为Δ</w:t>
      </w:r>
      <w:r>
        <w:rPr>
          <w:rFonts w:hint="eastAsia" w:ascii="宋体" w:hAnsi="宋体" w:eastAsia="宋体" w:cs="宋体"/>
          <w:i/>
          <w:iCs/>
          <w:kern w:val="2"/>
          <w:sz w:val="24"/>
          <w:szCs w:val="24"/>
          <w:lang w:val="en-US" w:eastAsia="zh-CN" w:bidi="ar-SA"/>
        </w:rPr>
        <w:t>L</w:t>
      </w:r>
      <w:r>
        <w:rPr>
          <w:rFonts w:hint="eastAsia" w:ascii="宋体" w:hAnsi="宋体" w:eastAsia="宋体" w:cs="宋体"/>
          <w:kern w:val="2"/>
          <w:sz w:val="24"/>
          <w:szCs w:val="24"/>
          <w:lang w:val="en-US" w:eastAsia="zh-CN" w:bidi="ar-SA"/>
        </w:rPr>
        <w:t>，化整前的示值为</w:t>
      </w:r>
      <w:r>
        <w:rPr>
          <w:rFonts w:hint="eastAsia" w:ascii="宋体" w:hAnsi="宋体" w:eastAsia="宋体" w:cs="宋体"/>
          <w:i/>
          <w:iCs/>
          <w:kern w:val="2"/>
          <w:sz w:val="24"/>
          <w:szCs w:val="24"/>
          <w:lang w:val="en-US" w:eastAsia="zh-CN" w:bidi="ar-SA"/>
        </w:rPr>
        <w:t>P</w:t>
      </w:r>
      <w:r>
        <w:rPr>
          <w:rFonts w:hint="eastAsia" w:ascii="宋体" w:hAnsi="宋体" w:eastAsia="宋体" w:cs="宋体"/>
          <w:kern w:val="2"/>
          <w:sz w:val="24"/>
          <w:szCs w:val="24"/>
          <w:lang w:val="en-US" w:eastAsia="zh-CN" w:bidi="ar-SA"/>
        </w:rPr>
        <w:t>，则</w:t>
      </w:r>
      <w:r>
        <w:rPr>
          <w:rFonts w:hint="eastAsia" w:ascii="宋体" w:hAnsi="宋体" w:eastAsia="宋体" w:cs="宋体"/>
          <w:i/>
          <w:iCs/>
          <w:kern w:val="2"/>
          <w:sz w:val="24"/>
          <w:szCs w:val="24"/>
          <w:lang w:val="en-US" w:eastAsia="zh-CN" w:bidi="ar-SA"/>
        </w:rPr>
        <w:t>P</w:t>
      </w:r>
      <w:r>
        <w:rPr>
          <w:rFonts w:hint="eastAsia" w:ascii="宋体" w:hAnsi="宋体" w:eastAsia="宋体" w:cs="宋体"/>
          <w:kern w:val="2"/>
          <w:sz w:val="24"/>
          <w:szCs w:val="24"/>
          <w:lang w:val="en-US" w:eastAsia="zh-CN" w:bidi="ar-SA"/>
        </w:rPr>
        <w:t>由下列公式给出：</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kern w:val="2"/>
          <w:sz w:val="24"/>
          <w:szCs w:val="24"/>
          <w:lang w:val="en-US" w:eastAsia="zh-CN" w:bidi="ar-SA"/>
        </w:rPr>
      </w:pPr>
      <w:r>
        <w:rPr>
          <w:rFonts w:hint="eastAsia" w:ascii="宋体" w:hAnsi="宋体" w:eastAsia="宋体" w:cs="宋体"/>
          <w:i/>
          <w:iCs/>
          <w:kern w:val="2"/>
          <w:sz w:val="24"/>
          <w:szCs w:val="24"/>
          <w:lang w:val="en-US" w:eastAsia="zh-CN" w:bidi="ar-SA"/>
        </w:rPr>
        <w:t>P</w:t>
      </w:r>
      <w:r>
        <w:rPr>
          <w:rFonts w:hint="eastAsia" w:ascii="宋体" w:hAnsi="宋体" w:eastAsia="宋体" w:cs="宋体"/>
          <w:kern w:val="2"/>
          <w:sz w:val="24"/>
          <w:szCs w:val="24"/>
          <w:lang w:val="en-US" w:eastAsia="zh-CN" w:bidi="ar-SA"/>
        </w:rPr>
        <w:t>=</w:t>
      </w:r>
      <w:r>
        <w:rPr>
          <w:rFonts w:hint="eastAsia" w:ascii="宋体" w:hAnsi="宋体" w:eastAsia="宋体" w:cs="宋体"/>
          <w:i/>
          <w:iCs/>
          <w:kern w:val="2"/>
          <w:sz w:val="24"/>
          <w:szCs w:val="24"/>
          <w:lang w:val="en-US" w:eastAsia="zh-CN" w:bidi="ar-SA"/>
        </w:rPr>
        <w:t>I</w:t>
      </w:r>
      <w:r>
        <w:rPr>
          <w:rFonts w:hint="eastAsia" w:ascii="宋体" w:hAnsi="宋体" w:eastAsia="宋体" w:cs="宋体"/>
          <w:kern w:val="2"/>
          <w:sz w:val="24"/>
          <w:szCs w:val="24"/>
          <w:lang w:val="en-US" w:eastAsia="zh-CN" w:bidi="ar-SA"/>
        </w:rPr>
        <w:t>+0.5</w:t>
      </w:r>
      <w:r>
        <w:rPr>
          <w:rFonts w:hint="eastAsia" w:ascii="宋体" w:hAnsi="宋体" w:eastAsia="宋体" w:cs="宋体"/>
          <w:i/>
          <w:iCs/>
          <w:kern w:val="2"/>
          <w:sz w:val="24"/>
          <w:szCs w:val="24"/>
          <w:lang w:val="en-US" w:eastAsia="zh-CN" w:bidi="ar-SA"/>
        </w:rPr>
        <w:t>d</w:t>
      </w:r>
      <w:r>
        <w:rPr>
          <w:rFonts w:hint="eastAsia" w:ascii="宋体" w:hAnsi="宋体" w:eastAsia="宋体" w:cs="宋体"/>
          <w:kern w:val="2"/>
          <w:sz w:val="24"/>
          <w:szCs w:val="24"/>
          <w:lang w:val="en-US" w:eastAsia="zh-CN" w:bidi="ar-SA"/>
        </w:rPr>
        <w:t>-Δ</w:t>
      </w:r>
      <w:r>
        <w:rPr>
          <w:rFonts w:hint="eastAsia" w:ascii="宋体" w:hAnsi="宋体" w:eastAsia="宋体" w:cs="宋体"/>
          <w:i/>
          <w:iCs/>
          <w:kern w:val="2"/>
          <w:sz w:val="24"/>
          <w:szCs w:val="24"/>
          <w:lang w:val="en-US" w:eastAsia="zh-CN" w:bidi="ar-SA"/>
        </w:rPr>
        <w:t>L</w:t>
      </w:r>
      <w:r>
        <w:rPr>
          <w:rFonts w:hint="eastAsia" w:ascii="宋体" w:hAnsi="宋体" w:eastAsia="宋体" w:cs="宋体"/>
          <w:kern w:val="2"/>
          <w:sz w:val="24"/>
          <w:szCs w:val="24"/>
          <w:lang w:val="en-US" w:eastAsia="zh-CN" w:bidi="ar-SA"/>
        </w:rPr>
        <w:t xml:space="preserve">                                                 (7.1)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化整前的误差为：</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kern w:val="2"/>
          <w:sz w:val="24"/>
          <w:szCs w:val="24"/>
          <w:lang w:val="en-US" w:eastAsia="zh-CN" w:bidi="ar-SA"/>
        </w:rPr>
      </w:pPr>
      <w:r>
        <w:rPr>
          <w:rFonts w:hint="eastAsia" w:ascii="宋体" w:hAnsi="宋体" w:eastAsia="宋体" w:cs="宋体"/>
          <w:i/>
          <w:iCs/>
          <w:kern w:val="2"/>
          <w:sz w:val="24"/>
          <w:szCs w:val="24"/>
          <w:lang w:val="en-US" w:eastAsia="zh-CN" w:bidi="ar-SA"/>
        </w:rPr>
        <w:t>E</w:t>
      </w:r>
      <w:r>
        <w:rPr>
          <w:rFonts w:hint="eastAsia" w:ascii="宋体" w:hAnsi="宋体" w:eastAsia="宋体" w:cs="宋体"/>
          <w:i w:val="0"/>
          <w:iCs w:val="0"/>
          <w:kern w:val="2"/>
          <w:sz w:val="24"/>
          <w:szCs w:val="24"/>
          <w:lang w:val="en-US" w:eastAsia="zh-CN" w:bidi="ar-SA"/>
        </w:rPr>
        <w:t>=</w:t>
      </w:r>
      <w:r>
        <w:rPr>
          <w:rFonts w:hint="eastAsia" w:ascii="宋体" w:hAnsi="宋体" w:eastAsia="宋体" w:cs="宋体"/>
          <w:i/>
          <w:iCs/>
          <w:kern w:val="2"/>
          <w:sz w:val="24"/>
          <w:szCs w:val="24"/>
          <w:lang w:val="en-US" w:eastAsia="zh-CN" w:bidi="ar-SA"/>
        </w:rPr>
        <w:t>P-L</w:t>
      </w:r>
      <w:r>
        <w:rPr>
          <w:rFonts w:hint="eastAsia" w:ascii="宋体" w:hAnsi="宋体" w:eastAsia="宋体" w:cs="宋体"/>
          <w:i w:val="0"/>
          <w:iCs w:val="0"/>
          <w:kern w:val="2"/>
          <w:sz w:val="24"/>
          <w:szCs w:val="24"/>
          <w:lang w:val="en-US" w:eastAsia="zh-CN" w:bidi="ar-SA"/>
        </w:rPr>
        <w:t>=</w:t>
      </w:r>
      <w:r>
        <w:rPr>
          <w:rFonts w:hint="eastAsia" w:ascii="宋体" w:hAnsi="宋体" w:eastAsia="宋体" w:cs="宋体"/>
          <w:i/>
          <w:iCs/>
          <w:kern w:val="2"/>
          <w:sz w:val="24"/>
          <w:szCs w:val="24"/>
          <w:lang w:val="en-US" w:eastAsia="zh-CN" w:bidi="ar-SA"/>
        </w:rPr>
        <w:t>I</w:t>
      </w:r>
      <w:r>
        <w:rPr>
          <w:rFonts w:hint="eastAsia" w:ascii="宋体" w:hAnsi="宋体" w:eastAsia="宋体" w:cs="宋体"/>
          <w:i w:val="0"/>
          <w:iCs w:val="0"/>
          <w:kern w:val="2"/>
          <w:sz w:val="24"/>
          <w:szCs w:val="24"/>
          <w:lang w:val="en-US" w:eastAsia="zh-CN" w:bidi="ar-SA"/>
        </w:rPr>
        <w:t>+0.5</w:t>
      </w:r>
      <w:r>
        <w:rPr>
          <w:rFonts w:hint="eastAsia" w:ascii="宋体" w:hAnsi="宋体" w:eastAsia="宋体" w:cs="宋体"/>
          <w:i/>
          <w:iCs/>
          <w:kern w:val="2"/>
          <w:sz w:val="24"/>
          <w:szCs w:val="24"/>
          <w:lang w:val="en-US" w:eastAsia="zh-CN" w:bidi="ar-SA"/>
        </w:rPr>
        <w:t>d</w:t>
      </w:r>
      <w:r>
        <w:rPr>
          <w:rFonts w:hint="eastAsia" w:ascii="宋体" w:hAnsi="宋体" w:eastAsia="宋体" w:cs="宋体"/>
          <w:i w:val="0"/>
          <w:iCs w:val="0"/>
          <w:kern w:val="2"/>
          <w:sz w:val="24"/>
          <w:szCs w:val="24"/>
          <w:lang w:val="en-US" w:eastAsia="zh-CN" w:bidi="ar-SA"/>
        </w:rPr>
        <w:t>-</w:t>
      </w:r>
      <w:r>
        <w:rPr>
          <w:rFonts w:hint="eastAsia" w:ascii="宋体" w:hAnsi="宋体" w:eastAsia="宋体" w:cs="宋体"/>
          <w:i/>
          <w:iCs/>
          <w:kern w:val="2"/>
          <w:sz w:val="24"/>
          <w:szCs w:val="24"/>
          <w:lang w:val="en-US" w:eastAsia="zh-CN" w:bidi="ar-SA"/>
        </w:rPr>
        <w:t>ΔL-</w:t>
      </w:r>
      <w:r>
        <w:rPr>
          <w:rFonts w:hint="eastAsia" w:ascii="宋体" w:hAnsi="宋体" w:cs="宋体"/>
          <w:i/>
          <w:iCs/>
          <w:kern w:val="2"/>
          <w:sz w:val="24"/>
          <w:szCs w:val="24"/>
          <w:lang w:val="en-US" w:eastAsia="zh-CN" w:bidi="ar-SA"/>
        </w:rPr>
        <w:t xml:space="preserve"> </w:t>
      </w:r>
      <w:r>
        <w:rPr>
          <w:rFonts w:hint="eastAsia" w:ascii="宋体" w:hAnsi="宋体" w:eastAsia="宋体" w:cs="宋体"/>
          <w:i/>
          <w:iCs/>
          <w:kern w:val="2"/>
          <w:sz w:val="24"/>
          <w:szCs w:val="24"/>
          <w:lang w:val="en-US" w:eastAsia="zh-CN" w:bidi="ar-SA"/>
        </w:rPr>
        <w:t xml:space="preserve">L </w:t>
      </w:r>
      <w:r>
        <w:rPr>
          <w:rFonts w:hint="eastAsia" w:ascii="宋体" w:hAnsi="宋体" w:eastAsia="宋体" w:cs="宋体"/>
          <w:kern w:val="2"/>
          <w:sz w:val="24"/>
          <w:szCs w:val="24"/>
          <w:lang w:val="en-US" w:eastAsia="zh-CN" w:bidi="ar-SA"/>
        </w:rPr>
        <w:t xml:space="preserve">                                        (7.2)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示例：一台d=20g的控制衡器，加放30kg的载荷，示值为30000g.逐一加放 2g的砝码，示值由30000g变为30020g时，附加砝码为6g，代入上述公式得：</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i/>
          <w:iCs/>
          <w:kern w:val="2"/>
          <w:sz w:val="24"/>
          <w:szCs w:val="24"/>
          <w:lang w:val="en-US" w:eastAsia="zh-CN" w:bidi="ar-SA"/>
        </w:rPr>
        <w:t>P</w:t>
      </w:r>
      <w:r>
        <w:rPr>
          <w:rFonts w:hint="eastAsia" w:ascii="宋体" w:hAnsi="宋体" w:eastAsia="宋体" w:cs="宋体"/>
          <w:kern w:val="2"/>
          <w:sz w:val="24"/>
          <w:szCs w:val="24"/>
          <w:lang w:val="en-US" w:eastAsia="zh-CN" w:bidi="ar-SA"/>
        </w:rPr>
        <w:t>=(30000+10-6)g=30004g</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因此，化整前的实际示值为30004g，化整前的示值误差为：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rPr>
      </w:pPr>
      <w:r>
        <w:rPr>
          <w:rFonts w:hint="eastAsia" w:ascii="宋体" w:hAnsi="宋体" w:eastAsia="宋体" w:cs="宋体"/>
          <w:i/>
          <w:iCs/>
          <w:lang w:val="en-US" w:eastAsia="zh-CN"/>
        </w:rPr>
        <w:t>E</w:t>
      </w:r>
      <w:r>
        <w:rPr>
          <w:rFonts w:hint="eastAsia" w:ascii="宋体" w:hAnsi="宋体" w:eastAsia="宋体" w:cs="宋体"/>
        </w:rPr>
        <w:t>=(30004-30000)g=+4g</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rPr>
      </w:pPr>
      <w:r>
        <w:rPr>
          <w:rFonts w:hint="eastAsia" w:ascii="宋体" w:hAnsi="宋体" w:eastAsia="宋体" w:cs="宋体"/>
        </w:rPr>
        <w:t>7</w:t>
      </w:r>
      <w:r>
        <w:rPr>
          <w:rFonts w:hint="eastAsia" w:ascii="宋体" w:hAnsi="宋体" w:eastAsia="宋体" w:cs="宋体"/>
          <w:lang w:val="en-US" w:eastAsia="zh-CN"/>
        </w:rPr>
        <w:t>.</w:t>
      </w:r>
      <w:r>
        <w:rPr>
          <w:rFonts w:hint="eastAsia" w:ascii="宋体" w:hAnsi="宋体" w:eastAsia="宋体" w:cs="宋体"/>
        </w:rPr>
        <w:t>4.1.2 零点误差的修正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用7</w:t>
      </w:r>
      <w:r>
        <w:rPr>
          <w:rFonts w:hint="eastAsia" w:ascii="宋体" w:hAnsi="宋体" w:eastAsia="宋体" w:cs="宋体"/>
          <w:lang w:val="en-US" w:eastAsia="zh-CN"/>
        </w:rPr>
        <w:t>.</w:t>
      </w:r>
      <w:r>
        <w:rPr>
          <w:rFonts w:hint="eastAsia" w:ascii="宋体" w:hAnsi="宋体" w:eastAsia="宋体" w:cs="宋体"/>
        </w:rPr>
        <w:t>4.1中的方法来计算零载荷的误差</w:t>
      </w:r>
      <w:r>
        <w:rPr>
          <w:rFonts w:hint="eastAsia" w:ascii="宋体" w:hAnsi="宋体" w:eastAsia="宋体" w:cs="宋体"/>
          <w:i/>
          <w:iCs/>
        </w:rPr>
        <w:t>E</w:t>
      </w:r>
      <w:r>
        <w:rPr>
          <w:rFonts w:hint="eastAsia" w:ascii="宋体" w:hAnsi="宋体" w:eastAsia="宋体" w:cs="宋体"/>
          <w:vertAlign w:val="subscript"/>
          <w:lang w:val="en-US" w:eastAsia="zh-CN"/>
        </w:rPr>
        <w:t>0</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用7</w:t>
      </w:r>
      <w:r>
        <w:rPr>
          <w:rFonts w:hint="eastAsia" w:ascii="宋体" w:hAnsi="宋体" w:eastAsia="宋体" w:cs="宋体"/>
          <w:lang w:val="en-US" w:eastAsia="zh-CN"/>
        </w:rPr>
        <w:t>.</w:t>
      </w:r>
      <w:r>
        <w:rPr>
          <w:rFonts w:hint="eastAsia" w:ascii="宋体" w:hAnsi="宋体" w:eastAsia="宋体" w:cs="宋体"/>
        </w:rPr>
        <w:t>4.1中的方法来计算载荷为</w:t>
      </w:r>
      <w:r>
        <w:rPr>
          <w:rFonts w:hint="eastAsia" w:ascii="宋体" w:hAnsi="宋体" w:eastAsia="宋体" w:cs="宋体"/>
          <w:i/>
          <w:iCs/>
        </w:rPr>
        <w:t>L</w:t>
      </w:r>
      <w:r>
        <w:rPr>
          <w:rFonts w:hint="eastAsia" w:ascii="宋体" w:hAnsi="宋体" w:eastAsia="宋体" w:cs="宋体"/>
        </w:rPr>
        <w:t>的误差</w:t>
      </w:r>
      <w:r>
        <w:rPr>
          <w:rFonts w:hint="eastAsia" w:ascii="宋体" w:hAnsi="宋体" w:eastAsia="宋体" w:cs="宋体"/>
          <w:i/>
          <w:iCs/>
        </w:rPr>
        <w:t>E</w:t>
      </w:r>
      <w:r>
        <w:rPr>
          <w:rFonts w:hint="eastAsia" w:ascii="宋体" w:hAnsi="宋体" w:eastAsia="宋体" w:cs="宋体"/>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化整前的修正误差E</w:t>
      </w:r>
      <w:r>
        <w:rPr>
          <w:rFonts w:hint="eastAsia" w:ascii="宋体" w:hAnsi="宋体" w:cs="宋体"/>
          <w:vertAlign w:val="subscript"/>
          <w:lang w:val="en-US" w:eastAsia="zh-CN"/>
        </w:rPr>
        <w:t>c</w:t>
      </w:r>
      <w:r>
        <w:rPr>
          <w:rFonts w:hint="eastAsia" w:ascii="宋体" w:hAnsi="宋体" w:eastAsia="宋体" w:cs="宋体"/>
        </w:rPr>
        <w:t>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rPr>
      </w:pPr>
      <w:r>
        <w:rPr>
          <w:rFonts w:hint="eastAsia" w:ascii="宋体" w:hAnsi="宋体" w:cs="宋体"/>
          <w:lang w:val="en-US" w:eastAsia="zh-CN"/>
        </w:rPr>
        <w:t xml:space="preserve">           </w:t>
      </w:r>
      <w:r>
        <w:rPr>
          <w:rFonts w:hint="eastAsia" w:ascii="宋体" w:hAnsi="宋体" w:eastAsia="宋体" w:cs="宋体"/>
        </w:rPr>
        <w:t>E</w:t>
      </w:r>
      <w:r>
        <w:rPr>
          <w:rFonts w:hint="eastAsia" w:ascii="宋体" w:hAnsi="宋体" w:cs="宋体"/>
          <w:vertAlign w:val="subscript"/>
          <w:lang w:val="en-US" w:eastAsia="zh-CN"/>
        </w:rPr>
        <w:t>c</w:t>
      </w:r>
      <w:r>
        <w:rPr>
          <w:rFonts w:hint="eastAsia" w:ascii="宋体" w:hAnsi="宋体" w:cs="宋体"/>
          <w:lang w:val="en-US" w:eastAsia="zh-CN"/>
        </w:rPr>
        <w:t>=</w:t>
      </w:r>
      <w:r>
        <w:rPr>
          <w:rFonts w:hint="eastAsia" w:ascii="宋体" w:hAnsi="宋体" w:eastAsia="宋体" w:cs="宋体"/>
          <w:i/>
          <w:iCs/>
        </w:rPr>
        <w:t>E</w:t>
      </w:r>
      <w:r>
        <w:rPr>
          <w:rFonts w:hint="eastAsia" w:ascii="宋体" w:hAnsi="宋体" w:eastAsia="宋体" w:cs="宋体"/>
        </w:rPr>
        <w:t>-</w:t>
      </w:r>
      <w:r>
        <w:rPr>
          <w:rFonts w:hint="eastAsia" w:ascii="宋体" w:hAnsi="宋体" w:eastAsia="宋体" w:cs="宋体"/>
          <w:i/>
          <w:iCs/>
        </w:rPr>
        <w:t>E</w:t>
      </w:r>
      <w:r>
        <w:rPr>
          <w:rFonts w:hint="eastAsia" w:ascii="宋体" w:hAnsi="宋体" w:eastAsia="宋体" w:cs="宋体"/>
          <w:vertAlign w:val="subscript"/>
          <w:lang w:val="en-US" w:eastAsia="zh-CN"/>
        </w:rPr>
        <w:t>0</w:t>
      </w:r>
      <w:r>
        <w:rPr>
          <w:rFonts w:hint="eastAsia" w:ascii="宋体" w:hAnsi="宋体" w:eastAsia="宋体" w:cs="宋体"/>
        </w:rPr>
        <w:t xml:space="preserve"> </w:t>
      </w:r>
      <w:r>
        <w:rPr>
          <w:rFonts w:hint="eastAsia" w:ascii="宋体" w:hAnsi="宋体" w:cs="宋体"/>
          <w:lang w:val="en-US" w:eastAsia="zh-CN"/>
        </w:rPr>
        <w:t xml:space="preserve">                                                  </w:t>
      </w:r>
      <w:r>
        <w:rPr>
          <w:rFonts w:hint="eastAsia" w:ascii="宋体" w:hAnsi="宋体" w:eastAsia="宋体" w:cs="宋体"/>
        </w:rPr>
        <w:t>(7</w:t>
      </w:r>
      <w:r>
        <w:rPr>
          <w:rFonts w:hint="eastAsia" w:ascii="宋体" w:hAnsi="宋体" w:cs="宋体"/>
          <w:lang w:val="en-US" w:eastAsia="zh-CN"/>
        </w:rPr>
        <w:t>.</w:t>
      </w:r>
      <w:r>
        <w:rPr>
          <w:rFonts w:hint="eastAsia" w:ascii="宋体" w:hAnsi="宋体" w:eastAsia="宋体" w:cs="宋体"/>
        </w:rPr>
        <w:t>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示例：如果对于7.4.1中的例子，零载荷的误差为：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rPr>
      </w:pPr>
      <w:r>
        <w:rPr>
          <w:rFonts w:hint="eastAsia" w:ascii="宋体" w:hAnsi="宋体" w:eastAsia="宋体" w:cs="宋体"/>
          <w:i/>
          <w:iCs/>
        </w:rPr>
        <w:t>E</w:t>
      </w:r>
      <w:r>
        <w:rPr>
          <w:rFonts w:hint="eastAsia" w:ascii="宋体" w:hAnsi="宋体" w:eastAsia="宋体" w:cs="宋体"/>
          <w:vertAlign w:val="subscript"/>
          <w:lang w:val="en-US" w:eastAsia="zh-CN"/>
        </w:rPr>
        <w:t>0</w:t>
      </w:r>
      <w:r>
        <w:rPr>
          <w:rFonts w:hint="eastAsia" w:ascii="宋体" w:hAnsi="宋体" w:eastAsia="宋体" w:cs="宋体"/>
        </w:rPr>
        <w:t xml:space="preserve"> =+2g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修正误差为：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lang w:val="en-US" w:eastAsia="zh-CN"/>
        </w:rPr>
      </w:pPr>
      <w:r>
        <w:rPr>
          <w:rFonts w:hint="eastAsia" w:ascii="宋体" w:hAnsi="宋体" w:eastAsia="宋体" w:cs="宋体"/>
          <w:i/>
          <w:iCs/>
        </w:rPr>
        <w:t>E</w:t>
      </w:r>
      <w:r>
        <w:rPr>
          <w:rFonts w:hint="eastAsia" w:ascii="宋体" w:hAnsi="宋体" w:eastAsia="宋体" w:cs="宋体"/>
        </w:rPr>
        <w:t>=+4-(+2)=</w:t>
      </w:r>
      <w:r>
        <w:rPr>
          <w:rFonts w:hint="eastAsia" w:ascii="宋体" w:hAnsi="宋体" w:cs="宋体"/>
          <w:lang w:val="en-US" w:eastAsia="zh-CN"/>
        </w:rPr>
        <w:t>2g</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rPr>
      </w:pPr>
      <w:r>
        <w:rPr>
          <w:rFonts w:hint="eastAsia" w:ascii="Times New Roman" w:hAnsi="Calibri" w:eastAsia="宋体" w:cs="Times New Roman"/>
          <w:kern w:val="2"/>
          <w:sz w:val="24"/>
          <w:szCs w:val="24"/>
          <w:lang w:val="en-US" w:eastAsia="zh-CN" w:bidi="ar-SA"/>
        </w:rPr>
        <w:t xml:space="preserve">7.4.2 </w:t>
      </w:r>
      <w:r>
        <w:rPr>
          <w:rFonts w:hint="eastAsia" w:ascii="宋体" w:hAnsi="宋体" w:eastAsia="宋体" w:cs="宋体"/>
        </w:rPr>
        <w:t>置零准确度</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rPr>
      </w:pPr>
      <w:r>
        <w:rPr>
          <w:rFonts w:hint="eastAsia" w:ascii="宋体" w:hAnsi="宋体" w:eastAsia="宋体" w:cs="宋体"/>
        </w:rPr>
        <w:t>当承载器空</w:t>
      </w:r>
      <w:r>
        <w:rPr>
          <w:rFonts w:hint="eastAsia" w:ascii="宋体" w:hAnsi="宋体" w:cs="宋体"/>
          <w:lang w:eastAsia="zh-CN"/>
        </w:rPr>
        <w:t>载</w:t>
      </w:r>
      <w:r>
        <w:rPr>
          <w:rFonts w:hint="eastAsia" w:ascii="宋体" w:hAnsi="宋体" w:eastAsia="宋体" w:cs="宋体"/>
        </w:rPr>
        <w:t>时，使自动灌装秤置零，向承载器上加小砝码，以确定从零点到零点之上一个分度值的变化所需的附加小砝码值，按照7.4.1的方法计算零点误差。</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rPr>
      </w:pPr>
      <w:r>
        <w:rPr>
          <w:rFonts w:hint="eastAsia" w:ascii="Times New Roman" w:hAnsi="Calibri" w:eastAsia="宋体" w:cs="Times New Roman"/>
          <w:kern w:val="2"/>
          <w:sz w:val="24"/>
          <w:szCs w:val="24"/>
          <w:lang w:val="en-US" w:eastAsia="zh-CN" w:bidi="ar-SA"/>
        </w:rPr>
        <w:t xml:space="preserve">7.4.3 </w:t>
      </w:r>
      <w:r>
        <w:rPr>
          <w:rFonts w:hint="eastAsia" w:ascii="宋体" w:hAnsi="宋体" w:eastAsia="宋体" w:cs="宋体"/>
        </w:rPr>
        <w:t>除皮准确度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宋体" w:hAnsi="宋体" w:eastAsia="宋体" w:cs="宋体"/>
        </w:rPr>
        <w:t>当承载器上有载荷时，使用除皮装置将自动灌装秤置零，向承载器上加小砝码，以确定</w:t>
      </w:r>
      <w:r>
        <w:t>从零点到零点之上一个分度值的变化所需的附加小砝码值，按照7.4.1 的方法计算零点误差。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7.4.4 集成控制器的静态称量误差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集成校准法，应在灌装试验前按以下方法确定装料衡器的静态称量性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静态称量校准的秤量点应包括灌装待定的所有校准点。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从零点起逐步施加校准载荷至各秤量点，并逆顺序卸下校准载荷至零点。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注意，加、卸载荷时应分别逐渐地递增或递减。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若分度值d过大，应采用7.4.1.1的方法确定每个秤量点的误差。</w:t>
      </w:r>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lang w:val="en-US" w:eastAsia="zh-CN"/>
        </w:rPr>
        <w:t>所有秤量点的静态称量误差应符合本规程表示的规定。</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pPr>
      <w:r>
        <w:t>7.4</w:t>
      </w:r>
      <w:r>
        <w:rPr>
          <w:rFonts w:hint="eastAsia"/>
          <w:lang w:val="en-US" w:eastAsia="zh-CN"/>
        </w:rPr>
        <w:t>.5</w:t>
      </w:r>
      <w:r>
        <w:t xml:space="preserve"> 重复性测试</w:t>
      </w:r>
    </w:p>
    <w:p>
      <w:pPr>
        <w:spacing w:line="360" w:lineRule="auto"/>
        <w:ind w:firstLine="480" w:firstLineChars="200"/>
        <w:rPr>
          <w:rFonts w:hint="eastAsia" w:ascii="宋体" w:hAnsi="宋体" w:eastAsia="宋体" w:cs="宋体"/>
          <w:i w:val="0"/>
          <w:iCs w:val="0"/>
          <w:sz w:val="24"/>
        </w:rPr>
      </w:pPr>
      <w:r>
        <w:rPr>
          <w:rFonts w:hint="eastAsia" w:ascii="宋体" w:hAnsi="宋体" w:eastAsia="宋体" w:cs="宋体"/>
          <w:i w:val="0"/>
          <w:iCs w:val="0"/>
          <w:sz w:val="24"/>
        </w:rPr>
        <w:t>用1/2Max的载荷在承载器上进行3次称量。每次称量前应将人体秤示值调至零点位置。</w:t>
      </w:r>
    </w:p>
    <w:p>
      <w:pPr>
        <w:spacing w:line="360" w:lineRule="auto"/>
        <w:ind w:firstLine="480" w:firstLineChars="200"/>
        <w:rPr>
          <w:rFonts w:hint="eastAsia" w:ascii="宋体" w:hAnsi="宋体" w:eastAsia="宋体" w:cs="宋体"/>
          <w:i w:val="0"/>
          <w:iCs w:val="0"/>
          <w:sz w:val="24"/>
        </w:rPr>
      </w:pPr>
      <w:r>
        <w:rPr>
          <w:rFonts w:hint="eastAsia" w:ascii="宋体" w:hAnsi="宋体" w:eastAsia="宋体" w:cs="宋体"/>
          <w:i w:val="0"/>
          <w:iCs w:val="0"/>
          <w:sz w:val="24"/>
        </w:rPr>
        <w:t>按照公式（</w:t>
      </w:r>
      <w:r>
        <w:rPr>
          <w:rFonts w:hint="eastAsia" w:ascii="宋体" w:hAnsi="宋体" w:cs="宋体"/>
          <w:i w:val="0"/>
          <w:iCs w:val="0"/>
          <w:sz w:val="24"/>
          <w:lang w:val="en-US" w:eastAsia="zh-CN"/>
        </w:rPr>
        <w:t>7.4</w:t>
      </w:r>
      <w:r>
        <w:rPr>
          <w:rFonts w:hint="eastAsia" w:ascii="宋体" w:hAnsi="宋体" w:eastAsia="宋体" w:cs="宋体"/>
          <w:i w:val="0"/>
          <w:iCs w:val="0"/>
          <w:sz w:val="24"/>
        </w:rPr>
        <w:t>）计算重复性。</w:t>
      </w:r>
    </w:p>
    <w:p>
      <w:pPr>
        <w:tabs>
          <w:tab w:val="center" w:pos="4200"/>
          <w:tab w:val="right" w:pos="8400"/>
        </w:tabs>
        <w:spacing w:line="360" w:lineRule="auto"/>
        <w:ind w:firstLine="3360" w:firstLineChars="1400"/>
        <w:rPr>
          <w:rFonts w:hint="eastAsia" w:ascii="宋体" w:hAnsi="宋体" w:eastAsia="宋体" w:cs="宋体"/>
          <w:i w:val="0"/>
          <w:iCs w:val="0"/>
          <w:sz w:val="24"/>
        </w:rPr>
      </w:pPr>
      <w:r>
        <w:rPr>
          <w:rFonts w:hint="eastAsia" w:ascii="宋体" w:hAnsi="宋体" w:eastAsia="宋体" w:cs="宋体"/>
          <w:i w:val="0"/>
          <w:iCs w:val="0"/>
          <w:sz w:val="24"/>
        </w:rPr>
        <w:tab/>
      </w:r>
      <m:oMath>
        <m:r>
          <m:rPr>
            <m:sty m:val="p"/>
          </m:rPr>
          <w:rPr>
            <w:rFonts w:hint="default" w:ascii="Cambria Math" w:hAnsi="Cambria Math" w:eastAsia="宋体" w:cs="宋体"/>
            <w:sz w:val="24"/>
          </w:rPr>
          <m:t>R=</m:t>
        </m:r>
        <m:sSub>
          <m:sSubPr>
            <m:ctrlPr>
              <w:rPr>
                <w:rFonts w:hint="eastAsia" w:ascii="Cambria Math" w:hAnsi="Cambria Math" w:eastAsia="宋体" w:cs="宋体"/>
                <w:i w:val="0"/>
                <w:iCs w:val="0"/>
                <w:sz w:val="24"/>
              </w:rPr>
            </m:ctrlPr>
          </m:sSubPr>
          <m:e>
            <m:r>
              <m:rPr>
                <m:sty m:val="p"/>
              </m:rPr>
              <w:rPr>
                <w:rFonts w:hint="default" w:ascii="Cambria Math" w:hAnsi="Cambria Math" w:eastAsia="宋体" w:cs="宋体"/>
                <w:sz w:val="24"/>
              </w:rPr>
              <m:t>I</m:t>
            </m:r>
            <m:ctrlPr>
              <w:rPr>
                <w:rFonts w:hint="eastAsia" w:ascii="Cambria Math" w:hAnsi="Cambria Math" w:eastAsia="宋体" w:cs="宋体"/>
                <w:i w:val="0"/>
                <w:iCs w:val="0"/>
                <w:sz w:val="24"/>
              </w:rPr>
            </m:ctrlPr>
          </m:e>
          <m:sub>
            <m:r>
              <m:rPr>
                <m:sty m:val="p"/>
              </m:rPr>
              <w:rPr>
                <w:rFonts w:hint="default" w:ascii="Cambria Math" w:hAnsi="Cambria Math" w:eastAsia="宋体" w:cs="宋体"/>
                <w:sz w:val="24"/>
              </w:rPr>
              <m:t>max</m:t>
            </m:r>
            <m:ctrlPr>
              <w:rPr>
                <w:rFonts w:hint="eastAsia" w:ascii="Cambria Math" w:hAnsi="Cambria Math" w:eastAsia="宋体" w:cs="宋体"/>
                <w:i w:val="0"/>
                <w:iCs w:val="0"/>
                <w:sz w:val="24"/>
              </w:rPr>
            </m:ctrlPr>
          </m:sub>
        </m:sSub>
        <m:r>
          <m:rPr>
            <m:sty m:val="p"/>
          </m:rPr>
          <w:rPr>
            <w:rFonts w:hint="eastAsia" w:ascii="Cambria Math" w:hAnsi="Cambria Math" w:eastAsia="宋体" w:cs="宋体"/>
            <w:sz w:val="24"/>
          </w:rPr>
          <m:t>−</m:t>
        </m:r>
        <m:sSub>
          <m:sSubPr>
            <m:ctrlPr>
              <w:rPr>
                <w:rFonts w:hint="eastAsia" w:ascii="Cambria Math" w:hAnsi="Cambria Math" w:eastAsia="宋体" w:cs="宋体"/>
                <w:i w:val="0"/>
                <w:iCs w:val="0"/>
                <w:sz w:val="24"/>
              </w:rPr>
            </m:ctrlPr>
          </m:sSubPr>
          <m:e>
            <m:r>
              <m:rPr>
                <m:sty m:val="p"/>
              </m:rPr>
              <w:rPr>
                <w:rFonts w:hint="default" w:ascii="Cambria Math" w:hAnsi="Cambria Math" w:eastAsia="宋体" w:cs="宋体"/>
                <w:sz w:val="24"/>
              </w:rPr>
              <m:t>I</m:t>
            </m:r>
            <m:ctrlPr>
              <w:rPr>
                <w:rFonts w:hint="eastAsia" w:ascii="Cambria Math" w:hAnsi="Cambria Math" w:eastAsia="宋体" w:cs="宋体"/>
                <w:i w:val="0"/>
                <w:iCs w:val="0"/>
                <w:sz w:val="24"/>
              </w:rPr>
            </m:ctrlPr>
          </m:e>
          <m:sub>
            <m:r>
              <m:rPr>
                <m:sty m:val="p"/>
              </m:rPr>
              <w:rPr>
                <w:rFonts w:hint="default" w:ascii="Cambria Math" w:hAnsi="Cambria Math" w:eastAsia="宋体" w:cs="宋体"/>
                <w:sz w:val="24"/>
              </w:rPr>
              <m:t>min</m:t>
            </m:r>
            <m:ctrlPr>
              <w:rPr>
                <w:rFonts w:hint="eastAsia" w:ascii="Cambria Math" w:hAnsi="Cambria Math" w:eastAsia="宋体" w:cs="宋体"/>
                <w:i w:val="0"/>
                <w:iCs w:val="0"/>
                <w:sz w:val="24"/>
              </w:rPr>
            </m:ctrlPr>
          </m:sub>
        </m:sSub>
      </m:oMath>
      <w:r>
        <w:rPr>
          <w:rFonts w:hint="eastAsia" w:ascii="宋体" w:hAnsi="宋体" w:eastAsia="宋体" w:cs="宋体"/>
          <w:i w:val="0"/>
          <w:iCs w:val="0"/>
          <w:sz w:val="24"/>
        </w:rPr>
        <w:tab/>
      </w:r>
      <w:r>
        <w:rPr>
          <w:rFonts w:hint="eastAsia" w:ascii="宋体" w:hAnsi="宋体" w:eastAsia="宋体" w:cs="宋体"/>
          <w:i w:val="0"/>
          <w:iCs w:val="0"/>
          <w:sz w:val="24"/>
        </w:rPr>
        <w:t>（</w:t>
      </w:r>
      <w:r>
        <w:rPr>
          <w:rFonts w:hint="eastAsia" w:ascii="宋体" w:hAnsi="宋体" w:cs="宋体"/>
          <w:i w:val="0"/>
          <w:iCs w:val="0"/>
          <w:sz w:val="24"/>
          <w:lang w:val="en-US" w:eastAsia="zh-CN"/>
        </w:rPr>
        <w:t>7.4</w:t>
      </w:r>
      <w:r>
        <w:rPr>
          <w:rFonts w:hint="eastAsia" w:ascii="宋体" w:hAnsi="宋体" w:eastAsia="宋体" w:cs="宋体"/>
          <w:i w:val="0"/>
          <w:iCs w:val="0"/>
          <w:sz w:val="24"/>
        </w:rPr>
        <w:t>）</w:t>
      </w:r>
    </w:p>
    <w:p>
      <w:pPr>
        <w:spacing w:line="360" w:lineRule="auto"/>
        <w:rPr>
          <w:rFonts w:hint="eastAsia" w:ascii="宋体" w:hAnsi="宋体" w:eastAsia="宋体" w:cs="宋体"/>
          <w:i w:val="0"/>
          <w:iCs w:val="0"/>
          <w:sz w:val="24"/>
        </w:rPr>
      </w:pPr>
      <w:r>
        <w:rPr>
          <w:rFonts w:hint="eastAsia" w:ascii="宋体" w:hAnsi="宋体" w:eastAsia="宋体" w:cs="宋体"/>
          <w:i w:val="0"/>
          <w:iCs w:val="0"/>
          <w:sz w:val="24"/>
        </w:rPr>
        <w:t>式中：R——重复性，kg或g；</w:t>
      </w:r>
    </w:p>
    <w:p>
      <w:pPr>
        <w:spacing w:line="360" w:lineRule="auto"/>
        <w:ind w:firstLine="600" w:firstLineChars="250"/>
        <w:rPr>
          <w:rFonts w:hint="eastAsia" w:ascii="宋体" w:hAnsi="宋体" w:eastAsia="宋体" w:cs="宋体"/>
          <w:i w:val="0"/>
          <w:iCs w:val="0"/>
          <w:sz w:val="24"/>
        </w:rPr>
      </w:pPr>
      <m:oMath>
        <m:sSub>
          <m:sSubPr>
            <m:ctrlPr>
              <w:rPr>
                <w:rFonts w:hint="eastAsia" w:ascii="Cambria Math" w:hAnsi="Cambria Math" w:eastAsia="宋体" w:cs="宋体"/>
                <w:i w:val="0"/>
                <w:iCs w:val="0"/>
                <w:sz w:val="24"/>
              </w:rPr>
            </m:ctrlPr>
          </m:sSubPr>
          <m:e>
            <m:r>
              <m:rPr>
                <m:sty m:val="p"/>
              </m:rPr>
              <w:rPr>
                <w:rFonts w:hint="default" w:ascii="Cambria Math" w:hAnsi="Cambria Math" w:eastAsia="宋体" w:cs="宋体"/>
                <w:sz w:val="24"/>
              </w:rPr>
              <m:t>I</m:t>
            </m:r>
            <m:ctrlPr>
              <w:rPr>
                <w:rFonts w:hint="eastAsia" w:ascii="Cambria Math" w:hAnsi="Cambria Math" w:eastAsia="宋体" w:cs="宋体"/>
                <w:i w:val="0"/>
                <w:iCs w:val="0"/>
                <w:sz w:val="24"/>
              </w:rPr>
            </m:ctrlPr>
          </m:e>
          <m:sub>
            <m:r>
              <m:rPr>
                <m:sty m:val="p"/>
              </m:rPr>
              <w:rPr>
                <w:rFonts w:hint="default" w:ascii="Cambria Math" w:hAnsi="Cambria Math" w:eastAsia="宋体" w:cs="宋体"/>
                <w:sz w:val="24"/>
              </w:rPr>
              <m:t>max</m:t>
            </m:r>
            <m:ctrlPr>
              <w:rPr>
                <w:rFonts w:hint="eastAsia" w:ascii="Cambria Math" w:hAnsi="Cambria Math" w:eastAsia="宋体" w:cs="宋体"/>
                <w:i w:val="0"/>
                <w:iCs w:val="0"/>
                <w:sz w:val="24"/>
              </w:rPr>
            </m:ctrlPr>
          </m:sub>
        </m:sSub>
      </m:oMath>
      <w:r>
        <w:rPr>
          <w:rFonts w:hint="eastAsia" w:ascii="宋体" w:hAnsi="宋体" w:eastAsia="宋体" w:cs="宋体"/>
          <w:i w:val="0"/>
          <w:iCs w:val="0"/>
          <w:sz w:val="24"/>
        </w:rPr>
        <w:t>——三次称量示值的最大值，kg或g；</w:t>
      </w:r>
      <w:r>
        <w:rPr>
          <w:rFonts w:hint="eastAsia" w:ascii="宋体" w:hAnsi="宋体" w:eastAsia="宋体" w:cs="宋体"/>
          <w:i w:val="0"/>
          <w:iCs w:val="0"/>
          <w:sz w:val="24"/>
        </w:rPr>
        <w:tab/>
      </w:r>
      <w:r>
        <w:rPr>
          <w:rFonts w:hint="eastAsia" w:ascii="宋体" w:hAnsi="宋体" w:eastAsia="宋体" w:cs="宋体"/>
          <w:i w:val="0"/>
          <w:iCs w:val="0"/>
          <w:sz w:val="24"/>
        </w:rPr>
        <w:tab/>
      </w:r>
      <w:r>
        <w:rPr>
          <w:rFonts w:hint="eastAsia" w:ascii="宋体" w:hAnsi="宋体" w:eastAsia="宋体" w:cs="宋体"/>
          <w:i w:val="0"/>
          <w:iCs w:val="0"/>
          <w:sz w:val="24"/>
        </w:rPr>
        <w:tab/>
      </w:r>
    </w:p>
    <w:p>
      <w:pPr>
        <w:spacing w:line="360" w:lineRule="auto"/>
        <w:ind w:firstLine="600" w:firstLineChars="250"/>
        <w:rPr>
          <w:rFonts w:hint="eastAsia" w:ascii="宋体" w:hAnsi="宋体" w:eastAsia="宋体" w:cs="宋体"/>
          <w:i w:val="0"/>
          <w:iCs w:val="0"/>
          <w:sz w:val="24"/>
        </w:rPr>
      </w:pPr>
      <m:oMath>
        <m:sSub>
          <m:sSubPr>
            <m:ctrlPr>
              <w:rPr>
                <w:rFonts w:hint="eastAsia" w:ascii="Cambria Math" w:hAnsi="Cambria Math" w:eastAsia="宋体" w:cs="宋体"/>
                <w:i w:val="0"/>
                <w:iCs w:val="0"/>
                <w:sz w:val="24"/>
              </w:rPr>
            </m:ctrlPr>
          </m:sSubPr>
          <m:e>
            <m:r>
              <m:rPr>
                <m:sty m:val="p"/>
              </m:rPr>
              <w:rPr>
                <w:rFonts w:hint="default" w:ascii="Cambria Math" w:hAnsi="Cambria Math" w:eastAsia="宋体" w:cs="宋体"/>
                <w:sz w:val="24"/>
              </w:rPr>
              <m:t>I</m:t>
            </m:r>
            <m:ctrlPr>
              <w:rPr>
                <w:rFonts w:hint="eastAsia" w:ascii="Cambria Math" w:hAnsi="Cambria Math" w:eastAsia="宋体" w:cs="宋体"/>
                <w:i w:val="0"/>
                <w:iCs w:val="0"/>
                <w:sz w:val="24"/>
              </w:rPr>
            </m:ctrlPr>
          </m:e>
          <m:sub>
            <m:r>
              <m:rPr>
                <m:sty m:val="p"/>
              </m:rPr>
              <w:rPr>
                <w:rFonts w:hint="default" w:ascii="Cambria Math" w:hAnsi="Cambria Math" w:eastAsia="宋体" w:cs="宋体"/>
                <w:sz w:val="24"/>
              </w:rPr>
              <m:t>min</m:t>
            </m:r>
            <m:ctrlPr>
              <w:rPr>
                <w:rFonts w:hint="eastAsia" w:ascii="Cambria Math" w:hAnsi="Cambria Math" w:eastAsia="宋体" w:cs="宋体"/>
                <w:i w:val="0"/>
                <w:iCs w:val="0"/>
                <w:sz w:val="24"/>
              </w:rPr>
            </m:ctrlPr>
          </m:sub>
        </m:sSub>
      </m:oMath>
      <w:r>
        <w:rPr>
          <w:rFonts w:hint="eastAsia" w:ascii="宋体" w:hAnsi="宋体" w:eastAsia="宋体" w:cs="宋体"/>
          <w:i w:val="0"/>
          <w:iCs w:val="0"/>
          <w:sz w:val="24"/>
        </w:rPr>
        <w:t>——三次称量示值的最小值，kg或g。</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pPr>
      <w:r>
        <w:t>7.5 灌装试验</w:t>
      </w:r>
    </w:p>
    <w:p>
      <w:pPr>
        <w:keepNext w:val="0"/>
        <w:keepLines w:val="0"/>
        <w:pageBreakBefore w:val="0"/>
        <w:widowControl w:val="0"/>
        <w:kinsoku/>
        <w:wordWrap/>
        <w:overflowPunct/>
        <w:topLinePunct w:val="0"/>
        <w:autoSpaceDE/>
        <w:autoSpaceDN/>
        <w:bidi w:val="0"/>
        <w:adjustRightInd/>
        <w:snapToGrid/>
        <w:spacing w:line="360" w:lineRule="auto"/>
        <w:textAlignment w:val="auto"/>
      </w:pPr>
      <w:r>
        <w:t>7.5.1 在液化气体实际充装条件下，采用常用规格的液化气钢瓶，按用户实际使用充装量进行灌装，在最大灌装速度下灌装不少于10次。</w:t>
      </w:r>
    </w:p>
    <w:p>
      <w:pPr>
        <w:keepNext w:val="0"/>
        <w:keepLines w:val="0"/>
        <w:pageBreakBefore w:val="0"/>
        <w:widowControl w:val="0"/>
        <w:kinsoku/>
        <w:wordWrap/>
        <w:overflowPunct/>
        <w:topLinePunct w:val="0"/>
        <w:autoSpaceDE/>
        <w:autoSpaceDN/>
        <w:bidi w:val="0"/>
        <w:adjustRightInd/>
        <w:snapToGrid/>
        <w:spacing w:line="360" w:lineRule="auto"/>
        <w:textAlignment w:val="auto"/>
      </w:pPr>
      <w:r>
        <w:t>7.5.2 按预先设定的充装量进行灌装操作，充装至设定量时自动停止灌装。</w:t>
      </w:r>
    </w:p>
    <w:p>
      <w:pPr>
        <w:keepNext w:val="0"/>
        <w:keepLines w:val="0"/>
        <w:pageBreakBefore w:val="0"/>
        <w:widowControl w:val="0"/>
        <w:kinsoku/>
        <w:wordWrap/>
        <w:overflowPunct/>
        <w:topLinePunct w:val="0"/>
        <w:autoSpaceDE/>
        <w:autoSpaceDN/>
        <w:bidi w:val="0"/>
        <w:adjustRightInd/>
        <w:snapToGrid/>
        <w:spacing w:line="360" w:lineRule="auto"/>
        <w:textAlignment w:val="auto"/>
      </w:pPr>
      <w:r>
        <w:t>7.5.3 利用控制衡器称量每次灌装后的瓶气总重，示值稳定后读数。</w:t>
      </w:r>
    </w:p>
    <w:p>
      <w:pPr>
        <w:keepNext w:val="0"/>
        <w:keepLines w:val="0"/>
        <w:pageBreakBefore w:val="0"/>
        <w:widowControl w:val="0"/>
        <w:kinsoku/>
        <w:wordWrap/>
        <w:overflowPunct/>
        <w:topLinePunct w:val="0"/>
        <w:autoSpaceDE/>
        <w:autoSpaceDN/>
        <w:bidi w:val="0"/>
        <w:adjustRightInd/>
        <w:snapToGrid/>
        <w:spacing w:line="360" w:lineRule="auto"/>
        <w:textAlignment w:val="auto"/>
      </w:pPr>
      <w:r>
        <w:t>7.5.4 计算每次灌装的气体总重与预设值的偏差。</w:t>
      </w:r>
    </w:p>
    <w:p>
      <w:pPr>
        <w:keepNext w:val="0"/>
        <w:keepLines w:val="0"/>
        <w:pageBreakBefore w:val="0"/>
        <w:widowControl w:val="0"/>
        <w:kinsoku/>
        <w:wordWrap/>
        <w:overflowPunct/>
        <w:topLinePunct w:val="0"/>
        <w:autoSpaceDE/>
        <w:autoSpaceDN/>
        <w:bidi w:val="0"/>
        <w:adjustRightInd/>
        <w:snapToGrid/>
        <w:spacing w:line="360" w:lineRule="auto"/>
        <w:textAlignment w:val="auto"/>
      </w:pPr>
      <w:r>
        <w:t>注：进行灌装试验时，应按实际压力和管路连接进行。</w:t>
      </w:r>
    </w:p>
    <w:p>
      <w:pPr>
        <w:keepNext w:val="0"/>
        <w:keepLines w:val="0"/>
        <w:pageBreakBefore w:val="0"/>
        <w:widowControl w:val="0"/>
        <w:kinsoku/>
        <w:wordWrap/>
        <w:overflowPunct/>
        <w:topLinePunct w:val="0"/>
        <w:autoSpaceDE/>
        <w:autoSpaceDN/>
        <w:bidi w:val="0"/>
        <w:adjustRightInd/>
        <w:snapToGrid/>
        <w:spacing w:line="360" w:lineRule="auto"/>
        <w:textAlignment w:val="auto"/>
      </w:pPr>
      <w:r>
        <w:t>8 校准结果表达</w:t>
      </w:r>
    </w:p>
    <w:p>
      <w:pPr>
        <w:keepNext w:val="0"/>
        <w:keepLines w:val="0"/>
        <w:pageBreakBefore w:val="0"/>
        <w:widowControl w:val="0"/>
        <w:kinsoku/>
        <w:wordWrap/>
        <w:overflowPunct/>
        <w:topLinePunct w:val="0"/>
        <w:autoSpaceDE/>
        <w:autoSpaceDN/>
        <w:bidi w:val="0"/>
        <w:adjustRightInd/>
        <w:snapToGrid/>
        <w:spacing w:line="360" w:lineRule="auto"/>
        <w:textAlignment w:val="auto"/>
      </w:pPr>
      <w:r>
        <w:t>8.1 校准结果处理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eastAsia="zh-CN"/>
        </w:rPr>
      </w:pPr>
      <w:r>
        <w:t>经校准后的自动灌装秤应签发校准证书，校准证书应符</w:t>
      </w:r>
      <w:r>
        <w:rPr>
          <w:rFonts w:hint="eastAsia" w:ascii="宋体" w:hAnsi="宋体" w:eastAsia="宋体" w:cs="宋体"/>
        </w:rPr>
        <w:t>合JJF 1071-2010中5.12的</w:t>
      </w:r>
      <w:r>
        <w:t>要求，并给出各校准项目名称和测量结果以及扩展不确定度。校准原始记录参考格式见附录</w:t>
      </w:r>
      <w:r>
        <w:rPr>
          <w:rFonts w:hint="eastAsia" w:ascii="宋体" w:hAnsi="宋体" w:eastAsia="宋体" w:cs="宋体"/>
        </w:rPr>
        <w:t>A</w:t>
      </w:r>
      <w:r>
        <w:t>，校准证书结果页参考格式见附录</w:t>
      </w:r>
      <w:r>
        <w:rPr>
          <w:rFonts w:hint="eastAsia" w:ascii="宋体" w:hAnsi="宋体" w:eastAsia="宋体" w:cs="宋体"/>
        </w:rPr>
        <w:t>B</w:t>
      </w:r>
      <w:r>
        <w:rPr>
          <w:rFonts w:hint="eastAsia" w:ascii="宋体" w:hAnsi="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pPr>
      <w:r>
        <w:t>8.2 校准结果的测量不确定度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lang w:val="en-US" w:eastAsia="zh-CN"/>
        </w:rPr>
      </w:pPr>
      <w:r>
        <w:t>自动灌装秤校</w:t>
      </w:r>
      <w:r>
        <w:rPr>
          <w:rFonts w:hint="eastAsia" w:ascii="宋体" w:hAnsi="宋体" w:eastAsia="宋体" w:cs="宋体"/>
        </w:rPr>
        <w:t>准结果的不确定度按 JJF 1059.1—2012 的要求评定，评定示例见附录C</w:t>
      </w:r>
      <w:r>
        <w:rPr>
          <w:rFonts w:hint="eastAsia" w:ascii="宋体" w:hAnsi="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pPr>
      <w:r>
        <w:t>9复校时间间隔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t>复校时间间隔的长短由自动灌装秤的使用情况、使用者、仪器本身质量等诸因素所决定，建议复效时间间隔不超过</w:t>
      </w:r>
      <w:r>
        <w:rPr>
          <w:rFonts w:hint="eastAsia" w:ascii="宋体" w:hAnsi="宋体" w:eastAsia="宋体" w:cs="宋体"/>
        </w:rPr>
        <w:t>1</w:t>
      </w:r>
      <w:r>
        <w:t>年。依据实际情况可缩短建议复校时间间隔。</w:t>
      </w: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方正粗黑宋简体" w:hAnsi="方正粗黑宋简体" w:eastAsia="方正粗黑宋简体" w:cs="方正粗黑宋简体"/>
          <w:lang w:val="en-US" w:eastAsia="zh-CN"/>
        </w:rPr>
        <w:t xml:space="preserve">附录A  </w:t>
      </w:r>
      <w:r>
        <w:rPr>
          <w:rFonts w:hint="eastAsia"/>
          <w:lang w:val="en-US" w:eastAsia="zh-CN"/>
        </w:rPr>
        <w:t xml:space="preserve">                               </w:t>
      </w:r>
    </w:p>
    <w:tbl>
      <w:tblPr>
        <w:tblStyle w:val="26"/>
        <w:tblpPr w:leftFromText="180" w:rightFromText="180" w:vertAnchor="page" w:horzAnchor="page" w:tblpX="1582" w:tblpY="346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511"/>
        <w:gridCol w:w="759"/>
        <w:gridCol w:w="1240"/>
        <w:gridCol w:w="653"/>
        <w:gridCol w:w="1518"/>
        <w:gridCol w:w="695"/>
        <w:gridCol w:w="1244"/>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344"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vertAlign w:val="baseline"/>
              </w:rPr>
            </w:pPr>
            <w:r>
              <w:t>委托</w:t>
            </w:r>
            <w:r>
              <w:rPr>
                <w:rFonts w:hint="eastAsia"/>
                <w:lang w:eastAsia="zh-CN"/>
              </w:rPr>
              <w:t>方</w:t>
            </w:r>
          </w:p>
        </w:tc>
        <w:tc>
          <w:tcPr>
            <w:tcW w:w="265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518"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委托方地址</w:t>
            </w:r>
          </w:p>
        </w:tc>
        <w:tc>
          <w:tcPr>
            <w:tcW w:w="334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344"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仪器名称</w:t>
            </w:r>
          </w:p>
        </w:tc>
        <w:tc>
          <w:tcPr>
            <w:tcW w:w="265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518"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pPr>
            <w:r>
              <w:t>型号规格</w:t>
            </w:r>
          </w:p>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334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344"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测量范围</w:t>
            </w:r>
          </w:p>
        </w:tc>
        <w:tc>
          <w:tcPr>
            <w:tcW w:w="265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518"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pPr>
            <w:r>
              <w:t>准确度等级</w:t>
            </w:r>
          </w:p>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334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344"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最小秤量</w:t>
            </w:r>
          </w:p>
        </w:tc>
        <w:tc>
          <w:tcPr>
            <w:tcW w:w="265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518"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pPr>
            <w:r>
              <w:t>最大秤量</w:t>
            </w:r>
          </w:p>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334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344"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制造单位</w:t>
            </w:r>
          </w:p>
        </w:tc>
        <w:tc>
          <w:tcPr>
            <w:tcW w:w="2652"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518"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出厂编号</w:t>
            </w:r>
          </w:p>
        </w:tc>
        <w:tc>
          <w:tcPr>
            <w:tcW w:w="695"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44"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pPr>
            <w:r>
              <w:t>分度值</w:t>
            </w:r>
          </w:p>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403"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344"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环境温度</w:t>
            </w:r>
          </w:p>
        </w:tc>
        <w:tc>
          <w:tcPr>
            <w:tcW w:w="759"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40"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相对湿度</w:t>
            </w:r>
          </w:p>
        </w:tc>
        <w:tc>
          <w:tcPr>
            <w:tcW w:w="653"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518"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校准地点</w:t>
            </w:r>
          </w:p>
        </w:tc>
        <w:tc>
          <w:tcPr>
            <w:tcW w:w="695"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44"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校准</w:t>
            </w:r>
            <w:r>
              <w:rPr>
                <w:rFonts w:hint="eastAsia"/>
                <w:lang w:eastAsia="zh-CN"/>
              </w:rPr>
              <w:t>依</w:t>
            </w:r>
            <w:r>
              <w:t>据</w:t>
            </w:r>
          </w:p>
        </w:tc>
        <w:tc>
          <w:tcPr>
            <w:tcW w:w="1403"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trPr>
        <w:tc>
          <w:tcPr>
            <w:tcW w:w="833" w:type="dxa"/>
            <w:vMerge w:val="restart"/>
            <w:vAlign w:val="bottom"/>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pPr>
            <w:r>
              <w:t>主要</w:t>
            </w:r>
          </w:p>
          <w:p>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pPr>
            <w:r>
              <w:t>标准</w:t>
            </w:r>
          </w:p>
          <w:p>
            <w:pPr>
              <w:keepNext w:val="0"/>
              <w:keepLines w:val="0"/>
              <w:pageBreakBefore w:val="0"/>
              <w:kinsoku/>
              <w:wordWrap/>
              <w:overflowPunct/>
              <w:topLinePunct w:val="0"/>
              <w:autoSpaceDE/>
              <w:autoSpaceDN/>
              <w:bidi w:val="0"/>
              <w:adjustRightInd/>
              <w:snapToGrid/>
              <w:spacing w:line="360" w:lineRule="auto"/>
              <w:ind w:left="0" w:leftChars="0" w:firstLine="0" w:firstLineChars="0"/>
              <w:jc w:val="both"/>
              <w:textAlignment w:val="auto"/>
            </w:pPr>
            <w:r>
              <w:t>器具</w:t>
            </w:r>
          </w:p>
          <w:p>
            <w:pPr>
              <w:keepNext w:val="0"/>
              <w:keepLines w:val="0"/>
              <w:pageBreakBefore w:val="0"/>
              <w:kinsoku/>
              <w:wordWrap/>
              <w:overflowPunct/>
              <w:topLinePunct w:val="0"/>
              <w:autoSpaceDE/>
              <w:autoSpaceDN/>
              <w:bidi w:val="0"/>
              <w:adjustRightInd/>
              <w:snapToGrid/>
              <w:spacing w:line="360" w:lineRule="auto"/>
              <w:jc w:val="both"/>
              <w:textAlignment w:val="auto"/>
              <w:rPr>
                <w:vertAlign w:val="baseline"/>
              </w:rPr>
            </w:pPr>
          </w:p>
        </w:tc>
        <w:tc>
          <w:tcPr>
            <w:tcW w:w="1270"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vertAlign w:val="baseline"/>
              </w:rPr>
            </w:pPr>
            <w:r>
              <w:t>名称</w:t>
            </w:r>
          </w:p>
        </w:tc>
        <w:tc>
          <w:tcPr>
            <w:tcW w:w="1893" w:type="dxa"/>
            <w:gridSpan w:val="2"/>
            <w:vAlign w:val="center"/>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vertAlign w:val="baseline"/>
              </w:rPr>
            </w:pPr>
            <w:r>
              <w:t>测量范围</w:t>
            </w:r>
          </w:p>
        </w:tc>
        <w:tc>
          <w:tcPr>
            <w:tcW w:w="2213" w:type="dxa"/>
            <w:gridSpan w:val="2"/>
            <w:vAlign w:val="top"/>
          </w:tcPr>
          <w:p>
            <w:pPr>
              <w:keepNext w:val="0"/>
              <w:keepLines w:val="0"/>
              <w:pageBreakBefore w:val="0"/>
              <w:kinsoku/>
              <w:wordWrap/>
              <w:overflowPunct/>
              <w:topLinePunct w:val="0"/>
              <w:autoSpaceDE/>
              <w:autoSpaceDN/>
              <w:bidi w:val="0"/>
              <w:adjustRightInd/>
              <w:snapToGrid/>
              <w:spacing w:line="240" w:lineRule="auto"/>
              <w:ind w:left="0" w:leftChars="0" w:firstLine="0" w:firstLineChars="0"/>
              <w:textAlignment w:val="auto"/>
              <w:rPr>
                <w:vertAlign w:val="baseline"/>
              </w:rPr>
            </w:pPr>
            <w:r>
              <w:rPr>
                <w:sz w:val="21"/>
                <w:szCs w:val="21"/>
              </w:rPr>
              <w:t xml:space="preserve"> 准确度等级/最大允许误差/不确定度</w:t>
            </w:r>
          </w:p>
        </w:tc>
        <w:tc>
          <w:tcPr>
            <w:tcW w:w="1244"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vertAlign w:val="baseline"/>
              </w:rPr>
            </w:pPr>
            <w:r>
              <w:t xml:space="preserve"> 编号</w:t>
            </w:r>
          </w:p>
        </w:tc>
        <w:tc>
          <w:tcPr>
            <w:tcW w:w="1403"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pPr>
            <w:r>
              <w:t xml:space="preserve"> 有效期至</w:t>
            </w:r>
          </w:p>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33" w:type="dxa"/>
            <w:vMerge w:val="continue"/>
            <w:vAlign w:val="top"/>
          </w:tcPr>
          <w:p>
            <w:pPr>
              <w:keepNext w:val="0"/>
              <w:keepLines w:val="0"/>
              <w:pageBreakBefore w:val="0"/>
              <w:kinsoku/>
              <w:wordWrap/>
              <w:overflowPunct/>
              <w:topLinePunct w:val="0"/>
              <w:autoSpaceDE/>
              <w:autoSpaceDN/>
              <w:bidi w:val="0"/>
              <w:adjustRightInd/>
              <w:snapToGrid/>
              <w:spacing w:line="360" w:lineRule="auto"/>
              <w:textAlignment w:val="auto"/>
            </w:pPr>
          </w:p>
        </w:tc>
        <w:tc>
          <w:tcPr>
            <w:tcW w:w="1270"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89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221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44" w:type="dxa"/>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vertAlign w:val="baseline"/>
              </w:rPr>
            </w:pPr>
          </w:p>
        </w:tc>
        <w:tc>
          <w:tcPr>
            <w:tcW w:w="1403"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33" w:type="dxa"/>
            <w:vMerge w:val="continue"/>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70"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89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221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44"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403"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33" w:type="dxa"/>
            <w:vMerge w:val="continue"/>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70"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89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221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244"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1403" w:type="dxa"/>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103" w:type="dxa"/>
            <w:gridSpan w:val="3"/>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eastAsia="微软雅黑"/>
                <w:vertAlign w:val="baseline"/>
                <w:lang w:eastAsia="zh-CN"/>
              </w:rPr>
            </w:pPr>
            <w:r>
              <w:rPr>
                <w:rFonts w:hint="eastAsia"/>
                <w:vertAlign w:val="baseline"/>
                <w:lang w:eastAsia="zh-CN"/>
              </w:rPr>
              <w:t>校准人员</w:t>
            </w:r>
          </w:p>
        </w:tc>
        <w:tc>
          <w:tcPr>
            <w:tcW w:w="1893"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c>
          <w:tcPr>
            <w:tcW w:w="2213" w:type="dxa"/>
            <w:gridSpan w:val="2"/>
            <w:vAlign w:val="top"/>
          </w:tcPr>
          <w:p>
            <w:pPr>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vertAlign w:val="baseline"/>
              </w:rPr>
            </w:pPr>
            <w:r>
              <w:t>核验员</w:t>
            </w:r>
          </w:p>
        </w:tc>
        <w:tc>
          <w:tcPr>
            <w:tcW w:w="2647" w:type="dxa"/>
            <w:gridSpan w:val="2"/>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996" w:type="dxa"/>
            <w:gridSpan w:val="5"/>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r>
              <w:t>校准日期</w:t>
            </w:r>
          </w:p>
        </w:tc>
        <w:tc>
          <w:tcPr>
            <w:tcW w:w="4860" w:type="dxa"/>
            <w:gridSpan w:val="4"/>
            <w:vAlign w:val="top"/>
          </w:tcPr>
          <w:p>
            <w:pPr>
              <w:keepNext w:val="0"/>
              <w:keepLines w:val="0"/>
              <w:pageBreakBefore w:val="0"/>
              <w:kinsoku/>
              <w:wordWrap/>
              <w:overflowPunct/>
              <w:topLinePunct w:val="0"/>
              <w:autoSpaceDE/>
              <w:autoSpaceDN/>
              <w:bidi w:val="0"/>
              <w:adjustRightInd/>
              <w:snapToGrid/>
              <w:spacing w:line="360" w:lineRule="auto"/>
              <w:textAlignment w:val="auto"/>
              <w:rPr>
                <w:vertAlign w:val="baseline"/>
              </w:rPr>
            </w:pPr>
          </w:p>
        </w:tc>
      </w:tr>
    </w:tbl>
    <w:p>
      <w:pPr>
        <w:keepNext w:val="0"/>
        <w:keepLines w:val="0"/>
        <w:pageBreakBefore w:val="0"/>
        <w:widowControl/>
        <w:kinsoku/>
        <w:wordWrap/>
        <w:overflowPunct/>
        <w:topLinePunct w:val="0"/>
        <w:autoSpaceDE/>
        <w:autoSpaceDN/>
        <w:bidi w:val="0"/>
        <w:adjustRightInd/>
        <w:snapToGrid/>
        <w:spacing w:line="360" w:lineRule="auto"/>
        <w:ind w:firstLine="420"/>
        <w:jc w:val="center"/>
        <w:textAlignment w:val="auto"/>
        <w:rPr>
          <w:b/>
          <w:bCs/>
          <w:sz w:val="28"/>
          <w:szCs w:val="28"/>
        </w:rPr>
      </w:pPr>
      <w:r>
        <w:rPr>
          <w:b/>
          <w:bCs/>
          <w:sz w:val="28"/>
          <w:szCs w:val="28"/>
        </w:rPr>
        <w:t>校准原始记录（参考）格式</w:t>
      </w:r>
    </w:p>
    <w:p>
      <w:pPr>
        <w:keepNext w:val="0"/>
        <w:keepLines w:val="0"/>
        <w:pageBreakBefore w:val="0"/>
        <w:widowControl/>
        <w:kinsoku/>
        <w:wordWrap/>
        <w:overflowPunct/>
        <w:topLinePunct w:val="0"/>
        <w:autoSpaceDE/>
        <w:autoSpaceDN/>
        <w:bidi w:val="0"/>
        <w:adjustRightInd/>
        <w:snapToGrid/>
        <w:spacing w:line="360" w:lineRule="auto"/>
        <w:ind w:firstLine="4777" w:firstLineChars="2275"/>
        <w:jc w:val="left"/>
        <w:textAlignment w:val="auto"/>
        <w:rPr>
          <w:sz w:val="21"/>
          <w:szCs w:val="21"/>
        </w:rPr>
      </w:pPr>
      <w:r>
        <w:rPr>
          <w:sz w:val="21"/>
          <w:szCs w:val="21"/>
        </w:rPr>
        <w:t>证书（记录）号：</w:t>
      </w:r>
    </w:p>
    <w:p>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pPr>
      <w:r>
        <w:t>校准项目及校准结果</w:t>
      </w:r>
    </w:p>
    <w:p>
      <w:pPr>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Times New Roman" w:cs="Times New Roman"/>
          <w:kern w:val="2"/>
          <w:sz w:val="24"/>
          <w:szCs w:val="24"/>
          <w:lang w:val="en-US" w:eastAsia="zh-CN" w:bidi="ar-SA"/>
        </w:rPr>
      </w:pPr>
    </w:p>
    <w:p>
      <w:pPr>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rPr>
      </w:pPr>
      <w:r>
        <w:rPr>
          <w:rFonts w:hint="eastAsia" w:ascii="Times New Roman" w:cs="Times New Roman"/>
          <w:kern w:val="2"/>
          <w:sz w:val="24"/>
          <w:szCs w:val="24"/>
          <w:lang w:val="en-US" w:eastAsia="zh-CN" w:bidi="ar-SA"/>
        </w:rPr>
        <w:t>集成式控制衡器的静态称量：</w:t>
      </w:r>
      <w:r>
        <w:rPr>
          <w:rFonts w:hint="eastAsia"/>
          <w:lang w:eastAsia="zh-CN"/>
        </w:rPr>
        <w:t>（</w:t>
      </w:r>
      <w:r>
        <w:t>如适用</w:t>
      </w:r>
      <w:r>
        <w:rPr>
          <w:rFonts w:hint="eastAsia" w:ascii="宋体" w:hAnsi="宋体" w:eastAsia="宋体" w:cs="宋体"/>
        </w:rPr>
        <w:t>)</w:t>
      </w:r>
    </w:p>
    <w:p>
      <w:pPr>
        <w:keepNext w:val="0"/>
        <w:keepLines w:val="0"/>
        <w:pageBreakBefore w:val="0"/>
        <w:widowControl/>
        <w:kinsoku/>
        <w:wordWrap/>
        <w:overflowPunct/>
        <w:topLinePunct w:val="0"/>
        <w:autoSpaceDE/>
        <w:autoSpaceDN/>
        <w:bidi w:val="0"/>
        <w:adjustRightInd/>
        <w:snapToGrid/>
        <w:spacing w:line="360" w:lineRule="auto"/>
        <w:textAlignment w:val="auto"/>
      </w:pPr>
      <w:r>
        <w:t xml:space="preserve">置零准确度： </w:t>
      </w:r>
      <w:r>
        <w:rPr>
          <w:rFonts w:hint="eastAsia"/>
          <w:lang w:val="en-US" w:eastAsia="zh-CN"/>
        </w:rPr>
        <w:t xml:space="preserve">                                    </w:t>
      </w:r>
      <w:r>
        <w:t>计量单位：</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载荷</w:t>
            </w:r>
            <w:r>
              <w:rPr>
                <w:rFonts w:hint="eastAsia" w:ascii="宋体" w:hAnsi="宋体" w:eastAsia="宋体" w:cs="宋体"/>
                <w:i/>
                <w:iCs/>
              </w:rPr>
              <w:t xml:space="preserve">L </w:t>
            </w: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lang w:eastAsia="zh-CN"/>
              </w:rPr>
            </w:pPr>
            <w:r>
              <w:rPr>
                <w:rFonts w:hint="eastAsia" w:ascii="宋体" w:hAnsi="宋体" w:eastAsia="宋体" w:cs="宋体"/>
              </w:rPr>
              <w:t>示值</w:t>
            </w:r>
            <w:r>
              <w:rPr>
                <w:rFonts w:hint="eastAsia" w:ascii="宋体" w:hAnsi="宋体" w:eastAsia="宋体" w:cs="宋体"/>
                <w:i/>
                <w:iCs/>
                <w:lang w:val="en-US" w:eastAsia="zh-CN"/>
              </w:rPr>
              <w:t>I</w:t>
            </w: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附加砝码</w:t>
            </w:r>
            <w:r>
              <w:rPr>
                <w:rFonts w:hint="eastAsia" w:ascii="宋体" w:hAnsi="宋体" w:eastAsia="宋体" w:cs="宋体"/>
                <w:i/>
                <w:iCs/>
              </w:rPr>
              <w:t xml:space="preserve"> </w:t>
            </w:r>
            <w:r>
              <w:rPr>
                <w:rFonts w:hint="eastAsia" w:ascii="宋体" w:hAnsi="宋体" w:cs="宋体"/>
                <w:i/>
                <w:iCs/>
                <w:lang w:eastAsia="zh-CN"/>
              </w:rPr>
              <w:t>Δ</w:t>
            </w:r>
            <w:r>
              <w:rPr>
                <w:rFonts w:hint="eastAsia" w:ascii="宋体" w:hAnsi="宋体" w:eastAsia="宋体" w:cs="宋体"/>
                <w:i/>
                <w:iCs/>
              </w:rPr>
              <w:t>L</w:t>
            </w: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误差</w:t>
            </w:r>
            <w:r>
              <w:rPr>
                <w:rFonts w:hint="eastAsia" w:ascii="宋体" w:hAnsi="宋体" w:eastAsia="宋体" w:cs="宋体"/>
                <w:i/>
                <w:iCs/>
              </w:rPr>
              <w:t xml:space="preserve">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r>
    </w:tbl>
    <w:p>
      <w:pPr>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rPr>
      </w:pPr>
      <w:r>
        <w:rPr>
          <w:rFonts w:hint="eastAsia" w:ascii="宋体" w:hAnsi="宋体" w:eastAsia="宋体" w:cs="宋体"/>
        </w:rPr>
        <w:t>除皮准确度：</w:t>
      </w:r>
      <w:r>
        <w:rPr>
          <w:rFonts w:hint="eastAsia" w:ascii="宋体" w:hAnsi="宋体" w:eastAsia="宋体" w:cs="宋体"/>
          <w:lang w:val="en-US" w:eastAsia="zh-CN"/>
        </w:rPr>
        <w:t xml:space="preserve">                                       </w:t>
      </w:r>
      <w:r>
        <w:rPr>
          <w:rFonts w:hint="eastAsia" w:ascii="宋体" w:hAnsi="宋体" w:eastAsia="宋体" w:cs="宋体"/>
        </w:rPr>
        <w:t xml:space="preserve"> 计量单位：</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载荷</w:t>
            </w:r>
            <w:r>
              <w:rPr>
                <w:rFonts w:hint="eastAsia" w:ascii="宋体" w:hAnsi="宋体" w:eastAsia="宋体" w:cs="宋体"/>
                <w:i/>
                <w:iCs/>
              </w:rPr>
              <w:t xml:space="preserve">L </w:t>
            </w: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示值</w:t>
            </w:r>
            <w:r>
              <w:rPr>
                <w:rFonts w:hint="eastAsia" w:ascii="宋体" w:hAnsi="宋体" w:eastAsia="宋体" w:cs="宋体"/>
                <w:i/>
                <w:iCs/>
                <w:lang w:val="en-US" w:eastAsia="zh-CN"/>
              </w:rPr>
              <w:t>I</w:t>
            </w: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附加砝码</w:t>
            </w:r>
            <w:r>
              <w:rPr>
                <w:rFonts w:hint="eastAsia" w:ascii="宋体" w:hAnsi="宋体" w:eastAsia="宋体" w:cs="宋体"/>
                <w:i/>
                <w:iCs/>
              </w:rPr>
              <w:t xml:space="preserve"> </w:t>
            </w:r>
            <w:r>
              <w:rPr>
                <w:rFonts w:hint="eastAsia" w:ascii="宋体" w:hAnsi="宋体" w:cs="宋体"/>
                <w:i/>
                <w:iCs/>
                <w:lang w:eastAsia="zh-CN"/>
              </w:rPr>
              <w:t>Δ</w:t>
            </w:r>
            <w:r>
              <w:rPr>
                <w:rFonts w:hint="eastAsia" w:ascii="宋体" w:hAnsi="宋体" w:eastAsia="宋体" w:cs="宋体"/>
                <w:i/>
                <w:iCs/>
              </w:rPr>
              <w:t>L</w:t>
            </w: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r>
              <w:rPr>
                <w:rFonts w:hint="eastAsia" w:ascii="宋体" w:hAnsi="宋体" w:eastAsia="宋体" w:cs="宋体"/>
              </w:rPr>
              <w:t>误差</w:t>
            </w:r>
            <w:r>
              <w:rPr>
                <w:rFonts w:hint="eastAsia" w:ascii="宋体" w:hAnsi="宋体" w:eastAsia="宋体" w:cs="宋体"/>
                <w:i/>
                <w:iCs/>
              </w:rPr>
              <w:t xml:space="preserve">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c>
          <w:tcPr>
            <w:tcW w:w="2214" w:type="dxa"/>
            <w:vAlign w:val="top"/>
          </w:tcPr>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Calibri" w:eastAsia="宋体" w:cs="Times New Roman"/>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Calibri" w:eastAsia="宋体" w:cs="Times New Roman"/>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Times New Roman" w:hAnsi="Calibri" w:eastAsia="宋体" w:cs="Times New Roman"/>
          <w:kern w:val="2"/>
          <w:sz w:val="24"/>
          <w:szCs w:val="24"/>
          <w:lang w:val="en-US" w:eastAsia="zh-CN" w:bidi="ar-SA"/>
        </w:rPr>
        <w:t xml:space="preserve"> </w:t>
      </w:r>
      <w:r>
        <w:rPr>
          <w:rFonts w:hint="eastAsia" w:ascii="宋体" w:hAnsi="宋体" w:cs="宋体"/>
          <w:lang w:eastAsia="zh-CN"/>
        </w:rPr>
        <w:t>示值误差</w:t>
      </w:r>
      <w:r>
        <w:rPr>
          <w:rFonts w:hint="eastAsia" w:ascii="宋体" w:hAnsi="宋体" w:cs="宋体"/>
          <w:lang w:val="en-US" w:eastAsia="zh-CN"/>
        </w:rPr>
        <w:t xml:space="preserve">    </w:t>
      </w:r>
      <w:r>
        <w:t>零点跟踪：口运行</w:t>
      </w:r>
      <w:r>
        <w:rPr>
          <w:rFonts w:hint="eastAsia"/>
          <w:lang w:val="en-US" w:eastAsia="zh-CN"/>
        </w:rPr>
        <w:t xml:space="preserve"> </w:t>
      </w:r>
      <w:r>
        <w:t>口不运行</w:t>
      </w:r>
      <w:r>
        <w:rPr>
          <w:rFonts w:hint="eastAsia"/>
          <w:lang w:val="en-US" w:eastAsia="zh-CN"/>
        </w:rPr>
        <w:t xml:space="preserve"> </w:t>
      </w:r>
      <w:r>
        <w:t xml:space="preserve"> 口超出工作范围</w:t>
      </w:r>
      <w:r>
        <w:rPr>
          <w:rFonts w:hint="eastAsia" w:ascii="宋体" w:hAnsi="宋体" w:cs="宋体"/>
          <w:lang w:val="en-US" w:eastAsia="zh-CN"/>
        </w:rPr>
        <w:t xml:space="preserve">     计量单位：</w:t>
      </w:r>
    </w:p>
    <w:tbl>
      <w:tblPr>
        <w:tblStyle w:val="25"/>
        <w:tblW w:w="864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60"/>
        <w:gridCol w:w="960"/>
        <w:gridCol w:w="960"/>
        <w:gridCol w:w="960"/>
        <w:gridCol w:w="960"/>
        <w:gridCol w:w="960"/>
        <w:gridCol w:w="96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载荷 L</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示值</w:t>
            </w:r>
            <w:r>
              <w:rPr>
                <w:rFonts w:hint="eastAsia" w:ascii="宋体" w:hAnsi="宋体" w:cs="宋体"/>
                <w:i w:val="0"/>
                <w:iCs w:val="0"/>
                <w:color w:val="000000"/>
                <w:kern w:val="0"/>
                <w:sz w:val="24"/>
                <w:szCs w:val="24"/>
                <w:u w:val="none"/>
                <w:lang w:val="en-US" w:eastAsia="zh-CN" w:bidi="ar"/>
              </w:rPr>
              <w:t>I</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附加载荷△L</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误差E</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修正误差</w:t>
            </w:r>
            <w:r>
              <w:rPr>
                <w:rFonts w:hint="eastAsia" w:ascii="宋体" w:hAnsi="宋体" w:eastAsia="宋体" w:cs="宋体"/>
                <w:kern w:val="0"/>
                <w:sz w:val="24"/>
                <w:szCs w:val="24"/>
              </w:rPr>
              <w:t>E</w:t>
            </w:r>
            <w:r>
              <w:rPr>
                <w:rFonts w:hint="eastAsia" w:ascii="宋体" w:hAnsi="宋体" w:eastAsia="宋体" w:cs="宋体"/>
                <w:kern w:val="0"/>
                <w:sz w:val="24"/>
                <w:szCs w:val="24"/>
                <w:vertAlign w:val="subscript"/>
              </w:rPr>
              <w:t xml:space="preserve">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top"/>
          </w:tcPr>
          <w:p>
            <w:pPr>
              <w:jc w:val="both"/>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spacing w:line="360" w:lineRule="auto"/>
      </w:pPr>
      <w:r>
        <w:t>重复性：零点跟踪：口运行</w:t>
      </w:r>
      <w:r>
        <w:rPr>
          <w:rFonts w:hint="eastAsia"/>
          <w:lang w:val="en-US" w:eastAsia="zh-CN"/>
        </w:rPr>
        <w:t xml:space="preserve"> </w:t>
      </w:r>
      <w:r>
        <w:t>口不运行</w:t>
      </w:r>
      <w:r>
        <w:rPr>
          <w:rFonts w:hint="eastAsia"/>
          <w:lang w:val="en-US" w:eastAsia="zh-CN"/>
        </w:rPr>
        <w:t xml:space="preserve"> </w:t>
      </w:r>
      <w:r>
        <w:t xml:space="preserve"> 口超出工作范围 </w:t>
      </w:r>
      <w:r>
        <w:rPr>
          <w:rFonts w:hint="eastAsia"/>
          <w:lang w:val="en-US" w:eastAsia="zh-CN"/>
        </w:rPr>
        <w:t xml:space="preserve">    </w:t>
      </w:r>
      <w:r>
        <w:t>计量单位：</w:t>
      </w:r>
    </w:p>
    <w:tbl>
      <w:tblPr>
        <w:tblStyle w:val="26"/>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400"/>
        <w:gridCol w:w="1284"/>
        <w:gridCol w:w="2116"/>
        <w:gridCol w:w="1434"/>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exact"/>
        </w:trPr>
        <w:tc>
          <w:tcPr>
            <w:tcW w:w="1261" w:type="dxa"/>
            <w:vAlign w:val="center"/>
          </w:tcPr>
          <w:p>
            <w:pPr>
              <w:spacing w:line="360" w:lineRule="auto"/>
              <w:jc w:val="center"/>
              <w:rPr>
                <w:rFonts w:hint="eastAsia" w:ascii="宋体" w:hAnsi="宋体" w:eastAsia="宋体" w:cs="宋体"/>
                <w:vertAlign w:val="baseline"/>
              </w:rPr>
            </w:pPr>
            <w:r>
              <w:rPr>
                <w:rFonts w:hint="eastAsia" w:ascii="宋体" w:hAnsi="宋体" w:eastAsia="宋体" w:cs="宋体"/>
              </w:rPr>
              <w:t>次数</w:t>
            </w:r>
          </w:p>
        </w:tc>
        <w:tc>
          <w:tcPr>
            <w:tcW w:w="1400" w:type="dxa"/>
            <w:vAlign w:val="center"/>
          </w:tcPr>
          <w:p>
            <w:pPr>
              <w:spacing w:line="360" w:lineRule="auto"/>
              <w:jc w:val="center"/>
              <w:rPr>
                <w:rFonts w:hint="eastAsia" w:ascii="宋体" w:hAnsi="宋体" w:eastAsia="宋体" w:cs="宋体"/>
                <w:vertAlign w:val="baseline"/>
              </w:rPr>
            </w:pPr>
            <w:r>
              <w:rPr>
                <w:rFonts w:hint="eastAsia" w:ascii="宋体" w:hAnsi="宋体" w:eastAsia="宋体" w:cs="宋体"/>
              </w:rPr>
              <w:t>载荷L</w:t>
            </w:r>
          </w:p>
        </w:tc>
        <w:tc>
          <w:tcPr>
            <w:tcW w:w="1284" w:type="dxa"/>
            <w:vAlign w:val="center"/>
          </w:tcPr>
          <w:p>
            <w:pPr>
              <w:spacing w:line="360" w:lineRule="auto"/>
              <w:jc w:val="center"/>
              <w:rPr>
                <w:rFonts w:hint="eastAsia" w:ascii="宋体" w:hAnsi="宋体" w:eastAsia="宋体" w:cs="宋体"/>
                <w:vertAlign w:val="baseline"/>
              </w:rPr>
            </w:pPr>
            <w:r>
              <w:rPr>
                <w:rFonts w:hint="eastAsia" w:ascii="宋体" w:hAnsi="宋体" w:eastAsia="宋体" w:cs="宋体"/>
              </w:rPr>
              <w:t>示值I</w:t>
            </w:r>
          </w:p>
        </w:tc>
        <w:tc>
          <w:tcPr>
            <w:tcW w:w="2116" w:type="dxa"/>
            <w:vAlign w:val="center"/>
          </w:tcPr>
          <w:p>
            <w:pPr>
              <w:spacing w:line="360" w:lineRule="auto"/>
              <w:jc w:val="center"/>
              <w:rPr>
                <w:rFonts w:hint="eastAsia" w:ascii="宋体" w:hAnsi="宋体" w:eastAsia="宋体" w:cs="宋体"/>
                <w:vertAlign w:val="baseline"/>
              </w:rPr>
            </w:pPr>
            <w:r>
              <w:rPr>
                <w:rFonts w:hint="eastAsia" w:ascii="宋体" w:hAnsi="宋体" w:eastAsia="宋体" w:cs="宋体"/>
              </w:rPr>
              <w:t xml:space="preserve">附加砝码 </w:t>
            </w:r>
            <w:r>
              <w:rPr>
                <w:rFonts w:hint="eastAsia" w:ascii="宋体" w:hAnsi="宋体" w:cs="宋体"/>
                <w:i/>
                <w:iCs/>
                <w:lang w:eastAsia="zh-CN"/>
              </w:rPr>
              <w:t>Δ</w:t>
            </w:r>
            <w:r>
              <w:rPr>
                <w:rFonts w:hint="eastAsia" w:ascii="宋体" w:hAnsi="宋体" w:eastAsia="宋体" w:cs="宋体"/>
              </w:rPr>
              <w:t>L</w:t>
            </w:r>
          </w:p>
        </w:tc>
        <w:tc>
          <w:tcPr>
            <w:tcW w:w="1434" w:type="dxa"/>
            <w:vAlign w:val="center"/>
          </w:tcPr>
          <w:p>
            <w:pPr>
              <w:spacing w:line="360" w:lineRule="auto"/>
              <w:jc w:val="center"/>
              <w:rPr>
                <w:rFonts w:hint="eastAsia" w:ascii="宋体" w:hAnsi="宋体" w:eastAsia="宋体" w:cs="宋体"/>
                <w:vertAlign w:val="baseline"/>
              </w:rPr>
            </w:pPr>
            <w:r>
              <w:rPr>
                <w:rFonts w:hint="eastAsia" w:ascii="宋体" w:hAnsi="宋体" w:eastAsia="宋体" w:cs="宋体"/>
              </w:rPr>
              <w:t>误差E</w:t>
            </w:r>
          </w:p>
        </w:tc>
        <w:tc>
          <w:tcPr>
            <w:tcW w:w="1361" w:type="dxa"/>
            <w:vAlign w:val="center"/>
          </w:tcPr>
          <w:p>
            <w:pPr>
              <w:spacing w:line="360" w:lineRule="auto"/>
              <w:jc w:val="center"/>
              <w:rPr>
                <w:rFonts w:hint="eastAsia" w:ascii="宋体" w:hAnsi="宋体" w:eastAsia="宋体" w:cs="宋体"/>
              </w:rPr>
            </w:pPr>
            <w:r>
              <w:rPr>
                <w:rFonts w:hint="eastAsia" w:ascii="宋体" w:hAnsi="宋体" w:eastAsia="宋体" w:cs="宋体"/>
              </w:rPr>
              <w:t>重复性</w:t>
            </w:r>
          </w:p>
          <w:p>
            <w:pPr>
              <w:spacing w:line="360" w:lineRule="auto"/>
              <w:jc w:val="center"/>
              <w:rPr>
                <w:rFonts w:hint="eastAsia" w:ascii="宋体" w:hAnsi="宋体" w:eastAsia="宋体" w:cs="宋体"/>
              </w:rPr>
            </w:pPr>
            <m:oMathPara>
              <m:oMath>
                <m:sSub>
                  <m:sSubPr>
                    <m:ctrlPr>
                      <w:rPr>
                        <w:rFonts w:hint="eastAsia" w:ascii="Cambria Math" w:hAnsi="Cambria Math" w:eastAsia="宋体" w:cs="宋体"/>
                        <w:i w:val="0"/>
                        <w:iCs w:val="0"/>
                        <w:sz w:val="24"/>
                      </w:rPr>
                    </m:ctrlPr>
                  </m:sSubPr>
                  <m:e>
                    <m:r>
                      <m:rPr>
                        <m:sty m:val="p"/>
                      </m:rPr>
                      <w:rPr>
                        <w:rFonts w:hint="default" w:ascii="Cambria Math" w:hAnsi="Cambria Math" w:eastAsia="宋体" w:cs="宋体"/>
                        <w:sz w:val="24"/>
                      </w:rPr>
                      <m:t>I</m:t>
                    </m:r>
                    <m:ctrlPr>
                      <w:rPr>
                        <w:rFonts w:hint="eastAsia" w:ascii="Cambria Math" w:hAnsi="Cambria Math" w:eastAsia="宋体" w:cs="宋体"/>
                        <w:i w:val="0"/>
                        <w:iCs w:val="0"/>
                        <w:sz w:val="24"/>
                      </w:rPr>
                    </m:ctrlPr>
                  </m:e>
                  <m:sub>
                    <m:r>
                      <m:rPr>
                        <m:sty m:val="p"/>
                      </m:rPr>
                      <w:rPr>
                        <w:rFonts w:hint="default" w:ascii="Cambria Math" w:hAnsi="Cambria Math" w:eastAsia="宋体" w:cs="宋体"/>
                        <w:sz w:val="24"/>
                      </w:rPr>
                      <m:t>max</m:t>
                    </m:r>
                    <m:ctrlPr>
                      <w:rPr>
                        <w:rFonts w:hint="eastAsia" w:ascii="Cambria Math" w:hAnsi="Cambria Math" w:eastAsia="宋体" w:cs="宋体"/>
                        <w:i w:val="0"/>
                        <w:iCs w:val="0"/>
                        <w:sz w:val="24"/>
                      </w:rPr>
                    </m:ctrlPr>
                  </m:sub>
                </m:sSub>
                <m:r>
                  <m:rPr>
                    <m:sty m:val="p"/>
                  </m:rPr>
                  <w:rPr>
                    <w:rFonts w:hint="eastAsia" w:ascii="Cambria Math" w:hAnsi="Cambria Math" w:eastAsia="宋体" w:cs="宋体"/>
                    <w:sz w:val="24"/>
                  </w:rPr>
                  <m:t>−</m:t>
                </m:r>
                <m:sSub>
                  <m:sSubPr>
                    <m:ctrlPr>
                      <w:rPr>
                        <w:rFonts w:hint="eastAsia" w:ascii="Cambria Math" w:hAnsi="Cambria Math" w:eastAsia="宋体" w:cs="宋体"/>
                        <w:i w:val="0"/>
                        <w:iCs w:val="0"/>
                        <w:sz w:val="24"/>
                      </w:rPr>
                    </m:ctrlPr>
                  </m:sSubPr>
                  <m:e>
                    <m:r>
                      <m:rPr>
                        <m:sty m:val="p"/>
                      </m:rPr>
                      <w:rPr>
                        <w:rFonts w:hint="default" w:ascii="Cambria Math" w:hAnsi="Cambria Math" w:eastAsia="宋体" w:cs="宋体"/>
                        <w:sz w:val="24"/>
                      </w:rPr>
                      <m:t>I</m:t>
                    </m:r>
                    <m:ctrlPr>
                      <w:rPr>
                        <w:rFonts w:hint="eastAsia" w:ascii="Cambria Math" w:hAnsi="Cambria Math" w:eastAsia="宋体" w:cs="宋体"/>
                        <w:i w:val="0"/>
                        <w:iCs w:val="0"/>
                        <w:sz w:val="24"/>
                      </w:rPr>
                    </m:ctrlPr>
                  </m:e>
                  <m:sub>
                    <m:r>
                      <m:rPr>
                        <m:sty m:val="p"/>
                      </m:rPr>
                      <w:rPr>
                        <w:rFonts w:hint="default" w:ascii="Cambria Math" w:hAnsi="Cambria Math" w:eastAsia="宋体" w:cs="宋体"/>
                        <w:sz w:val="24"/>
                      </w:rPr>
                      <m:t>min</m:t>
                    </m:r>
                    <m:ctrlPr>
                      <w:rPr>
                        <w:rFonts w:hint="eastAsia" w:ascii="Cambria Math" w:hAnsi="Cambria Math" w:eastAsia="宋体" w:cs="宋体"/>
                        <w:i w:val="0"/>
                        <w:iCs w:val="0"/>
                        <w:sz w:val="24"/>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61" w:type="dxa"/>
            <w:vAlign w:val="top"/>
          </w:tcPr>
          <w:p>
            <w:pPr>
              <w:spacing w:line="360" w:lineRule="auto"/>
              <w:jc w:val="center"/>
              <w:rPr>
                <w:rFonts w:hint="eastAsia" w:eastAsia="宋体"/>
                <w:vertAlign w:val="baseline"/>
                <w:lang w:val="en-US" w:eastAsia="zh-CN"/>
              </w:rPr>
            </w:pPr>
            <w:r>
              <w:rPr>
                <w:rFonts w:hint="eastAsia"/>
                <w:vertAlign w:val="baseline"/>
                <w:lang w:val="en-US" w:eastAsia="zh-CN"/>
              </w:rPr>
              <w:t>1</w:t>
            </w:r>
          </w:p>
        </w:tc>
        <w:tc>
          <w:tcPr>
            <w:tcW w:w="1400" w:type="dxa"/>
            <w:vAlign w:val="top"/>
          </w:tcPr>
          <w:p>
            <w:pPr>
              <w:spacing w:line="360" w:lineRule="auto"/>
              <w:rPr>
                <w:vertAlign w:val="baseline"/>
              </w:rPr>
            </w:pPr>
          </w:p>
        </w:tc>
        <w:tc>
          <w:tcPr>
            <w:tcW w:w="1284" w:type="dxa"/>
            <w:vAlign w:val="top"/>
          </w:tcPr>
          <w:p>
            <w:pPr>
              <w:spacing w:line="360" w:lineRule="auto"/>
              <w:rPr>
                <w:vertAlign w:val="baseline"/>
              </w:rPr>
            </w:pPr>
          </w:p>
        </w:tc>
        <w:tc>
          <w:tcPr>
            <w:tcW w:w="2116" w:type="dxa"/>
            <w:vAlign w:val="top"/>
          </w:tcPr>
          <w:p>
            <w:pPr>
              <w:spacing w:line="360" w:lineRule="auto"/>
              <w:rPr>
                <w:vertAlign w:val="baseline"/>
              </w:rPr>
            </w:pPr>
          </w:p>
        </w:tc>
        <w:tc>
          <w:tcPr>
            <w:tcW w:w="1434" w:type="dxa"/>
            <w:vAlign w:val="top"/>
          </w:tcPr>
          <w:p>
            <w:pPr>
              <w:spacing w:line="360" w:lineRule="auto"/>
              <w:rPr>
                <w:vertAlign w:val="baseline"/>
              </w:rPr>
            </w:pPr>
          </w:p>
        </w:tc>
        <w:tc>
          <w:tcPr>
            <w:tcW w:w="1361" w:type="dxa"/>
            <w:vMerge w:val="restart"/>
            <w:vAlign w:val="top"/>
          </w:tcPr>
          <w:p>
            <w:pPr>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61" w:type="dxa"/>
            <w:vAlign w:val="top"/>
          </w:tcPr>
          <w:p>
            <w:pPr>
              <w:spacing w:line="360" w:lineRule="auto"/>
              <w:jc w:val="center"/>
              <w:rPr>
                <w:rFonts w:hint="eastAsia" w:eastAsia="宋体"/>
                <w:vertAlign w:val="baseline"/>
                <w:lang w:val="en-US" w:eastAsia="zh-CN"/>
              </w:rPr>
            </w:pPr>
            <w:r>
              <w:rPr>
                <w:rFonts w:hint="eastAsia"/>
                <w:vertAlign w:val="baseline"/>
                <w:lang w:val="en-US" w:eastAsia="zh-CN"/>
              </w:rPr>
              <w:t>2</w:t>
            </w:r>
          </w:p>
        </w:tc>
        <w:tc>
          <w:tcPr>
            <w:tcW w:w="1400" w:type="dxa"/>
            <w:vAlign w:val="top"/>
          </w:tcPr>
          <w:p>
            <w:pPr>
              <w:spacing w:line="360" w:lineRule="auto"/>
              <w:rPr>
                <w:vertAlign w:val="baseline"/>
              </w:rPr>
            </w:pPr>
          </w:p>
        </w:tc>
        <w:tc>
          <w:tcPr>
            <w:tcW w:w="1284" w:type="dxa"/>
            <w:vAlign w:val="top"/>
          </w:tcPr>
          <w:p>
            <w:pPr>
              <w:spacing w:line="360" w:lineRule="auto"/>
              <w:rPr>
                <w:vertAlign w:val="baseline"/>
              </w:rPr>
            </w:pPr>
          </w:p>
        </w:tc>
        <w:tc>
          <w:tcPr>
            <w:tcW w:w="2116" w:type="dxa"/>
            <w:vAlign w:val="top"/>
          </w:tcPr>
          <w:p>
            <w:pPr>
              <w:spacing w:line="360" w:lineRule="auto"/>
              <w:rPr>
                <w:vertAlign w:val="baseline"/>
              </w:rPr>
            </w:pPr>
          </w:p>
        </w:tc>
        <w:tc>
          <w:tcPr>
            <w:tcW w:w="1434" w:type="dxa"/>
            <w:vAlign w:val="top"/>
          </w:tcPr>
          <w:p>
            <w:pPr>
              <w:spacing w:line="360" w:lineRule="auto"/>
              <w:rPr>
                <w:vertAlign w:val="baseline"/>
              </w:rPr>
            </w:pPr>
          </w:p>
        </w:tc>
        <w:tc>
          <w:tcPr>
            <w:tcW w:w="1361" w:type="dxa"/>
            <w:vMerge w:val="continue"/>
            <w:vAlign w:val="top"/>
          </w:tcPr>
          <w:p>
            <w:pPr>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61" w:type="dxa"/>
            <w:vAlign w:val="top"/>
          </w:tcPr>
          <w:p>
            <w:pPr>
              <w:spacing w:line="360" w:lineRule="auto"/>
              <w:jc w:val="center"/>
              <w:rPr>
                <w:rFonts w:hint="eastAsia" w:eastAsia="宋体"/>
                <w:vertAlign w:val="baseline"/>
                <w:lang w:val="en-US" w:eastAsia="zh-CN"/>
              </w:rPr>
            </w:pPr>
            <w:r>
              <w:rPr>
                <w:rFonts w:hint="eastAsia"/>
                <w:vertAlign w:val="baseline"/>
                <w:lang w:val="en-US" w:eastAsia="zh-CN"/>
              </w:rPr>
              <w:t>3</w:t>
            </w:r>
          </w:p>
        </w:tc>
        <w:tc>
          <w:tcPr>
            <w:tcW w:w="1400" w:type="dxa"/>
            <w:vAlign w:val="top"/>
          </w:tcPr>
          <w:p>
            <w:pPr>
              <w:spacing w:line="360" w:lineRule="auto"/>
              <w:rPr>
                <w:vertAlign w:val="baseline"/>
              </w:rPr>
            </w:pPr>
          </w:p>
        </w:tc>
        <w:tc>
          <w:tcPr>
            <w:tcW w:w="1284" w:type="dxa"/>
            <w:vAlign w:val="top"/>
          </w:tcPr>
          <w:p>
            <w:pPr>
              <w:spacing w:line="360" w:lineRule="auto"/>
              <w:rPr>
                <w:vertAlign w:val="baseline"/>
              </w:rPr>
            </w:pPr>
          </w:p>
        </w:tc>
        <w:tc>
          <w:tcPr>
            <w:tcW w:w="2116" w:type="dxa"/>
            <w:vAlign w:val="top"/>
          </w:tcPr>
          <w:p>
            <w:pPr>
              <w:spacing w:line="360" w:lineRule="auto"/>
              <w:rPr>
                <w:vertAlign w:val="baseline"/>
              </w:rPr>
            </w:pPr>
          </w:p>
        </w:tc>
        <w:tc>
          <w:tcPr>
            <w:tcW w:w="1434" w:type="dxa"/>
            <w:vAlign w:val="top"/>
          </w:tcPr>
          <w:p>
            <w:pPr>
              <w:spacing w:line="360" w:lineRule="auto"/>
              <w:rPr>
                <w:vertAlign w:val="baseline"/>
              </w:rPr>
            </w:pPr>
          </w:p>
        </w:tc>
        <w:tc>
          <w:tcPr>
            <w:tcW w:w="1361" w:type="dxa"/>
            <w:vMerge w:val="continue"/>
            <w:vAlign w:val="top"/>
          </w:tcPr>
          <w:p>
            <w:pPr>
              <w:spacing w:line="360" w:lineRule="auto"/>
              <w:rPr>
                <w:vertAlign w:val="baseline"/>
              </w:rPr>
            </w:pPr>
          </w:p>
        </w:tc>
      </w:tr>
    </w:tbl>
    <w:p>
      <w:pPr>
        <w:spacing w:line="360" w:lineRule="auto"/>
        <w:ind w:left="0" w:leftChars="0" w:firstLine="0" w:firstLineChars="0"/>
        <w:jc w:val="left"/>
        <w:rPr>
          <w:rFonts w:hint="eastAsia"/>
          <w:lang w:val="en-US" w:eastAsia="zh-CN"/>
        </w:rPr>
      </w:pPr>
      <w:r>
        <w:t>灌装试验</w:t>
      </w:r>
      <w:r>
        <w:rPr>
          <w:rFonts w:hint="eastAsia"/>
          <w:lang w:val="en-US" w:eastAsia="zh-CN"/>
        </w:rPr>
        <w:t xml:space="preserve">       </w:t>
      </w:r>
      <w:r>
        <w:t>预设值</w:t>
      </w:r>
      <w:r>
        <w:rPr>
          <w:rFonts w:hint="eastAsia"/>
          <w:lang w:val="en-US" w:eastAsia="zh-CN"/>
        </w:rPr>
        <w:t xml:space="preserve">=                                  </w:t>
      </w:r>
      <w:r>
        <w:t>计量单位：</w:t>
      </w:r>
      <w:r>
        <w:rPr>
          <w:rFonts w:hint="eastAsia"/>
          <w:lang w:val="en-US" w:eastAsia="zh-CN"/>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1605"/>
        <w:gridCol w:w="1569"/>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trPr>
        <w:tc>
          <w:tcPr>
            <w:tcW w:w="1476" w:type="dxa"/>
            <w:vAlign w:val="center"/>
          </w:tcPr>
          <w:p>
            <w:pPr>
              <w:spacing w:line="240" w:lineRule="auto"/>
              <w:jc w:val="center"/>
              <w:rPr>
                <w:rFonts w:hint="eastAsia"/>
                <w:vertAlign w:val="baseline"/>
                <w:lang w:val="en-US" w:eastAsia="zh-CN"/>
              </w:rPr>
            </w:pPr>
            <w:r>
              <w:t>序号</w:t>
            </w:r>
          </w:p>
        </w:tc>
        <w:tc>
          <w:tcPr>
            <w:tcW w:w="1852" w:type="dxa"/>
            <w:vAlign w:val="center"/>
          </w:tcPr>
          <w:p>
            <w:pPr>
              <w:spacing w:line="240" w:lineRule="auto"/>
              <w:ind w:left="240" w:leftChars="0" w:hanging="240" w:hangingChars="100"/>
              <w:jc w:val="center"/>
              <w:rPr>
                <w:rFonts w:hint="eastAsia" w:eastAsia="微软雅黑"/>
                <w:vertAlign w:val="baseline"/>
                <w:lang w:val="en-US" w:eastAsia="zh-CN"/>
              </w:rPr>
            </w:pPr>
            <w:r>
              <w:t>控制衡</w:t>
            </w:r>
            <w:r>
              <w:rPr>
                <w:rFonts w:hint="eastAsia"/>
                <w:lang w:eastAsia="zh-CN"/>
              </w:rPr>
              <w:t>器示值</w:t>
            </w:r>
          </w:p>
        </w:tc>
        <w:tc>
          <w:tcPr>
            <w:tcW w:w="1605" w:type="dxa"/>
            <w:vAlign w:val="center"/>
          </w:tcPr>
          <w:p>
            <w:pPr>
              <w:spacing w:line="240" w:lineRule="auto"/>
              <w:jc w:val="center"/>
              <w:rPr>
                <w:rFonts w:hint="eastAsia"/>
                <w:vertAlign w:val="baseline"/>
                <w:lang w:val="en-US" w:eastAsia="zh-CN"/>
              </w:rPr>
            </w:pPr>
            <w:r>
              <w:t>附加砝码</w:t>
            </w:r>
          </w:p>
        </w:tc>
        <w:tc>
          <w:tcPr>
            <w:tcW w:w="1569" w:type="dxa"/>
            <w:vAlign w:val="center"/>
          </w:tcPr>
          <w:p>
            <w:pPr>
              <w:spacing w:line="240" w:lineRule="auto"/>
              <w:ind w:left="0" w:leftChars="0" w:firstLine="0" w:firstLineChars="0"/>
              <w:jc w:val="center"/>
              <w:rPr>
                <w:rFonts w:hint="eastAsia"/>
                <w:vertAlign w:val="baseline"/>
                <w:lang w:val="en-US" w:eastAsia="zh-CN"/>
              </w:rPr>
            </w:pPr>
            <w:r>
              <w:t>装料质量</w:t>
            </w:r>
          </w:p>
        </w:tc>
        <w:tc>
          <w:tcPr>
            <w:tcW w:w="2376" w:type="dxa"/>
            <w:vAlign w:val="center"/>
          </w:tcPr>
          <w:p>
            <w:pPr>
              <w:spacing w:line="240" w:lineRule="auto"/>
              <w:jc w:val="center"/>
              <w:rPr>
                <w:rFonts w:hint="eastAsia"/>
                <w:vertAlign w:val="baseline"/>
                <w:lang w:val="en-US" w:eastAsia="zh-CN"/>
              </w:rPr>
            </w:pPr>
            <w:r>
              <w:t>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1</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2</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3</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4</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5</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6</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7</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vAlign w:val="top"/>
          </w:tcPr>
          <w:p>
            <w:pPr>
              <w:spacing w:line="360" w:lineRule="auto"/>
              <w:jc w:val="center"/>
              <w:rPr>
                <w:rFonts w:hint="default"/>
                <w:vertAlign w:val="baseline"/>
                <w:lang w:val="en-US" w:eastAsia="zh-CN"/>
              </w:rPr>
            </w:pPr>
            <w:r>
              <w:rPr>
                <w:rFonts w:hint="eastAsia"/>
                <w:vertAlign w:val="baseline"/>
                <w:lang w:val="en-US" w:eastAsia="zh-CN"/>
              </w:rPr>
              <w:t>8</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top"/>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vertAlign w:val="baseline"/>
                <w:lang w:val="en-US" w:eastAsia="zh-CN"/>
              </w:rPr>
              <w:t>9</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default" w:ascii="Calibri" w:hAnsi="Calibri" w:eastAsia="宋体" w:cs="Times New Roman"/>
                <w:kern w:val="2"/>
                <w:sz w:val="24"/>
                <w:szCs w:val="24"/>
                <w:vertAlign w:val="baseline"/>
                <w:lang w:val="en-US" w:eastAsia="zh-CN" w:bidi="ar-SA"/>
              </w:rPr>
            </w:pPr>
            <w:r>
              <w:rPr>
                <w:rFonts w:hint="eastAsia"/>
                <w:vertAlign w:val="baseline"/>
                <w:lang w:val="en-US" w:eastAsia="zh-CN"/>
              </w:rPr>
              <w:t>10</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240" w:lineRule="auto"/>
              <w:jc w:val="center"/>
              <w:rPr>
                <w:rFonts w:hint="eastAsia" w:ascii="Calibri" w:hAnsi="Calibri" w:eastAsia="宋体" w:cs="Times New Roman"/>
                <w:kern w:val="2"/>
                <w:sz w:val="24"/>
                <w:szCs w:val="24"/>
                <w:vertAlign w:val="baseline"/>
                <w:lang w:val="en-US" w:eastAsia="zh-CN" w:bidi="ar-SA"/>
              </w:rPr>
            </w:pPr>
            <w:r>
              <w:t>序号</w:t>
            </w:r>
          </w:p>
        </w:tc>
        <w:tc>
          <w:tcPr>
            <w:tcW w:w="1852" w:type="dxa"/>
            <w:shd w:val="clear" w:color="auto" w:fill="auto"/>
            <w:vAlign w:val="center"/>
          </w:tcPr>
          <w:p>
            <w:pPr>
              <w:spacing w:line="240" w:lineRule="auto"/>
              <w:ind w:left="240" w:leftChars="0" w:hanging="240" w:hangingChars="100"/>
              <w:jc w:val="center"/>
              <w:rPr>
                <w:rFonts w:hint="eastAsia" w:ascii="Calibri" w:hAnsi="Calibri" w:eastAsia="微软雅黑" w:cs="Times New Roman"/>
                <w:kern w:val="2"/>
                <w:sz w:val="24"/>
                <w:szCs w:val="24"/>
                <w:vertAlign w:val="baseline"/>
                <w:lang w:val="en-US" w:eastAsia="zh-CN" w:bidi="ar-SA"/>
              </w:rPr>
            </w:pPr>
            <w:r>
              <w:t>控制衡</w:t>
            </w:r>
            <w:r>
              <w:rPr>
                <w:rFonts w:hint="eastAsia"/>
                <w:lang w:eastAsia="zh-CN"/>
              </w:rPr>
              <w:t>器示值</w:t>
            </w:r>
          </w:p>
        </w:tc>
        <w:tc>
          <w:tcPr>
            <w:tcW w:w="1605" w:type="dxa"/>
            <w:shd w:val="clear" w:color="auto" w:fill="auto"/>
            <w:vAlign w:val="center"/>
          </w:tcPr>
          <w:p>
            <w:pPr>
              <w:spacing w:line="240" w:lineRule="auto"/>
              <w:jc w:val="center"/>
              <w:rPr>
                <w:rFonts w:hint="eastAsia" w:ascii="Calibri" w:hAnsi="Calibri" w:eastAsia="宋体" w:cs="Times New Roman"/>
                <w:kern w:val="2"/>
                <w:sz w:val="24"/>
                <w:szCs w:val="24"/>
                <w:vertAlign w:val="baseline"/>
                <w:lang w:val="en-US" w:eastAsia="zh-CN" w:bidi="ar-SA"/>
              </w:rPr>
            </w:pPr>
            <w:r>
              <w:t>附加砝码</w:t>
            </w:r>
          </w:p>
        </w:tc>
        <w:tc>
          <w:tcPr>
            <w:tcW w:w="1569" w:type="dxa"/>
            <w:shd w:val="clear" w:color="auto" w:fill="auto"/>
            <w:vAlign w:val="center"/>
          </w:tcPr>
          <w:p>
            <w:pPr>
              <w:spacing w:line="240" w:lineRule="auto"/>
              <w:ind w:left="0" w:leftChars="0" w:firstLine="0" w:firstLineChars="0"/>
              <w:jc w:val="center"/>
              <w:rPr>
                <w:rFonts w:hint="eastAsia" w:ascii="Calibri" w:hAnsi="Calibri" w:eastAsia="宋体" w:cs="Times New Roman"/>
                <w:kern w:val="2"/>
                <w:sz w:val="24"/>
                <w:szCs w:val="24"/>
                <w:vertAlign w:val="baseline"/>
                <w:lang w:val="en-US" w:eastAsia="zh-CN" w:bidi="ar-SA"/>
              </w:rPr>
            </w:pPr>
            <w:r>
              <w:t>装料质量</w:t>
            </w:r>
          </w:p>
        </w:tc>
        <w:tc>
          <w:tcPr>
            <w:tcW w:w="2376" w:type="dxa"/>
            <w:shd w:val="clear" w:color="auto" w:fill="auto"/>
            <w:vAlign w:val="center"/>
          </w:tcPr>
          <w:p>
            <w:pPr>
              <w:spacing w:line="240" w:lineRule="auto"/>
              <w:jc w:val="center"/>
              <w:rPr>
                <w:rFonts w:hint="eastAsia" w:ascii="Calibri" w:hAnsi="Calibri" w:eastAsia="宋体" w:cs="Times New Roman"/>
                <w:kern w:val="2"/>
                <w:sz w:val="24"/>
                <w:szCs w:val="24"/>
                <w:vertAlign w:val="baseline"/>
                <w:lang w:val="en-US" w:eastAsia="zh-CN" w:bidi="ar-SA"/>
              </w:rPr>
            </w:pPr>
            <w:r>
              <w:t>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default" w:ascii="Calibri" w:hAnsi="Calibri" w:eastAsia="宋体" w:cs="Times New Roman"/>
                <w:kern w:val="2"/>
                <w:sz w:val="24"/>
                <w:szCs w:val="24"/>
                <w:vertAlign w:val="baseline"/>
                <w:lang w:val="en-US" w:eastAsia="zh-CN" w:bidi="ar-SA"/>
              </w:rPr>
            </w:pPr>
            <w:r>
              <w:rPr>
                <w:rFonts w:hint="eastAsia" w:cs="Times New Roman"/>
                <w:kern w:val="2"/>
                <w:sz w:val="24"/>
                <w:szCs w:val="24"/>
                <w:vertAlign w:val="baseline"/>
                <w:lang w:val="en-US" w:eastAsia="zh-CN" w:bidi="ar-SA"/>
              </w:rPr>
              <w:t>11</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u w:val="none"/>
                <w:vertAlign w:val="baseline"/>
                <w:lang w:val="en-US" w:eastAsia="zh-CN"/>
              </w:rPr>
              <w:t>12</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u w:val="none"/>
                <w:vertAlign w:val="baseline"/>
                <w:lang w:val="en-US" w:eastAsia="zh-CN"/>
              </w:rPr>
              <w:t>13</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u w:val="none"/>
                <w:vertAlign w:val="baseline"/>
                <w:lang w:val="en-US" w:eastAsia="zh-CN"/>
              </w:rPr>
              <w:t>14</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u w:val="none"/>
                <w:vertAlign w:val="baseline"/>
                <w:lang w:val="en-US" w:eastAsia="zh-CN"/>
              </w:rPr>
              <w:t>15</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u w:val="none"/>
                <w:vertAlign w:val="baseline"/>
                <w:lang w:val="en-US" w:eastAsia="zh-CN"/>
              </w:rPr>
              <w:t>16</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default" w:ascii="Calibri" w:hAnsi="Calibri" w:eastAsia="宋体" w:cs="Times New Roman"/>
                <w:kern w:val="2"/>
                <w:sz w:val="24"/>
                <w:szCs w:val="24"/>
                <w:vertAlign w:val="baseline"/>
                <w:lang w:val="en-US" w:eastAsia="zh-CN" w:bidi="ar-SA"/>
              </w:rPr>
            </w:pPr>
            <w:r>
              <w:rPr>
                <w:rFonts w:hint="eastAsia"/>
                <w:u w:val="none"/>
                <w:vertAlign w:val="baseline"/>
                <w:lang w:val="en-US" w:eastAsia="zh-CN"/>
              </w:rPr>
              <w:t>17</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default" w:ascii="Calibri" w:hAnsi="Calibri" w:eastAsia="宋体" w:cs="Times New Roman"/>
                <w:kern w:val="2"/>
                <w:sz w:val="24"/>
                <w:szCs w:val="24"/>
                <w:vertAlign w:val="baseline"/>
                <w:lang w:val="en-US" w:eastAsia="zh-CN" w:bidi="ar-SA"/>
              </w:rPr>
            </w:pPr>
            <w:r>
              <w:rPr>
                <w:rFonts w:hint="eastAsia"/>
                <w:u w:val="none"/>
                <w:vertAlign w:val="baseline"/>
                <w:lang w:val="en-US" w:eastAsia="zh-CN"/>
              </w:rPr>
              <w:t>18</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ascii="Calibri" w:hAnsi="Calibri" w:eastAsia="宋体" w:cs="Times New Roman"/>
                <w:kern w:val="2"/>
                <w:sz w:val="24"/>
                <w:szCs w:val="24"/>
                <w:vertAlign w:val="baseline"/>
                <w:lang w:val="en-US" w:eastAsia="zh-CN" w:bidi="ar-SA"/>
              </w:rPr>
            </w:pPr>
            <w:r>
              <w:rPr>
                <w:rFonts w:hint="eastAsia"/>
                <w:u w:val="none"/>
                <w:vertAlign w:val="baseline"/>
                <w:lang w:val="en-US" w:eastAsia="zh-CN"/>
              </w:rPr>
              <w:t>19</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76" w:type="dxa"/>
            <w:shd w:val="clear" w:color="auto" w:fill="auto"/>
            <w:vAlign w:val="center"/>
          </w:tcPr>
          <w:p>
            <w:pPr>
              <w:spacing w:line="360" w:lineRule="auto"/>
              <w:jc w:val="center"/>
              <w:rPr>
                <w:rFonts w:hint="eastAsia"/>
                <w:u w:val="none"/>
                <w:vertAlign w:val="baseline"/>
                <w:lang w:val="en-US" w:eastAsia="zh-CN"/>
              </w:rPr>
            </w:pPr>
            <w:r>
              <w:rPr>
                <w:rFonts w:hint="eastAsia"/>
                <w:u w:val="none"/>
                <w:vertAlign w:val="baseline"/>
                <w:lang w:val="en-US" w:eastAsia="zh-CN"/>
              </w:rPr>
              <w:t>20</w:t>
            </w:r>
          </w:p>
        </w:tc>
        <w:tc>
          <w:tcPr>
            <w:tcW w:w="1852" w:type="dxa"/>
            <w:vAlign w:val="top"/>
          </w:tcPr>
          <w:p>
            <w:pPr>
              <w:spacing w:line="360" w:lineRule="auto"/>
              <w:rPr>
                <w:rFonts w:hint="eastAsia"/>
                <w:vertAlign w:val="baseline"/>
                <w:lang w:val="en-US" w:eastAsia="zh-CN"/>
              </w:rPr>
            </w:pPr>
          </w:p>
        </w:tc>
        <w:tc>
          <w:tcPr>
            <w:tcW w:w="1605" w:type="dxa"/>
            <w:vAlign w:val="top"/>
          </w:tcPr>
          <w:p>
            <w:pPr>
              <w:spacing w:line="360" w:lineRule="auto"/>
              <w:rPr>
                <w:rFonts w:hint="eastAsia"/>
                <w:vertAlign w:val="baseline"/>
                <w:lang w:val="en-US" w:eastAsia="zh-CN"/>
              </w:rPr>
            </w:pPr>
          </w:p>
        </w:tc>
        <w:tc>
          <w:tcPr>
            <w:tcW w:w="1569" w:type="dxa"/>
            <w:vAlign w:val="top"/>
          </w:tcPr>
          <w:p>
            <w:pPr>
              <w:spacing w:line="360" w:lineRule="auto"/>
              <w:rPr>
                <w:rFonts w:hint="eastAsia"/>
                <w:vertAlign w:val="baseline"/>
                <w:lang w:val="en-US" w:eastAsia="zh-CN"/>
              </w:rPr>
            </w:pPr>
          </w:p>
        </w:tc>
        <w:tc>
          <w:tcPr>
            <w:tcW w:w="2376" w:type="dxa"/>
            <w:vAlign w:val="top"/>
          </w:tcPr>
          <w:p>
            <w:pPr>
              <w:spacing w:line="360" w:lineRule="auto"/>
              <w:rPr>
                <w:rFonts w:hint="eastAsia"/>
                <w:vertAlign w:val="baseline"/>
                <w:lang w:val="en-US" w:eastAsia="zh-CN"/>
              </w:rPr>
            </w:pPr>
          </w:p>
        </w:tc>
      </w:tr>
    </w:tbl>
    <w:p>
      <w:pPr>
        <w:spacing w:line="360" w:lineRule="auto"/>
        <w:ind w:left="0" w:leftChars="0" w:firstLine="0" w:firstLineChars="0"/>
      </w:pPr>
      <w:r>
        <w:t>灌装试验结果的不确定度</w:t>
      </w:r>
      <w:r>
        <w:rPr>
          <w:rFonts w:hint="eastAsia"/>
          <w:lang w:val="en-US" w:eastAsia="zh-CN"/>
        </w:rPr>
        <w:t xml:space="preserve">                                  </w:t>
      </w:r>
      <w:r>
        <w:t>计量单位：</w:t>
      </w:r>
    </w:p>
    <w:tbl>
      <w:tblPr>
        <w:tblStyle w:val="26"/>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5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3289" w:type="dxa"/>
            <w:vAlign w:val="center"/>
          </w:tcPr>
          <w:p>
            <w:pPr>
              <w:spacing w:line="240" w:lineRule="auto"/>
              <w:ind w:left="0" w:leftChars="0" w:firstLine="0" w:firstLineChars="0"/>
              <w:jc w:val="center"/>
              <w:rPr>
                <w:vertAlign w:val="baseline"/>
              </w:rPr>
            </w:pPr>
            <w:r>
              <w:t>灌装值</w:t>
            </w:r>
          </w:p>
        </w:tc>
        <w:tc>
          <w:tcPr>
            <w:tcW w:w="5550" w:type="dxa"/>
            <w:vAlign w:val="center"/>
          </w:tcPr>
          <w:p>
            <w:pPr>
              <w:spacing w:line="240" w:lineRule="auto"/>
              <w:jc w:val="both"/>
              <w:rPr>
                <w:vertAlign w:val="baseline"/>
              </w:rPr>
            </w:pPr>
            <w:r>
              <w:t>扩展不确定度</w:t>
            </w:r>
            <w:r>
              <w:rPr>
                <w:rFonts w:hint="eastAsia" w:ascii="宋体" w:hAnsi="宋体" w:eastAsia="宋体" w:cs="宋体"/>
                <w:spacing w:val="0"/>
                <w:lang w:val="en-US" w:eastAsia="zh-CN"/>
              </w:rPr>
              <w:t>(</w:t>
            </w:r>
            <w:r>
              <w:rPr>
                <w:rFonts w:hint="eastAsia" w:ascii="宋体" w:hAnsi="宋体" w:eastAsia="宋体" w:cs="宋体"/>
                <w:i/>
                <w:iCs/>
                <w:spacing w:val="0"/>
                <w:lang w:val="en-US" w:eastAsia="zh-CN"/>
              </w:rPr>
              <w:t>U</w:t>
            </w:r>
            <w:r>
              <w:rPr>
                <w:rFonts w:hint="eastAsia" w:ascii="宋体" w:hAnsi="宋体" w:eastAsia="宋体" w:cs="宋体"/>
                <w:spacing w:val="0"/>
                <w:lang w:val="en-US" w:eastAsia="zh-CN"/>
              </w:rPr>
              <w:t>)</w:t>
            </w:r>
            <w:r>
              <w:rPr>
                <w:rFonts w:hint="eastAsia" w:ascii="宋体" w:hAnsi="宋体" w:cs="宋体"/>
                <w:spacing w:val="0"/>
                <w:lang w:val="en-US" w:eastAsia="zh-CN"/>
              </w:rPr>
              <w:t>(</w:t>
            </w:r>
            <w:r>
              <w:rPr>
                <w:rFonts w:hint="eastAsia" w:ascii="宋体" w:hAnsi="宋体" w:cs="宋体"/>
                <w:i/>
                <w:iCs/>
                <w:spacing w:val="0"/>
                <w:lang w:val="en-US" w:eastAsia="zh-CN"/>
              </w:rPr>
              <w:t>k</w:t>
            </w:r>
            <w:r>
              <w:rPr>
                <w:rFonts w:hint="eastAsia" w:ascii="宋体" w:hAnsi="宋体" w:cs="宋体"/>
                <w:spacing w:val="0"/>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289" w:type="dxa"/>
            <w:vAlign w:val="top"/>
          </w:tcPr>
          <w:p>
            <w:pPr>
              <w:spacing w:line="360" w:lineRule="auto"/>
              <w:rPr>
                <w:vertAlign w:val="baseline"/>
              </w:rPr>
            </w:pPr>
          </w:p>
        </w:tc>
        <w:tc>
          <w:tcPr>
            <w:tcW w:w="5550" w:type="dxa"/>
            <w:vAlign w:val="top"/>
          </w:tcPr>
          <w:p>
            <w:pPr>
              <w:spacing w:line="360" w:lineRule="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289" w:type="dxa"/>
            <w:vAlign w:val="top"/>
          </w:tcPr>
          <w:p>
            <w:pPr>
              <w:spacing w:line="360" w:lineRule="auto"/>
              <w:rPr>
                <w:vertAlign w:val="baseline"/>
              </w:rPr>
            </w:pPr>
          </w:p>
        </w:tc>
        <w:tc>
          <w:tcPr>
            <w:tcW w:w="5550" w:type="dxa"/>
            <w:vAlign w:val="top"/>
          </w:tcPr>
          <w:p>
            <w:pPr>
              <w:spacing w:line="360" w:lineRule="auto"/>
              <w:rPr>
                <w:vertAlign w:val="baseline"/>
              </w:rPr>
            </w:pPr>
          </w:p>
        </w:tc>
      </w:tr>
    </w:tbl>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spacing w:line="360" w:lineRule="auto"/>
        <w:rPr>
          <w:b/>
          <w:bCs/>
          <w:sz w:val="30"/>
          <w:szCs w:val="30"/>
          <w:u w:val="none"/>
        </w:rPr>
      </w:pPr>
      <w:r>
        <w:rPr>
          <w:b/>
          <w:bCs/>
          <w:sz w:val="30"/>
          <w:szCs w:val="30"/>
          <w:u w:val="none"/>
        </w:rPr>
        <w:t>附录B</w:t>
      </w:r>
    </w:p>
    <w:p>
      <w:pPr>
        <w:spacing w:line="360" w:lineRule="auto"/>
        <w:jc w:val="center"/>
        <w:rPr>
          <w:sz w:val="30"/>
          <w:szCs w:val="30"/>
        </w:rPr>
      </w:pPr>
      <w:r>
        <w:rPr>
          <w:sz w:val="30"/>
          <w:szCs w:val="30"/>
        </w:rPr>
        <w:t>校准证书结果页（参考）格式</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4"/>
        <w:gridCol w:w="788"/>
        <w:gridCol w:w="1496"/>
        <w:gridCol w:w="4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888" w:type="dxa"/>
            <w:gridSpan w:val="3"/>
            <w:vAlign w:val="top"/>
          </w:tcPr>
          <w:p>
            <w:pPr>
              <w:spacing w:line="360" w:lineRule="auto"/>
              <w:jc w:val="center"/>
              <w:rPr>
                <w:sz w:val="30"/>
                <w:szCs w:val="30"/>
                <w:vertAlign w:val="baseline"/>
              </w:rPr>
            </w:pPr>
            <w:r>
              <w:t>校准项目</w:t>
            </w:r>
          </w:p>
        </w:tc>
        <w:tc>
          <w:tcPr>
            <w:tcW w:w="4205" w:type="dxa"/>
            <w:vAlign w:val="top"/>
          </w:tcPr>
          <w:p>
            <w:pPr>
              <w:spacing w:line="360" w:lineRule="auto"/>
              <w:jc w:val="center"/>
              <w:rPr>
                <w:sz w:val="30"/>
                <w:szCs w:val="30"/>
                <w:vertAlign w:val="baseline"/>
              </w:rPr>
            </w:pPr>
            <w: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604" w:type="dxa"/>
            <w:vMerge w:val="restart"/>
            <w:vAlign w:val="center"/>
          </w:tcPr>
          <w:p>
            <w:pPr>
              <w:spacing w:line="360" w:lineRule="auto"/>
              <w:jc w:val="center"/>
              <w:rPr>
                <w:rFonts w:hint="eastAsia" w:eastAsia="宋体"/>
                <w:sz w:val="30"/>
                <w:szCs w:val="30"/>
                <w:vertAlign w:val="baseline"/>
                <w:lang w:eastAsia="zh-CN"/>
              </w:rPr>
            </w:pPr>
            <w:r>
              <w:rPr>
                <w:rFonts w:hint="eastAsia"/>
                <w:sz w:val="30"/>
                <w:szCs w:val="30"/>
                <w:vertAlign w:val="baseline"/>
                <w:lang w:eastAsia="zh-CN"/>
              </w:rPr>
              <w:t>静态称量</w:t>
            </w:r>
          </w:p>
        </w:tc>
        <w:tc>
          <w:tcPr>
            <w:tcW w:w="2284" w:type="dxa"/>
            <w:gridSpan w:val="2"/>
            <w:vAlign w:val="center"/>
          </w:tcPr>
          <w:p>
            <w:pPr>
              <w:spacing w:line="360" w:lineRule="auto"/>
              <w:jc w:val="center"/>
            </w:pPr>
            <w:r>
              <w:t>置零准确度</w:t>
            </w:r>
          </w:p>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604" w:type="dxa"/>
            <w:vMerge w:val="continue"/>
            <w:vAlign w:val="center"/>
          </w:tcPr>
          <w:p>
            <w:pPr>
              <w:spacing w:line="360" w:lineRule="auto"/>
              <w:jc w:val="center"/>
              <w:rPr>
                <w:sz w:val="30"/>
                <w:szCs w:val="30"/>
                <w:vertAlign w:val="baseline"/>
              </w:rPr>
            </w:pPr>
          </w:p>
        </w:tc>
        <w:tc>
          <w:tcPr>
            <w:tcW w:w="2284" w:type="dxa"/>
            <w:gridSpan w:val="2"/>
            <w:vAlign w:val="center"/>
          </w:tcPr>
          <w:p>
            <w:pPr>
              <w:spacing w:line="360" w:lineRule="auto"/>
              <w:jc w:val="center"/>
            </w:pPr>
            <w:r>
              <w:t>除皮准确度</w:t>
            </w:r>
          </w:p>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604" w:type="dxa"/>
            <w:vMerge w:val="continue"/>
            <w:vAlign w:val="center"/>
          </w:tcPr>
          <w:p>
            <w:pPr>
              <w:spacing w:line="360" w:lineRule="auto"/>
              <w:jc w:val="center"/>
              <w:rPr>
                <w:rFonts w:hint="eastAsia" w:eastAsia="宋体"/>
                <w:sz w:val="30"/>
                <w:szCs w:val="30"/>
                <w:vertAlign w:val="baseline"/>
                <w:lang w:eastAsia="zh-CN"/>
              </w:rPr>
            </w:pPr>
          </w:p>
        </w:tc>
        <w:tc>
          <w:tcPr>
            <w:tcW w:w="788" w:type="dxa"/>
            <w:vMerge w:val="restart"/>
            <w:vAlign w:val="center"/>
          </w:tcPr>
          <w:p>
            <w:pPr>
              <w:spacing w:line="360" w:lineRule="auto"/>
              <w:jc w:val="center"/>
              <w:rPr>
                <w:rFonts w:hint="eastAsia" w:eastAsia="宋体"/>
                <w:sz w:val="30"/>
                <w:szCs w:val="30"/>
                <w:vertAlign w:val="baseline"/>
                <w:lang w:eastAsia="zh-CN"/>
              </w:rPr>
            </w:pPr>
            <w:r>
              <w:rPr>
                <w:rFonts w:hint="eastAsia"/>
                <w:sz w:val="30"/>
                <w:szCs w:val="30"/>
                <w:vertAlign w:val="baseline"/>
                <w:lang w:eastAsia="zh-CN"/>
              </w:rPr>
              <w:t>载荷</w:t>
            </w:r>
          </w:p>
        </w:tc>
        <w:tc>
          <w:tcPr>
            <w:tcW w:w="1496" w:type="dxa"/>
            <w:vAlign w:val="top"/>
          </w:tcPr>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604" w:type="dxa"/>
            <w:vMerge w:val="continue"/>
            <w:vAlign w:val="top"/>
          </w:tcPr>
          <w:p>
            <w:pPr>
              <w:spacing w:line="360" w:lineRule="auto"/>
              <w:jc w:val="center"/>
              <w:rPr>
                <w:sz w:val="30"/>
                <w:szCs w:val="30"/>
                <w:vertAlign w:val="baseline"/>
              </w:rPr>
            </w:pPr>
          </w:p>
        </w:tc>
        <w:tc>
          <w:tcPr>
            <w:tcW w:w="788" w:type="dxa"/>
            <w:vMerge w:val="continue"/>
            <w:vAlign w:val="top"/>
          </w:tcPr>
          <w:p>
            <w:pPr>
              <w:spacing w:line="360" w:lineRule="auto"/>
              <w:jc w:val="center"/>
              <w:rPr>
                <w:sz w:val="30"/>
                <w:szCs w:val="30"/>
                <w:vertAlign w:val="baseline"/>
              </w:rPr>
            </w:pPr>
          </w:p>
        </w:tc>
        <w:tc>
          <w:tcPr>
            <w:tcW w:w="1496" w:type="dxa"/>
            <w:vAlign w:val="top"/>
          </w:tcPr>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604" w:type="dxa"/>
            <w:vMerge w:val="continue"/>
            <w:vAlign w:val="top"/>
          </w:tcPr>
          <w:p>
            <w:pPr>
              <w:spacing w:line="360" w:lineRule="auto"/>
              <w:jc w:val="center"/>
              <w:rPr>
                <w:sz w:val="30"/>
                <w:szCs w:val="30"/>
                <w:vertAlign w:val="baseline"/>
              </w:rPr>
            </w:pPr>
          </w:p>
        </w:tc>
        <w:tc>
          <w:tcPr>
            <w:tcW w:w="788" w:type="dxa"/>
            <w:vMerge w:val="continue"/>
            <w:vAlign w:val="top"/>
          </w:tcPr>
          <w:p>
            <w:pPr>
              <w:spacing w:line="360" w:lineRule="auto"/>
              <w:jc w:val="center"/>
              <w:rPr>
                <w:sz w:val="30"/>
                <w:szCs w:val="30"/>
                <w:vertAlign w:val="baseline"/>
              </w:rPr>
            </w:pPr>
          </w:p>
        </w:tc>
        <w:tc>
          <w:tcPr>
            <w:tcW w:w="1496" w:type="dxa"/>
            <w:vAlign w:val="top"/>
          </w:tcPr>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888" w:type="dxa"/>
            <w:gridSpan w:val="3"/>
            <w:vAlign w:val="top"/>
          </w:tcPr>
          <w:p>
            <w:pPr>
              <w:spacing w:line="360" w:lineRule="auto"/>
              <w:jc w:val="center"/>
            </w:pPr>
            <w:r>
              <w:t>重复性</w:t>
            </w:r>
          </w:p>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888" w:type="dxa"/>
            <w:gridSpan w:val="3"/>
            <w:vAlign w:val="top"/>
          </w:tcPr>
          <w:p>
            <w:pPr>
              <w:spacing w:line="360" w:lineRule="auto"/>
              <w:jc w:val="center"/>
            </w:pPr>
            <w:r>
              <w:rPr>
                <w:rFonts w:hint="eastAsia"/>
                <w:lang w:eastAsia="zh-CN"/>
              </w:rPr>
              <w:t>灌</w:t>
            </w:r>
            <w:r>
              <w:t>装试验</w:t>
            </w:r>
          </w:p>
          <w:p>
            <w:pPr>
              <w:spacing w:line="360" w:lineRule="auto"/>
              <w:jc w:val="center"/>
              <w:rPr>
                <w:sz w:val="30"/>
                <w:szCs w:val="30"/>
                <w:vertAlign w:val="baseline"/>
              </w:rPr>
            </w:pPr>
          </w:p>
        </w:tc>
        <w:tc>
          <w:tcPr>
            <w:tcW w:w="4205" w:type="dxa"/>
            <w:vAlign w:val="top"/>
          </w:tcPr>
          <w:p>
            <w:pPr>
              <w:spacing w:line="360" w:lineRule="auto"/>
              <w:jc w:val="center"/>
              <w:rPr>
                <w:sz w:val="30"/>
                <w:szCs w:val="30"/>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trPr>
        <w:tc>
          <w:tcPr>
            <w:tcW w:w="4888" w:type="dxa"/>
            <w:gridSpan w:val="3"/>
            <w:vAlign w:val="center"/>
          </w:tcPr>
          <w:p>
            <w:pPr>
              <w:spacing w:line="240" w:lineRule="auto"/>
              <w:jc w:val="center"/>
              <w:rPr>
                <w:sz w:val="30"/>
                <w:szCs w:val="30"/>
                <w:vertAlign w:val="baseline"/>
              </w:rPr>
            </w:pPr>
            <w:r>
              <w:rPr>
                <w:rFonts w:hint="eastAsia" w:ascii="宋体" w:hAnsi="宋体" w:eastAsia="宋体" w:cs="宋体"/>
                <w:spacing w:val="0"/>
              </w:rPr>
              <w:t>测量结果</w:t>
            </w:r>
            <w:r>
              <w:rPr>
                <w:rFonts w:hint="eastAsia" w:ascii="宋体" w:hAnsi="宋体" w:eastAsia="宋体" w:cs="宋体"/>
                <w:spacing w:val="0"/>
                <w:lang w:eastAsia="zh-CN"/>
              </w:rPr>
              <w:t>不</w:t>
            </w:r>
            <w:r>
              <w:rPr>
                <w:rFonts w:hint="eastAsia" w:ascii="宋体" w:hAnsi="宋体" w:eastAsia="宋体" w:cs="宋体"/>
                <w:spacing w:val="0"/>
              </w:rPr>
              <w:t>确</w:t>
            </w:r>
            <w:r>
              <w:rPr>
                <w:rFonts w:hint="eastAsia" w:ascii="宋体" w:hAnsi="宋体" w:eastAsia="宋体" w:cs="宋体"/>
                <w:spacing w:val="0"/>
                <w:lang w:eastAsia="zh-CN"/>
              </w:rPr>
              <w:t>度</w:t>
            </w:r>
            <w:r>
              <w:rPr>
                <w:rFonts w:hint="eastAsia" w:ascii="宋体" w:hAnsi="宋体" w:cs="宋体"/>
                <w:spacing w:val="0"/>
                <w:lang w:val="en-US" w:eastAsia="zh-CN"/>
              </w:rPr>
              <w:t>(</w:t>
            </w:r>
            <w:r>
              <w:rPr>
                <w:rFonts w:hint="eastAsia" w:ascii="宋体" w:hAnsi="宋体" w:cs="宋体"/>
                <w:i/>
                <w:iCs/>
                <w:spacing w:val="0"/>
                <w:lang w:val="en-US" w:eastAsia="zh-CN"/>
              </w:rPr>
              <w:t>U</w:t>
            </w:r>
            <w:r>
              <w:rPr>
                <w:rFonts w:hint="eastAsia" w:ascii="宋体" w:hAnsi="宋体" w:cs="宋体"/>
                <w:spacing w:val="0"/>
                <w:lang w:val="en-US" w:eastAsia="zh-CN"/>
              </w:rPr>
              <w:t>)(</w:t>
            </w:r>
            <w:r>
              <w:rPr>
                <w:rFonts w:hint="eastAsia" w:ascii="宋体" w:hAnsi="宋体" w:cs="宋体"/>
                <w:i/>
                <w:iCs/>
                <w:spacing w:val="0"/>
                <w:lang w:val="en-US" w:eastAsia="zh-CN"/>
              </w:rPr>
              <w:t>k</w:t>
            </w:r>
            <w:r>
              <w:rPr>
                <w:rFonts w:hint="eastAsia" w:ascii="宋体" w:hAnsi="宋体" w:cs="宋体"/>
                <w:spacing w:val="0"/>
                <w:lang w:val="en-US" w:eastAsia="zh-CN"/>
              </w:rPr>
              <w:t xml:space="preserve">=  ) </w:t>
            </w:r>
            <w:r>
              <w:rPr>
                <w:rFonts w:hint="eastAsia" w:ascii="宋体" w:hAnsi="宋体" w:eastAsia="宋体" w:cs="宋体"/>
                <w:spacing w:val="0"/>
              </w:rPr>
              <w:t>(灌装试验）</w:t>
            </w:r>
          </w:p>
        </w:tc>
        <w:tc>
          <w:tcPr>
            <w:tcW w:w="4205" w:type="dxa"/>
            <w:vAlign w:val="center"/>
          </w:tcPr>
          <w:p>
            <w:pPr>
              <w:spacing w:line="360" w:lineRule="auto"/>
              <w:ind w:left="0" w:leftChars="0" w:firstLine="0" w:firstLineChars="0"/>
              <w:jc w:val="center"/>
              <w:rPr>
                <w:rFonts w:hint="default"/>
                <w:sz w:val="30"/>
                <w:szCs w:val="30"/>
                <w:vertAlign w:val="baseline"/>
                <w:lang w:val="en-US"/>
              </w:rPr>
            </w:pPr>
          </w:p>
        </w:tc>
      </w:tr>
    </w:tbl>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pStyle w:val="77"/>
        <w:spacing w:line="360" w:lineRule="auto"/>
        <w:ind w:firstLine="480"/>
        <w:rPr>
          <w:rFonts w:ascii="Times New Roman" w:hAnsi="Calibri" w:eastAsia="宋体" w:cs="Times New Roman"/>
          <w:kern w:val="2"/>
          <w:sz w:val="24"/>
          <w:szCs w:val="24"/>
          <w:lang w:val="en-US" w:eastAsia="zh-CN" w:bidi="ar-SA"/>
        </w:rPr>
      </w:pPr>
    </w:p>
    <w:p>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附录C</w:t>
      </w:r>
    </w:p>
    <w:p>
      <w:pPr>
        <w:spacing w:line="360" w:lineRule="auto"/>
        <w:jc w:val="center"/>
        <w:rPr>
          <w:rFonts w:hint="eastAsia" w:ascii="宋体" w:hAnsi="宋体" w:eastAsia="宋体" w:cs="宋体"/>
          <w:b/>
          <w:bCs/>
          <w:sz w:val="24"/>
          <w:szCs w:val="24"/>
        </w:rPr>
      </w:pPr>
      <w:r>
        <w:rPr>
          <w:rFonts w:hint="eastAsia" w:ascii="宋体" w:hAnsi="宋体" w:cs="宋体"/>
          <w:b/>
          <w:bCs/>
          <w:sz w:val="24"/>
          <w:szCs w:val="24"/>
          <w:lang w:eastAsia="zh-CN"/>
        </w:rPr>
        <w:t>液化气灌装秤</w:t>
      </w:r>
      <w:r>
        <w:rPr>
          <w:rFonts w:hint="eastAsia" w:ascii="宋体" w:hAnsi="宋体" w:eastAsia="宋体" w:cs="宋体"/>
          <w:b/>
          <w:bCs/>
          <w:sz w:val="24"/>
          <w:szCs w:val="24"/>
        </w:rPr>
        <w:t>不确定度评定示例</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1</w:t>
      </w:r>
      <w:r>
        <w:rPr>
          <w:rFonts w:hint="eastAsia" w:ascii="宋体" w:hAnsi="宋体" w:cs="宋体"/>
          <w:lang w:eastAsia="zh-CN"/>
        </w:rPr>
        <w:t>液化气灌装秤</w:t>
      </w:r>
      <w:r>
        <w:rPr>
          <w:rFonts w:hint="eastAsia" w:ascii="宋体" w:hAnsi="宋体" w:eastAsia="宋体" w:cs="宋体"/>
        </w:rPr>
        <w:t>测量结果不确定度评定</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1.1 测量方法</w:t>
      </w:r>
    </w:p>
    <w:p>
      <w:pPr>
        <w:spacing w:line="360" w:lineRule="auto"/>
        <w:ind w:firstLine="480" w:firstLineChars="200"/>
        <w:rPr>
          <w:rFonts w:hint="eastAsia" w:ascii="宋体" w:hAnsi="宋体" w:eastAsia="宋体" w:cs="宋体"/>
        </w:rPr>
      </w:pPr>
      <w:r>
        <w:rPr>
          <w:rFonts w:hint="eastAsia" w:ascii="宋体" w:hAnsi="宋体" w:eastAsia="宋体" w:cs="宋体"/>
        </w:rPr>
        <w:t>将被校</w:t>
      </w:r>
      <w:r>
        <w:rPr>
          <w:rFonts w:hint="eastAsia" w:ascii="宋体" w:hAnsi="宋体" w:cs="宋体"/>
          <w:lang w:eastAsia="zh-CN"/>
        </w:rPr>
        <w:t>液化气灌装秤</w:t>
      </w:r>
      <w:r>
        <w:rPr>
          <w:rFonts w:hint="eastAsia" w:ascii="宋体" w:hAnsi="宋体" w:eastAsia="宋体" w:cs="宋体"/>
        </w:rPr>
        <w:t>（Max</w:t>
      </w:r>
      <w:r>
        <w:rPr>
          <w:rFonts w:hint="eastAsia" w:ascii="宋体" w:hAnsi="宋体" w:eastAsia="宋体" w:cs="宋体"/>
          <w:lang w:eastAsia="zh-CN"/>
        </w:rPr>
        <w:t>＝</w:t>
      </w:r>
      <w:r>
        <w:rPr>
          <w:rFonts w:hint="eastAsia" w:ascii="宋体" w:hAnsi="宋体" w:eastAsia="宋体" w:cs="宋体"/>
        </w:rPr>
        <w:t>120kg，d=100g）按生产厂技术要求进行预热</w:t>
      </w:r>
      <w:r>
        <w:rPr>
          <w:rFonts w:hint="eastAsia" w:ascii="宋体" w:hAnsi="宋体" w:eastAsia="宋体" w:cs="宋体"/>
          <w:lang w:eastAsia="zh-CN"/>
        </w:rPr>
        <w:t>。</w:t>
      </w:r>
      <w:r>
        <w:rPr>
          <w:rFonts w:hint="eastAsia" w:ascii="宋体" w:hAnsi="宋体" w:eastAsia="宋体" w:cs="宋体"/>
        </w:rPr>
        <w:t>随后采用规格为 LPG15 的液化石油气钢瓶，以 14.5kg 作为灌装预设值进行灌装，在最大灌装速度下灌装次数20次，灌装后的钢瓶放到经检定合格的控制衡器（Max</w:t>
      </w:r>
      <w:r>
        <w:rPr>
          <w:rFonts w:hint="eastAsia" w:ascii="宋体" w:hAnsi="宋体" w:eastAsia="宋体" w:cs="宋体"/>
          <w:lang w:eastAsia="zh-CN"/>
        </w:rPr>
        <w:t>＝</w:t>
      </w:r>
      <w:r>
        <w:rPr>
          <w:rFonts w:hint="eastAsia" w:ascii="宋体" w:hAnsi="宋体" w:eastAsia="宋体" w:cs="宋体"/>
        </w:rPr>
        <w:t>100kg,e</w:t>
      </w:r>
      <w:r>
        <w:rPr>
          <w:rFonts w:hint="eastAsia" w:ascii="宋体" w:hAnsi="宋体" w:eastAsia="宋体" w:cs="宋体"/>
          <w:lang w:eastAsia="zh-CN"/>
        </w:rPr>
        <w:t>＝</w:t>
      </w:r>
      <w:r>
        <w:rPr>
          <w:rFonts w:hint="eastAsia" w:ascii="宋体" w:hAnsi="宋体" w:eastAsia="宋体" w:cs="宋体"/>
        </w:rPr>
        <w:t>20g）上再次进行称量，确定灌装气体的实际质量。实际质量与灌装预设值相减，得出</w:t>
      </w:r>
      <w:r>
        <w:rPr>
          <w:rFonts w:hint="eastAsia" w:ascii="宋体" w:hAnsi="宋体" w:cs="宋体"/>
          <w:lang w:eastAsia="zh-CN"/>
        </w:rPr>
        <w:t>液化气灌装秤</w:t>
      </w:r>
      <w:r>
        <w:rPr>
          <w:rFonts w:hint="eastAsia" w:ascii="宋体" w:hAnsi="宋体" w:eastAsia="宋体" w:cs="宋体"/>
        </w:rPr>
        <w:t>的灌装偏差。</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1.2 测量模型</w:t>
      </w:r>
    </w:p>
    <w:p>
      <w:pPr>
        <w:spacing w:line="360" w:lineRule="auto"/>
        <w:rPr>
          <w:rFonts w:hint="eastAsia" w:ascii="宋体" w:hAnsi="宋体" w:eastAsia="宋体" w:cs="宋体"/>
        </w:rPr>
      </w:pPr>
      <w:r>
        <w:rPr>
          <w:rFonts w:hint="eastAsia" w:ascii="宋体" w:hAnsi="宋体" w:eastAsia="宋体" w:cs="宋体"/>
          <w:lang w:eastAsia="zh-CN"/>
        </w:rPr>
        <w:t>　　</w:t>
      </w:r>
      <w:r>
        <w:rPr>
          <w:rFonts w:hint="eastAsia" w:ascii="宋体" w:hAnsi="宋体" w:eastAsia="宋体" w:cs="宋体"/>
        </w:rPr>
        <w:t>灌装误差可由公式(C.1.1)给出：</w:t>
      </w:r>
    </w:p>
    <w:p>
      <w:pPr>
        <w:spacing w:line="360" w:lineRule="auto"/>
        <w:ind w:firstLine="3600" w:firstLineChars="1500"/>
        <w:jc w:val="left"/>
        <w:rPr>
          <w:rFonts w:hint="eastAsia" w:ascii="宋体" w:hAnsi="宋体" w:eastAsia="宋体" w:cs="宋体"/>
        </w:rPr>
      </w:pPr>
      <w:r>
        <w:rPr>
          <w:rFonts w:hint="eastAsia" w:ascii="宋体" w:hAnsi="宋体" w:eastAsia="宋体" w:cs="宋体"/>
        </w:rPr>
        <w:t xml:space="preserve">E=m-P </w:t>
      </w:r>
      <w:r>
        <w:rPr>
          <w:rFonts w:hint="eastAsia" w:ascii="宋体" w:hAnsi="宋体" w:cs="宋体"/>
          <w:lang w:val="en-US" w:eastAsia="zh-CN"/>
        </w:rPr>
        <w:t xml:space="preserve">                             </w:t>
      </w:r>
      <w:r>
        <w:rPr>
          <w:rFonts w:hint="eastAsia" w:ascii="宋体" w:hAnsi="宋体" w:eastAsia="宋体" w:cs="宋体"/>
        </w:rPr>
        <w:t>(C.1.1)</w:t>
      </w:r>
    </w:p>
    <w:p>
      <w:pPr>
        <w:spacing w:line="360" w:lineRule="auto"/>
        <w:ind w:firstLine="480" w:firstLineChars="200"/>
        <w:rPr>
          <w:rFonts w:hint="eastAsia" w:ascii="宋体" w:hAnsi="宋体" w:eastAsia="宋体" w:cs="宋体"/>
        </w:rPr>
      </w:pPr>
      <w:r>
        <w:rPr>
          <w:rFonts w:hint="eastAsia" w:ascii="宋体" w:hAnsi="宋体" w:eastAsia="宋体" w:cs="宋体"/>
        </w:rPr>
        <w:t>式中：</w:t>
      </w:r>
    </w:p>
    <w:p>
      <w:pPr>
        <w:spacing w:line="360" w:lineRule="auto"/>
        <w:ind w:firstLine="960" w:firstLineChars="400"/>
        <w:rPr>
          <w:rFonts w:hint="eastAsia" w:ascii="宋体" w:hAnsi="宋体" w:eastAsia="宋体" w:cs="宋体"/>
          <w:lang w:eastAsia="zh-CN"/>
        </w:rPr>
      </w:pPr>
      <w:r>
        <w:rPr>
          <w:rFonts w:hint="eastAsia" w:ascii="宋体" w:hAnsi="宋体" w:eastAsia="宋体" w:cs="宋体"/>
        </w:rPr>
        <w:t>E——每次灌装与灌装预设值的偏差，kg</w:t>
      </w:r>
      <w:r>
        <w:rPr>
          <w:rFonts w:hint="eastAsia" w:ascii="宋体" w:hAnsi="宋体" w:cs="宋体"/>
          <w:lang w:eastAsia="zh-CN"/>
        </w:rPr>
        <w:t>；</w:t>
      </w:r>
    </w:p>
    <w:p>
      <w:pPr>
        <w:spacing w:line="360" w:lineRule="auto"/>
        <w:ind w:firstLine="960" w:firstLineChars="400"/>
        <w:rPr>
          <w:rFonts w:hint="eastAsia" w:ascii="宋体" w:hAnsi="宋体" w:eastAsia="宋体" w:cs="宋体"/>
          <w:lang w:eastAsia="zh-CN"/>
        </w:rPr>
      </w:pPr>
      <w:r>
        <w:rPr>
          <w:rFonts w:hint="eastAsia" w:ascii="宋体" w:hAnsi="宋体" w:eastAsia="宋体" w:cs="宋体"/>
        </w:rPr>
        <w:t>m——</w:t>
      </w:r>
      <w:r>
        <w:rPr>
          <w:rFonts w:hint="eastAsia" w:ascii="宋体" w:hAnsi="宋体" w:cs="宋体"/>
          <w:lang w:eastAsia="zh-CN"/>
        </w:rPr>
        <w:t>液化气灌装秤</w:t>
      </w:r>
      <w:r>
        <w:rPr>
          <w:rFonts w:hint="eastAsia" w:ascii="宋体" w:hAnsi="宋体" w:eastAsia="宋体" w:cs="宋体"/>
        </w:rPr>
        <w:t>实际灌装质量，kg</w:t>
      </w:r>
      <w:r>
        <w:rPr>
          <w:rFonts w:hint="eastAsia" w:ascii="宋体" w:hAnsi="宋体" w:cs="宋体"/>
          <w:lang w:eastAsia="zh-CN"/>
        </w:rPr>
        <w:t>；</w:t>
      </w:r>
    </w:p>
    <w:p>
      <w:pPr>
        <w:spacing w:line="360" w:lineRule="auto"/>
        <w:ind w:firstLine="960" w:firstLineChars="400"/>
        <w:rPr>
          <w:rFonts w:hint="eastAsia" w:ascii="宋体" w:hAnsi="宋体" w:eastAsia="宋体" w:cs="宋体"/>
          <w:lang w:eastAsia="zh-CN"/>
        </w:rPr>
      </w:pPr>
      <w:r>
        <w:rPr>
          <w:rFonts w:hint="eastAsia" w:ascii="宋体" w:hAnsi="宋体" w:eastAsia="宋体" w:cs="宋体"/>
        </w:rPr>
        <w:t>P——灌装预设值，kg</w:t>
      </w:r>
      <w:r>
        <w:rPr>
          <w:rFonts w:hint="eastAsia" w:ascii="宋体" w:hAnsi="宋体" w:cs="宋体"/>
          <w:lang w:eastAsia="zh-CN"/>
        </w:rPr>
        <w:t>。</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1.3合成标准不确定度</w:t>
      </w:r>
    </w:p>
    <w:p>
      <w:pPr>
        <w:spacing w:line="360" w:lineRule="auto"/>
        <w:ind w:firstLine="480" w:firstLineChars="200"/>
        <w:rPr>
          <w:rFonts w:hint="eastAsia" w:ascii="宋体" w:hAnsi="宋体" w:eastAsia="宋体" w:cs="宋体"/>
        </w:rPr>
      </w:pPr>
      <w:r>
        <w:rPr>
          <w:rFonts w:hint="eastAsia" w:ascii="宋体" w:hAnsi="宋体" w:eastAsia="宋体" w:cs="宋体"/>
        </w:rPr>
        <w:t>由于灌装预设值P是确定值，其不确定度为0.由式(C.1.1)可得E的合成标准不确定度为</w:t>
      </w:r>
    </w:p>
    <w:p>
      <w:pPr>
        <w:spacing w:line="360" w:lineRule="auto"/>
        <w:ind w:firstLine="3600" w:firstLineChars="1500"/>
        <w:rPr>
          <w:rFonts w:hint="eastAsia" w:ascii="宋体" w:hAnsi="宋体" w:eastAsia="宋体" w:cs="宋体"/>
        </w:rPr>
      </w:pPr>
      <w:r>
        <w:rPr>
          <w:rFonts w:hint="eastAsia" w:ascii="宋体" w:hAnsi="宋体" w:cs="宋体"/>
          <w:i/>
          <w:iCs/>
          <w:lang w:val="en-US" w:eastAsia="zh-CN"/>
        </w:rPr>
        <w:t>u</w:t>
      </w:r>
      <w:r>
        <w:rPr>
          <w:rFonts w:hint="eastAsia" w:ascii="宋体" w:hAnsi="宋体" w:cs="宋体"/>
          <w:i/>
          <w:iCs/>
          <w:vertAlign w:val="subscript"/>
          <w:lang w:val="en-US" w:eastAsia="zh-CN"/>
        </w:rPr>
        <w:t>c</w:t>
      </w:r>
      <w:r>
        <w:rPr>
          <w:rFonts w:hint="eastAsia" w:ascii="宋体" w:hAnsi="宋体" w:eastAsia="宋体" w:cs="宋体"/>
        </w:rPr>
        <w:t>(E)=</w:t>
      </w:r>
      <w:r>
        <w:rPr>
          <w:rFonts w:hint="eastAsia" w:ascii="宋体" w:hAnsi="宋体" w:cs="宋体"/>
          <w:i/>
          <w:iCs/>
          <w:lang w:val="en-US" w:eastAsia="zh-CN"/>
        </w:rPr>
        <w:t>u</w:t>
      </w:r>
      <w:r>
        <w:rPr>
          <w:rFonts w:hint="eastAsia" w:ascii="宋体" w:hAnsi="宋体" w:eastAsia="宋体" w:cs="宋体"/>
        </w:rPr>
        <w:t xml:space="preserve">(m) </w:t>
      </w:r>
      <w:r>
        <w:rPr>
          <w:rFonts w:hint="eastAsia" w:ascii="宋体" w:hAnsi="宋体" w:cs="宋体"/>
          <w:lang w:val="en-US" w:eastAsia="zh-CN"/>
        </w:rPr>
        <w:t xml:space="preserve">                         </w:t>
      </w:r>
      <w:r>
        <w:rPr>
          <w:rFonts w:hint="eastAsia" w:ascii="宋体" w:hAnsi="宋体" w:eastAsia="宋体" w:cs="宋体"/>
        </w:rPr>
        <w:t>(C.1.2)</w:t>
      </w:r>
    </w:p>
    <w:p>
      <w:pPr>
        <w:spacing w:line="360" w:lineRule="auto"/>
        <w:ind w:firstLine="480" w:firstLineChars="200"/>
        <w:rPr>
          <w:rFonts w:hint="eastAsia" w:ascii="宋体" w:hAnsi="宋体" w:eastAsia="宋体" w:cs="宋体"/>
        </w:rPr>
      </w:pPr>
      <w:r>
        <w:rPr>
          <w:rFonts w:hint="eastAsia" w:ascii="宋体" w:hAnsi="宋体" w:eastAsia="宋体" w:cs="宋体"/>
        </w:rPr>
        <w:t>其中：</w:t>
      </w:r>
      <w:r>
        <w:rPr>
          <w:rFonts w:hint="eastAsia" w:ascii="宋体" w:hAnsi="宋体" w:eastAsia="宋体" w:cs="宋体"/>
          <w:i/>
          <w:iCs/>
        </w:rPr>
        <w:t>u</w:t>
      </w:r>
      <w:r>
        <w:rPr>
          <w:rFonts w:hint="eastAsia" w:ascii="宋体" w:hAnsi="宋体" w:eastAsia="宋体" w:cs="宋体"/>
        </w:rPr>
        <w:t>(m)表示实际灌装质量m 的标准不确定度。</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C.1.4 不确定度来源</w:t>
      </w:r>
    </w:p>
    <w:p>
      <w:pPr>
        <w:spacing w:line="360" w:lineRule="auto"/>
        <w:ind w:firstLine="480" w:firstLineChars="200"/>
        <w:rPr>
          <w:rFonts w:hint="eastAsia" w:ascii="宋体" w:hAnsi="宋体" w:eastAsia="宋体" w:cs="宋体"/>
        </w:rPr>
      </w:pPr>
      <w:r>
        <w:rPr>
          <w:rFonts w:hint="eastAsia" w:ascii="宋体" w:hAnsi="宋体" w:eastAsia="宋体" w:cs="宋体"/>
        </w:rPr>
        <w:t>不确定度</w:t>
      </w:r>
      <w:r>
        <w:rPr>
          <w:rFonts w:hint="eastAsia" w:ascii="宋体" w:hAnsi="宋体" w:cs="宋体"/>
          <w:i/>
          <w:iCs/>
          <w:lang w:val="en-US" w:eastAsia="zh-CN"/>
        </w:rPr>
        <w:t>u</w:t>
      </w:r>
      <w:r>
        <w:rPr>
          <w:rFonts w:hint="eastAsia" w:ascii="宋体" w:hAnsi="宋体" w:eastAsia="宋体" w:cs="宋体"/>
        </w:rPr>
        <w:t>(m)主要源于每次自动灌装实际质量的重复性引入的不确定度分量</w:t>
      </w:r>
    </w:p>
    <w:p>
      <w:pPr>
        <w:spacing w:line="360" w:lineRule="auto"/>
        <w:rPr>
          <w:rFonts w:hint="eastAsia" w:ascii="宋体" w:hAnsi="宋体" w:eastAsia="宋体" w:cs="宋体"/>
        </w:rPr>
      </w:pPr>
      <w:r>
        <w:rPr>
          <w:rFonts w:hint="eastAsia" w:ascii="宋体" w:hAnsi="宋体" w:cs="宋体"/>
          <w:i/>
          <w:iCs/>
          <w:lang w:val="en-US" w:eastAsia="zh-CN"/>
        </w:rPr>
        <w:t>u</w:t>
      </w:r>
      <w:r>
        <w:rPr>
          <w:rFonts w:hint="eastAsia" w:ascii="宋体" w:hAnsi="宋体" w:cs="宋体"/>
          <w:i/>
          <w:iCs/>
          <w:vertAlign w:val="subscript"/>
          <w:lang w:val="en-US" w:eastAsia="zh-CN"/>
        </w:rPr>
        <w:t>1</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)和控制衡器引入的不确定度分量</w:t>
      </w:r>
      <w:r>
        <w:rPr>
          <w:rFonts w:hint="eastAsia" w:ascii="宋体" w:hAnsi="宋体" w:cs="宋体"/>
          <w:i/>
          <w:iCs/>
          <w:lang w:val="en-US" w:eastAsia="zh-CN"/>
        </w:rPr>
        <w:t>u</w:t>
      </w:r>
      <w:r>
        <w:rPr>
          <w:rFonts w:hint="eastAsia" w:ascii="宋体" w:hAnsi="宋体" w:cs="宋体"/>
          <w:i/>
          <w:iCs/>
          <w:vertAlign w:val="subscript"/>
          <w:lang w:val="en-US" w:eastAsia="zh-CN"/>
        </w:rPr>
        <w:t>2</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)，可以认为两者互不相关，从而有</w:t>
      </w:r>
    </w:p>
    <w:p>
      <w:pPr>
        <w:spacing w:line="360" w:lineRule="auto"/>
        <w:ind w:firstLine="3360" w:firstLineChars="1400"/>
        <w:jc w:val="left"/>
        <w:rPr>
          <w:rFonts w:hint="eastAsia" w:ascii="宋体" w:hAnsi="宋体" w:eastAsia="宋体" w:cs="宋体"/>
        </w:rPr>
      </w:pPr>
      <w:r>
        <w:rPr>
          <w:rFonts w:hint="eastAsia" w:ascii="宋体" w:hAnsi="宋体" w:cs="宋体"/>
          <w:i/>
          <w:iCs/>
          <w:lang w:val="en-US" w:eastAsia="zh-CN"/>
        </w:rPr>
        <w:t>u</w:t>
      </w:r>
      <w:r>
        <w:rPr>
          <w:rFonts w:hint="eastAsia" w:ascii="宋体" w:hAnsi="宋体" w:eastAsia="宋体" w:cs="宋体"/>
        </w:rPr>
        <w:t>(m)</w:t>
      </w:r>
      <w:r>
        <w:rPr>
          <w:rFonts w:hint="eastAsia" w:ascii="宋体" w:hAnsi="宋体" w:cs="宋体"/>
          <w:lang w:val="en-US" w:eastAsia="zh-CN"/>
        </w:rPr>
        <w:t>=</w:t>
      </w:r>
      <m:oMath>
        <m:rad>
          <m:radPr>
            <m:degHide m:val="1"/>
            <m:ctrlPr>
              <w:rPr>
                <w:rFonts w:ascii="Cambria Math" w:hAnsi="Cambria Math" w:cs="宋体"/>
                <w:i/>
                <w:sz w:val="24"/>
                <w:lang w:val="en-US"/>
              </w:rPr>
            </m:ctrlPr>
          </m:radPr>
          <m:deg>
            <m:ctrlPr>
              <w:rPr>
                <w:rFonts w:ascii="Cambria Math" w:hAnsi="Cambria Math" w:cs="宋体"/>
                <w:i/>
                <w:sz w:val="24"/>
                <w:lang w:val="en-US"/>
              </w:rPr>
            </m:ctrlPr>
          </m:deg>
          <m:e>
            <m:sSubSup>
              <m:sSubSupPr>
                <m:ctrlPr>
                  <w:rPr>
                    <w:rFonts w:ascii="Cambria Math" w:hAnsi="Cambria Math" w:cs="宋体"/>
                    <w:i/>
                    <w:sz w:val="24"/>
                    <w:lang w:val="en-US"/>
                  </w:rPr>
                </m:ctrlPr>
              </m:sSubSupPr>
              <m:e>
                <m:r>
                  <m:rPr/>
                  <w:rPr>
                    <w:rFonts w:hint="default" w:ascii="Cambria Math" w:hAnsi="Cambria Math" w:cs="宋体"/>
                    <w:sz w:val="24"/>
                    <w:lang w:val="en-US" w:eastAsia="zh-CN"/>
                  </w:rPr>
                  <m:t>u</m:t>
                </m:r>
                <m:ctrlPr>
                  <w:rPr>
                    <w:rFonts w:ascii="Cambria Math" w:hAnsi="Cambria Math" w:cs="宋体"/>
                    <w:i/>
                    <w:sz w:val="24"/>
                    <w:lang w:val="en-US"/>
                  </w:rPr>
                </m:ctrlPr>
              </m:e>
              <m:sub>
                <m:r>
                  <m:rPr/>
                  <w:rPr>
                    <w:rFonts w:hint="default" w:ascii="Cambria Math" w:hAnsi="Cambria Math" w:cs="宋体"/>
                    <w:sz w:val="24"/>
                    <w:lang w:val="en-US" w:eastAsia="zh-CN"/>
                  </w:rPr>
                  <m:t>1</m:t>
                </m:r>
                <m:ctrlPr>
                  <w:rPr>
                    <w:rFonts w:ascii="Cambria Math" w:hAnsi="Cambria Math" w:cs="宋体"/>
                    <w:i/>
                    <w:sz w:val="24"/>
                    <w:lang w:val="en-US"/>
                  </w:rPr>
                </m:ctrlPr>
              </m:sub>
              <m:sup>
                <m:r>
                  <m:rPr/>
                  <w:rPr>
                    <w:rFonts w:hint="default" w:ascii="Cambria Math" w:hAnsi="Cambria Math" w:cs="宋体"/>
                    <w:sz w:val="24"/>
                    <w:lang w:val="en-US" w:eastAsia="zh-CN"/>
                  </w:rPr>
                  <m:t>2</m:t>
                </m:r>
                <m:ctrlPr>
                  <w:rPr>
                    <w:rFonts w:ascii="Cambria Math" w:hAnsi="Cambria Math" w:cs="宋体"/>
                    <w:i/>
                    <w:sz w:val="24"/>
                    <w:lang w:val="en-US"/>
                  </w:rPr>
                </m:ctrlPr>
              </m:sup>
            </m:sSubSup>
            <m:r>
              <m:rPr>
                <m:sty m:val="p"/>
              </m:rPr>
              <w:rPr>
                <w:rFonts w:hint="eastAsia" w:ascii="宋体" w:hAnsi="宋体" w:eastAsia="宋体" w:cs="宋体"/>
                <w:sz w:val="24"/>
              </w:rPr>
              <m:t>(</m:t>
            </m:r>
            <m:r>
              <m:rPr>
                <m:sty m:val="p"/>
              </m:rPr>
              <w:rPr>
                <w:rFonts w:hint="eastAsia" w:ascii="宋体" w:hAnsi="宋体" w:cs="宋体"/>
                <w:sz w:val="24"/>
                <w:lang w:val="en-US" w:eastAsia="zh-CN"/>
              </w:rPr>
              <m:t>m</m:t>
            </m:r>
            <m:r>
              <m:rPr>
                <m:sty m:val="p"/>
              </m:rPr>
              <w:rPr>
                <w:rFonts w:hint="eastAsia" w:ascii="宋体" w:hAnsi="宋体" w:eastAsia="宋体" w:cs="宋体"/>
                <w:sz w:val="24"/>
              </w:rPr>
              <m:t>)</m:t>
            </m:r>
            <m:r>
              <m:rPr>
                <m:sty m:val="p"/>
              </m:rPr>
              <w:rPr>
                <w:rFonts w:hint="default" w:ascii="Cambria Math" w:hAnsi="Cambria Math" w:cs="宋体"/>
                <w:sz w:val="24"/>
                <w:lang w:val="en-US" w:eastAsia="zh-CN"/>
              </w:rPr>
              <m:t>+</m:t>
            </m:r>
            <m:sSubSup>
              <m:sSubSupPr>
                <m:ctrlPr>
                  <w:rPr>
                    <w:rFonts w:ascii="Cambria Math" w:hAnsi="Cambria Math" w:cs="宋体"/>
                    <w:i/>
                    <w:sz w:val="24"/>
                    <w:lang w:val="en-US"/>
                  </w:rPr>
                </m:ctrlPr>
              </m:sSubSupPr>
              <m:e>
                <m:r>
                  <m:rPr/>
                  <w:rPr>
                    <w:rFonts w:hint="default" w:ascii="Cambria Math" w:hAnsi="Cambria Math" w:cs="宋体"/>
                    <w:sz w:val="24"/>
                    <w:lang w:val="en-US" w:eastAsia="zh-CN"/>
                  </w:rPr>
                  <m:t>u</m:t>
                </m:r>
                <m:ctrlPr>
                  <w:rPr>
                    <w:rFonts w:ascii="Cambria Math" w:hAnsi="Cambria Math" w:cs="宋体"/>
                    <w:i/>
                    <w:sz w:val="24"/>
                    <w:lang w:val="en-US"/>
                  </w:rPr>
                </m:ctrlPr>
              </m:e>
              <m:sub>
                <m:r>
                  <m:rPr/>
                  <w:rPr>
                    <w:rFonts w:hint="default" w:ascii="Cambria Math" w:hAnsi="Cambria Math" w:cs="宋体"/>
                    <w:sz w:val="24"/>
                    <w:lang w:val="en-US" w:eastAsia="zh-CN"/>
                  </w:rPr>
                  <m:t>2</m:t>
                </m:r>
                <m:ctrlPr>
                  <w:rPr>
                    <w:rFonts w:ascii="Cambria Math" w:hAnsi="Cambria Math" w:cs="宋体"/>
                    <w:i/>
                    <w:sz w:val="24"/>
                    <w:lang w:val="en-US"/>
                  </w:rPr>
                </m:ctrlPr>
              </m:sub>
              <m:sup>
                <m:r>
                  <m:rPr/>
                  <w:rPr>
                    <w:rFonts w:hint="default" w:ascii="Cambria Math" w:hAnsi="Cambria Math" w:cs="宋体"/>
                    <w:sz w:val="24"/>
                    <w:lang w:val="en-US" w:eastAsia="zh-CN"/>
                  </w:rPr>
                  <m:t>2</m:t>
                </m:r>
                <m:ctrlPr>
                  <w:rPr>
                    <w:rFonts w:ascii="Cambria Math" w:hAnsi="Cambria Math" w:cs="宋体"/>
                    <w:i/>
                    <w:sz w:val="24"/>
                    <w:lang w:val="en-US"/>
                  </w:rPr>
                </m:ctrlPr>
              </m:sup>
            </m:sSubSup>
            <m:r>
              <m:rPr>
                <m:sty m:val="p"/>
              </m:rPr>
              <w:rPr>
                <w:rFonts w:hint="eastAsia" w:ascii="宋体" w:hAnsi="宋体" w:eastAsia="宋体" w:cs="宋体"/>
                <w:sz w:val="24"/>
              </w:rPr>
              <m:t>(</m:t>
            </m:r>
            <m:r>
              <m:rPr>
                <m:sty m:val="p"/>
              </m:rPr>
              <w:rPr>
                <w:rFonts w:hint="eastAsia" w:ascii="宋体" w:hAnsi="宋体" w:cs="宋体"/>
                <w:sz w:val="24"/>
                <w:lang w:val="en-US" w:eastAsia="zh-CN"/>
              </w:rPr>
              <m:t>m</m:t>
            </m:r>
            <m:r>
              <m:rPr>
                <m:sty m:val="p"/>
              </m:rPr>
              <w:rPr>
                <w:rFonts w:hint="eastAsia" w:ascii="宋体" w:hAnsi="宋体" w:eastAsia="宋体" w:cs="宋体"/>
                <w:sz w:val="24"/>
              </w:rPr>
              <m:t>)</m:t>
            </m:r>
            <m:ctrlPr>
              <w:rPr>
                <w:rFonts w:ascii="Cambria Math" w:hAnsi="Cambria Math" w:cs="宋体"/>
                <w:i/>
                <w:sz w:val="24"/>
                <w:lang w:val="en-US"/>
              </w:rPr>
            </m:ctrlPr>
          </m:e>
        </m:rad>
      </m:oMath>
      <w:r>
        <w:rPr>
          <w:rFonts w:hint="eastAsia" w:hAnsi="Cambria Math" w:cs="宋体"/>
          <w:i w:val="0"/>
          <w:sz w:val="24"/>
          <w:lang w:val="en-US" w:eastAsia="zh-CN"/>
        </w:rPr>
        <w:t xml:space="preserve">                  </w:t>
      </w:r>
      <w:r>
        <w:rPr>
          <w:rFonts w:hint="eastAsia" w:ascii="宋体" w:hAnsi="宋体" w:eastAsia="宋体" w:cs="宋体"/>
        </w:rPr>
        <w:t>(C.1.3)</w:t>
      </w:r>
    </w:p>
    <w:p>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C.1.5 标准不确定度分量计算</w:t>
      </w:r>
    </w:p>
    <w:p>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C.1.5.1 自动灌装实际质量的重复性引入的标准不确定度分量</w:t>
      </w:r>
      <w:r>
        <w:rPr>
          <w:rFonts w:hint="eastAsia" w:ascii="宋体" w:hAnsi="宋体" w:cs="宋体"/>
          <w:i/>
          <w:iCs/>
          <w:lang w:val="en-US" w:eastAsia="zh-CN"/>
        </w:rPr>
        <w:t>u</w:t>
      </w:r>
      <w:r>
        <w:rPr>
          <w:rFonts w:hint="eastAsia" w:ascii="宋体" w:hAnsi="宋体" w:cs="宋体"/>
          <w:i/>
          <w:iCs/>
          <w:vertAlign w:val="subscript"/>
          <w:lang w:val="en-US" w:eastAsia="zh-CN"/>
        </w:rPr>
        <w:t>1</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)的评定</w:t>
      </w:r>
    </w:p>
    <w:p>
      <w:pPr>
        <w:spacing w:line="360" w:lineRule="auto"/>
        <w:ind w:firstLine="480" w:firstLineChars="200"/>
        <w:jc w:val="left"/>
      </w:pPr>
      <w:r>
        <w:rPr>
          <w:rFonts w:hint="eastAsia" w:ascii="宋体" w:hAnsi="宋体" w:eastAsia="宋体" w:cs="宋体"/>
        </w:rPr>
        <w:t>重复性引入的</w:t>
      </w:r>
      <w:r>
        <w:t>标准不确定度分量</w:t>
      </w:r>
      <w:r>
        <w:rPr>
          <w:rFonts w:hint="eastAsia" w:ascii="宋体" w:hAnsi="宋体" w:cs="宋体"/>
          <w:i/>
          <w:iCs/>
          <w:lang w:val="en-US" w:eastAsia="zh-CN"/>
        </w:rPr>
        <w:t>u</w:t>
      </w:r>
      <w:r>
        <w:rPr>
          <w:rFonts w:hint="eastAsia" w:ascii="宋体" w:hAnsi="宋体" w:cs="宋体"/>
          <w:i/>
          <w:iCs/>
          <w:vertAlign w:val="subscript"/>
          <w:lang w:val="en-US" w:eastAsia="zh-CN"/>
        </w:rPr>
        <w:t>1</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t>由重复性实验统计获得的标准不确定度值</w:t>
      </w:r>
      <w:r>
        <w:rPr>
          <w:rFonts w:hint="eastAsia" w:ascii="宋体" w:hAnsi="宋体" w:cs="宋体"/>
          <w:i/>
          <w:iCs/>
          <w:lang w:val="en-US" w:eastAsia="zh-CN"/>
        </w:rPr>
        <w:t>u</w:t>
      </w:r>
      <w:r>
        <w:rPr>
          <w:rFonts w:hint="eastAsia" w:ascii="宋体" w:hAnsi="宋体" w:cs="宋体"/>
          <w:i/>
          <w:iCs/>
          <w:vertAlign w:val="subscript"/>
          <w:lang w:val="en-US" w:eastAsia="zh-CN"/>
        </w:rPr>
        <w:t>1a</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t>与</w:t>
      </w:r>
      <w:r>
        <w:rPr>
          <w:rFonts w:hint="eastAsia"/>
          <w:lang w:eastAsia="zh-CN"/>
        </w:rPr>
        <w:t>液化气灌装秤</w:t>
      </w:r>
      <w:r>
        <w:t>有限分辨力引入的不确定度值</w:t>
      </w:r>
      <w:r>
        <w:rPr>
          <w:rFonts w:hint="eastAsia" w:ascii="宋体" w:hAnsi="宋体" w:cs="宋体"/>
          <w:i/>
          <w:iCs/>
          <w:lang w:val="en-US" w:eastAsia="zh-CN"/>
        </w:rPr>
        <w:t>u</w:t>
      </w:r>
      <w:r>
        <w:rPr>
          <w:rFonts w:hint="eastAsia" w:ascii="宋体" w:hAnsi="宋体" w:cs="宋体"/>
          <w:i/>
          <w:iCs/>
          <w:vertAlign w:val="subscript"/>
          <w:lang w:val="en-US" w:eastAsia="zh-CN"/>
        </w:rPr>
        <w:t>1b</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t>，按可靠原则合理取大，即</w:t>
      </w:r>
    </w:p>
    <w:p>
      <w:pPr>
        <w:spacing w:line="360" w:lineRule="auto"/>
        <w:ind w:firstLine="3360" w:firstLineChars="1400"/>
        <w:jc w:val="left"/>
        <w:rPr>
          <w:rFonts w:hint="eastAsia"/>
          <w:lang w:eastAsia="zh-CN"/>
        </w:rPr>
      </w:pPr>
      <w:r>
        <w:rPr>
          <w:rFonts w:hint="eastAsia" w:ascii="宋体" w:hAnsi="宋体" w:cs="宋体"/>
          <w:i/>
          <w:iCs/>
          <w:lang w:val="en-US" w:eastAsia="zh-CN"/>
        </w:rPr>
        <w:t>u</w:t>
      </w:r>
      <w:r>
        <w:rPr>
          <w:rFonts w:hint="eastAsia" w:ascii="宋体" w:hAnsi="宋体" w:cs="宋体"/>
          <w:i/>
          <w:iCs/>
          <w:vertAlign w:val="subscript"/>
          <w:lang w:val="en-US" w:eastAsia="zh-CN"/>
        </w:rPr>
        <w:t>1</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t>=max</w:t>
      </w:r>
      <w:r>
        <w:rPr>
          <w:rFonts w:hint="eastAsia"/>
          <w:lang w:val="en-US" w:eastAsia="zh-CN"/>
        </w:rPr>
        <w:t>{</w:t>
      </w:r>
      <w:r>
        <w:rPr>
          <w:rFonts w:hint="eastAsia" w:ascii="宋体" w:hAnsi="宋体" w:cs="宋体"/>
          <w:i/>
          <w:iCs/>
          <w:lang w:val="en-US" w:eastAsia="zh-CN"/>
        </w:rPr>
        <w:t>u</w:t>
      </w:r>
      <w:r>
        <w:rPr>
          <w:rFonts w:hint="eastAsia" w:ascii="宋体" w:hAnsi="宋体" w:cs="宋体"/>
          <w:i/>
          <w:iCs/>
          <w:vertAlign w:val="subscript"/>
          <w:lang w:val="en-US" w:eastAsia="zh-CN"/>
        </w:rPr>
        <w:t>1a</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rPr>
          <w:rFonts w:hint="eastAsia" w:ascii="宋体" w:hAnsi="宋体" w:cs="宋体"/>
          <w:lang w:eastAsia="zh-CN"/>
        </w:rPr>
        <w:t>，</w:t>
      </w:r>
      <w:r>
        <w:rPr>
          <w:rFonts w:hint="eastAsia" w:ascii="宋体" w:hAnsi="宋体" w:cs="宋体"/>
          <w:i/>
          <w:iCs/>
          <w:lang w:val="en-US" w:eastAsia="zh-CN"/>
        </w:rPr>
        <w:t>u</w:t>
      </w:r>
      <w:r>
        <w:rPr>
          <w:rFonts w:hint="eastAsia" w:ascii="宋体" w:hAnsi="宋体" w:cs="宋体"/>
          <w:i/>
          <w:iCs/>
          <w:vertAlign w:val="subscript"/>
          <w:lang w:val="en-US" w:eastAsia="zh-CN"/>
        </w:rPr>
        <w:t>1b</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rPr>
          <w:rFonts w:hint="eastAsia"/>
          <w:lang w:val="en-US" w:eastAsia="zh-CN"/>
        </w:rPr>
        <w:t xml:space="preserve">}              </w:t>
      </w:r>
      <w:r>
        <w:rPr>
          <w:rFonts w:hint="eastAsia" w:ascii="宋体" w:hAnsi="宋体" w:eastAsia="宋体" w:cs="宋体"/>
          <w:lang w:val="en-US" w:eastAsia="zh-CN"/>
        </w:rPr>
        <w:t>（</w:t>
      </w:r>
      <w:r>
        <w:rPr>
          <w:rFonts w:hint="eastAsia" w:ascii="宋体" w:hAnsi="宋体" w:eastAsia="宋体" w:cs="宋体"/>
        </w:rPr>
        <w:t>C.1</w:t>
      </w:r>
      <w:r>
        <w:rPr>
          <w:rFonts w:hint="eastAsia" w:ascii="宋体" w:hAnsi="宋体" w:eastAsia="宋体" w:cs="宋体"/>
          <w:lang w:val="en-US" w:eastAsia="zh-CN"/>
        </w:rPr>
        <w:t>.</w:t>
      </w:r>
      <w:r>
        <w:rPr>
          <w:rFonts w:hint="eastAsia" w:ascii="宋体" w:hAnsi="宋体" w:eastAsia="宋体" w:cs="宋体"/>
        </w:rPr>
        <w:t>4</w:t>
      </w:r>
      <w:r>
        <w:rPr>
          <w:rFonts w:hint="eastAsia" w:ascii="宋体" w:hAnsi="宋体" w:eastAsia="宋体" w:cs="宋体"/>
          <w:lang w:eastAsia="zh-CN"/>
        </w:rPr>
        <w:t>）</w:t>
      </w:r>
    </w:p>
    <w:p>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1.5.1.1 由重复性实验统计获得的标准不确定度值</w:t>
      </w:r>
      <w:r>
        <w:rPr>
          <w:rFonts w:hint="eastAsia" w:ascii="宋体" w:hAnsi="宋体" w:eastAsia="宋体" w:cs="宋体"/>
          <w:i/>
          <w:iCs/>
          <w:lang w:val="en-US" w:eastAsia="zh-CN"/>
        </w:rPr>
        <w:t>u</w:t>
      </w:r>
      <w:r>
        <w:rPr>
          <w:rFonts w:hint="eastAsia" w:ascii="宋体" w:hAnsi="宋体" w:eastAsia="宋体" w:cs="宋体"/>
          <w:i/>
          <w:iCs/>
          <w:vertAlign w:val="subscript"/>
          <w:lang w:val="en-US" w:eastAsia="zh-CN"/>
        </w:rPr>
        <w:t>1a</w:t>
      </w:r>
      <w:r>
        <w:rPr>
          <w:rFonts w:hint="eastAsia" w:ascii="宋体" w:hAnsi="宋体" w:eastAsia="宋体" w:cs="宋体"/>
        </w:rPr>
        <w:t>(</w:t>
      </w:r>
      <w:r>
        <w:rPr>
          <w:rFonts w:hint="eastAsia" w:ascii="宋体" w:hAnsi="宋体" w:eastAsia="宋体" w:cs="宋体"/>
          <w:lang w:val="en-US" w:eastAsia="zh-CN"/>
        </w:rPr>
        <w:t>m</w:t>
      </w:r>
      <w:r>
        <w:rPr>
          <w:rFonts w:hint="eastAsia" w:ascii="宋体" w:hAnsi="宋体" w:eastAsia="宋体" w:cs="宋体"/>
        </w:rPr>
        <w:t>)</w:t>
      </w:r>
    </w:p>
    <w:p>
      <w:pPr>
        <w:spacing w:line="360" w:lineRule="auto"/>
        <w:ind w:firstLine="480" w:firstLineChars="200"/>
        <w:jc w:val="left"/>
        <w:rPr>
          <w:rFonts w:hint="eastAsia" w:ascii="宋体" w:hAnsi="宋体" w:eastAsia="宋体" w:cs="宋体"/>
        </w:rPr>
      </w:pPr>
      <w:r>
        <w:rPr>
          <w:rFonts w:hint="eastAsia" w:ascii="宋体" w:hAnsi="宋体" w:eastAsia="宋体" w:cs="宋体"/>
        </w:rPr>
        <w:t>采用A类评定方法，在重复性条件下，采用规格为LPG15的液化石油气钢瓶，以</w:t>
      </w:r>
    </w:p>
    <w:p>
      <w:pPr>
        <w:spacing w:line="360" w:lineRule="auto"/>
        <w:jc w:val="left"/>
        <w:rPr>
          <w:rFonts w:hint="eastAsia" w:ascii="宋体" w:hAnsi="宋体" w:eastAsia="宋体" w:cs="宋体"/>
        </w:rPr>
      </w:pPr>
      <w:r>
        <w:rPr>
          <w:rFonts w:hint="eastAsia" w:ascii="宋体" w:hAnsi="宋体" w:eastAsia="宋体" w:cs="宋体"/>
        </w:rPr>
        <w:t>14.5kg 作为灌装预设值进行灌装，在最大灌装速度下灌装次数20 次，灌装后的钢瓶放到控制衡器（Max</w:t>
      </w:r>
      <w:r>
        <w:rPr>
          <w:rFonts w:hint="eastAsia" w:ascii="宋体" w:hAnsi="宋体" w:cs="宋体"/>
          <w:lang w:eastAsia="zh-CN"/>
        </w:rPr>
        <w:t>＝</w:t>
      </w:r>
      <w:r>
        <w:rPr>
          <w:rFonts w:hint="eastAsia" w:ascii="宋体" w:hAnsi="宋体" w:eastAsia="宋体" w:cs="宋体"/>
        </w:rPr>
        <w:t>100kg，e</w:t>
      </w:r>
      <w:r>
        <w:rPr>
          <w:rFonts w:hint="eastAsia" w:ascii="宋体" w:hAnsi="宋体" w:cs="宋体"/>
          <w:lang w:eastAsia="zh-CN"/>
        </w:rPr>
        <w:t>＝</w:t>
      </w:r>
      <w:r>
        <w:rPr>
          <w:rFonts w:hint="eastAsia" w:ascii="宋体" w:hAnsi="宋体" w:eastAsia="宋体" w:cs="宋体"/>
        </w:rPr>
        <w:t>20g）上再次进行称量，得到一组测量值：14.54kg、14.54kg、</w:t>
      </w:r>
    </w:p>
    <w:p>
      <w:pPr>
        <w:spacing w:line="360" w:lineRule="auto"/>
        <w:jc w:val="left"/>
        <w:rPr>
          <w:rFonts w:hint="eastAsia" w:ascii="宋体" w:hAnsi="宋体" w:eastAsia="宋体" w:cs="宋体"/>
        </w:rPr>
      </w:pPr>
      <w:r>
        <w:rPr>
          <w:rFonts w:hint="eastAsia" w:ascii="宋体" w:hAnsi="宋体" w:eastAsia="宋体" w:cs="宋体"/>
        </w:rPr>
        <w:t>14.52kg、14.52kg、14.52kg、14.52kg、14.54kg、14.56kg、14.54kg、14.56kg、14.56kg、14</w:t>
      </w:r>
      <w:r>
        <w:rPr>
          <w:rFonts w:hint="eastAsia" w:ascii="宋体" w:hAnsi="宋体" w:cs="宋体"/>
          <w:lang w:val="en-US" w:eastAsia="zh-CN"/>
        </w:rPr>
        <w:t>.</w:t>
      </w:r>
      <w:r>
        <w:rPr>
          <w:rFonts w:hint="eastAsia" w:ascii="宋体" w:hAnsi="宋体" w:eastAsia="宋体" w:cs="宋体"/>
        </w:rPr>
        <w:t>56kg、14.54kg、14.56kg、14.54kg、14.56kg、14.54kg、14.54kg、14.54kg、14.58kg.</w:t>
      </w:r>
    </w:p>
    <w:p>
      <w:pPr>
        <w:spacing w:line="360" w:lineRule="auto"/>
        <w:jc w:val="left"/>
        <w:rPr>
          <w:rFonts w:hint="eastAsia" w:ascii="宋体" w:hAnsi="宋体" w:eastAsia="宋体" w:cs="宋体"/>
          <w:lang w:eastAsia="zh-CN"/>
        </w:rPr>
      </w:pPr>
      <w:r>
        <w:rPr>
          <w:rFonts w:hint="eastAsia" w:ascii="宋体" w:hAnsi="宋体" w:eastAsia="宋体" w:cs="宋体"/>
        </w:rPr>
        <w:t>服从正态分布，则单次测量结果的实验标准差</w:t>
      </w:r>
      <w:r>
        <w:rPr>
          <w:rFonts w:hint="eastAsia" w:ascii="宋体" w:hAnsi="宋体" w:cs="宋体"/>
          <w:lang w:eastAsia="zh-CN"/>
        </w:rPr>
        <w:t>：</w:t>
      </w:r>
    </w:p>
    <w:p>
      <w:pPr>
        <w:spacing w:line="360" w:lineRule="auto"/>
        <w:ind w:firstLine="2160" w:firstLineChars="900"/>
        <w:jc w:val="left"/>
        <w:rPr>
          <w:rFonts w:hint="eastAsia" w:ascii="宋体" w:hAnsi="宋体" w:eastAsia="宋体" w:cs="宋体"/>
        </w:rPr>
      </w:pPr>
      <w:r>
        <w:rPr>
          <w:rFonts w:hint="eastAsia" w:ascii="宋体" w:hAnsi="宋体" w:eastAsia="宋体" w:cs="宋体"/>
          <w:i/>
          <w:iCs/>
        </w:rPr>
        <w:t>s</w:t>
      </w:r>
      <w:r>
        <w:rPr>
          <w:rFonts w:hint="eastAsia" w:ascii="宋体" w:hAnsi="宋体" w:eastAsia="宋体" w:cs="宋体"/>
        </w:rPr>
        <w:t>(m</w:t>
      </w:r>
      <w:r>
        <w:rPr>
          <w:rFonts w:hint="eastAsia" w:ascii="宋体" w:hAnsi="宋体" w:cs="宋体"/>
          <w:vertAlign w:val="subscript"/>
          <w:lang w:val="en-US" w:eastAsia="zh-CN"/>
        </w:rPr>
        <w:t>i</w:t>
      </w:r>
      <w:r>
        <w:rPr>
          <w:rFonts w:hint="eastAsia" w:ascii="宋体" w:hAnsi="宋体" w:eastAsia="宋体" w:cs="宋体"/>
        </w:rPr>
        <w:t>)</w:t>
      </w:r>
      <w:r>
        <w:rPr>
          <w:rFonts w:hint="eastAsia" w:ascii="宋体" w:hAnsi="宋体" w:cs="宋体"/>
          <w:lang w:eastAsia="zh-CN"/>
        </w:rPr>
        <w:t xml:space="preserve">＝ </w:t>
      </w:r>
      <m:oMath>
        <m:rad>
          <m:radPr>
            <m:degHide m:val="1"/>
            <m:ctrlPr>
              <w:rPr>
                <w:rFonts w:ascii="Cambria Math" w:hAnsi="Cambria Math" w:cs="宋体"/>
                <w:i/>
              </w:rPr>
            </m:ctrlPr>
          </m:radPr>
          <m:deg>
            <m:ctrlPr>
              <w:rPr>
                <w:rFonts w:ascii="Cambria Math" w:hAnsi="Cambria Math" w:cs="宋体"/>
                <w:i/>
              </w:rPr>
            </m:ctrlPr>
          </m:deg>
          <m:e>
            <m:f>
              <m:fPr>
                <m:ctrlPr>
                  <w:rPr>
                    <w:rFonts w:ascii="Cambria Math" w:hAnsi="Cambria Math" w:cs="宋体"/>
                    <w:i/>
                  </w:rPr>
                </m:ctrlPr>
              </m:fPr>
              <m:num>
                <m:nary>
                  <m:naryPr>
                    <m:chr m:val="∑"/>
                    <m:limLoc m:val="undOvr"/>
                    <m:ctrlPr>
                      <w:rPr>
                        <w:rFonts w:ascii="Cambria Math" w:hAnsi="Cambria Math" w:cs="宋体"/>
                        <w:i/>
                      </w:rPr>
                    </m:ctrlPr>
                  </m:naryPr>
                  <m:sub>
                    <m:r>
                      <m:rPr/>
                      <w:rPr>
                        <w:rFonts w:hint="default" w:ascii="Cambria Math" w:hAnsi="Cambria Math" w:cs="宋体"/>
                        <w:lang w:val="en-US" w:eastAsia="zh-CN"/>
                      </w:rPr>
                      <m:t>i=1</m:t>
                    </m:r>
                    <m:ctrlPr>
                      <w:rPr>
                        <w:rFonts w:ascii="Cambria Math" w:hAnsi="Cambria Math" w:cs="宋体"/>
                        <w:i/>
                      </w:rPr>
                    </m:ctrlPr>
                  </m:sub>
                  <m:sup>
                    <m:r>
                      <m:rPr/>
                      <w:rPr>
                        <w:rFonts w:hint="default" w:ascii="Cambria Math" w:hAnsi="Cambria Math" w:cs="宋体"/>
                        <w:lang w:val="en-US" w:eastAsia="zh-CN"/>
                      </w:rPr>
                      <m:t>n</m:t>
                    </m:r>
                    <m:ctrlPr>
                      <w:rPr>
                        <w:rFonts w:ascii="Cambria Math" w:hAnsi="Cambria Math" w:cs="宋体"/>
                        <w:i/>
                      </w:rPr>
                    </m:ctrlPr>
                  </m:sup>
                  <m:e>
                    <m:sSup>
                      <m:sSupPr>
                        <m:ctrlPr>
                          <w:rPr>
                            <w:rFonts w:hint="default" w:ascii="Cambria Math" w:hAnsi="Cambria Math" w:cs="宋体"/>
                            <w:i/>
                            <w:lang w:val="en-US" w:eastAsia="zh-CN"/>
                          </w:rPr>
                        </m:ctrlPr>
                      </m:sSupPr>
                      <m:e>
                        <m:r>
                          <m:rPr/>
                          <w:rPr>
                            <w:rFonts w:hint="default" w:ascii="Cambria Math" w:hAnsi="Cambria Math" w:cs="宋体"/>
                            <w:lang w:val="en-US" w:eastAsia="zh-CN"/>
                          </w:rPr>
                          <m:t>(</m:t>
                        </m:r>
                        <m:sSub>
                          <m:sSubPr>
                            <m:ctrlPr>
                              <w:rPr>
                                <w:rFonts w:hint="default" w:ascii="Cambria Math" w:hAnsi="Cambria Math" w:cs="宋体"/>
                                <w:i/>
                                <w:lang w:val="en-US" w:eastAsia="zh-CN"/>
                              </w:rPr>
                            </m:ctrlPr>
                          </m:sSubPr>
                          <m:e>
                            <m:r>
                              <m:rPr/>
                              <w:rPr>
                                <w:rFonts w:hint="default" w:ascii="Cambria Math" w:hAnsi="Cambria Math" w:cs="宋体"/>
                                <w:lang w:val="en-US" w:eastAsia="zh-CN"/>
                              </w:rPr>
                              <m:t>m</m:t>
                            </m:r>
                            <m:ctrlPr>
                              <w:rPr>
                                <w:rFonts w:hint="default" w:ascii="Cambria Math" w:hAnsi="Cambria Math" w:cs="宋体"/>
                                <w:i/>
                                <w:lang w:val="en-US" w:eastAsia="zh-CN"/>
                              </w:rPr>
                            </m:ctrlPr>
                          </m:e>
                          <m:sub>
                            <m:r>
                              <m:rPr/>
                              <w:rPr>
                                <w:rFonts w:hint="default" w:ascii="Cambria Math" w:hAnsi="Cambria Math" w:cs="宋体"/>
                                <w:lang w:val="en-US" w:eastAsia="zh-CN"/>
                              </w:rPr>
                              <m:t>i</m:t>
                            </m:r>
                            <m:ctrlPr>
                              <w:rPr>
                                <w:rFonts w:hint="default" w:ascii="Cambria Math" w:hAnsi="Cambria Math" w:cs="宋体"/>
                                <w:i/>
                                <w:lang w:val="en-US" w:eastAsia="zh-CN"/>
                              </w:rPr>
                            </m:ctrlPr>
                          </m:sub>
                        </m:sSub>
                        <m:r>
                          <m:rPr/>
                          <w:rPr>
                            <w:rFonts w:hint="default" w:ascii="Cambria Math" w:hAnsi="Cambria Math" w:cs="宋体"/>
                            <w:lang w:val="en-US" w:eastAsia="zh-CN"/>
                          </w:rPr>
                          <m:t>−</m:t>
                        </m:r>
                        <m:acc>
                          <m:accPr>
                            <m:chr m:val="̅"/>
                            <m:ctrlPr>
                              <w:rPr>
                                <w:rFonts w:hint="default" w:ascii="Cambria Math" w:hAnsi="Cambria Math" w:cs="宋体"/>
                                <w:i/>
                                <w:lang w:val="en-US" w:eastAsia="zh-CN"/>
                              </w:rPr>
                            </m:ctrlPr>
                          </m:accPr>
                          <m:e>
                            <m:r>
                              <m:rPr/>
                              <w:rPr>
                                <w:rFonts w:hint="default" w:ascii="Cambria Math" w:hAnsi="Cambria Math" w:cs="宋体"/>
                                <w:lang w:val="en-US" w:eastAsia="zh-CN"/>
                              </w:rPr>
                              <m:t>m</m:t>
                            </m:r>
                            <m:ctrlPr>
                              <w:rPr>
                                <w:rFonts w:hint="default" w:ascii="Cambria Math" w:hAnsi="Cambria Math" w:cs="宋体"/>
                                <w:i/>
                                <w:lang w:val="en-US" w:eastAsia="zh-CN"/>
                              </w:rPr>
                            </m:ctrlPr>
                          </m:e>
                        </m:acc>
                        <m:r>
                          <m:rPr/>
                          <w:rPr>
                            <w:rFonts w:hint="default" w:ascii="Cambria Math" w:hAnsi="Cambria Math" w:cs="宋体"/>
                            <w:lang w:val="en-US" w:eastAsia="zh-CN"/>
                          </w:rPr>
                          <m:t>)</m:t>
                        </m:r>
                        <m:ctrlPr>
                          <w:rPr>
                            <w:rFonts w:hint="default" w:ascii="Cambria Math" w:hAnsi="Cambria Math" w:cs="宋体"/>
                            <w:i/>
                            <w:lang w:val="en-US" w:eastAsia="zh-CN"/>
                          </w:rPr>
                        </m:ctrlPr>
                      </m:e>
                      <m:sup>
                        <m:r>
                          <m:rPr/>
                          <w:rPr>
                            <w:rFonts w:hint="default" w:ascii="Cambria Math" w:hAnsi="Cambria Math" w:cs="宋体"/>
                            <w:lang w:val="en-US" w:eastAsia="zh-CN"/>
                          </w:rPr>
                          <m:t>2</m:t>
                        </m:r>
                        <m:ctrlPr>
                          <w:rPr>
                            <w:rFonts w:hint="default" w:ascii="Cambria Math" w:hAnsi="Cambria Math" w:cs="宋体"/>
                            <w:i/>
                            <w:lang w:val="en-US" w:eastAsia="zh-CN"/>
                          </w:rPr>
                        </m:ctrlPr>
                      </m:sup>
                    </m:sSup>
                    <m:ctrlPr>
                      <w:rPr>
                        <w:rFonts w:ascii="Cambria Math" w:hAnsi="Cambria Math" w:cs="宋体"/>
                        <w:i/>
                      </w:rPr>
                    </m:ctrlPr>
                  </m:e>
                </m:nary>
                <m:ctrlPr>
                  <w:rPr>
                    <w:rFonts w:ascii="Cambria Math" w:hAnsi="Cambria Math" w:cs="宋体"/>
                    <w:i/>
                  </w:rPr>
                </m:ctrlPr>
              </m:num>
              <m:den>
                <m:r>
                  <m:rPr/>
                  <w:rPr>
                    <w:rFonts w:hint="default" w:ascii="Cambria Math" w:hAnsi="Cambria Math" w:cs="宋体"/>
                    <w:lang w:val="en-US" w:eastAsia="zh-CN"/>
                  </w:rPr>
                  <m:t>n−1</m:t>
                </m:r>
                <m:ctrlPr>
                  <w:rPr>
                    <w:rFonts w:ascii="Cambria Math" w:hAnsi="Cambria Math" w:cs="宋体"/>
                    <w:i/>
                  </w:rPr>
                </m:ctrlPr>
              </m:den>
            </m:f>
            <m:ctrlPr>
              <w:rPr>
                <w:rFonts w:ascii="Cambria Math" w:hAnsi="Cambria Math" w:cs="宋体"/>
                <w:i/>
              </w:rPr>
            </m:ctrlPr>
          </m:e>
        </m:rad>
      </m:oMath>
      <w:r>
        <w:rPr>
          <w:rFonts w:ascii="Cambria Math" w:hAnsi="Cambria Math" w:cs="宋体"/>
          <w:i/>
        </w:rPr>
        <w:t xml:space="preserve"> </w:t>
      </w:r>
      <w:r>
        <w:rPr>
          <w:rFonts w:hint="eastAsia" w:ascii="Cambria Math" w:hAnsi="Cambria Math" w:cs="宋体"/>
          <w:i/>
          <w:lang w:val="en-US" w:eastAsia="zh-CN"/>
        </w:rPr>
        <w:t xml:space="preserve">  ≈　</w:t>
      </w:r>
      <w:r>
        <w:rPr>
          <w:rFonts w:hint="eastAsia" w:ascii="宋体" w:hAnsi="宋体" w:eastAsia="宋体" w:cs="宋体"/>
        </w:rPr>
        <w:t xml:space="preserve">0.017kg </w:t>
      </w:r>
      <w:r>
        <w:rPr>
          <w:rFonts w:hint="eastAsia" w:ascii="宋体" w:hAnsi="宋体" w:cs="宋体"/>
          <w:lang w:val="en-US" w:eastAsia="zh-CN"/>
        </w:rPr>
        <w:t xml:space="preserve">            </w:t>
      </w:r>
      <w:r>
        <w:rPr>
          <w:rFonts w:hint="eastAsia" w:ascii="宋体" w:hAnsi="宋体" w:eastAsia="宋体" w:cs="宋体"/>
        </w:rPr>
        <w:t>(C.1.5)</w:t>
      </w:r>
    </w:p>
    <w:p>
      <w:pPr>
        <w:spacing w:line="360" w:lineRule="auto"/>
        <w:ind w:firstLine="480" w:firstLineChars="200"/>
        <w:jc w:val="left"/>
        <w:rPr>
          <w:rFonts w:hint="eastAsia" w:ascii="宋体" w:hAnsi="宋体" w:eastAsia="宋体" w:cs="宋体"/>
        </w:rPr>
      </w:pPr>
      <w:r>
        <w:rPr>
          <w:rFonts w:hint="eastAsia" w:ascii="宋体" w:hAnsi="宋体" w:eastAsia="宋体" w:cs="宋体"/>
        </w:rPr>
        <w:t>由于实际应用关注的是单次灌装偏差，所以</w:t>
      </w:r>
    </w:p>
    <w:p>
      <w:pPr>
        <w:spacing w:line="360" w:lineRule="auto"/>
        <w:ind w:firstLine="2880" w:firstLineChars="1200"/>
        <w:jc w:val="left"/>
        <w:rPr>
          <w:rFonts w:hint="eastAsia" w:ascii="宋体" w:hAnsi="宋体" w:eastAsia="宋体" w:cs="宋体"/>
        </w:rPr>
      </w:pPr>
      <w:r>
        <w:rPr>
          <w:rFonts w:hint="eastAsia" w:ascii="宋体" w:hAnsi="宋体" w:eastAsia="宋体" w:cs="宋体"/>
          <w:i/>
          <w:iCs/>
          <w:lang w:val="en-US" w:eastAsia="zh-CN"/>
        </w:rPr>
        <w:t>u</w:t>
      </w:r>
      <w:r>
        <w:rPr>
          <w:rFonts w:hint="eastAsia" w:ascii="宋体" w:hAnsi="宋体" w:eastAsia="宋体" w:cs="宋体"/>
          <w:i/>
          <w:iCs/>
          <w:vertAlign w:val="subscript"/>
          <w:lang w:val="en-US" w:eastAsia="zh-CN"/>
        </w:rPr>
        <w:t>1a</w:t>
      </w:r>
      <w:r>
        <w:rPr>
          <w:rFonts w:hint="eastAsia" w:ascii="宋体" w:hAnsi="宋体" w:eastAsia="宋体" w:cs="宋体"/>
        </w:rPr>
        <w:t>(</w:t>
      </w:r>
      <w:r>
        <w:rPr>
          <w:rFonts w:hint="eastAsia" w:ascii="宋体" w:hAnsi="宋体" w:eastAsia="宋体" w:cs="宋体"/>
          <w:lang w:val="en-US" w:eastAsia="zh-CN"/>
        </w:rPr>
        <w:t>m</w:t>
      </w:r>
      <w:r>
        <w:rPr>
          <w:rFonts w:hint="eastAsia" w:ascii="宋体" w:hAnsi="宋体" w:eastAsia="宋体" w:cs="宋体"/>
        </w:rPr>
        <w:t>)</w:t>
      </w:r>
      <w:r>
        <w:rPr>
          <w:rFonts w:hint="eastAsia" w:ascii="宋体" w:hAnsi="宋体" w:cs="宋体"/>
          <w:lang w:eastAsia="zh-CN"/>
        </w:rPr>
        <w:t>＝</w:t>
      </w:r>
      <w:r>
        <w:rPr>
          <w:rFonts w:hint="eastAsia" w:ascii="宋体" w:hAnsi="宋体" w:eastAsia="宋体" w:cs="宋体"/>
          <w:i/>
          <w:iCs/>
        </w:rPr>
        <w:t>s</w:t>
      </w:r>
      <w:r>
        <w:rPr>
          <w:rFonts w:hint="eastAsia" w:ascii="宋体" w:hAnsi="宋体" w:eastAsia="宋体" w:cs="宋体"/>
        </w:rPr>
        <w:t>(m</w:t>
      </w:r>
      <w:r>
        <w:rPr>
          <w:rFonts w:hint="eastAsia" w:ascii="宋体" w:hAnsi="宋体" w:cs="宋体"/>
          <w:vertAlign w:val="subscript"/>
          <w:lang w:val="en-US" w:eastAsia="zh-CN"/>
        </w:rPr>
        <w:t>i</w:t>
      </w:r>
      <w:r>
        <w:rPr>
          <w:rFonts w:hint="eastAsia" w:ascii="宋体" w:hAnsi="宋体" w:eastAsia="宋体" w:cs="宋体"/>
        </w:rPr>
        <w:t>)</w:t>
      </w:r>
      <w:r>
        <w:rPr>
          <w:rFonts w:hint="eastAsia" w:ascii="宋体" w:hAnsi="宋体" w:cs="宋体"/>
          <w:lang w:eastAsia="zh-CN"/>
        </w:rPr>
        <w:t>＝</w:t>
      </w:r>
      <w:r>
        <w:rPr>
          <w:rFonts w:hint="eastAsia" w:ascii="宋体" w:hAnsi="宋体" w:eastAsia="宋体" w:cs="宋体"/>
        </w:rPr>
        <w:t>0.017kg</w:t>
      </w:r>
      <w:r>
        <w:rPr>
          <w:rFonts w:hint="eastAsia" w:ascii="宋体" w:hAnsi="宋体" w:cs="宋体"/>
          <w:lang w:val="en-US" w:eastAsia="zh-CN"/>
        </w:rPr>
        <w:t xml:space="preserve">                 </w:t>
      </w:r>
      <w:r>
        <w:rPr>
          <w:rFonts w:hint="eastAsia" w:ascii="宋体" w:hAnsi="宋体" w:eastAsia="宋体" w:cs="宋体"/>
        </w:rPr>
        <w:t xml:space="preserve"> (C.1.6)</w:t>
      </w:r>
    </w:p>
    <w:p>
      <w:pPr>
        <w:spacing w:line="360" w:lineRule="auto"/>
        <w:ind w:left="0" w:leftChars="0" w:firstLine="0" w:firstLineChars="0"/>
        <w:jc w:val="left"/>
      </w:pPr>
      <w:r>
        <w:t xml:space="preserve">C.1.5.1.2 </w:t>
      </w:r>
      <w:r>
        <w:rPr>
          <w:rFonts w:hint="eastAsia"/>
          <w:lang w:eastAsia="zh-CN"/>
        </w:rPr>
        <w:t>液化气灌装秤</w:t>
      </w:r>
      <w:r>
        <w:t>分辨力引入的不确定度分量</w:t>
      </w:r>
      <w:r>
        <w:rPr>
          <w:rFonts w:hint="eastAsia" w:ascii="宋体" w:hAnsi="宋体" w:cs="宋体"/>
          <w:i/>
          <w:iCs/>
          <w:lang w:val="en-US" w:eastAsia="zh-CN"/>
        </w:rPr>
        <w:t>u</w:t>
      </w:r>
      <w:r>
        <w:rPr>
          <w:rFonts w:hint="eastAsia" w:ascii="宋体" w:hAnsi="宋体" w:cs="宋体"/>
          <w:i/>
          <w:iCs/>
          <w:vertAlign w:val="subscript"/>
          <w:lang w:val="en-US" w:eastAsia="zh-CN"/>
        </w:rPr>
        <w:t>1b</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p>
    <w:p>
      <w:pPr>
        <w:spacing w:line="360" w:lineRule="auto"/>
        <w:ind w:firstLine="480" w:firstLineChars="200"/>
        <w:jc w:val="left"/>
        <w:rPr>
          <w:rFonts w:hint="eastAsia" w:ascii="宋体" w:hAnsi="宋体" w:eastAsia="宋体" w:cs="宋体"/>
        </w:rPr>
      </w:pPr>
      <w:r>
        <w:rPr>
          <w:rFonts w:hint="eastAsia" w:ascii="宋体" w:hAnsi="宋体" w:cs="宋体"/>
          <w:lang w:eastAsia="zh-CN"/>
        </w:rPr>
        <w:t>液化气灌装秤</w:t>
      </w:r>
      <w:r>
        <w:rPr>
          <w:rFonts w:hint="eastAsia" w:ascii="宋体" w:hAnsi="宋体" w:eastAsia="宋体" w:cs="宋体"/>
        </w:rPr>
        <w:t>最小分辨力为100g，区间半宽a</w:t>
      </w:r>
      <w:r>
        <w:rPr>
          <w:rFonts w:hint="eastAsia" w:ascii="宋体" w:hAnsi="宋体" w:cs="宋体"/>
          <w:lang w:eastAsia="zh-CN"/>
        </w:rPr>
        <w:t>＝</w:t>
      </w:r>
      <w:r>
        <w:rPr>
          <w:rFonts w:hint="eastAsia" w:ascii="宋体" w:hAnsi="宋体" w:eastAsia="宋体" w:cs="宋体"/>
        </w:rPr>
        <w:t>50g，按均匀分布，包含因子取</w:t>
      </w:r>
      <w:r>
        <w:rPr>
          <w:rFonts w:hint="eastAsia" w:ascii="宋体" w:hAnsi="宋体" w:eastAsia="宋体" w:cs="宋体"/>
          <w:i/>
          <w:iCs/>
        </w:rPr>
        <w:t>k</w:t>
      </w:r>
      <w:r>
        <w:rPr>
          <w:rFonts w:hint="eastAsia" w:ascii="宋体" w:hAnsi="宋体" w:cs="宋体"/>
          <w:lang w:eastAsia="zh-CN"/>
        </w:rPr>
        <w:t>＝</w:t>
      </w:r>
      <m:oMath>
        <m:rad>
          <m:radPr>
            <m:degHide m:val="1"/>
            <m:ctrlPr>
              <w:rPr>
                <w:rFonts w:ascii="Cambria Math" w:hAnsi="Cambria Math" w:cs="宋体"/>
                <w:i/>
              </w:rPr>
            </m:ctrlPr>
          </m:radPr>
          <m:deg>
            <m:ctrlPr>
              <w:rPr>
                <w:rFonts w:ascii="Cambria Math" w:hAnsi="Cambria Math" w:cs="宋体"/>
                <w:i/>
              </w:rPr>
            </m:ctrlPr>
          </m:deg>
          <m:e>
            <m:r>
              <m:rPr/>
              <w:rPr>
                <w:rFonts w:hint="default" w:ascii="Cambria Math" w:hAnsi="Cambria Math" w:cs="宋体"/>
                <w:lang w:val="en-US" w:eastAsia="zh-CN"/>
              </w:rPr>
              <m:t>3</m:t>
            </m:r>
            <m:ctrlPr>
              <w:rPr>
                <w:rFonts w:ascii="Cambria Math" w:hAnsi="Cambria Math" w:cs="宋体"/>
                <w:i/>
              </w:rPr>
            </m:ctrlPr>
          </m:e>
        </m:rad>
      </m:oMath>
      <w:r>
        <w:rPr>
          <w:rFonts w:hint="eastAsia" w:ascii="宋体" w:hAnsi="宋体" w:eastAsia="宋体" w:cs="宋体"/>
        </w:rPr>
        <w:t>，由此引起的标准不确定度为：</w:t>
      </w:r>
    </w:p>
    <w:p>
      <w:pPr>
        <w:spacing w:line="360" w:lineRule="auto"/>
        <w:ind w:firstLine="2160" w:firstLineChars="900"/>
        <w:jc w:val="left"/>
        <w:rPr>
          <w:rFonts w:hint="eastAsia" w:ascii="宋体" w:hAnsi="宋体" w:eastAsia="宋体" w:cs="宋体"/>
        </w:rPr>
      </w:pPr>
      <w:r>
        <w:rPr>
          <w:rFonts w:hint="eastAsia" w:ascii="宋体" w:hAnsi="宋体" w:cs="宋体"/>
          <w:i/>
          <w:iCs/>
          <w:lang w:val="en-US" w:eastAsia="zh-CN"/>
        </w:rPr>
        <w:t>u</w:t>
      </w:r>
      <w:r>
        <w:rPr>
          <w:rFonts w:hint="eastAsia" w:ascii="宋体" w:hAnsi="宋体" w:cs="宋体"/>
          <w:i/>
          <w:iCs/>
          <w:vertAlign w:val="subscript"/>
          <w:lang w:val="en-US" w:eastAsia="zh-CN"/>
        </w:rPr>
        <w:t>1b</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rPr>
          <w:rFonts w:hint="eastAsia" w:ascii="宋体" w:hAnsi="宋体" w:cs="宋体"/>
          <w:lang w:eastAsia="zh-CN"/>
        </w:rPr>
        <w:t>＝</w:t>
      </w:r>
      <w:r>
        <w:rPr>
          <w:rFonts w:hint="eastAsia" w:ascii="宋体" w:hAnsi="宋体" w:cs="宋体"/>
          <w:lang w:val="en-US" w:eastAsia="zh-CN"/>
        </w:rPr>
        <w:t xml:space="preserve"> </w:t>
      </w:r>
      <m:oMath>
        <m:f>
          <m:fPr>
            <m:ctrlPr>
              <w:rPr>
                <w:rFonts w:hint="eastAsia" w:ascii="Cambria Math" w:hAnsi="宋体" w:cs="宋体"/>
                <w:lang w:val="en-US" w:eastAsia="zh-CN"/>
              </w:rPr>
            </m:ctrlPr>
          </m:fPr>
          <m:num>
            <m:r>
              <m:rPr>
                <m:sty m:val="p"/>
              </m:rPr>
              <w:rPr>
                <w:rFonts w:hint="default" w:ascii="Cambria Math" w:hAnsi="宋体" w:cs="宋体"/>
                <w:lang w:val="en-US" w:eastAsia="zh-CN"/>
              </w:rPr>
              <m:t>0.05</m:t>
            </m:r>
            <m:ctrlPr>
              <w:rPr>
                <w:rFonts w:hint="eastAsia" w:ascii="Cambria Math" w:hAnsi="宋体" w:cs="宋体"/>
                <w:lang w:val="en-US" w:eastAsia="zh-CN"/>
              </w:rPr>
            </m:ctrlPr>
          </m:num>
          <m:den>
            <m:rad>
              <m:radPr>
                <m:degHide m:val="1"/>
                <m:ctrlPr>
                  <w:rPr>
                    <w:rFonts w:ascii="Cambria Math" w:hAnsi="Cambria Math" w:cs="宋体"/>
                    <w:i/>
                  </w:rPr>
                </m:ctrlPr>
              </m:radPr>
              <m:deg>
                <m:ctrlPr>
                  <w:rPr>
                    <w:rFonts w:ascii="Cambria Math" w:hAnsi="Cambria Math" w:cs="宋体"/>
                    <w:i/>
                  </w:rPr>
                </m:ctrlPr>
              </m:deg>
              <m:e>
                <m:r>
                  <m:rPr/>
                  <w:rPr>
                    <w:rFonts w:hint="default" w:ascii="Cambria Math" w:hAnsi="Cambria Math" w:cs="宋体"/>
                    <w:lang w:val="en-US" w:eastAsia="zh-CN"/>
                  </w:rPr>
                  <m:t>3</m:t>
                </m:r>
                <m:ctrlPr>
                  <w:rPr>
                    <w:rFonts w:ascii="Cambria Math" w:hAnsi="Cambria Math" w:cs="宋体"/>
                    <w:i/>
                  </w:rPr>
                </m:ctrlPr>
              </m:e>
            </m:rad>
            <m:ctrlPr>
              <w:rPr>
                <w:rFonts w:hint="eastAsia" w:ascii="Cambria Math" w:hAnsi="宋体" w:cs="宋体"/>
                <w:lang w:val="en-US" w:eastAsia="zh-CN"/>
              </w:rPr>
            </m:ctrlPr>
          </m:den>
        </m:f>
      </m:oMath>
      <w:r>
        <w:rPr>
          <w:rFonts w:hint="eastAsia" w:ascii="宋体" w:hAnsi="宋体" w:eastAsia="宋体" w:cs="宋体"/>
        </w:rPr>
        <w:t xml:space="preserve"> </w:t>
      </w:r>
      <w:r>
        <w:rPr>
          <w:rFonts w:hint="eastAsia" w:ascii="宋体" w:hAnsi="宋体" w:cs="宋体"/>
          <w:lang w:val="en-US" w:eastAsia="zh-CN"/>
        </w:rPr>
        <w:t xml:space="preserve"> </w:t>
      </w:r>
      <w:r>
        <w:rPr>
          <w:rFonts w:hint="eastAsia" w:ascii="Cambria Math" w:hAnsi="Cambria Math" w:cs="宋体"/>
          <w:i/>
          <w:lang w:val="en-US" w:eastAsia="zh-CN"/>
        </w:rPr>
        <w:t xml:space="preserve">≈ </w:t>
      </w:r>
      <w:r>
        <w:rPr>
          <w:rFonts w:hint="eastAsia" w:ascii="宋体" w:hAnsi="宋体" w:eastAsia="宋体" w:cs="宋体"/>
        </w:rPr>
        <w:t xml:space="preserve">0.029kg </w:t>
      </w:r>
      <w:r>
        <w:rPr>
          <w:rFonts w:hint="eastAsia" w:ascii="宋体" w:hAnsi="宋体" w:cs="宋体"/>
          <w:lang w:val="en-US" w:eastAsia="zh-CN"/>
        </w:rPr>
        <w:t xml:space="preserve">                    </w:t>
      </w:r>
      <w:r>
        <w:rPr>
          <w:rFonts w:hint="eastAsia" w:ascii="宋体" w:hAnsi="宋体" w:eastAsia="宋体" w:cs="宋体"/>
        </w:rPr>
        <w:t>(C.1.7)</w:t>
      </w:r>
    </w:p>
    <w:p>
      <w:pPr>
        <w:spacing w:line="360" w:lineRule="auto"/>
        <w:ind w:firstLine="480" w:firstLineChars="200"/>
        <w:jc w:val="left"/>
        <w:rPr>
          <w:rFonts w:hint="eastAsia" w:ascii="宋体" w:hAnsi="宋体" w:eastAsia="宋体" w:cs="宋体"/>
        </w:rPr>
      </w:pPr>
      <w:r>
        <w:rPr>
          <w:rFonts w:hint="eastAsia" w:ascii="宋体" w:hAnsi="宋体" w:eastAsia="宋体" w:cs="宋体"/>
        </w:rPr>
        <w:t>由式(C</w:t>
      </w:r>
      <w:r>
        <w:rPr>
          <w:rFonts w:hint="eastAsia" w:ascii="宋体" w:hAnsi="宋体" w:cs="宋体"/>
          <w:lang w:val="en-US" w:eastAsia="zh-CN"/>
        </w:rPr>
        <w:t>.</w:t>
      </w:r>
      <w:r>
        <w:rPr>
          <w:rFonts w:hint="eastAsia" w:ascii="宋体" w:hAnsi="宋体" w:eastAsia="宋体" w:cs="宋体"/>
        </w:rPr>
        <w:t>1.4)、式(C</w:t>
      </w:r>
      <w:r>
        <w:rPr>
          <w:rFonts w:hint="eastAsia" w:ascii="宋体" w:hAnsi="宋体" w:cs="宋体"/>
          <w:lang w:val="en-US" w:eastAsia="zh-CN"/>
        </w:rPr>
        <w:t>.</w:t>
      </w:r>
      <w:r>
        <w:rPr>
          <w:rFonts w:hint="eastAsia" w:ascii="宋体" w:hAnsi="宋体" w:eastAsia="宋体" w:cs="宋体"/>
        </w:rPr>
        <w:t>1.6)及式(C</w:t>
      </w:r>
      <w:r>
        <w:rPr>
          <w:rFonts w:hint="eastAsia" w:ascii="宋体" w:hAnsi="宋体" w:cs="宋体"/>
          <w:lang w:val="en-US" w:eastAsia="zh-CN"/>
        </w:rPr>
        <w:t>.</w:t>
      </w:r>
      <w:r>
        <w:rPr>
          <w:rFonts w:hint="eastAsia" w:ascii="宋体" w:hAnsi="宋体" w:eastAsia="宋体" w:cs="宋体"/>
        </w:rPr>
        <w:t>1.7)可得</w:t>
      </w:r>
    </w:p>
    <w:p>
      <w:pPr>
        <w:spacing w:line="360" w:lineRule="auto"/>
        <w:ind w:firstLine="1440" w:firstLineChars="600"/>
        <w:jc w:val="left"/>
        <w:rPr>
          <w:rFonts w:hint="eastAsia" w:ascii="宋体" w:hAnsi="宋体" w:eastAsia="宋体" w:cs="宋体"/>
        </w:rPr>
      </w:pPr>
      <w:r>
        <w:rPr>
          <w:rFonts w:hint="eastAsia" w:ascii="宋体" w:hAnsi="宋体" w:cs="宋体"/>
          <w:i/>
          <w:iCs/>
          <w:lang w:val="en-US" w:eastAsia="zh-CN"/>
        </w:rPr>
        <w:t>u</w:t>
      </w:r>
      <w:r>
        <w:rPr>
          <w:rFonts w:hint="eastAsia" w:ascii="宋体" w:hAnsi="宋体" w:cs="宋体"/>
          <w:i/>
          <w:iCs/>
          <w:vertAlign w:val="subscript"/>
          <w:lang w:val="en-US" w:eastAsia="zh-CN"/>
        </w:rPr>
        <w:t>1</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t>=max</w:t>
      </w:r>
      <w:r>
        <w:rPr>
          <w:rFonts w:hint="eastAsia"/>
          <w:lang w:val="en-US" w:eastAsia="zh-CN"/>
        </w:rPr>
        <w:t>{</w:t>
      </w:r>
      <w:r>
        <w:rPr>
          <w:rFonts w:hint="eastAsia" w:ascii="宋体" w:hAnsi="宋体" w:cs="宋体"/>
          <w:i w:val="0"/>
          <w:iCs w:val="0"/>
          <w:lang w:val="en-US" w:eastAsia="zh-CN"/>
        </w:rPr>
        <w:t>0.017</w:t>
      </w:r>
      <w:r>
        <w:rPr>
          <w:rFonts w:hint="eastAsia" w:ascii="宋体" w:hAnsi="宋体" w:cs="宋体"/>
          <w:i w:val="0"/>
          <w:iCs w:val="0"/>
          <w:lang w:eastAsia="zh-CN"/>
        </w:rPr>
        <w:t>，</w:t>
      </w:r>
      <w:r>
        <w:rPr>
          <w:rFonts w:hint="eastAsia" w:ascii="宋体" w:hAnsi="宋体" w:cs="宋体"/>
          <w:i w:val="0"/>
          <w:iCs w:val="0"/>
          <w:lang w:val="en-US" w:eastAsia="zh-CN"/>
        </w:rPr>
        <w:t>0.029</w:t>
      </w:r>
      <w:r>
        <w:rPr>
          <w:rFonts w:hint="eastAsia" w:ascii="宋体" w:hAnsi="宋体" w:cs="宋体"/>
          <w:i/>
          <w:iCs/>
          <w:lang w:val="en-US" w:eastAsia="zh-CN"/>
        </w:rPr>
        <w:t xml:space="preserve"> </w:t>
      </w:r>
      <w:r>
        <w:rPr>
          <w:rFonts w:hint="eastAsia"/>
          <w:lang w:val="en-US" w:eastAsia="zh-CN"/>
        </w:rPr>
        <w:t xml:space="preserve">} </w:t>
      </w:r>
      <w:r>
        <w:rPr>
          <w:rFonts w:hint="eastAsia" w:ascii="宋体" w:hAnsi="宋体" w:cs="宋体"/>
          <w:lang w:eastAsia="zh-CN"/>
        </w:rPr>
        <w:t>＝</w:t>
      </w:r>
      <w:r>
        <w:rPr>
          <w:rFonts w:hint="eastAsia" w:ascii="宋体" w:hAnsi="宋体" w:eastAsia="宋体" w:cs="宋体"/>
        </w:rPr>
        <w:t xml:space="preserve"> 0.029 kg</w:t>
      </w:r>
      <w:r>
        <w:rPr>
          <w:rFonts w:hint="eastAsia" w:ascii="宋体" w:hAnsi="宋体" w:cs="宋体"/>
          <w:lang w:val="en-US" w:eastAsia="zh-CN"/>
        </w:rPr>
        <w:t xml:space="preserve">              </w:t>
      </w:r>
      <w:r>
        <w:rPr>
          <w:rFonts w:hint="eastAsia" w:ascii="宋体" w:hAnsi="宋体" w:eastAsia="宋体" w:cs="宋体"/>
        </w:rPr>
        <w:t xml:space="preserve"> (C.1.8)</w:t>
      </w:r>
    </w:p>
    <w:p>
      <w:pPr>
        <w:spacing w:line="360" w:lineRule="auto"/>
        <w:ind w:left="0" w:leftChars="0" w:firstLine="0" w:firstLineChars="0"/>
        <w:jc w:val="left"/>
        <w:rPr>
          <w:rFonts w:hint="eastAsia" w:ascii="宋体" w:hAnsi="宋体" w:eastAsia="宋体" w:cs="宋体"/>
        </w:rPr>
      </w:pPr>
      <w:r>
        <w:rPr>
          <w:rFonts w:hint="eastAsia" w:ascii="宋体" w:hAnsi="宋体" w:eastAsia="宋体" w:cs="宋体"/>
        </w:rPr>
        <w:t>C.1</w:t>
      </w:r>
      <w:r>
        <w:rPr>
          <w:rFonts w:hint="eastAsia" w:ascii="宋体" w:hAnsi="宋体" w:eastAsia="宋体" w:cs="宋体"/>
          <w:lang w:val="en-US" w:eastAsia="zh-CN"/>
        </w:rPr>
        <w:t>.</w:t>
      </w:r>
      <w:r>
        <w:rPr>
          <w:rFonts w:hint="eastAsia" w:ascii="宋体" w:hAnsi="宋体" w:eastAsia="宋体" w:cs="宋体"/>
        </w:rPr>
        <w:t>5.2 控制衡器引入的不确定度分量</w:t>
      </w:r>
      <w:r>
        <w:rPr>
          <w:rFonts w:hint="eastAsia" w:ascii="宋体" w:hAnsi="宋体" w:cs="宋体"/>
          <w:i/>
          <w:iCs/>
          <w:lang w:val="en-US" w:eastAsia="zh-CN"/>
        </w:rPr>
        <w:t>u</w:t>
      </w:r>
      <w:r>
        <w:rPr>
          <w:rFonts w:hint="eastAsia" w:ascii="宋体" w:hAnsi="宋体" w:cs="宋体"/>
          <w:i/>
          <w:iCs/>
          <w:vertAlign w:val="subscript"/>
          <w:lang w:val="en-US" w:eastAsia="zh-CN"/>
        </w:rPr>
        <w:t>2</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 的评定</w:t>
      </w:r>
    </w:p>
    <w:p>
      <w:pPr>
        <w:spacing w:line="360" w:lineRule="auto"/>
        <w:ind w:firstLine="480" w:firstLineChars="200"/>
        <w:rPr>
          <w:rFonts w:hint="eastAsia" w:ascii="宋体" w:hAnsi="宋体" w:eastAsia="宋体" w:cs="宋体"/>
        </w:rPr>
      </w:pPr>
      <w:r>
        <w:rPr>
          <w:rFonts w:hint="eastAsia" w:ascii="宋体" w:hAnsi="宋体" w:eastAsia="宋体" w:cs="宋体"/>
        </w:rPr>
        <w:t>控制衡器在 14.5kg 这个秤量点的最大允许误差为±20g，按均匀分布，包含因子取</w:t>
      </w:r>
      <w:r>
        <w:rPr>
          <w:rFonts w:hint="eastAsia" w:ascii="宋体" w:hAnsi="宋体" w:eastAsia="宋体" w:cs="宋体"/>
          <w:i/>
          <w:iCs/>
        </w:rPr>
        <w:t>k</w:t>
      </w:r>
      <w:r>
        <w:rPr>
          <w:rFonts w:hint="eastAsia" w:ascii="宋体" w:hAnsi="宋体" w:cs="宋体"/>
          <w:lang w:eastAsia="zh-CN"/>
        </w:rPr>
        <w:t>＝</w:t>
      </w:r>
      <m:oMath>
        <m:rad>
          <m:radPr>
            <m:degHide m:val="1"/>
            <m:ctrlPr>
              <w:rPr>
                <w:rFonts w:ascii="Cambria Math" w:hAnsi="Cambria Math" w:cs="宋体"/>
                <w:i/>
              </w:rPr>
            </m:ctrlPr>
          </m:radPr>
          <m:deg>
            <m:ctrlPr>
              <w:rPr>
                <w:rFonts w:ascii="Cambria Math" w:hAnsi="Cambria Math" w:cs="宋体"/>
                <w:i/>
              </w:rPr>
            </m:ctrlPr>
          </m:deg>
          <m:e>
            <m:r>
              <m:rPr/>
              <w:rPr>
                <w:rFonts w:hint="default" w:ascii="Cambria Math" w:hAnsi="Cambria Math" w:cs="宋体"/>
                <w:lang w:val="en-US" w:eastAsia="zh-CN"/>
              </w:rPr>
              <m:t>3</m:t>
            </m:r>
            <m:ctrlPr>
              <w:rPr>
                <w:rFonts w:ascii="Cambria Math" w:hAnsi="Cambria Math" w:cs="宋体"/>
                <w:i/>
              </w:rPr>
            </m:ctrlPr>
          </m:e>
        </m:rad>
      </m:oMath>
      <w:r>
        <w:rPr>
          <w:rFonts w:hint="eastAsia" w:ascii="宋体" w:hAnsi="宋体" w:eastAsia="宋体" w:cs="宋体"/>
        </w:rPr>
        <w:t>，由此引起的标准不确定度为</w:t>
      </w:r>
    </w:p>
    <w:p>
      <w:pPr>
        <w:spacing w:line="360" w:lineRule="auto"/>
        <w:ind w:firstLine="2880" w:firstLineChars="1200"/>
        <w:rPr>
          <w:rFonts w:hint="eastAsia" w:ascii="宋体" w:hAnsi="宋体" w:eastAsia="宋体" w:cs="宋体"/>
        </w:rPr>
      </w:pPr>
      <w:r>
        <w:rPr>
          <w:rFonts w:hint="eastAsia" w:ascii="宋体" w:hAnsi="宋体" w:cs="宋体"/>
          <w:i/>
          <w:iCs/>
          <w:lang w:val="en-US" w:eastAsia="zh-CN"/>
        </w:rPr>
        <w:t>u</w:t>
      </w:r>
      <w:r>
        <w:rPr>
          <w:rFonts w:hint="eastAsia" w:ascii="宋体" w:hAnsi="宋体" w:cs="宋体"/>
          <w:i/>
          <w:iCs/>
          <w:vertAlign w:val="subscript"/>
          <w:lang w:val="en-US" w:eastAsia="zh-CN"/>
        </w:rPr>
        <w:t>2</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r>
        <w:rPr>
          <w:rFonts w:hint="eastAsia" w:ascii="宋体" w:hAnsi="宋体" w:cs="宋体"/>
          <w:lang w:eastAsia="zh-CN"/>
        </w:rPr>
        <w:t>＝</w:t>
      </w:r>
      <w:r>
        <w:rPr>
          <w:rFonts w:hint="eastAsia" w:ascii="宋体" w:hAnsi="宋体" w:cs="宋体"/>
          <w:lang w:val="en-US" w:eastAsia="zh-CN"/>
        </w:rPr>
        <w:t xml:space="preserve"> </w:t>
      </w:r>
      <m:oMath>
        <m:f>
          <m:fPr>
            <m:ctrlPr>
              <w:rPr>
                <w:rFonts w:hint="eastAsia" w:ascii="Cambria Math" w:hAnsi="宋体" w:cs="宋体"/>
                <w:lang w:val="en-US" w:eastAsia="zh-CN"/>
              </w:rPr>
            </m:ctrlPr>
          </m:fPr>
          <m:num>
            <m:r>
              <m:rPr>
                <m:sty m:val="p"/>
              </m:rPr>
              <w:rPr>
                <w:rFonts w:hint="default" w:ascii="Cambria Math" w:hAnsi="宋体" w:cs="宋体"/>
                <w:lang w:val="en-US" w:eastAsia="zh-CN"/>
              </w:rPr>
              <m:t>0.02</m:t>
            </m:r>
            <m:ctrlPr>
              <w:rPr>
                <w:rFonts w:hint="eastAsia" w:ascii="Cambria Math" w:hAnsi="宋体" w:cs="宋体"/>
                <w:lang w:val="en-US" w:eastAsia="zh-CN"/>
              </w:rPr>
            </m:ctrlPr>
          </m:num>
          <m:den>
            <m:rad>
              <m:radPr>
                <m:degHide m:val="1"/>
                <m:ctrlPr>
                  <w:rPr>
                    <w:rFonts w:ascii="Cambria Math" w:hAnsi="Cambria Math" w:cs="宋体"/>
                    <w:i/>
                  </w:rPr>
                </m:ctrlPr>
              </m:radPr>
              <m:deg>
                <m:ctrlPr>
                  <w:rPr>
                    <w:rFonts w:ascii="Cambria Math" w:hAnsi="Cambria Math" w:cs="宋体"/>
                    <w:i/>
                  </w:rPr>
                </m:ctrlPr>
              </m:deg>
              <m:e>
                <m:r>
                  <m:rPr/>
                  <w:rPr>
                    <w:rFonts w:hint="default" w:ascii="Cambria Math" w:hAnsi="Cambria Math" w:cs="宋体"/>
                    <w:lang w:val="en-US" w:eastAsia="zh-CN"/>
                  </w:rPr>
                  <m:t>3</m:t>
                </m:r>
                <m:ctrlPr>
                  <w:rPr>
                    <w:rFonts w:ascii="Cambria Math" w:hAnsi="Cambria Math" w:cs="宋体"/>
                    <w:i/>
                  </w:rPr>
                </m:ctrlPr>
              </m:e>
            </m:rad>
            <m:ctrlPr>
              <w:rPr>
                <w:rFonts w:hint="eastAsia" w:ascii="Cambria Math" w:hAnsi="宋体" w:cs="宋体"/>
                <w:lang w:val="en-US" w:eastAsia="zh-CN"/>
              </w:rPr>
            </m:ctrlPr>
          </m:den>
        </m:f>
      </m:oMath>
      <w:r>
        <w:rPr>
          <w:rFonts w:hint="eastAsia" w:ascii="宋体" w:hAnsi="宋体" w:eastAsia="宋体" w:cs="宋体"/>
        </w:rPr>
        <w:t xml:space="preserve"> </w:t>
      </w:r>
      <w:r>
        <w:rPr>
          <w:rFonts w:hint="eastAsia" w:ascii="宋体" w:hAnsi="宋体" w:cs="宋体"/>
          <w:lang w:val="en-US" w:eastAsia="zh-CN"/>
        </w:rPr>
        <w:t xml:space="preserve"> </w:t>
      </w:r>
      <w:r>
        <w:rPr>
          <w:rFonts w:hint="eastAsia" w:ascii="Cambria Math" w:hAnsi="Cambria Math" w:cs="宋体"/>
          <w:i/>
          <w:lang w:val="en-US" w:eastAsia="zh-CN"/>
        </w:rPr>
        <w:t xml:space="preserve">≈ </w:t>
      </w:r>
      <w:r>
        <w:rPr>
          <w:rFonts w:hint="eastAsia" w:ascii="宋体" w:hAnsi="宋体" w:cs="宋体"/>
          <w:lang w:val="en-US" w:eastAsia="zh-CN"/>
        </w:rPr>
        <w:t>0.012kg</w:t>
      </w:r>
      <w:r>
        <w:rPr>
          <w:rFonts w:hint="eastAsia" w:ascii="宋体" w:hAnsi="宋体" w:eastAsia="宋体" w:cs="宋体"/>
        </w:rPr>
        <w:t xml:space="preserve"> </w:t>
      </w:r>
      <w:r>
        <w:rPr>
          <w:rFonts w:hint="eastAsia" w:ascii="宋体" w:hAnsi="宋体" w:cs="宋体"/>
          <w:lang w:val="en-US" w:eastAsia="zh-CN"/>
        </w:rPr>
        <w:t xml:space="preserve">                </w:t>
      </w:r>
      <w:r>
        <w:rPr>
          <w:rFonts w:hint="eastAsia" w:ascii="宋体" w:hAnsi="宋体" w:eastAsia="宋体" w:cs="宋体"/>
        </w:rPr>
        <w:t>(C</w:t>
      </w:r>
      <w:r>
        <w:rPr>
          <w:rFonts w:hint="eastAsia" w:ascii="宋体" w:hAnsi="宋体" w:cs="宋体"/>
          <w:lang w:val="en-US" w:eastAsia="zh-CN"/>
        </w:rPr>
        <w:t>.</w:t>
      </w:r>
      <w:r>
        <w:rPr>
          <w:rFonts w:hint="eastAsia" w:ascii="宋体" w:hAnsi="宋体" w:eastAsia="宋体" w:cs="宋体"/>
        </w:rPr>
        <w:t>1.9)</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C.1.6标准不确定度一览表</w:t>
      </w:r>
    </w:p>
    <w:p>
      <w:pPr>
        <w:spacing w:line="360" w:lineRule="auto"/>
        <w:ind w:firstLine="480" w:firstLineChars="200"/>
        <w:rPr>
          <w:rFonts w:hint="eastAsia" w:ascii="宋体" w:hAnsi="宋体" w:eastAsia="宋体" w:cs="宋体"/>
          <w:lang w:eastAsia="zh-CN"/>
        </w:rPr>
      </w:pPr>
      <w:r>
        <w:rPr>
          <w:rFonts w:hint="eastAsia" w:ascii="宋体" w:hAnsi="宋体" w:eastAsia="宋体" w:cs="宋体"/>
        </w:rPr>
        <w:t>标准不确定度一览表见表 C.1.1</w:t>
      </w:r>
      <w:r>
        <w:rPr>
          <w:rFonts w:hint="eastAsia" w:ascii="宋体" w:hAnsi="宋体" w:cs="宋体"/>
          <w:lang w:eastAsia="zh-CN"/>
        </w:rPr>
        <w:t>。</w:t>
      </w:r>
    </w:p>
    <w:p>
      <w:pPr>
        <w:spacing w:line="360" w:lineRule="auto"/>
      </w:pPr>
    </w:p>
    <w:p>
      <w:pPr>
        <w:spacing w:line="360" w:lineRule="auto"/>
      </w:pPr>
    </w:p>
    <w:p>
      <w:pPr>
        <w:spacing w:line="360" w:lineRule="auto"/>
      </w:pPr>
    </w:p>
    <w:p>
      <w:pPr>
        <w:spacing w:line="360" w:lineRule="auto"/>
        <w:rPr>
          <w:rFonts w:hint="eastAsia" w:ascii="宋体" w:hAnsi="宋体" w:eastAsia="宋体" w:cs="宋体"/>
        </w:rPr>
      </w:pPr>
    </w:p>
    <w:p>
      <w:pPr>
        <w:spacing w:line="360" w:lineRule="auto"/>
        <w:jc w:val="center"/>
        <w:rPr>
          <w:rFonts w:hint="eastAsia" w:ascii="宋体" w:hAnsi="宋体" w:eastAsia="宋体" w:cs="宋体"/>
        </w:rPr>
      </w:pPr>
      <w:r>
        <w:rPr>
          <w:rFonts w:hint="eastAsia" w:ascii="宋体" w:hAnsi="宋体" w:eastAsia="宋体" w:cs="宋体"/>
        </w:rPr>
        <w:t>表C.1.1</w:t>
      </w:r>
      <w:r>
        <w:rPr>
          <w:rFonts w:hint="eastAsia" w:ascii="宋体" w:hAnsi="宋体" w:cs="宋体"/>
          <w:lang w:eastAsia="zh-CN"/>
        </w:rPr>
        <w:t>液化气灌装秤</w:t>
      </w:r>
      <w:r>
        <w:rPr>
          <w:rFonts w:hint="eastAsia" w:ascii="宋体" w:hAnsi="宋体" w:eastAsia="宋体" w:cs="宋体"/>
        </w:rPr>
        <w:t>动态测量结果不确定度一览表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60" w:lineRule="auto"/>
              <w:jc w:val="center"/>
              <w:rPr>
                <w:rFonts w:hint="eastAsia" w:ascii="宋体" w:hAnsi="宋体" w:eastAsia="宋体" w:cs="宋体"/>
                <w:vertAlign w:val="baseline"/>
              </w:rPr>
            </w:pPr>
            <w:r>
              <w:rPr>
                <w:rFonts w:hint="eastAsia" w:ascii="宋体" w:hAnsi="宋体" w:eastAsia="宋体" w:cs="宋体"/>
              </w:rPr>
              <w:t>不确定度来源</w:t>
            </w:r>
          </w:p>
        </w:tc>
        <w:tc>
          <w:tcPr>
            <w:tcW w:w="2952" w:type="dxa"/>
          </w:tcPr>
          <w:p>
            <w:pPr>
              <w:spacing w:line="360" w:lineRule="auto"/>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u</w:t>
            </w:r>
          </w:p>
        </w:tc>
        <w:tc>
          <w:tcPr>
            <w:tcW w:w="2952" w:type="dxa"/>
          </w:tcPr>
          <w:p>
            <w:pPr>
              <w:spacing w:line="360" w:lineRule="auto"/>
              <w:jc w:val="center"/>
              <w:rPr>
                <w:rFonts w:hint="eastAsia" w:ascii="宋体" w:hAnsi="宋体" w:eastAsia="宋体" w:cs="宋体"/>
                <w:vertAlign w:val="baseline"/>
              </w:rPr>
            </w:pPr>
            <w:r>
              <w:rPr>
                <w:rFonts w:hint="eastAsia" w:ascii="宋体" w:hAnsi="宋体" w:eastAsia="宋体" w:cs="宋体"/>
              </w:rPr>
              <w:t>标准不确定度分量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60" w:lineRule="auto"/>
              <w:ind w:left="0" w:leftChars="0" w:firstLine="0" w:firstLineChars="0"/>
              <w:jc w:val="center"/>
              <w:rPr>
                <w:rFonts w:hint="eastAsia" w:ascii="宋体" w:hAnsi="宋体" w:eastAsia="宋体" w:cs="宋体"/>
                <w:vertAlign w:val="baseline"/>
              </w:rPr>
            </w:pPr>
            <w:r>
              <w:rPr>
                <w:rFonts w:hint="eastAsia" w:ascii="宋体" w:hAnsi="宋体" w:eastAsia="宋体" w:cs="宋体"/>
              </w:rPr>
              <w:t>实际灌装重复性/分辨力</w:t>
            </w:r>
          </w:p>
        </w:tc>
        <w:tc>
          <w:tcPr>
            <w:tcW w:w="2952" w:type="dxa"/>
          </w:tcPr>
          <w:p>
            <w:pPr>
              <w:spacing w:line="360" w:lineRule="auto"/>
              <w:jc w:val="center"/>
              <w:rPr>
                <w:rFonts w:hint="eastAsia" w:ascii="宋体" w:hAnsi="宋体" w:eastAsia="宋体" w:cs="宋体"/>
                <w:vertAlign w:val="baseline"/>
              </w:rPr>
            </w:pPr>
            <w:r>
              <w:rPr>
                <w:rFonts w:hint="eastAsia" w:ascii="宋体" w:hAnsi="宋体" w:cs="宋体"/>
                <w:i/>
                <w:iCs/>
                <w:lang w:val="en-US" w:eastAsia="zh-CN"/>
              </w:rPr>
              <w:t>u</w:t>
            </w:r>
            <w:r>
              <w:rPr>
                <w:rFonts w:hint="eastAsia" w:ascii="宋体" w:hAnsi="宋体" w:cs="宋体"/>
                <w:i/>
                <w:iCs/>
                <w:vertAlign w:val="subscript"/>
                <w:lang w:val="en-US" w:eastAsia="zh-CN"/>
              </w:rPr>
              <w:t>1</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p>
        </w:tc>
        <w:tc>
          <w:tcPr>
            <w:tcW w:w="2952" w:type="dxa"/>
          </w:tcPr>
          <w:p>
            <w:pPr>
              <w:spacing w:line="360" w:lineRule="auto"/>
              <w:jc w:val="center"/>
              <w:rPr>
                <w:rFonts w:hint="eastAsia" w:ascii="宋体" w:hAnsi="宋体" w:eastAsia="宋体" w:cs="宋体"/>
                <w:vertAlign w:val="baseline"/>
              </w:rPr>
            </w:pPr>
            <w:r>
              <w:rPr>
                <w:rFonts w:hint="eastAsia" w:ascii="宋体" w:hAnsi="宋体" w:eastAsia="宋体" w:cs="宋体"/>
              </w:rPr>
              <w:t>0.029kg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2" w:type="dxa"/>
          </w:tcPr>
          <w:p>
            <w:pPr>
              <w:spacing w:line="360" w:lineRule="auto"/>
              <w:jc w:val="center"/>
              <w:rPr>
                <w:rFonts w:hint="eastAsia" w:ascii="宋体" w:hAnsi="宋体" w:eastAsia="宋体" w:cs="宋体"/>
                <w:vertAlign w:val="baseline"/>
              </w:rPr>
            </w:pPr>
            <w:r>
              <w:rPr>
                <w:rFonts w:hint="eastAsia" w:ascii="宋体" w:hAnsi="宋体" w:eastAsia="宋体" w:cs="宋体"/>
              </w:rPr>
              <w:t>控制</w:t>
            </w:r>
            <w:r>
              <w:rPr>
                <w:rFonts w:hint="eastAsia" w:ascii="宋体" w:hAnsi="宋体" w:cs="宋体"/>
                <w:lang w:eastAsia="zh-CN"/>
              </w:rPr>
              <w:t>衡</w:t>
            </w:r>
            <w:r>
              <w:rPr>
                <w:rFonts w:hint="eastAsia" w:ascii="宋体" w:hAnsi="宋体" w:eastAsia="宋体" w:cs="宋体"/>
              </w:rPr>
              <w:t>器</w:t>
            </w:r>
          </w:p>
        </w:tc>
        <w:tc>
          <w:tcPr>
            <w:tcW w:w="2952" w:type="dxa"/>
          </w:tcPr>
          <w:p>
            <w:pPr>
              <w:spacing w:line="360" w:lineRule="auto"/>
              <w:jc w:val="center"/>
              <w:rPr>
                <w:rFonts w:hint="eastAsia" w:ascii="宋体" w:hAnsi="宋体" w:eastAsia="宋体" w:cs="宋体"/>
                <w:vertAlign w:val="baseline"/>
              </w:rPr>
            </w:pPr>
            <w:r>
              <w:rPr>
                <w:rFonts w:hint="eastAsia" w:ascii="宋体" w:hAnsi="宋体" w:cs="宋体"/>
                <w:i/>
                <w:iCs/>
                <w:lang w:val="en-US" w:eastAsia="zh-CN"/>
              </w:rPr>
              <w:t>u</w:t>
            </w:r>
            <w:r>
              <w:rPr>
                <w:rFonts w:hint="eastAsia" w:ascii="宋体" w:hAnsi="宋体" w:cs="宋体"/>
                <w:i/>
                <w:iCs/>
                <w:vertAlign w:val="subscript"/>
                <w:lang w:val="en-US" w:eastAsia="zh-CN"/>
              </w:rPr>
              <w:t>2</w:t>
            </w:r>
            <w:r>
              <w:rPr>
                <w:rFonts w:hint="eastAsia" w:ascii="宋体" w:hAnsi="宋体" w:eastAsia="宋体" w:cs="宋体"/>
              </w:rPr>
              <w:t>(</w:t>
            </w:r>
            <w:r>
              <w:rPr>
                <w:rFonts w:hint="eastAsia" w:ascii="宋体" w:hAnsi="宋体" w:cs="宋体"/>
                <w:lang w:val="en-US" w:eastAsia="zh-CN"/>
              </w:rPr>
              <w:t>m</w:t>
            </w:r>
            <w:r>
              <w:rPr>
                <w:rFonts w:hint="eastAsia" w:ascii="宋体" w:hAnsi="宋体" w:eastAsia="宋体" w:cs="宋体"/>
              </w:rPr>
              <w:t>)</w:t>
            </w:r>
          </w:p>
        </w:tc>
        <w:tc>
          <w:tcPr>
            <w:tcW w:w="2952" w:type="dxa"/>
          </w:tcPr>
          <w:p>
            <w:pPr>
              <w:spacing w:line="360" w:lineRule="auto"/>
              <w:jc w:val="center"/>
              <w:rPr>
                <w:rFonts w:hint="eastAsia" w:ascii="宋体" w:hAnsi="宋体" w:eastAsia="宋体" w:cs="宋体"/>
                <w:vertAlign w:val="baseline"/>
              </w:rPr>
            </w:pPr>
            <w:r>
              <w:rPr>
                <w:rFonts w:hint="eastAsia" w:ascii="宋体" w:hAnsi="宋体" w:eastAsia="宋体" w:cs="宋体"/>
              </w:rPr>
              <w:t>0.012kg</w:t>
            </w:r>
          </w:p>
        </w:tc>
      </w:tr>
    </w:tbl>
    <w:p>
      <w:pPr>
        <w:spacing w:line="360" w:lineRule="auto"/>
        <w:rPr>
          <w:rFonts w:hint="eastAsia" w:ascii="宋体" w:hAnsi="宋体" w:eastAsia="宋体" w:cs="宋体"/>
        </w:rPr>
      </w:pPr>
    </w:p>
    <w:p>
      <w:pPr>
        <w:spacing w:line="360" w:lineRule="auto"/>
        <w:ind w:left="0" w:leftChars="0" w:firstLine="0" w:firstLineChars="0"/>
        <w:rPr>
          <w:rFonts w:hint="eastAsia" w:ascii="宋体" w:hAnsi="宋体" w:eastAsia="宋体" w:cs="宋体"/>
        </w:rPr>
      </w:pPr>
      <w:r>
        <w:rPr>
          <w:rFonts w:hint="eastAsia" w:ascii="宋体" w:hAnsi="宋体" w:eastAsia="宋体" w:cs="宋体"/>
        </w:rPr>
        <w:t>C.1.7合成标准不确定度</w:t>
      </w:r>
      <w:r>
        <w:rPr>
          <w:rFonts w:hint="eastAsia" w:ascii="宋体" w:hAnsi="宋体" w:eastAsia="宋体" w:cs="宋体"/>
          <w:i/>
          <w:iCs/>
          <w:lang w:val="en-US" w:eastAsia="zh-CN"/>
        </w:rPr>
        <w:t>u</w:t>
      </w:r>
      <w:r>
        <w:rPr>
          <w:rFonts w:hint="eastAsia" w:ascii="宋体" w:hAnsi="宋体" w:eastAsia="宋体" w:cs="宋体"/>
          <w:i/>
          <w:iCs/>
          <w:vertAlign w:val="subscript"/>
          <w:lang w:val="en-US" w:eastAsia="zh-CN"/>
        </w:rPr>
        <w:t>c</w:t>
      </w:r>
      <w:r>
        <w:rPr>
          <w:rFonts w:hint="eastAsia" w:ascii="宋体" w:hAnsi="宋体" w:eastAsia="宋体" w:cs="宋体"/>
        </w:rPr>
        <w:t>(</w:t>
      </w:r>
      <w:r>
        <w:rPr>
          <w:rFonts w:hint="eastAsia" w:ascii="宋体" w:hAnsi="宋体" w:eastAsia="宋体" w:cs="宋体"/>
          <w:i/>
          <w:iCs/>
          <w:lang w:val="en-US" w:eastAsia="zh-CN"/>
        </w:rPr>
        <w:t>E</w:t>
      </w:r>
      <w:r>
        <w:rPr>
          <w:rFonts w:hint="eastAsia" w:ascii="宋体" w:hAnsi="宋体" w:eastAsia="宋体" w:cs="宋体"/>
        </w:rPr>
        <w:t>)</w:t>
      </w:r>
    </w:p>
    <w:p>
      <w:pPr>
        <w:spacing w:line="360" w:lineRule="auto"/>
        <w:ind w:firstLine="480" w:firstLineChars="200"/>
        <w:rPr>
          <w:rFonts w:hint="eastAsia" w:ascii="宋体" w:hAnsi="宋体" w:eastAsia="宋体" w:cs="宋体"/>
        </w:rPr>
      </w:pPr>
      <w:r>
        <w:rPr>
          <w:rFonts w:hint="eastAsia" w:ascii="宋体" w:hAnsi="宋体" w:eastAsia="宋体" w:cs="宋体"/>
        </w:rPr>
        <w:t>由式(C</w:t>
      </w:r>
      <w:r>
        <w:rPr>
          <w:rFonts w:hint="eastAsia" w:ascii="宋体" w:hAnsi="宋体" w:eastAsia="宋体" w:cs="宋体"/>
          <w:lang w:val="en-US" w:eastAsia="zh-CN"/>
        </w:rPr>
        <w:t>.</w:t>
      </w:r>
      <w:r>
        <w:rPr>
          <w:rFonts w:hint="eastAsia" w:ascii="宋体" w:hAnsi="宋体" w:eastAsia="宋体" w:cs="宋体"/>
        </w:rPr>
        <w:t>1.2)、式(C</w:t>
      </w:r>
      <w:r>
        <w:rPr>
          <w:rFonts w:hint="eastAsia" w:ascii="宋体" w:hAnsi="宋体" w:eastAsia="宋体" w:cs="宋体"/>
          <w:lang w:val="en-US" w:eastAsia="zh-CN"/>
        </w:rPr>
        <w:t>.</w:t>
      </w:r>
      <w:r>
        <w:rPr>
          <w:rFonts w:hint="eastAsia" w:ascii="宋体" w:hAnsi="宋体" w:eastAsia="宋体" w:cs="宋体"/>
        </w:rPr>
        <w:t>1.3)及表C.1.1，可得</w:t>
      </w:r>
    </w:p>
    <w:p>
      <w:pPr>
        <w:spacing w:line="360" w:lineRule="auto"/>
        <w:rPr>
          <w:rFonts w:hint="eastAsia" w:ascii="宋体" w:hAnsi="宋体" w:eastAsia="宋体" w:cs="宋体"/>
        </w:rPr>
      </w:pPr>
      <w:r>
        <w:rPr>
          <w:rFonts w:hint="eastAsia" w:ascii="宋体" w:hAnsi="宋体" w:eastAsia="宋体" w:cs="宋体"/>
          <w:lang w:eastAsia="zh-CN"/>
        </w:rPr>
        <w:t>　　　　　　</w:t>
      </w:r>
      <w:r>
        <w:rPr>
          <w:rFonts w:hint="eastAsia" w:ascii="宋体" w:hAnsi="宋体" w:eastAsia="宋体" w:cs="宋体"/>
          <w:i/>
          <w:iCs/>
          <w:lang w:val="en-US" w:eastAsia="zh-CN"/>
        </w:rPr>
        <w:t>u</w:t>
      </w:r>
      <w:r>
        <w:rPr>
          <w:rFonts w:hint="eastAsia" w:ascii="宋体" w:hAnsi="宋体" w:eastAsia="宋体" w:cs="宋体"/>
          <w:i/>
          <w:iCs/>
          <w:vertAlign w:val="subscript"/>
          <w:lang w:val="en-US" w:eastAsia="zh-CN"/>
        </w:rPr>
        <w:t>c</w:t>
      </w:r>
      <w:r>
        <w:rPr>
          <w:rFonts w:hint="eastAsia" w:ascii="宋体" w:hAnsi="宋体" w:eastAsia="宋体" w:cs="宋体"/>
        </w:rPr>
        <w:t>(</w:t>
      </w:r>
      <w:r>
        <w:rPr>
          <w:rFonts w:hint="eastAsia" w:ascii="宋体" w:hAnsi="宋体" w:eastAsia="宋体" w:cs="宋体"/>
          <w:i/>
          <w:iCs/>
          <w:lang w:val="en-US" w:eastAsia="zh-CN"/>
        </w:rPr>
        <w:t>E</w:t>
      </w:r>
      <w:r>
        <w:rPr>
          <w:rFonts w:hint="eastAsia" w:ascii="宋体" w:hAnsi="宋体" w:eastAsia="宋体" w:cs="宋体"/>
        </w:rPr>
        <w:t>)</w:t>
      </w:r>
      <w:r>
        <w:rPr>
          <w:rFonts w:hint="eastAsia" w:ascii="宋体" w:hAnsi="宋体" w:eastAsia="宋体" w:cs="宋体"/>
          <w:lang w:val="en-US" w:eastAsia="zh-CN"/>
        </w:rPr>
        <w:t xml:space="preserve"> ＝ </w:t>
      </w:r>
      <m:oMath>
        <m:rad>
          <m:radPr>
            <m:degHide m:val="1"/>
            <m:ctrlPr>
              <w:rPr>
                <w:rFonts w:hint="eastAsia" w:ascii="Cambria Math" w:hAnsi="Cambria Math" w:eastAsia="宋体" w:cs="宋体"/>
                <w:i/>
              </w:rPr>
            </m:ctrlPr>
          </m:radPr>
          <m:deg>
            <m:ctrlPr>
              <w:rPr>
                <w:rFonts w:hint="eastAsia" w:ascii="Cambria Math" w:hAnsi="Cambria Math" w:eastAsia="宋体" w:cs="宋体"/>
                <w:i/>
              </w:rPr>
            </m:ctrlPr>
          </m:deg>
          <m:e>
            <m:sSup>
              <m:sSupPr>
                <m:ctrlPr>
                  <w:rPr>
                    <w:rFonts w:hint="eastAsia" w:ascii="Cambria Math" w:hAnsi="Cambria Math" w:eastAsia="宋体" w:cs="宋体"/>
                    <w:i/>
                  </w:rPr>
                </m:ctrlPr>
              </m:sSupPr>
              <m:e>
                <m:r>
                  <m:rPr/>
                  <w:rPr>
                    <w:rFonts w:hint="eastAsia" w:ascii="Cambria Math" w:hAnsi="Cambria Math" w:eastAsia="宋体" w:cs="宋体"/>
                    <w:lang w:val="en-US" w:eastAsia="zh-CN"/>
                  </w:rPr>
                  <m:t>0.029</m:t>
                </m:r>
                <m:ctrlPr>
                  <w:rPr>
                    <w:rFonts w:hint="eastAsia" w:ascii="Cambria Math" w:hAnsi="Cambria Math" w:eastAsia="宋体" w:cs="宋体"/>
                    <w:i/>
                  </w:rPr>
                </m:ctrlPr>
              </m:e>
              <m:sup>
                <m:r>
                  <m:rPr/>
                  <w:rPr>
                    <w:rFonts w:hint="eastAsia" w:ascii="Cambria Math" w:hAnsi="Cambria Math" w:eastAsia="宋体" w:cs="宋体"/>
                    <w:lang w:val="en-US" w:eastAsia="zh-CN"/>
                  </w:rPr>
                  <m:t>2</m:t>
                </m:r>
                <m:ctrlPr>
                  <w:rPr>
                    <w:rFonts w:hint="eastAsia" w:ascii="Cambria Math" w:hAnsi="Cambria Math" w:eastAsia="宋体" w:cs="宋体"/>
                    <w:i/>
                  </w:rPr>
                </m:ctrlPr>
              </m:sup>
            </m:sSup>
            <m:r>
              <m:rPr/>
              <w:rPr>
                <w:rFonts w:hint="eastAsia" w:ascii="Cambria Math" w:hAnsi="Cambria Math" w:eastAsia="宋体" w:cs="宋体"/>
                <w:lang w:val="en-US" w:eastAsia="zh-CN"/>
              </w:rPr>
              <m:t>+</m:t>
            </m:r>
            <m:sSup>
              <m:sSupPr>
                <m:ctrlPr>
                  <w:rPr>
                    <w:rFonts w:hint="eastAsia" w:ascii="Cambria Math" w:hAnsi="Cambria Math" w:eastAsia="宋体" w:cs="宋体"/>
                    <w:i/>
                    <w:lang w:val="en-US" w:eastAsia="zh-CN"/>
                  </w:rPr>
                </m:ctrlPr>
              </m:sSupPr>
              <m:e>
                <m:r>
                  <m:rPr/>
                  <w:rPr>
                    <w:rFonts w:hint="eastAsia" w:ascii="Cambria Math" w:hAnsi="Cambria Math" w:eastAsia="宋体" w:cs="宋体"/>
                    <w:lang w:val="en-US" w:eastAsia="zh-CN"/>
                  </w:rPr>
                  <m:t>0.012</m:t>
                </m:r>
                <m:ctrlPr>
                  <w:rPr>
                    <w:rFonts w:hint="eastAsia" w:ascii="Cambria Math" w:hAnsi="Cambria Math" w:eastAsia="宋体" w:cs="宋体"/>
                    <w:i/>
                    <w:lang w:val="en-US" w:eastAsia="zh-CN"/>
                  </w:rPr>
                </m:ctrlPr>
              </m:e>
              <m:sup>
                <m:r>
                  <m:rPr/>
                  <w:rPr>
                    <w:rFonts w:hint="eastAsia" w:ascii="Cambria Math" w:hAnsi="Cambria Math" w:eastAsia="宋体" w:cs="宋体"/>
                    <w:lang w:val="en-US" w:eastAsia="zh-CN"/>
                  </w:rPr>
                  <m:t>2</m:t>
                </m:r>
                <m:ctrlPr>
                  <w:rPr>
                    <w:rFonts w:hint="eastAsia" w:ascii="Cambria Math" w:hAnsi="Cambria Math" w:eastAsia="宋体" w:cs="宋体"/>
                    <w:i/>
                    <w:lang w:val="en-US" w:eastAsia="zh-CN"/>
                  </w:rPr>
                </m:ctrlPr>
              </m:sup>
            </m:sSup>
            <m:ctrlPr>
              <w:rPr>
                <w:rFonts w:hint="eastAsia" w:ascii="Cambria Math" w:hAnsi="Cambria Math" w:eastAsia="宋体" w:cs="宋体"/>
                <w:i/>
              </w:rPr>
            </m:ctrlPr>
          </m:e>
        </m:rad>
      </m:oMath>
      <w:r>
        <w:rPr>
          <w:rFonts w:hint="eastAsia" w:ascii="宋体" w:hAnsi="宋体" w:eastAsia="宋体" w:cs="宋体"/>
          <w:i w:val="0"/>
          <w:lang w:val="en-US" w:eastAsia="zh-CN"/>
        </w:rPr>
        <w:t xml:space="preserve">  </w:t>
      </w:r>
      <w:r>
        <w:rPr>
          <w:rFonts w:hint="eastAsia" w:ascii="宋体" w:hAnsi="宋体" w:eastAsia="宋体" w:cs="宋体"/>
          <w:lang w:eastAsia="zh-CN"/>
        </w:rPr>
        <w:t>≈　</w:t>
      </w:r>
      <w:r>
        <w:rPr>
          <w:rFonts w:hint="eastAsia" w:ascii="宋体" w:hAnsi="宋体" w:eastAsia="宋体" w:cs="宋体"/>
        </w:rPr>
        <w:t>0.031kg</w:t>
      </w:r>
      <w:r>
        <w:rPr>
          <w:rFonts w:hint="eastAsia" w:ascii="宋体" w:hAnsi="宋体" w:eastAsia="宋体" w:cs="宋体"/>
          <w:lang w:eastAsia="zh-CN"/>
        </w:rPr>
        <w:t>　　　　　　</w:t>
      </w:r>
      <w:r>
        <w:rPr>
          <w:rFonts w:hint="eastAsia" w:ascii="宋体" w:hAnsi="宋体" w:eastAsia="宋体" w:cs="宋体"/>
        </w:rPr>
        <w:t>(C.1.10)</w:t>
      </w:r>
    </w:p>
    <w:p>
      <w:pPr>
        <w:spacing w:line="360" w:lineRule="auto"/>
        <w:ind w:left="0" w:leftChars="0" w:firstLine="0" w:firstLineChars="0"/>
        <w:rPr>
          <w:rFonts w:hint="eastAsia" w:ascii="宋体" w:hAnsi="宋体" w:eastAsia="宋体" w:cs="宋体"/>
        </w:rPr>
      </w:pPr>
      <w:r>
        <w:rPr>
          <w:rFonts w:hint="eastAsia" w:ascii="宋体" w:hAnsi="宋体" w:eastAsia="宋体" w:cs="宋体"/>
        </w:rPr>
        <w:t xml:space="preserve">C.1.8扩展不确定度 </w:t>
      </w:r>
      <w:r>
        <w:rPr>
          <w:rFonts w:hint="eastAsia" w:ascii="宋体" w:hAnsi="宋体" w:eastAsia="宋体" w:cs="宋体"/>
          <w:i/>
          <w:iCs/>
        </w:rPr>
        <w:t>U</w:t>
      </w:r>
    </w:p>
    <w:p>
      <w:pPr>
        <w:spacing w:line="360" w:lineRule="auto"/>
        <w:ind w:firstLine="480" w:firstLineChars="200"/>
        <w:rPr>
          <w:rFonts w:hint="eastAsia" w:ascii="宋体" w:hAnsi="宋体" w:eastAsia="宋体" w:cs="宋体"/>
        </w:rPr>
      </w:pPr>
      <w:r>
        <w:rPr>
          <w:rFonts w:hint="eastAsia" w:ascii="宋体" w:hAnsi="宋体" w:eastAsia="宋体" w:cs="宋体"/>
        </w:rPr>
        <w:t>取</w:t>
      </w:r>
      <w:r>
        <w:rPr>
          <w:rFonts w:hint="eastAsia" w:ascii="宋体" w:hAnsi="宋体" w:eastAsia="宋体" w:cs="宋体"/>
          <w:i w:val="0"/>
          <w:iCs w:val="0"/>
        </w:rPr>
        <w:t>k</w:t>
      </w:r>
      <w:r>
        <w:rPr>
          <w:rFonts w:hint="eastAsia" w:ascii="宋体" w:hAnsi="宋体" w:eastAsia="宋体" w:cs="宋体"/>
        </w:rPr>
        <w:t>=2，则</w:t>
      </w:r>
    </w:p>
    <w:p>
      <w:pPr>
        <w:spacing w:line="360" w:lineRule="auto"/>
        <w:rPr>
          <w:rFonts w:hint="eastAsia" w:ascii="宋体" w:hAnsi="宋体" w:eastAsia="宋体" w:cs="宋体"/>
        </w:rPr>
      </w:pPr>
      <w:r>
        <w:rPr>
          <w:rFonts w:hint="eastAsia" w:ascii="宋体" w:hAnsi="宋体" w:eastAsia="宋体" w:cs="宋体"/>
          <w:lang w:eastAsia="zh-CN"/>
        </w:rPr>
        <w:t>　　　　　　　</w:t>
      </w:r>
      <w:r>
        <w:rPr>
          <w:rFonts w:hint="eastAsia" w:ascii="宋体" w:hAnsi="宋体" w:eastAsia="宋体" w:cs="宋体"/>
          <w:i/>
          <w:iCs/>
        </w:rPr>
        <w:t>U</w:t>
      </w:r>
      <w:r>
        <w:rPr>
          <w:rFonts w:hint="eastAsia" w:ascii="宋体" w:hAnsi="宋体" w:cs="宋体"/>
          <w:i/>
          <w:iCs/>
          <w:lang w:val="en-US" w:eastAsia="zh-CN"/>
        </w:rPr>
        <w:t xml:space="preserve"> ＝ </w:t>
      </w:r>
      <w:r>
        <w:rPr>
          <w:rFonts w:hint="eastAsia" w:ascii="宋体" w:hAnsi="宋体" w:eastAsia="宋体" w:cs="宋体"/>
          <w:i/>
          <w:iCs/>
        </w:rPr>
        <w:t>k</w:t>
      </w:r>
      <w:r>
        <w:rPr>
          <w:rFonts w:hint="eastAsia" w:ascii="宋体" w:hAnsi="宋体" w:eastAsia="宋体" w:cs="宋体"/>
          <w:i/>
          <w:iCs/>
          <w:lang w:val="en-US" w:eastAsia="zh-CN"/>
        </w:rPr>
        <w:t>u</w:t>
      </w:r>
      <w:r>
        <w:rPr>
          <w:rFonts w:hint="eastAsia" w:ascii="宋体" w:hAnsi="宋体" w:eastAsia="宋体" w:cs="宋体"/>
          <w:i/>
          <w:iCs/>
          <w:vertAlign w:val="subscript"/>
          <w:lang w:val="en-US" w:eastAsia="zh-CN"/>
        </w:rPr>
        <w:t>c</w:t>
      </w:r>
      <w:r>
        <w:rPr>
          <w:rFonts w:hint="eastAsia" w:ascii="宋体" w:hAnsi="宋体" w:eastAsia="宋体" w:cs="宋体"/>
        </w:rPr>
        <w:t>(</w:t>
      </w:r>
      <w:r>
        <w:rPr>
          <w:rFonts w:hint="eastAsia" w:ascii="宋体" w:hAnsi="宋体" w:eastAsia="宋体" w:cs="宋体"/>
          <w:i/>
          <w:iCs/>
          <w:lang w:val="en-US" w:eastAsia="zh-CN"/>
        </w:rPr>
        <w:t>E</w:t>
      </w:r>
      <w:r>
        <w:rPr>
          <w:rFonts w:hint="eastAsia" w:ascii="宋体" w:hAnsi="宋体" w:eastAsia="宋体" w:cs="宋体"/>
        </w:rPr>
        <w:t>)</w:t>
      </w:r>
      <w:r>
        <w:rPr>
          <w:rFonts w:hint="eastAsia" w:ascii="宋体" w:hAnsi="宋体" w:cs="宋体"/>
          <w:lang w:val="en-US" w:eastAsia="zh-CN"/>
        </w:rPr>
        <w:t xml:space="preserve"> </w:t>
      </w:r>
      <w:r>
        <w:rPr>
          <w:rFonts w:hint="eastAsia" w:ascii="宋体" w:hAnsi="宋体" w:cs="宋体"/>
          <w:lang w:eastAsia="zh-CN"/>
        </w:rPr>
        <w:t>＝</w:t>
      </w:r>
      <w:r>
        <w:rPr>
          <w:rFonts w:hint="eastAsia" w:ascii="宋体" w:hAnsi="宋体" w:cs="宋体"/>
          <w:lang w:val="en-US" w:eastAsia="zh-CN"/>
        </w:rPr>
        <w:t xml:space="preserve"> </w:t>
      </w:r>
      <w:r>
        <w:rPr>
          <w:rFonts w:hint="eastAsia" w:ascii="宋体" w:hAnsi="宋体" w:eastAsia="宋体" w:cs="宋体"/>
        </w:rPr>
        <w:t xml:space="preserve">0.07 kg </w:t>
      </w:r>
      <w:r>
        <w:rPr>
          <w:rFonts w:hint="eastAsia" w:ascii="宋体" w:hAnsi="宋体" w:cs="宋体"/>
          <w:lang w:val="en-US" w:eastAsia="zh-CN"/>
        </w:rPr>
        <w:t xml:space="preserve">                        </w:t>
      </w:r>
      <w:r>
        <w:rPr>
          <w:rFonts w:hint="eastAsia" w:ascii="宋体" w:hAnsi="宋体" w:eastAsia="宋体" w:cs="宋体"/>
        </w:rPr>
        <w:t>(C.1.11)</w:t>
      </w:r>
    </w:p>
    <w:p>
      <w:pPr>
        <w:spacing w:line="360" w:lineRule="auto"/>
        <w:jc w:val="left"/>
      </w:pPr>
    </w:p>
    <w:p>
      <w:pPr>
        <w:pStyle w:val="77"/>
        <w:spacing w:line="360" w:lineRule="auto"/>
        <w:ind w:firstLine="480"/>
        <w:jc w:val="left"/>
        <w:rPr>
          <w:rFonts w:ascii="Times New Roman" w:hAnsi="Calibri" w:eastAsia="宋体" w:cs="Times New Roman"/>
          <w:kern w:val="2"/>
          <w:sz w:val="24"/>
          <w:szCs w:val="24"/>
          <w:lang w:val="en-US" w:eastAsia="zh-CN" w:bidi="ar-SA"/>
        </w:rPr>
      </w:pPr>
    </w:p>
    <w:p>
      <w:pPr>
        <w:pStyle w:val="77"/>
        <w:spacing w:line="360" w:lineRule="auto"/>
        <w:ind w:firstLine="480"/>
        <w:jc w:val="left"/>
        <w:rPr>
          <w:rFonts w:ascii="Times New Roman" w:hAnsi="Calibri" w:eastAsia="宋体" w:cs="Times New Roman"/>
          <w:kern w:val="2"/>
          <w:sz w:val="24"/>
          <w:szCs w:val="24"/>
          <w:lang w:val="en-US" w:eastAsia="zh-CN" w:bidi="ar-SA"/>
        </w:rPr>
      </w:pPr>
    </w:p>
    <w:bookmarkEnd w:id="6"/>
    <w:p>
      <w:pPr>
        <w:pStyle w:val="77"/>
        <w:spacing w:line="360" w:lineRule="auto"/>
        <w:ind w:firstLine="480"/>
        <w:jc w:val="left"/>
        <w:rPr>
          <w:rFonts w:ascii="Times New Roman" w:hAnsi="Calibri" w:eastAsia="宋体" w:cs="Times New Roman"/>
          <w:kern w:val="2"/>
          <w:sz w:val="24"/>
          <w:szCs w:val="24"/>
          <w:lang w:val="en-US" w:eastAsia="zh-CN" w:bidi="ar-SA"/>
        </w:rPr>
      </w:pPr>
    </w:p>
    <w:sectPr>
      <w:footerReference r:id="rId9" w:type="default"/>
      <w:pgSz w:w="11906" w:h="16838"/>
      <w:pgMar w:top="1134" w:right="1418" w:bottom="1440" w:left="1418" w:header="851" w:footer="992" w:gutter="0"/>
      <w:pgNumType w:start="1"/>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光小标宋_CNKI">
    <w:altName w:val="宋体"/>
    <w:panose1 w:val="00000000000000000000"/>
    <w:charset w:val="86"/>
    <w:family w:val="auto"/>
    <w:pitch w:val="default"/>
    <w:sig w:usb0="00000000" w:usb1="00000000" w:usb2="00000010" w:usb3="00000000" w:csb0="00040000" w:csb1="00000000"/>
  </w:font>
  <w:font w:name="Cambria Math">
    <w:panose1 w:val="02040503050406030204"/>
    <w:charset w:val="00"/>
    <w:family w:val="auto"/>
    <w:pitch w:val="default"/>
    <w:sig w:usb0="E00006FF" w:usb1="420024FF" w:usb2="02000000" w:usb3="00000000" w:csb0="2000019F" w:csb1="00000000"/>
  </w:font>
  <w:font w:name="方正粗黑宋简体">
    <w:altName w:val="宋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rStyle w:val="29"/>
      </w:rPr>
    </w:pP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9"/>
      </w:rPr>
    </w:pPr>
    <w:r>
      <w:fldChar w:fldCharType="begin"/>
    </w:r>
    <w:r>
      <w:rPr>
        <w:rStyle w:val="29"/>
      </w:rPr>
      <w:instrText xml:space="preserve">PAGE  </w:instrText>
    </w:r>
    <w:r>
      <w:fldChar w:fldCharType="end"/>
    </w:r>
  </w:p>
  <w:p>
    <w:pPr>
      <w:pStyle w:val="1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38100" cy="262890"/>
              <wp:effectExtent l="0" t="0" r="0" b="0"/>
              <wp:wrapNone/>
              <wp:docPr id="11" name="文本框 1029"/>
              <wp:cNvGraphicFramePr/>
              <a:graphic xmlns:a="http://schemas.openxmlformats.org/drawingml/2006/main">
                <a:graphicData uri="http://schemas.microsoft.com/office/word/2010/wordprocessingShape">
                  <wps:wsp>
                    <wps:cNvSpPr txBox="1"/>
                    <wps:spPr>
                      <a:xfrm>
                        <a:off x="0" y="0"/>
                        <a:ext cx="38100" cy="262890"/>
                      </a:xfrm>
                      <a:prstGeom prst="rect">
                        <a:avLst/>
                      </a:prstGeom>
                      <a:noFill/>
                      <a:ln>
                        <a:noFill/>
                      </a:ln>
                      <a:effectLst/>
                    </wps:spPr>
                    <wps:txbx>
                      <w:txbxContent>
                        <w:p>
                          <w:pPr>
                            <w:pStyle w:val="15"/>
                            <w:rPr>
                              <w:rStyle w:val="29"/>
                            </w:rPr>
                          </w:pPr>
                          <w:r>
                            <w:fldChar w:fldCharType="begin"/>
                          </w:r>
                          <w:r>
                            <w:rPr>
                              <w:rStyle w:val="29"/>
                            </w:rPr>
                            <w:instrText xml:space="preserve">PAGE  </w:instrText>
                          </w:r>
                          <w:r>
                            <w:fldChar w:fldCharType="separate"/>
                          </w:r>
                          <w:r>
                            <w:rPr>
                              <w:rStyle w:val="29"/>
                            </w:rPr>
                            <w:t>II</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20.7pt;width:3pt;mso-position-horizontal:right;mso-position-horizontal-relative:margin;mso-wrap-style:none;z-index:251659264;mso-width-relative:page;mso-height-relative:page;" filled="f" stroked="f" coordsize="21600,21600" o:gfxdata="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wz+xPQAAAAAgEAAA8AAAAAAAAAAQAgAAAAIgAAAGRy&#10;cy9kb3ducmV2LnhtbFBLAQIUABQAAAAIAIdO4kD+Lt601AEAAKgDAAAOAAAAAAAAAAEAIAAAAB8B&#10;AABkcnMvZTJvRG9jLnhtbFBLBQYAAAAABgAGAFkBAABlBQAAAAA=&#10;">
              <v:fill on="f" focussize="0,0"/>
              <v:stroke on="f"/>
              <v:imagedata o:title=""/>
              <o:lock v:ext="edit" aspectratio="f"/>
              <v:textbox inset="0mm,0mm,0mm,0mm" style="mso-fit-shape-to-text:t;">
                <w:txbxContent>
                  <w:p>
                    <w:pPr>
                      <w:pStyle w:val="15"/>
                      <w:rPr>
                        <w:rStyle w:val="29"/>
                      </w:rPr>
                    </w:pPr>
                    <w:r>
                      <w:fldChar w:fldCharType="begin"/>
                    </w:r>
                    <w:r>
                      <w:rPr>
                        <w:rStyle w:val="29"/>
                      </w:rPr>
                      <w:instrText xml:space="preserve">PAGE  </w:instrText>
                    </w:r>
                    <w:r>
                      <w:fldChar w:fldCharType="separate"/>
                    </w:r>
                    <w:r>
                      <w:rPr>
                        <w:rStyle w:val="29"/>
                      </w:rP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firstLine="360"/>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7785" cy="131445"/>
              <wp:effectExtent l="0" t="0" r="0" b="0"/>
              <wp:wrapNone/>
              <wp:docPr id="12" name="文本框 1028"/>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a:effectLst/>
                    </wps:spPr>
                    <wps:txbx>
                      <w:txbxContent>
                        <w:p>
                          <w:pPr>
                            <w:pStyle w:val="15"/>
                            <w:rPr>
                              <w:rStyle w:val="29"/>
                            </w:rPr>
                          </w:pPr>
                          <w:r>
                            <w:fldChar w:fldCharType="begin"/>
                          </w:r>
                          <w:r>
                            <w:rPr>
                              <w:rStyle w:val="29"/>
                            </w:rPr>
                            <w:instrText xml:space="preserve">PAGE  </w:instrText>
                          </w:r>
                          <w:r>
                            <w:fldChar w:fldCharType="separate"/>
                          </w:r>
                          <w:r>
                            <w:rPr>
                              <w:rStyle w:val="29"/>
                            </w:rPr>
                            <w:t>11</w:t>
                          </w:r>
                          <w:r>
                            <w:fldChar w:fldCharType="end"/>
                          </w:r>
                        </w:p>
                      </w:txbxContent>
                    </wps:txbx>
                    <wps:bodyPr wrap="none" lIns="0" tIns="0" rIns="0" bIns="0" upright="0">
                      <a:spAutoFit/>
                    </wps:bodyPr>
                  </wps:wsp>
                </a:graphicData>
              </a:graphic>
            </wp:anchor>
          </w:drawing>
        </mc:Choice>
        <mc:Fallback>
          <w:pict>
            <v:shape id="文本框 1028" o:spid="_x0000_s1026" o:spt="202" type="#_x0000_t202" style="position:absolute;left:0pt;margin-top:0pt;height:10.35pt;width:4.55pt;mso-position-horizontal:right;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4vdRNAAAAACAQAADwAAAAAAAAABACAAAAAiAAAA&#10;ZHJzL2Rvd25yZXYueG1sUEsBAhQAFAAAAAgAh07iQLjVyf7WAQAAqAMAAA4AAAAAAAAAAQAgAAAA&#10;HwEAAGRycy9lMm9Eb2MueG1sUEsFBgAAAAAGAAYAWQEAAGcFAAAAAA==&#10;">
              <v:fill on="f" focussize="0,0"/>
              <v:stroke on="f"/>
              <v:imagedata o:title=""/>
              <o:lock v:ext="edit" aspectratio="f"/>
              <v:textbox inset="0mm,0mm,0mm,0mm" style="mso-fit-shape-to-text:t;">
                <w:txbxContent>
                  <w:p>
                    <w:pPr>
                      <w:pStyle w:val="15"/>
                      <w:rPr>
                        <w:rStyle w:val="29"/>
                      </w:rPr>
                    </w:pPr>
                    <w:r>
                      <w:fldChar w:fldCharType="begin"/>
                    </w:r>
                    <w:r>
                      <w:rPr>
                        <w:rStyle w:val="29"/>
                      </w:rPr>
                      <w:instrText xml:space="preserve">PAGE  </w:instrText>
                    </w:r>
                    <w:r>
                      <w:fldChar w:fldCharType="separate"/>
                    </w:r>
                    <w:r>
                      <w:rPr>
                        <w:rStyle w:val="29"/>
                      </w:rP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4" w:space="1"/>
      </w:pBdr>
      <w:rPr>
        <w:rFonts w:hint="default" w:ascii="宋体" w:hAnsi="宋体" w:eastAsia="黑体"/>
        <w:lang w:val="en-US" w:eastAsia="zh-CN"/>
      </w:rPr>
    </w:pPr>
    <w:r>
      <w:rPr>
        <w:rFonts w:hint="eastAsia" w:ascii="黑体" w:hAnsi="黑体" w:eastAsia="黑体"/>
        <w:sz w:val="21"/>
        <w:szCs w:val="21"/>
      </w:rPr>
      <w:t>JJF X X X X -  X X X 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single" w:color="auto" w:sz="6" w:space="4"/>
      </w:pBdr>
      <w:tabs>
        <w:tab w:val="right" w:pos="9354"/>
        <w:tab w:val="clear" w:pos="8306"/>
      </w:tabs>
      <w:outlineLvl w:val="0"/>
    </w:pPr>
    <w:r>
      <w:t>JJF</w:t>
    </w:r>
    <w:r>
      <w:rPr>
        <w:rFonts w:hint="eastAsia"/>
      </w:rPr>
      <w:t>（桂）</w:t>
    </w:r>
    <w:r>
      <w:t xml:space="preserve"> XX—2016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rPr>
        <w:rFonts w:hint="eastAsia" w:ascii="黑体" w:hAnsi="Times New Roman" w:eastAsia="黑体" w:cs="Times New Roman"/>
        <w:b w:val="0"/>
        <w:i w:val="0"/>
        <w:sz w:val="21"/>
      </w:rPr>
    </w:lvl>
    <w:lvl w:ilvl="1" w:tentative="0">
      <w:start w:val="1"/>
      <w:numFmt w:val="decimal"/>
      <w:isLgl/>
      <w:suff w:val="nothing"/>
      <w:lvlText w:val="%2　"/>
      <w:lvlJc w:val="left"/>
      <w:rPr>
        <w:rFonts w:hint="eastAsia" w:ascii="黑体" w:hAnsi="Times New Roman" w:eastAsia="黑体" w:cs="Times New Roman"/>
        <w:b w:val="0"/>
        <w:i w:val="0"/>
        <w:snapToGrid/>
        <w:spacing w:val="0"/>
        <w:w w:val="100"/>
        <w:kern w:val="21"/>
        <w:sz w:val="21"/>
      </w:rPr>
    </w:lvl>
    <w:lvl w:ilvl="2" w:tentative="0">
      <w:start w:val="1"/>
      <w:numFmt w:val="decimal"/>
      <w:pStyle w:val="53"/>
      <w:suff w:val="nothing"/>
      <w:lvlText w:val="%1%2.%3　"/>
      <w:lvlJc w:val="left"/>
      <w:rPr>
        <w:rFonts w:hint="eastAsia" w:ascii="黑体" w:hAnsi="Times New Roman" w:eastAsia="黑体" w:cs="Times New Roman"/>
        <w:b w:val="0"/>
        <w:i w:val="0"/>
        <w:sz w:val="21"/>
      </w:rPr>
    </w:lvl>
    <w:lvl w:ilvl="3" w:tentative="0">
      <w:start w:val="1"/>
      <w:numFmt w:val="decimal"/>
      <w:pStyle w:val="54"/>
      <w:suff w:val="nothing"/>
      <w:lvlText w:val="%1%2.%3.%4　"/>
      <w:lvlJc w:val="left"/>
      <w:rPr>
        <w:rFonts w:hint="eastAsia" w:ascii="黑体" w:hAnsi="Times New Roman" w:eastAsia="黑体" w:cs="Times New Roman"/>
        <w:b w:val="0"/>
        <w:i w:val="0"/>
        <w:sz w:val="21"/>
      </w:rPr>
    </w:lvl>
    <w:lvl w:ilvl="4" w:tentative="0">
      <w:start w:val="1"/>
      <w:numFmt w:val="decimal"/>
      <w:pStyle w:val="40"/>
      <w:suff w:val="nothing"/>
      <w:lvlText w:val="%1%2.%3.%4.%5　"/>
      <w:lvlJc w:val="left"/>
      <w:rPr>
        <w:rFonts w:hint="eastAsia" w:ascii="黑体" w:hAnsi="Times New Roman" w:eastAsia="黑体" w:cs="Times New Roman"/>
        <w:b w:val="0"/>
        <w:i w:val="0"/>
        <w:sz w:val="21"/>
      </w:rPr>
    </w:lvl>
    <w:lvl w:ilvl="5" w:tentative="0">
      <w:start w:val="1"/>
      <w:numFmt w:val="decimal"/>
      <w:pStyle w:val="49"/>
      <w:suff w:val="nothing"/>
      <w:lvlText w:val="%1%2.%3.%4.%5.%6　"/>
      <w:lvlJc w:val="left"/>
      <w:rPr>
        <w:rFonts w:hint="eastAsia" w:ascii="黑体" w:hAnsi="Times New Roman" w:eastAsia="黑体" w:cs="Times New Roman"/>
        <w:b w:val="0"/>
        <w:i w:val="0"/>
        <w:sz w:val="21"/>
      </w:rPr>
    </w:lvl>
    <w:lvl w:ilvl="6" w:tentative="0">
      <w:start w:val="1"/>
      <w:numFmt w:val="decimal"/>
      <w:pStyle w:val="42"/>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
    <w:nsid w:val="6CEA2025"/>
    <w:multiLevelType w:val="multilevel"/>
    <w:tmpl w:val="6CEA2025"/>
    <w:lvl w:ilvl="0" w:tentative="0">
      <w:start w:val="1"/>
      <w:numFmt w:val="none"/>
      <w:pStyle w:val="41"/>
      <w:suff w:val="nothing"/>
      <w:lvlText w:val="%1"/>
      <w:lvlJc w:val="left"/>
      <w:rPr>
        <w:rFonts w:hint="default" w:ascii="Times New Roman" w:hAnsi="Times New Roman" w:cs="Times New Roman"/>
        <w:b/>
        <w:i w:val="0"/>
        <w:sz w:val="21"/>
      </w:rPr>
    </w:lvl>
    <w:lvl w:ilvl="1" w:tentative="0">
      <w:start w:val="1"/>
      <w:numFmt w:val="decimal"/>
      <w:pStyle w:val="47"/>
      <w:suff w:val="nothing"/>
      <w:lvlText w:val="%1%2　"/>
      <w:lvlJc w:val="left"/>
      <w:rPr>
        <w:rFonts w:hint="eastAsia" w:ascii="黑体" w:hAnsi="Times New Roman" w:eastAsia="黑体" w:cs="Times New Roman"/>
        <w:b w:val="0"/>
        <w:i w:val="0"/>
        <w:sz w:val="21"/>
      </w:rPr>
    </w:lvl>
    <w:lvl w:ilvl="2" w:tentative="0">
      <w:start w:val="1"/>
      <w:numFmt w:val="decimal"/>
      <w:pStyle w:val="46"/>
      <w:suff w:val="nothing"/>
      <w:lvlText w:val="%1%2.%3　"/>
      <w:lvlJc w:val="left"/>
      <w:pPr>
        <w:ind w:left="735"/>
      </w:pPr>
      <w:rPr>
        <w:rFonts w:hint="eastAsia" w:ascii="黑体" w:hAnsi="Times New Roman" w:eastAsia="黑体" w:cs="Times New Roman"/>
        <w:b w:val="0"/>
        <w:i w:val="0"/>
        <w:sz w:val="21"/>
      </w:rPr>
    </w:lvl>
    <w:lvl w:ilvl="3" w:tentative="0">
      <w:start w:val="1"/>
      <w:numFmt w:val="decimal"/>
      <w:pStyle w:val="45"/>
      <w:suff w:val="nothing"/>
      <w:lvlText w:val="%1%2.%3.%4　"/>
      <w:lvlJc w:val="left"/>
      <w:rPr>
        <w:rFonts w:hint="eastAsia" w:ascii="黑体" w:hAnsi="Times New Roman" w:eastAsia="黑体" w:cs="Times New Roman"/>
        <w:b w:val="0"/>
        <w:i w:val="0"/>
        <w:sz w:val="21"/>
      </w:rPr>
    </w:lvl>
    <w:lvl w:ilvl="4" w:tentative="0">
      <w:start w:val="1"/>
      <w:numFmt w:val="decimal"/>
      <w:pStyle w:val="44"/>
      <w:suff w:val="nothing"/>
      <w:lvlText w:val="%1%2.%3.%4.%5　"/>
      <w:lvlJc w:val="left"/>
      <w:pPr>
        <w:ind w:left="142"/>
      </w:pPr>
      <w:rPr>
        <w:rFonts w:hint="eastAsia" w:ascii="黑体" w:hAnsi="Times New Roman" w:eastAsia="黑体" w:cs="Times New Roman"/>
        <w:b w:val="0"/>
        <w:i w:val="0"/>
        <w:sz w:val="21"/>
      </w:rPr>
    </w:lvl>
    <w:lvl w:ilvl="5" w:tentative="0">
      <w:start w:val="1"/>
      <w:numFmt w:val="decimal"/>
      <w:pStyle w:val="43"/>
      <w:suff w:val="nothing"/>
      <w:lvlText w:val="%1%2.%3.%4.%5.%6　"/>
      <w:lvlJc w:val="left"/>
      <w:rPr>
        <w:rFonts w:hint="eastAsia" w:ascii="黑体" w:hAnsi="Times New Roman" w:eastAsia="黑体" w:cs="Times New Roman"/>
        <w:b w:val="0"/>
        <w:i w:val="0"/>
        <w:sz w:val="21"/>
      </w:rPr>
    </w:lvl>
    <w:lvl w:ilvl="6" w:tentative="0">
      <w:start w:val="1"/>
      <w:numFmt w:val="decimal"/>
      <w:pStyle w:val="57"/>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3MDljNTRiN2FmYTFhNzAxMzU3MDkyYTJiZjE4MjIifQ=="/>
  </w:docVars>
  <w:rsids>
    <w:rsidRoot w:val="002837CE"/>
    <w:rsid w:val="0000076E"/>
    <w:rsid w:val="00000CE5"/>
    <w:rsid w:val="000013D6"/>
    <w:rsid w:val="00001610"/>
    <w:rsid w:val="00002E14"/>
    <w:rsid w:val="00003DE9"/>
    <w:rsid w:val="0000500C"/>
    <w:rsid w:val="00005667"/>
    <w:rsid w:val="00006CFB"/>
    <w:rsid w:val="000073E4"/>
    <w:rsid w:val="00011791"/>
    <w:rsid w:val="000123F0"/>
    <w:rsid w:val="000124C5"/>
    <w:rsid w:val="00012A9E"/>
    <w:rsid w:val="0001304C"/>
    <w:rsid w:val="000165E7"/>
    <w:rsid w:val="00017BB6"/>
    <w:rsid w:val="0002122A"/>
    <w:rsid w:val="00022130"/>
    <w:rsid w:val="00022814"/>
    <w:rsid w:val="00022BC8"/>
    <w:rsid w:val="00024CD8"/>
    <w:rsid w:val="00025453"/>
    <w:rsid w:val="000259BB"/>
    <w:rsid w:val="000267A6"/>
    <w:rsid w:val="00030203"/>
    <w:rsid w:val="00030711"/>
    <w:rsid w:val="000312F7"/>
    <w:rsid w:val="00031F98"/>
    <w:rsid w:val="000327CD"/>
    <w:rsid w:val="00033226"/>
    <w:rsid w:val="0003446F"/>
    <w:rsid w:val="000358FF"/>
    <w:rsid w:val="00040305"/>
    <w:rsid w:val="00041142"/>
    <w:rsid w:val="00041BF7"/>
    <w:rsid w:val="00042410"/>
    <w:rsid w:val="000437C8"/>
    <w:rsid w:val="00045D52"/>
    <w:rsid w:val="00045E94"/>
    <w:rsid w:val="00050F00"/>
    <w:rsid w:val="00052998"/>
    <w:rsid w:val="00052F99"/>
    <w:rsid w:val="00054A50"/>
    <w:rsid w:val="00054B46"/>
    <w:rsid w:val="00054F24"/>
    <w:rsid w:val="0005562C"/>
    <w:rsid w:val="00056057"/>
    <w:rsid w:val="00057CA1"/>
    <w:rsid w:val="00060887"/>
    <w:rsid w:val="00063241"/>
    <w:rsid w:val="00066C6E"/>
    <w:rsid w:val="00066DE1"/>
    <w:rsid w:val="00067C2A"/>
    <w:rsid w:val="00067ECF"/>
    <w:rsid w:val="00071CE8"/>
    <w:rsid w:val="00073FAF"/>
    <w:rsid w:val="00075AEB"/>
    <w:rsid w:val="00076AD9"/>
    <w:rsid w:val="000771C7"/>
    <w:rsid w:val="000803ED"/>
    <w:rsid w:val="0008061F"/>
    <w:rsid w:val="000843A4"/>
    <w:rsid w:val="000853C3"/>
    <w:rsid w:val="0008558F"/>
    <w:rsid w:val="0009051A"/>
    <w:rsid w:val="0009094F"/>
    <w:rsid w:val="00091008"/>
    <w:rsid w:val="000914EA"/>
    <w:rsid w:val="00092350"/>
    <w:rsid w:val="00092368"/>
    <w:rsid w:val="00093770"/>
    <w:rsid w:val="00093B58"/>
    <w:rsid w:val="000944BD"/>
    <w:rsid w:val="00094D2B"/>
    <w:rsid w:val="000952A8"/>
    <w:rsid w:val="00096B98"/>
    <w:rsid w:val="00097F47"/>
    <w:rsid w:val="000A077F"/>
    <w:rsid w:val="000A07E0"/>
    <w:rsid w:val="000A202B"/>
    <w:rsid w:val="000A21CF"/>
    <w:rsid w:val="000A27D2"/>
    <w:rsid w:val="000A2F0D"/>
    <w:rsid w:val="000A42FA"/>
    <w:rsid w:val="000A4C71"/>
    <w:rsid w:val="000A5A33"/>
    <w:rsid w:val="000A5F99"/>
    <w:rsid w:val="000A631C"/>
    <w:rsid w:val="000A6536"/>
    <w:rsid w:val="000A66D1"/>
    <w:rsid w:val="000B0960"/>
    <w:rsid w:val="000B1F08"/>
    <w:rsid w:val="000B2A7F"/>
    <w:rsid w:val="000B2DB7"/>
    <w:rsid w:val="000B427D"/>
    <w:rsid w:val="000B4ED7"/>
    <w:rsid w:val="000B5C07"/>
    <w:rsid w:val="000B65E8"/>
    <w:rsid w:val="000B68E8"/>
    <w:rsid w:val="000B7E51"/>
    <w:rsid w:val="000C2CF6"/>
    <w:rsid w:val="000C3F7B"/>
    <w:rsid w:val="000D0DCF"/>
    <w:rsid w:val="000D0E66"/>
    <w:rsid w:val="000D1344"/>
    <w:rsid w:val="000D2DD3"/>
    <w:rsid w:val="000D307B"/>
    <w:rsid w:val="000D5C57"/>
    <w:rsid w:val="000D6621"/>
    <w:rsid w:val="000D66C2"/>
    <w:rsid w:val="000D68F7"/>
    <w:rsid w:val="000D7E9D"/>
    <w:rsid w:val="000E25E4"/>
    <w:rsid w:val="000E4413"/>
    <w:rsid w:val="000E5327"/>
    <w:rsid w:val="000E6D2C"/>
    <w:rsid w:val="000F1BE9"/>
    <w:rsid w:val="000F1F19"/>
    <w:rsid w:val="000F27AE"/>
    <w:rsid w:val="000F2ECA"/>
    <w:rsid w:val="000F3461"/>
    <w:rsid w:val="000F6A82"/>
    <w:rsid w:val="000F6E2D"/>
    <w:rsid w:val="000F6EE6"/>
    <w:rsid w:val="000F7C0E"/>
    <w:rsid w:val="0010239A"/>
    <w:rsid w:val="00104A62"/>
    <w:rsid w:val="00105193"/>
    <w:rsid w:val="00105CB4"/>
    <w:rsid w:val="00111551"/>
    <w:rsid w:val="00112171"/>
    <w:rsid w:val="0011229B"/>
    <w:rsid w:val="00112FAD"/>
    <w:rsid w:val="00113B6E"/>
    <w:rsid w:val="001142F1"/>
    <w:rsid w:val="00114F55"/>
    <w:rsid w:val="0011504C"/>
    <w:rsid w:val="001174C5"/>
    <w:rsid w:val="00120192"/>
    <w:rsid w:val="0012188B"/>
    <w:rsid w:val="00121E48"/>
    <w:rsid w:val="00123497"/>
    <w:rsid w:val="00124019"/>
    <w:rsid w:val="00127B89"/>
    <w:rsid w:val="001333A7"/>
    <w:rsid w:val="00133470"/>
    <w:rsid w:val="00133823"/>
    <w:rsid w:val="001343BE"/>
    <w:rsid w:val="00135652"/>
    <w:rsid w:val="00136765"/>
    <w:rsid w:val="001370AF"/>
    <w:rsid w:val="001405F2"/>
    <w:rsid w:val="00141107"/>
    <w:rsid w:val="001413CD"/>
    <w:rsid w:val="00141765"/>
    <w:rsid w:val="00143C4B"/>
    <w:rsid w:val="0014456F"/>
    <w:rsid w:val="001459FF"/>
    <w:rsid w:val="00147D10"/>
    <w:rsid w:val="00150F7A"/>
    <w:rsid w:val="00151254"/>
    <w:rsid w:val="001512B2"/>
    <w:rsid w:val="00160473"/>
    <w:rsid w:val="00162520"/>
    <w:rsid w:val="00164244"/>
    <w:rsid w:val="001644C6"/>
    <w:rsid w:val="00165849"/>
    <w:rsid w:val="001674BB"/>
    <w:rsid w:val="001678D2"/>
    <w:rsid w:val="00167D3F"/>
    <w:rsid w:val="00171596"/>
    <w:rsid w:val="00171DCB"/>
    <w:rsid w:val="00172336"/>
    <w:rsid w:val="00172B8D"/>
    <w:rsid w:val="00174825"/>
    <w:rsid w:val="00174D53"/>
    <w:rsid w:val="00175555"/>
    <w:rsid w:val="0017576A"/>
    <w:rsid w:val="001764A0"/>
    <w:rsid w:val="00177513"/>
    <w:rsid w:val="00177A9D"/>
    <w:rsid w:val="00177D72"/>
    <w:rsid w:val="0018026B"/>
    <w:rsid w:val="0018562C"/>
    <w:rsid w:val="00185795"/>
    <w:rsid w:val="001901DE"/>
    <w:rsid w:val="00190D26"/>
    <w:rsid w:val="00191275"/>
    <w:rsid w:val="00191532"/>
    <w:rsid w:val="001916CF"/>
    <w:rsid w:val="00191F3C"/>
    <w:rsid w:val="001926D8"/>
    <w:rsid w:val="001932B4"/>
    <w:rsid w:val="00194A3F"/>
    <w:rsid w:val="001961CC"/>
    <w:rsid w:val="00197E71"/>
    <w:rsid w:val="00197FF4"/>
    <w:rsid w:val="001A10F5"/>
    <w:rsid w:val="001A337B"/>
    <w:rsid w:val="001A53C5"/>
    <w:rsid w:val="001A5AA4"/>
    <w:rsid w:val="001A5E87"/>
    <w:rsid w:val="001A634E"/>
    <w:rsid w:val="001A6665"/>
    <w:rsid w:val="001A6ACF"/>
    <w:rsid w:val="001A754E"/>
    <w:rsid w:val="001B03A3"/>
    <w:rsid w:val="001B0545"/>
    <w:rsid w:val="001B0B6C"/>
    <w:rsid w:val="001B100E"/>
    <w:rsid w:val="001B21A4"/>
    <w:rsid w:val="001B294E"/>
    <w:rsid w:val="001B39FF"/>
    <w:rsid w:val="001B3C1F"/>
    <w:rsid w:val="001B407F"/>
    <w:rsid w:val="001B44A8"/>
    <w:rsid w:val="001B486F"/>
    <w:rsid w:val="001B62D2"/>
    <w:rsid w:val="001B72B9"/>
    <w:rsid w:val="001B792F"/>
    <w:rsid w:val="001B7DEC"/>
    <w:rsid w:val="001C0907"/>
    <w:rsid w:val="001C0AAB"/>
    <w:rsid w:val="001C0BBB"/>
    <w:rsid w:val="001C0ECA"/>
    <w:rsid w:val="001C0F39"/>
    <w:rsid w:val="001C11D8"/>
    <w:rsid w:val="001C4A76"/>
    <w:rsid w:val="001C511F"/>
    <w:rsid w:val="001C745C"/>
    <w:rsid w:val="001C7586"/>
    <w:rsid w:val="001D3790"/>
    <w:rsid w:val="001D3CB4"/>
    <w:rsid w:val="001D4184"/>
    <w:rsid w:val="001D45B8"/>
    <w:rsid w:val="001D4B7F"/>
    <w:rsid w:val="001D646E"/>
    <w:rsid w:val="001D668A"/>
    <w:rsid w:val="001D6E34"/>
    <w:rsid w:val="001E1169"/>
    <w:rsid w:val="001E19F9"/>
    <w:rsid w:val="001E3698"/>
    <w:rsid w:val="001E3A1A"/>
    <w:rsid w:val="001E6141"/>
    <w:rsid w:val="001E6D67"/>
    <w:rsid w:val="001E7D8B"/>
    <w:rsid w:val="001F0B1F"/>
    <w:rsid w:val="001F0B9D"/>
    <w:rsid w:val="001F1988"/>
    <w:rsid w:val="001F1AA1"/>
    <w:rsid w:val="001F38F8"/>
    <w:rsid w:val="001F44B1"/>
    <w:rsid w:val="001F5CF2"/>
    <w:rsid w:val="001F5D8C"/>
    <w:rsid w:val="001F7879"/>
    <w:rsid w:val="001F78F1"/>
    <w:rsid w:val="001F7A65"/>
    <w:rsid w:val="0020028B"/>
    <w:rsid w:val="002007A4"/>
    <w:rsid w:val="002008A7"/>
    <w:rsid w:val="00200A21"/>
    <w:rsid w:val="0020110F"/>
    <w:rsid w:val="00206B88"/>
    <w:rsid w:val="00210C04"/>
    <w:rsid w:val="00210F47"/>
    <w:rsid w:val="002114D0"/>
    <w:rsid w:val="00212635"/>
    <w:rsid w:val="00213D97"/>
    <w:rsid w:val="00214074"/>
    <w:rsid w:val="00214422"/>
    <w:rsid w:val="00214A38"/>
    <w:rsid w:val="00215B04"/>
    <w:rsid w:val="00215E2A"/>
    <w:rsid w:val="00220495"/>
    <w:rsid w:val="00222C3E"/>
    <w:rsid w:val="00222FB8"/>
    <w:rsid w:val="00226E90"/>
    <w:rsid w:val="002274FE"/>
    <w:rsid w:val="00230AE5"/>
    <w:rsid w:val="00231068"/>
    <w:rsid w:val="002313F8"/>
    <w:rsid w:val="00231E24"/>
    <w:rsid w:val="00231E74"/>
    <w:rsid w:val="00232FFE"/>
    <w:rsid w:val="00233F61"/>
    <w:rsid w:val="00234917"/>
    <w:rsid w:val="00234E4D"/>
    <w:rsid w:val="002353B3"/>
    <w:rsid w:val="002354A4"/>
    <w:rsid w:val="002376F7"/>
    <w:rsid w:val="002378F4"/>
    <w:rsid w:val="00237EC5"/>
    <w:rsid w:val="0024101D"/>
    <w:rsid w:val="002419F3"/>
    <w:rsid w:val="00241B1F"/>
    <w:rsid w:val="002422C0"/>
    <w:rsid w:val="0024230E"/>
    <w:rsid w:val="00242C61"/>
    <w:rsid w:val="00244031"/>
    <w:rsid w:val="00244929"/>
    <w:rsid w:val="00244A14"/>
    <w:rsid w:val="002450C6"/>
    <w:rsid w:val="00245F1C"/>
    <w:rsid w:val="00247D7E"/>
    <w:rsid w:val="00251822"/>
    <w:rsid w:val="00252CC4"/>
    <w:rsid w:val="002538C7"/>
    <w:rsid w:val="002540EB"/>
    <w:rsid w:val="00254191"/>
    <w:rsid w:val="002551CD"/>
    <w:rsid w:val="002561D2"/>
    <w:rsid w:val="00260338"/>
    <w:rsid w:val="00260CE5"/>
    <w:rsid w:val="002627FF"/>
    <w:rsid w:val="00262ABF"/>
    <w:rsid w:val="00262AF9"/>
    <w:rsid w:val="00262D44"/>
    <w:rsid w:val="00263B6A"/>
    <w:rsid w:val="00264489"/>
    <w:rsid w:val="00264B20"/>
    <w:rsid w:val="0026501E"/>
    <w:rsid w:val="00266C12"/>
    <w:rsid w:val="002703B2"/>
    <w:rsid w:val="00270C67"/>
    <w:rsid w:val="002719BA"/>
    <w:rsid w:val="00271BA2"/>
    <w:rsid w:val="0027214C"/>
    <w:rsid w:val="0027254B"/>
    <w:rsid w:val="00272D16"/>
    <w:rsid w:val="00274FFC"/>
    <w:rsid w:val="002752C7"/>
    <w:rsid w:val="00275F91"/>
    <w:rsid w:val="002772BD"/>
    <w:rsid w:val="0027769D"/>
    <w:rsid w:val="00277FA3"/>
    <w:rsid w:val="0028222B"/>
    <w:rsid w:val="00282361"/>
    <w:rsid w:val="00282DAE"/>
    <w:rsid w:val="002837CE"/>
    <w:rsid w:val="00283C03"/>
    <w:rsid w:val="00283E56"/>
    <w:rsid w:val="002872EB"/>
    <w:rsid w:val="002878ED"/>
    <w:rsid w:val="00287CF9"/>
    <w:rsid w:val="00290FDC"/>
    <w:rsid w:val="002914EA"/>
    <w:rsid w:val="00291A42"/>
    <w:rsid w:val="00291A9B"/>
    <w:rsid w:val="00291C80"/>
    <w:rsid w:val="00293230"/>
    <w:rsid w:val="00293EEA"/>
    <w:rsid w:val="00295526"/>
    <w:rsid w:val="002956AD"/>
    <w:rsid w:val="0029624F"/>
    <w:rsid w:val="00297172"/>
    <w:rsid w:val="00297337"/>
    <w:rsid w:val="002A02A2"/>
    <w:rsid w:val="002A1688"/>
    <w:rsid w:val="002A2CA2"/>
    <w:rsid w:val="002A3847"/>
    <w:rsid w:val="002A3C31"/>
    <w:rsid w:val="002B05F7"/>
    <w:rsid w:val="002B0A4D"/>
    <w:rsid w:val="002B0E78"/>
    <w:rsid w:val="002B382D"/>
    <w:rsid w:val="002B4DDE"/>
    <w:rsid w:val="002B4E4E"/>
    <w:rsid w:val="002B524F"/>
    <w:rsid w:val="002B55DF"/>
    <w:rsid w:val="002B74B3"/>
    <w:rsid w:val="002B7B3C"/>
    <w:rsid w:val="002C1A92"/>
    <w:rsid w:val="002C1CA4"/>
    <w:rsid w:val="002C1ECE"/>
    <w:rsid w:val="002C2057"/>
    <w:rsid w:val="002C5015"/>
    <w:rsid w:val="002C6F5B"/>
    <w:rsid w:val="002C72C4"/>
    <w:rsid w:val="002D07F7"/>
    <w:rsid w:val="002D0ED7"/>
    <w:rsid w:val="002D228C"/>
    <w:rsid w:val="002D2AF6"/>
    <w:rsid w:val="002D2DDB"/>
    <w:rsid w:val="002D2E5D"/>
    <w:rsid w:val="002D40B7"/>
    <w:rsid w:val="002D60D2"/>
    <w:rsid w:val="002D6BA2"/>
    <w:rsid w:val="002E06EE"/>
    <w:rsid w:val="002E10CD"/>
    <w:rsid w:val="002E2190"/>
    <w:rsid w:val="002E409F"/>
    <w:rsid w:val="002E421C"/>
    <w:rsid w:val="002E6E3B"/>
    <w:rsid w:val="002E6EBC"/>
    <w:rsid w:val="002E7928"/>
    <w:rsid w:val="002F1482"/>
    <w:rsid w:val="002F1AD6"/>
    <w:rsid w:val="002F2141"/>
    <w:rsid w:val="002F2815"/>
    <w:rsid w:val="002F3158"/>
    <w:rsid w:val="002F4A01"/>
    <w:rsid w:val="002F4CE7"/>
    <w:rsid w:val="002F5DBE"/>
    <w:rsid w:val="002F6434"/>
    <w:rsid w:val="002F721D"/>
    <w:rsid w:val="002F7332"/>
    <w:rsid w:val="0030088C"/>
    <w:rsid w:val="00302276"/>
    <w:rsid w:val="0030369F"/>
    <w:rsid w:val="003037B6"/>
    <w:rsid w:val="003064C2"/>
    <w:rsid w:val="003067E7"/>
    <w:rsid w:val="00306842"/>
    <w:rsid w:val="00306FBA"/>
    <w:rsid w:val="00310961"/>
    <w:rsid w:val="00311ABB"/>
    <w:rsid w:val="00313D1A"/>
    <w:rsid w:val="00313F85"/>
    <w:rsid w:val="0031401D"/>
    <w:rsid w:val="00314B91"/>
    <w:rsid w:val="00314C36"/>
    <w:rsid w:val="00315264"/>
    <w:rsid w:val="0031653E"/>
    <w:rsid w:val="003168E9"/>
    <w:rsid w:val="0031741C"/>
    <w:rsid w:val="00320873"/>
    <w:rsid w:val="0032219A"/>
    <w:rsid w:val="00322908"/>
    <w:rsid w:val="003235C7"/>
    <w:rsid w:val="00323C1F"/>
    <w:rsid w:val="0032482E"/>
    <w:rsid w:val="003253F9"/>
    <w:rsid w:val="0032589B"/>
    <w:rsid w:val="00327090"/>
    <w:rsid w:val="00327C54"/>
    <w:rsid w:val="00327F3A"/>
    <w:rsid w:val="00332E91"/>
    <w:rsid w:val="00334222"/>
    <w:rsid w:val="00337102"/>
    <w:rsid w:val="0033749F"/>
    <w:rsid w:val="00337DDB"/>
    <w:rsid w:val="00341565"/>
    <w:rsid w:val="00341867"/>
    <w:rsid w:val="0034270B"/>
    <w:rsid w:val="003430C7"/>
    <w:rsid w:val="003430FA"/>
    <w:rsid w:val="00343887"/>
    <w:rsid w:val="00345143"/>
    <w:rsid w:val="0034672D"/>
    <w:rsid w:val="00346E5F"/>
    <w:rsid w:val="00347CE9"/>
    <w:rsid w:val="003503BD"/>
    <w:rsid w:val="0035186D"/>
    <w:rsid w:val="003542AD"/>
    <w:rsid w:val="00354821"/>
    <w:rsid w:val="0035550B"/>
    <w:rsid w:val="00355934"/>
    <w:rsid w:val="00355D20"/>
    <w:rsid w:val="00361A71"/>
    <w:rsid w:val="0036561F"/>
    <w:rsid w:val="00365FF7"/>
    <w:rsid w:val="0037029F"/>
    <w:rsid w:val="00372162"/>
    <w:rsid w:val="0037383E"/>
    <w:rsid w:val="003743F5"/>
    <w:rsid w:val="00374898"/>
    <w:rsid w:val="00375D27"/>
    <w:rsid w:val="0037666E"/>
    <w:rsid w:val="00376CFC"/>
    <w:rsid w:val="00380379"/>
    <w:rsid w:val="003806B3"/>
    <w:rsid w:val="00380CA0"/>
    <w:rsid w:val="00382408"/>
    <w:rsid w:val="00383D78"/>
    <w:rsid w:val="00384609"/>
    <w:rsid w:val="0038485D"/>
    <w:rsid w:val="00385538"/>
    <w:rsid w:val="003855A4"/>
    <w:rsid w:val="0038648E"/>
    <w:rsid w:val="00386D8E"/>
    <w:rsid w:val="0038703A"/>
    <w:rsid w:val="003873AC"/>
    <w:rsid w:val="0038762A"/>
    <w:rsid w:val="003879E2"/>
    <w:rsid w:val="003905D5"/>
    <w:rsid w:val="00390D02"/>
    <w:rsid w:val="00390D6A"/>
    <w:rsid w:val="00393139"/>
    <w:rsid w:val="00393890"/>
    <w:rsid w:val="00393975"/>
    <w:rsid w:val="00393E89"/>
    <w:rsid w:val="003945E3"/>
    <w:rsid w:val="00395491"/>
    <w:rsid w:val="00395D59"/>
    <w:rsid w:val="00396406"/>
    <w:rsid w:val="00397527"/>
    <w:rsid w:val="003A11B6"/>
    <w:rsid w:val="003A1C59"/>
    <w:rsid w:val="003A2FEB"/>
    <w:rsid w:val="003A50A8"/>
    <w:rsid w:val="003A6153"/>
    <w:rsid w:val="003A7FA3"/>
    <w:rsid w:val="003B0D2D"/>
    <w:rsid w:val="003B20C1"/>
    <w:rsid w:val="003B3BBB"/>
    <w:rsid w:val="003B3DF9"/>
    <w:rsid w:val="003B4F7B"/>
    <w:rsid w:val="003B668C"/>
    <w:rsid w:val="003B7AC4"/>
    <w:rsid w:val="003B7EDA"/>
    <w:rsid w:val="003C0906"/>
    <w:rsid w:val="003C3EC5"/>
    <w:rsid w:val="003C4197"/>
    <w:rsid w:val="003C429C"/>
    <w:rsid w:val="003C43E8"/>
    <w:rsid w:val="003C4C0E"/>
    <w:rsid w:val="003C57D3"/>
    <w:rsid w:val="003C5E8A"/>
    <w:rsid w:val="003C6836"/>
    <w:rsid w:val="003C6D56"/>
    <w:rsid w:val="003C749A"/>
    <w:rsid w:val="003D0E71"/>
    <w:rsid w:val="003D1830"/>
    <w:rsid w:val="003D310B"/>
    <w:rsid w:val="003D319D"/>
    <w:rsid w:val="003D396E"/>
    <w:rsid w:val="003D3DA5"/>
    <w:rsid w:val="003D4E15"/>
    <w:rsid w:val="003D5200"/>
    <w:rsid w:val="003D5B8E"/>
    <w:rsid w:val="003D5F06"/>
    <w:rsid w:val="003E02BA"/>
    <w:rsid w:val="003E130F"/>
    <w:rsid w:val="003E32DC"/>
    <w:rsid w:val="003E40B7"/>
    <w:rsid w:val="003E46BE"/>
    <w:rsid w:val="003E6689"/>
    <w:rsid w:val="003F0158"/>
    <w:rsid w:val="003F0306"/>
    <w:rsid w:val="003F0691"/>
    <w:rsid w:val="003F0866"/>
    <w:rsid w:val="003F136B"/>
    <w:rsid w:val="003F175C"/>
    <w:rsid w:val="003F25AF"/>
    <w:rsid w:val="003F3B96"/>
    <w:rsid w:val="003F40AE"/>
    <w:rsid w:val="003F4D51"/>
    <w:rsid w:val="003F5F2C"/>
    <w:rsid w:val="003F7366"/>
    <w:rsid w:val="004011BC"/>
    <w:rsid w:val="00401A0A"/>
    <w:rsid w:val="0040235F"/>
    <w:rsid w:val="0040274C"/>
    <w:rsid w:val="0040393A"/>
    <w:rsid w:val="00404BE8"/>
    <w:rsid w:val="00404EC3"/>
    <w:rsid w:val="0040549E"/>
    <w:rsid w:val="0041189D"/>
    <w:rsid w:val="00412146"/>
    <w:rsid w:val="004151F9"/>
    <w:rsid w:val="00415798"/>
    <w:rsid w:val="00415F13"/>
    <w:rsid w:val="004173DB"/>
    <w:rsid w:val="00420336"/>
    <w:rsid w:val="00420ECD"/>
    <w:rsid w:val="00421425"/>
    <w:rsid w:val="00423448"/>
    <w:rsid w:val="00424992"/>
    <w:rsid w:val="00424B54"/>
    <w:rsid w:val="00424D81"/>
    <w:rsid w:val="00427019"/>
    <w:rsid w:val="004271AA"/>
    <w:rsid w:val="0042746E"/>
    <w:rsid w:val="00427AC1"/>
    <w:rsid w:val="00430AC1"/>
    <w:rsid w:val="0043162B"/>
    <w:rsid w:val="00431A60"/>
    <w:rsid w:val="00432C84"/>
    <w:rsid w:val="00434AA0"/>
    <w:rsid w:val="004360A1"/>
    <w:rsid w:val="004374D2"/>
    <w:rsid w:val="004375B7"/>
    <w:rsid w:val="004409EA"/>
    <w:rsid w:val="004436DE"/>
    <w:rsid w:val="00443A92"/>
    <w:rsid w:val="00444AAE"/>
    <w:rsid w:val="00444BEA"/>
    <w:rsid w:val="0044599E"/>
    <w:rsid w:val="004459EB"/>
    <w:rsid w:val="004468D9"/>
    <w:rsid w:val="00447B40"/>
    <w:rsid w:val="0045187F"/>
    <w:rsid w:val="004526FA"/>
    <w:rsid w:val="00452E3E"/>
    <w:rsid w:val="004531C8"/>
    <w:rsid w:val="00453226"/>
    <w:rsid w:val="004538E7"/>
    <w:rsid w:val="00454AA7"/>
    <w:rsid w:val="00455163"/>
    <w:rsid w:val="004554BF"/>
    <w:rsid w:val="00455DC5"/>
    <w:rsid w:val="00456388"/>
    <w:rsid w:val="004568C7"/>
    <w:rsid w:val="004605D5"/>
    <w:rsid w:val="004627C5"/>
    <w:rsid w:val="00462B96"/>
    <w:rsid w:val="0046437F"/>
    <w:rsid w:val="004645F7"/>
    <w:rsid w:val="0046587D"/>
    <w:rsid w:val="00466AD6"/>
    <w:rsid w:val="00466E7F"/>
    <w:rsid w:val="00467A7D"/>
    <w:rsid w:val="00471E02"/>
    <w:rsid w:val="00472311"/>
    <w:rsid w:val="00472816"/>
    <w:rsid w:val="00472B18"/>
    <w:rsid w:val="00472BCE"/>
    <w:rsid w:val="00472F63"/>
    <w:rsid w:val="00472FF1"/>
    <w:rsid w:val="0047370D"/>
    <w:rsid w:val="00473E7A"/>
    <w:rsid w:val="0047448C"/>
    <w:rsid w:val="00474A58"/>
    <w:rsid w:val="004772A5"/>
    <w:rsid w:val="00477D35"/>
    <w:rsid w:val="0048049B"/>
    <w:rsid w:val="0048246F"/>
    <w:rsid w:val="00483F22"/>
    <w:rsid w:val="004846C7"/>
    <w:rsid w:val="00484DAA"/>
    <w:rsid w:val="00485447"/>
    <w:rsid w:val="00490CFB"/>
    <w:rsid w:val="0049188B"/>
    <w:rsid w:val="00492270"/>
    <w:rsid w:val="00493483"/>
    <w:rsid w:val="00493550"/>
    <w:rsid w:val="00493897"/>
    <w:rsid w:val="00493EE9"/>
    <w:rsid w:val="00494B6B"/>
    <w:rsid w:val="00495032"/>
    <w:rsid w:val="00495467"/>
    <w:rsid w:val="004967B2"/>
    <w:rsid w:val="004968E3"/>
    <w:rsid w:val="00496E97"/>
    <w:rsid w:val="00497192"/>
    <w:rsid w:val="004976F8"/>
    <w:rsid w:val="00497888"/>
    <w:rsid w:val="00497D74"/>
    <w:rsid w:val="004A1286"/>
    <w:rsid w:val="004A2587"/>
    <w:rsid w:val="004A2B57"/>
    <w:rsid w:val="004A38E5"/>
    <w:rsid w:val="004A5FAC"/>
    <w:rsid w:val="004B0987"/>
    <w:rsid w:val="004B09DA"/>
    <w:rsid w:val="004B0FAB"/>
    <w:rsid w:val="004B1417"/>
    <w:rsid w:val="004B2568"/>
    <w:rsid w:val="004B2814"/>
    <w:rsid w:val="004B2F6A"/>
    <w:rsid w:val="004B3767"/>
    <w:rsid w:val="004B437F"/>
    <w:rsid w:val="004B4576"/>
    <w:rsid w:val="004B4912"/>
    <w:rsid w:val="004B5AE5"/>
    <w:rsid w:val="004B6F1D"/>
    <w:rsid w:val="004B75DC"/>
    <w:rsid w:val="004B79FE"/>
    <w:rsid w:val="004C0118"/>
    <w:rsid w:val="004C2F4A"/>
    <w:rsid w:val="004C3671"/>
    <w:rsid w:val="004C4187"/>
    <w:rsid w:val="004C41CD"/>
    <w:rsid w:val="004C4CB3"/>
    <w:rsid w:val="004C6179"/>
    <w:rsid w:val="004C6555"/>
    <w:rsid w:val="004D1CC8"/>
    <w:rsid w:val="004D22D9"/>
    <w:rsid w:val="004D2905"/>
    <w:rsid w:val="004D29D4"/>
    <w:rsid w:val="004D2D27"/>
    <w:rsid w:val="004D33BB"/>
    <w:rsid w:val="004D38E2"/>
    <w:rsid w:val="004D583D"/>
    <w:rsid w:val="004D6324"/>
    <w:rsid w:val="004D6C93"/>
    <w:rsid w:val="004D6DB6"/>
    <w:rsid w:val="004D6E98"/>
    <w:rsid w:val="004D7201"/>
    <w:rsid w:val="004E0A72"/>
    <w:rsid w:val="004E0CFD"/>
    <w:rsid w:val="004E1024"/>
    <w:rsid w:val="004E1E0B"/>
    <w:rsid w:val="004E275E"/>
    <w:rsid w:val="004E2823"/>
    <w:rsid w:val="004E4FFA"/>
    <w:rsid w:val="004E6534"/>
    <w:rsid w:val="004E78B0"/>
    <w:rsid w:val="004F1A73"/>
    <w:rsid w:val="004F1AE4"/>
    <w:rsid w:val="004F3E18"/>
    <w:rsid w:val="004F444E"/>
    <w:rsid w:val="004F4C71"/>
    <w:rsid w:val="005009A9"/>
    <w:rsid w:val="0050276C"/>
    <w:rsid w:val="00502E7D"/>
    <w:rsid w:val="00503771"/>
    <w:rsid w:val="0050380B"/>
    <w:rsid w:val="00503D77"/>
    <w:rsid w:val="0050545B"/>
    <w:rsid w:val="00505691"/>
    <w:rsid w:val="00505B3C"/>
    <w:rsid w:val="00507DDE"/>
    <w:rsid w:val="00512253"/>
    <w:rsid w:val="005151B3"/>
    <w:rsid w:val="00515216"/>
    <w:rsid w:val="00515499"/>
    <w:rsid w:val="005177D6"/>
    <w:rsid w:val="00520C81"/>
    <w:rsid w:val="005214F7"/>
    <w:rsid w:val="005216F4"/>
    <w:rsid w:val="00522763"/>
    <w:rsid w:val="005241DB"/>
    <w:rsid w:val="00524509"/>
    <w:rsid w:val="00525465"/>
    <w:rsid w:val="00525A6B"/>
    <w:rsid w:val="00526569"/>
    <w:rsid w:val="00526AEA"/>
    <w:rsid w:val="00532473"/>
    <w:rsid w:val="00533167"/>
    <w:rsid w:val="00533507"/>
    <w:rsid w:val="005335FF"/>
    <w:rsid w:val="005344AB"/>
    <w:rsid w:val="005363FB"/>
    <w:rsid w:val="0053690F"/>
    <w:rsid w:val="00540030"/>
    <w:rsid w:val="005408FD"/>
    <w:rsid w:val="00541558"/>
    <w:rsid w:val="00541989"/>
    <w:rsid w:val="00541A89"/>
    <w:rsid w:val="00541CDD"/>
    <w:rsid w:val="005452FC"/>
    <w:rsid w:val="005457AA"/>
    <w:rsid w:val="00546153"/>
    <w:rsid w:val="005469F2"/>
    <w:rsid w:val="005471B8"/>
    <w:rsid w:val="00552766"/>
    <w:rsid w:val="0055395E"/>
    <w:rsid w:val="005539C4"/>
    <w:rsid w:val="00555117"/>
    <w:rsid w:val="005574E6"/>
    <w:rsid w:val="00560052"/>
    <w:rsid w:val="00563B65"/>
    <w:rsid w:val="00563EC9"/>
    <w:rsid w:val="00564105"/>
    <w:rsid w:val="005659A7"/>
    <w:rsid w:val="00566670"/>
    <w:rsid w:val="0056757C"/>
    <w:rsid w:val="00567BF5"/>
    <w:rsid w:val="005713E0"/>
    <w:rsid w:val="00571CBF"/>
    <w:rsid w:val="00571F1D"/>
    <w:rsid w:val="00572D1F"/>
    <w:rsid w:val="0057345A"/>
    <w:rsid w:val="00574784"/>
    <w:rsid w:val="00574F31"/>
    <w:rsid w:val="005770FB"/>
    <w:rsid w:val="005779AB"/>
    <w:rsid w:val="0058027E"/>
    <w:rsid w:val="00581A28"/>
    <w:rsid w:val="005841A0"/>
    <w:rsid w:val="005843F5"/>
    <w:rsid w:val="00586714"/>
    <w:rsid w:val="00586F34"/>
    <w:rsid w:val="0059176F"/>
    <w:rsid w:val="00592355"/>
    <w:rsid w:val="00592368"/>
    <w:rsid w:val="005924B7"/>
    <w:rsid w:val="005940B1"/>
    <w:rsid w:val="0059460F"/>
    <w:rsid w:val="00595078"/>
    <w:rsid w:val="00595359"/>
    <w:rsid w:val="00595E47"/>
    <w:rsid w:val="00595EDA"/>
    <w:rsid w:val="00595F85"/>
    <w:rsid w:val="005967AC"/>
    <w:rsid w:val="00596B90"/>
    <w:rsid w:val="00596F65"/>
    <w:rsid w:val="005A1F32"/>
    <w:rsid w:val="005A3340"/>
    <w:rsid w:val="005A3589"/>
    <w:rsid w:val="005A673C"/>
    <w:rsid w:val="005B0FBF"/>
    <w:rsid w:val="005B1AD7"/>
    <w:rsid w:val="005B3CAF"/>
    <w:rsid w:val="005B4297"/>
    <w:rsid w:val="005B4350"/>
    <w:rsid w:val="005B4AD3"/>
    <w:rsid w:val="005B629E"/>
    <w:rsid w:val="005B6CBD"/>
    <w:rsid w:val="005B7168"/>
    <w:rsid w:val="005B7397"/>
    <w:rsid w:val="005C1501"/>
    <w:rsid w:val="005C45B1"/>
    <w:rsid w:val="005C530B"/>
    <w:rsid w:val="005C61FE"/>
    <w:rsid w:val="005C7723"/>
    <w:rsid w:val="005D05D3"/>
    <w:rsid w:val="005D280F"/>
    <w:rsid w:val="005D3326"/>
    <w:rsid w:val="005D508D"/>
    <w:rsid w:val="005D54C6"/>
    <w:rsid w:val="005D5EEE"/>
    <w:rsid w:val="005D6E84"/>
    <w:rsid w:val="005D6FEF"/>
    <w:rsid w:val="005E052C"/>
    <w:rsid w:val="005E0973"/>
    <w:rsid w:val="005E11EC"/>
    <w:rsid w:val="005E16F3"/>
    <w:rsid w:val="005E1F2B"/>
    <w:rsid w:val="005E25FF"/>
    <w:rsid w:val="005E2BA9"/>
    <w:rsid w:val="005E31D6"/>
    <w:rsid w:val="005E3A57"/>
    <w:rsid w:val="005E5147"/>
    <w:rsid w:val="005E5A0C"/>
    <w:rsid w:val="005E609D"/>
    <w:rsid w:val="005F06E2"/>
    <w:rsid w:val="005F2983"/>
    <w:rsid w:val="005F3F5E"/>
    <w:rsid w:val="005F4639"/>
    <w:rsid w:val="005F5261"/>
    <w:rsid w:val="005F5A42"/>
    <w:rsid w:val="005F780B"/>
    <w:rsid w:val="005F7882"/>
    <w:rsid w:val="005F7918"/>
    <w:rsid w:val="00600DBE"/>
    <w:rsid w:val="0060112E"/>
    <w:rsid w:val="006016CB"/>
    <w:rsid w:val="00603C5E"/>
    <w:rsid w:val="006052DD"/>
    <w:rsid w:val="00605421"/>
    <w:rsid w:val="00606BA2"/>
    <w:rsid w:val="00610381"/>
    <w:rsid w:val="00610A3B"/>
    <w:rsid w:val="00610E61"/>
    <w:rsid w:val="006121B1"/>
    <w:rsid w:val="006123D7"/>
    <w:rsid w:val="0061458E"/>
    <w:rsid w:val="00615230"/>
    <w:rsid w:val="0061566C"/>
    <w:rsid w:val="00621CF9"/>
    <w:rsid w:val="006220FA"/>
    <w:rsid w:val="006226E7"/>
    <w:rsid w:val="00622BCA"/>
    <w:rsid w:val="00622D2C"/>
    <w:rsid w:val="00623EF3"/>
    <w:rsid w:val="00623FD5"/>
    <w:rsid w:val="00624D94"/>
    <w:rsid w:val="0062568D"/>
    <w:rsid w:val="00626349"/>
    <w:rsid w:val="00626A63"/>
    <w:rsid w:val="0062749C"/>
    <w:rsid w:val="00627C45"/>
    <w:rsid w:val="006301ED"/>
    <w:rsid w:val="006314CD"/>
    <w:rsid w:val="006358C4"/>
    <w:rsid w:val="006427FF"/>
    <w:rsid w:val="00643BEB"/>
    <w:rsid w:val="006444C0"/>
    <w:rsid w:val="00645F14"/>
    <w:rsid w:val="00646AE6"/>
    <w:rsid w:val="00650C33"/>
    <w:rsid w:val="00654020"/>
    <w:rsid w:val="006555EA"/>
    <w:rsid w:val="006603D9"/>
    <w:rsid w:val="00660579"/>
    <w:rsid w:val="00660843"/>
    <w:rsid w:val="00661F98"/>
    <w:rsid w:val="0066228C"/>
    <w:rsid w:val="00662B7D"/>
    <w:rsid w:val="00664CAC"/>
    <w:rsid w:val="00665A1B"/>
    <w:rsid w:val="00665AB9"/>
    <w:rsid w:val="00666D1C"/>
    <w:rsid w:val="00667264"/>
    <w:rsid w:val="00670C8C"/>
    <w:rsid w:val="00670F48"/>
    <w:rsid w:val="00670F85"/>
    <w:rsid w:val="006730AB"/>
    <w:rsid w:val="006730B2"/>
    <w:rsid w:val="00681E27"/>
    <w:rsid w:val="006825E9"/>
    <w:rsid w:val="00686220"/>
    <w:rsid w:val="0069012B"/>
    <w:rsid w:val="00690A32"/>
    <w:rsid w:val="00692677"/>
    <w:rsid w:val="006934B0"/>
    <w:rsid w:val="00694109"/>
    <w:rsid w:val="006943C3"/>
    <w:rsid w:val="00696CF8"/>
    <w:rsid w:val="00697D35"/>
    <w:rsid w:val="006A0004"/>
    <w:rsid w:val="006A179D"/>
    <w:rsid w:val="006A2242"/>
    <w:rsid w:val="006A3CC5"/>
    <w:rsid w:val="006A4620"/>
    <w:rsid w:val="006A54DA"/>
    <w:rsid w:val="006A63AD"/>
    <w:rsid w:val="006A76C5"/>
    <w:rsid w:val="006B0358"/>
    <w:rsid w:val="006B0BD7"/>
    <w:rsid w:val="006B69E9"/>
    <w:rsid w:val="006B7537"/>
    <w:rsid w:val="006B759D"/>
    <w:rsid w:val="006C074F"/>
    <w:rsid w:val="006C0D1B"/>
    <w:rsid w:val="006C1242"/>
    <w:rsid w:val="006C1EEF"/>
    <w:rsid w:val="006C257A"/>
    <w:rsid w:val="006C3241"/>
    <w:rsid w:val="006C346B"/>
    <w:rsid w:val="006C355C"/>
    <w:rsid w:val="006C5A19"/>
    <w:rsid w:val="006C673D"/>
    <w:rsid w:val="006C77DF"/>
    <w:rsid w:val="006D06FA"/>
    <w:rsid w:val="006D1B92"/>
    <w:rsid w:val="006D1C08"/>
    <w:rsid w:val="006D281C"/>
    <w:rsid w:val="006D293A"/>
    <w:rsid w:val="006D2FA8"/>
    <w:rsid w:val="006D3E28"/>
    <w:rsid w:val="006D587C"/>
    <w:rsid w:val="006E02A3"/>
    <w:rsid w:val="006E0568"/>
    <w:rsid w:val="006E1814"/>
    <w:rsid w:val="006E23F6"/>
    <w:rsid w:val="006E32B0"/>
    <w:rsid w:val="006E35B7"/>
    <w:rsid w:val="006E52F5"/>
    <w:rsid w:val="006E676E"/>
    <w:rsid w:val="006E714D"/>
    <w:rsid w:val="006F2185"/>
    <w:rsid w:val="006F2515"/>
    <w:rsid w:val="006F261C"/>
    <w:rsid w:val="006F2700"/>
    <w:rsid w:val="006F3D3E"/>
    <w:rsid w:val="006F43F0"/>
    <w:rsid w:val="006F4B90"/>
    <w:rsid w:val="006F513D"/>
    <w:rsid w:val="006F58AE"/>
    <w:rsid w:val="0070046A"/>
    <w:rsid w:val="007007D4"/>
    <w:rsid w:val="00701066"/>
    <w:rsid w:val="00701ADB"/>
    <w:rsid w:val="007030BC"/>
    <w:rsid w:val="007049E8"/>
    <w:rsid w:val="00706F37"/>
    <w:rsid w:val="00710B33"/>
    <w:rsid w:val="00711823"/>
    <w:rsid w:val="007120B2"/>
    <w:rsid w:val="007126C9"/>
    <w:rsid w:val="007126CA"/>
    <w:rsid w:val="00712926"/>
    <w:rsid w:val="00713388"/>
    <w:rsid w:val="00713D23"/>
    <w:rsid w:val="00714351"/>
    <w:rsid w:val="00714495"/>
    <w:rsid w:val="00715FDE"/>
    <w:rsid w:val="007209A4"/>
    <w:rsid w:val="00722F8B"/>
    <w:rsid w:val="00722FBE"/>
    <w:rsid w:val="00725EBD"/>
    <w:rsid w:val="007261FE"/>
    <w:rsid w:val="00727B29"/>
    <w:rsid w:val="00730626"/>
    <w:rsid w:val="00731DD9"/>
    <w:rsid w:val="00731F5E"/>
    <w:rsid w:val="00734235"/>
    <w:rsid w:val="00734754"/>
    <w:rsid w:val="00734F6B"/>
    <w:rsid w:val="007368DF"/>
    <w:rsid w:val="00737EF7"/>
    <w:rsid w:val="00740499"/>
    <w:rsid w:val="00740CBA"/>
    <w:rsid w:val="007414FF"/>
    <w:rsid w:val="00742DE7"/>
    <w:rsid w:val="00742F95"/>
    <w:rsid w:val="007434C6"/>
    <w:rsid w:val="00744591"/>
    <w:rsid w:val="00745979"/>
    <w:rsid w:val="00745D4B"/>
    <w:rsid w:val="00750923"/>
    <w:rsid w:val="00750EDA"/>
    <w:rsid w:val="007513A8"/>
    <w:rsid w:val="00751D54"/>
    <w:rsid w:val="00752C4C"/>
    <w:rsid w:val="007533A9"/>
    <w:rsid w:val="0075387B"/>
    <w:rsid w:val="00753AE1"/>
    <w:rsid w:val="007548D5"/>
    <w:rsid w:val="00757E45"/>
    <w:rsid w:val="007605D5"/>
    <w:rsid w:val="0076136C"/>
    <w:rsid w:val="00761BDB"/>
    <w:rsid w:val="00762335"/>
    <w:rsid w:val="007629A7"/>
    <w:rsid w:val="00762C62"/>
    <w:rsid w:val="007631F3"/>
    <w:rsid w:val="007641B9"/>
    <w:rsid w:val="00764ECA"/>
    <w:rsid w:val="00766979"/>
    <w:rsid w:val="00766EA9"/>
    <w:rsid w:val="00771E1A"/>
    <w:rsid w:val="00776E0D"/>
    <w:rsid w:val="00777175"/>
    <w:rsid w:val="00780646"/>
    <w:rsid w:val="00780EE8"/>
    <w:rsid w:val="0078289D"/>
    <w:rsid w:val="00783469"/>
    <w:rsid w:val="007834C8"/>
    <w:rsid w:val="007834CC"/>
    <w:rsid w:val="00783781"/>
    <w:rsid w:val="0078429C"/>
    <w:rsid w:val="00784E3F"/>
    <w:rsid w:val="00785A22"/>
    <w:rsid w:val="007872D3"/>
    <w:rsid w:val="00790D5E"/>
    <w:rsid w:val="0079169A"/>
    <w:rsid w:val="007934F9"/>
    <w:rsid w:val="007939B8"/>
    <w:rsid w:val="00796C62"/>
    <w:rsid w:val="007A0C26"/>
    <w:rsid w:val="007A1800"/>
    <w:rsid w:val="007A3BFB"/>
    <w:rsid w:val="007A3F18"/>
    <w:rsid w:val="007A4564"/>
    <w:rsid w:val="007A5299"/>
    <w:rsid w:val="007A61FF"/>
    <w:rsid w:val="007A6EE2"/>
    <w:rsid w:val="007A7BC8"/>
    <w:rsid w:val="007B4540"/>
    <w:rsid w:val="007B771B"/>
    <w:rsid w:val="007B7E84"/>
    <w:rsid w:val="007B7F4C"/>
    <w:rsid w:val="007C1208"/>
    <w:rsid w:val="007C38E0"/>
    <w:rsid w:val="007C472C"/>
    <w:rsid w:val="007C5014"/>
    <w:rsid w:val="007C5871"/>
    <w:rsid w:val="007C692F"/>
    <w:rsid w:val="007C70B8"/>
    <w:rsid w:val="007C739C"/>
    <w:rsid w:val="007C769A"/>
    <w:rsid w:val="007D0D2A"/>
    <w:rsid w:val="007D5691"/>
    <w:rsid w:val="007D5B73"/>
    <w:rsid w:val="007D648E"/>
    <w:rsid w:val="007D74F0"/>
    <w:rsid w:val="007D7EBC"/>
    <w:rsid w:val="007E0EEF"/>
    <w:rsid w:val="007E1CE9"/>
    <w:rsid w:val="007E2EC5"/>
    <w:rsid w:val="007E3040"/>
    <w:rsid w:val="007E3187"/>
    <w:rsid w:val="007E362D"/>
    <w:rsid w:val="007E4690"/>
    <w:rsid w:val="007E63DD"/>
    <w:rsid w:val="007E7E7D"/>
    <w:rsid w:val="007F514F"/>
    <w:rsid w:val="007F7942"/>
    <w:rsid w:val="007F7FDC"/>
    <w:rsid w:val="008001D8"/>
    <w:rsid w:val="00800655"/>
    <w:rsid w:val="008020EB"/>
    <w:rsid w:val="008040E9"/>
    <w:rsid w:val="00804770"/>
    <w:rsid w:val="00805264"/>
    <w:rsid w:val="00806662"/>
    <w:rsid w:val="008078B6"/>
    <w:rsid w:val="00810030"/>
    <w:rsid w:val="00810942"/>
    <w:rsid w:val="008111B4"/>
    <w:rsid w:val="0081168B"/>
    <w:rsid w:val="00811866"/>
    <w:rsid w:val="0081299F"/>
    <w:rsid w:val="0081310E"/>
    <w:rsid w:val="00814357"/>
    <w:rsid w:val="00814469"/>
    <w:rsid w:val="00817A5F"/>
    <w:rsid w:val="00820128"/>
    <w:rsid w:val="008202A4"/>
    <w:rsid w:val="00820CDA"/>
    <w:rsid w:val="008238CF"/>
    <w:rsid w:val="008247DF"/>
    <w:rsid w:val="00825177"/>
    <w:rsid w:val="00827709"/>
    <w:rsid w:val="00827FB7"/>
    <w:rsid w:val="00834DE3"/>
    <w:rsid w:val="008354B3"/>
    <w:rsid w:val="0083658B"/>
    <w:rsid w:val="008365BE"/>
    <w:rsid w:val="00842282"/>
    <w:rsid w:val="00842FF5"/>
    <w:rsid w:val="00843720"/>
    <w:rsid w:val="00844242"/>
    <w:rsid w:val="00845E2E"/>
    <w:rsid w:val="00847ABD"/>
    <w:rsid w:val="00847B8E"/>
    <w:rsid w:val="00850B3C"/>
    <w:rsid w:val="008526AD"/>
    <w:rsid w:val="008526FE"/>
    <w:rsid w:val="008543FA"/>
    <w:rsid w:val="00854512"/>
    <w:rsid w:val="00855CD2"/>
    <w:rsid w:val="008561DF"/>
    <w:rsid w:val="00857D76"/>
    <w:rsid w:val="00860004"/>
    <w:rsid w:val="00860807"/>
    <w:rsid w:val="0086240F"/>
    <w:rsid w:val="0086252B"/>
    <w:rsid w:val="0086362D"/>
    <w:rsid w:val="00867AAB"/>
    <w:rsid w:val="00871C29"/>
    <w:rsid w:val="00871D57"/>
    <w:rsid w:val="008739C3"/>
    <w:rsid w:val="0087436E"/>
    <w:rsid w:val="008753A6"/>
    <w:rsid w:val="008771A3"/>
    <w:rsid w:val="00877588"/>
    <w:rsid w:val="00877C49"/>
    <w:rsid w:val="008801B5"/>
    <w:rsid w:val="00880CCA"/>
    <w:rsid w:val="00883F90"/>
    <w:rsid w:val="00884620"/>
    <w:rsid w:val="00884918"/>
    <w:rsid w:val="00884BAB"/>
    <w:rsid w:val="00886310"/>
    <w:rsid w:val="008902C3"/>
    <w:rsid w:val="00891596"/>
    <w:rsid w:val="00891EC9"/>
    <w:rsid w:val="008925D1"/>
    <w:rsid w:val="00892905"/>
    <w:rsid w:val="00893391"/>
    <w:rsid w:val="008944C9"/>
    <w:rsid w:val="00897841"/>
    <w:rsid w:val="00897C57"/>
    <w:rsid w:val="008A1564"/>
    <w:rsid w:val="008A1898"/>
    <w:rsid w:val="008A360F"/>
    <w:rsid w:val="008A3AE0"/>
    <w:rsid w:val="008A3D36"/>
    <w:rsid w:val="008A5067"/>
    <w:rsid w:val="008A5AAA"/>
    <w:rsid w:val="008A7C56"/>
    <w:rsid w:val="008B2658"/>
    <w:rsid w:val="008B35BC"/>
    <w:rsid w:val="008B40CA"/>
    <w:rsid w:val="008B6B06"/>
    <w:rsid w:val="008B709E"/>
    <w:rsid w:val="008C11BA"/>
    <w:rsid w:val="008C16ED"/>
    <w:rsid w:val="008C2003"/>
    <w:rsid w:val="008C25B5"/>
    <w:rsid w:val="008C26FE"/>
    <w:rsid w:val="008C2ED6"/>
    <w:rsid w:val="008C3018"/>
    <w:rsid w:val="008C3BDD"/>
    <w:rsid w:val="008C46D1"/>
    <w:rsid w:val="008C4BDE"/>
    <w:rsid w:val="008C5A80"/>
    <w:rsid w:val="008C6430"/>
    <w:rsid w:val="008D1186"/>
    <w:rsid w:val="008D1A1B"/>
    <w:rsid w:val="008D1D2E"/>
    <w:rsid w:val="008D2A13"/>
    <w:rsid w:val="008D38E6"/>
    <w:rsid w:val="008D4F09"/>
    <w:rsid w:val="008D665A"/>
    <w:rsid w:val="008D6C4F"/>
    <w:rsid w:val="008D721B"/>
    <w:rsid w:val="008D778C"/>
    <w:rsid w:val="008D7E76"/>
    <w:rsid w:val="008E10AC"/>
    <w:rsid w:val="008E1706"/>
    <w:rsid w:val="008E2C42"/>
    <w:rsid w:val="008E33C8"/>
    <w:rsid w:val="008E3850"/>
    <w:rsid w:val="008E4B59"/>
    <w:rsid w:val="008E66C9"/>
    <w:rsid w:val="008F0E53"/>
    <w:rsid w:val="008F1201"/>
    <w:rsid w:val="008F2DD0"/>
    <w:rsid w:val="008F36C2"/>
    <w:rsid w:val="008F37C7"/>
    <w:rsid w:val="008F3CA4"/>
    <w:rsid w:val="008F514C"/>
    <w:rsid w:val="008F7F24"/>
    <w:rsid w:val="008F7FDB"/>
    <w:rsid w:val="009006C3"/>
    <w:rsid w:val="00900BA9"/>
    <w:rsid w:val="00902D00"/>
    <w:rsid w:val="00902EC0"/>
    <w:rsid w:val="009042AF"/>
    <w:rsid w:val="00904863"/>
    <w:rsid w:val="00904BC9"/>
    <w:rsid w:val="0090650D"/>
    <w:rsid w:val="00907634"/>
    <w:rsid w:val="00912AE2"/>
    <w:rsid w:val="00912BBB"/>
    <w:rsid w:val="00913856"/>
    <w:rsid w:val="0091463C"/>
    <w:rsid w:val="009149CC"/>
    <w:rsid w:val="00914E31"/>
    <w:rsid w:val="00915434"/>
    <w:rsid w:val="009162FA"/>
    <w:rsid w:val="009174AF"/>
    <w:rsid w:val="00917EDA"/>
    <w:rsid w:val="0092104D"/>
    <w:rsid w:val="00921E6F"/>
    <w:rsid w:val="00922814"/>
    <w:rsid w:val="00923799"/>
    <w:rsid w:val="0092406D"/>
    <w:rsid w:val="00924850"/>
    <w:rsid w:val="00924A4D"/>
    <w:rsid w:val="00924A4F"/>
    <w:rsid w:val="009302C6"/>
    <w:rsid w:val="00930EAF"/>
    <w:rsid w:val="009311D5"/>
    <w:rsid w:val="0093204F"/>
    <w:rsid w:val="009338CB"/>
    <w:rsid w:val="00933B20"/>
    <w:rsid w:val="00933E72"/>
    <w:rsid w:val="00934858"/>
    <w:rsid w:val="00935AFE"/>
    <w:rsid w:val="009403EF"/>
    <w:rsid w:val="009408F7"/>
    <w:rsid w:val="00941669"/>
    <w:rsid w:val="009450AC"/>
    <w:rsid w:val="00945887"/>
    <w:rsid w:val="00945FED"/>
    <w:rsid w:val="0094660D"/>
    <w:rsid w:val="009478EE"/>
    <w:rsid w:val="00947E0C"/>
    <w:rsid w:val="0095094C"/>
    <w:rsid w:val="00953329"/>
    <w:rsid w:val="00953752"/>
    <w:rsid w:val="00954811"/>
    <w:rsid w:val="00954856"/>
    <w:rsid w:val="00955678"/>
    <w:rsid w:val="00955AD7"/>
    <w:rsid w:val="00955F6F"/>
    <w:rsid w:val="00956050"/>
    <w:rsid w:val="009600DB"/>
    <w:rsid w:val="00961CA3"/>
    <w:rsid w:val="00962E5F"/>
    <w:rsid w:val="00963656"/>
    <w:rsid w:val="00964586"/>
    <w:rsid w:val="00966B79"/>
    <w:rsid w:val="009678E3"/>
    <w:rsid w:val="00972840"/>
    <w:rsid w:val="00972A06"/>
    <w:rsid w:val="00973428"/>
    <w:rsid w:val="009741F4"/>
    <w:rsid w:val="0097537B"/>
    <w:rsid w:val="009755B9"/>
    <w:rsid w:val="00975D4C"/>
    <w:rsid w:val="009767AF"/>
    <w:rsid w:val="00976950"/>
    <w:rsid w:val="00977560"/>
    <w:rsid w:val="009808F1"/>
    <w:rsid w:val="00984654"/>
    <w:rsid w:val="00985413"/>
    <w:rsid w:val="009860E5"/>
    <w:rsid w:val="00990CE8"/>
    <w:rsid w:val="00990D6A"/>
    <w:rsid w:val="00991F22"/>
    <w:rsid w:val="00992C93"/>
    <w:rsid w:val="009947A3"/>
    <w:rsid w:val="00994C96"/>
    <w:rsid w:val="00995888"/>
    <w:rsid w:val="00995FDB"/>
    <w:rsid w:val="009962AB"/>
    <w:rsid w:val="00996416"/>
    <w:rsid w:val="009978CB"/>
    <w:rsid w:val="009A0093"/>
    <w:rsid w:val="009A0A8D"/>
    <w:rsid w:val="009A1EE7"/>
    <w:rsid w:val="009A434F"/>
    <w:rsid w:val="009A5369"/>
    <w:rsid w:val="009A5B43"/>
    <w:rsid w:val="009A61E6"/>
    <w:rsid w:val="009A678D"/>
    <w:rsid w:val="009A6851"/>
    <w:rsid w:val="009A6D90"/>
    <w:rsid w:val="009A77EE"/>
    <w:rsid w:val="009B1F1D"/>
    <w:rsid w:val="009B2486"/>
    <w:rsid w:val="009B24CE"/>
    <w:rsid w:val="009B3306"/>
    <w:rsid w:val="009B4F30"/>
    <w:rsid w:val="009B620B"/>
    <w:rsid w:val="009B6D62"/>
    <w:rsid w:val="009B77E4"/>
    <w:rsid w:val="009B7E5E"/>
    <w:rsid w:val="009C203C"/>
    <w:rsid w:val="009C2059"/>
    <w:rsid w:val="009C3536"/>
    <w:rsid w:val="009C54EB"/>
    <w:rsid w:val="009C6690"/>
    <w:rsid w:val="009C6FC4"/>
    <w:rsid w:val="009D170E"/>
    <w:rsid w:val="009D1B10"/>
    <w:rsid w:val="009D1C84"/>
    <w:rsid w:val="009D3F3E"/>
    <w:rsid w:val="009D44F2"/>
    <w:rsid w:val="009D4D5B"/>
    <w:rsid w:val="009D5FB8"/>
    <w:rsid w:val="009D7063"/>
    <w:rsid w:val="009D76BC"/>
    <w:rsid w:val="009D77C5"/>
    <w:rsid w:val="009E16ED"/>
    <w:rsid w:val="009E21BB"/>
    <w:rsid w:val="009E3684"/>
    <w:rsid w:val="009E3A0D"/>
    <w:rsid w:val="009E512A"/>
    <w:rsid w:val="009E558B"/>
    <w:rsid w:val="009E5E2A"/>
    <w:rsid w:val="009E62AE"/>
    <w:rsid w:val="009E7056"/>
    <w:rsid w:val="009F0C07"/>
    <w:rsid w:val="009F1387"/>
    <w:rsid w:val="009F14A8"/>
    <w:rsid w:val="009F2C48"/>
    <w:rsid w:val="009F3C4A"/>
    <w:rsid w:val="009F4B16"/>
    <w:rsid w:val="009F4FB4"/>
    <w:rsid w:val="009F62F0"/>
    <w:rsid w:val="009F791B"/>
    <w:rsid w:val="009F7F64"/>
    <w:rsid w:val="00A0044D"/>
    <w:rsid w:val="00A00AB1"/>
    <w:rsid w:val="00A01C24"/>
    <w:rsid w:val="00A01D4E"/>
    <w:rsid w:val="00A01F91"/>
    <w:rsid w:val="00A0201D"/>
    <w:rsid w:val="00A04640"/>
    <w:rsid w:val="00A04B00"/>
    <w:rsid w:val="00A04C9C"/>
    <w:rsid w:val="00A04D8D"/>
    <w:rsid w:val="00A04D94"/>
    <w:rsid w:val="00A07802"/>
    <w:rsid w:val="00A10DB9"/>
    <w:rsid w:val="00A113AA"/>
    <w:rsid w:val="00A11901"/>
    <w:rsid w:val="00A1400A"/>
    <w:rsid w:val="00A1539E"/>
    <w:rsid w:val="00A156A2"/>
    <w:rsid w:val="00A15BFB"/>
    <w:rsid w:val="00A169C3"/>
    <w:rsid w:val="00A16A59"/>
    <w:rsid w:val="00A16CAF"/>
    <w:rsid w:val="00A21F08"/>
    <w:rsid w:val="00A2287F"/>
    <w:rsid w:val="00A23C99"/>
    <w:rsid w:val="00A245B3"/>
    <w:rsid w:val="00A25E70"/>
    <w:rsid w:val="00A26668"/>
    <w:rsid w:val="00A27DCE"/>
    <w:rsid w:val="00A33677"/>
    <w:rsid w:val="00A33787"/>
    <w:rsid w:val="00A337D4"/>
    <w:rsid w:val="00A3396D"/>
    <w:rsid w:val="00A343F3"/>
    <w:rsid w:val="00A35127"/>
    <w:rsid w:val="00A36CE3"/>
    <w:rsid w:val="00A3721B"/>
    <w:rsid w:val="00A428BB"/>
    <w:rsid w:val="00A4330A"/>
    <w:rsid w:val="00A444C8"/>
    <w:rsid w:val="00A44B14"/>
    <w:rsid w:val="00A44E72"/>
    <w:rsid w:val="00A451D4"/>
    <w:rsid w:val="00A46551"/>
    <w:rsid w:val="00A46FAE"/>
    <w:rsid w:val="00A508AE"/>
    <w:rsid w:val="00A55CF6"/>
    <w:rsid w:val="00A60FFC"/>
    <w:rsid w:val="00A62692"/>
    <w:rsid w:val="00A649E1"/>
    <w:rsid w:val="00A65043"/>
    <w:rsid w:val="00A65973"/>
    <w:rsid w:val="00A65982"/>
    <w:rsid w:val="00A704D2"/>
    <w:rsid w:val="00A7056F"/>
    <w:rsid w:val="00A70755"/>
    <w:rsid w:val="00A71844"/>
    <w:rsid w:val="00A723B5"/>
    <w:rsid w:val="00A72730"/>
    <w:rsid w:val="00A73959"/>
    <w:rsid w:val="00A73D5D"/>
    <w:rsid w:val="00A74391"/>
    <w:rsid w:val="00A75802"/>
    <w:rsid w:val="00A7673F"/>
    <w:rsid w:val="00A76A12"/>
    <w:rsid w:val="00A809D7"/>
    <w:rsid w:val="00A82A6A"/>
    <w:rsid w:val="00A845EA"/>
    <w:rsid w:val="00A8538A"/>
    <w:rsid w:val="00A854F5"/>
    <w:rsid w:val="00A85B2E"/>
    <w:rsid w:val="00A87252"/>
    <w:rsid w:val="00A87DF8"/>
    <w:rsid w:val="00A91287"/>
    <w:rsid w:val="00A917C1"/>
    <w:rsid w:val="00A93449"/>
    <w:rsid w:val="00A94EFF"/>
    <w:rsid w:val="00AA093F"/>
    <w:rsid w:val="00AA0D01"/>
    <w:rsid w:val="00AA159D"/>
    <w:rsid w:val="00AA2F1E"/>
    <w:rsid w:val="00AA3054"/>
    <w:rsid w:val="00AA4268"/>
    <w:rsid w:val="00AA43CD"/>
    <w:rsid w:val="00AA4533"/>
    <w:rsid w:val="00AA47CD"/>
    <w:rsid w:val="00AA4E4D"/>
    <w:rsid w:val="00AA523B"/>
    <w:rsid w:val="00AA5B68"/>
    <w:rsid w:val="00AA5ECE"/>
    <w:rsid w:val="00AA5F02"/>
    <w:rsid w:val="00AB2CDE"/>
    <w:rsid w:val="00AB36DD"/>
    <w:rsid w:val="00AB3F1A"/>
    <w:rsid w:val="00AB504B"/>
    <w:rsid w:val="00AB64A6"/>
    <w:rsid w:val="00AB765B"/>
    <w:rsid w:val="00AC05EF"/>
    <w:rsid w:val="00AC0725"/>
    <w:rsid w:val="00AC3A8F"/>
    <w:rsid w:val="00AC4A54"/>
    <w:rsid w:val="00AC4F49"/>
    <w:rsid w:val="00AC6E8C"/>
    <w:rsid w:val="00AC729B"/>
    <w:rsid w:val="00AD0EA5"/>
    <w:rsid w:val="00AD1F15"/>
    <w:rsid w:val="00AD2CAF"/>
    <w:rsid w:val="00AD3E65"/>
    <w:rsid w:val="00AD477E"/>
    <w:rsid w:val="00AD4ACD"/>
    <w:rsid w:val="00AD5267"/>
    <w:rsid w:val="00AD5CF5"/>
    <w:rsid w:val="00AD765B"/>
    <w:rsid w:val="00AE21B3"/>
    <w:rsid w:val="00AE444D"/>
    <w:rsid w:val="00AE5EFA"/>
    <w:rsid w:val="00AE668C"/>
    <w:rsid w:val="00AE68E7"/>
    <w:rsid w:val="00AF0D1E"/>
    <w:rsid w:val="00AF1128"/>
    <w:rsid w:val="00AF146D"/>
    <w:rsid w:val="00AF1931"/>
    <w:rsid w:val="00AF2768"/>
    <w:rsid w:val="00AF2F6E"/>
    <w:rsid w:val="00AF352D"/>
    <w:rsid w:val="00AF4091"/>
    <w:rsid w:val="00AF5190"/>
    <w:rsid w:val="00AF5230"/>
    <w:rsid w:val="00B00BE0"/>
    <w:rsid w:val="00B015F7"/>
    <w:rsid w:val="00B01731"/>
    <w:rsid w:val="00B02195"/>
    <w:rsid w:val="00B0367A"/>
    <w:rsid w:val="00B0573B"/>
    <w:rsid w:val="00B05B66"/>
    <w:rsid w:val="00B06EFE"/>
    <w:rsid w:val="00B101C4"/>
    <w:rsid w:val="00B10B8A"/>
    <w:rsid w:val="00B12393"/>
    <w:rsid w:val="00B12908"/>
    <w:rsid w:val="00B12A5F"/>
    <w:rsid w:val="00B13AF3"/>
    <w:rsid w:val="00B13C16"/>
    <w:rsid w:val="00B15AAF"/>
    <w:rsid w:val="00B16A69"/>
    <w:rsid w:val="00B20782"/>
    <w:rsid w:val="00B21B43"/>
    <w:rsid w:val="00B22381"/>
    <w:rsid w:val="00B22B60"/>
    <w:rsid w:val="00B23C50"/>
    <w:rsid w:val="00B245D8"/>
    <w:rsid w:val="00B250AE"/>
    <w:rsid w:val="00B261AF"/>
    <w:rsid w:val="00B30346"/>
    <w:rsid w:val="00B32736"/>
    <w:rsid w:val="00B32897"/>
    <w:rsid w:val="00B3359D"/>
    <w:rsid w:val="00B337DF"/>
    <w:rsid w:val="00B33F7A"/>
    <w:rsid w:val="00B3713D"/>
    <w:rsid w:val="00B405B7"/>
    <w:rsid w:val="00B40F8F"/>
    <w:rsid w:val="00B417DE"/>
    <w:rsid w:val="00B43734"/>
    <w:rsid w:val="00B4415B"/>
    <w:rsid w:val="00B447FB"/>
    <w:rsid w:val="00B45C2A"/>
    <w:rsid w:val="00B45EB0"/>
    <w:rsid w:val="00B46FFA"/>
    <w:rsid w:val="00B50575"/>
    <w:rsid w:val="00B52209"/>
    <w:rsid w:val="00B5276C"/>
    <w:rsid w:val="00B52843"/>
    <w:rsid w:val="00B53B16"/>
    <w:rsid w:val="00B54153"/>
    <w:rsid w:val="00B54D12"/>
    <w:rsid w:val="00B5670F"/>
    <w:rsid w:val="00B57859"/>
    <w:rsid w:val="00B6072A"/>
    <w:rsid w:val="00B61243"/>
    <w:rsid w:val="00B61264"/>
    <w:rsid w:val="00B61680"/>
    <w:rsid w:val="00B636AE"/>
    <w:rsid w:val="00B63D91"/>
    <w:rsid w:val="00B63EF9"/>
    <w:rsid w:val="00B65330"/>
    <w:rsid w:val="00B663BE"/>
    <w:rsid w:val="00B72366"/>
    <w:rsid w:val="00B72A50"/>
    <w:rsid w:val="00B766F4"/>
    <w:rsid w:val="00B76CFD"/>
    <w:rsid w:val="00B77D74"/>
    <w:rsid w:val="00B804E6"/>
    <w:rsid w:val="00B83AA5"/>
    <w:rsid w:val="00B83D8E"/>
    <w:rsid w:val="00B84048"/>
    <w:rsid w:val="00B844EB"/>
    <w:rsid w:val="00B90616"/>
    <w:rsid w:val="00B9072B"/>
    <w:rsid w:val="00B91635"/>
    <w:rsid w:val="00B92D22"/>
    <w:rsid w:val="00B9607E"/>
    <w:rsid w:val="00B963CD"/>
    <w:rsid w:val="00BA11BE"/>
    <w:rsid w:val="00BA12FC"/>
    <w:rsid w:val="00BA1DD4"/>
    <w:rsid w:val="00BA425E"/>
    <w:rsid w:val="00BA4786"/>
    <w:rsid w:val="00BA4C10"/>
    <w:rsid w:val="00BA7175"/>
    <w:rsid w:val="00BA7542"/>
    <w:rsid w:val="00BA798C"/>
    <w:rsid w:val="00BA7A8A"/>
    <w:rsid w:val="00BB00B5"/>
    <w:rsid w:val="00BB01C9"/>
    <w:rsid w:val="00BB14B2"/>
    <w:rsid w:val="00BB165D"/>
    <w:rsid w:val="00BB2238"/>
    <w:rsid w:val="00BB2CED"/>
    <w:rsid w:val="00BB3393"/>
    <w:rsid w:val="00BB3862"/>
    <w:rsid w:val="00BB528A"/>
    <w:rsid w:val="00BB5867"/>
    <w:rsid w:val="00BB5C7D"/>
    <w:rsid w:val="00BB5F68"/>
    <w:rsid w:val="00BB62FB"/>
    <w:rsid w:val="00BB7946"/>
    <w:rsid w:val="00BC0180"/>
    <w:rsid w:val="00BC0B4E"/>
    <w:rsid w:val="00BC1E64"/>
    <w:rsid w:val="00BC5914"/>
    <w:rsid w:val="00BC5CC4"/>
    <w:rsid w:val="00BC6F3B"/>
    <w:rsid w:val="00BD1CC0"/>
    <w:rsid w:val="00BD2973"/>
    <w:rsid w:val="00BD6B8A"/>
    <w:rsid w:val="00BE07F8"/>
    <w:rsid w:val="00BE30B7"/>
    <w:rsid w:val="00BE5D48"/>
    <w:rsid w:val="00BE6102"/>
    <w:rsid w:val="00BE69DA"/>
    <w:rsid w:val="00BE7644"/>
    <w:rsid w:val="00BF16A8"/>
    <w:rsid w:val="00BF367F"/>
    <w:rsid w:val="00BF3D1A"/>
    <w:rsid w:val="00BF69E4"/>
    <w:rsid w:val="00C0055F"/>
    <w:rsid w:val="00C015BE"/>
    <w:rsid w:val="00C026EB"/>
    <w:rsid w:val="00C0285A"/>
    <w:rsid w:val="00C04958"/>
    <w:rsid w:val="00C053BA"/>
    <w:rsid w:val="00C06CEB"/>
    <w:rsid w:val="00C07ED6"/>
    <w:rsid w:val="00C108B2"/>
    <w:rsid w:val="00C1438B"/>
    <w:rsid w:val="00C15035"/>
    <w:rsid w:val="00C153E5"/>
    <w:rsid w:val="00C158B3"/>
    <w:rsid w:val="00C1593C"/>
    <w:rsid w:val="00C15E58"/>
    <w:rsid w:val="00C17305"/>
    <w:rsid w:val="00C17634"/>
    <w:rsid w:val="00C21FE9"/>
    <w:rsid w:val="00C23B8B"/>
    <w:rsid w:val="00C2474B"/>
    <w:rsid w:val="00C25879"/>
    <w:rsid w:val="00C25A96"/>
    <w:rsid w:val="00C26F7B"/>
    <w:rsid w:val="00C27F8D"/>
    <w:rsid w:val="00C33DDF"/>
    <w:rsid w:val="00C34CFD"/>
    <w:rsid w:val="00C400C7"/>
    <w:rsid w:val="00C40820"/>
    <w:rsid w:val="00C40A7F"/>
    <w:rsid w:val="00C40BFC"/>
    <w:rsid w:val="00C4321C"/>
    <w:rsid w:val="00C435F2"/>
    <w:rsid w:val="00C43E8F"/>
    <w:rsid w:val="00C4533E"/>
    <w:rsid w:val="00C457AC"/>
    <w:rsid w:val="00C468A8"/>
    <w:rsid w:val="00C47370"/>
    <w:rsid w:val="00C47A74"/>
    <w:rsid w:val="00C50C00"/>
    <w:rsid w:val="00C526F8"/>
    <w:rsid w:val="00C54065"/>
    <w:rsid w:val="00C54906"/>
    <w:rsid w:val="00C550FC"/>
    <w:rsid w:val="00C55F30"/>
    <w:rsid w:val="00C55F67"/>
    <w:rsid w:val="00C57CF8"/>
    <w:rsid w:val="00C6069F"/>
    <w:rsid w:val="00C6118C"/>
    <w:rsid w:val="00C61199"/>
    <w:rsid w:val="00C640B8"/>
    <w:rsid w:val="00C6489F"/>
    <w:rsid w:val="00C66109"/>
    <w:rsid w:val="00C6658B"/>
    <w:rsid w:val="00C718E5"/>
    <w:rsid w:val="00C7215B"/>
    <w:rsid w:val="00C7473A"/>
    <w:rsid w:val="00C74D99"/>
    <w:rsid w:val="00C75CA0"/>
    <w:rsid w:val="00C75D77"/>
    <w:rsid w:val="00C77C9E"/>
    <w:rsid w:val="00C804E5"/>
    <w:rsid w:val="00C81CF6"/>
    <w:rsid w:val="00C820FA"/>
    <w:rsid w:val="00C833D1"/>
    <w:rsid w:val="00C863CB"/>
    <w:rsid w:val="00C87365"/>
    <w:rsid w:val="00C90174"/>
    <w:rsid w:val="00C92BC4"/>
    <w:rsid w:val="00C93B53"/>
    <w:rsid w:val="00C93C5E"/>
    <w:rsid w:val="00C93EF6"/>
    <w:rsid w:val="00C95817"/>
    <w:rsid w:val="00C95A60"/>
    <w:rsid w:val="00C95C7B"/>
    <w:rsid w:val="00C964AC"/>
    <w:rsid w:val="00C96D76"/>
    <w:rsid w:val="00CA1393"/>
    <w:rsid w:val="00CA16A0"/>
    <w:rsid w:val="00CA3582"/>
    <w:rsid w:val="00CA4921"/>
    <w:rsid w:val="00CA4B48"/>
    <w:rsid w:val="00CA587F"/>
    <w:rsid w:val="00CA653E"/>
    <w:rsid w:val="00CA6D92"/>
    <w:rsid w:val="00CA7074"/>
    <w:rsid w:val="00CA74D1"/>
    <w:rsid w:val="00CB18EF"/>
    <w:rsid w:val="00CB18FE"/>
    <w:rsid w:val="00CB20C3"/>
    <w:rsid w:val="00CB23F8"/>
    <w:rsid w:val="00CB2E7C"/>
    <w:rsid w:val="00CB3531"/>
    <w:rsid w:val="00CB57E0"/>
    <w:rsid w:val="00CB6800"/>
    <w:rsid w:val="00CB6922"/>
    <w:rsid w:val="00CB77D9"/>
    <w:rsid w:val="00CC13E9"/>
    <w:rsid w:val="00CC1881"/>
    <w:rsid w:val="00CC37D4"/>
    <w:rsid w:val="00CC5B52"/>
    <w:rsid w:val="00CC6126"/>
    <w:rsid w:val="00CC639E"/>
    <w:rsid w:val="00CC65C4"/>
    <w:rsid w:val="00CD086D"/>
    <w:rsid w:val="00CD1A60"/>
    <w:rsid w:val="00CD2F8F"/>
    <w:rsid w:val="00CD4152"/>
    <w:rsid w:val="00CD5053"/>
    <w:rsid w:val="00CD57E0"/>
    <w:rsid w:val="00CD6BE1"/>
    <w:rsid w:val="00CD7D90"/>
    <w:rsid w:val="00CE067B"/>
    <w:rsid w:val="00CE0AD3"/>
    <w:rsid w:val="00CE182E"/>
    <w:rsid w:val="00CE2DE5"/>
    <w:rsid w:val="00CE5A7D"/>
    <w:rsid w:val="00CE6B7E"/>
    <w:rsid w:val="00CE75CA"/>
    <w:rsid w:val="00CF02BD"/>
    <w:rsid w:val="00CF0314"/>
    <w:rsid w:val="00CF104F"/>
    <w:rsid w:val="00CF1ED4"/>
    <w:rsid w:val="00CF20AC"/>
    <w:rsid w:val="00CF3B03"/>
    <w:rsid w:val="00CF4539"/>
    <w:rsid w:val="00CF4E3D"/>
    <w:rsid w:val="00CF4F71"/>
    <w:rsid w:val="00CF66F7"/>
    <w:rsid w:val="00CF6ED1"/>
    <w:rsid w:val="00D01D0D"/>
    <w:rsid w:val="00D02361"/>
    <w:rsid w:val="00D027B2"/>
    <w:rsid w:val="00D059B9"/>
    <w:rsid w:val="00D060F2"/>
    <w:rsid w:val="00D0675F"/>
    <w:rsid w:val="00D077DE"/>
    <w:rsid w:val="00D100D5"/>
    <w:rsid w:val="00D10116"/>
    <w:rsid w:val="00D11939"/>
    <w:rsid w:val="00D119C7"/>
    <w:rsid w:val="00D11D9E"/>
    <w:rsid w:val="00D12D13"/>
    <w:rsid w:val="00D13F62"/>
    <w:rsid w:val="00D14B7F"/>
    <w:rsid w:val="00D15B9C"/>
    <w:rsid w:val="00D1707C"/>
    <w:rsid w:val="00D170FB"/>
    <w:rsid w:val="00D174EB"/>
    <w:rsid w:val="00D17C42"/>
    <w:rsid w:val="00D20E29"/>
    <w:rsid w:val="00D228D5"/>
    <w:rsid w:val="00D229CF"/>
    <w:rsid w:val="00D22C13"/>
    <w:rsid w:val="00D251F3"/>
    <w:rsid w:val="00D25685"/>
    <w:rsid w:val="00D27BA4"/>
    <w:rsid w:val="00D31C4B"/>
    <w:rsid w:val="00D31C9B"/>
    <w:rsid w:val="00D3337A"/>
    <w:rsid w:val="00D334DE"/>
    <w:rsid w:val="00D34ACF"/>
    <w:rsid w:val="00D34C1B"/>
    <w:rsid w:val="00D3666F"/>
    <w:rsid w:val="00D448E8"/>
    <w:rsid w:val="00D44BC7"/>
    <w:rsid w:val="00D45724"/>
    <w:rsid w:val="00D45A94"/>
    <w:rsid w:val="00D460E0"/>
    <w:rsid w:val="00D46B73"/>
    <w:rsid w:val="00D46F4B"/>
    <w:rsid w:val="00D47A0B"/>
    <w:rsid w:val="00D47EF7"/>
    <w:rsid w:val="00D512D2"/>
    <w:rsid w:val="00D52D02"/>
    <w:rsid w:val="00D5394C"/>
    <w:rsid w:val="00D543B8"/>
    <w:rsid w:val="00D54769"/>
    <w:rsid w:val="00D5490A"/>
    <w:rsid w:val="00D5528E"/>
    <w:rsid w:val="00D55469"/>
    <w:rsid w:val="00D57760"/>
    <w:rsid w:val="00D60792"/>
    <w:rsid w:val="00D608B9"/>
    <w:rsid w:val="00D61DC4"/>
    <w:rsid w:val="00D62079"/>
    <w:rsid w:val="00D63AB9"/>
    <w:rsid w:val="00D63E6A"/>
    <w:rsid w:val="00D64245"/>
    <w:rsid w:val="00D64492"/>
    <w:rsid w:val="00D64666"/>
    <w:rsid w:val="00D647EA"/>
    <w:rsid w:val="00D657E3"/>
    <w:rsid w:val="00D65BA3"/>
    <w:rsid w:val="00D66053"/>
    <w:rsid w:val="00D67A0B"/>
    <w:rsid w:val="00D70D58"/>
    <w:rsid w:val="00D712B7"/>
    <w:rsid w:val="00D77000"/>
    <w:rsid w:val="00D77ABA"/>
    <w:rsid w:val="00D80618"/>
    <w:rsid w:val="00D80822"/>
    <w:rsid w:val="00D8138F"/>
    <w:rsid w:val="00D82380"/>
    <w:rsid w:val="00D83062"/>
    <w:rsid w:val="00D847F5"/>
    <w:rsid w:val="00D850C2"/>
    <w:rsid w:val="00D86563"/>
    <w:rsid w:val="00D87705"/>
    <w:rsid w:val="00D87DB2"/>
    <w:rsid w:val="00D87F76"/>
    <w:rsid w:val="00D900DF"/>
    <w:rsid w:val="00D90A3C"/>
    <w:rsid w:val="00D911C5"/>
    <w:rsid w:val="00D91817"/>
    <w:rsid w:val="00D91C8B"/>
    <w:rsid w:val="00D9310E"/>
    <w:rsid w:val="00D93437"/>
    <w:rsid w:val="00D9522A"/>
    <w:rsid w:val="00D95E64"/>
    <w:rsid w:val="00D96DAF"/>
    <w:rsid w:val="00D97515"/>
    <w:rsid w:val="00DA1409"/>
    <w:rsid w:val="00DA17CD"/>
    <w:rsid w:val="00DA29FD"/>
    <w:rsid w:val="00DA32BC"/>
    <w:rsid w:val="00DA420F"/>
    <w:rsid w:val="00DA4551"/>
    <w:rsid w:val="00DA4957"/>
    <w:rsid w:val="00DA51D4"/>
    <w:rsid w:val="00DA5C1F"/>
    <w:rsid w:val="00DA5C6A"/>
    <w:rsid w:val="00DA6C87"/>
    <w:rsid w:val="00DA70C4"/>
    <w:rsid w:val="00DA7151"/>
    <w:rsid w:val="00DA7F31"/>
    <w:rsid w:val="00DB006F"/>
    <w:rsid w:val="00DB0925"/>
    <w:rsid w:val="00DB1111"/>
    <w:rsid w:val="00DB1174"/>
    <w:rsid w:val="00DB1247"/>
    <w:rsid w:val="00DB16B6"/>
    <w:rsid w:val="00DB3208"/>
    <w:rsid w:val="00DB3854"/>
    <w:rsid w:val="00DB5626"/>
    <w:rsid w:val="00DB5E3A"/>
    <w:rsid w:val="00DB65D4"/>
    <w:rsid w:val="00DB6A9B"/>
    <w:rsid w:val="00DB7E3A"/>
    <w:rsid w:val="00DB7E3D"/>
    <w:rsid w:val="00DB7F38"/>
    <w:rsid w:val="00DC004C"/>
    <w:rsid w:val="00DC0B54"/>
    <w:rsid w:val="00DC236A"/>
    <w:rsid w:val="00DC33A7"/>
    <w:rsid w:val="00DC4031"/>
    <w:rsid w:val="00DC48EC"/>
    <w:rsid w:val="00DC6D65"/>
    <w:rsid w:val="00DC7EE6"/>
    <w:rsid w:val="00DD15A8"/>
    <w:rsid w:val="00DD436F"/>
    <w:rsid w:val="00DD5450"/>
    <w:rsid w:val="00DD60DB"/>
    <w:rsid w:val="00DD76E7"/>
    <w:rsid w:val="00DD7DFB"/>
    <w:rsid w:val="00DE10B3"/>
    <w:rsid w:val="00DE11A3"/>
    <w:rsid w:val="00DE19E1"/>
    <w:rsid w:val="00DE273F"/>
    <w:rsid w:val="00DE392A"/>
    <w:rsid w:val="00DE3C95"/>
    <w:rsid w:val="00DE5C7D"/>
    <w:rsid w:val="00DF0755"/>
    <w:rsid w:val="00DF0FF8"/>
    <w:rsid w:val="00DF130E"/>
    <w:rsid w:val="00DF1941"/>
    <w:rsid w:val="00DF1A53"/>
    <w:rsid w:val="00DF2310"/>
    <w:rsid w:val="00DF330B"/>
    <w:rsid w:val="00DF3545"/>
    <w:rsid w:val="00DF3F57"/>
    <w:rsid w:val="00DF4277"/>
    <w:rsid w:val="00DF4800"/>
    <w:rsid w:val="00DF64EA"/>
    <w:rsid w:val="00DF6BD8"/>
    <w:rsid w:val="00DF7A85"/>
    <w:rsid w:val="00E0025E"/>
    <w:rsid w:val="00E013CD"/>
    <w:rsid w:val="00E014D9"/>
    <w:rsid w:val="00E0211E"/>
    <w:rsid w:val="00E045C9"/>
    <w:rsid w:val="00E068D7"/>
    <w:rsid w:val="00E07C3A"/>
    <w:rsid w:val="00E102DC"/>
    <w:rsid w:val="00E133CA"/>
    <w:rsid w:val="00E13AD9"/>
    <w:rsid w:val="00E14B16"/>
    <w:rsid w:val="00E15750"/>
    <w:rsid w:val="00E15E44"/>
    <w:rsid w:val="00E16543"/>
    <w:rsid w:val="00E16E9F"/>
    <w:rsid w:val="00E17400"/>
    <w:rsid w:val="00E177A6"/>
    <w:rsid w:val="00E17FB6"/>
    <w:rsid w:val="00E20C9E"/>
    <w:rsid w:val="00E2248C"/>
    <w:rsid w:val="00E2408B"/>
    <w:rsid w:val="00E241E0"/>
    <w:rsid w:val="00E249C3"/>
    <w:rsid w:val="00E24D62"/>
    <w:rsid w:val="00E30E93"/>
    <w:rsid w:val="00E311DA"/>
    <w:rsid w:val="00E315C9"/>
    <w:rsid w:val="00E32008"/>
    <w:rsid w:val="00E33C7F"/>
    <w:rsid w:val="00E34507"/>
    <w:rsid w:val="00E34966"/>
    <w:rsid w:val="00E35324"/>
    <w:rsid w:val="00E36629"/>
    <w:rsid w:val="00E409C5"/>
    <w:rsid w:val="00E415C0"/>
    <w:rsid w:val="00E43216"/>
    <w:rsid w:val="00E43887"/>
    <w:rsid w:val="00E44198"/>
    <w:rsid w:val="00E44232"/>
    <w:rsid w:val="00E44818"/>
    <w:rsid w:val="00E44DAE"/>
    <w:rsid w:val="00E45ABE"/>
    <w:rsid w:val="00E45F3E"/>
    <w:rsid w:val="00E51BB1"/>
    <w:rsid w:val="00E5219E"/>
    <w:rsid w:val="00E52EBE"/>
    <w:rsid w:val="00E538DF"/>
    <w:rsid w:val="00E54809"/>
    <w:rsid w:val="00E54B07"/>
    <w:rsid w:val="00E56310"/>
    <w:rsid w:val="00E60254"/>
    <w:rsid w:val="00E61749"/>
    <w:rsid w:val="00E63BD3"/>
    <w:rsid w:val="00E63E90"/>
    <w:rsid w:val="00E65870"/>
    <w:rsid w:val="00E665B7"/>
    <w:rsid w:val="00E67B9E"/>
    <w:rsid w:val="00E67DC3"/>
    <w:rsid w:val="00E67FE1"/>
    <w:rsid w:val="00E719A2"/>
    <w:rsid w:val="00E71A7A"/>
    <w:rsid w:val="00E7230E"/>
    <w:rsid w:val="00E72A9C"/>
    <w:rsid w:val="00E72ECA"/>
    <w:rsid w:val="00E731E1"/>
    <w:rsid w:val="00E762A3"/>
    <w:rsid w:val="00E77B2E"/>
    <w:rsid w:val="00E8086B"/>
    <w:rsid w:val="00E80E35"/>
    <w:rsid w:val="00E818EA"/>
    <w:rsid w:val="00E81E7F"/>
    <w:rsid w:val="00E81F8E"/>
    <w:rsid w:val="00E825AF"/>
    <w:rsid w:val="00E825F7"/>
    <w:rsid w:val="00E82950"/>
    <w:rsid w:val="00E83947"/>
    <w:rsid w:val="00E86590"/>
    <w:rsid w:val="00E87A29"/>
    <w:rsid w:val="00E91042"/>
    <w:rsid w:val="00E9305A"/>
    <w:rsid w:val="00E93C25"/>
    <w:rsid w:val="00E9469B"/>
    <w:rsid w:val="00E947DE"/>
    <w:rsid w:val="00E96C6D"/>
    <w:rsid w:val="00E9754B"/>
    <w:rsid w:val="00EA083C"/>
    <w:rsid w:val="00EA13D8"/>
    <w:rsid w:val="00EA35FE"/>
    <w:rsid w:val="00EA3666"/>
    <w:rsid w:val="00EA4437"/>
    <w:rsid w:val="00EA47C5"/>
    <w:rsid w:val="00EA5EAB"/>
    <w:rsid w:val="00EA67F6"/>
    <w:rsid w:val="00EA6DBA"/>
    <w:rsid w:val="00EA6E84"/>
    <w:rsid w:val="00EA75B3"/>
    <w:rsid w:val="00EA771E"/>
    <w:rsid w:val="00EA7846"/>
    <w:rsid w:val="00EA7CE6"/>
    <w:rsid w:val="00EA7E5B"/>
    <w:rsid w:val="00EB049A"/>
    <w:rsid w:val="00EB1268"/>
    <w:rsid w:val="00EB218C"/>
    <w:rsid w:val="00EB229C"/>
    <w:rsid w:val="00EB24ED"/>
    <w:rsid w:val="00EB2D79"/>
    <w:rsid w:val="00EB34E7"/>
    <w:rsid w:val="00EB3701"/>
    <w:rsid w:val="00EB39B4"/>
    <w:rsid w:val="00EB5045"/>
    <w:rsid w:val="00EB53D4"/>
    <w:rsid w:val="00EB785F"/>
    <w:rsid w:val="00EC0DCE"/>
    <w:rsid w:val="00EC310F"/>
    <w:rsid w:val="00EC644E"/>
    <w:rsid w:val="00EC6ECE"/>
    <w:rsid w:val="00EC7132"/>
    <w:rsid w:val="00EC7507"/>
    <w:rsid w:val="00ED0357"/>
    <w:rsid w:val="00ED051F"/>
    <w:rsid w:val="00ED0B8E"/>
    <w:rsid w:val="00ED11A1"/>
    <w:rsid w:val="00ED1FDE"/>
    <w:rsid w:val="00ED2426"/>
    <w:rsid w:val="00ED3361"/>
    <w:rsid w:val="00ED409C"/>
    <w:rsid w:val="00ED6C73"/>
    <w:rsid w:val="00ED6F58"/>
    <w:rsid w:val="00ED762B"/>
    <w:rsid w:val="00ED7A96"/>
    <w:rsid w:val="00EE3594"/>
    <w:rsid w:val="00EE4F37"/>
    <w:rsid w:val="00EE5EEE"/>
    <w:rsid w:val="00EE6CD3"/>
    <w:rsid w:val="00EE7326"/>
    <w:rsid w:val="00EF0344"/>
    <w:rsid w:val="00EF3F4F"/>
    <w:rsid w:val="00EF54D3"/>
    <w:rsid w:val="00EF5B69"/>
    <w:rsid w:val="00EF5E01"/>
    <w:rsid w:val="00EF7C23"/>
    <w:rsid w:val="00F00E0F"/>
    <w:rsid w:val="00F01A47"/>
    <w:rsid w:val="00F01DDB"/>
    <w:rsid w:val="00F0224D"/>
    <w:rsid w:val="00F022EC"/>
    <w:rsid w:val="00F02B6B"/>
    <w:rsid w:val="00F0418A"/>
    <w:rsid w:val="00F04AF9"/>
    <w:rsid w:val="00F06115"/>
    <w:rsid w:val="00F06E78"/>
    <w:rsid w:val="00F07B86"/>
    <w:rsid w:val="00F07F29"/>
    <w:rsid w:val="00F07F8D"/>
    <w:rsid w:val="00F10238"/>
    <w:rsid w:val="00F10CB9"/>
    <w:rsid w:val="00F10D23"/>
    <w:rsid w:val="00F11E4A"/>
    <w:rsid w:val="00F11FC1"/>
    <w:rsid w:val="00F12E67"/>
    <w:rsid w:val="00F130AD"/>
    <w:rsid w:val="00F14EC0"/>
    <w:rsid w:val="00F15224"/>
    <w:rsid w:val="00F15CA4"/>
    <w:rsid w:val="00F16721"/>
    <w:rsid w:val="00F16D3A"/>
    <w:rsid w:val="00F177E2"/>
    <w:rsid w:val="00F20AAA"/>
    <w:rsid w:val="00F20CE6"/>
    <w:rsid w:val="00F20D2B"/>
    <w:rsid w:val="00F216AE"/>
    <w:rsid w:val="00F22580"/>
    <w:rsid w:val="00F2286B"/>
    <w:rsid w:val="00F2286E"/>
    <w:rsid w:val="00F23752"/>
    <w:rsid w:val="00F23D50"/>
    <w:rsid w:val="00F24256"/>
    <w:rsid w:val="00F242F1"/>
    <w:rsid w:val="00F25DF4"/>
    <w:rsid w:val="00F26C84"/>
    <w:rsid w:val="00F27005"/>
    <w:rsid w:val="00F27443"/>
    <w:rsid w:val="00F304E8"/>
    <w:rsid w:val="00F3079C"/>
    <w:rsid w:val="00F31858"/>
    <w:rsid w:val="00F357A1"/>
    <w:rsid w:val="00F37299"/>
    <w:rsid w:val="00F372D6"/>
    <w:rsid w:val="00F37409"/>
    <w:rsid w:val="00F400BC"/>
    <w:rsid w:val="00F429C9"/>
    <w:rsid w:val="00F432D8"/>
    <w:rsid w:val="00F43662"/>
    <w:rsid w:val="00F43E41"/>
    <w:rsid w:val="00F44F82"/>
    <w:rsid w:val="00F4561E"/>
    <w:rsid w:val="00F46C89"/>
    <w:rsid w:val="00F47707"/>
    <w:rsid w:val="00F51184"/>
    <w:rsid w:val="00F518FB"/>
    <w:rsid w:val="00F51C45"/>
    <w:rsid w:val="00F52AE3"/>
    <w:rsid w:val="00F53B75"/>
    <w:rsid w:val="00F53BEA"/>
    <w:rsid w:val="00F5424D"/>
    <w:rsid w:val="00F57146"/>
    <w:rsid w:val="00F6002F"/>
    <w:rsid w:val="00F61429"/>
    <w:rsid w:val="00F6210C"/>
    <w:rsid w:val="00F62276"/>
    <w:rsid w:val="00F62771"/>
    <w:rsid w:val="00F6381A"/>
    <w:rsid w:val="00F642D4"/>
    <w:rsid w:val="00F64CDF"/>
    <w:rsid w:val="00F66EC8"/>
    <w:rsid w:val="00F67DB9"/>
    <w:rsid w:val="00F72769"/>
    <w:rsid w:val="00F733C0"/>
    <w:rsid w:val="00F74B44"/>
    <w:rsid w:val="00F75623"/>
    <w:rsid w:val="00F76543"/>
    <w:rsid w:val="00F80ED4"/>
    <w:rsid w:val="00F81BF9"/>
    <w:rsid w:val="00F83AF6"/>
    <w:rsid w:val="00F852DE"/>
    <w:rsid w:val="00F874C8"/>
    <w:rsid w:val="00F8779D"/>
    <w:rsid w:val="00F92815"/>
    <w:rsid w:val="00F92C9D"/>
    <w:rsid w:val="00F93F3A"/>
    <w:rsid w:val="00F94C73"/>
    <w:rsid w:val="00F94F7B"/>
    <w:rsid w:val="00F959D0"/>
    <w:rsid w:val="00FA1B17"/>
    <w:rsid w:val="00FA244A"/>
    <w:rsid w:val="00FA2EA4"/>
    <w:rsid w:val="00FA5F8A"/>
    <w:rsid w:val="00FA6DEB"/>
    <w:rsid w:val="00FB1713"/>
    <w:rsid w:val="00FB278D"/>
    <w:rsid w:val="00FB313B"/>
    <w:rsid w:val="00FB3275"/>
    <w:rsid w:val="00FB33ED"/>
    <w:rsid w:val="00FB4008"/>
    <w:rsid w:val="00FB64B7"/>
    <w:rsid w:val="00FB71C7"/>
    <w:rsid w:val="00FB7553"/>
    <w:rsid w:val="00FB7AAF"/>
    <w:rsid w:val="00FC01EB"/>
    <w:rsid w:val="00FC03D7"/>
    <w:rsid w:val="00FC38DF"/>
    <w:rsid w:val="00FC5565"/>
    <w:rsid w:val="00FC6D50"/>
    <w:rsid w:val="00FC6FFB"/>
    <w:rsid w:val="00FC7A30"/>
    <w:rsid w:val="00FD019F"/>
    <w:rsid w:val="00FD2285"/>
    <w:rsid w:val="00FD4B99"/>
    <w:rsid w:val="00FD63DE"/>
    <w:rsid w:val="00FD6C5D"/>
    <w:rsid w:val="00FD6D08"/>
    <w:rsid w:val="00FE0ACF"/>
    <w:rsid w:val="00FE13C9"/>
    <w:rsid w:val="00FE2A50"/>
    <w:rsid w:val="00FE2C76"/>
    <w:rsid w:val="00FE3C54"/>
    <w:rsid w:val="00FE411B"/>
    <w:rsid w:val="00FE418B"/>
    <w:rsid w:val="00FE581F"/>
    <w:rsid w:val="00FE734C"/>
    <w:rsid w:val="00FF0081"/>
    <w:rsid w:val="00FF1082"/>
    <w:rsid w:val="00FF2B36"/>
    <w:rsid w:val="00FF36F9"/>
    <w:rsid w:val="00FF4251"/>
    <w:rsid w:val="00FF4956"/>
    <w:rsid w:val="00FF5527"/>
    <w:rsid w:val="00FF5F0E"/>
    <w:rsid w:val="00FF5FEC"/>
    <w:rsid w:val="00FF6BF2"/>
    <w:rsid w:val="0125469A"/>
    <w:rsid w:val="0142367D"/>
    <w:rsid w:val="01FD2827"/>
    <w:rsid w:val="0201449D"/>
    <w:rsid w:val="029C1412"/>
    <w:rsid w:val="02D177E8"/>
    <w:rsid w:val="0328539C"/>
    <w:rsid w:val="03434A54"/>
    <w:rsid w:val="03560202"/>
    <w:rsid w:val="03822CFE"/>
    <w:rsid w:val="038F67D6"/>
    <w:rsid w:val="03C07382"/>
    <w:rsid w:val="0406601D"/>
    <w:rsid w:val="04FB1B77"/>
    <w:rsid w:val="0645240D"/>
    <w:rsid w:val="073C7668"/>
    <w:rsid w:val="074837A9"/>
    <w:rsid w:val="079254DA"/>
    <w:rsid w:val="0812091C"/>
    <w:rsid w:val="083C7535"/>
    <w:rsid w:val="08A5396A"/>
    <w:rsid w:val="08E07B67"/>
    <w:rsid w:val="09006872"/>
    <w:rsid w:val="0902777E"/>
    <w:rsid w:val="09346EE5"/>
    <w:rsid w:val="09633C04"/>
    <w:rsid w:val="09B765D8"/>
    <w:rsid w:val="0A3C01DA"/>
    <w:rsid w:val="0AAA3C3C"/>
    <w:rsid w:val="0B3D5D50"/>
    <w:rsid w:val="0B7B7B9F"/>
    <w:rsid w:val="0DC358C5"/>
    <w:rsid w:val="0DD0610C"/>
    <w:rsid w:val="0DF742E8"/>
    <w:rsid w:val="0E1452DB"/>
    <w:rsid w:val="0E3C471B"/>
    <w:rsid w:val="0E5F78AD"/>
    <w:rsid w:val="0E8872EF"/>
    <w:rsid w:val="0E9962F0"/>
    <w:rsid w:val="0F492922"/>
    <w:rsid w:val="0FAD34E3"/>
    <w:rsid w:val="0FB024EB"/>
    <w:rsid w:val="0FE340F9"/>
    <w:rsid w:val="1097561B"/>
    <w:rsid w:val="11C479EB"/>
    <w:rsid w:val="12562AF2"/>
    <w:rsid w:val="125B4F91"/>
    <w:rsid w:val="1283436C"/>
    <w:rsid w:val="1289059B"/>
    <w:rsid w:val="129E4ED1"/>
    <w:rsid w:val="130F469D"/>
    <w:rsid w:val="140A685C"/>
    <w:rsid w:val="148D2425"/>
    <w:rsid w:val="14E56F92"/>
    <w:rsid w:val="15EC5AAB"/>
    <w:rsid w:val="163B2879"/>
    <w:rsid w:val="1685210D"/>
    <w:rsid w:val="16C97CC8"/>
    <w:rsid w:val="17D17655"/>
    <w:rsid w:val="194A7889"/>
    <w:rsid w:val="199C3759"/>
    <w:rsid w:val="19AB76AD"/>
    <w:rsid w:val="19D43FC4"/>
    <w:rsid w:val="19EF2318"/>
    <w:rsid w:val="1A01633D"/>
    <w:rsid w:val="1A8053DB"/>
    <w:rsid w:val="1BD85318"/>
    <w:rsid w:val="1CFC5BB8"/>
    <w:rsid w:val="1D7019C1"/>
    <w:rsid w:val="1DC4202B"/>
    <w:rsid w:val="1E397296"/>
    <w:rsid w:val="1ED904BE"/>
    <w:rsid w:val="1FE26EA9"/>
    <w:rsid w:val="22BB4E90"/>
    <w:rsid w:val="25733083"/>
    <w:rsid w:val="257E5306"/>
    <w:rsid w:val="258258BA"/>
    <w:rsid w:val="25B461E6"/>
    <w:rsid w:val="26833FAC"/>
    <w:rsid w:val="268905FF"/>
    <w:rsid w:val="270209F2"/>
    <w:rsid w:val="273B4DEE"/>
    <w:rsid w:val="27A86408"/>
    <w:rsid w:val="28884C0E"/>
    <w:rsid w:val="295A38F5"/>
    <w:rsid w:val="29CA2459"/>
    <w:rsid w:val="2A283990"/>
    <w:rsid w:val="2A503FE0"/>
    <w:rsid w:val="2A756869"/>
    <w:rsid w:val="2AA07DC0"/>
    <w:rsid w:val="2AAD7927"/>
    <w:rsid w:val="2BB446A8"/>
    <w:rsid w:val="2BB53E2C"/>
    <w:rsid w:val="2BCC24B9"/>
    <w:rsid w:val="2CCB2749"/>
    <w:rsid w:val="2CDD03D3"/>
    <w:rsid w:val="2D185EA7"/>
    <w:rsid w:val="2E4A2377"/>
    <w:rsid w:val="2E4D4358"/>
    <w:rsid w:val="2EC1207D"/>
    <w:rsid w:val="2F911A4F"/>
    <w:rsid w:val="2FBE752E"/>
    <w:rsid w:val="2FCC0CD9"/>
    <w:rsid w:val="30AE6631"/>
    <w:rsid w:val="30D342E9"/>
    <w:rsid w:val="30E46687"/>
    <w:rsid w:val="30EB33E1"/>
    <w:rsid w:val="311346E6"/>
    <w:rsid w:val="31224CA5"/>
    <w:rsid w:val="31344118"/>
    <w:rsid w:val="32803C40"/>
    <w:rsid w:val="32922AEB"/>
    <w:rsid w:val="32EC701F"/>
    <w:rsid w:val="332326FB"/>
    <w:rsid w:val="33BF1855"/>
    <w:rsid w:val="342C61EA"/>
    <w:rsid w:val="35260E8C"/>
    <w:rsid w:val="357D1D07"/>
    <w:rsid w:val="35935DF5"/>
    <w:rsid w:val="35AC4C5A"/>
    <w:rsid w:val="3617201A"/>
    <w:rsid w:val="36394BEF"/>
    <w:rsid w:val="366578FC"/>
    <w:rsid w:val="369B729A"/>
    <w:rsid w:val="37190903"/>
    <w:rsid w:val="37C724A8"/>
    <w:rsid w:val="38641C38"/>
    <w:rsid w:val="386F48F8"/>
    <w:rsid w:val="38D62BC9"/>
    <w:rsid w:val="39260199"/>
    <w:rsid w:val="39567B01"/>
    <w:rsid w:val="396E7AAF"/>
    <w:rsid w:val="39DA1867"/>
    <w:rsid w:val="3A461992"/>
    <w:rsid w:val="3AC51EBD"/>
    <w:rsid w:val="3B0656F4"/>
    <w:rsid w:val="3B273268"/>
    <w:rsid w:val="3BC0486E"/>
    <w:rsid w:val="3BDF108C"/>
    <w:rsid w:val="3C876ABD"/>
    <w:rsid w:val="3EE95FCE"/>
    <w:rsid w:val="3F0277B1"/>
    <w:rsid w:val="3FDA2F9E"/>
    <w:rsid w:val="418050FD"/>
    <w:rsid w:val="41B45BD5"/>
    <w:rsid w:val="41C9521D"/>
    <w:rsid w:val="421F738E"/>
    <w:rsid w:val="42B7427E"/>
    <w:rsid w:val="42C427C1"/>
    <w:rsid w:val="43217CB0"/>
    <w:rsid w:val="43D00E92"/>
    <w:rsid w:val="443E5787"/>
    <w:rsid w:val="44674604"/>
    <w:rsid w:val="46913AA0"/>
    <w:rsid w:val="46F32B98"/>
    <w:rsid w:val="47BA5463"/>
    <w:rsid w:val="47F15CBC"/>
    <w:rsid w:val="482B6845"/>
    <w:rsid w:val="48465FC4"/>
    <w:rsid w:val="4883368D"/>
    <w:rsid w:val="48A35BD1"/>
    <w:rsid w:val="48FA22D5"/>
    <w:rsid w:val="49794430"/>
    <w:rsid w:val="49F260D5"/>
    <w:rsid w:val="4A3749D0"/>
    <w:rsid w:val="4A3E307E"/>
    <w:rsid w:val="4A733DB5"/>
    <w:rsid w:val="4A8358D0"/>
    <w:rsid w:val="4A9E2E1A"/>
    <w:rsid w:val="4B155614"/>
    <w:rsid w:val="4B520EB4"/>
    <w:rsid w:val="4D574D80"/>
    <w:rsid w:val="4D6318EA"/>
    <w:rsid w:val="4D742AFF"/>
    <w:rsid w:val="4D857A27"/>
    <w:rsid w:val="4EB7465A"/>
    <w:rsid w:val="4EB82612"/>
    <w:rsid w:val="4ED62762"/>
    <w:rsid w:val="4F301015"/>
    <w:rsid w:val="4F3B1580"/>
    <w:rsid w:val="4FC77488"/>
    <w:rsid w:val="4FD70210"/>
    <w:rsid w:val="4FEB1908"/>
    <w:rsid w:val="50962F12"/>
    <w:rsid w:val="50BD049E"/>
    <w:rsid w:val="50EA7974"/>
    <w:rsid w:val="513E0EB3"/>
    <w:rsid w:val="51911017"/>
    <w:rsid w:val="52DD7040"/>
    <w:rsid w:val="52F061DD"/>
    <w:rsid w:val="539F1DEB"/>
    <w:rsid w:val="53E67391"/>
    <w:rsid w:val="541874EC"/>
    <w:rsid w:val="547C5F7A"/>
    <w:rsid w:val="551B5793"/>
    <w:rsid w:val="55524F2D"/>
    <w:rsid w:val="569752EE"/>
    <w:rsid w:val="56D93B58"/>
    <w:rsid w:val="56FA7CC7"/>
    <w:rsid w:val="57406C4F"/>
    <w:rsid w:val="57D936E4"/>
    <w:rsid w:val="59527BF2"/>
    <w:rsid w:val="59AE4EFD"/>
    <w:rsid w:val="59D2102D"/>
    <w:rsid w:val="5A5F4374"/>
    <w:rsid w:val="5ABA5A4E"/>
    <w:rsid w:val="5B321A89"/>
    <w:rsid w:val="5B6F37D4"/>
    <w:rsid w:val="5BA109BC"/>
    <w:rsid w:val="5CB1174B"/>
    <w:rsid w:val="5CCF7CF4"/>
    <w:rsid w:val="5DB56C4E"/>
    <w:rsid w:val="5EF157B7"/>
    <w:rsid w:val="5F9C5114"/>
    <w:rsid w:val="60A809AD"/>
    <w:rsid w:val="610332FB"/>
    <w:rsid w:val="612C0D28"/>
    <w:rsid w:val="61FD5609"/>
    <w:rsid w:val="62083908"/>
    <w:rsid w:val="62FC4477"/>
    <w:rsid w:val="634A5C6C"/>
    <w:rsid w:val="63A35A8B"/>
    <w:rsid w:val="63D52998"/>
    <w:rsid w:val="63FF7200"/>
    <w:rsid w:val="64060B78"/>
    <w:rsid w:val="64184D23"/>
    <w:rsid w:val="64265F03"/>
    <w:rsid w:val="642B7948"/>
    <w:rsid w:val="647B6CB4"/>
    <w:rsid w:val="650412FA"/>
    <w:rsid w:val="650B168C"/>
    <w:rsid w:val="655251ED"/>
    <w:rsid w:val="65937B94"/>
    <w:rsid w:val="66155F50"/>
    <w:rsid w:val="66A531D2"/>
    <w:rsid w:val="66E31024"/>
    <w:rsid w:val="67544569"/>
    <w:rsid w:val="68863C6F"/>
    <w:rsid w:val="68C87588"/>
    <w:rsid w:val="68D45F2D"/>
    <w:rsid w:val="68E24AEE"/>
    <w:rsid w:val="6A170E8B"/>
    <w:rsid w:val="6A1B402F"/>
    <w:rsid w:val="6AB632EB"/>
    <w:rsid w:val="6C1E51CE"/>
    <w:rsid w:val="6C783883"/>
    <w:rsid w:val="6D1C75A9"/>
    <w:rsid w:val="6DBD1686"/>
    <w:rsid w:val="6E4771A1"/>
    <w:rsid w:val="6E601A97"/>
    <w:rsid w:val="6E6F05B4"/>
    <w:rsid w:val="6F6C36A5"/>
    <w:rsid w:val="702A75D6"/>
    <w:rsid w:val="70692E8E"/>
    <w:rsid w:val="70AA206B"/>
    <w:rsid w:val="7128150C"/>
    <w:rsid w:val="71864485"/>
    <w:rsid w:val="71AE56FE"/>
    <w:rsid w:val="7306230B"/>
    <w:rsid w:val="741E2752"/>
    <w:rsid w:val="75C8506C"/>
    <w:rsid w:val="75D64737"/>
    <w:rsid w:val="76006336"/>
    <w:rsid w:val="772A540E"/>
    <w:rsid w:val="77776DCA"/>
    <w:rsid w:val="77935B48"/>
    <w:rsid w:val="787D19AE"/>
    <w:rsid w:val="7885021D"/>
    <w:rsid w:val="78AF42C1"/>
    <w:rsid w:val="78BC6308"/>
    <w:rsid w:val="78CD028B"/>
    <w:rsid w:val="78F32400"/>
    <w:rsid w:val="79E82670"/>
    <w:rsid w:val="7A1906CA"/>
    <w:rsid w:val="7B38059E"/>
    <w:rsid w:val="7C371311"/>
    <w:rsid w:val="7D437B8B"/>
    <w:rsid w:val="7D9E5FAA"/>
    <w:rsid w:val="7DBC6242"/>
    <w:rsid w:val="7E5A36DC"/>
    <w:rsid w:val="7EC90C5E"/>
    <w:rsid w:val="7ECA0249"/>
    <w:rsid w:val="7F1E14EC"/>
    <w:rsid w:val="7FBC2E6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szCs w:val="24"/>
      <w:lang w:val="en-US" w:eastAsia="zh-CN" w:bidi="ar-SA"/>
    </w:rPr>
  </w:style>
  <w:style w:type="paragraph" w:styleId="2">
    <w:name w:val="heading 1"/>
    <w:basedOn w:val="1"/>
    <w:next w:val="1"/>
    <w:qFormat/>
    <w:uiPriority w:val="0"/>
    <w:pPr>
      <w:keepNext/>
      <w:ind w:firstLine="1400" w:firstLineChars="500"/>
      <w:outlineLvl w:val="0"/>
    </w:pPr>
    <w:rPr>
      <w:rFonts w:ascii="黑体"/>
      <w:sz w:val="28"/>
    </w:rPr>
  </w:style>
  <w:style w:type="paragraph" w:styleId="3">
    <w:name w:val="heading 2"/>
    <w:basedOn w:val="1"/>
    <w:next w:val="1"/>
    <w:link w:val="70"/>
    <w:qFormat/>
    <w:uiPriority w:val="0"/>
    <w:pPr>
      <w:keepNext/>
      <w:ind w:firstLine="1120" w:firstLineChars="400"/>
      <w:outlineLvl w:val="1"/>
    </w:pPr>
    <w:rPr>
      <w:rFonts w:ascii="宋体" w:hAnsi="Times New Roman"/>
      <w:color w:val="FF0000"/>
    </w:rPr>
  </w:style>
  <w:style w:type="paragraph" w:styleId="4">
    <w:name w:val="heading 3"/>
    <w:basedOn w:val="1"/>
    <w:next w:val="1"/>
    <w:qFormat/>
    <w:uiPriority w:val="0"/>
    <w:pPr>
      <w:keepNext/>
      <w:jc w:val="left"/>
      <w:outlineLvl w:val="2"/>
    </w:pPr>
    <w:rPr>
      <w:rFonts w:ascii="黑体"/>
      <w:sz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 w:val="21"/>
      <w:szCs w:val="20"/>
    </w:rPr>
  </w:style>
  <w:style w:type="paragraph" w:styleId="6">
    <w:name w:val="Document Map"/>
    <w:basedOn w:val="1"/>
    <w:semiHidden/>
    <w:qFormat/>
    <w:uiPriority w:val="0"/>
    <w:pPr>
      <w:shd w:val="clear" w:color="auto" w:fill="000080"/>
    </w:pPr>
  </w:style>
  <w:style w:type="paragraph" w:styleId="7">
    <w:name w:val="annotation text"/>
    <w:basedOn w:val="1"/>
    <w:link w:val="66"/>
    <w:semiHidden/>
    <w:qFormat/>
    <w:uiPriority w:val="0"/>
    <w:pPr>
      <w:jc w:val="left"/>
    </w:pPr>
    <w:rPr>
      <w:rFonts w:ascii="Times New Roman" w:hAnsi="Times New Roman"/>
    </w:rPr>
  </w:style>
  <w:style w:type="paragraph" w:styleId="8">
    <w:name w:val="Body Text"/>
    <w:basedOn w:val="1"/>
    <w:qFormat/>
    <w:uiPriority w:val="0"/>
    <w:pPr>
      <w:spacing w:line="360" w:lineRule="auto"/>
    </w:pPr>
  </w:style>
  <w:style w:type="paragraph" w:styleId="9">
    <w:name w:val="Body Text Indent"/>
    <w:basedOn w:val="1"/>
    <w:link w:val="62"/>
    <w:qFormat/>
    <w:uiPriority w:val="0"/>
    <w:pPr>
      <w:ind w:firstLine="535" w:firstLineChars="191"/>
    </w:pPr>
    <w:rPr>
      <w:rFonts w:ascii="Times New Roman" w:hAnsi="Times New Roman"/>
    </w:rPr>
  </w:style>
  <w:style w:type="paragraph" w:styleId="10">
    <w:name w:val="toc 3"/>
    <w:basedOn w:val="1"/>
    <w:next w:val="1"/>
    <w:qFormat/>
    <w:uiPriority w:val="0"/>
  </w:style>
  <w:style w:type="paragraph" w:styleId="11">
    <w:name w:val="Plain Text"/>
    <w:basedOn w:val="1"/>
    <w:link w:val="68"/>
    <w:qFormat/>
    <w:uiPriority w:val="0"/>
    <w:rPr>
      <w:rFonts w:ascii="宋体" w:hAnsi="Courier New"/>
      <w:sz w:val="21"/>
      <w:szCs w:val="20"/>
    </w:rPr>
  </w:style>
  <w:style w:type="paragraph" w:styleId="12">
    <w:name w:val="Date"/>
    <w:basedOn w:val="1"/>
    <w:next w:val="1"/>
    <w:link w:val="72"/>
    <w:qFormat/>
    <w:uiPriority w:val="0"/>
    <w:pPr>
      <w:ind w:left="100" w:leftChars="2500"/>
    </w:pPr>
    <w:rPr>
      <w:rFonts w:ascii="Times New Roman" w:hAnsi="Times New Roman"/>
    </w:rPr>
  </w:style>
  <w:style w:type="paragraph" w:styleId="13">
    <w:name w:val="Body Text Indent 2"/>
    <w:basedOn w:val="1"/>
    <w:qFormat/>
    <w:uiPriority w:val="0"/>
    <w:pPr>
      <w:ind w:firstLine="566" w:firstLineChars="202"/>
    </w:pPr>
    <w:rPr>
      <w:sz w:val="28"/>
    </w:rPr>
  </w:style>
  <w:style w:type="paragraph" w:styleId="14">
    <w:name w:val="Balloon Text"/>
    <w:basedOn w:val="1"/>
    <w:semiHidden/>
    <w:qFormat/>
    <w:uiPriority w:val="0"/>
    <w:rPr>
      <w:sz w:val="18"/>
      <w:szCs w:val="18"/>
    </w:rPr>
  </w:style>
  <w:style w:type="paragraph" w:styleId="15">
    <w:name w:val="footer"/>
    <w:basedOn w:val="1"/>
    <w:link w:val="74"/>
    <w:qFormat/>
    <w:uiPriority w:val="0"/>
    <w:pPr>
      <w:tabs>
        <w:tab w:val="center" w:pos="4153"/>
        <w:tab w:val="right" w:pos="8306"/>
      </w:tabs>
      <w:snapToGrid w:val="0"/>
      <w:jc w:val="left"/>
    </w:pPr>
    <w:rPr>
      <w:rFonts w:ascii="Times New Roman" w:hAnsi="Times New Roman"/>
      <w:sz w:val="18"/>
      <w:szCs w:val="18"/>
    </w:rPr>
  </w:style>
  <w:style w:type="paragraph" w:styleId="16">
    <w:name w:val="header"/>
    <w:basedOn w:val="1"/>
    <w:link w:val="69"/>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7">
    <w:name w:val="toc 1"/>
    <w:basedOn w:val="1"/>
    <w:next w:val="1"/>
    <w:qFormat/>
    <w:uiPriority w:val="39"/>
    <w:pPr>
      <w:tabs>
        <w:tab w:val="right" w:leader="dot" w:pos="9060"/>
      </w:tabs>
      <w:spacing w:line="360" w:lineRule="auto"/>
    </w:pPr>
    <w:rPr>
      <w:rFonts w:ascii="宋体" w:hAnsi="Arial" w:cs="Arial"/>
    </w:rPr>
  </w:style>
  <w:style w:type="paragraph" w:styleId="18">
    <w:name w:val="toc 4"/>
    <w:basedOn w:val="1"/>
    <w:next w:val="1"/>
    <w:qFormat/>
    <w:uiPriority w:val="0"/>
  </w:style>
  <w:style w:type="paragraph" w:styleId="19">
    <w:name w:val="Body Text Indent 3"/>
    <w:basedOn w:val="1"/>
    <w:qFormat/>
    <w:uiPriority w:val="0"/>
    <w:pPr>
      <w:spacing w:line="360" w:lineRule="auto"/>
      <w:ind w:firstLine="420" w:firstLineChars="200"/>
    </w:pPr>
  </w:style>
  <w:style w:type="paragraph" w:styleId="20">
    <w:name w:val="toc 2"/>
    <w:basedOn w:val="1"/>
    <w:next w:val="1"/>
    <w:qFormat/>
    <w:uiPriority w:val="39"/>
    <w:pPr>
      <w:tabs>
        <w:tab w:val="right" w:leader="dot" w:pos="9060"/>
        <w:tab w:val="right" w:leader="dot" w:pos="9344"/>
      </w:tabs>
    </w:pPr>
  </w:style>
  <w:style w:type="paragraph" w:styleId="21">
    <w:name w:val="Body Text 2"/>
    <w:basedOn w:val="1"/>
    <w:qFormat/>
    <w:uiPriority w:val="0"/>
    <w:pPr>
      <w:spacing w:after="120" w:line="480" w:lineRule="auto"/>
    </w:pPr>
  </w:style>
  <w:style w:type="paragraph" w:styleId="2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23">
    <w:name w:val="Normal (Web)"/>
    <w:basedOn w:val="1"/>
    <w:unhideWhenUsed/>
    <w:qFormat/>
    <w:uiPriority w:val="99"/>
    <w:pPr>
      <w:widowControl/>
      <w:jc w:val="left"/>
    </w:pPr>
    <w:rPr>
      <w:rFonts w:ascii="宋体" w:hAnsi="宋体" w:cs="宋体"/>
      <w:kern w:val="0"/>
    </w:rPr>
  </w:style>
  <w:style w:type="paragraph" w:styleId="24">
    <w:name w:val="annotation subject"/>
    <w:basedOn w:val="7"/>
    <w:next w:val="7"/>
    <w:link w:val="64"/>
    <w:qFormat/>
    <w:uiPriority w:val="0"/>
    <w:rPr>
      <w:b/>
      <w:bCs/>
    </w:rPr>
  </w:style>
  <w:style w:type="table" w:styleId="26">
    <w:name w:val="Table Grid"/>
    <w:basedOn w:val="2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cs="Times New Roman"/>
      <w:b/>
      <w:bCs/>
    </w:rPr>
  </w:style>
  <w:style w:type="character" w:styleId="29">
    <w:name w:val="page number"/>
    <w:qFormat/>
    <w:uiPriority w:val="0"/>
    <w:rPr>
      <w:rFonts w:cs="Times New Roman"/>
    </w:rPr>
  </w:style>
  <w:style w:type="character" w:styleId="30">
    <w:name w:val="Emphasis"/>
    <w:qFormat/>
    <w:uiPriority w:val="0"/>
    <w:rPr>
      <w:rFonts w:cs="Times New Roman"/>
      <w:color w:val="CC0000"/>
    </w:rPr>
  </w:style>
  <w:style w:type="character" w:styleId="31">
    <w:name w:val="Hyperlink"/>
    <w:qFormat/>
    <w:uiPriority w:val="99"/>
    <w:rPr>
      <w:rFonts w:cs="Times New Roman"/>
      <w:color w:val="0000FF"/>
      <w:u w:val="single"/>
    </w:rPr>
  </w:style>
  <w:style w:type="character" w:styleId="32">
    <w:name w:val="annotation reference"/>
    <w:qFormat/>
    <w:uiPriority w:val="0"/>
    <w:rPr>
      <w:rFonts w:cs="Times New Roman"/>
      <w:sz w:val="21"/>
      <w:szCs w:val="21"/>
    </w:rPr>
  </w:style>
  <w:style w:type="paragraph" w:customStyle="1" w:styleId="33">
    <w:name w:val="段"/>
    <w:link w:val="7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4">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35">
    <w:name w:val="示例"/>
    <w:next w:val="33"/>
    <w:qFormat/>
    <w:uiPriority w:val="0"/>
    <w:pPr>
      <w:tabs>
        <w:tab w:val="left" w:pos="816"/>
      </w:tabs>
      <w:ind w:firstLine="419" w:firstLineChars="233"/>
      <w:jc w:val="both"/>
    </w:pPr>
    <w:rPr>
      <w:rFonts w:ascii="宋体" w:hAnsi="Calibri" w:eastAsia="宋体" w:cs="Times New Roman"/>
      <w:sz w:val="18"/>
      <w:lang w:val="en-US" w:eastAsia="zh-CN" w:bidi="ar-SA"/>
    </w:rPr>
  </w:style>
  <w:style w:type="paragraph" w:customStyle="1" w:styleId="36">
    <w:name w:val="附录标题"/>
    <w:basedOn w:val="37"/>
    <w:qFormat/>
    <w:uiPriority w:val="0"/>
    <w:pPr>
      <w:wordWrap/>
      <w:snapToGrid w:val="0"/>
      <w:spacing w:line="360" w:lineRule="auto"/>
    </w:pPr>
    <w:rPr>
      <w:rFonts w:ascii="Arial" w:hAnsi="Arial"/>
      <w:kern w:val="0"/>
      <w:sz w:val="24"/>
    </w:rPr>
  </w:style>
  <w:style w:type="paragraph" w:customStyle="1" w:styleId="37">
    <w:name w:val="附录一级条标题"/>
    <w:basedOn w:val="1"/>
    <w:next w:val="33"/>
    <w:qFormat/>
    <w:uiPriority w:val="0"/>
    <w:pPr>
      <w:widowControl/>
      <w:wordWrap w:val="0"/>
      <w:overflowPunct w:val="0"/>
      <w:autoSpaceDE w:val="0"/>
      <w:autoSpaceDN w:val="0"/>
      <w:textAlignment w:val="baseline"/>
      <w:outlineLvl w:val="2"/>
    </w:pPr>
    <w:rPr>
      <w:rFonts w:ascii="黑体" w:eastAsia="黑体"/>
      <w:kern w:val="21"/>
      <w:sz w:val="21"/>
      <w:szCs w:val="20"/>
    </w:rPr>
  </w:style>
  <w:style w:type="paragraph" w:customStyle="1" w:styleId="38">
    <w:name w:val="附录二级条标题"/>
    <w:basedOn w:val="1"/>
    <w:qFormat/>
    <w:uiPriority w:val="0"/>
    <w:pPr>
      <w:adjustRightInd w:val="0"/>
      <w:snapToGrid w:val="0"/>
      <w:spacing w:line="360" w:lineRule="auto"/>
    </w:pPr>
    <w:rPr>
      <w:rFonts w:ascii="Arial" w:hAnsi="Arial" w:cs="Arial"/>
      <w:bCs/>
    </w:rPr>
  </w:style>
  <w:style w:type="paragraph" w:customStyle="1" w:styleId="39">
    <w:name w:val="列出段落1"/>
    <w:basedOn w:val="1"/>
    <w:qFormat/>
    <w:uiPriority w:val="0"/>
    <w:pPr>
      <w:ind w:firstLine="420" w:firstLineChars="200"/>
    </w:pPr>
  </w:style>
  <w:style w:type="paragraph" w:customStyle="1" w:styleId="40">
    <w:name w:val="三级无标题条"/>
    <w:basedOn w:val="1"/>
    <w:qFormat/>
    <w:uiPriority w:val="0"/>
    <w:pPr>
      <w:numPr>
        <w:ilvl w:val="4"/>
        <w:numId w:val="1"/>
      </w:numPr>
    </w:pPr>
    <w:rPr>
      <w:sz w:val="21"/>
    </w:rPr>
  </w:style>
  <w:style w:type="paragraph" w:customStyle="1" w:styleId="41">
    <w:name w:val="前言、引言标题"/>
    <w:next w:val="1"/>
    <w:qFormat/>
    <w:uiPriority w:val="0"/>
    <w:pPr>
      <w:numPr>
        <w:ilvl w:val="0"/>
        <w:numId w:val="2"/>
      </w:numPr>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42">
    <w:name w:val="五级无标题条"/>
    <w:basedOn w:val="1"/>
    <w:qFormat/>
    <w:uiPriority w:val="0"/>
    <w:pPr>
      <w:numPr>
        <w:ilvl w:val="6"/>
        <w:numId w:val="1"/>
      </w:numPr>
    </w:pPr>
    <w:rPr>
      <w:sz w:val="21"/>
    </w:rPr>
  </w:style>
  <w:style w:type="paragraph" w:customStyle="1" w:styleId="43">
    <w:name w:val="四级条标题"/>
    <w:basedOn w:val="44"/>
    <w:next w:val="33"/>
    <w:qFormat/>
    <w:uiPriority w:val="0"/>
    <w:pPr>
      <w:numPr>
        <w:ilvl w:val="5"/>
      </w:numPr>
      <w:outlineLvl w:val="5"/>
    </w:pPr>
  </w:style>
  <w:style w:type="paragraph" w:customStyle="1" w:styleId="44">
    <w:name w:val="三级条标题"/>
    <w:basedOn w:val="45"/>
    <w:next w:val="33"/>
    <w:qFormat/>
    <w:uiPriority w:val="0"/>
    <w:pPr>
      <w:numPr>
        <w:ilvl w:val="4"/>
      </w:numPr>
      <w:outlineLvl w:val="4"/>
    </w:pPr>
  </w:style>
  <w:style w:type="paragraph" w:customStyle="1" w:styleId="45">
    <w:name w:val="二级条标题"/>
    <w:basedOn w:val="46"/>
    <w:next w:val="33"/>
    <w:link w:val="60"/>
    <w:qFormat/>
    <w:uiPriority w:val="0"/>
    <w:pPr>
      <w:numPr>
        <w:ilvl w:val="3"/>
      </w:numPr>
      <w:ind w:left="0"/>
      <w:outlineLvl w:val="3"/>
    </w:pPr>
    <w:rPr>
      <w:rFonts w:hAnsi="Times New Roman"/>
    </w:rPr>
  </w:style>
  <w:style w:type="paragraph" w:customStyle="1" w:styleId="46">
    <w:name w:val="一级条标题"/>
    <w:basedOn w:val="47"/>
    <w:next w:val="33"/>
    <w:qFormat/>
    <w:uiPriority w:val="0"/>
    <w:pPr>
      <w:numPr>
        <w:ilvl w:val="2"/>
      </w:numPr>
      <w:spacing w:beforeLines="0" w:afterLines="0"/>
      <w:outlineLvl w:val="2"/>
    </w:pPr>
  </w:style>
  <w:style w:type="paragraph" w:customStyle="1" w:styleId="47">
    <w:name w:val="章标题"/>
    <w:next w:val="33"/>
    <w:qFormat/>
    <w:uiPriority w:val="0"/>
    <w:pPr>
      <w:numPr>
        <w:ilvl w:val="1"/>
        <w:numId w:val="2"/>
      </w:numPr>
      <w:spacing w:beforeLines="50" w:afterLines="50"/>
      <w:jc w:val="both"/>
      <w:outlineLvl w:val="1"/>
    </w:pPr>
    <w:rPr>
      <w:rFonts w:ascii="黑体" w:hAnsi="Calibri" w:eastAsia="黑体" w:cs="Times New Roman"/>
      <w:sz w:val="21"/>
      <w:lang w:val="en-US" w:eastAsia="zh-CN" w:bidi="ar-SA"/>
    </w:rPr>
  </w:style>
  <w:style w:type="paragraph" w:customStyle="1" w:styleId="48">
    <w:name w:val="引言"/>
    <w:basedOn w:val="1"/>
    <w:qFormat/>
    <w:uiPriority w:val="0"/>
    <w:pPr>
      <w:snapToGrid w:val="0"/>
      <w:spacing w:line="360" w:lineRule="auto"/>
      <w:jc w:val="center"/>
    </w:pPr>
    <w:rPr>
      <w:rFonts w:ascii="黑体" w:hAnsi="宋体" w:eastAsia="黑体"/>
      <w:sz w:val="32"/>
      <w:szCs w:val="32"/>
      <w:lang w:val="en-GB"/>
    </w:rPr>
  </w:style>
  <w:style w:type="paragraph" w:customStyle="1" w:styleId="49">
    <w:name w:val="四级无标题条"/>
    <w:basedOn w:val="1"/>
    <w:qFormat/>
    <w:uiPriority w:val="0"/>
    <w:pPr>
      <w:numPr>
        <w:ilvl w:val="5"/>
        <w:numId w:val="1"/>
      </w:numPr>
    </w:pPr>
    <w:rPr>
      <w:sz w:val="21"/>
    </w:rPr>
  </w:style>
  <w:style w:type="paragraph" w:customStyle="1" w:styleId="50">
    <w:name w:val="Char Char Char Char Char Char Char"/>
    <w:basedOn w:val="1"/>
    <w:qFormat/>
    <w:uiPriority w:val="0"/>
    <w:pPr>
      <w:tabs>
        <w:tab w:val="left" w:pos="4500"/>
      </w:tabs>
    </w:pPr>
    <w:rPr>
      <w:rFonts w:ascii="宋体" w:hAnsi="宋体"/>
    </w:rPr>
  </w:style>
  <w:style w:type="paragraph" w:customStyle="1" w:styleId="51">
    <w:name w:val="附录图标题"/>
    <w:next w:val="33"/>
    <w:qFormat/>
    <w:uiPriority w:val="0"/>
    <w:pPr>
      <w:jc w:val="center"/>
    </w:pPr>
    <w:rPr>
      <w:rFonts w:ascii="黑体" w:hAnsi="Calibri" w:eastAsia="黑体" w:cs="Times New Roman"/>
      <w:sz w:val="21"/>
      <w:lang w:val="en-US" w:eastAsia="zh-CN" w:bidi="ar-SA"/>
    </w:rPr>
  </w:style>
  <w:style w:type="paragraph" w:customStyle="1" w:styleId="52">
    <w:name w:val="目录"/>
    <w:basedOn w:val="1"/>
    <w:qFormat/>
    <w:uiPriority w:val="0"/>
    <w:pPr>
      <w:snapToGrid w:val="0"/>
      <w:spacing w:line="360" w:lineRule="auto"/>
      <w:jc w:val="center"/>
    </w:pPr>
    <w:rPr>
      <w:rFonts w:ascii="黑体" w:eastAsia="黑体"/>
      <w:sz w:val="28"/>
      <w:szCs w:val="28"/>
    </w:rPr>
  </w:style>
  <w:style w:type="paragraph" w:customStyle="1" w:styleId="53">
    <w:name w:val="一级无标题条"/>
    <w:basedOn w:val="1"/>
    <w:qFormat/>
    <w:uiPriority w:val="0"/>
    <w:pPr>
      <w:numPr>
        <w:ilvl w:val="2"/>
        <w:numId w:val="1"/>
      </w:numPr>
    </w:pPr>
    <w:rPr>
      <w:sz w:val="21"/>
    </w:rPr>
  </w:style>
  <w:style w:type="paragraph" w:customStyle="1" w:styleId="54">
    <w:name w:val="二级无标题条"/>
    <w:basedOn w:val="1"/>
    <w:qFormat/>
    <w:uiPriority w:val="0"/>
    <w:pPr>
      <w:numPr>
        <w:ilvl w:val="3"/>
        <w:numId w:val="1"/>
      </w:numPr>
    </w:pPr>
    <w:rPr>
      <w:sz w:val="21"/>
    </w:rPr>
  </w:style>
  <w:style w:type="paragraph" w:customStyle="1" w:styleId="55">
    <w:name w:val="TOC 标题1"/>
    <w:basedOn w:val="2"/>
    <w:next w:val="1"/>
    <w:qFormat/>
    <w:uiPriority w:val="0"/>
    <w:pPr>
      <w:keepLines/>
      <w:widowControl/>
      <w:spacing w:before="480" w:line="276" w:lineRule="auto"/>
      <w:ind w:firstLine="0" w:firstLineChars="0"/>
      <w:jc w:val="left"/>
      <w:outlineLvl w:val="9"/>
    </w:pPr>
    <w:rPr>
      <w:rFonts w:ascii="Cambria" w:hAnsi="Cambria"/>
      <w:b/>
      <w:bCs/>
      <w:color w:val="365F91"/>
      <w:kern w:val="0"/>
      <w:szCs w:val="28"/>
    </w:rPr>
  </w:style>
  <w:style w:type="paragraph" w:customStyle="1" w:styleId="5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57">
    <w:name w:val="五级条标题"/>
    <w:basedOn w:val="43"/>
    <w:next w:val="33"/>
    <w:qFormat/>
    <w:uiPriority w:val="0"/>
    <w:pPr>
      <w:numPr>
        <w:ilvl w:val="6"/>
      </w:numPr>
      <w:outlineLvl w:val="6"/>
    </w:pPr>
  </w:style>
  <w:style w:type="character" w:customStyle="1" w:styleId="58">
    <w:name w:val="段 Char"/>
    <w:qFormat/>
    <w:uiPriority w:val="0"/>
    <w:rPr>
      <w:rFonts w:ascii="宋体" w:eastAsia="宋体" w:cs="Times New Roman"/>
      <w:sz w:val="21"/>
      <w:lang w:val="en-US" w:eastAsia="zh-CN" w:bidi="ar-SA"/>
    </w:rPr>
  </w:style>
  <w:style w:type="character" w:customStyle="1" w:styleId="59">
    <w:name w:val="zi_hui_12"/>
    <w:qFormat/>
    <w:uiPriority w:val="0"/>
    <w:rPr>
      <w:rFonts w:cs="Times New Roman"/>
    </w:rPr>
  </w:style>
  <w:style w:type="character" w:customStyle="1" w:styleId="60">
    <w:name w:val="二级条标题 Char"/>
    <w:link w:val="45"/>
    <w:qFormat/>
    <w:uiPriority w:val="0"/>
    <w:rPr>
      <w:rFonts w:ascii="黑体" w:eastAsia="黑体" w:cs="Times New Roman"/>
      <w:sz w:val="21"/>
    </w:rPr>
  </w:style>
  <w:style w:type="character" w:customStyle="1" w:styleId="61">
    <w:name w:val="zi_hui_121"/>
    <w:qFormat/>
    <w:uiPriority w:val="0"/>
    <w:rPr>
      <w:rFonts w:cs="Times New Roman"/>
      <w:color w:val="666666"/>
      <w:sz w:val="18"/>
      <w:szCs w:val="18"/>
      <w:u w:val="none"/>
    </w:rPr>
  </w:style>
  <w:style w:type="character" w:customStyle="1" w:styleId="62">
    <w:name w:val="正文文本缩进 Char"/>
    <w:link w:val="9"/>
    <w:qFormat/>
    <w:uiPriority w:val="0"/>
    <w:rPr>
      <w:rFonts w:cs="Times New Roman"/>
      <w:kern w:val="2"/>
      <w:sz w:val="24"/>
      <w:szCs w:val="24"/>
    </w:rPr>
  </w:style>
  <w:style w:type="character" w:customStyle="1" w:styleId="63">
    <w:name w:val="占位符文本1"/>
    <w:semiHidden/>
    <w:qFormat/>
    <w:uiPriority w:val="0"/>
    <w:rPr>
      <w:rFonts w:cs="Times New Roman"/>
      <w:color w:val="808080"/>
    </w:rPr>
  </w:style>
  <w:style w:type="character" w:customStyle="1" w:styleId="64">
    <w:name w:val="批注主题 Char"/>
    <w:link w:val="24"/>
    <w:qFormat/>
    <w:uiPriority w:val="0"/>
    <w:rPr>
      <w:rFonts w:cs="Times New Roman"/>
      <w:b/>
      <w:bCs/>
      <w:kern w:val="2"/>
      <w:sz w:val="24"/>
      <w:szCs w:val="24"/>
    </w:rPr>
  </w:style>
  <w:style w:type="character" w:customStyle="1" w:styleId="65">
    <w:name w:val="contenttitle"/>
    <w:qFormat/>
    <w:uiPriority w:val="0"/>
    <w:rPr>
      <w:rFonts w:cs="Times New Roman"/>
    </w:rPr>
  </w:style>
  <w:style w:type="character" w:customStyle="1" w:styleId="66">
    <w:name w:val="批注文字 Char"/>
    <w:link w:val="7"/>
    <w:semiHidden/>
    <w:qFormat/>
    <w:uiPriority w:val="0"/>
    <w:rPr>
      <w:rFonts w:cs="Times New Roman"/>
      <w:kern w:val="2"/>
      <w:sz w:val="24"/>
      <w:szCs w:val="24"/>
    </w:rPr>
  </w:style>
  <w:style w:type="character" w:customStyle="1" w:styleId="67">
    <w:name w:val="正文文本缩进 Char1"/>
    <w:qFormat/>
    <w:uiPriority w:val="0"/>
    <w:rPr>
      <w:rFonts w:cs="Times New Roman"/>
      <w:kern w:val="2"/>
      <w:sz w:val="24"/>
      <w:szCs w:val="24"/>
    </w:rPr>
  </w:style>
  <w:style w:type="character" w:customStyle="1" w:styleId="68">
    <w:name w:val="纯文本 Char"/>
    <w:link w:val="11"/>
    <w:qFormat/>
    <w:uiPriority w:val="0"/>
    <w:rPr>
      <w:rFonts w:ascii="宋体" w:hAnsi="Courier New" w:cs="Times New Roman"/>
      <w:kern w:val="2"/>
      <w:sz w:val="21"/>
    </w:rPr>
  </w:style>
  <w:style w:type="character" w:customStyle="1" w:styleId="69">
    <w:name w:val="页眉 Char"/>
    <w:link w:val="16"/>
    <w:qFormat/>
    <w:uiPriority w:val="99"/>
    <w:rPr>
      <w:rFonts w:cs="Times New Roman"/>
      <w:kern w:val="2"/>
      <w:sz w:val="18"/>
      <w:szCs w:val="18"/>
    </w:rPr>
  </w:style>
  <w:style w:type="character" w:customStyle="1" w:styleId="70">
    <w:name w:val="标题 2 Char"/>
    <w:link w:val="3"/>
    <w:qFormat/>
    <w:uiPriority w:val="0"/>
    <w:rPr>
      <w:rFonts w:ascii="宋体" w:cs="Times New Roman"/>
      <w:color w:val="FF0000"/>
      <w:kern w:val="2"/>
      <w:sz w:val="24"/>
      <w:szCs w:val="24"/>
    </w:rPr>
  </w:style>
  <w:style w:type="character" w:customStyle="1" w:styleId="71">
    <w:name w:val="段 Char Char"/>
    <w:link w:val="33"/>
    <w:qFormat/>
    <w:uiPriority w:val="0"/>
    <w:rPr>
      <w:rFonts w:ascii="宋体"/>
      <w:sz w:val="21"/>
      <w:lang w:val="en-US" w:eastAsia="zh-CN" w:bidi="ar-SA"/>
    </w:rPr>
  </w:style>
  <w:style w:type="character" w:customStyle="1" w:styleId="72">
    <w:name w:val="日期 Char"/>
    <w:link w:val="12"/>
    <w:qFormat/>
    <w:uiPriority w:val="0"/>
    <w:rPr>
      <w:rFonts w:cs="Times New Roman"/>
      <w:kern w:val="2"/>
      <w:sz w:val="24"/>
      <w:szCs w:val="24"/>
    </w:rPr>
  </w:style>
  <w:style w:type="character" w:customStyle="1" w:styleId="73">
    <w:name w:val="apple-converted-space"/>
    <w:qFormat/>
    <w:uiPriority w:val="0"/>
    <w:rPr>
      <w:rFonts w:cs="Times New Roman"/>
    </w:rPr>
  </w:style>
  <w:style w:type="character" w:customStyle="1" w:styleId="74">
    <w:name w:val="页脚 Char"/>
    <w:link w:val="15"/>
    <w:qFormat/>
    <w:uiPriority w:val="0"/>
    <w:rPr>
      <w:rFonts w:cs="Times New Roman"/>
      <w:kern w:val="2"/>
      <w:sz w:val="18"/>
      <w:szCs w:val="18"/>
    </w:rPr>
  </w:style>
  <w:style w:type="paragraph" w:customStyle="1" w:styleId="75">
    <w:name w:val="WPSOffice手动目录 1"/>
    <w:qFormat/>
    <w:uiPriority w:val="0"/>
    <w:rPr>
      <w:rFonts w:ascii="Calibri" w:hAnsi="Calibri" w:eastAsia="宋体" w:cs="Times New Roman"/>
      <w:lang w:val="en-US" w:eastAsia="zh-CN" w:bidi="ar-SA"/>
    </w:rPr>
  </w:style>
  <w:style w:type="paragraph" w:customStyle="1" w:styleId="76">
    <w:name w:val="WPSOffice手动目录 2"/>
    <w:qFormat/>
    <w:uiPriority w:val="0"/>
    <w:pPr>
      <w:ind w:left="200" w:leftChars="200"/>
    </w:pPr>
    <w:rPr>
      <w:rFonts w:ascii="Calibri" w:hAnsi="Calibri" w:eastAsia="宋体" w:cs="Times New Roman"/>
      <w:lang w:val="en-US" w:eastAsia="zh-CN" w:bidi="ar-SA"/>
    </w:rPr>
  </w:style>
  <w:style w:type="paragraph" w:styleId="77">
    <w:name w:val="List Paragraph"/>
    <w:basedOn w:val="1"/>
    <w:qFormat/>
    <w:uiPriority w:val="34"/>
    <w:pPr>
      <w:ind w:firstLine="420" w:firstLineChars="200"/>
    </w:pPr>
    <w:rPr>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LXY工作室</Company>
  <Pages>19</Pages>
  <Words>3803</Words>
  <Characters>8560</Characters>
  <Lines>62</Lines>
  <Paragraphs>17</Paragraphs>
  <TotalTime>2</TotalTime>
  <ScaleCrop>false</ScaleCrop>
  <LinksUpToDate>false</LinksUpToDate>
  <CharactersWithSpaces>9172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2019-09-09T02:56:00Z</dcterms:created>
  <dc:creator>葉(YYL)</dc:creator>
  <cp:lastModifiedBy>Administrator</cp:lastModifiedBy>
  <cp:lastPrinted>2017-03-22T07:09:00Z</cp:lastPrinted>
  <dcterms:modified xsi:type="dcterms:W3CDTF">2024-12-17T02:57:25Z</dcterms:modified>
  <dc:title>中华人民共各国国家计量检定规程</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85726E3077B845CDB02F4DEAF5158F28_13</vt:lpwstr>
  </property>
</Properties>
</file>