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02"/>
        <w:jc w:val="center"/>
        <w:rPr>
          <w:rFonts w:ascii="Times New Roman" w:hAnsi="Times New Roman" w:eastAsia="宋体" w:cs="Times New Roman"/>
          <w:b/>
          <w:color w:val="000000" w:themeColor="text1"/>
          <w:sz w:val="30"/>
          <w:szCs w:val="30"/>
        </w:rPr>
      </w:pPr>
      <w:r>
        <w:rPr>
          <w:rFonts w:ascii="Times New Roman" w:hAnsi="Times New Roman" w:eastAsia="宋体" w:cs="Times New Roman"/>
          <w:b/>
          <w:color w:val="000000" w:themeColor="text1"/>
          <w:sz w:val="30"/>
          <w:szCs w:val="30"/>
        </w:rPr>
        <w:t>《</w:t>
      </w:r>
      <w:r>
        <w:rPr>
          <w:rFonts w:hint="eastAsia" w:ascii="Times New Roman" w:hAnsi="Times New Roman" w:eastAsia="宋体" w:cs="Times New Roman"/>
          <w:b/>
          <w:color w:val="000000" w:themeColor="text1"/>
          <w:sz w:val="30"/>
          <w:szCs w:val="30"/>
        </w:rPr>
        <w:t>傅立叶红外气体分析仪</w:t>
      </w:r>
      <w:r>
        <w:rPr>
          <w:rFonts w:ascii="Times New Roman" w:hAnsi="Times New Roman" w:eastAsia="宋体" w:cs="Times New Roman"/>
          <w:b/>
          <w:color w:val="000000" w:themeColor="text1"/>
          <w:sz w:val="30"/>
          <w:szCs w:val="30"/>
        </w:rPr>
        <w:t>校准规范》</w:t>
      </w:r>
    </w:p>
    <w:p>
      <w:pPr>
        <w:ind w:firstLine="602"/>
        <w:jc w:val="center"/>
        <w:rPr>
          <w:rFonts w:ascii="Times New Roman" w:hAnsi="Times New Roman" w:eastAsia="宋体" w:cs="Times New Roman"/>
          <w:b/>
          <w:color w:val="000000" w:themeColor="text1"/>
          <w:sz w:val="30"/>
          <w:szCs w:val="30"/>
        </w:rPr>
      </w:pPr>
      <w:r>
        <w:rPr>
          <w:rFonts w:ascii="Times New Roman" w:hAnsi="Times New Roman" w:eastAsia="宋体" w:cs="Times New Roman"/>
          <w:b/>
          <w:color w:val="000000" w:themeColor="text1"/>
          <w:sz w:val="30"/>
          <w:szCs w:val="30"/>
        </w:rPr>
        <w:t>(征求意见稿)</w:t>
      </w:r>
    </w:p>
    <w:p>
      <w:pPr>
        <w:ind w:firstLine="602"/>
        <w:jc w:val="center"/>
        <w:rPr>
          <w:rFonts w:ascii="Times New Roman" w:hAnsi="Times New Roman" w:eastAsia="宋体" w:cs="Times New Roman"/>
          <w:b/>
          <w:color w:val="000000" w:themeColor="text1"/>
          <w:sz w:val="30"/>
          <w:szCs w:val="30"/>
        </w:rPr>
      </w:pPr>
      <w:r>
        <w:rPr>
          <w:rFonts w:ascii="Times New Roman" w:hAnsi="Times New Roman" w:eastAsia="宋体" w:cs="Times New Roman"/>
          <w:b/>
          <w:color w:val="000000" w:themeColor="text1"/>
          <w:sz w:val="30"/>
          <w:szCs w:val="30"/>
        </w:rPr>
        <w:t>编制说明</w:t>
      </w:r>
    </w:p>
    <w:p>
      <w:pPr>
        <w:pStyle w:val="12"/>
        <w:numPr>
          <w:ilvl w:val="0"/>
          <w:numId w:val="1"/>
        </w:numPr>
        <w:tabs>
          <w:tab w:val="left" w:pos="0"/>
          <w:tab w:val="left" w:pos="567"/>
          <w:tab w:val="clear" w:pos="480"/>
        </w:tabs>
        <w:ind w:left="0" w:firstLine="0" w:firstLineChars="0"/>
        <w:rPr>
          <w:rFonts w:ascii="Times New Roman" w:hAnsi="Times New Roman" w:eastAsia="宋体" w:cs="Times New Roman"/>
        </w:rPr>
      </w:pPr>
      <w:r>
        <w:rPr>
          <w:rFonts w:ascii="Times New Roman" w:hAnsi="Times New Roman" w:eastAsia="宋体" w:cs="Times New Roman"/>
        </w:rPr>
        <w:t>任务来源</w:t>
      </w:r>
    </w:p>
    <w:p>
      <w:pPr>
        <w:pStyle w:val="12"/>
        <w:tabs>
          <w:tab w:val="left" w:pos="567"/>
        </w:tabs>
        <w:ind w:firstLine="480"/>
        <w:rPr>
          <w:rFonts w:ascii="Times New Roman" w:hAnsi="Times New Roman" w:eastAsia="宋体" w:cs="Times New Roman"/>
        </w:rPr>
      </w:pPr>
      <w:r>
        <w:rPr>
          <w:rFonts w:ascii="Times New Roman" w:hAnsi="Times New Roman" w:eastAsia="宋体" w:cs="Times New Roman"/>
        </w:rPr>
        <w:t>依据《广西壮族自治区市场监督管理局关于发布</w:t>
      </w:r>
      <w:r>
        <w:rPr>
          <w:rFonts w:hint="eastAsia" w:ascii="Times New Roman" w:hAnsi="Times New Roman" w:eastAsia="宋体" w:cs="Times New Roman"/>
          <w:lang w:val="en-US" w:eastAsia="zh-CN"/>
        </w:rPr>
        <w:t>2025年度</w:t>
      </w:r>
      <w:r>
        <w:rPr>
          <w:rFonts w:ascii="Times New Roman" w:hAnsi="Times New Roman" w:eastAsia="宋体" w:cs="Times New Roman"/>
        </w:rPr>
        <w:t>广西地方</w:t>
      </w:r>
      <w:r>
        <w:rPr>
          <w:rFonts w:hint="eastAsia" w:ascii="Times New Roman" w:hAnsi="Times New Roman" w:eastAsia="宋体" w:cs="Times New Roman"/>
          <w:lang w:eastAsia="zh-CN"/>
        </w:rPr>
        <w:t>计量</w:t>
      </w:r>
      <w:r>
        <w:rPr>
          <w:rFonts w:ascii="Times New Roman" w:hAnsi="Times New Roman" w:eastAsia="宋体" w:cs="Times New Roman"/>
        </w:rPr>
        <w:t>技术规范制修订计划的通告（202</w:t>
      </w:r>
      <w:r>
        <w:rPr>
          <w:rFonts w:hint="eastAsia" w:ascii="Times New Roman" w:hAnsi="Times New Roman" w:eastAsia="宋体" w:cs="Times New Roman"/>
        </w:rPr>
        <w:t>4</w:t>
      </w:r>
      <w:r>
        <w:rPr>
          <w:rFonts w:ascii="Times New Roman" w:hAnsi="Times New Roman" w:eastAsia="宋体" w:cs="Times New Roman"/>
        </w:rPr>
        <w:t>年第</w:t>
      </w:r>
      <w:r>
        <w:rPr>
          <w:rFonts w:hint="eastAsia" w:ascii="Times New Roman" w:hAnsi="Times New Roman" w:eastAsia="宋体" w:cs="Times New Roman"/>
        </w:rPr>
        <w:t>1</w:t>
      </w:r>
      <w:r>
        <w:rPr>
          <w:rFonts w:hint="eastAsia" w:ascii="Times New Roman" w:hAnsi="Times New Roman" w:eastAsia="宋体" w:cs="Times New Roman"/>
          <w:lang w:val="en-US" w:eastAsia="zh-CN"/>
        </w:rPr>
        <w:t>36</w:t>
      </w:r>
      <w:r>
        <w:rPr>
          <w:rFonts w:ascii="Times New Roman" w:hAnsi="Times New Roman" w:eastAsia="宋体" w:cs="Times New Roman"/>
        </w:rPr>
        <w:t>期）的要求，由广西壮族自治区计量检测研究院负责《</w:t>
      </w:r>
      <w:bookmarkStart w:id="0" w:name="_GoBack"/>
      <w:bookmarkEnd w:id="0"/>
      <w:r>
        <w:rPr>
          <w:rFonts w:hint="eastAsia" w:ascii="Times New Roman" w:hAnsi="Times New Roman" w:eastAsia="宋体" w:cs="Times New Roman"/>
        </w:rPr>
        <w:t>傅立叶红外气体分析仪</w:t>
      </w:r>
      <w:r>
        <w:rPr>
          <w:rFonts w:ascii="Times New Roman" w:hAnsi="Times New Roman" w:eastAsia="宋体" w:cs="Times New Roman"/>
        </w:rPr>
        <w:t>校准规范》的起草工作。</w:t>
      </w:r>
    </w:p>
    <w:p>
      <w:pPr>
        <w:numPr>
          <w:ilvl w:val="0"/>
          <w:numId w:val="1"/>
        </w:numPr>
        <w:ind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校准规范制定的必要性</w:t>
      </w:r>
    </w:p>
    <w:p>
      <w:pPr>
        <w:ind w:firstLine="480"/>
        <w:rPr>
          <w:rFonts w:ascii="Times New Roman" w:hAnsi="Times New Roman" w:eastAsia="宋体" w:cs="Times New Roman"/>
          <w:color w:val="000000" w:themeColor="text1"/>
        </w:rPr>
      </w:pPr>
      <w:r>
        <w:rPr>
          <w:rFonts w:hint="eastAsia" w:ascii="Times New Roman" w:hAnsi="Times New Roman" w:eastAsia="宋体" w:cs="Times New Roman"/>
          <w:color w:val="000000" w:themeColor="text1"/>
        </w:rPr>
        <w:t>傅立叶红外气体分析仪</w:t>
      </w:r>
      <w:r>
        <w:rPr>
          <w:rFonts w:hint="eastAsia"/>
        </w:rPr>
        <w:t>可广泛应用于煤气化、污水处理、垃圾填埋、新能源行业、钢铁冶金、石油天然气、原铝、环保、电力、水泥等行业和领域</w:t>
      </w:r>
      <w:r>
        <w:rPr>
          <w:rFonts w:ascii="Times New Roman" w:hAnsi="Times New Roman" w:eastAsia="宋体" w:cs="Times New Roman"/>
          <w:color w:val="000000" w:themeColor="text1"/>
        </w:rPr>
        <w:t>，</w:t>
      </w:r>
      <w:r>
        <w:rPr>
          <w:rFonts w:hint="eastAsia"/>
        </w:rPr>
        <w:t>傅立叶红外气体分析仪仪器计量准确就能保证环境监测过程污染物排放达标的准确性</w:t>
      </w:r>
      <w:r>
        <w:rPr>
          <w:rFonts w:ascii="Times New Roman" w:hAnsi="Times New Roman" w:eastAsia="宋体" w:cs="Times New Roman"/>
          <w:color w:val="000000" w:themeColor="text1"/>
        </w:rPr>
        <w:t>。然而目前全国范围内尚无针对这类仪器的计量技术法规，因此制定本类仪器的校准方法是必要的。</w:t>
      </w:r>
    </w:p>
    <w:p>
      <w:pPr>
        <w:numPr>
          <w:ilvl w:val="0"/>
          <w:numId w:val="1"/>
        </w:numPr>
        <w:ind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规范制定过程</w:t>
      </w:r>
    </w:p>
    <w:p>
      <w:pPr>
        <w:ind w:firstLine="480"/>
        <w:rPr>
          <w:rFonts w:ascii="Times New Roman" w:hAnsi="Times New Roman" w:eastAsia="宋体" w:cs="Times New Roman"/>
        </w:rPr>
      </w:pPr>
      <w:r>
        <w:rPr>
          <w:rFonts w:ascii="Times New Roman" w:hAnsi="Times New Roman" w:eastAsia="宋体" w:cs="Times New Roman"/>
        </w:rPr>
        <w:t>202</w:t>
      </w:r>
      <w:r>
        <w:rPr>
          <w:rFonts w:hint="eastAsia" w:ascii="Times New Roman" w:hAnsi="Times New Roman" w:eastAsia="宋体" w:cs="Times New Roman"/>
        </w:rPr>
        <w:t>4</w:t>
      </w:r>
      <w:r>
        <w:rPr>
          <w:rFonts w:ascii="Times New Roman" w:hAnsi="Times New Roman" w:eastAsia="宋体" w:cs="Times New Roman"/>
        </w:rPr>
        <w:t>年</w:t>
      </w:r>
      <w:r>
        <w:rPr>
          <w:rFonts w:hint="eastAsia" w:ascii="Times New Roman" w:hAnsi="Times New Roman" w:eastAsia="宋体" w:cs="Times New Roman"/>
        </w:rPr>
        <w:t>1</w:t>
      </w:r>
      <w:r>
        <w:rPr>
          <w:rFonts w:ascii="Times New Roman" w:hAnsi="Times New Roman" w:eastAsia="宋体" w:cs="Times New Roman"/>
        </w:rPr>
        <w:t>月我院成立规范起草小组并开始前期调研工作。202</w:t>
      </w:r>
      <w:r>
        <w:rPr>
          <w:rFonts w:hint="eastAsia" w:ascii="Times New Roman" w:hAnsi="Times New Roman" w:eastAsia="宋体" w:cs="Times New Roman"/>
        </w:rPr>
        <w:t>4</w:t>
      </w:r>
      <w:r>
        <w:rPr>
          <w:rFonts w:ascii="Times New Roman" w:hAnsi="Times New Roman" w:eastAsia="宋体" w:cs="Times New Roman"/>
        </w:rPr>
        <w:t>年7月开始根据不同厂家不同型号的</w:t>
      </w:r>
      <w:r>
        <w:rPr>
          <w:rFonts w:hint="eastAsia" w:ascii="Times New Roman" w:hAnsi="Times New Roman" w:eastAsia="宋体" w:cs="Times New Roman"/>
        </w:rPr>
        <w:t>傅立叶红外气体分析仪</w:t>
      </w:r>
      <w:r>
        <w:rPr>
          <w:rFonts w:ascii="Times New Roman" w:hAnsi="Times New Roman" w:eastAsia="宋体" w:cs="Times New Roman"/>
        </w:rPr>
        <w:t>进行规范适用性实验，初步确定各项计量技术指标。202</w:t>
      </w:r>
      <w:r>
        <w:rPr>
          <w:rFonts w:hint="eastAsia" w:ascii="Times New Roman" w:hAnsi="Times New Roman" w:eastAsia="宋体" w:cs="Times New Roman"/>
        </w:rPr>
        <w:t>4</w:t>
      </w:r>
      <w:r>
        <w:rPr>
          <w:rFonts w:ascii="Times New Roman" w:hAnsi="Times New Roman" w:eastAsia="宋体" w:cs="Times New Roman"/>
        </w:rPr>
        <w:t>年</w:t>
      </w:r>
      <w:r>
        <w:rPr>
          <w:rFonts w:hint="eastAsia" w:ascii="Times New Roman" w:hAnsi="Times New Roman" w:eastAsia="宋体" w:cs="Times New Roman"/>
        </w:rPr>
        <w:t>12</w:t>
      </w:r>
      <w:r>
        <w:rPr>
          <w:rFonts w:ascii="Times New Roman" w:hAnsi="Times New Roman" w:eastAsia="宋体" w:cs="Times New Roman"/>
        </w:rPr>
        <w:t>月基本确定各项指标并形成校准规范。</w:t>
      </w:r>
    </w:p>
    <w:p>
      <w:pPr>
        <w:numPr>
          <w:ilvl w:val="0"/>
          <w:numId w:val="1"/>
        </w:numPr>
        <w:ind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规范制定的主要技术依据及原则</w:t>
      </w:r>
    </w:p>
    <w:p>
      <w:pPr>
        <w:ind w:firstLine="0"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（一）依据</w:t>
      </w:r>
    </w:p>
    <w:p>
      <w:pPr>
        <w:ind w:firstLine="480"/>
        <w:rPr>
          <w:rFonts w:ascii="Times New Roman" w:hAnsi="Times New Roman" w:eastAsia="Times New Roman" w:cs="Times New Roman"/>
          <w:szCs w:val="24"/>
        </w:rPr>
      </w:pPr>
      <w:r>
        <w:rPr>
          <w:rFonts w:ascii="Times New Roman" w:hAnsi="Times New Roman" w:eastAsia="宋体" w:cs="Times New Roman"/>
          <w:color w:val="000000" w:themeColor="text1"/>
        </w:rPr>
        <w:t>《</w:t>
      </w:r>
      <w:r>
        <w:rPr>
          <w:rFonts w:hint="eastAsia" w:ascii="Times New Roman" w:hAnsi="Times New Roman" w:eastAsia="宋体" w:cs="Times New Roman"/>
          <w:color w:val="000000" w:themeColor="text1"/>
        </w:rPr>
        <w:t>傅立叶红外气体分析仪</w:t>
      </w:r>
      <w:r>
        <w:rPr>
          <w:rFonts w:ascii="Times New Roman" w:hAnsi="Times New Roman" w:eastAsia="宋体" w:cs="Times New Roman"/>
          <w:color w:val="000000" w:themeColor="text1"/>
        </w:rPr>
        <w:t>校准规范》主要参考了</w:t>
      </w:r>
      <w:r>
        <w:rPr>
          <w:rFonts w:ascii="宋体" w:hAnsi="宋体" w:eastAsia="宋体" w:cs="宋体"/>
          <w:spacing w:val="-39"/>
          <w:szCs w:val="24"/>
        </w:rPr>
        <w:t xml:space="preserve"> </w:t>
      </w:r>
      <w:r>
        <w:rPr>
          <w:rFonts w:ascii="Times New Roman" w:hAnsi="Times New Roman" w:eastAsia="Times New Roman" w:cs="Times New Roman"/>
          <w:spacing w:val="-4"/>
          <w:szCs w:val="24"/>
        </w:rPr>
        <w:t>JJG</w:t>
      </w:r>
      <w:r>
        <w:rPr>
          <w:rFonts w:ascii="Times New Roman" w:hAnsi="Times New Roman" w:eastAsia="Times New Roman" w:cs="Times New Roman"/>
          <w:spacing w:val="27"/>
          <w:szCs w:val="24"/>
        </w:rPr>
        <w:t xml:space="preserve"> </w:t>
      </w:r>
      <w:r>
        <w:rPr>
          <w:rFonts w:ascii="Times New Roman" w:hAnsi="Times New Roman" w:eastAsia="Times New Roman" w:cs="Times New Roman"/>
          <w:spacing w:val="-4"/>
          <w:szCs w:val="24"/>
        </w:rPr>
        <w:t>968-2002</w:t>
      </w:r>
      <w:r>
        <w:rPr>
          <w:rFonts w:ascii="宋体" w:hAnsi="宋体" w:eastAsia="宋体" w:cs="宋体"/>
          <w:spacing w:val="-4"/>
          <w:szCs w:val="24"/>
        </w:rPr>
        <w:t>《烟气分析仪》、</w:t>
      </w:r>
      <w:r>
        <w:rPr>
          <w:rFonts w:ascii="宋体" w:hAnsi="宋体" w:eastAsia="宋体" w:cs="宋体"/>
          <w:spacing w:val="-39"/>
          <w:szCs w:val="24"/>
        </w:rPr>
        <w:t xml:space="preserve"> </w:t>
      </w:r>
      <w:r>
        <w:rPr>
          <w:rFonts w:ascii="Times New Roman" w:hAnsi="Times New Roman" w:eastAsia="Times New Roman" w:cs="Times New Roman"/>
          <w:spacing w:val="-4"/>
          <w:szCs w:val="24"/>
        </w:rPr>
        <w:t>HJ</w:t>
      </w:r>
      <w:r>
        <w:rPr>
          <w:rFonts w:ascii="Times New Roman" w:hAnsi="Times New Roman" w:eastAsia="Times New Roman" w:cs="Times New Roman"/>
          <w:spacing w:val="47"/>
          <w:szCs w:val="24"/>
        </w:rPr>
        <w:t xml:space="preserve"> </w:t>
      </w:r>
      <w:r>
        <w:rPr>
          <w:rFonts w:ascii="Times New Roman" w:hAnsi="Times New Roman" w:eastAsia="Times New Roman" w:cs="Times New Roman"/>
          <w:spacing w:val="-4"/>
          <w:szCs w:val="24"/>
        </w:rPr>
        <w:t>1011-2018</w:t>
      </w:r>
      <w:r>
        <w:rPr>
          <w:rFonts w:ascii="宋体" w:hAnsi="宋体" w:eastAsia="宋体" w:cs="宋体"/>
          <w:spacing w:val="-4"/>
          <w:szCs w:val="24"/>
        </w:rPr>
        <w:t>《环境空气和废</w:t>
      </w:r>
      <w:r>
        <w:rPr>
          <w:rFonts w:ascii="宋体" w:hAnsi="宋体" w:eastAsia="宋体" w:cs="宋体"/>
          <w:spacing w:val="11"/>
          <w:szCs w:val="24"/>
        </w:rPr>
        <w:t>气 挥发性有机物组分便携式傅里叶红外监测仪技术要</w:t>
      </w:r>
      <w:r>
        <w:rPr>
          <w:rFonts w:ascii="宋体" w:hAnsi="宋体" w:eastAsia="宋体" w:cs="宋体"/>
          <w:spacing w:val="10"/>
          <w:szCs w:val="24"/>
        </w:rPr>
        <w:t xml:space="preserve">求及检测方法》和 </w:t>
      </w:r>
      <w:r>
        <w:rPr>
          <w:rFonts w:ascii="Times New Roman" w:hAnsi="Times New Roman" w:eastAsia="Times New Roman" w:cs="Times New Roman"/>
          <w:szCs w:val="24"/>
        </w:rPr>
        <w:t xml:space="preserve">HJ </w:t>
      </w:r>
      <w:r>
        <w:rPr>
          <w:rFonts w:ascii="Times New Roman" w:hAnsi="Times New Roman" w:eastAsia="Times New Roman" w:cs="Times New Roman"/>
          <w:spacing w:val="-4"/>
          <w:szCs w:val="24"/>
        </w:rPr>
        <w:t>1240-2021</w:t>
      </w:r>
      <w:r>
        <w:rPr>
          <w:rFonts w:ascii="宋体" w:hAnsi="宋体" w:eastAsia="宋体" w:cs="宋体"/>
          <w:spacing w:val="-4"/>
          <w:szCs w:val="24"/>
        </w:rPr>
        <w:t>《固定污染源废气 气态污染物（</w:t>
      </w:r>
      <w:r>
        <w:rPr>
          <w:rFonts w:ascii="Times New Roman" w:hAnsi="Times New Roman" w:eastAsia="Times New Roman" w:cs="Times New Roman"/>
          <w:spacing w:val="-4"/>
          <w:szCs w:val="24"/>
        </w:rPr>
        <w:t>SO</w:t>
      </w:r>
      <w:r>
        <w:rPr>
          <w:rFonts w:ascii="Times New Roman" w:hAnsi="Times New Roman" w:eastAsia="Times New Roman" w:cs="Times New Roman"/>
          <w:spacing w:val="-4"/>
          <w:position w:val="-3"/>
          <w:sz w:val="16"/>
          <w:szCs w:val="16"/>
        </w:rPr>
        <w:t>2</w:t>
      </w:r>
      <w:r>
        <w:rPr>
          <w:rFonts w:ascii="Times New Roman" w:hAnsi="Times New Roman" w:eastAsia="Times New Roman" w:cs="Times New Roman"/>
          <w:spacing w:val="-13"/>
          <w:position w:val="-3"/>
          <w:sz w:val="16"/>
          <w:szCs w:val="16"/>
        </w:rPr>
        <w:t xml:space="preserve"> </w:t>
      </w:r>
      <w:r>
        <w:rPr>
          <w:rFonts w:ascii="宋体" w:hAnsi="宋体" w:eastAsia="宋体" w:cs="宋体"/>
          <w:spacing w:val="-4"/>
          <w:szCs w:val="24"/>
        </w:rPr>
        <w:t>、</w:t>
      </w:r>
      <w:r>
        <w:rPr>
          <w:rFonts w:ascii="Times New Roman" w:hAnsi="Times New Roman" w:eastAsia="Times New Roman" w:cs="Times New Roman"/>
          <w:spacing w:val="-4"/>
          <w:szCs w:val="24"/>
        </w:rPr>
        <w:t>NO</w:t>
      </w:r>
      <w:r>
        <w:rPr>
          <w:rFonts w:ascii="Times New Roman" w:hAnsi="Times New Roman" w:eastAsia="Times New Roman" w:cs="Times New Roman"/>
          <w:spacing w:val="-34"/>
          <w:szCs w:val="24"/>
        </w:rPr>
        <w:t xml:space="preserve"> </w:t>
      </w:r>
      <w:r>
        <w:rPr>
          <w:rFonts w:ascii="宋体" w:hAnsi="宋体" w:eastAsia="宋体" w:cs="宋体"/>
          <w:spacing w:val="-4"/>
          <w:szCs w:val="24"/>
        </w:rPr>
        <w:t>、</w:t>
      </w:r>
      <w:r>
        <w:rPr>
          <w:rFonts w:ascii="Times New Roman" w:hAnsi="Times New Roman" w:eastAsia="Times New Roman" w:cs="Times New Roman"/>
          <w:spacing w:val="-4"/>
          <w:szCs w:val="24"/>
        </w:rPr>
        <w:t>NO</w:t>
      </w:r>
      <w:r>
        <w:rPr>
          <w:rFonts w:ascii="Times New Roman" w:hAnsi="Times New Roman" w:eastAsia="Times New Roman" w:cs="Times New Roman"/>
          <w:spacing w:val="-4"/>
          <w:position w:val="-3"/>
          <w:sz w:val="16"/>
          <w:szCs w:val="16"/>
        </w:rPr>
        <w:t>2</w:t>
      </w:r>
      <w:r>
        <w:rPr>
          <w:rFonts w:ascii="Times New Roman" w:hAnsi="Times New Roman" w:eastAsia="Times New Roman" w:cs="Times New Roman"/>
          <w:spacing w:val="-13"/>
          <w:position w:val="-3"/>
          <w:sz w:val="16"/>
          <w:szCs w:val="16"/>
        </w:rPr>
        <w:t xml:space="preserve"> </w:t>
      </w:r>
      <w:r>
        <w:rPr>
          <w:rFonts w:ascii="宋体" w:hAnsi="宋体" w:eastAsia="宋体" w:cs="宋体"/>
          <w:spacing w:val="-4"/>
          <w:szCs w:val="24"/>
        </w:rPr>
        <w:t>、</w:t>
      </w:r>
      <w:r>
        <w:rPr>
          <w:rFonts w:ascii="Times New Roman" w:hAnsi="Times New Roman" w:eastAsia="Times New Roman" w:cs="Times New Roman"/>
          <w:spacing w:val="-4"/>
          <w:szCs w:val="24"/>
        </w:rPr>
        <w:t>CO</w:t>
      </w:r>
      <w:r>
        <w:rPr>
          <w:rFonts w:ascii="Times New Roman" w:hAnsi="Times New Roman" w:eastAsia="Times New Roman" w:cs="Times New Roman"/>
          <w:spacing w:val="-34"/>
          <w:szCs w:val="24"/>
        </w:rPr>
        <w:t xml:space="preserve"> </w:t>
      </w:r>
      <w:r>
        <w:rPr>
          <w:rFonts w:ascii="宋体" w:hAnsi="宋体" w:eastAsia="宋体" w:cs="宋体"/>
          <w:spacing w:val="-4"/>
          <w:szCs w:val="24"/>
        </w:rPr>
        <w:t>、</w:t>
      </w:r>
      <w:r>
        <w:rPr>
          <w:rFonts w:ascii="Times New Roman" w:hAnsi="Times New Roman" w:eastAsia="Times New Roman" w:cs="Times New Roman"/>
          <w:spacing w:val="-5"/>
          <w:szCs w:val="24"/>
        </w:rPr>
        <w:t>CO</w:t>
      </w:r>
      <w:r>
        <w:rPr>
          <w:rFonts w:ascii="Times New Roman" w:hAnsi="Times New Roman" w:eastAsia="Times New Roman" w:cs="Times New Roman"/>
          <w:spacing w:val="-5"/>
          <w:position w:val="-3"/>
          <w:sz w:val="16"/>
          <w:szCs w:val="16"/>
        </w:rPr>
        <w:t xml:space="preserve">2 </w:t>
      </w:r>
      <w:r>
        <w:rPr>
          <w:rFonts w:ascii="宋体" w:hAnsi="宋体" w:eastAsia="宋体" w:cs="宋体"/>
          <w:spacing w:val="-5"/>
          <w:szCs w:val="24"/>
        </w:rPr>
        <w:t>）的测定</w:t>
      </w:r>
      <w:r>
        <w:rPr>
          <w:rFonts w:ascii="宋体" w:hAnsi="宋体" w:eastAsia="宋体" w:cs="宋体"/>
          <w:szCs w:val="24"/>
        </w:rPr>
        <w:t>便携式傅立叶变换红外光谱法》以及</w:t>
      </w:r>
      <w:r>
        <w:rPr>
          <w:rFonts w:hint="eastAsia" w:ascii="Times New Roman" w:hAnsi="Times New Roman" w:eastAsia="Times New Roman" w:cs="Times New Roman"/>
          <w:szCs w:val="24"/>
        </w:rPr>
        <w:t>HJ1330-2023</w:t>
      </w:r>
      <w:r>
        <w:rPr>
          <w:rFonts w:ascii="宋体" w:hAnsi="宋体" w:eastAsia="宋体" w:cs="宋体"/>
          <w:spacing w:val="-4"/>
          <w:szCs w:val="24"/>
        </w:rPr>
        <w:t>《固定污染源废气</w:t>
      </w:r>
      <w:r>
        <w:rPr>
          <w:rFonts w:hint="eastAsia" w:ascii="宋体" w:hAnsi="宋体" w:eastAsia="宋体" w:cs="宋体"/>
          <w:spacing w:val="-4"/>
          <w:szCs w:val="24"/>
          <w:lang w:val="en-US" w:eastAsia="zh-CN"/>
        </w:rPr>
        <w:t xml:space="preserve"> </w:t>
      </w:r>
      <w:r>
        <w:rPr>
          <w:rFonts w:hint="eastAsia" w:ascii="宋体" w:hAnsi="宋体" w:eastAsia="宋体" w:cs="宋体"/>
          <w:spacing w:val="-4"/>
          <w:szCs w:val="24"/>
        </w:rPr>
        <w:t xml:space="preserve">氨和氯化氢的测定 </w:t>
      </w:r>
      <w:r>
        <w:rPr>
          <w:rFonts w:ascii="宋体" w:hAnsi="宋体" w:eastAsia="宋体" w:cs="宋体"/>
          <w:szCs w:val="24"/>
        </w:rPr>
        <w:t>便携式傅立叶变换红外光谱法》</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。并依据《JJF1071-2010国家计量校准规范编写规则》完成本规范的制定。</w:t>
      </w:r>
    </w:p>
    <w:p>
      <w:pPr>
        <w:ind w:firstLine="0"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（二）原则</w:t>
      </w:r>
    </w:p>
    <w:p>
      <w:pPr>
        <w:ind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1. 架构</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根据《JJF1071-2010国家计量校准规范编写规则》的要求，本规范架构上包括范围、引用文件、概述、计量特性、校准条件、校准项目和校准方法、附录等几个部分。</w:t>
      </w:r>
    </w:p>
    <w:p>
      <w:pPr>
        <w:pStyle w:val="12"/>
        <w:numPr>
          <w:ilvl w:val="0"/>
          <w:numId w:val="2"/>
        </w:numPr>
        <w:ind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计量特性确定原则</w:t>
      </w:r>
    </w:p>
    <w:p>
      <w:pPr>
        <w:ind w:firstLine="480"/>
        <w:rPr>
          <w:rFonts w:ascii="Times New Roman" w:hAnsi="Times New Roman" w:eastAsia="宋体" w:cs="Times New Roman"/>
          <w:color w:val="000000" w:themeColor="text1"/>
        </w:rPr>
      </w:pPr>
      <w:r>
        <w:rPr>
          <w:rFonts w:hint="eastAsia" w:ascii="Times New Roman" w:hAnsi="Times New Roman" w:eastAsia="宋体" w:cs="Times New Roman"/>
          <w:color w:val="000000" w:themeColor="text1"/>
        </w:rPr>
        <w:t>漂移的测量主要</w:t>
      </w:r>
      <w:r>
        <w:rPr>
          <w:rFonts w:ascii="Times New Roman" w:hAnsi="Times New Roman" w:eastAsia="宋体" w:cs="Times New Roman"/>
          <w:color w:val="000000" w:themeColor="text1"/>
        </w:rPr>
        <w:t>参考</w:t>
      </w:r>
      <w:r>
        <w:rPr>
          <w:rFonts w:ascii="Times New Roman" w:hAnsi="Times New Roman" w:eastAsia="Times New Roman" w:cs="Times New Roman"/>
          <w:spacing w:val="-4"/>
          <w:szCs w:val="24"/>
        </w:rPr>
        <w:t>HJ</w:t>
      </w:r>
      <w:r>
        <w:rPr>
          <w:rFonts w:ascii="Times New Roman" w:hAnsi="Times New Roman" w:eastAsia="Times New Roman" w:cs="Times New Roman"/>
          <w:spacing w:val="47"/>
          <w:szCs w:val="24"/>
        </w:rPr>
        <w:t xml:space="preserve"> </w:t>
      </w:r>
      <w:r>
        <w:rPr>
          <w:rFonts w:ascii="Times New Roman" w:hAnsi="Times New Roman" w:eastAsia="Times New Roman" w:cs="Times New Roman"/>
          <w:spacing w:val="-4"/>
          <w:szCs w:val="24"/>
        </w:rPr>
        <w:t>1011-2018</w:t>
      </w:r>
      <w:r>
        <w:rPr>
          <w:rFonts w:ascii="宋体" w:hAnsi="宋体" w:eastAsia="宋体" w:cs="宋体"/>
          <w:spacing w:val="-4"/>
          <w:szCs w:val="24"/>
        </w:rPr>
        <w:t>《环境空气和废</w:t>
      </w:r>
      <w:r>
        <w:rPr>
          <w:rFonts w:ascii="宋体" w:hAnsi="宋体" w:eastAsia="宋体" w:cs="宋体"/>
          <w:spacing w:val="11"/>
          <w:szCs w:val="24"/>
        </w:rPr>
        <w:t>气 挥发性有机物组分便携式傅里叶红外监测仪技术要</w:t>
      </w:r>
      <w:r>
        <w:rPr>
          <w:rFonts w:ascii="宋体" w:hAnsi="宋体" w:eastAsia="宋体" w:cs="宋体"/>
          <w:spacing w:val="10"/>
          <w:szCs w:val="24"/>
        </w:rPr>
        <w:t>求及检测方法》</w:t>
      </w:r>
      <w:r>
        <w:rPr>
          <w:rFonts w:ascii="Times New Roman" w:hAnsi="Times New Roman" w:eastAsia="宋体" w:cs="Times New Roman"/>
          <w:color w:val="000000" w:themeColor="text1"/>
        </w:rPr>
        <w:t>，</w:t>
      </w:r>
      <w:r>
        <w:rPr>
          <w:rFonts w:hint="eastAsia" w:ascii="Times New Roman" w:hAnsi="Times New Roman" w:eastAsia="宋体" w:cs="Times New Roman"/>
          <w:color w:val="000000" w:themeColor="text1"/>
        </w:rPr>
        <w:t>示值误差、重复性、响应时间主要参考</w:t>
      </w:r>
      <w:r>
        <w:rPr>
          <w:rFonts w:ascii="Times New Roman" w:hAnsi="Times New Roman" w:eastAsia="Times New Roman" w:cs="Times New Roman"/>
          <w:spacing w:val="-4"/>
          <w:szCs w:val="24"/>
        </w:rPr>
        <w:t>JJG</w:t>
      </w:r>
      <w:r>
        <w:rPr>
          <w:rFonts w:ascii="Times New Roman" w:hAnsi="Times New Roman" w:eastAsia="Times New Roman" w:cs="Times New Roman"/>
          <w:spacing w:val="27"/>
          <w:szCs w:val="24"/>
        </w:rPr>
        <w:t xml:space="preserve"> </w:t>
      </w:r>
      <w:r>
        <w:rPr>
          <w:rFonts w:ascii="Times New Roman" w:hAnsi="Times New Roman" w:eastAsia="Times New Roman" w:cs="Times New Roman"/>
          <w:spacing w:val="-4"/>
          <w:szCs w:val="24"/>
        </w:rPr>
        <w:t>968-2002</w:t>
      </w:r>
      <w:r>
        <w:rPr>
          <w:rFonts w:ascii="宋体" w:hAnsi="宋体" w:eastAsia="宋体" w:cs="宋体"/>
          <w:spacing w:val="-4"/>
          <w:szCs w:val="24"/>
        </w:rPr>
        <w:t>《烟气分析仪》</w:t>
      </w:r>
      <w:r>
        <w:rPr>
          <w:rFonts w:hint="eastAsia" w:ascii="Times New Roman" w:hAnsi="Times New Roman" w:eastAsia="宋体" w:cs="Times New Roman"/>
          <w:color w:val="000000" w:themeColor="text1"/>
        </w:rPr>
        <w:t>对烟气分析仪的要求</w:t>
      </w:r>
      <w:r>
        <w:rPr>
          <w:rFonts w:ascii="Times New Roman" w:hAnsi="Times New Roman" w:eastAsia="宋体" w:cs="Times New Roman"/>
          <w:color w:val="000000" w:themeColor="text1"/>
        </w:rPr>
        <w:t>，结合仪器厂家说明书</w:t>
      </w:r>
      <w:r>
        <w:rPr>
          <w:rFonts w:hint="eastAsia" w:ascii="Times New Roman" w:hAnsi="Times New Roman" w:eastAsia="宋体" w:cs="Times New Roman"/>
          <w:color w:val="000000" w:themeColor="text1"/>
        </w:rPr>
        <w:t>，</w:t>
      </w:r>
      <w:r>
        <w:rPr>
          <w:rFonts w:ascii="Times New Roman" w:hAnsi="Times New Roman" w:eastAsia="宋体" w:cs="Times New Roman"/>
          <w:color w:val="000000" w:themeColor="text1"/>
        </w:rPr>
        <w:t>确定了计量特性要求。</w:t>
      </w:r>
    </w:p>
    <w:p>
      <w:pPr>
        <w:numPr>
          <w:ilvl w:val="0"/>
          <w:numId w:val="1"/>
        </w:numPr>
        <w:ind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规范制定说明</w:t>
      </w:r>
    </w:p>
    <w:p>
      <w:pPr>
        <w:pStyle w:val="12"/>
        <w:numPr>
          <w:ilvl w:val="0"/>
          <w:numId w:val="3"/>
        </w:numPr>
        <w:ind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范围</w:t>
      </w:r>
    </w:p>
    <w:p>
      <w:pPr>
        <w:snapToGrid w:val="0"/>
        <w:ind w:firstLine="480"/>
        <w:rPr>
          <w:rFonts w:ascii="Times New Roman" w:hAnsi="Times New Roman" w:eastAsia="宋体" w:cs="Times New Roman"/>
          <w:color w:val="FF0000"/>
        </w:rPr>
      </w:pPr>
      <w:r>
        <w:rPr>
          <w:rFonts w:ascii="Times New Roman" w:hAnsi="Times New Roman" w:eastAsia="宋体" w:cs="Times New Roman"/>
          <w:color w:val="000000"/>
        </w:rPr>
        <w:t>本规范适用于</w:t>
      </w:r>
      <w:r>
        <w:rPr>
          <w:rFonts w:hint="eastAsia" w:ascii="Times New Roman" w:hAnsi="Times New Roman" w:eastAsia="宋体" w:cs="Times New Roman"/>
          <w:color w:val="000000"/>
        </w:rPr>
        <w:t>O</w:t>
      </w:r>
      <w:r>
        <w:rPr>
          <w:rFonts w:hint="eastAsia" w:ascii="Times New Roman" w:hAnsi="Times New Roman" w:eastAsia="宋体" w:cs="Times New Roman"/>
          <w:color w:val="000000"/>
          <w:vertAlign w:val="subscript"/>
        </w:rPr>
        <w:t>2</w:t>
      </w:r>
      <w:r>
        <w:rPr>
          <w:rFonts w:ascii="Times New Roman" w:hAnsi="Times New Roman" w:eastAsia="宋体" w:cs="Times New Roman"/>
          <w:color w:val="000000"/>
        </w:rPr>
        <w:t>（</w:t>
      </w:r>
      <w:r>
        <w:rPr>
          <w:rFonts w:hint="eastAsia" w:ascii="Times New Roman" w:hAnsi="Times New Roman" w:eastAsia="宋体" w:cs="Times New Roman"/>
          <w:color w:val="000000"/>
        </w:rPr>
        <w:t>0~30</w:t>
      </w:r>
      <w:r>
        <w:rPr>
          <w:rFonts w:ascii="Times New Roman" w:hAnsi="Times New Roman" w:eastAsia="宋体" w:cs="Times New Roman"/>
          <w:color w:val="000000"/>
        </w:rPr>
        <w:t>）</w:t>
      </w:r>
      <w:r>
        <w:rPr>
          <w:rFonts w:hint="eastAsia" w:ascii="Times New Roman" w:hAnsi="Times New Roman" w:eastAsia="宋体" w:cs="Times New Roman"/>
          <w:color w:val="000000"/>
        </w:rPr>
        <w:t>%，CO</w:t>
      </w:r>
      <w:r>
        <w:rPr>
          <w:rFonts w:ascii="Times New Roman" w:hAnsi="Times New Roman" w:eastAsia="宋体" w:cs="Times New Roman"/>
          <w:color w:val="000000"/>
        </w:rPr>
        <w:t>（</w:t>
      </w:r>
      <w:r>
        <w:rPr>
          <w:rFonts w:hint="eastAsia" w:ascii="Times New Roman" w:hAnsi="Times New Roman" w:eastAsia="宋体" w:cs="Times New Roman"/>
          <w:color w:val="000000"/>
        </w:rPr>
        <w:t>0~500</w:t>
      </w:r>
      <w:r>
        <w:rPr>
          <w:rFonts w:ascii="Times New Roman" w:hAnsi="Times New Roman" w:eastAsia="宋体" w:cs="Times New Roman"/>
          <w:color w:val="000000"/>
        </w:rPr>
        <w:t>）</w:t>
      </w:r>
      <w:r>
        <w:rPr>
          <w:rFonts w:hint="eastAsia" w:ascii="Times New Roman" w:hAnsi="Times New Roman" w:eastAsia="宋体" w:cs="Times New Roman"/>
          <w:color w:val="000000"/>
        </w:rPr>
        <w:t>×10</w:t>
      </w:r>
      <w:r>
        <w:rPr>
          <w:rFonts w:hint="eastAsia" w:ascii="Times New Roman" w:hAnsi="Times New Roman" w:eastAsia="宋体" w:cs="Times New Roman"/>
          <w:color w:val="000000"/>
          <w:vertAlign w:val="superscript"/>
        </w:rPr>
        <w:t xml:space="preserve">-6 </w:t>
      </w:r>
      <w:r>
        <w:rPr>
          <w:rFonts w:ascii="Times New Roman" w:hAnsi="Times New Roman" w:cs="Times New Roman"/>
          <w:color w:val="000000"/>
        </w:rPr>
        <w:t>mol/mol</w:t>
      </w:r>
      <w:r>
        <w:rPr>
          <w:rFonts w:hint="eastAsia" w:ascii="Times New Roman" w:hAnsi="Times New Roman" w:eastAsia="宋体" w:cs="Times New Roman"/>
          <w:color w:val="000000"/>
        </w:rPr>
        <w:t>，NO</w:t>
      </w:r>
      <w:r>
        <w:rPr>
          <w:rFonts w:ascii="Times New Roman" w:hAnsi="Times New Roman" w:eastAsia="宋体" w:cs="Times New Roman"/>
          <w:color w:val="000000"/>
        </w:rPr>
        <w:t>（</w:t>
      </w:r>
      <w:r>
        <w:rPr>
          <w:rFonts w:hint="eastAsia" w:ascii="Times New Roman" w:hAnsi="Times New Roman" w:eastAsia="宋体" w:cs="Times New Roman"/>
          <w:color w:val="000000"/>
        </w:rPr>
        <w:t>0~500</w:t>
      </w:r>
      <w:r>
        <w:rPr>
          <w:rFonts w:ascii="Times New Roman" w:hAnsi="Times New Roman" w:eastAsia="宋体" w:cs="Times New Roman"/>
          <w:color w:val="000000"/>
        </w:rPr>
        <w:t>）</w:t>
      </w:r>
      <w:r>
        <w:rPr>
          <w:rFonts w:hint="eastAsia" w:ascii="Times New Roman" w:hAnsi="Times New Roman" w:eastAsia="宋体" w:cs="Times New Roman"/>
          <w:color w:val="000000"/>
        </w:rPr>
        <w:t>×10</w:t>
      </w:r>
      <w:r>
        <w:rPr>
          <w:rFonts w:hint="eastAsia" w:ascii="Times New Roman" w:hAnsi="Times New Roman" w:eastAsia="宋体" w:cs="Times New Roman"/>
          <w:color w:val="000000"/>
          <w:vertAlign w:val="superscript"/>
        </w:rPr>
        <w:t xml:space="preserve">-6 </w:t>
      </w:r>
      <w:r>
        <w:rPr>
          <w:rFonts w:ascii="Times New Roman" w:hAnsi="Times New Roman" w:cs="Times New Roman"/>
          <w:color w:val="000000"/>
        </w:rPr>
        <w:t>mol/mol</w:t>
      </w:r>
      <w:r>
        <w:rPr>
          <w:rFonts w:hint="eastAsia" w:ascii="Times New Roman" w:hAnsi="Times New Roman" w:eastAsia="宋体" w:cs="Times New Roman"/>
          <w:color w:val="000000"/>
        </w:rPr>
        <w:t>，SO</w:t>
      </w:r>
      <w:r>
        <w:rPr>
          <w:rFonts w:hint="eastAsia" w:ascii="Times New Roman" w:hAnsi="Times New Roman" w:eastAsia="宋体" w:cs="Times New Roman"/>
          <w:color w:val="000000"/>
          <w:vertAlign w:val="subscript"/>
        </w:rPr>
        <w:t>2</w:t>
      </w:r>
      <w:r>
        <w:rPr>
          <w:rFonts w:ascii="Times New Roman" w:hAnsi="Times New Roman" w:eastAsia="宋体" w:cs="Times New Roman"/>
          <w:color w:val="000000"/>
        </w:rPr>
        <w:t>（</w:t>
      </w:r>
      <w:r>
        <w:rPr>
          <w:rFonts w:hint="eastAsia" w:ascii="Times New Roman" w:hAnsi="Times New Roman" w:eastAsia="宋体" w:cs="Times New Roman"/>
          <w:color w:val="000000"/>
        </w:rPr>
        <w:t>0</w:t>
      </w:r>
      <w:r>
        <w:rPr>
          <w:rFonts w:ascii="Times New Roman" w:hAnsi="Times New Roman" w:eastAsia="宋体" w:cs="Times New Roman"/>
          <w:color w:val="000000"/>
        </w:rPr>
        <w:t>~500）</w:t>
      </w:r>
      <w:r>
        <w:rPr>
          <w:rFonts w:hint="eastAsia" w:ascii="Times New Roman" w:hAnsi="Times New Roman" w:eastAsia="宋体" w:cs="Times New Roman"/>
          <w:color w:val="000000"/>
        </w:rPr>
        <w:t>×10</w:t>
      </w:r>
      <w:r>
        <w:rPr>
          <w:rFonts w:hint="eastAsia" w:ascii="Times New Roman" w:hAnsi="Times New Roman" w:eastAsia="宋体" w:cs="Times New Roman"/>
          <w:color w:val="000000"/>
          <w:vertAlign w:val="superscript"/>
        </w:rPr>
        <w:t xml:space="preserve">-6 </w:t>
      </w:r>
      <w:r>
        <w:rPr>
          <w:rFonts w:ascii="Times New Roman" w:hAnsi="Times New Roman" w:cs="Times New Roman"/>
          <w:color w:val="000000"/>
        </w:rPr>
        <w:t>mol/mol</w:t>
      </w:r>
      <w:r>
        <w:rPr>
          <w:rFonts w:hint="eastAsia" w:ascii="Times New Roman" w:hAnsi="Times New Roman" w:eastAsia="宋体" w:cs="Times New Roman"/>
          <w:color w:val="000000"/>
        </w:rPr>
        <w:t>，NO</w:t>
      </w:r>
      <w:r>
        <w:rPr>
          <w:rFonts w:hint="eastAsia" w:ascii="Times New Roman" w:hAnsi="Times New Roman" w:eastAsia="宋体" w:cs="Times New Roman"/>
          <w:color w:val="000000"/>
          <w:vertAlign w:val="subscript"/>
        </w:rPr>
        <w:t>2</w:t>
      </w:r>
      <w:r>
        <w:rPr>
          <w:rFonts w:ascii="Times New Roman" w:hAnsi="Times New Roman" w:eastAsia="宋体" w:cs="Times New Roman"/>
          <w:color w:val="000000"/>
        </w:rPr>
        <w:t>（</w:t>
      </w:r>
      <w:r>
        <w:rPr>
          <w:rFonts w:hint="eastAsia" w:ascii="Times New Roman" w:hAnsi="Times New Roman" w:eastAsia="宋体" w:cs="Times New Roman"/>
          <w:color w:val="000000"/>
        </w:rPr>
        <w:t>0~5</w:t>
      </w:r>
      <w:r>
        <w:rPr>
          <w:rFonts w:ascii="Times New Roman" w:hAnsi="Times New Roman" w:eastAsia="宋体" w:cs="Times New Roman"/>
          <w:color w:val="000000"/>
        </w:rPr>
        <w:t>00）</w:t>
      </w:r>
      <w:r>
        <w:rPr>
          <w:rFonts w:hint="eastAsia" w:ascii="Times New Roman" w:hAnsi="Times New Roman" w:eastAsia="宋体" w:cs="Times New Roman"/>
          <w:color w:val="000000"/>
        </w:rPr>
        <w:t>×10</w:t>
      </w:r>
      <w:r>
        <w:rPr>
          <w:rFonts w:hint="eastAsia" w:ascii="Times New Roman" w:hAnsi="Times New Roman" w:eastAsia="宋体" w:cs="Times New Roman"/>
          <w:color w:val="000000"/>
          <w:vertAlign w:val="superscript"/>
        </w:rPr>
        <w:t xml:space="preserve">-6 </w:t>
      </w:r>
      <w:r>
        <w:rPr>
          <w:rFonts w:ascii="Times New Roman" w:hAnsi="Times New Roman" w:cs="Times New Roman"/>
          <w:color w:val="000000"/>
        </w:rPr>
        <w:t>mol/mol</w:t>
      </w:r>
      <w:r>
        <w:rPr>
          <w:rFonts w:hint="eastAsia" w:ascii="Times New Roman" w:hAnsi="Times New Roman" w:eastAsia="宋体" w:cs="Times New Roman"/>
          <w:color w:val="000000"/>
        </w:rPr>
        <w:t>，CO</w:t>
      </w:r>
      <w:r>
        <w:rPr>
          <w:rFonts w:hint="eastAsia" w:ascii="Times New Roman" w:hAnsi="Times New Roman" w:eastAsia="宋体" w:cs="Times New Roman"/>
          <w:color w:val="000000"/>
          <w:vertAlign w:val="subscript"/>
        </w:rPr>
        <w:t>2</w:t>
      </w:r>
      <w:r>
        <w:rPr>
          <w:rFonts w:ascii="Times New Roman" w:hAnsi="Times New Roman" w:eastAsia="宋体" w:cs="Times New Roman"/>
          <w:color w:val="000000"/>
        </w:rPr>
        <w:t>（</w:t>
      </w:r>
      <w:r>
        <w:rPr>
          <w:rFonts w:hint="eastAsia" w:ascii="Times New Roman" w:hAnsi="Times New Roman" w:eastAsia="宋体" w:cs="Times New Roman"/>
          <w:color w:val="000000"/>
        </w:rPr>
        <w:t>0~5</w:t>
      </w:r>
      <w:r>
        <w:rPr>
          <w:rFonts w:ascii="Times New Roman" w:hAnsi="Times New Roman" w:eastAsia="宋体" w:cs="Times New Roman"/>
          <w:color w:val="000000"/>
        </w:rPr>
        <w:t>）</w:t>
      </w:r>
      <w:r>
        <w:rPr>
          <w:rFonts w:hint="eastAsia" w:ascii="Times New Roman" w:hAnsi="Times New Roman" w:eastAsia="宋体" w:cs="Times New Roman"/>
          <w:color w:val="000000"/>
        </w:rPr>
        <w:t>%，NH</w:t>
      </w:r>
      <w:r>
        <w:rPr>
          <w:rFonts w:hint="eastAsia" w:ascii="Times New Roman" w:hAnsi="Times New Roman" w:eastAsia="宋体" w:cs="Times New Roman"/>
          <w:color w:val="000000"/>
          <w:vertAlign w:val="subscript"/>
        </w:rPr>
        <w:t>3</w:t>
      </w:r>
      <w:r>
        <w:rPr>
          <w:rFonts w:ascii="Times New Roman" w:hAnsi="Times New Roman" w:eastAsia="宋体" w:cs="Times New Roman"/>
          <w:color w:val="000000"/>
        </w:rPr>
        <w:t>（</w:t>
      </w:r>
      <w:r>
        <w:rPr>
          <w:rFonts w:hint="eastAsia" w:ascii="Times New Roman" w:hAnsi="Times New Roman" w:eastAsia="宋体" w:cs="Times New Roman"/>
          <w:color w:val="000000"/>
        </w:rPr>
        <w:t>0~100</w:t>
      </w:r>
      <w:r>
        <w:rPr>
          <w:rFonts w:ascii="Times New Roman" w:hAnsi="Times New Roman" w:eastAsia="宋体" w:cs="Times New Roman"/>
          <w:color w:val="000000"/>
        </w:rPr>
        <w:t>）</w:t>
      </w:r>
      <w:r>
        <w:rPr>
          <w:rFonts w:hint="eastAsia" w:ascii="Times New Roman" w:hAnsi="Times New Roman" w:eastAsia="宋体" w:cs="Times New Roman"/>
          <w:color w:val="000000"/>
        </w:rPr>
        <w:t>×10</w:t>
      </w:r>
      <w:r>
        <w:rPr>
          <w:rFonts w:hint="eastAsia" w:ascii="Times New Roman" w:hAnsi="Times New Roman" w:eastAsia="宋体" w:cs="Times New Roman"/>
          <w:color w:val="000000"/>
          <w:vertAlign w:val="superscript"/>
        </w:rPr>
        <w:t xml:space="preserve">-6 </w:t>
      </w:r>
      <w:r>
        <w:rPr>
          <w:rFonts w:ascii="Times New Roman" w:hAnsi="Times New Roman" w:cs="Times New Roman"/>
          <w:color w:val="000000"/>
        </w:rPr>
        <w:t>mol/mol</w:t>
      </w:r>
      <w:r>
        <w:rPr>
          <w:rFonts w:ascii="Times New Roman" w:hAnsi="Times New Roman" w:eastAsia="宋体" w:cs="Times New Roman"/>
          <w:color w:val="000000"/>
        </w:rPr>
        <w:t>范围的</w:t>
      </w:r>
      <w:r>
        <w:rPr>
          <w:rFonts w:hint="eastAsia" w:ascii="Times New Roman" w:hAnsi="Times New Roman" w:eastAsia="宋体" w:cs="Times New Roman"/>
          <w:color w:val="000000"/>
        </w:rPr>
        <w:t>傅立叶红外气体分析仪</w:t>
      </w:r>
      <w:r>
        <w:rPr>
          <w:rFonts w:ascii="Times New Roman" w:hAnsi="Times New Roman" w:eastAsia="宋体" w:cs="Times New Roman"/>
          <w:color w:val="000000"/>
        </w:rPr>
        <w:t>的校准。</w:t>
      </w:r>
    </w:p>
    <w:p>
      <w:pPr>
        <w:pStyle w:val="12"/>
        <w:numPr>
          <w:ilvl w:val="0"/>
          <w:numId w:val="3"/>
        </w:numPr>
        <w:ind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引用文件</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本规范引用下列文件：</w:t>
      </w:r>
    </w:p>
    <w:p>
      <w:pPr>
        <w:snapToGrid w:val="0"/>
        <w:ind w:firstLine="464"/>
        <w:rPr>
          <w:rFonts w:ascii="Times New Roman" w:hAnsi="Times New Roman" w:eastAsia="Times New Roman" w:cs="Times New Roman"/>
          <w:spacing w:val="-4"/>
          <w:szCs w:val="24"/>
        </w:rPr>
      </w:pPr>
      <w:r>
        <w:rPr>
          <w:rFonts w:hint="eastAsia" w:ascii="Times New Roman" w:hAnsi="Times New Roman" w:eastAsia="Times New Roman" w:cs="Times New Roman"/>
          <w:spacing w:val="-4"/>
          <w:szCs w:val="24"/>
        </w:rPr>
        <w:t>GB16297-1996</w:t>
      </w:r>
      <w:r>
        <w:rPr>
          <w:rFonts w:hint="eastAsia"/>
        </w:rPr>
        <w:t>《大气污染物综合排放标准》</w:t>
      </w:r>
    </w:p>
    <w:p>
      <w:pPr>
        <w:snapToGrid w:val="0"/>
        <w:ind w:firstLine="464"/>
        <w:rPr>
          <w:rFonts w:ascii="Times New Roman" w:hAnsi="Times New Roman" w:eastAsia="宋体" w:cs="Times New Roman"/>
          <w:color w:val="000000"/>
          <w:highlight w:val="yellow"/>
        </w:rPr>
      </w:pPr>
      <w:r>
        <w:rPr>
          <w:rFonts w:ascii="Times New Roman" w:hAnsi="Times New Roman" w:eastAsia="Times New Roman" w:cs="Times New Roman"/>
          <w:spacing w:val="-4"/>
          <w:szCs w:val="24"/>
        </w:rPr>
        <w:t>HJ</w:t>
      </w:r>
      <w:r>
        <w:rPr>
          <w:rFonts w:ascii="Times New Roman" w:hAnsi="Times New Roman" w:eastAsia="Times New Roman" w:cs="Times New Roman"/>
          <w:spacing w:val="47"/>
          <w:szCs w:val="24"/>
        </w:rPr>
        <w:t xml:space="preserve"> </w:t>
      </w:r>
      <w:r>
        <w:rPr>
          <w:rFonts w:ascii="Times New Roman" w:hAnsi="Times New Roman" w:eastAsia="Times New Roman" w:cs="Times New Roman"/>
          <w:spacing w:val="-4"/>
          <w:szCs w:val="24"/>
        </w:rPr>
        <w:t>1011-2018</w:t>
      </w:r>
      <w:r>
        <w:rPr>
          <w:rFonts w:ascii="宋体" w:hAnsi="宋体" w:eastAsia="宋体" w:cs="宋体"/>
          <w:spacing w:val="-4"/>
          <w:szCs w:val="24"/>
        </w:rPr>
        <w:t>《环境空气和废</w:t>
      </w:r>
      <w:r>
        <w:rPr>
          <w:rFonts w:ascii="宋体" w:hAnsi="宋体" w:eastAsia="宋体" w:cs="宋体"/>
          <w:spacing w:val="11"/>
          <w:szCs w:val="24"/>
        </w:rPr>
        <w:t>气 挥发性有机物组分便携式傅里叶红外监测仪技术要</w:t>
      </w:r>
      <w:r>
        <w:rPr>
          <w:rFonts w:ascii="宋体" w:hAnsi="宋体" w:eastAsia="宋体" w:cs="宋体"/>
          <w:spacing w:val="10"/>
          <w:szCs w:val="24"/>
        </w:rPr>
        <w:t>求及检测方法》</w:t>
      </w:r>
    </w:p>
    <w:p>
      <w:pPr>
        <w:ind w:firstLine="480"/>
        <w:rPr>
          <w:rFonts w:ascii="宋体" w:hAnsi="宋体" w:eastAsia="宋体" w:cs="宋体"/>
          <w:szCs w:val="24"/>
        </w:rPr>
      </w:pPr>
      <w:r>
        <w:rPr>
          <w:rFonts w:ascii="Times New Roman" w:hAnsi="Times New Roman" w:eastAsia="Times New Roman" w:cs="Times New Roman"/>
          <w:szCs w:val="24"/>
        </w:rPr>
        <w:t xml:space="preserve">HJ </w:t>
      </w:r>
      <w:r>
        <w:rPr>
          <w:rFonts w:ascii="Times New Roman" w:hAnsi="Times New Roman" w:eastAsia="Times New Roman" w:cs="Times New Roman"/>
          <w:spacing w:val="-4"/>
          <w:szCs w:val="24"/>
        </w:rPr>
        <w:t>1240-2021</w:t>
      </w:r>
      <w:r>
        <w:rPr>
          <w:rFonts w:ascii="宋体" w:hAnsi="宋体" w:eastAsia="宋体" w:cs="宋体"/>
          <w:spacing w:val="-4"/>
          <w:szCs w:val="24"/>
        </w:rPr>
        <w:t>《固定污染源废气 气态污染物（</w:t>
      </w:r>
      <w:r>
        <w:rPr>
          <w:rFonts w:ascii="Times New Roman" w:hAnsi="Times New Roman" w:eastAsia="Times New Roman" w:cs="Times New Roman"/>
          <w:spacing w:val="-4"/>
          <w:szCs w:val="24"/>
        </w:rPr>
        <w:t>SO</w:t>
      </w:r>
      <w:r>
        <w:rPr>
          <w:rFonts w:ascii="Times New Roman" w:hAnsi="Times New Roman" w:eastAsia="Times New Roman" w:cs="Times New Roman"/>
          <w:spacing w:val="-4"/>
          <w:position w:val="-3"/>
          <w:sz w:val="16"/>
          <w:szCs w:val="16"/>
        </w:rPr>
        <w:t>2</w:t>
      </w:r>
      <w:r>
        <w:rPr>
          <w:rFonts w:ascii="Times New Roman" w:hAnsi="Times New Roman" w:eastAsia="Times New Roman" w:cs="Times New Roman"/>
          <w:spacing w:val="-13"/>
          <w:position w:val="-3"/>
          <w:sz w:val="16"/>
          <w:szCs w:val="16"/>
        </w:rPr>
        <w:t xml:space="preserve"> </w:t>
      </w:r>
      <w:r>
        <w:rPr>
          <w:rFonts w:ascii="宋体" w:hAnsi="宋体" w:eastAsia="宋体" w:cs="宋体"/>
          <w:spacing w:val="-4"/>
          <w:szCs w:val="24"/>
        </w:rPr>
        <w:t>、</w:t>
      </w:r>
      <w:r>
        <w:rPr>
          <w:rFonts w:ascii="Times New Roman" w:hAnsi="Times New Roman" w:eastAsia="Times New Roman" w:cs="Times New Roman"/>
          <w:spacing w:val="-4"/>
          <w:szCs w:val="24"/>
        </w:rPr>
        <w:t>NO</w:t>
      </w:r>
      <w:r>
        <w:rPr>
          <w:rFonts w:ascii="Times New Roman" w:hAnsi="Times New Roman" w:eastAsia="Times New Roman" w:cs="Times New Roman"/>
          <w:spacing w:val="-34"/>
          <w:szCs w:val="24"/>
        </w:rPr>
        <w:t xml:space="preserve"> </w:t>
      </w:r>
      <w:r>
        <w:rPr>
          <w:rFonts w:ascii="宋体" w:hAnsi="宋体" w:eastAsia="宋体" w:cs="宋体"/>
          <w:spacing w:val="-4"/>
          <w:szCs w:val="24"/>
        </w:rPr>
        <w:t>、</w:t>
      </w:r>
      <w:r>
        <w:rPr>
          <w:rFonts w:ascii="Times New Roman" w:hAnsi="Times New Roman" w:eastAsia="Times New Roman" w:cs="Times New Roman"/>
          <w:spacing w:val="-4"/>
          <w:szCs w:val="24"/>
        </w:rPr>
        <w:t>NO</w:t>
      </w:r>
      <w:r>
        <w:rPr>
          <w:rFonts w:ascii="Times New Roman" w:hAnsi="Times New Roman" w:eastAsia="Times New Roman" w:cs="Times New Roman"/>
          <w:spacing w:val="-4"/>
          <w:position w:val="-3"/>
          <w:sz w:val="16"/>
          <w:szCs w:val="16"/>
        </w:rPr>
        <w:t>2</w:t>
      </w:r>
      <w:r>
        <w:rPr>
          <w:rFonts w:ascii="Times New Roman" w:hAnsi="Times New Roman" w:eastAsia="Times New Roman" w:cs="Times New Roman"/>
          <w:spacing w:val="-13"/>
          <w:position w:val="-3"/>
          <w:sz w:val="16"/>
          <w:szCs w:val="16"/>
        </w:rPr>
        <w:t xml:space="preserve"> </w:t>
      </w:r>
      <w:r>
        <w:rPr>
          <w:rFonts w:ascii="宋体" w:hAnsi="宋体" w:eastAsia="宋体" w:cs="宋体"/>
          <w:spacing w:val="-4"/>
          <w:szCs w:val="24"/>
        </w:rPr>
        <w:t>、</w:t>
      </w:r>
      <w:r>
        <w:rPr>
          <w:rFonts w:ascii="Times New Roman" w:hAnsi="Times New Roman" w:eastAsia="Times New Roman" w:cs="Times New Roman"/>
          <w:spacing w:val="-4"/>
          <w:szCs w:val="24"/>
        </w:rPr>
        <w:t>CO</w:t>
      </w:r>
      <w:r>
        <w:rPr>
          <w:rFonts w:ascii="Times New Roman" w:hAnsi="Times New Roman" w:eastAsia="Times New Roman" w:cs="Times New Roman"/>
          <w:spacing w:val="-34"/>
          <w:szCs w:val="24"/>
        </w:rPr>
        <w:t xml:space="preserve"> </w:t>
      </w:r>
      <w:r>
        <w:rPr>
          <w:rFonts w:ascii="宋体" w:hAnsi="宋体" w:eastAsia="宋体" w:cs="宋体"/>
          <w:spacing w:val="-4"/>
          <w:szCs w:val="24"/>
        </w:rPr>
        <w:t>、</w:t>
      </w:r>
      <w:r>
        <w:rPr>
          <w:rFonts w:ascii="Times New Roman" w:hAnsi="Times New Roman" w:eastAsia="Times New Roman" w:cs="Times New Roman"/>
          <w:spacing w:val="-5"/>
          <w:szCs w:val="24"/>
        </w:rPr>
        <w:t>CO</w:t>
      </w:r>
      <w:r>
        <w:rPr>
          <w:rFonts w:ascii="Times New Roman" w:hAnsi="Times New Roman" w:eastAsia="Times New Roman" w:cs="Times New Roman"/>
          <w:spacing w:val="-5"/>
          <w:position w:val="-3"/>
          <w:sz w:val="16"/>
          <w:szCs w:val="16"/>
        </w:rPr>
        <w:t xml:space="preserve">2 </w:t>
      </w:r>
      <w:r>
        <w:rPr>
          <w:rFonts w:ascii="宋体" w:hAnsi="宋体" w:eastAsia="宋体" w:cs="宋体"/>
          <w:spacing w:val="-5"/>
          <w:szCs w:val="24"/>
        </w:rPr>
        <w:t>）的测定</w:t>
      </w:r>
      <w:r>
        <w:rPr>
          <w:rFonts w:ascii="宋体" w:hAnsi="宋体" w:eastAsia="宋体" w:cs="宋体"/>
          <w:szCs w:val="24"/>
        </w:rPr>
        <w:t>便携式傅立叶变换红外光谱法》</w:t>
      </w:r>
    </w:p>
    <w:p>
      <w:pPr>
        <w:ind w:firstLine="480"/>
        <w:rPr>
          <w:rFonts w:ascii="Times New Roman" w:hAnsi="Times New Roman" w:eastAsia="Times New Roman" w:cs="Times New Roman"/>
          <w:szCs w:val="24"/>
        </w:rPr>
      </w:pPr>
      <w:r>
        <w:rPr>
          <w:rFonts w:hint="eastAsia" w:ascii="Times New Roman" w:hAnsi="Times New Roman" w:eastAsia="Times New Roman" w:cs="Times New Roman"/>
          <w:szCs w:val="24"/>
        </w:rPr>
        <w:t>HJ1330-2023</w:t>
      </w:r>
      <w:r>
        <w:rPr>
          <w:rFonts w:ascii="宋体" w:hAnsi="宋体" w:eastAsia="宋体" w:cs="宋体"/>
          <w:spacing w:val="-4"/>
          <w:szCs w:val="24"/>
        </w:rPr>
        <w:t xml:space="preserve">《固定污染源废气 </w:t>
      </w:r>
      <w:r>
        <w:rPr>
          <w:rFonts w:hint="eastAsia" w:ascii="宋体" w:hAnsi="宋体" w:eastAsia="宋体" w:cs="宋体"/>
          <w:spacing w:val="-4"/>
          <w:szCs w:val="24"/>
        </w:rPr>
        <w:t xml:space="preserve">氨和氯化氢的测定 </w:t>
      </w:r>
      <w:r>
        <w:rPr>
          <w:rFonts w:ascii="宋体" w:hAnsi="宋体" w:eastAsia="宋体" w:cs="宋体"/>
          <w:szCs w:val="24"/>
        </w:rPr>
        <w:t>便携式傅立叶变换红外光谱法》</w:t>
      </w:r>
    </w:p>
    <w:p>
      <w:pPr>
        <w:ind w:firstLine="464"/>
        <w:rPr>
          <w:rFonts w:ascii="宋体" w:hAnsi="宋体" w:eastAsia="宋体" w:cs="宋体"/>
          <w:spacing w:val="-4"/>
          <w:szCs w:val="24"/>
        </w:rPr>
      </w:pPr>
      <w:r>
        <w:rPr>
          <w:rFonts w:ascii="Times New Roman" w:hAnsi="Times New Roman" w:eastAsia="Times New Roman" w:cs="Times New Roman"/>
          <w:spacing w:val="-4"/>
          <w:szCs w:val="24"/>
        </w:rPr>
        <w:t>JJG</w:t>
      </w:r>
      <w:r>
        <w:rPr>
          <w:rFonts w:ascii="Times New Roman" w:hAnsi="Times New Roman" w:eastAsia="Times New Roman" w:cs="Times New Roman"/>
          <w:spacing w:val="27"/>
          <w:szCs w:val="24"/>
        </w:rPr>
        <w:t xml:space="preserve"> </w:t>
      </w:r>
      <w:r>
        <w:rPr>
          <w:rFonts w:ascii="Times New Roman" w:hAnsi="Times New Roman" w:eastAsia="Times New Roman" w:cs="Times New Roman"/>
          <w:spacing w:val="-4"/>
          <w:szCs w:val="24"/>
        </w:rPr>
        <w:t>968-2002</w:t>
      </w:r>
      <w:r>
        <w:rPr>
          <w:rFonts w:ascii="宋体" w:hAnsi="宋体" w:eastAsia="宋体" w:cs="宋体"/>
          <w:spacing w:val="-4"/>
          <w:szCs w:val="24"/>
        </w:rPr>
        <w:t>《烟气分析仪》</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凡是注明日期的引用文件，仅注明日期的版本适用于本规范。凡是不注明日期的引用文件，其最新版本(包括所有的修改单)适用于本规范。</w:t>
      </w:r>
    </w:p>
    <w:p>
      <w:pPr>
        <w:pStyle w:val="12"/>
        <w:numPr>
          <w:ilvl w:val="0"/>
          <w:numId w:val="3"/>
        </w:numPr>
        <w:ind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概述</w:t>
      </w:r>
    </w:p>
    <w:p>
      <w:pPr>
        <w:ind w:left="360" w:firstLine="0"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介绍了</w:t>
      </w:r>
      <w:r>
        <w:rPr>
          <w:rFonts w:hint="eastAsia" w:ascii="Times New Roman" w:hAnsi="Times New Roman" w:eastAsia="宋体" w:cs="Times New Roman"/>
          <w:color w:val="000000" w:themeColor="text1"/>
        </w:rPr>
        <w:t>傅立叶红外气体分析仪</w:t>
      </w:r>
      <w:r>
        <w:rPr>
          <w:rFonts w:ascii="Times New Roman" w:hAnsi="Times New Roman" w:eastAsia="宋体" w:cs="Times New Roman"/>
          <w:color w:val="000000" w:themeColor="text1"/>
        </w:rPr>
        <w:t>的用途和工作原理。</w:t>
      </w:r>
    </w:p>
    <w:p>
      <w:pPr>
        <w:pStyle w:val="12"/>
        <w:numPr>
          <w:ilvl w:val="0"/>
          <w:numId w:val="3"/>
        </w:numPr>
        <w:ind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计量特性要求</w:t>
      </w:r>
    </w:p>
    <w:p>
      <w:pPr>
        <w:pStyle w:val="12"/>
        <w:ind w:left="360" w:firstLine="0"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规定了以下计量特性</w:t>
      </w:r>
    </w:p>
    <w:p>
      <w:pPr>
        <w:snapToGrid w:val="0"/>
        <w:ind w:firstLine="360" w:firstLineChars="150"/>
        <w:rPr>
          <w:rFonts w:ascii="Times New Roman" w:hAnsi="Times New Roman" w:eastAsia="宋体" w:cs="Times New Roman"/>
        </w:rPr>
      </w:pPr>
      <w:r>
        <w:rPr>
          <w:rFonts w:hint="eastAsia" w:ascii="Times New Roman" w:hAnsi="Times New Roman" w:eastAsia="宋体" w:cs="Times New Roman"/>
        </w:rPr>
        <w:t>(1) 示值误差</w:t>
      </w:r>
    </w:p>
    <w:p>
      <w:pPr>
        <w:snapToGrid w:val="0"/>
        <w:ind w:firstLine="417" w:firstLineChars="177"/>
      </w:pPr>
      <w:r>
        <w:rPr>
          <w:rFonts w:ascii="宋体" w:hAnsi="宋体" w:eastAsia="宋体" w:cs="宋体"/>
          <w:spacing w:val="-2"/>
          <w:szCs w:val="24"/>
        </w:rPr>
        <w:t>±</w:t>
      </w:r>
      <w:r>
        <w:rPr>
          <w:rFonts w:ascii="Times New Roman" w:hAnsi="Times New Roman" w:eastAsia="Times New Roman" w:cs="Times New Roman"/>
          <w:spacing w:val="-2"/>
          <w:szCs w:val="24"/>
        </w:rPr>
        <w:t xml:space="preserve">3 μmol/mol </w:t>
      </w:r>
      <w:r>
        <w:rPr>
          <w:rFonts w:ascii="宋体" w:hAnsi="宋体" w:eastAsia="宋体" w:cs="宋体"/>
          <w:spacing w:val="-2"/>
          <w:szCs w:val="24"/>
        </w:rPr>
        <w:t>或±</w:t>
      </w:r>
      <w:r>
        <w:rPr>
          <w:rFonts w:ascii="Times New Roman" w:hAnsi="Times New Roman" w:eastAsia="Times New Roman" w:cs="Times New Roman"/>
          <w:spacing w:val="-2"/>
          <w:szCs w:val="24"/>
        </w:rPr>
        <w:t>5%</w:t>
      </w:r>
      <w:r>
        <w:rPr>
          <w:rFonts w:ascii="宋体" w:hAnsi="宋体" w:eastAsia="宋体" w:cs="宋体"/>
          <w:spacing w:val="-2"/>
          <w:szCs w:val="24"/>
        </w:rPr>
        <w:t>（满足其</w:t>
      </w:r>
      <w:r>
        <w:rPr>
          <w:rFonts w:ascii="宋体" w:hAnsi="宋体" w:eastAsia="宋体" w:cs="宋体"/>
          <w:spacing w:val="-3"/>
          <w:szCs w:val="24"/>
        </w:rPr>
        <w:t>一即可）</w:t>
      </w:r>
      <w:r>
        <w:rPr>
          <w:rFonts w:hint="eastAsia"/>
        </w:rPr>
        <w:t>。</w:t>
      </w:r>
    </w:p>
    <w:p>
      <w:pPr>
        <w:snapToGrid w:val="0"/>
        <w:ind w:left="426" w:firstLine="0" w:firstLineChars="0"/>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 xml:space="preserve">2) </w:t>
      </w:r>
      <w:r>
        <w:rPr>
          <w:rFonts w:hint="eastAsia" w:ascii="Times New Roman" w:hAnsi="Times New Roman" w:eastAsia="宋体" w:cs="Times New Roman"/>
        </w:rPr>
        <w:t>重复性</w:t>
      </w:r>
    </w:p>
    <w:p>
      <w:pPr>
        <w:snapToGrid w:val="0"/>
        <w:ind w:left="426" w:firstLine="0" w:firstLineChars="0"/>
        <w:rPr>
          <w:rFonts w:ascii="Times New Roman" w:hAnsi="Times New Roman" w:eastAsia="宋体" w:cs="Times New Roman"/>
        </w:rPr>
      </w:pPr>
      <w:r>
        <w:rPr>
          <w:rFonts w:hint="eastAsia" w:ascii="Times New Roman" w:hAnsi="Times New Roman" w:eastAsia="宋体" w:cs="Times New Roman"/>
        </w:rPr>
        <w:t>重复性≤2%</w:t>
      </w:r>
      <w:r>
        <w:rPr>
          <w:rFonts w:ascii="Times New Roman" w:hAnsi="Times New Roman" w:eastAsia="宋体" w:cs="Times New Roman"/>
        </w:rPr>
        <w:t>。</w:t>
      </w:r>
    </w:p>
    <w:p>
      <w:pPr>
        <w:snapToGrid w:val="0"/>
        <w:ind w:left="426" w:firstLine="0" w:firstLineChars="0"/>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 xml:space="preserve">3) </w:t>
      </w:r>
      <w:r>
        <w:rPr>
          <w:rFonts w:hint="eastAsia" w:ascii="Times New Roman" w:hAnsi="Times New Roman" w:eastAsia="宋体" w:cs="Times New Roman"/>
        </w:rPr>
        <w:t>响应时间</w:t>
      </w:r>
    </w:p>
    <w:p>
      <w:pPr>
        <w:snapToGrid w:val="0"/>
        <w:ind w:left="426" w:firstLine="0" w:firstLineChars="0"/>
        <w:rPr>
          <w:rFonts w:ascii="Times New Roman" w:hAnsi="Times New Roman" w:eastAsia="宋体" w:cs="Times New Roman"/>
        </w:rPr>
      </w:pPr>
      <w:r>
        <w:rPr>
          <w:rFonts w:hint="eastAsia" w:ascii="Times New Roman" w:hAnsi="Times New Roman" w:eastAsia="宋体" w:cs="Times New Roman"/>
        </w:rPr>
        <w:t>响应时间≤120s</w:t>
      </w:r>
      <w:r>
        <w:rPr>
          <w:rFonts w:ascii="Times New Roman" w:hAnsi="Times New Roman" w:eastAsia="宋体" w:cs="Times New Roman"/>
        </w:rPr>
        <w:t>。</w:t>
      </w:r>
    </w:p>
    <w:p>
      <w:pPr>
        <w:numPr>
          <w:ilvl w:val="0"/>
          <w:numId w:val="4"/>
        </w:numPr>
        <w:snapToGrid w:val="0"/>
        <w:ind w:left="426" w:firstLine="0" w:firstLineChars="0"/>
        <w:rPr>
          <w:rFonts w:ascii="Times New Roman" w:hAnsi="Times New Roman" w:eastAsia="宋体" w:cs="Times New Roman"/>
        </w:rPr>
      </w:pPr>
      <w:r>
        <w:rPr>
          <w:rFonts w:hint="eastAsia" w:ascii="Times New Roman" w:hAnsi="Times New Roman" w:eastAsia="宋体" w:cs="Times New Roman"/>
        </w:rPr>
        <w:t>漂移</w:t>
      </w:r>
    </w:p>
    <w:p>
      <w:pPr>
        <w:snapToGrid w:val="0"/>
        <w:ind w:firstLine="476"/>
        <w:rPr>
          <w:rFonts w:ascii="宋体" w:hAnsi="宋体" w:eastAsia="宋体" w:cs="宋体"/>
          <w:szCs w:val="24"/>
        </w:rPr>
      </w:pPr>
      <w:r>
        <w:rPr>
          <w:rFonts w:ascii="宋体" w:hAnsi="宋体" w:eastAsia="宋体" w:cs="宋体"/>
          <w:spacing w:val="-1"/>
          <w:szCs w:val="24"/>
        </w:rPr>
        <w:t>零点漂移：不超过</w:t>
      </w:r>
      <w:r>
        <w:rPr>
          <w:rFonts w:ascii="Times New Roman" w:hAnsi="Times New Roman" w:eastAsia="Times New Roman" w:cs="Times New Roman"/>
          <w:spacing w:val="-1"/>
          <w:szCs w:val="24"/>
        </w:rPr>
        <w:t>±3%FS/1h</w:t>
      </w:r>
      <w:r>
        <w:rPr>
          <w:rFonts w:ascii="宋体" w:hAnsi="宋体" w:eastAsia="宋体" w:cs="宋体"/>
          <w:spacing w:val="-1"/>
          <w:szCs w:val="24"/>
        </w:rPr>
        <w:t>；量程漂移：不超过</w:t>
      </w:r>
      <w:r>
        <w:rPr>
          <w:rFonts w:ascii="Times New Roman" w:hAnsi="Times New Roman" w:eastAsia="Times New Roman" w:cs="Times New Roman"/>
          <w:spacing w:val="-1"/>
          <w:szCs w:val="24"/>
        </w:rPr>
        <w:t>±3%FS/1h</w:t>
      </w:r>
      <w:r>
        <w:rPr>
          <w:rFonts w:ascii="宋体" w:hAnsi="宋体" w:eastAsia="宋体" w:cs="宋体"/>
          <w:spacing w:val="-1"/>
          <w:szCs w:val="24"/>
        </w:rPr>
        <w:t>。</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通过实验验证大部分仪器符合该要求。这些计量特性要求并非用于合格性判定，仅作为技术参考。</w:t>
      </w:r>
    </w:p>
    <w:p>
      <w:pPr>
        <w:pStyle w:val="12"/>
        <w:numPr>
          <w:ilvl w:val="0"/>
          <w:numId w:val="3"/>
        </w:numPr>
        <w:ind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校准条件</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5.1对校准的环境条件作了规定。</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5.2规定了测量标准。</w:t>
      </w:r>
    </w:p>
    <w:p>
      <w:pPr>
        <w:pStyle w:val="12"/>
        <w:numPr>
          <w:ilvl w:val="0"/>
          <w:numId w:val="3"/>
        </w:numPr>
        <w:ind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校准项目和校准方法</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6.1</w:t>
      </w:r>
      <w:r>
        <w:rPr>
          <w:rFonts w:hint="eastAsia" w:ascii="Times New Roman" w:hAnsi="Times New Roman" w:eastAsia="宋体" w:cs="Times New Roman"/>
          <w:color w:val="000000" w:themeColor="text1"/>
        </w:rPr>
        <w:t>示值误差</w:t>
      </w:r>
      <w:r>
        <w:rPr>
          <w:rFonts w:ascii="Times New Roman" w:hAnsi="Times New Roman" w:eastAsia="宋体" w:cs="Times New Roman"/>
          <w:color w:val="000000" w:themeColor="text1"/>
        </w:rPr>
        <w:t>的测量方法。</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6.2给出了</w:t>
      </w:r>
      <w:r>
        <w:rPr>
          <w:rFonts w:hint="eastAsia" w:ascii="Times New Roman" w:hAnsi="Times New Roman" w:eastAsia="宋体" w:cs="Times New Roman"/>
          <w:color w:val="000000" w:themeColor="text1"/>
        </w:rPr>
        <w:t>重复</w:t>
      </w:r>
      <w:r>
        <w:rPr>
          <w:rFonts w:ascii="Times New Roman" w:hAnsi="Times New Roman" w:eastAsia="宋体" w:cs="Times New Roman"/>
          <w:color w:val="000000" w:themeColor="text1"/>
        </w:rPr>
        <w:t>性与</w:t>
      </w:r>
      <w:r>
        <w:rPr>
          <w:rFonts w:hint="eastAsia" w:ascii="Times New Roman" w:hAnsi="Times New Roman" w:eastAsia="宋体" w:cs="Times New Roman"/>
          <w:color w:val="000000" w:themeColor="text1"/>
        </w:rPr>
        <w:t>响应时间</w:t>
      </w:r>
      <w:r>
        <w:rPr>
          <w:rFonts w:ascii="Times New Roman" w:hAnsi="Times New Roman" w:eastAsia="宋体" w:cs="Times New Roman"/>
          <w:color w:val="000000" w:themeColor="text1"/>
        </w:rPr>
        <w:t>的测量方法。</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6.3给出了</w:t>
      </w:r>
      <w:r>
        <w:rPr>
          <w:rFonts w:hint="eastAsia" w:ascii="Times New Roman" w:hAnsi="Times New Roman" w:eastAsia="宋体" w:cs="Times New Roman"/>
          <w:color w:val="000000" w:themeColor="text1"/>
        </w:rPr>
        <w:t>漂移</w:t>
      </w:r>
      <w:r>
        <w:rPr>
          <w:rFonts w:ascii="Times New Roman" w:hAnsi="Times New Roman" w:eastAsia="宋体" w:cs="Times New Roman"/>
          <w:color w:val="000000" w:themeColor="text1"/>
        </w:rPr>
        <w:t>的计算方法。</w:t>
      </w:r>
    </w:p>
    <w:p>
      <w:pPr>
        <w:pStyle w:val="12"/>
        <w:numPr>
          <w:ilvl w:val="0"/>
          <w:numId w:val="3"/>
        </w:numPr>
        <w:ind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校准结果表达</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校准结果的表达规定了校准结果应包含的信息</w:t>
      </w:r>
    </w:p>
    <w:p>
      <w:pPr>
        <w:pStyle w:val="12"/>
        <w:numPr>
          <w:ilvl w:val="0"/>
          <w:numId w:val="3"/>
        </w:numPr>
        <w:ind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复校时间间隔</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给出建议的校准时隔。</w:t>
      </w:r>
    </w:p>
    <w:p>
      <w:pPr>
        <w:pStyle w:val="12"/>
        <w:numPr>
          <w:ilvl w:val="0"/>
          <w:numId w:val="3"/>
        </w:numPr>
        <w:ind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附录</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本部分主要提供了校准记录格式，校准证书内页格式等。</w:t>
      </w:r>
    </w:p>
    <w:p>
      <w:pPr>
        <w:numPr>
          <w:ilvl w:val="0"/>
          <w:numId w:val="3"/>
        </w:numPr>
        <w:ind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 实验报告</w:t>
      </w:r>
    </w:p>
    <w:p>
      <w:pPr>
        <w:ind w:firstLine="0"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（1）实验目的</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验证《</w:t>
      </w:r>
      <w:r>
        <w:rPr>
          <w:rFonts w:hint="eastAsia" w:ascii="Times New Roman" w:hAnsi="Times New Roman" w:eastAsia="宋体" w:cs="Times New Roman"/>
          <w:color w:val="000000" w:themeColor="text1"/>
        </w:rPr>
        <w:t>傅立叶红外气体分析仪</w:t>
      </w:r>
      <w:r>
        <w:rPr>
          <w:rFonts w:ascii="Times New Roman" w:hAnsi="Times New Roman" w:eastAsia="宋体" w:cs="Times New Roman"/>
          <w:color w:val="000000" w:themeColor="text1"/>
        </w:rPr>
        <w:t>校准规范》的适用性和可行性。</w:t>
      </w:r>
    </w:p>
    <w:p>
      <w:pPr>
        <w:ind w:firstLine="0"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（2）实验地点</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在广西计量院理</w:t>
      </w:r>
      <w:r>
        <w:rPr>
          <w:rFonts w:hint="eastAsia" w:ascii="Times New Roman" w:hAnsi="Times New Roman" w:eastAsia="宋体" w:cs="Times New Roman"/>
          <w:color w:val="000000" w:themeColor="text1"/>
        </w:rPr>
        <w:t>化</w:t>
      </w:r>
      <w:r>
        <w:rPr>
          <w:rFonts w:ascii="Times New Roman" w:hAnsi="Times New Roman" w:eastAsia="宋体" w:cs="Times New Roman"/>
          <w:color w:val="000000" w:themeColor="text1"/>
        </w:rPr>
        <w:t>所实验室进行了实验。</w:t>
      </w:r>
    </w:p>
    <w:p>
      <w:pPr>
        <w:ind w:firstLine="0"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（3）环境条件</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实验中环境温度在(</w:t>
      </w:r>
      <w:r>
        <w:rPr>
          <w:rFonts w:hint="eastAsia" w:ascii="Times New Roman" w:hAnsi="Times New Roman" w:eastAsia="宋体" w:cs="Times New Roman"/>
          <w:color w:val="000000" w:themeColor="text1"/>
        </w:rPr>
        <w:t>0</w:t>
      </w:r>
      <w:r>
        <w:rPr>
          <w:rFonts w:ascii="Times New Roman" w:hAnsi="Times New Roman" w:eastAsia="宋体" w:cs="Times New Roman"/>
          <w:color w:val="000000" w:themeColor="text1"/>
        </w:rPr>
        <w:t>~</w:t>
      </w:r>
      <w:r>
        <w:rPr>
          <w:rFonts w:hint="eastAsia" w:ascii="Times New Roman" w:hAnsi="Times New Roman" w:eastAsia="宋体" w:cs="Times New Roman"/>
          <w:color w:val="000000" w:themeColor="text1"/>
        </w:rPr>
        <w:t>40</w:t>
      </w:r>
      <w:r>
        <w:rPr>
          <w:rFonts w:ascii="Times New Roman" w:hAnsi="Times New Roman" w:eastAsia="宋体" w:cs="Times New Roman"/>
          <w:color w:val="000000" w:themeColor="text1"/>
        </w:rPr>
        <w:t>)℃，相对湿度</w:t>
      </w:r>
      <w:r>
        <w:rPr>
          <w:rFonts w:hint="eastAsia" w:ascii="Times New Roman" w:hAnsi="Times New Roman" w:eastAsia="宋体" w:cs="Times New Roman"/>
          <w:color w:val="000000" w:themeColor="text1"/>
        </w:rPr>
        <w:t>≤85</w:t>
      </w:r>
      <w:r>
        <w:rPr>
          <w:rFonts w:ascii="Times New Roman" w:hAnsi="Times New Roman" w:eastAsia="宋体" w:cs="Times New Roman"/>
          <w:color w:val="000000" w:themeColor="text1"/>
        </w:rPr>
        <w:t>%。</w:t>
      </w:r>
    </w:p>
    <w:p>
      <w:pPr>
        <w:ind w:firstLine="0"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（4）实验仪器与实验设计</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在验证实验中主要对</w:t>
      </w:r>
      <w:r>
        <w:rPr>
          <w:rFonts w:hint="eastAsia" w:ascii="Times New Roman" w:hAnsi="Times New Roman" w:eastAsia="宋体" w:cs="Times New Roman"/>
          <w:color w:val="000000" w:themeColor="text1"/>
        </w:rPr>
        <w:t>几台傅立叶红外气体分析仪</w:t>
      </w:r>
      <w:r>
        <w:rPr>
          <w:rFonts w:ascii="Times New Roman" w:hAnsi="Times New Roman" w:eastAsia="宋体" w:cs="Times New Roman"/>
          <w:color w:val="000000" w:themeColor="text1"/>
        </w:rPr>
        <w:t>进行了验证实验。</w:t>
      </w:r>
    </w:p>
    <w:p>
      <w:pPr>
        <w:ind w:firstLine="0"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（5）计量器具</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主要采用</w:t>
      </w:r>
      <w:r>
        <w:rPr>
          <w:rFonts w:hint="eastAsia" w:ascii="Times New Roman" w:hAnsi="Times New Roman" w:eastAsia="宋体" w:cs="Times New Roman"/>
          <w:color w:val="000000" w:themeColor="text1"/>
        </w:rPr>
        <w:t>气体标准物质和傅立叶红外气体分析仪</w:t>
      </w:r>
      <w:r>
        <w:rPr>
          <w:rFonts w:ascii="Times New Roman" w:hAnsi="Times New Roman" w:eastAsia="宋体" w:cs="Times New Roman"/>
          <w:color w:val="000000" w:themeColor="text1"/>
        </w:rPr>
        <w:t>进行实验。</w:t>
      </w:r>
    </w:p>
    <w:p>
      <w:pPr>
        <w:ind w:firstLine="0"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（6）实验结果</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试验报告结果</w:t>
      </w:r>
      <w:r>
        <w:rPr>
          <w:rFonts w:hint="eastAsia" w:ascii="Times New Roman" w:hAnsi="Times New Roman" w:eastAsia="宋体" w:cs="Times New Roman"/>
          <w:color w:val="000000" w:themeColor="text1"/>
        </w:rPr>
        <w:t>表面大部分的傅立叶红外气体分析仪</w:t>
      </w:r>
      <w:r>
        <w:rPr>
          <w:rFonts w:ascii="Times New Roman" w:hAnsi="Times New Roman" w:eastAsia="宋体" w:cs="Times New Roman"/>
          <w:color w:val="000000" w:themeColor="text1"/>
        </w:rPr>
        <w:t>符合指标要求。</w:t>
      </w:r>
    </w:p>
    <w:p>
      <w:pPr>
        <w:numPr>
          <w:ilvl w:val="0"/>
          <w:numId w:val="3"/>
        </w:numPr>
        <w:ind w:firstLineChars="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 实验结论</w:t>
      </w:r>
    </w:p>
    <w:p>
      <w:pPr>
        <w:ind w:firstLine="480"/>
        <w:rPr>
          <w:rFonts w:ascii="Times New Roman" w:hAnsi="Times New Roman" w:eastAsia="宋体" w:cs="Times New Roman"/>
          <w:color w:val="000000" w:themeColor="text1"/>
        </w:rPr>
      </w:pPr>
      <w:r>
        <w:rPr>
          <w:rFonts w:ascii="Times New Roman" w:hAnsi="Times New Roman" w:eastAsia="宋体" w:cs="Times New Roman"/>
          <w:color w:val="000000" w:themeColor="text1"/>
        </w:rPr>
        <w:t>通过实验验证，结果表明《</w:t>
      </w:r>
      <w:r>
        <w:rPr>
          <w:rFonts w:hint="eastAsia" w:ascii="Times New Roman" w:hAnsi="Times New Roman" w:eastAsia="宋体" w:cs="Times New Roman"/>
          <w:color w:val="000000" w:themeColor="text1"/>
        </w:rPr>
        <w:t>傅立叶红外气体分析仪</w:t>
      </w:r>
      <w:r>
        <w:rPr>
          <w:rFonts w:ascii="Times New Roman" w:hAnsi="Times New Roman" w:eastAsia="宋体" w:cs="Times New Roman"/>
          <w:color w:val="000000" w:themeColor="text1"/>
        </w:rPr>
        <w:t>校准规范》能够很好的评价和反映</w:t>
      </w:r>
      <w:r>
        <w:rPr>
          <w:rFonts w:hint="eastAsia" w:ascii="Times New Roman" w:hAnsi="Times New Roman" w:eastAsia="宋体" w:cs="Times New Roman"/>
          <w:color w:val="000000" w:themeColor="text1"/>
        </w:rPr>
        <w:t>傅立叶红外气体分析仪</w:t>
      </w:r>
      <w:r>
        <w:rPr>
          <w:rFonts w:ascii="Times New Roman" w:hAnsi="Times New Roman" w:eastAsia="宋体" w:cs="Times New Roman"/>
          <w:color w:val="000000" w:themeColor="text1"/>
        </w:rPr>
        <w:t>主要计量性能指标，可以有效评定</w:t>
      </w:r>
      <w:r>
        <w:rPr>
          <w:rFonts w:hint="eastAsia" w:ascii="Times New Roman" w:hAnsi="Times New Roman" w:eastAsia="宋体" w:cs="Times New Roman"/>
          <w:color w:val="000000" w:themeColor="text1"/>
        </w:rPr>
        <w:t>傅立叶红外气体分析仪</w:t>
      </w:r>
      <w:r>
        <w:rPr>
          <w:rFonts w:ascii="Times New Roman" w:hAnsi="Times New Roman" w:eastAsia="宋体" w:cs="Times New Roman"/>
          <w:color w:val="000000" w:themeColor="text1"/>
        </w:rPr>
        <w:t>的性能状况。</w:t>
      </w:r>
    </w:p>
    <w:p>
      <w:pPr>
        <w:ind w:firstLine="480"/>
        <w:jc w:val="right"/>
        <w:rPr>
          <w:rFonts w:ascii="Times New Roman" w:hAnsi="Times New Roman" w:eastAsia="宋体" w:cs="Times New Roman"/>
          <w:color w:val="000000" w:themeColor="text1"/>
        </w:rPr>
      </w:pPr>
    </w:p>
    <w:p>
      <w:pPr>
        <w:ind w:firstLine="480"/>
        <w:jc w:val="right"/>
        <w:rPr>
          <w:rFonts w:ascii="Times New Roman" w:hAnsi="Times New Roman" w:eastAsia="宋体" w:cs="Times New Roman"/>
          <w:color w:val="000000" w:themeColor="text1"/>
        </w:rPr>
      </w:pPr>
    </w:p>
    <w:p>
      <w:pPr>
        <w:ind w:firstLine="480"/>
        <w:jc w:val="right"/>
        <w:rPr>
          <w:rFonts w:ascii="Times New Roman" w:hAnsi="Times New Roman" w:eastAsia="宋体" w:cs="Times New Roman"/>
          <w:color w:val="000000" w:themeColor="text1"/>
        </w:rPr>
      </w:pPr>
      <w:r>
        <w:rPr>
          <w:rFonts w:ascii="Times New Roman" w:hAnsi="Times New Roman" w:eastAsia="宋体" w:cs="Times New Roman"/>
          <w:color w:val="000000" w:themeColor="text1"/>
        </w:rPr>
        <w:t>《</w:t>
      </w:r>
      <w:r>
        <w:rPr>
          <w:rFonts w:hint="eastAsia" w:ascii="Times New Roman" w:hAnsi="Times New Roman" w:eastAsia="宋体" w:cs="Times New Roman"/>
          <w:color w:val="000000" w:themeColor="text1"/>
        </w:rPr>
        <w:t>傅立叶红外气体分析仪校准规范</w:t>
      </w:r>
      <w:r>
        <w:rPr>
          <w:rFonts w:ascii="Times New Roman" w:hAnsi="Times New Roman" w:eastAsia="宋体" w:cs="Times New Roman"/>
          <w:color w:val="000000" w:themeColor="text1"/>
        </w:rPr>
        <w:t>》起草小组</w:t>
      </w:r>
    </w:p>
    <w:p>
      <w:pPr>
        <w:ind w:firstLine="480"/>
        <w:jc w:val="right"/>
        <w:rPr>
          <w:rFonts w:ascii="Times New Roman" w:hAnsi="Times New Roman" w:eastAsia="宋体" w:cs="Times New Roman"/>
          <w:color w:val="000000" w:themeColor="text1"/>
        </w:rPr>
      </w:pPr>
      <w:r>
        <w:rPr>
          <w:rFonts w:ascii="Times New Roman" w:hAnsi="Times New Roman" w:eastAsia="宋体" w:cs="Times New Roman"/>
          <w:color w:val="000000" w:themeColor="text1"/>
        </w:rPr>
        <w:t>202</w:t>
      </w:r>
      <w:r>
        <w:rPr>
          <w:rFonts w:hint="eastAsia" w:ascii="Times New Roman" w:hAnsi="Times New Roman" w:eastAsia="宋体" w:cs="Times New Roman"/>
          <w:color w:val="000000" w:themeColor="text1"/>
        </w:rPr>
        <w:t>4</w:t>
      </w:r>
      <w:r>
        <w:rPr>
          <w:rFonts w:ascii="Times New Roman" w:hAnsi="Times New Roman" w:eastAsia="宋体" w:cs="Times New Roman"/>
          <w:color w:val="000000" w:themeColor="text1"/>
        </w:rPr>
        <w:t>年</w:t>
      </w:r>
      <w:r>
        <w:rPr>
          <w:rFonts w:hint="eastAsia" w:ascii="Times New Roman" w:hAnsi="Times New Roman" w:eastAsia="宋体" w:cs="Times New Roman"/>
          <w:color w:val="000000" w:themeColor="text1"/>
        </w:rPr>
        <w:t>12</w:t>
      </w:r>
      <w:r>
        <w:rPr>
          <w:rFonts w:ascii="Times New Roman" w:hAnsi="Times New Roman" w:eastAsia="宋体" w:cs="Times New Roman"/>
          <w:color w:val="000000" w:themeColor="text1"/>
        </w:rPr>
        <w:t>月</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0000000000000000000"/>
    <w:charset w:val="00"/>
    <w:family w:val="swiss"/>
    <w:pitch w:val="default"/>
    <w:sig w:usb0="00000000" w:usb1="00000000" w:usb2="00000009" w:usb3="00000000" w:csb0="000001FF" w:csb1="00000000"/>
  </w:font>
  <w:font w:name="FZBSJW--GB1-0">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BE6AEB"/>
    <w:multiLevelType w:val="multilevel"/>
    <w:tmpl w:val="27BE6AE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E90684B"/>
    <w:multiLevelType w:val="singleLevel"/>
    <w:tmpl w:val="3E90684B"/>
    <w:lvl w:ilvl="0" w:tentative="0">
      <w:start w:val="4"/>
      <w:numFmt w:val="decimal"/>
      <w:suff w:val="space"/>
      <w:lvlText w:val="(%1)"/>
      <w:lvlJc w:val="left"/>
    </w:lvl>
  </w:abstractNum>
  <w:abstractNum w:abstractNumId="2">
    <w:nsid w:val="45286574"/>
    <w:multiLevelType w:val="multilevel"/>
    <w:tmpl w:val="45286574"/>
    <w:lvl w:ilvl="0" w:tentative="0">
      <w:start w:val="1"/>
      <w:numFmt w:val="japaneseCounting"/>
      <w:lvlText w:val="%1、"/>
      <w:lvlJc w:val="left"/>
      <w:pPr>
        <w:tabs>
          <w:tab w:val="left" w:pos="480"/>
        </w:tabs>
        <w:ind w:left="480" w:hanging="480"/>
      </w:pPr>
      <w:rPr>
        <w:rFonts w:hint="default"/>
      </w:rPr>
    </w:lvl>
    <w:lvl w:ilvl="1" w:tentative="0">
      <w:start w:val="6"/>
      <w:numFmt w:val="decimal"/>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E384632"/>
    <w:multiLevelType w:val="multilevel"/>
    <w:tmpl w:val="5E384632"/>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EyZjJjMTY4ZWE5ZjI5ZGFmZGQ0ZmU4MjBjNDc5OTkifQ=="/>
  </w:docVars>
  <w:rsids>
    <w:rsidRoot w:val="001E0A54"/>
    <w:rsid w:val="00000659"/>
    <w:rsid w:val="0000460F"/>
    <w:rsid w:val="000067C9"/>
    <w:rsid w:val="00012186"/>
    <w:rsid w:val="000370AC"/>
    <w:rsid w:val="00043853"/>
    <w:rsid w:val="00051848"/>
    <w:rsid w:val="0006318C"/>
    <w:rsid w:val="00070747"/>
    <w:rsid w:val="000738DA"/>
    <w:rsid w:val="00076AAA"/>
    <w:rsid w:val="00076BEC"/>
    <w:rsid w:val="00082400"/>
    <w:rsid w:val="00092291"/>
    <w:rsid w:val="000929B5"/>
    <w:rsid w:val="000A3F4A"/>
    <w:rsid w:val="000B03FB"/>
    <w:rsid w:val="000B1680"/>
    <w:rsid w:val="000B74CC"/>
    <w:rsid w:val="000C361B"/>
    <w:rsid w:val="000D19D5"/>
    <w:rsid w:val="000D3831"/>
    <w:rsid w:val="000D392E"/>
    <w:rsid w:val="000D7E98"/>
    <w:rsid w:val="000F061D"/>
    <w:rsid w:val="000F7796"/>
    <w:rsid w:val="001054FF"/>
    <w:rsid w:val="00105673"/>
    <w:rsid w:val="001155F3"/>
    <w:rsid w:val="00115E36"/>
    <w:rsid w:val="00124AA1"/>
    <w:rsid w:val="001251D0"/>
    <w:rsid w:val="00132053"/>
    <w:rsid w:val="001337FE"/>
    <w:rsid w:val="0013661B"/>
    <w:rsid w:val="00137794"/>
    <w:rsid w:val="00144FC2"/>
    <w:rsid w:val="0015299B"/>
    <w:rsid w:val="00152F56"/>
    <w:rsid w:val="0016100C"/>
    <w:rsid w:val="00170E86"/>
    <w:rsid w:val="00170FE8"/>
    <w:rsid w:val="00176B3E"/>
    <w:rsid w:val="00180961"/>
    <w:rsid w:val="00190F01"/>
    <w:rsid w:val="00194399"/>
    <w:rsid w:val="001A0123"/>
    <w:rsid w:val="001C1698"/>
    <w:rsid w:val="001C7447"/>
    <w:rsid w:val="001C7C52"/>
    <w:rsid w:val="001C7FA8"/>
    <w:rsid w:val="001D1EF2"/>
    <w:rsid w:val="001D5FD4"/>
    <w:rsid w:val="001D7211"/>
    <w:rsid w:val="001E091D"/>
    <w:rsid w:val="001E0A54"/>
    <w:rsid w:val="001E317F"/>
    <w:rsid w:val="001E3484"/>
    <w:rsid w:val="001F3D57"/>
    <w:rsid w:val="001F58C3"/>
    <w:rsid w:val="001F5C40"/>
    <w:rsid w:val="0020014D"/>
    <w:rsid w:val="00204B4F"/>
    <w:rsid w:val="00205DF5"/>
    <w:rsid w:val="00211FE3"/>
    <w:rsid w:val="002216E3"/>
    <w:rsid w:val="002222AF"/>
    <w:rsid w:val="0022365E"/>
    <w:rsid w:val="00224B7C"/>
    <w:rsid w:val="0023053E"/>
    <w:rsid w:val="00230AB3"/>
    <w:rsid w:val="00235B2C"/>
    <w:rsid w:val="0024274C"/>
    <w:rsid w:val="00255201"/>
    <w:rsid w:val="00256E2B"/>
    <w:rsid w:val="00257747"/>
    <w:rsid w:val="002638CC"/>
    <w:rsid w:val="00270E45"/>
    <w:rsid w:val="0027744D"/>
    <w:rsid w:val="0028025B"/>
    <w:rsid w:val="002807AD"/>
    <w:rsid w:val="00280F43"/>
    <w:rsid w:val="002810B4"/>
    <w:rsid w:val="00283F46"/>
    <w:rsid w:val="002A0819"/>
    <w:rsid w:val="002A09DD"/>
    <w:rsid w:val="002A4568"/>
    <w:rsid w:val="002B084C"/>
    <w:rsid w:val="002C1833"/>
    <w:rsid w:val="002C72D1"/>
    <w:rsid w:val="002D18A4"/>
    <w:rsid w:val="002D2F60"/>
    <w:rsid w:val="002D35E8"/>
    <w:rsid w:val="002E39C3"/>
    <w:rsid w:val="002E3C4A"/>
    <w:rsid w:val="002E750F"/>
    <w:rsid w:val="002E7EF3"/>
    <w:rsid w:val="002F05BF"/>
    <w:rsid w:val="002F6C7E"/>
    <w:rsid w:val="003024FB"/>
    <w:rsid w:val="00302F56"/>
    <w:rsid w:val="003102B7"/>
    <w:rsid w:val="00315A87"/>
    <w:rsid w:val="00330244"/>
    <w:rsid w:val="0033620F"/>
    <w:rsid w:val="003439D7"/>
    <w:rsid w:val="00346ECC"/>
    <w:rsid w:val="00347BDF"/>
    <w:rsid w:val="00347CD6"/>
    <w:rsid w:val="00372723"/>
    <w:rsid w:val="00373412"/>
    <w:rsid w:val="003770BF"/>
    <w:rsid w:val="00390CC8"/>
    <w:rsid w:val="003A02EC"/>
    <w:rsid w:val="003A5B03"/>
    <w:rsid w:val="003B5020"/>
    <w:rsid w:val="003C373E"/>
    <w:rsid w:val="003C6D5D"/>
    <w:rsid w:val="003C7B17"/>
    <w:rsid w:val="003D4C31"/>
    <w:rsid w:val="003D7F62"/>
    <w:rsid w:val="003E08E6"/>
    <w:rsid w:val="003E7A82"/>
    <w:rsid w:val="003F26A2"/>
    <w:rsid w:val="003F474E"/>
    <w:rsid w:val="003F5A99"/>
    <w:rsid w:val="004025B7"/>
    <w:rsid w:val="004332A9"/>
    <w:rsid w:val="004350BB"/>
    <w:rsid w:val="004363B0"/>
    <w:rsid w:val="004454EC"/>
    <w:rsid w:val="0044589F"/>
    <w:rsid w:val="004469B5"/>
    <w:rsid w:val="00454699"/>
    <w:rsid w:val="00455E4A"/>
    <w:rsid w:val="004566B6"/>
    <w:rsid w:val="0046028B"/>
    <w:rsid w:val="004677C1"/>
    <w:rsid w:val="00473C6F"/>
    <w:rsid w:val="004766E4"/>
    <w:rsid w:val="00480AAE"/>
    <w:rsid w:val="00493240"/>
    <w:rsid w:val="00496E79"/>
    <w:rsid w:val="004A03DF"/>
    <w:rsid w:val="004A2969"/>
    <w:rsid w:val="004A7446"/>
    <w:rsid w:val="004F03B1"/>
    <w:rsid w:val="004F0730"/>
    <w:rsid w:val="004F4CEF"/>
    <w:rsid w:val="004F5315"/>
    <w:rsid w:val="00505032"/>
    <w:rsid w:val="00506988"/>
    <w:rsid w:val="005206A2"/>
    <w:rsid w:val="00523425"/>
    <w:rsid w:val="005413AF"/>
    <w:rsid w:val="00545B20"/>
    <w:rsid w:val="0056135D"/>
    <w:rsid w:val="00563CA4"/>
    <w:rsid w:val="00564BFC"/>
    <w:rsid w:val="00565BB9"/>
    <w:rsid w:val="00567A3D"/>
    <w:rsid w:val="00570DD0"/>
    <w:rsid w:val="00581990"/>
    <w:rsid w:val="00593E31"/>
    <w:rsid w:val="0059411A"/>
    <w:rsid w:val="005944B7"/>
    <w:rsid w:val="005A1712"/>
    <w:rsid w:val="005A38D5"/>
    <w:rsid w:val="005A6A83"/>
    <w:rsid w:val="005B31A3"/>
    <w:rsid w:val="005B3A02"/>
    <w:rsid w:val="005B6993"/>
    <w:rsid w:val="005C437B"/>
    <w:rsid w:val="005D2557"/>
    <w:rsid w:val="005E5F5D"/>
    <w:rsid w:val="005F17D7"/>
    <w:rsid w:val="005F2B24"/>
    <w:rsid w:val="005F3F20"/>
    <w:rsid w:val="005F7ABE"/>
    <w:rsid w:val="00620CFB"/>
    <w:rsid w:val="00633001"/>
    <w:rsid w:val="00640BD5"/>
    <w:rsid w:val="0064537E"/>
    <w:rsid w:val="0065690D"/>
    <w:rsid w:val="006637B4"/>
    <w:rsid w:val="0067245A"/>
    <w:rsid w:val="00677513"/>
    <w:rsid w:val="00684649"/>
    <w:rsid w:val="00692581"/>
    <w:rsid w:val="006A2BC4"/>
    <w:rsid w:val="006A34D3"/>
    <w:rsid w:val="006A4993"/>
    <w:rsid w:val="006B72E8"/>
    <w:rsid w:val="006D08A9"/>
    <w:rsid w:val="006D555A"/>
    <w:rsid w:val="006E4DE4"/>
    <w:rsid w:val="006F541D"/>
    <w:rsid w:val="0070712E"/>
    <w:rsid w:val="00711AD5"/>
    <w:rsid w:val="007208EF"/>
    <w:rsid w:val="00724FD1"/>
    <w:rsid w:val="00727713"/>
    <w:rsid w:val="00734482"/>
    <w:rsid w:val="00735DDC"/>
    <w:rsid w:val="007416A4"/>
    <w:rsid w:val="00742308"/>
    <w:rsid w:val="00744DDC"/>
    <w:rsid w:val="00751A6F"/>
    <w:rsid w:val="00753C5F"/>
    <w:rsid w:val="0075483A"/>
    <w:rsid w:val="0076307B"/>
    <w:rsid w:val="00766589"/>
    <w:rsid w:val="00772248"/>
    <w:rsid w:val="007809C6"/>
    <w:rsid w:val="00791460"/>
    <w:rsid w:val="00794A3F"/>
    <w:rsid w:val="007A6EDB"/>
    <w:rsid w:val="007A7BA3"/>
    <w:rsid w:val="007B68FA"/>
    <w:rsid w:val="007B6EF6"/>
    <w:rsid w:val="007C4315"/>
    <w:rsid w:val="007D7008"/>
    <w:rsid w:val="007E16BF"/>
    <w:rsid w:val="007F1ECC"/>
    <w:rsid w:val="007F34F9"/>
    <w:rsid w:val="00801A8B"/>
    <w:rsid w:val="00804C49"/>
    <w:rsid w:val="00805BDD"/>
    <w:rsid w:val="008165C2"/>
    <w:rsid w:val="008165D7"/>
    <w:rsid w:val="00827504"/>
    <w:rsid w:val="00833593"/>
    <w:rsid w:val="008368FC"/>
    <w:rsid w:val="00841919"/>
    <w:rsid w:val="0084377C"/>
    <w:rsid w:val="008545C1"/>
    <w:rsid w:val="008569F8"/>
    <w:rsid w:val="00857A86"/>
    <w:rsid w:val="00863233"/>
    <w:rsid w:val="00870FF1"/>
    <w:rsid w:val="008722FE"/>
    <w:rsid w:val="00883469"/>
    <w:rsid w:val="00885296"/>
    <w:rsid w:val="00885741"/>
    <w:rsid w:val="008875B5"/>
    <w:rsid w:val="00892B9F"/>
    <w:rsid w:val="0089637A"/>
    <w:rsid w:val="008A223C"/>
    <w:rsid w:val="008A3350"/>
    <w:rsid w:val="008B4C72"/>
    <w:rsid w:val="008C10EC"/>
    <w:rsid w:val="008C4652"/>
    <w:rsid w:val="008C79F1"/>
    <w:rsid w:val="008D05DA"/>
    <w:rsid w:val="008D0E1B"/>
    <w:rsid w:val="008E1F66"/>
    <w:rsid w:val="0090117A"/>
    <w:rsid w:val="00901655"/>
    <w:rsid w:val="00904A29"/>
    <w:rsid w:val="00923217"/>
    <w:rsid w:val="00925BEE"/>
    <w:rsid w:val="009655C3"/>
    <w:rsid w:val="00967516"/>
    <w:rsid w:val="00970022"/>
    <w:rsid w:val="00973A3A"/>
    <w:rsid w:val="0097791E"/>
    <w:rsid w:val="00980EF6"/>
    <w:rsid w:val="009825DC"/>
    <w:rsid w:val="00991DE3"/>
    <w:rsid w:val="009A1C48"/>
    <w:rsid w:val="009A7EA3"/>
    <w:rsid w:val="009C091A"/>
    <w:rsid w:val="009C1C81"/>
    <w:rsid w:val="009C62F8"/>
    <w:rsid w:val="009D0151"/>
    <w:rsid w:val="009E4C12"/>
    <w:rsid w:val="009F2D2E"/>
    <w:rsid w:val="009F3542"/>
    <w:rsid w:val="009F69A9"/>
    <w:rsid w:val="00A03F96"/>
    <w:rsid w:val="00A06CBF"/>
    <w:rsid w:val="00A06DBC"/>
    <w:rsid w:val="00A0719E"/>
    <w:rsid w:val="00A0761A"/>
    <w:rsid w:val="00A1181D"/>
    <w:rsid w:val="00A22FCD"/>
    <w:rsid w:val="00A26701"/>
    <w:rsid w:val="00A36703"/>
    <w:rsid w:val="00A407F8"/>
    <w:rsid w:val="00A41523"/>
    <w:rsid w:val="00A52746"/>
    <w:rsid w:val="00A5765B"/>
    <w:rsid w:val="00A620DB"/>
    <w:rsid w:val="00A63BDF"/>
    <w:rsid w:val="00A63F9D"/>
    <w:rsid w:val="00A74E4A"/>
    <w:rsid w:val="00A753D1"/>
    <w:rsid w:val="00A90115"/>
    <w:rsid w:val="00A948B5"/>
    <w:rsid w:val="00A954E9"/>
    <w:rsid w:val="00AA1BA0"/>
    <w:rsid w:val="00AA4DB4"/>
    <w:rsid w:val="00AA7AF0"/>
    <w:rsid w:val="00AB5E7B"/>
    <w:rsid w:val="00AB65AE"/>
    <w:rsid w:val="00AB73D4"/>
    <w:rsid w:val="00AC561D"/>
    <w:rsid w:val="00AD3E88"/>
    <w:rsid w:val="00AD3FC6"/>
    <w:rsid w:val="00AD6F0C"/>
    <w:rsid w:val="00AE5A0E"/>
    <w:rsid w:val="00B00669"/>
    <w:rsid w:val="00B0076A"/>
    <w:rsid w:val="00B01761"/>
    <w:rsid w:val="00B018B8"/>
    <w:rsid w:val="00B213F3"/>
    <w:rsid w:val="00B26AFC"/>
    <w:rsid w:val="00B3796B"/>
    <w:rsid w:val="00B437D5"/>
    <w:rsid w:val="00B50EFE"/>
    <w:rsid w:val="00B81CB8"/>
    <w:rsid w:val="00B8569B"/>
    <w:rsid w:val="00B86952"/>
    <w:rsid w:val="00B91DF6"/>
    <w:rsid w:val="00B95EB2"/>
    <w:rsid w:val="00B9708E"/>
    <w:rsid w:val="00BA15DF"/>
    <w:rsid w:val="00BA3EF7"/>
    <w:rsid w:val="00BB14E5"/>
    <w:rsid w:val="00BB34BD"/>
    <w:rsid w:val="00BB3D4B"/>
    <w:rsid w:val="00BB5340"/>
    <w:rsid w:val="00BC77F7"/>
    <w:rsid w:val="00BD1982"/>
    <w:rsid w:val="00BD3F4C"/>
    <w:rsid w:val="00BD72C4"/>
    <w:rsid w:val="00BE30AE"/>
    <w:rsid w:val="00BE6EE7"/>
    <w:rsid w:val="00BF200D"/>
    <w:rsid w:val="00C04BE4"/>
    <w:rsid w:val="00C11608"/>
    <w:rsid w:val="00C140F6"/>
    <w:rsid w:val="00C14700"/>
    <w:rsid w:val="00C461CB"/>
    <w:rsid w:val="00C46BAB"/>
    <w:rsid w:val="00C519A9"/>
    <w:rsid w:val="00C55C47"/>
    <w:rsid w:val="00C5619F"/>
    <w:rsid w:val="00C676A0"/>
    <w:rsid w:val="00C82380"/>
    <w:rsid w:val="00C8248D"/>
    <w:rsid w:val="00C8637A"/>
    <w:rsid w:val="00C86B93"/>
    <w:rsid w:val="00CA29DB"/>
    <w:rsid w:val="00CA343C"/>
    <w:rsid w:val="00CD3241"/>
    <w:rsid w:val="00CE6D86"/>
    <w:rsid w:val="00D05F46"/>
    <w:rsid w:val="00D13209"/>
    <w:rsid w:val="00D158F7"/>
    <w:rsid w:val="00D171AC"/>
    <w:rsid w:val="00D21D4C"/>
    <w:rsid w:val="00D31BF0"/>
    <w:rsid w:val="00D40709"/>
    <w:rsid w:val="00D44CEA"/>
    <w:rsid w:val="00D54521"/>
    <w:rsid w:val="00D561B5"/>
    <w:rsid w:val="00D56B6D"/>
    <w:rsid w:val="00D57610"/>
    <w:rsid w:val="00D57AB9"/>
    <w:rsid w:val="00D60930"/>
    <w:rsid w:val="00D71B46"/>
    <w:rsid w:val="00D73553"/>
    <w:rsid w:val="00D75A33"/>
    <w:rsid w:val="00D83E5E"/>
    <w:rsid w:val="00D87CDE"/>
    <w:rsid w:val="00D908F8"/>
    <w:rsid w:val="00D9478B"/>
    <w:rsid w:val="00DA01A3"/>
    <w:rsid w:val="00DA32BA"/>
    <w:rsid w:val="00DA3CE5"/>
    <w:rsid w:val="00DA6920"/>
    <w:rsid w:val="00DC03F6"/>
    <w:rsid w:val="00DC1DCA"/>
    <w:rsid w:val="00DC32FC"/>
    <w:rsid w:val="00DC7577"/>
    <w:rsid w:val="00DD07F3"/>
    <w:rsid w:val="00DD53FC"/>
    <w:rsid w:val="00DE14C5"/>
    <w:rsid w:val="00DF183C"/>
    <w:rsid w:val="00DF2AC7"/>
    <w:rsid w:val="00E13F41"/>
    <w:rsid w:val="00E13F5A"/>
    <w:rsid w:val="00E2444E"/>
    <w:rsid w:val="00E369AC"/>
    <w:rsid w:val="00E41F24"/>
    <w:rsid w:val="00E459C0"/>
    <w:rsid w:val="00E47DFF"/>
    <w:rsid w:val="00E515EF"/>
    <w:rsid w:val="00E52FB5"/>
    <w:rsid w:val="00E57825"/>
    <w:rsid w:val="00E7029C"/>
    <w:rsid w:val="00E71AD5"/>
    <w:rsid w:val="00E75F00"/>
    <w:rsid w:val="00E90DF5"/>
    <w:rsid w:val="00E93970"/>
    <w:rsid w:val="00E94218"/>
    <w:rsid w:val="00E95C72"/>
    <w:rsid w:val="00E977D0"/>
    <w:rsid w:val="00EB328E"/>
    <w:rsid w:val="00EC403E"/>
    <w:rsid w:val="00ED26A8"/>
    <w:rsid w:val="00ED2ADD"/>
    <w:rsid w:val="00ED3869"/>
    <w:rsid w:val="00ED41A9"/>
    <w:rsid w:val="00ED7129"/>
    <w:rsid w:val="00EF161E"/>
    <w:rsid w:val="00EF327C"/>
    <w:rsid w:val="00EF6200"/>
    <w:rsid w:val="00EF69AC"/>
    <w:rsid w:val="00F04721"/>
    <w:rsid w:val="00F06AE8"/>
    <w:rsid w:val="00F15220"/>
    <w:rsid w:val="00F173D2"/>
    <w:rsid w:val="00F173DD"/>
    <w:rsid w:val="00F23367"/>
    <w:rsid w:val="00F26C6D"/>
    <w:rsid w:val="00F3494D"/>
    <w:rsid w:val="00F4254C"/>
    <w:rsid w:val="00F4421E"/>
    <w:rsid w:val="00F46670"/>
    <w:rsid w:val="00F479DD"/>
    <w:rsid w:val="00F72A72"/>
    <w:rsid w:val="00F9117F"/>
    <w:rsid w:val="00FA2129"/>
    <w:rsid w:val="00FA3490"/>
    <w:rsid w:val="00FA36C7"/>
    <w:rsid w:val="00FB1BB6"/>
    <w:rsid w:val="00FB1D9E"/>
    <w:rsid w:val="00FB4A59"/>
    <w:rsid w:val="00FC0561"/>
    <w:rsid w:val="00FC1705"/>
    <w:rsid w:val="00FC3221"/>
    <w:rsid w:val="00FC33FE"/>
    <w:rsid w:val="00FD4B5D"/>
    <w:rsid w:val="00FD69B3"/>
    <w:rsid w:val="00FE41F2"/>
    <w:rsid w:val="00FF0A9D"/>
    <w:rsid w:val="00FF363A"/>
    <w:rsid w:val="08082091"/>
    <w:rsid w:val="08766BA9"/>
    <w:rsid w:val="0F910201"/>
    <w:rsid w:val="122F69BB"/>
    <w:rsid w:val="159C4B12"/>
    <w:rsid w:val="1A8F47A4"/>
    <w:rsid w:val="21596DDD"/>
    <w:rsid w:val="288208B9"/>
    <w:rsid w:val="2C861F08"/>
    <w:rsid w:val="313409CD"/>
    <w:rsid w:val="337B7D6B"/>
    <w:rsid w:val="384C6A06"/>
    <w:rsid w:val="3B872ABB"/>
    <w:rsid w:val="43B93089"/>
    <w:rsid w:val="46AE6F33"/>
    <w:rsid w:val="48A34B94"/>
    <w:rsid w:val="4BCF305C"/>
    <w:rsid w:val="510F4A72"/>
    <w:rsid w:val="53602E5D"/>
    <w:rsid w:val="584F162A"/>
    <w:rsid w:val="61C144A0"/>
    <w:rsid w:val="627D7A8D"/>
    <w:rsid w:val="62EF025F"/>
    <w:rsid w:val="67566EED"/>
    <w:rsid w:val="69216C99"/>
    <w:rsid w:val="6F240401"/>
    <w:rsid w:val="72B33057"/>
    <w:rsid w:val="75E76984"/>
    <w:rsid w:val="77F99AA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heme="minorHAnsi" w:hAnsiTheme="minorHAnsi" w:eastAsiaTheme="minorEastAsia" w:cstheme="minorBidi"/>
      <w:kern w:val="2"/>
      <w:sz w:val="24"/>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unhideWhenUsed/>
    <w:qFormat/>
    <w:uiPriority w:val="35"/>
    <w:rPr>
      <w:rFonts w:eastAsia="黑体" w:asciiTheme="majorHAnsi" w:hAnsiTheme="majorHAnsi" w:cstheme="majorBidi"/>
      <w:sz w:val="20"/>
      <w:szCs w:val="20"/>
    </w:rPr>
  </w:style>
  <w:style w:type="paragraph" w:styleId="4">
    <w:name w:val="Balloon Text"/>
    <w:basedOn w:val="1"/>
    <w:link w:val="13"/>
    <w:semiHidden/>
    <w:unhideWhenUsed/>
    <w:qFormat/>
    <w:uiPriority w:val="99"/>
    <w:pPr>
      <w:spacing w:line="240" w:lineRule="auto"/>
    </w:pPr>
    <w:rPr>
      <w:sz w:val="18"/>
      <w:szCs w:val="18"/>
    </w:rPr>
  </w:style>
  <w:style w:type="paragraph" w:styleId="5">
    <w:name w:val="footer"/>
    <w:basedOn w:val="1"/>
    <w:link w:val="16"/>
    <w:unhideWhenUsed/>
    <w:qFormat/>
    <w:uiPriority w:val="99"/>
    <w:pPr>
      <w:tabs>
        <w:tab w:val="center" w:pos="4153"/>
        <w:tab w:val="right" w:pos="8306"/>
      </w:tabs>
      <w:snapToGrid w:val="0"/>
      <w:spacing w:line="240" w:lineRule="auto"/>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fontstyle01"/>
    <w:basedOn w:val="9"/>
    <w:qFormat/>
    <w:uiPriority w:val="0"/>
    <w:rPr>
      <w:rFonts w:hint="default" w:ascii="FZBSJW--GB1-0" w:hAnsi="FZBSJW--GB1-0"/>
      <w:color w:val="231F20"/>
      <w:sz w:val="22"/>
      <w:szCs w:val="22"/>
    </w:rPr>
  </w:style>
  <w:style w:type="character" w:customStyle="1" w:styleId="11">
    <w:name w:val="fontstyle21"/>
    <w:basedOn w:val="9"/>
    <w:qFormat/>
    <w:uiPriority w:val="0"/>
    <w:rPr>
      <w:rFonts w:hint="default" w:ascii="TimesNewRomanPSMT" w:hAnsi="TimesNewRomanPSMT"/>
      <w:color w:val="231F20"/>
      <w:sz w:val="22"/>
      <w:szCs w:val="22"/>
    </w:rPr>
  </w:style>
  <w:style w:type="paragraph" w:styleId="12">
    <w:name w:val="List Paragraph"/>
    <w:basedOn w:val="1"/>
    <w:qFormat/>
    <w:uiPriority w:val="34"/>
    <w:pPr>
      <w:ind w:firstLine="420"/>
    </w:pPr>
  </w:style>
  <w:style w:type="character" w:customStyle="1" w:styleId="13">
    <w:name w:val="批注框文本 Char"/>
    <w:basedOn w:val="9"/>
    <w:link w:val="4"/>
    <w:semiHidden/>
    <w:qFormat/>
    <w:uiPriority w:val="99"/>
    <w:rPr>
      <w:sz w:val="18"/>
      <w:szCs w:val="18"/>
    </w:rPr>
  </w:style>
  <w:style w:type="character" w:customStyle="1" w:styleId="14">
    <w:name w:val="标题 1 Char"/>
    <w:basedOn w:val="9"/>
    <w:link w:val="2"/>
    <w:qFormat/>
    <w:uiPriority w:val="9"/>
    <w:rPr>
      <w:b/>
      <w:bCs/>
      <w:kern w:val="44"/>
      <w:sz w:val="44"/>
      <w:szCs w:val="44"/>
    </w:rPr>
  </w:style>
  <w:style w:type="character" w:customStyle="1" w:styleId="15">
    <w:name w:val="页眉 Char"/>
    <w:basedOn w:val="9"/>
    <w:link w:val="6"/>
    <w:qFormat/>
    <w:uiPriority w:val="99"/>
    <w:rPr>
      <w:sz w:val="18"/>
      <w:szCs w:val="18"/>
    </w:rPr>
  </w:style>
  <w:style w:type="character" w:customStyle="1" w:styleId="16">
    <w:name w:val="页脚 Char"/>
    <w:basedOn w:val="9"/>
    <w:link w:val="5"/>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307</Words>
  <Characters>1750</Characters>
  <Lines>14</Lines>
  <Paragraphs>4</Paragraphs>
  <TotalTime>4</TotalTime>
  <ScaleCrop>false</ScaleCrop>
  <LinksUpToDate>false</LinksUpToDate>
  <CharactersWithSpaces>2053</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2021-03-31T15:20:00Z</dcterms:created>
  <dc:creator>韦秋叶</dc:creator>
  <cp:lastModifiedBy>廖水莲</cp:lastModifiedBy>
  <cp:lastPrinted>2017-07-26T14:52:00Z</cp:lastPrinted>
  <dcterms:modified xsi:type="dcterms:W3CDTF">2024-12-24T09:58:01Z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EE8C0522BA764835B2A0CD18DAB8982D_12</vt:lpwstr>
  </property>
</Properties>
</file>