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13.020.10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Z 01</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4413</w:t>
            </w:r>
            <w:r>
              <w:fldChar w:fldCharType="end"/>
            </w:r>
            <w:bookmarkEnd w:id="3"/>
          </w:p>
        </w:tc>
      </w:tr>
    </w:tbl>
    <w:p>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惠州市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4413/T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涉VOCs排污单位过程监控系统技术规范</w:t>
      </w:r>
      <w:r>
        <w:fldChar w:fldCharType="end"/>
      </w:r>
      <w:bookmarkEnd w:id="8"/>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Specifications of process monitoring system for VOCs pollutant discharge units</w:t>
      </w:r>
      <w:r>
        <w:rPr>
          <w:rFonts w:eastAsia="黑体"/>
          <w:szCs w:val="28"/>
        </w:rPr>
        <w:fldChar w:fldCharType="end"/>
      </w:r>
      <w:bookmarkEnd w:id="9"/>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rFonts w:hint="eastAsia"/>
          <w:sz w:val="24"/>
          <w:szCs w:val="28"/>
        </w:rPr>
        <w:t>（报批稿）</w:t>
      </w:r>
    </w:p>
    <w:p>
      <w:pPr>
        <w:pStyle w:val="195"/>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惠州市市场监督管理局</w:t>
      </w:r>
      <w:r>
        <w:rPr>
          <w:rFonts w:hAnsi="黑体"/>
          <w:w w:val="100"/>
          <w:sz w:val="28"/>
        </w:rPr>
        <w:fldChar w:fldCharType="end"/>
      </w:r>
      <w:bookmarkEnd w:id="16"/>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3"/>
        <w:spacing w:after="468"/>
      </w:pPr>
      <w:bookmarkStart w:id="17" w:name="BookMark1"/>
      <w:bookmarkStart w:id="18" w:name="_Toc147566893"/>
      <w:bookmarkStart w:id="19" w:name="_Toc170827879"/>
      <w:bookmarkStart w:id="20" w:name="_Toc146206943"/>
      <w:bookmarkStart w:id="21" w:name="_Toc158298567"/>
      <w:bookmarkStart w:id="22" w:name="_Toc158142689"/>
      <w:bookmarkStart w:id="23" w:name="_Toc167289333"/>
      <w:bookmarkStart w:id="24" w:name="_Toc158298172"/>
      <w:bookmarkStart w:id="25" w:name="_Toc171604851"/>
      <w:bookmarkStart w:id="26" w:name="_Toc157089397"/>
      <w:bookmarkStart w:id="27" w:name="_Toc160544781"/>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"_Toc171675704" </w:instrText>
      </w:r>
      <w:r>
        <w:fldChar w:fldCharType="separate"/>
      </w:r>
      <w:r>
        <w:rPr>
          <w:rStyle w:val="33"/>
        </w:rPr>
        <w:t>前言</w:t>
      </w:r>
      <w:r>
        <w:tab/>
      </w:r>
      <w:r>
        <w:fldChar w:fldCharType="begin"/>
      </w:r>
      <w:r>
        <w:instrText xml:space="preserve"> PAGEREF _Toc171675704 \h </w:instrText>
      </w:r>
      <w:r>
        <w:fldChar w:fldCharType="separate"/>
      </w:r>
      <w:r>
        <w:t>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"_Toc171675705" </w:instrText>
      </w:r>
      <w:r>
        <w:fldChar w:fldCharType="separate"/>
      </w:r>
      <w:r>
        <w:rPr>
          <w:rStyle w:val="33"/>
        </w:rPr>
        <w:t>引言</w:t>
      </w:r>
      <w:r>
        <w:tab/>
      </w:r>
      <w:r>
        <w:fldChar w:fldCharType="begin"/>
      </w:r>
      <w:r>
        <w:instrText xml:space="preserve"> PAGEREF _Toc171675705 \h </w:instrText>
      </w:r>
      <w:r>
        <w:fldChar w:fldCharType="separate"/>
      </w:r>
      <w:r>
        <w:t>III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"_Toc171675706" </w:instrText>
      </w:r>
      <w:r>
        <w:fldChar w:fldCharType="separate"/>
      </w:r>
      <w:r>
        <w:rPr>
          <w:rStyle w:val="33"/>
        </w:rPr>
        <w:t>1  范围</w:t>
      </w:r>
      <w:r>
        <w:tab/>
      </w:r>
      <w:r>
        <w:fldChar w:fldCharType="begin"/>
      </w:r>
      <w:r>
        <w:instrText xml:space="preserve"> PAGEREF _Toc171675706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"_Toc171675707" </w:instrText>
      </w:r>
      <w:r>
        <w:fldChar w:fldCharType="separate"/>
      </w:r>
      <w:r>
        <w:rPr>
          <w:rStyle w:val="33"/>
        </w:rPr>
        <w:t>2  规范性引用文件</w:t>
      </w:r>
      <w:r>
        <w:tab/>
      </w:r>
      <w:r>
        <w:fldChar w:fldCharType="begin"/>
      </w:r>
      <w:r>
        <w:instrText xml:space="preserve"> PAGEREF _Toc171675707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"_Toc171675708" </w:instrText>
      </w:r>
      <w:r>
        <w:fldChar w:fldCharType="separate"/>
      </w:r>
      <w:r>
        <w:rPr>
          <w:rStyle w:val="33"/>
        </w:rPr>
        <w:t>3  术语和定义</w:t>
      </w:r>
      <w:r>
        <w:tab/>
      </w:r>
      <w:r>
        <w:fldChar w:fldCharType="begin"/>
      </w:r>
      <w:r>
        <w:instrText xml:space="preserve"> PAGEREF _Toc171675708 \h </w:instrText>
      </w:r>
      <w:r>
        <w:fldChar w:fldCharType="separate"/>
      </w:r>
      <w:r>
        <w:t>5</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"_Toc171675709" </w:instrText>
      </w:r>
      <w:r>
        <w:fldChar w:fldCharType="separate"/>
      </w:r>
      <w:r>
        <w:rPr>
          <w:rStyle w:val="33"/>
          <w:rFonts w:hAnsi="黑体" w:cs="宋体"/>
        </w:rPr>
        <w:t>4  总则</w:t>
      </w:r>
      <w:r>
        <w:tab/>
      </w:r>
      <w:r>
        <w:fldChar w:fldCharType="begin"/>
      </w:r>
      <w:r>
        <w:instrText xml:space="preserve"> PAGEREF _Toc171675709 \h </w:instrText>
      </w:r>
      <w:r>
        <w:fldChar w:fldCharType="separate"/>
      </w:r>
      <w:r>
        <w:t>5</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"_Toc171675710" </w:instrText>
      </w:r>
      <w:r>
        <w:fldChar w:fldCharType="separate"/>
      </w:r>
      <w:r>
        <w:rPr>
          <w:rStyle w:val="33"/>
          <w14:scene3d>
            <w14:lightRig w14:rig="threePt" w14:dir="t">
              <w14:rot w14:lat="0" w14:lon="0" w14:rev="0"/>
            </w14:lightRig>
          </w14:scene3d>
        </w:rPr>
        <w:t xml:space="preserve">4.1 </w:t>
      </w:r>
      <w:r>
        <w:rPr>
          <w:rStyle w:val="33"/>
          <w:rFonts w:hAnsi="黑体"/>
        </w:rPr>
        <w:t xml:space="preserve"> 系统</w:t>
      </w:r>
      <w:r>
        <w:rPr>
          <w:rStyle w:val="33"/>
        </w:rPr>
        <w:t>组成</w:t>
      </w:r>
      <w:r>
        <w:tab/>
      </w:r>
      <w:r>
        <w:fldChar w:fldCharType="begin"/>
      </w:r>
      <w:r>
        <w:instrText xml:space="preserve"> PAGEREF _Toc171675710 \h </w:instrText>
      </w:r>
      <w:r>
        <w:fldChar w:fldCharType="separate"/>
      </w:r>
      <w:r>
        <w:t>5</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"_Toc171675711" </w:instrText>
      </w:r>
      <w:r>
        <w:fldChar w:fldCharType="separate"/>
      </w:r>
      <w:r>
        <w:rPr>
          <w:rStyle w:val="33"/>
          <w14:scene3d>
            <w14:lightRig w14:rig="threePt" w14:dir="t">
              <w14:rot w14:lat="0" w14:lon="0" w14:rev="0"/>
            </w14:lightRig>
          </w14:scene3d>
        </w:rPr>
        <w:t xml:space="preserve">4.2 </w:t>
      </w:r>
      <w:r>
        <w:rPr>
          <w:rStyle w:val="33"/>
        </w:rPr>
        <w:t xml:space="preserve"> 监控方案确定</w:t>
      </w:r>
      <w:r>
        <w:tab/>
      </w:r>
      <w:r>
        <w:fldChar w:fldCharType="begin"/>
      </w:r>
      <w:r>
        <w:instrText xml:space="preserve"> PAGEREF _Toc171675711 \h </w:instrText>
      </w:r>
      <w:r>
        <w:fldChar w:fldCharType="separate"/>
      </w:r>
      <w:r>
        <w:t>6</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"_Toc171675712" </w:instrText>
      </w:r>
      <w:r>
        <w:fldChar w:fldCharType="separate"/>
      </w:r>
      <w:r>
        <w:rPr>
          <w:rStyle w:val="33"/>
        </w:rPr>
        <w:t>5  技术要求</w:t>
      </w:r>
      <w:r>
        <w:tab/>
      </w:r>
      <w:r>
        <w:fldChar w:fldCharType="begin"/>
      </w:r>
      <w:r>
        <w:instrText xml:space="preserve"> PAGEREF _Toc171675712 \h </w:instrText>
      </w:r>
      <w:r>
        <w:fldChar w:fldCharType="separate"/>
      </w:r>
      <w:r>
        <w:t>8</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"_Toc171675713" </w:instrText>
      </w:r>
      <w:r>
        <w:fldChar w:fldCharType="separate"/>
      </w:r>
      <w:r>
        <w:rPr>
          <w:rStyle w:val="33"/>
          <w14:scene3d>
            <w14:lightRig w14:rig="threePt" w14:dir="t">
              <w14:rot w14:lat="0" w14:lon="0" w14:rev="0"/>
            </w14:lightRig>
          </w14:scene3d>
        </w:rPr>
        <w:t xml:space="preserve">5.1 </w:t>
      </w:r>
      <w:r>
        <w:rPr>
          <w:rStyle w:val="33"/>
        </w:rPr>
        <w:t xml:space="preserve"> 外观</w:t>
      </w:r>
      <w:r>
        <w:tab/>
      </w:r>
      <w:r>
        <w:fldChar w:fldCharType="begin"/>
      </w:r>
      <w:r>
        <w:instrText xml:space="preserve"> PAGEREF _Toc171675713 \h </w:instrText>
      </w:r>
      <w:r>
        <w:fldChar w:fldCharType="separate"/>
      </w:r>
      <w:r>
        <w:t>8</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"_Toc171675714" </w:instrText>
      </w:r>
      <w:r>
        <w:fldChar w:fldCharType="separate"/>
      </w:r>
      <w:r>
        <w:rPr>
          <w:rStyle w:val="33"/>
          <w14:scene3d>
            <w14:lightRig w14:rig="threePt" w14:dir="t">
              <w14:rot w14:lat="0" w14:lon="0" w14:rev="0"/>
            </w14:lightRig>
          </w14:scene3d>
        </w:rPr>
        <w:t xml:space="preserve">5.2 </w:t>
      </w:r>
      <w:r>
        <w:rPr>
          <w:rStyle w:val="33"/>
        </w:rPr>
        <w:t xml:space="preserve"> 设备性能指标</w:t>
      </w:r>
      <w:r>
        <w:tab/>
      </w:r>
      <w:r>
        <w:fldChar w:fldCharType="begin"/>
      </w:r>
      <w:r>
        <w:instrText xml:space="preserve"> PAGEREF _Toc171675714 \h </w:instrText>
      </w:r>
      <w:r>
        <w:fldChar w:fldCharType="separate"/>
      </w:r>
      <w:r>
        <w:t>9</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"_Toc171675715" </w:instrText>
      </w:r>
      <w:r>
        <w:fldChar w:fldCharType="separate"/>
      </w:r>
      <w:r>
        <w:rPr>
          <w:rStyle w:val="33"/>
        </w:rPr>
        <w:t>6  安装</w:t>
      </w:r>
      <w:r>
        <w:tab/>
      </w:r>
      <w:r>
        <w:fldChar w:fldCharType="begin"/>
      </w:r>
      <w:r>
        <w:instrText xml:space="preserve"> PAGEREF _Toc171675715 \h </w:instrText>
      </w:r>
      <w:r>
        <w:fldChar w:fldCharType="separate"/>
      </w:r>
      <w:r>
        <w:t>10</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"_Toc171675716" </w:instrText>
      </w:r>
      <w:r>
        <w:fldChar w:fldCharType="separate"/>
      </w:r>
      <w:r>
        <w:rPr>
          <w:rStyle w:val="33"/>
          <w14:scene3d>
            <w14:lightRig w14:rig="threePt" w14:dir="t">
              <w14:rot w14:lat="0" w14:lon="0" w14:rev="0"/>
            </w14:lightRig>
          </w14:scene3d>
        </w:rPr>
        <w:t xml:space="preserve">6.1 </w:t>
      </w:r>
      <w:r>
        <w:rPr>
          <w:rStyle w:val="33"/>
        </w:rPr>
        <w:t xml:space="preserve"> 安装要求</w:t>
      </w:r>
      <w:r>
        <w:tab/>
      </w:r>
      <w:r>
        <w:fldChar w:fldCharType="begin"/>
      </w:r>
      <w:r>
        <w:instrText xml:space="preserve"> PAGEREF _Toc171675716 \h </w:instrText>
      </w:r>
      <w:r>
        <w:fldChar w:fldCharType="separate"/>
      </w:r>
      <w:r>
        <w:t>10</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"_Toc171675717" </w:instrText>
      </w:r>
      <w:r>
        <w:fldChar w:fldCharType="separate"/>
      </w:r>
      <w:r>
        <w:rPr>
          <w:rStyle w:val="33"/>
          <w14:scene3d>
            <w14:lightRig w14:rig="threePt" w14:dir="t">
              <w14:rot w14:lat="0" w14:lon="0" w14:rev="0"/>
            </w14:lightRig>
          </w14:scene3d>
        </w:rPr>
        <w:t xml:space="preserve">6.2 </w:t>
      </w:r>
      <w:r>
        <w:rPr>
          <w:rStyle w:val="33"/>
        </w:rPr>
        <w:t xml:space="preserve"> 技术验收</w:t>
      </w:r>
      <w:r>
        <w:tab/>
      </w:r>
      <w:r>
        <w:fldChar w:fldCharType="begin"/>
      </w:r>
      <w:r>
        <w:instrText xml:space="preserve"> PAGEREF _Toc171675717 \h </w:instrText>
      </w:r>
      <w:r>
        <w:fldChar w:fldCharType="separate"/>
      </w:r>
      <w:r>
        <w:t>10</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"_Toc171675718" </w:instrText>
      </w:r>
      <w:r>
        <w:fldChar w:fldCharType="separate"/>
      </w:r>
      <w:r>
        <w:rPr>
          <w:rStyle w:val="33"/>
        </w:rPr>
        <w:t>7  运行和维护</w:t>
      </w:r>
      <w:r>
        <w:tab/>
      </w:r>
      <w:r>
        <w:fldChar w:fldCharType="begin"/>
      </w:r>
      <w:r>
        <w:instrText xml:space="preserve"> PAGEREF _Toc171675718 \h </w:instrText>
      </w:r>
      <w:r>
        <w:fldChar w:fldCharType="separate"/>
      </w:r>
      <w:r>
        <w:t>11</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"_Toc171675719" </w:instrText>
      </w:r>
      <w:r>
        <w:fldChar w:fldCharType="separate"/>
      </w:r>
      <w:r>
        <w:rPr>
          <w:rStyle w:val="33"/>
          <w14:scene3d>
            <w14:lightRig w14:rig="threePt" w14:dir="t">
              <w14:rot w14:lat="0" w14:lon="0" w14:rev="0"/>
            </w14:lightRig>
          </w14:scene3d>
        </w:rPr>
        <w:t xml:space="preserve">7.1 </w:t>
      </w:r>
      <w:r>
        <w:rPr>
          <w:rStyle w:val="33"/>
        </w:rPr>
        <w:t xml:space="preserve"> 日常运行管理</w:t>
      </w:r>
      <w:r>
        <w:tab/>
      </w:r>
      <w:r>
        <w:fldChar w:fldCharType="begin"/>
      </w:r>
      <w:r>
        <w:instrText xml:space="preserve"> PAGEREF _Toc171675719 \h </w:instrText>
      </w:r>
      <w:r>
        <w:fldChar w:fldCharType="separate"/>
      </w:r>
      <w:r>
        <w:t>11</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"_Toc171675720" </w:instrText>
      </w:r>
      <w:r>
        <w:fldChar w:fldCharType="separate"/>
      </w:r>
      <w:r>
        <w:rPr>
          <w:rStyle w:val="33"/>
          <w14:scene3d>
            <w14:lightRig w14:rig="threePt" w14:dir="t">
              <w14:rot w14:lat="0" w14:lon="0" w14:rev="0"/>
            </w14:lightRig>
          </w14:scene3d>
        </w:rPr>
        <w:t xml:space="preserve">7.2 </w:t>
      </w:r>
      <w:r>
        <w:rPr>
          <w:rStyle w:val="33"/>
        </w:rPr>
        <w:t xml:space="preserve"> 异常情况判定</w:t>
      </w:r>
      <w:r>
        <w:tab/>
      </w:r>
      <w:r>
        <w:fldChar w:fldCharType="begin"/>
      </w:r>
      <w:r>
        <w:instrText xml:space="preserve"> PAGEREF _Toc171675720 \h </w:instrText>
      </w:r>
      <w:r>
        <w:fldChar w:fldCharType="separate"/>
      </w:r>
      <w:r>
        <w:t>12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"_Toc171675721" </w:instrText>
      </w:r>
      <w:r>
        <w:fldChar w:fldCharType="separate"/>
      </w:r>
      <w:r>
        <w:rPr>
          <w:rStyle w:val="33"/>
          <w14:scene3d>
            <w14:lightRig w14:rig="threePt" w14:dir="t">
              <w14:rot w14:lat="0" w14:lon="0" w14:rev="0"/>
            </w14:lightRig>
          </w14:scene3d>
        </w:rPr>
        <w:t xml:space="preserve">7.3 </w:t>
      </w:r>
      <w:r>
        <w:rPr>
          <w:rStyle w:val="33"/>
        </w:rPr>
        <w:t xml:space="preserve"> 系统数据采集与传输、存储要求</w:t>
      </w:r>
      <w:r>
        <w:tab/>
      </w:r>
      <w:r>
        <w:fldChar w:fldCharType="begin"/>
      </w:r>
      <w:r>
        <w:instrText xml:space="preserve"> PAGEREF _Toc171675721 \h </w:instrText>
      </w:r>
      <w:r>
        <w:fldChar w:fldCharType="separate"/>
      </w:r>
      <w:r>
        <w:t>12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"_Toc171675722" </w:instrText>
      </w:r>
      <w:r>
        <w:fldChar w:fldCharType="separate"/>
      </w:r>
      <w:r>
        <w:rPr>
          <w:rStyle w:val="33"/>
        </w:rPr>
        <w:t>附录A（资料性）  企业信息表示例及设备清单</w:t>
      </w:r>
      <w:r>
        <w:tab/>
      </w:r>
      <w:r>
        <w:fldChar w:fldCharType="begin"/>
      </w:r>
      <w:r>
        <w:instrText xml:space="preserve"> PAGEREF _Toc171675722 \h </w:instrText>
      </w:r>
      <w:r>
        <w:fldChar w:fldCharType="separate"/>
      </w:r>
      <w:r>
        <w:t>13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"_Toc171675723" </w:instrText>
      </w:r>
      <w:r>
        <w:fldChar w:fldCharType="separate"/>
      </w:r>
      <w:r>
        <w:rPr>
          <w:rStyle w:val="33"/>
        </w:rPr>
        <w:t>A.1  企业信息表示例</w:t>
      </w:r>
      <w:r>
        <w:tab/>
      </w:r>
      <w:r>
        <w:fldChar w:fldCharType="begin"/>
      </w:r>
      <w:r>
        <w:instrText xml:space="preserve"> PAGEREF _Toc171675723 \h </w:instrText>
      </w:r>
      <w:r>
        <w:fldChar w:fldCharType="separate"/>
      </w:r>
      <w:r>
        <w:t>13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"_Toc171675724" </w:instrText>
      </w:r>
      <w:r>
        <w:fldChar w:fldCharType="separate"/>
      </w:r>
      <w:r>
        <w:rPr>
          <w:rStyle w:val="33"/>
        </w:rPr>
        <w:t>A.2  系统设备清单</w:t>
      </w:r>
      <w:r>
        <w:tab/>
      </w:r>
      <w:r>
        <w:fldChar w:fldCharType="begin"/>
      </w:r>
      <w:r>
        <w:instrText xml:space="preserve"> PAGEREF _Toc171675724 \h </w:instrText>
      </w:r>
      <w:r>
        <w:fldChar w:fldCharType="separate"/>
      </w:r>
      <w:r>
        <w:t>13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"_Toc171675725" </w:instrText>
      </w:r>
      <w:r>
        <w:fldChar w:fldCharType="separate"/>
      </w:r>
      <w:r>
        <w:rPr>
          <w:rStyle w:val="33"/>
        </w:rPr>
        <w:t>附录B（资料性）  因子编码及安装位置</w:t>
      </w:r>
      <w:r>
        <w:tab/>
      </w:r>
      <w:r>
        <w:fldChar w:fldCharType="begin"/>
      </w:r>
      <w:r>
        <w:instrText xml:space="preserve"> PAGEREF _Toc171675725 \h </w:instrText>
      </w:r>
      <w:r>
        <w:fldChar w:fldCharType="separate"/>
      </w:r>
      <w:r>
        <w:t>15</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"_Toc171675726" </w:instrText>
      </w:r>
      <w:r>
        <w:fldChar w:fldCharType="separate"/>
      </w:r>
      <w:r>
        <w:rPr>
          <w:rStyle w:val="33"/>
        </w:rPr>
        <w:t>附录C（资料性）  系统运行数据采集和传输联网报告</w:t>
      </w:r>
      <w:r>
        <w:tab/>
      </w:r>
      <w:r>
        <w:fldChar w:fldCharType="begin"/>
      </w:r>
      <w:r>
        <w:instrText xml:space="preserve"> PAGEREF _Toc171675726 \h </w:instrText>
      </w:r>
      <w:r>
        <w:fldChar w:fldCharType="separate"/>
      </w:r>
      <w:r>
        <w:t>16</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"_Toc171675727" </w:instrText>
      </w:r>
      <w:r>
        <w:fldChar w:fldCharType="separate"/>
      </w:r>
      <w:r>
        <w:rPr>
          <w:rStyle w:val="33"/>
        </w:rPr>
        <w:t>参考文献</w:t>
      </w:r>
      <w:r>
        <w:tab/>
      </w:r>
      <w:r>
        <w:fldChar w:fldCharType="begin"/>
      </w:r>
      <w:r>
        <w:instrText xml:space="preserve"> PAGEREF _Toc171675727 \h </w:instrText>
      </w:r>
      <w:r>
        <w:fldChar w:fldCharType="separate"/>
      </w:r>
      <w:r>
        <w:t>17</w:t>
      </w:r>
      <w:r>
        <w:fldChar w:fldCharType="end"/>
      </w:r>
      <w:r>
        <w:fldChar w:fldCharType="end"/>
      </w:r>
    </w:p>
    <w:p>
      <w:pPr>
        <w:pStyle w:val="93"/>
        <w:spacing w:after="468"/>
        <w:sectPr>
          <w:headerReference r:id="rId11" w:type="default"/>
          <w:footerReference r:id="rId13" w:type="default"/>
          <w:headerReference r:id="rId12" w:type="even"/>
          <w:footerReference r:id="rId14"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17"/>
    <w:p>
      <w:pPr>
        <w:pStyle w:val="91"/>
        <w:spacing w:after="468"/>
      </w:pPr>
      <w:bookmarkStart w:id="28" w:name="_Toc171675704"/>
      <w:bookmarkStart w:id="29" w:name="BookMark2"/>
      <w:r>
        <w:rPr>
          <w:spacing w:val="320"/>
        </w:rPr>
        <w:t>前</w:t>
      </w:r>
      <w:r>
        <w:t>言</w:t>
      </w:r>
      <w:bookmarkEnd w:id="18"/>
      <w:bookmarkEnd w:id="19"/>
      <w:bookmarkEnd w:id="20"/>
      <w:bookmarkEnd w:id="21"/>
      <w:bookmarkEnd w:id="22"/>
      <w:bookmarkEnd w:id="23"/>
      <w:bookmarkEnd w:id="24"/>
      <w:bookmarkEnd w:id="25"/>
      <w:bookmarkEnd w:id="26"/>
      <w:bookmarkEnd w:id="27"/>
      <w:bookmarkEnd w:id="28"/>
    </w:p>
    <w:p>
      <w:pPr>
        <w:pStyle w:val="58"/>
        <w:ind w:firstLine="420"/>
      </w:pPr>
      <w:r>
        <w:rPr>
          <w:rFonts w:hint="eastAsia"/>
        </w:rPr>
        <w:t>本文件按照GB/T 1.1—2020《标准化工作导则  第1部分：标准化文件的结构和起草规则》的规定起草。</w:t>
      </w:r>
    </w:p>
    <w:p>
      <w:pPr>
        <w:pStyle w:val="58"/>
        <w:ind w:firstLine="420"/>
      </w:pPr>
      <w:bookmarkStart w:id="30" w:name="_Hlk171695935"/>
      <w:r>
        <w:rPr>
          <w:rFonts w:hint="eastAsia"/>
        </w:rPr>
        <w:t>请注意本文件的某些内容可能涉及专利。本文件的发布机构不承担识别专利的责任。</w:t>
      </w:r>
    </w:p>
    <w:bookmarkEnd w:id="30"/>
    <w:p>
      <w:pPr>
        <w:pStyle w:val="58"/>
        <w:ind w:firstLine="420"/>
      </w:pPr>
      <w:r>
        <w:rPr>
          <w:rFonts w:hint="eastAsia"/>
        </w:rPr>
        <w:t>本文件由惠州市生态环境局提出。</w:t>
      </w:r>
    </w:p>
    <w:p>
      <w:pPr>
        <w:pStyle w:val="58"/>
        <w:ind w:firstLine="420"/>
      </w:pPr>
      <w:r>
        <w:rPr>
          <w:rFonts w:hint="eastAsia"/>
        </w:rPr>
        <w:t>本文件由惠州市市场监督管理局归口。</w:t>
      </w:r>
    </w:p>
    <w:p>
      <w:pPr>
        <w:pStyle w:val="58"/>
        <w:ind w:firstLine="420"/>
        <w:sectPr>
          <w:headerReference r:id="rId15" w:type="default"/>
          <w:footerReference r:id="rId17" w:type="default"/>
          <w:headerReference r:id="rId16" w:type="even"/>
          <w:footerReference r:id="rId18" w:type="even"/>
          <w:pgSz w:w="11906" w:h="16838"/>
          <w:pgMar w:top="2410" w:right="1134" w:bottom="1134" w:left="1134" w:header="1418" w:footer="1134" w:gutter="284"/>
          <w:pgNumType w:fmt="upperRoman"/>
          <w:cols w:space="425" w:num="1"/>
          <w:formProt w:val="0"/>
          <w:docGrid w:type="lines" w:linePitch="312" w:charSpace="0"/>
        </w:sectPr>
      </w:pPr>
      <w:r>
        <w:rPr>
          <w:rFonts w:hint="eastAsia"/>
        </w:rPr>
        <w:t>本文件起草单位：惠州市生态环境应急与数据中心、惠州市环境科学研究所、广东省惠州市质量技术监督标准与编码所、大连电团网络科技有限公司、广东卓凡(仲恺)律师事务所。</w:t>
      </w:r>
    </w:p>
    <w:bookmarkEnd w:id="29"/>
    <w:p>
      <w:pPr>
        <w:pStyle w:val="91"/>
        <w:spacing w:after="468"/>
      </w:pPr>
      <w:bookmarkStart w:id="31" w:name="_Toc171675705"/>
      <w:bookmarkStart w:id="32" w:name="_Toc171604852"/>
      <w:bookmarkStart w:id="33" w:name="BookMark3"/>
      <w:r>
        <w:rPr>
          <w:spacing w:val="320"/>
        </w:rPr>
        <w:t>引</w:t>
      </w:r>
      <w:r>
        <w:t>言</w:t>
      </w:r>
      <w:bookmarkEnd w:id="31"/>
      <w:bookmarkEnd w:id="32"/>
    </w:p>
    <w:p>
      <w:pPr>
        <w:pStyle w:val="58"/>
        <w:ind w:firstLine="420"/>
      </w:pPr>
      <w:r>
        <w:rPr>
          <w:rFonts w:hint="eastAsia"/>
        </w:rPr>
        <w:t>《大气污染防治行动计划》实施以来，国家不断加强VOCs污染防治工作，印发VOCs污染防治工作方案，出台炼油、石化等行业排放标准，一些地区制定地方排放标准，加强VOCs监测、监控、报告、统计等基础能力建设，取得一些进展，但VOCs治理工作力度还需进一步加强，污染攻坚还需进一步在源头控制、治污设施运行管理、末端达标排放等方面着力。如在废气治理设施运行管理方面，不少企业存在管理制度不健全、操作规程未建立、设施不正常运行等问题。因此，为贯彻《中华人民共和国环境保护法》《中华人民共和国大气污染防治法》等法律法规，防治环境污染，保障生态安全和人体健康，提高挥发性有机物（VOCs）治理的科学性、针对性和有效性，需要全面加强过程管控，实施精细化管理。</w:t>
      </w:r>
    </w:p>
    <w:p>
      <w:pPr>
        <w:pStyle w:val="58"/>
        <w:ind w:firstLine="420"/>
      </w:pPr>
      <w:r>
        <w:rPr>
          <w:rFonts w:hint="eastAsia"/>
        </w:rPr>
        <w:t>本文件聚焦于VOCs治理需求，规范了涉VOCs排污单位过程监控系统的安装验收、运行和维护管理等技术要求，并通过实时监控涉VOCs排污单位的生产排污情况、污染防治设施运行情况，从而全面加强VOCs过程管控，为全面打好大气污染防治攻坚战、提升辖区空气质量奠定了良好基础。</w:t>
      </w:r>
    </w:p>
    <w:p>
      <w:pPr>
        <w:pStyle w:val="58"/>
        <w:ind w:firstLine="420"/>
        <w:sectPr>
          <w:headerReference r:id="rId19" w:type="default"/>
          <w:footerReference r:id="rId21" w:type="default"/>
          <w:headerReference r:id="rId20" w:type="even"/>
          <w:footerReference r:id="rId22" w:type="even"/>
          <w:pgSz w:w="11906" w:h="16838"/>
          <w:pgMar w:top="2410" w:right="1134" w:bottom="1134" w:left="1134" w:header="1418" w:footer="1134" w:gutter="284"/>
          <w:pgNumType w:fmt="upperRoman"/>
          <w:cols w:space="425" w:num="1"/>
          <w:formProt w:val="0"/>
          <w:docGrid w:type="lines" w:linePitch="312" w:charSpace="0"/>
        </w:sectPr>
      </w:pPr>
    </w:p>
    <w:bookmarkEnd w:id="33"/>
    <w:p>
      <w:pPr>
        <w:spacing w:line="20" w:lineRule="exact"/>
        <w:jc w:val="center"/>
        <w:rPr>
          <w:rFonts w:ascii="黑体" w:hAnsi="黑体" w:eastAsia="黑体"/>
          <w:sz w:val="32"/>
          <w:szCs w:val="32"/>
        </w:rPr>
      </w:pPr>
      <w:bookmarkStart w:id="34" w:name="BookMark4"/>
    </w:p>
    <w:p>
      <w:pPr>
        <w:spacing w:line="20" w:lineRule="exact"/>
        <w:jc w:val="center"/>
        <w:rPr>
          <w:rFonts w:ascii="黑体" w:hAnsi="黑体" w:eastAsia="黑体"/>
          <w:sz w:val="32"/>
          <w:szCs w:val="32"/>
        </w:rPr>
      </w:pPr>
    </w:p>
    <w:sdt>
      <w:sdtPr>
        <w:tag w:val="NEW_STAND_NAME"/>
        <w:id w:val="595910757"/>
        <w:lock w:val="sdtLocked"/>
        <w:placeholder>
          <w:docPart w:val="310F2404902E4D77A987A0AC04DE8750"/>
        </w:placeholder>
      </w:sdtPr>
      <w:sdtContent>
        <w:p>
          <w:pPr>
            <w:pStyle w:val="179"/>
            <w:spacing w:before="3" w:beforeLines="1" w:after="686" w:afterLines="220"/>
          </w:pPr>
          <w:bookmarkStart w:id="35" w:name="NEW_STAND_NAME"/>
          <w:r>
            <w:rPr>
              <w:rFonts w:hint="eastAsia"/>
            </w:rPr>
            <w:t>涉</w:t>
          </w:r>
          <w:r>
            <w:t>VOCs排污单位过程监控系统技术规范</w:t>
          </w:r>
        </w:p>
      </w:sdtContent>
    </w:sdt>
    <w:bookmarkEnd w:id="35"/>
    <w:p>
      <w:pPr>
        <w:pStyle w:val="106"/>
        <w:spacing w:before="312" w:after="312"/>
      </w:pPr>
      <w:bookmarkStart w:id="36" w:name="_Toc26648465"/>
      <w:bookmarkStart w:id="37" w:name="_Toc158142690"/>
      <w:bookmarkStart w:id="38" w:name="_Toc24884211"/>
      <w:bookmarkStart w:id="39" w:name="_Toc157089398"/>
      <w:bookmarkStart w:id="40" w:name="_Toc17233325"/>
      <w:bookmarkStart w:id="41" w:name="_Toc158298568"/>
      <w:bookmarkStart w:id="42" w:name="_Toc17233333"/>
      <w:bookmarkStart w:id="43" w:name="_Toc158298173"/>
      <w:bookmarkStart w:id="44" w:name="_Toc26986771"/>
      <w:bookmarkStart w:id="45" w:name="_Toc171675706"/>
      <w:bookmarkStart w:id="46" w:name="_Toc26718930"/>
      <w:bookmarkStart w:id="47" w:name="_Toc170827880"/>
      <w:bookmarkStart w:id="48" w:name="_Toc146206944"/>
      <w:bookmarkStart w:id="49" w:name="_Toc26986530"/>
      <w:bookmarkStart w:id="50" w:name="_Toc160544782"/>
      <w:bookmarkStart w:id="51" w:name="_Toc24884218"/>
      <w:bookmarkStart w:id="52" w:name="_Toc147566894"/>
      <w:bookmarkStart w:id="53" w:name="_Toc171604853"/>
      <w:bookmarkStart w:id="54" w:name="_Toc167289334"/>
      <w:r>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pStyle w:val="58"/>
        <w:ind w:firstLine="420"/>
      </w:pPr>
      <w:bookmarkStart w:id="55" w:name="_Toc24884219"/>
      <w:bookmarkStart w:id="56" w:name="_Toc24884212"/>
      <w:bookmarkStart w:id="57" w:name="_Toc26648466"/>
      <w:bookmarkStart w:id="58" w:name="_Toc17233326"/>
      <w:bookmarkStart w:id="59" w:name="_Toc17233334"/>
      <w:r>
        <w:rPr>
          <w:rFonts w:hint="eastAsia"/>
        </w:rPr>
        <w:t>本文件规定了涉VOCs排污单位过程监控系统（以下简称“过程监控系统”）的术语和定义、总则、技术要求、安装验收、运行和维护管理等技术要求。</w:t>
      </w:r>
    </w:p>
    <w:p>
      <w:pPr>
        <w:pStyle w:val="58"/>
        <w:ind w:firstLine="420"/>
      </w:pPr>
      <w:r>
        <w:rPr>
          <w:rFonts w:hint="eastAsia"/>
        </w:rPr>
        <w:t>本文件适用于惠州市行政区域内涉VOCs排污单位过程监控系统的安装、验收及运行维护。</w:t>
      </w:r>
    </w:p>
    <w:p>
      <w:pPr>
        <w:pStyle w:val="106"/>
        <w:spacing w:before="312" w:after="312"/>
      </w:pPr>
      <w:bookmarkStart w:id="60" w:name="_Toc146206945"/>
      <w:bookmarkStart w:id="61" w:name="_Toc160544783"/>
      <w:bookmarkStart w:id="62" w:name="_Toc26718931"/>
      <w:bookmarkStart w:id="63" w:name="_Toc158298174"/>
      <w:bookmarkStart w:id="64" w:name="_Toc171604854"/>
      <w:bookmarkStart w:id="65" w:name="_Toc158142691"/>
      <w:bookmarkStart w:id="66" w:name="_Toc158298569"/>
      <w:bookmarkStart w:id="67" w:name="_Toc171675707"/>
      <w:bookmarkStart w:id="68" w:name="_Toc157089399"/>
      <w:bookmarkStart w:id="69" w:name="_Toc26986531"/>
      <w:bookmarkStart w:id="70" w:name="_Toc26986772"/>
      <w:bookmarkStart w:id="71" w:name="_Toc147566895"/>
      <w:bookmarkStart w:id="72" w:name="_Toc170827881"/>
      <w:bookmarkStart w:id="73" w:name="_Toc167289335"/>
      <w:r>
        <w:rPr>
          <w:rFonts w:hint="eastAsia"/>
        </w:rPr>
        <w:t>规范性引用文件</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dt>
      <w:sdtPr>
        <w:rPr>
          <w:rFonts w:hint="eastAsia"/>
        </w:rPr>
        <w:id w:val="715848253"/>
        <w:placeholder>
          <w:docPart w:val="3CF88B3775984FD1A01B1E58BCF545D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pPr>
      <w:r>
        <w:rPr>
          <w:rFonts w:hint="eastAsia"/>
        </w:rPr>
        <w:t>GB/T</w:t>
      </w:r>
      <w:r>
        <w:t xml:space="preserve"> </w:t>
      </w:r>
      <w:r>
        <w:rPr>
          <w:rFonts w:hint="eastAsia"/>
        </w:rPr>
        <w:t>2423（所有部分） 环境试验</w:t>
      </w:r>
    </w:p>
    <w:p>
      <w:pPr>
        <w:pStyle w:val="58"/>
        <w:ind w:firstLine="420"/>
      </w:pPr>
      <w:r>
        <w:rPr>
          <w:rFonts w:hint="eastAsia"/>
        </w:rPr>
        <w:t>GB/T 3836.1</w:t>
      </w:r>
      <w:r>
        <w:t xml:space="preserve">  </w:t>
      </w:r>
      <w:r>
        <w:rPr>
          <w:rFonts w:hint="eastAsia"/>
        </w:rPr>
        <w:t>爆炸性环境 第1部分：设备 通用要求</w:t>
      </w:r>
    </w:p>
    <w:p>
      <w:pPr>
        <w:pStyle w:val="58"/>
        <w:ind w:firstLine="420"/>
      </w:pPr>
      <w:r>
        <w:rPr>
          <w:rFonts w:hint="eastAsia"/>
        </w:rPr>
        <w:t>GB/T 3836.2</w:t>
      </w:r>
      <w:r>
        <w:t xml:space="preserve">  </w:t>
      </w:r>
      <w:r>
        <w:rPr>
          <w:rFonts w:hint="eastAsia"/>
        </w:rPr>
        <w:t>爆炸性环境 第2部分：由隔爆外壳“d”保护的设备</w:t>
      </w:r>
    </w:p>
    <w:p>
      <w:pPr>
        <w:pStyle w:val="58"/>
        <w:ind w:firstLine="420"/>
      </w:pPr>
      <w:r>
        <w:rPr>
          <w:rFonts w:hint="eastAsia"/>
        </w:rPr>
        <w:t>GB/T 3836.4</w:t>
      </w:r>
      <w:r>
        <w:t xml:space="preserve">  </w:t>
      </w:r>
      <w:r>
        <w:rPr>
          <w:rFonts w:hint="eastAsia"/>
        </w:rPr>
        <w:t>爆炸性环境 第4部分：由本质安全型“i”保护的设备</w:t>
      </w:r>
    </w:p>
    <w:p>
      <w:pPr>
        <w:pStyle w:val="58"/>
        <w:ind w:firstLine="420"/>
      </w:pPr>
      <w:r>
        <w:rPr>
          <w:rFonts w:hint="eastAsia"/>
        </w:rPr>
        <w:t>GB/T 3369.1</w:t>
      </w:r>
      <w:r>
        <w:t xml:space="preserve">  </w:t>
      </w:r>
      <w:r>
        <w:rPr>
          <w:rFonts w:hint="eastAsia"/>
        </w:rPr>
        <w:t>过程控制系统用模拟信号 第1部分：直流电流信号</w:t>
      </w:r>
    </w:p>
    <w:p>
      <w:pPr>
        <w:pStyle w:val="58"/>
        <w:ind w:firstLine="420"/>
      </w:pPr>
      <w:r>
        <w:rPr>
          <w:rFonts w:hint="eastAsia"/>
        </w:rPr>
        <w:t>GB/T 3369.2</w:t>
      </w:r>
      <w:r>
        <w:t xml:space="preserve">  </w:t>
      </w:r>
      <w:r>
        <w:rPr>
          <w:rFonts w:hint="eastAsia"/>
        </w:rPr>
        <w:t>过程控制系统用模拟信号 第2部分：直流电压信号</w:t>
      </w:r>
    </w:p>
    <w:p>
      <w:pPr>
        <w:pStyle w:val="58"/>
        <w:ind w:firstLine="420"/>
      </w:pPr>
      <w:r>
        <w:rPr>
          <w:rFonts w:hint="eastAsia"/>
        </w:rPr>
        <w:t>GB/T</w:t>
      </w:r>
      <w:r>
        <w:t xml:space="preserve"> </w:t>
      </w:r>
      <w:r>
        <w:rPr>
          <w:rFonts w:hint="eastAsia"/>
        </w:rPr>
        <w:t>13850</w:t>
      </w:r>
      <w:r>
        <w:t xml:space="preserve">  </w:t>
      </w:r>
      <w:r>
        <w:rPr>
          <w:rFonts w:hint="eastAsia"/>
        </w:rPr>
        <w:t>交流电量转换为模拟量或数字信号的电测量变送器</w:t>
      </w:r>
    </w:p>
    <w:p>
      <w:pPr>
        <w:pStyle w:val="58"/>
        <w:ind w:firstLine="420"/>
      </w:pPr>
      <w:r>
        <w:rPr>
          <w:rFonts w:hint="eastAsia"/>
        </w:rPr>
        <w:t>GB/T</w:t>
      </w:r>
      <w:r>
        <w:t xml:space="preserve"> </w:t>
      </w:r>
      <w:r>
        <w:rPr>
          <w:rFonts w:hint="eastAsia"/>
        </w:rPr>
        <w:t>17215.211</w:t>
      </w:r>
      <w:r>
        <w:t xml:space="preserve">  </w:t>
      </w:r>
      <w:r>
        <w:rPr>
          <w:rFonts w:hint="eastAsia"/>
        </w:rPr>
        <w:t>电测量设备（交流） 通用要求、试验和试验条件 第11部分：测量设备</w:t>
      </w:r>
    </w:p>
    <w:p>
      <w:pPr>
        <w:pStyle w:val="58"/>
        <w:ind w:firstLine="420"/>
        <w:rPr>
          <w:rFonts w:hint="eastAsia"/>
        </w:rPr>
      </w:pPr>
      <w:r>
        <w:rPr>
          <w:rFonts w:hint="eastAsia"/>
        </w:rPr>
        <w:t>GB/T</w:t>
      </w:r>
      <w:r>
        <w:t xml:space="preserve"> </w:t>
      </w:r>
      <w:r>
        <w:rPr>
          <w:rFonts w:hint="eastAsia"/>
        </w:rPr>
        <w:t>17215.321</w:t>
      </w:r>
      <w:r>
        <w:t xml:space="preserve">  </w:t>
      </w:r>
      <w:r>
        <w:rPr>
          <w:rFonts w:hint="eastAsia"/>
        </w:rPr>
        <w:t>电测量设备（交流） 特殊要求 第21部分：静止式有功电能表 (A级、B级、C级、D级和E级)</w:t>
      </w:r>
    </w:p>
    <w:p>
      <w:pPr>
        <w:pStyle w:val="58"/>
        <w:ind w:firstLine="420"/>
      </w:pPr>
      <w:r>
        <w:rPr>
          <w:rFonts w:hint="eastAsia"/>
        </w:rPr>
        <w:t>GB</w:t>
      </w:r>
      <w:r>
        <w:t>/</w:t>
      </w:r>
      <w:r>
        <w:rPr>
          <w:rFonts w:hint="eastAsia"/>
        </w:rPr>
        <w:t>T</w:t>
      </w:r>
      <w:r>
        <w:t xml:space="preserve"> </w:t>
      </w:r>
      <w:r>
        <w:rPr>
          <w:rFonts w:hint="eastAsia"/>
        </w:rPr>
        <w:t>17626(所有部分)</w:t>
      </w:r>
      <w:r>
        <w:t xml:space="preserve">  </w:t>
      </w:r>
      <w:r>
        <w:rPr>
          <w:rFonts w:hint="eastAsia"/>
        </w:rPr>
        <w:t>电磁兼容 试验和测量技术</w:t>
      </w:r>
    </w:p>
    <w:p>
      <w:pPr>
        <w:pStyle w:val="58"/>
        <w:ind w:firstLine="420"/>
      </w:pPr>
      <w:r>
        <w:rPr>
          <w:rFonts w:hint="eastAsia"/>
        </w:rPr>
        <w:t>GB</w:t>
      </w:r>
      <w:r>
        <w:t>/</w:t>
      </w:r>
      <w:r>
        <w:rPr>
          <w:rFonts w:hint="eastAsia"/>
        </w:rPr>
        <w:t>T</w:t>
      </w:r>
      <w:r>
        <w:t xml:space="preserve"> </w:t>
      </w:r>
      <w:r>
        <w:rPr>
          <w:rFonts w:hint="eastAsia"/>
        </w:rPr>
        <w:t>20840.2</w:t>
      </w:r>
      <w:r>
        <w:t xml:space="preserve">  </w:t>
      </w:r>
      <w:r>
        <w:fldChar w:fldCharType="begin"/>
      </w:r>
      <w:r>
        <w:instrText xml:space="preserve"> HYPERLINK "http://standard.sist.org.cn/StdSearch/stdDetail.aspx?AppID=GB/T%2020840.2-2014&amp;v=GB/T%2020840.2%24" \t "_blank" </w:instrText>
      </w:r>
      <w:r>
        <w:fldChar w:fldCharType="separate"/>
      </w:r>
      <w:r>
        <w:rPr>
          <w:rFonts w:hint="eastAsia"/>
        </w:rPr>
        <w:t>互感器 第2部分：电流互感器的补充技术要求</w:t>
      </w:r>
      <w:r>
        <w:rPr>
          <w:rFonts w:hint="eastAsia"/>
        </w:rPr>
        <w:fldChar w:fldCharType="end"/>
      </w:r>
    </w:p>
    <w:p>
      <w:pPr>
        <w:pStyle w:val="58"/>
        <w:ind w:firstLine="420"/>
      </w:pPr>
      <w:r>
        <w:rPr>
          <w:rFonts w:hint="eastAsia"/>
        </w:rPr>
        <w:t>GB/T</w:t>
      </w:r>
      <w:r>
        <w:t xml:space="preserve"> </w:t>
      </w:r>
      <w:r>
        <w:rPr>
          <w:rFonts w:hint="eastAsia"/>
        </w:rPr>
        <w:t>20840.3</w:t>
      </w:r>
      <w:r>
        <w:t xml:space="preserve">  </w:t>
      </w:r>
      <w:r>
        <w:rPr>
          <w:rFonts w:hint="eastAsia"/>
        </w:rPr>
        <w:t>互感器 第3部分：电磁式电压互感器的补充技术要求</w:t>
      </w:r>
    </w:p>
    <w:p>
      <w:pPr>
        <w:pStyle w:val="58"/>
        <w:ind w:firstLine="420"/>
      </w:pPr>
      <w:r>
        <w:rPr>
          <w:rFonts w:hint="eastAsia"/>
        </w:rPr>
        <w:t>GB/T</w:t>
      </w:r>
      <w:r>
        <w:t xml:space="preserve"> </w:t>
      </w:r>
      <w:r>
        <w:rPr>
          <w:rFonts w:hint="eastAsia"/>
        </w:rPr>
        <w:t>28474.1</w:t>
      </w:r>
      <w:r>
        <w:t xml:space="preserve">  </w:t>
      </w:r>
      <w:r>
        <w:rPr>
          <w:rFonts w:hint="eastAsia"/>
        </w:rPr>
        <w:t>工业过程测量和控制系统用压力/差压变送器 第1部分:通用技术条件</w:t>
      </w:r>
    </w:p>
    <w:p>
      <w:pPr>
        <w:pStyle w:val="58"/>
        <w:ind w:firstLine="420"/>
      </w:pPr>
      <w:r>
        <w:rPr>
          <w:rFonts w:hint="eastAsia"/>
        </w:rPr>
        <w:t>GB/T</w:t>
      </w:r>
      <w:r>
        <w:t xml:space="preserve"> </w:t>
      </w:r>
      <w:r>
        <w:rPr>
          <w:rFonts w:hint="eastAsia"/>
        </w:rPr>
        <w:t>28474.2</w:t>
      </w:r>
      <w:r>
        <w:t xml:space="preserve">  </w:t>
      </w:r>
      <w:r>
        <w:rPr>
          <w:rFonts w:hint="eastAsia"/>
        </w:rPr>
        <w:t>工业过程测量和控制系统用压力/差压变送器 第2部分：性能评定方法</w:t>
      </w:r>
    </w:p>
    <w:p>
      <w:pPr>
        <w:pStyle w:val="58"/>
        <w:ind w:firstLine="420"/>
      </w:pPr>
      <w:r>
        <w:rPr>
          <w:rFonts w:hint="eastAsia"/>
        </w:rPr>
        <w:t>GB/T</w:t>
      </w:r>
      <w:r>
        <w:t xml:space="preserve"> </w:t>
      </w:r>
      <w:r>
        <w:rPr>
          <w:rFonts w:hint="eastAsia"/>
        </w:rPr>
        <w:t>30121</w:t>
      </w:r>
      <w:r>
        <w:t xml:space="preserve">  </w:t>
      </w:r>
      <w:r>
        <w:fldChar w:fldCharType="begin"/>
      </w:r>
      <w:r>
        <w:instrText xml:space="preserve"> HYPERLINK "http://standard.sist.org.cn/StdSearch/stdDetail.aspx?AppID=GB/T%2030121-2013&amp;v=GB/T%2030121%24" \t "_blank" </w:instrText>
      </w:r>
      <w:r>
        <w:fldChar w:fldCharType="separate"/>
      </w:r>
      <w:r>
        <w:rPr>
          <w:rFonts w:hint="eastAsia"/>
        </w:rPr>
        <w:t>工业铂热电阻及铂感温元件</w:t>
      </w:r>
      <w:r>
        <w:rPr>
          <w:rFonts w:hint="eastAsia"/>
        </w:rPr>
        <w:fldChar w:fldCharType="end"/>
      </w:r>
    </w:p>
    <w:p>
      <w:pPr>
        <w:pStyle w:val="58"/>
        <w:ind w:firstLine="420"/>
      </w:pPr>
      <w:r>
        <w:rPr>
          <w:rFonts w:hint="eastAsia"/>
        </w:rPr>
        <w:t>GB 50093  自动化仪表工程施工及质量验收规范(附条文说明)</w:t>
      </w:r>
    </w:p>
    <w:p>
      <w:pPr>
        <w:pStyle w:val="58"/>
        <w:ind w:firstLine="420"/>
      </w:pPr>
      <w:r>
        <w:rPr>
          <w:rFonts w:hint="eastAsia"/>
        </w:rPr>
        <w:t>GB 50168</w:t>
      </w:r>
      <w:r>
        <w:t xml:space="preserve">  </w:t>
      </w:r>
      <w:r>
        <w:rPr>
          <w:rFonts w:hint="eastAsia"/>
        </w:rPr>
        <w:t>电气装置安装工程电缆线路施工及验收标准</w:t>
      </w:r>
    </w:p>
    <w:p>
      <w:pPr>
        <w:pStyle w:val="58"/>
        <w:ind w:firstLine="420"/>
      </w:pPr>
      <w:r>
        <w:rPr>
          <w:rFonts w:hint="eastAsia"/>
        </w:rPr>
        <w:t>GB 50171</w:t>
      </w:r>
      <w:r>
        <w:t xml:space="preserve">  </w:t>
      </w:r>
      <w:r>
        <w:rPr>
          <w:rFonts w:hint="eastAsia"/>
        </w:rPr>
        <w:t>电气装置安装工程盘、柜及二次回路接线施工及验收规范</w:t>
      </w:r>
    </w:p>
    <w:p>
      <w:pPr>
        <w:pStyle w:val="58"/>
        <w:ind w:firstLine="420"/>
      </w:pPr>
      <w:r>
        <w:rPr>
          <w:rFonts w:hint="eastAsia"/>
        </w:rPr>
        <w:t>DL/T 5137</w:t>
      </w:r>
      <w:r>
        <w:t xml:space="preserve">  </w:t>
      </w:r>
      <w:r>
        <w:rPr>
          <w:rFonts w:hint="eastAsia"/>
        </w:rPr>
        <w:t>电测量及电能计量装置 设计技术规程</w:t>
      </w:r>
    </w:p>
    <w:p>
      <w:pPr>
        <w:pStyle w:val="58"/>
        <w:ind w:firstLine="420"/>
      </w:pPr>
      <w:r>
        <w:t xml:space="preserve">GA/T 1127  </w:t>
      </w:r>
      <w:r>
        <w:rPr>
          <w:rFonts w:hint="eastAsia"/>
        </w:rPr>
        <w:t>安全防范视频监控摄像机通用技术要求</w:t>
      </w:r>
    </w:p>
    <w:p>
      <w:pPr>
        <w:pStyle w:val="58"/>
        <w:ind w:firstLine="420"/>
      </w:pPr>
      <w:r>
        <w:rPr>
          <w:rFonts w:hint="eastAsia"/>
        </w:rPr>
        <w:t>HJ 212</w:t>
      </w:r>
      <w:r>
        <w:t>-2017</w:t>
      </w:r>
      <w:r>
        <w:rPr>
          <w:rFonts w:hint="eastAsia"/>
        </w:rPr>
        <w:t xml:space="preserve">  污染物在线监控（监测）系统数据传输标准</w:t>
      </w:r>
    </w:p>
    <w:p>
      <w:pPr>
        <w:pStyle w:val="58"/>
        <w:ind w:firstLine="420"/>
      </w:pPr>
      <w:r>
        <w:rPr>
          <w:rFonts w:hint="eastAsia"/>
        </w:rPr>
        <w:t>HJ 477</w:t>
      </w:r>
      <w:r>
        <w:t xml:space="preserve">  </w:t>
      </w:r>
      <w:r>
        <w:rPr>
          <w:rFonts w:hint="eastAsia"/>
        </w:rPr>
        <w:t>污染源在线自动监控（监测）数据采集传输仪技术要求</w:t>
      </w:r>
    </w:p>
    <w:p>
      <w:pPr>
        <w:pStyle w:val="58"/>
        <w:ind w:firstLine="420"/>
      </w:pPr>
      <w:r>
        <w:rPr>
          <w:rFonts w:hint="eastAsia"/>
        </w:rPr>
        <w:t>HJ 524  大气污染物名称代码</w:t>
      </w:r>
    </w:p>
    <w:p>
      <w:pPr>
        <w:pStyle w:val="58"/>
        <w:ind w:firstLine="420"/>
      </w:pPr>
      <w:r>
        <w:rPr>
          <w:rFonts w:hint="eastAsia"/>
        </w:rPr>
        <w:t>HJ</w:t>
      </w:r>
      <w:r>
        <w:t xml:space="preserve"> </w:t>
      </w:r>
      <w:r>
        <w:rPr>
          <w:rFonts w:hint="eastAsia"/>
        </w:rPr>
        <w:t>1013</w:t>
      </w:r>
      <w:r>
        <w:t xml:space="preserve">  </w:t>
      </w:r>
      <w:r>
        <w:rPr>
          <w:rFonts w:hint="eastAsia"/>
        </w:rPr>
        <w:t>固定污染源废气非甲烷总烃连续监测系统技术要求及检测方法</w:t>
      </w:r>
    </w:p>
    <w:p>
      <w:pPr>
        <w:pStyle w:val="58"/>
        <w:ind w:firstLine="420"/>
      </w:pPr>
      <w:r>
        <w:rPr>
          <w:rFonts w:hint="eastAsia"/>
        </w:rPr>
        <w:t>JJF 1547-2015</w:t>
      </w:r>
      <w:r>
        <w:t xml:space="preserve">  </w:t>
      </w:r>
      <w:r>
        <w:rPr>
          <w:rFonts w:hint="eastAsia"/>
        </w:rPr>
        <w:t>在线pH计校准规范</w:t>
      </w:r>
    </w:p>
    <w:p>
      <w:pPr>
        <w:pStyle w:val="58"/>
        <w:ind w:firstLine="420"/>
      </w:pPr>
    </w:p>
    <w:p>
      <w:pPr>
        <w:pStyle w:val="106"/>
        <w:spacing w:before="312" w:after="312"/>
      </w:pPr>
      <w:bookmarkStart w:id="74" w:name="_Toc157089400"/>
      <w:bookmarkStart w:id="75" w:name="_Toc160544784"/>
      <w:bookmarkStart w:id="76" w:name="_Toc170827882"/>
      <w:bookmarkStart w:id="77" w:name="_Toc158142692"/>
      <w:bookmarkStart w:id="78" w:name="_Toc147566896"/>
      <w:bookmarkStart w:id="79" w:name="_Toc158298570"/>
      <w:bookmarkStart w:id="80" w:name="_Toc146206946"/>
      <w:bookmarkStart w:id="81" w:name="_Toc171675708"/>
      <w:bookmarkStart w:id="82" w:name="_Toc171604855"/>
      <w:bookmarkStart w:id="83" w:name="_Toc167289336"/>
      <w:bookmarkStart w:id="84" w:name="_Toc158298175"/>
      <w:r>
        <w:rPr>
          <w:rFonts w:hint="eastAsia"/>
          <w:szCs w:val="21"/>
        </w:rPr>
        <w:t>术语和定义</w:t>
      </w:r>
      <w:bookmarkEnd w:id="74"/>
      <w:bookmarkEnd w:id="75"/>
      <w:bookmarkEnd w:id="76"/>
      <w:bookmarkEnd w:id="77"/>
      <w:bookmarkEnd w:id="78"/>
      <w:bookmarkEnd w:id="79"/>
      <w:bookmarkEnd w:id="80"/>
      <w:bookmarkEnd w:id="81"/>
      <w:bookmarkEnd w:id="82"/>
      <w:bookmarkEnd w:id="83"/>
      <w:bookmarkEnd w:id="84"/>
    </w:p>
    <w:sdt>
      <w:sdtPr>
        <w:id w:val="-1909835108"/>
        <w:placeholder>
          <w:docPart w:val="0DA17F321B2343AF8D3DDAF1464F788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85" w:name="_Toc26986532"/>
          <w:bookmarkEnd w:id="85"/>
          <w:r>
            <w:t>HJ 212界定的以及下列术语和定义适用于本文件。</w:t>
          </w:r>
        </w:p>
      </w:sdtContent>
    </w:sdt>
    <w:p>
      <w:pPr>
        <w:pStyle w:val="225"/>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V</w:t>
      </w:r>
      <w:r>
        <w:rPr>
          <w:rFonts w:ascii="黑体" w:hAnsi="黑体" w:eastAsia="黑体"/>
        </w:rPr>
        <w:t>OCs</w:t>
      </w:r>
      <w:r>
        <w:rPr>
          <w:rFonts w:hint="eastAsia" w:ascii="黑体" w:hAnsi="黑体" w:eastAsia="黑体"/>
        </w:rPr>
        <w:t xml:space="preserve">（挥发性有机物） </w:t>
      </w:r>
      <w:r>
        <w:rPr>
          <w:rFonts w:ascii="黑体" w:hAnsi="黑体" w:eastAsia="黑体"/>
        </w:rPr>
        <w:t xml:space="preserve"> volatile organic compounds </w:t>
      </w:r>
    </w:p>
    <w:p>
      <w:pPr>
        <w:pStyle w:val="58"/>
        <w:ind w:firstLine="420"/>
      </w:pPr>
      <w:r>
        <w:rPr>
          <w:rFonts w:hint="eastAsia"/>
        </w:rPr>
        <w:t>参与大气光化学反应的有机化合物，或者根据有关规定确定的有机化合物。在表征 VOCs 总体排放情况时，根据行业特征和环境管理要求，可采用总挥发性有机物(以TVOC表示)、非甲烷总烃(以NMHC表示) 作为污染物控制项目。</w:t>
      </w:r>
    </w:p>
    <w:p>
      <w:pPr>
        <w:pStyle w:val="58"/>
        <w:ind w:firstLine="420"/>
      </w:pPr>
      <w:r>
        <w:rPr>
          <w:rFonts w:hint="eastAsia"/>
        </w:rPr>
        <w:t>[来源：GB 37822-2019,3.1]</w:t>
      </w:r>
    </w:p>
    <w:p>
      <w:pPr>
        <w:pStyle w:val="225"/>
        <w:ind w:left="420" w:hanging="420" w:hangingChars="200"/>
        <w:rPr>
          <w:rFonts w:ascii="黑体" w:hAnsi="黑体" w:eastAsia="黑体"/>
        </w:rPr>
      </w:pPr>
    </w:p>
    <w:p>
      <w:pPr>
        <w:pStyle w:val="225"/>
        <w:numPr>
          <w:ilvl w:val="0"/>
          <w:numId w:val="0"/>
        </w:numPr>
        <w:ind w:left="420"/>
        <w:rPr>
          <w:rFonts w:ascii="黑体" w:hAnsi="黑体" w:eastAsia="黑体"/>
        </w:rPr>
      </w:pPr>
      <w:r>
        <w:rPr>
          <w:rFonts w:hint="eastAsia" w:ascii="黑体" w:hAnsi="黑体" w:eastAsia="黑体"/>
        </w:rPr>
        <w:t xml:space="preserve">排污单位 </w:t>
      </w:r>
      <w:r>
        <w:rPr>
          <w:rFonts w:ascii="黑体" w:hAnsi="黑体" w:eastAsia="黑体"/>
        </w:rPr>
        <w:t xml:space="preserve"> pollutant emission unit</w:t>
      </w:r>
    </w:p>
    <w:p>
      <w:pPr>
        <w:pStyle w:val="58"/>
        <w:ind w:firstLine="420"/>
      </w:pPr>
      <w:r>
        <w:rPr>
          <w:rFonts w:hint="eastAsia"/>
        </w:rPr>
        <w:t>实行排污许可管理的企业事业单位和其他生产经营者。</w:t>
      </w:r>
    </w:p>
    <w:p>
      <w:pPr>
        <w:pStyle w:val="225"/>
        <w:ind w:left="420" w:hanging="420" w:hangingChars="200"/>
        <w:rPr>
          <w:rFonts w:ascii="黑体" w:hAnsi="黑体" w:eastAsia="黑体"/>
        </w:rPr>
      </w:pPr>
    </w:p>
    <w:p>
      <w:pPr>
        <w:pStyle w:val="225"/>
        <w:numPr>
          <w:ilvl w:val="0"/>
          <w:numId w:val="0"/>
        </w:numPr>
        <w:ind w:left="420"/>
        <w:rPr>
          <w:rFonts w:ascii="黑体" w:hAnsi="黑体" w:eastAsia="黑体"/>
        </w:rPr>
      </w:pPr>
      <w:r>
        <w:rPr>
          <w:rFonts w:hint="eastAsia" w:ascii="黑体" w:hAnsi="黑体" w:eastAsia="黑体"/>
        </w:rPr>
        <w:t xml:space="preserve">过程监控系统 </w:t>
      </w:r>
      <w:r>
        <w:rPr>
          <w:rFonts w:ascii="黑体" w:hAnsi="黑体" w:eastAsia="黑体"/>
        </w:rPr>
        <w:t xml:space="preserve"> process monitoring system</w:t>
      </w:r>
    </w:p>
    <w:p>
      <w:pPr>
        <w:pStyle w:val="58"/>
        <w:ind w:firstLine="420"/>
      </w:pPr>
      <w:r>
        <w:rPr>
          <w:rFonts w:hint="eastAsia"/>
        </w:rPr>
        <w:t>对产生、收集、治理和排放V</w:t>
      </w:r>
      <w:r>
        <w:t>OCs</w:t>
      </w:r>
      <w:r>
        <w:rPr>
          <w:rFonts w:hint="eastAsia"/>
        </w:rPr>
        <w:t>的主要设施的运行状态进行自动监控，显示、记录、存储并将各种监控数据传输至管理部门，以反映污染源V</w:t>
      </w:r>
      <w:r>
        <w:t>OCs</w:t>
      </w:r>
      <w:r>
        <w:rPr>
          <w:rFonts w:hint="eastAsia"/>
        </w:rPr>
        <w:t>产生、收集、治理和排放过程的系统。</w:t>
      </w:r>
    </w:p>
    <w:p>
      <w:pPr>
        <w:pStyle w:val="225"/>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 xml:space="preserve">产污设施 </w:t>
      </w:r>
      <w:r>
        <w:rPr>
          <w:rFonts w:ascii="黑体" w:hAnsi="黑体" w:eastAsia="黑体"/>
        </w:rPr>
        <w:t xml:space="preserve"> pollutant production facilities</w:t>
      </w:r>
    </w:p>
    <w:p>
      <w:pPr>
        <w:pStyle w:val="58"/>
        <w:ind w:firstLine="420"/>
      </w:pPr>
      <w:r>
        <w:rPr>
          <w:rFonts w:hint="eastAsia"/>
        </w:rPr>
        <w:t>生产过程中产生含V</w:t>
      </w:r>
      <w:r>
        <w:t>OCs</w:t>
      </w:r>
      <w:r>
        <w:rPr>
          <w:rFonts w:hint="eastAsia"/>
        </w:rPr>
        <w:t>废气的生产设备、生产线、生产车间以及公辅设施等。</w:t>
      </w:r>
    </w:p>
    <w:p>
      <w:pPr>
        <w:pStyle w:val="225"/>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 xml:space="preserve">污染治理设施 </w:t>
      </w:r>
      <w:r>
        <w:rPr>
          <w:rFonts w:ascii="黑体" w:hAnsi="黑体" w:eastAsia="黑体"/>
        </w:rPr>
        <w:t xml:space="preserve"> equipment of pollution treatment</w:t>
      </w:r>
    </w:p>
    <w:p>
      <w:pPr>
        <w:pStyle w:val="58"/>
        <w:ind w:firstLine="420"/>
      </w:pPr>
      <w:r>
        <w:rPr>
          <w:rFonts w:hint="eastAsia"/>
        </w:rPr>
        <w:t>用于治理污染物所需的设备、装置等。</w:t>
      </w:r>
    </w:p>
    <w:p>
      <w:pPr>
        <w:pStyle w:val="58"/>
        <w:ind w:firstLine="420"/>
      </w:pPr>
      <w:r>
        <w:rPr>
          <w:rFonts w:hint="eastAsia"/>
        </w:rPr>
        <w:t>[来源:HJ</w:t>
      </w:r>
      <w:r>
        <w:t xml:space="preserve"> </w:t>
      </w:r>
      <w:r>
        <w:rPr>
          <w:rFonts w:hint="eastAsia"/>
        </w:rPr>
        <w:t>212-2017，3.5]</w:t>
      </w:r>
    </w:p>
    <w:p>
      <w:pPr>
        <w:pStyle w:val="225"/>
      </w:pPr>
    </w:p>
    <w:p>
      <w:pPr>
        <w:pStyle w:val="58"/>
        <w:ind w:firstLine="420"/>
        <w:rPr>
          <w:rFonts w:ascii="黑体" w:hAnsi="黑体" w:eastAsia="黑体"/>
        </w:rPr>
      </w:pPr>
      <w:r>
        <w:rPr>
          <w:rFonts w:hint="eastAsia" w:ascii="黑体" w:hAnsi="黑体" w:eastAsia="黑体"/>
        </w:rPr>
        <w:t xml:space="preserve">现场端监控系统 </w:t>
      </w:r>
      <w:r>
        <w:rPr>
          <w:rFonts w:ascii="黑体" w:hAnsi="黑体" w:eastAsia="黑体"/>
        </w:rPr>
        <w:t xml:space="preserve"> field-side monitoring unit</w:t>
      </w:r>
    </w:p>
    <w:p>
      <w:pPr>
        <w:pStyle w:val="58"/>
        <w:ind w:firstLine="420"/>
      </w:pPr>
      <w:r>
        <w:rPr>
          <w:rFonts w:hint="eastAsia"/>
        </w:rPr>
        <w:t>具有对产污设施、污染治理设施设备运行电信号（电流、电压、功率）、关键参数（温度、压力、流速、pH等）进行数据采集、传输和存储功能的单元。一般由设备运行状态用电采集设备、参数采集传感器、数据采集和传输仪等组成。</w:t>
      </w:r>
    </w:p>
    <w:p>
      <w:pPr>
        <w:pStyle w:val="225"/>
        <w:rPr>
          <w:rFonts w:ascii="黑体" w:hAnsi="黑体" w:eastAsia="黑体"/>
        </w:rPr>
      </w:pPr>
      <w:r>
        <w:rPr>
          <w:rFonts w:ascii="黑体" w:hAnsi="黑体" w:eastAsia="黑体"/>
          <w:color w:val="FF0000"/>
        </w:rPr>
        <w:br w:type="textWrapping"/>
      </w:r>
      <w:r>
        <w:rPr>
          <w:rFonts w:hint="eastAsia" w:ascii="黑体" w:hAnsi="黑体" w:eastAsia="黑体"/>
          <w:color w:val="FF0000"/>
        </w:rPr>
        <w:t xml:space="preserve"> </w:t>
      </w:r>
      <w:r>
        <w:rPr>
          <w:rFonts w:ascii="黑体" w:hAnsi="黑体" w:eastAsia="黑体"/>
          <w:color w:val="FF0000"/>
        </w:rPr>
        <w:t xml:space="preserve">   </w:t>
      </w:r>
      <w:r>
        <w:rPr>
          <w:rFonts w:hint="eastAsia" w:ascii="黑体" w:hAnsi="黑体" w:eastAsia="黑体"/>
        </w:rPr>
        <w:t xml:space="preserve">废气连续监测系统 </w:t>
      </w:r>
      <w:r>
        <w:rPr>
          <w:rFonts w:ascii="黑体" w:hAnsi="黑体" w:eastAsia="黑体"/>
        </w:rPr>
        <w:t xml:space="preserve"> continuous emission monitoring system(CEMS)</w:t>
      </w:r>
    </w:p>
    <w:p>
      <w:pPr>
        <w:pStyle w:val="58"/>
        <w:ind w:firstLine="420"/>
      </w:pPr>
      <w:r>
        <w:rPr>
          <w:rFonts w:hint="eastAsia"/>
        </w:rPr>
        <w:t>连续监测V</w:t>
      </w:r>
      <w:r>
        <w:t>OCs</w:t>
      </w:r>
      <w:r>
        <w:rPr>
          <w:rFonts w:hint="eastAsia"/>
        </w:rPr>
        <w:t>的排放浓度和条件参数所需要的全部仪器和设备。</w:t>
      </w:r>
    </w:p>
    <w:p>
      <w:pPr>
        <w:pStyle w:val="58"/>
        <w:ind w:firstLine="420"/>
      </w:pPr>
      <w:r>
        <w:rPr>
          <w:rFonts w:hint="eastAsia"/>
        </w:rPr>
        <w:t>[来源:HJ</w:t>
      </w:r>
      <w:r>
        <w:t xml:space="preserve"> 1286</w:t>
      </w:r>
      <w:r>
        <w:rPr>
          <w:rFonts w:hint="eastAsia"/>
        </w:rPr>
        <w:t>-20</w:t>
      </w:r>
      <w:r>
        <w:t>23</w:t>
      </w:r>
      <w:r>
        <w:rPr>
          <w:rFonts w:hint="eastAsia"/>
        </w:rPr>
        <w:t>，定义3.</w:t>
      </w:r>
      <w:r>
        <w:t>3</w:t>
      </w:r>
      <w:r>
        <w:rPr>
          <w:rFonts w:hint="eastAsia"/>
        </w:rPr>
        <w:t>，有修改]</w:t>
      </w:r>
    </w:p>
    <w:p>
      <w:pPr>
        <w:pStyle w:val="225"/>
        <w:ind w:left="420" w:hanging="420" w:hangingChars="200"/>
        <w:rPr>
          <w:rFonts w:ascii="黑体" w:hAnsi="黑体" w:eastAsia="黑体"/>
        </w:rPr>
      </w:pPr>
    </w:p>
    <w:p>
      <w:pPr>
        <w:pStyle w:val="58"/>
        <w:ind w:firstLine="420"/>
        <w:rPr>
          <w:rFonts w:ascii="黑体" w:hAnsi="黑体" w:eastAsia="黑体"/>
        </w:rPr>
      </w:pPr>
      <w:r>
        <w:rPr>
          <w:rFonts w:hint="eastAsia" w:ascii="黑体" w:hAnsi="黑体" w:eastAsia="黑体"/>
        </w:rPr>
        <w:t xml:space="preserve">平台端监控系统 </w:t>
      </w:r>
      <w:r>
        <w:rPr>
          <w:rFonts w:ascii="黑体" w:hAnsi="黑体" w:eastAsia="黑体"/>
        </w:rPr>
        <w:t xml:space="preserve"> platform-side monitor system</w:t>
      </w:r>
    </w:p>
    <w:p>
      <w:pPr>
        <w:pStyle w:val="58"/>
        <w:ind w:firstLine="420"/>
      </w:pPr>
      <w:r>
        <w:rPr>
          <w:rFonts w:hint="eastAsia"/>
        </w:rPr>
        <w:t>对现场端监控系统、废气连续监测系统的数据进行统计分析、展示、预警、存储等。</w:t>
      </w:r>
    </w:p>
    <w:p>
      <w:pPr>
        <w:pStyle w:val="106"/>
        <w:spacing w:before="312" w:after="312"/>
        <w:rPr>
          <w:rFonts w:hAnsi="黑体" w:cs="宋体"/>
        </w:rPr>
      </w:pPr>
      <w:bookmarkStart w:id="86" w:name="_Toc158298571"/>
      <w:bookmarkStart w:id="87" w:name="_Toc147566897"/>
      <w:bookmarkStart w:id="88" w:name="_Toc167289337"/>
      <w:bookmarkStart w:id="89" w:name="_Toc158298176"/>
      <w:bookmarkStart w:id="90" w:name="_Toc146206947"/>
      <w:bookmarkStart w:id="91" w:name="_Toc170827883"/>
      <w:bookmarkStart w:id="92" w:name="_Toc158142693"/>
      <w:bookmarkStart w:id="93" w:name="_Toc171675709"/>
      <w:bookmarkStart w:id="94" w:name="_Toc160544785"/>
      <w:bookmarkStart w:id="95" w:name="_Toc157089401"/>
      <w:bookmarkStart w:id="96" w:name="_Toc171604856"/>
      <w:r>
        <w:rPr>
          <w:rFonts w:hint="eastAsia" w:hAnsi="黑体" w:cs="宋体"/>
        </w:rPr>
        <w:t>总则</w:t>
      </w:r>
      <w:bookmarkEnd w:id="86"/>
      <w:bookmarkEnd w:id="87"/>
      <w:bookmarkEnd w:id="88"/>
      <w:bookmarkEnd w:id="89"/>
      <w:bookmarkEnd w:id="90"/>
      <w:bookmarkEnd w:id="91"/>
      <w:bookmarkEnd w:id="92"/>
      <w:bookmarkEnd w:id="93"/>
      <w:bookmarkEnd w:id="94"/>
      <w:bookmarkEnd w:id="95"/>
      <w:bookmarkEnd w:id="96"/>
    </w:p>
    <w:p>
      <w:pPr>
        <w:pStyle w:val="107"/>
        <w:spacing w:before="156" w:after="156"/>
      </w:pPr>
      <w:bookmarkStart w:id="97" w:name="_Toc171604857"/>
      <w:bookmarkStart w:id="98" w:name="_Toc160544786"/>
      <w:bookmarkStart w:id="99" w:name="_Toc171675710"/>
      <w:bookmarkStart w:id="100" w:name="_Toc158298572"/>
      <w:bookmarkStart w:id="101" w:name="_Toc147566898"/>
      <w:bookmarkStart w:id="102" w:name="_Toc167289338"/>
      <w:bookmarkStart w:id="103" w:name="_Toc158142694"/>
      <w:bookmarkStart w:id="104" w:name="_Toc170827884"/>
      <w:bookmarkStart w:id="105" w:name="_Toc146206948"/>
      <w:bookmarkStart w:id="106" w:name="_Toc158298177"/>
      <w:bookmarkStart w:id="107" w:name="_Toc157089402"/>
      <w:r>
        <w:rPr>
          <w:rFonts w:hint="eastAsia" w:hAnsi="黑体"/>
        </w:rPr>
        <w:t>系统</w:t>
      </w:r>
      <w:r>
        <w:rPr>
          <w:rFonts w:hint="eastAsia"/>
        </w:rPr>
        <w:t>组成</w:t>
      </w:r>
      <w:bookmarkEnd w:id="97"/>
      <w:bookmarkEnd w:id="98"/>
      <w:bookmarkEnd w:id="99"/>
      <w:bookmarkEnd w:id="100"/>
      <w:bookmarkEnd w:id="101"/>
      <w:bookmarkEnd w:id="102"/>
      <w:bookmarkEnd w:id="103"/>
      <w:bookmarkEnd w:id="104"/>
      <w:bookmarkEnd w:id="105"/>
      <w:bookmarkEnd w:id="106"/>
      <w:bookmarkEnd w:id="107"/>
    </w:p>
    <w:p>
      <w:pPr>
        <w:pStyle w:val="167"/>
        <w:numPr>
          <w:ilvl w:val="0"/>
          <w:numId w:val="0"/>
        </w:numPr>
        <w:ind w:firstLine="420" w:firstLineChars="200"/>
      </w:pPr>
      <w:r>
        <w:rPr>
          <w:rFonts w:hint="eastAsia"/>
        </w:rPr>
        <w:t>过程监控系统由现场端监控系统、废气连续监测系统、数据采集和传输单元及平台端监控系统组成，工作示意图见图1。</w:t>
      </w:r>
    </w:p>
    <w:p>
      <w:pPr>
        <w:pStyle w:val="58"/>
        <w:ind w:firstLine="140" w:firstLineChars="67"/>
      </w:pPr>
      <w:r>
        <w:object>
          <v:shape id="_x0000_i1025" o:spt="75" type="#_x0000_t75" style="height:197.2pt;width:467.05pt;" o:ole="t" filled="f" o:preferrelative="t" stroked="f" coordsize="21600,21600">
            <v:path/>
            <v:fill on="f" focussize="0,0"/>
            <v:stroke on="f" joinstyle="miter"/>
            <v:imagedata r:id="rId46" o:title=""/>
            <o:lock v:ext="edit" aspectratio="t"/>
            <w10:wrap type="none"/>
            <w10:anchorlock/>
          </v:shape>
          <o:OLEObject Type="Embed" ProgID="Visio.Drawing.11" ShapeID="_x0000_i1025" DrawAspect="Content" ObjectID="_1468075725" r:id="rId45">
            <o:LockedField>false</o:LockedField>
          </o:OLEObject>
        </w:object>
      </w:r>
    </w:p>
    <w:p>
      <w:pPr>
        <w:pStyle w:val="116"/>
        <w:spacing w:before="156" w:after="156"/>
      </w:pPr>
      <w:r>
        <w:rPr>
          <w:rFonts w:hint="eastAsia"/>
        </w:rPr>
        <w:t>工作示意图</w:t>
      </w:r>
    </w:p>
    <w:p>
      <w:pPr>
        <w:pStyle w:val="107"/>
        <w:spacing w:before="156" w:after="156"/>
      </w:pPr>
      <w:bookmarkStart w:id="108" w:name="_Toc158142695"/>
      <w:bookmarkStart w:id="109" w:name="_Toc146206949"/>
      <w:bookmarkStart w:id="110" w:name="_Toc147566899"/>
      <w:bookmarkStart w:id="111" w:name="_Toc160544787"/>
      <w:bookmarkStart w:id="112" w:name="_Toc157089403"/>
      <w:bookmarkStart w:id="113" w:name="_Toc170827885"/>
      <w:bookmarkStart w:id="114" w:name="_Toc158298178"/>
      <w:bookmarkStart w:id="115" w:name="_Toc171604858"/>
      <w:bookmarkStart w:id="116" w:name="_Toc171675711"/>
      <w:bookmarkStart w:id="117" w:name="_Toc167289339"/>
      <w:bookmarkStart w:id="118" w:name="_Toc158298573"/>
      <w:r>
        <w:rPr>
          <w:rFonts w:hint="eastAsia"/>
        </w:rPr>
        <w:t>监控方案确定</w:t>
      </w:r>
      <w:bookmarkEnd w:id="108"/>
      <w:bookmarkEnd w:id="109"/>
      <w:bookmarkEnd w:id="110"/>
      <w:bookmarkEnd w:id="111"/>
      <w:bookmarkEnd w:id="112"/>
      <w:bookmarkEnd w:id="113"/>
      <w:bookmarkEnd w:id="114"/>
      <w:bookmarkEnd w:id="115"/>
      <w:bookmarkEnd w:id="116"/>
      <w:bookmarkEnd w:id="117"/>
      <w:bookmarkEnd w:id="118"/>
    </w:p>
    <w:p>
      <w:pPr>
        <w:pStyle w:val="67"/>
        <w:spacing w:before="156" w:after="156"/>
      </w:pPr>
      <w:r>
        <w:rPr>
          <w:rFonts w:hint="eastAsia"/>
        </w:rPr>
        <w:t>资料收集</w:t>
      </w:r>
    </w:p>
    <w:p>
      <w:pPr>
        <w:pStyle w:val="58"/>
        <w:ind w:firstLine="420"/>
      </w:pPr>
      <w:r>
        <w:rPr>
          <w:rFonts w:hint="eastAsia"/>
        </w:rPr>
        <w:t>资料收集包括但不限于以下材料：</w:t>
      </w:r>
    </w:p>
    <w:p>
      <w:pPr>
        <w:pStyle w:val="176"/>
      </w:pPr>
      <w:r>
        <w:rPr>
          <w:rFonts w:hint="eastAsia"/>
        </w:rPr>
        <w:t>环评文件；</w:t>
      </w:r>
    </w:p>
    <w:p>
      <w:pPr>
        <w:pStyle w:val="176"/>
      </w:pPr>
      <w:r>
        <w:rPr>
          <w:rFonts w:hint="eastAsia"/>
        </w:rPr>
        <w:t>废气处理方案；</w:t>
      </w:r>
    </w:p>
    <w:p>
      <w:pPr>
        <w:pStyle w:val="176"/>
      </w:pPr>
      <w:r>
        <w:rPr>
          <w:rFonts w:hint="eastAsia"/>
        </w:rPr>
        <w:t>废气收集管道图纸；</w:t>
      </w:r>
    </w:p>
    <w:p>
      <w:pPr>
        <w:pStyle w:val="176"/>
      </w:pPr>
      <w:r>
        <w:rPr>
          <w:rFonts w:hint="eastAsia"/>
        </w:rPr>
        <w:t>填写企业信息表示例及设备清单，见附录A。</w:t>
      </w:r>
    </w:p>
    <w:p>
      <w:pPr>
        <w:pStyle w:val="67"/>
        <w:spacing w:before="156" w:after="156"/>
      </w:pPr>
      <w:r>
        <w:rPr>
          <w:rFonts w:hint="eastAsia"/>
        </w:rPr>
        <w:t>现场勘察</w:t>
      </w:r>
    </w:p>
    <w:p>
      <w:pPr>
        <w:pStyle w:val="58"/>
        <w:ind w:firstLine="420"/>
      </w:pPr>
      <w:r>
        <w:rPr>
          <w:rFonts w:hint="eastAsia"/>
        </w:rPr>
        <w:t>通过现场勘察涉V</w:t>
      </w:r>
      <w:r>
        <w:t>OCs</w:t>
      </w:r>
      <w:r>
        <w:rPr>
          <w:rFonts w:hint="eastAsia"/>
        </w:rPr>
        <w:t>排污单位的产污设施、污染治理设施及排放口分布情况、电源及其数量情况，污染物载体在产治污环节的转运流程，根据需要编制“一企一策”监控方案，确定需要监控的产治污监控因子，确定监控（监测）设备仪器种类及数量、现场安装位置等。</w:t>
      </w:r>
    </w:p>
    <w:p>
      <w:pPr>
        <w:pStyle w:val="67"/>
        <w:spacing w:before="156" w:after="156"/>
      </w:pPr>
      <w:r>
        <w:rPr>
          <w:rFonts w:hint="eastAsia"/>
        </w:rPr>
        <w:t>方案编制</w:t>
      </w:r>
    </w:p>
    <w:p>
      <w:pPr>
        <w:pStyle w:val="58"/>
        <w:numPr>
          <w:ilvl w:val="3"/>
          <w:numId w:val="32"/>
        </w:numPr>
        <w:tabs>
          <w:tab w:val="left" w:pos="2100"/>
        </w:tabs>
        <w:ind w:firstLineChars="0"/>
        <w:rPr>
          <w:rFonts w:ascii="黑体" w:eastAsia="黑体"/>
        </w:rPr>
      </w:pPr>
      <w:r>
        <w:rPr>
          <w:rFonts w:hint="eastAsia" w:ascii="黑体" w:eastAsia="黑体"/>
        </w:rPr>
        <w:t>制定原则</w:t>
      </w:r>
    </w:p>
    <w:p>
      <w:pPr>
        <w:pStyle w:val="169"/>
      </w:pPr>
      <w:r>
        <w:rPr>
          <w:rFonts w:hint="eastAsia"/>
        </w:rPr>
        <w:t>明确排污单位VOCs排放口数量及位置，以排放口为单位，对排放口对应的产污工段、废气收集工段、治理工段、排放工段进行现场监控采集。</w:t>
      </w:r>
    </w:p>
    <w:p>
      <w:pPr>
        <w:pStyle w:val="169"/>
      </w:pPr>
      <w:r>
        <w:rPr>
          <w:rFonts w:hint="eastAsia"/>
        </w:rPr>
        <w:t>产污工段和废气收集工段安装的监控设备应能够清晰反映产污、收集工段运行状态。</w:t>
      </w:r>
    </w:p>
    <w:p>
      <w:pPr>
        <w:pStyle w:val="169"/>
      </w:pPr>
      <w:r>
        <w:rPr>
          <w:rFonts w:hint="eastAsia"/>
        </w:rPr>
        <w:t>治理工段和排放工段应能装尽装，以能够详细掌握每台治理设备运行动态和废气排放参数等信息。工作原理示例见图</w:t>
      </w:r>
      <w:r>
        <w:t>2</w:t>
      </w:r>
      <w:r>
        <w:rPr>
          <w:rFonts w:hint="eastAsia"/>
        </w:rPr>
        <w:t>。</w:t>
      </w:r>
    </w:p>
    <w:p>
      <w:pPr>
        <w:pStyle w:val="58"/>
        <w:ind w:firstLine="0" w:firstLineChars="0"/>
      </w:pPr>
      <w:r>
        <w:rPr>
          <w:rFonts w:hint="eastAsia"/>
        </w:rPr>
        <w:drawing>
          <wp:inline distT="0" distB="0" distL="114300" distR="114300">
            <wp:extent cx="5930265" cy="3841115"/>
            <wp:effectExtent l="0" t="0" r="0" b="0"/>
            <wp:docPr id="1" name="图片 1" descr="测试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测试2"/>
                    <pic:cNvPicPr>
                      <a:picLocks noChangeAspect="1"/>
                    </pic:cNvPicPr>
                  </pic:nvPicPr>
                  <pic:blipFill>
                    <a:blip r:embed="rId47"/>
                    <a:stretch>
                      <a:fillRect/>
                    </a:stretch>
                  </pic:blipFill>
                  <pic:spPr>
                    <a:xfrm>
                      <a:off x="0" y="0"/>
                      <a:ext cx="5930265" cy="3841115"/>
                    </a:xfrm>
                    <a:prstGeom prst="rect">
                      <a:avLst/>
                    </a:prstGeom>
                  </pic:spPr>
                </pic:pic>
              </a:graphicData>
            </a:graphic>
          </wp:inline>
        </w:drawing>
      </w:r>
    </w:p>
    <w:p>
      <w:pPr>
        <w:pStyle w:val="58"/>
        <w:ind w:firstLine="420"/>
        <w:jc w:val="center"/>
        <w:rPr>
          <w:rFonts w:ascii="黑体" w:hAnsi="黑体" w:eastAsia="黑体"/>
        </w:rPr>
      </w:pPr>
      <w:r>
        <w:rPr>
          <w:rFonts w:hint="eastAsia" w:ascii="黑体" w:hAnsi="黑体" w:eastAsia="黑体"/>
        </w:rPr>
        <w:t>图2</w:t>
      </w:r>
      <w:r>
        <w:rPr>
          <w:rFonts w:ascii="黑体" w:hAnsi="黑体" w:eastAsia="黑体"/>
        </w:rPr>
        <w:t xml:space="preserve"> </w:t>
      </w:r>
      <w:r>
        <w:rPr>
          <w:rFonts w:hint="eastAsia" w:ascii="黑体" w:hAnsi="黑体" w:eastAsia="黑体"/>
        </w:rPr>
        <w:t>工作原理示例</w:t>
      </w:r>
    </w:p>
    <w:p>
      <w:pPr>
        <w:pStyle w:val="96"/>
        <w:spacing w:before="156" w:after="156"/>
      </w:pPr>
      <w:r>
        <w:rPr>
          <w:rFonts w:hint="eastAsia"/>
        </w:rPr>
        <w:t>安装点位确定</w:t>
      </w:r>
    </w:p>
    <w:p>
      <w:pPr>
        <w:pStyle w:val="100"/>
        <w:spacing w:before="156" w:after="156"/>
      </w:pPr>
      <w:r>
        <w:rPr>
          <w:rFonts w:hint="eastAsia"/>
        </w:rPr>
        <w:t>确定排放口数量</w:t>
      </w:r>
    </w:p>
    <w:p>
      <w:pPr>
        <w:pStyle w:val="58"/>
        <w:ind w:firstLine="420"/>
      </w:pPr>
      <w:r>
        <w:rPr>
          <w:rFonts w:hint="eastAsia"/>
        </w:rPr>
        <w:t>根据涉V</w:t>
      </w:r>
      <w:r>
        <w:t>OCs</w:t>
      </w:r>
      <w:r>
        <w:rPr>
          <w:rFonts w:hint="eastAsia"/>
        </w:rPr>
        <w:t>排污单位现场情况，结合企业环评文件等材料，确定需要监控的VOCs排放口数量和所在位置。</w:t>
      </w:r>
    </w:p>
    <w:p>
      <w:pPr>
        <w:pStyle w:val="100"/>
        <w:spacing w:before="156" w:after="156"/>
      </w:pPr>
      <w:r>
        <w:rPr>
          <w:rFonts w:hint="eastAsia"/>
        </w:rPr>
        <w:t>产污工段</w:t>
      </w:r>
    </w:p>
    <w:p>
      <w:pPr>
        <w:pStyle w:val="58"/>
        <w:ind w:firstLine="420"/>
      </w:pPr>
      <w:r>
        <w:rPr>
          <w:rFonts w:hint="eastAsia"/>
        </w:rPr>
        <w:t>以能够清晰反映产污动态为原则，以排放口为单位，对排放口所对应的产污设施进行电信号采集（包括电流、用电功率、用电量）。</w:t>
      </w:r>
    </w:p>
    <w:p>
      <w:pPr>
        <w:pStyle w:val="100"/>
        <w:spacing w:before="156" w:after="156"/>
        <w:rPr>
          <w:color w:val="000000" w:themeColor="text1"/>
          <w:sz w:val="28"/>
          <w:szCs w:val="24"/>
          <w14:textFill>
            <w14:solidFill>
              <w14:schemeClr w14:val="tx1"/>
            </w14:solidFill>
          </w14:textFill>
        </w:rPr>
      </w:pPr>
      <w:r>
        <w:rPr>
          <w:rFonts w:hint="eastAsia"/>
        </w:rPr>
        <w:t>废气收集工段</w:t>
      </w:r>
    </w:p>
    <w:p>
      <w:pPr>
        <w:pStyle w:val="58"/>
        <w:ind w:firstLine="420"/>
      </w:pPr>
      <w:r>
        <w:rPr>
          <w:rFonts w:hint="eastAsia"/>
        </w:rPr>
        <w:t>废气收集工段需采集电信号及流速数据：</w:t>
      </w:r>
    </w:p>
    <w:p>
      <w:pPr>
        <w:pStyle w:val="134"/>
      </w:pPr>
      <w:r>
        <w:rPr>
          <w:rFonts w:hint="eastAsia"/>
        </w:rPr>
        <w:t>以排放口为单位，采集V</w:t>
      </w:r>
      <w:r>
        <w:t>OCs</w:t>
      </w:r>
      <w:r>
        <w:rPr>
          <w:rFonts w:hint="eastAsia"/>
        </w:rPr>
        <w:t>收集风机运行状态电信号，如有多条收集管路，原则上采集每个收集管路收集风机电信号，单条排放口有多个串联排放风机，则只采集靠近生产设备最近的收集风机运行电信号；</w:t>
      </w:r>
    </w:p>
    <w:p>
      <w:pPr>
        <w:pStyle w:val="134"/>
      </w:pPr>
      <w:r>
        <w:rPr>
          <w:rFonts w:hint="eastAsia"/>
        </w:rPr>
        <w:t>在主管道及主支管上宜设置风速流量计，采集V</w:t>
      </w:r>
      <w:r>
        <w:t>OCs</w:t>
      </w:r>
      <w:r>
        <w:rPr>
          <w:rFonts w:hint="eastAsia"/>
        </w:rPr>
        <w:t>流量数据。</w:t>
      </w:r>
    </w:p>
    <w:p>
      <w:pPr>
        <w:pStyle w:val="100"/>
        <w:spacing w:before="156" w:after="156"/>
      </w:pPr>
      <w:r>
        <w:rPr>
          <w:rFonts w:hint="eastAsia"/>
        </w:rPr>
        <w:t>治理工段</w:t>
      </w:r>
    </w:p>
    <w:p>
      <w:pPr>
        <w:pStyle w:val="58"/>
        <w:ind w:firstLine="420"/>
      </w:pPr>
      <w:r>
        <w:rPr>
          <w:rFonts w:hint="eastAsia"/>
        </w:rPr>
        <w:t>以排放口为单位，采集V</w:t>
      </w:r>
      <w:r>
        <w:t>OCs</w:t>
      </w:r>
      <w:r>
        <w:rPr>
          <w:rFonts w:hint="eastAsia"/>
        </w:rPr>
        <w:t>治理工段每一套（台）治理设施运行电信号。采集填料吸附类治理设施的视频影像，并能够存储更换填料的视频影像。</w:t>
      </w:r>
    </w:p>
    <w:p>
      <w:pPr>
        <w:pStyle w:val="100"/>
        <w:spacing w:before="156" w:after="156"/>
      </w:pPr>
      <w:r>
        <w:rPr>
          <w:rFonts w:hint="eastAsia"/>
        </w:rPr>
        <w:t>排放工段</w:t>
      </w:r>
    </w:p>
    <w:p>
      <w:pPr>
        <w:pStyle w:val="58"/>
        <w:ind w:firstLine="420"/>
      </w:pPr>
      <w:r>
        <w:rPr>
          <w:rFonts w:hint="eastAsia"/>
        </w:rPr>
        <w:t>采集排放口的温度、压力、流量信息，安装PID（光离子化检测仪探头）监测VOCs排放浓度信息和采集应急排放口开关电信号等。</w:t>
      </w:r>
    </w:p>
    <w:p>
      <w:pPr>
        <w:pStyle w:val="67"/>
        <w:spacing w:before="156" w:after="156"/>
      </w:pPr>
      <w:r>
        <w:rPr>
          <w:rFonts w:hint="eastAsia"/>
        </w:rPr>
        <w:t>编码规则</w:t>
      </w:r>
    </w:p>
    <w:p>
      <w:pPr>
        <w:pStyle w:val="214"/>
        <w:numPr>
          <w:ilvl w:val="3"/>
          <w:numId w:val="33"/>
        </w:numPr>
      </w:pPr>
      <w:r>
        <w:rPr>
          <w:rFonts w:hint="eastAsia"/>
        </w:rPr>
        <w:t>因子编码规则应符合现行HJ 212-2017中6.4.1条的规定。</w:t>
      </w:r>
    </w:p>
    <w:p>
      <w:pPr>
        <w:pStyle w:val="214"/>
        <w:numPr>
          <w:ilvl w:val="3"/>
          <w:numId w:val="33"/>
        </w:numPr>
      </w:pPr>
      <w:r>
        <w:rPr>
          <w:rFonts w:hint="eastAsia"/>
        </w:rPr>
        <w:t>污染物参数编码规则按HJ 524 中的规定进行编码。</w:t>
      </w:r>
    </w:p>
    <w:p>
      <w:pPr>
        <w:pStyle w:val="214"/>
        <w:numPr>
          <w:ilvl w:val="3"/>
          <w:numId w:val="33"/>
        </w:numPr>
      </w:pPr>
      <w:r>
        <w:rPr>
          <w:rFonts w:hint="eastAsia"/>
        </w:rPr>
        <w:t>排放过程工况参数编码规则见图</w:t>
      </w:r>
      <w:r>
        <w:t>3</w:t>
      </w:r>
      <w:r>
        <w:rPr>
          <w:rFonts w:hint="eastAsia"/>
        </w:rPr>
        <w:t>所示，采用 6 位固定长度的字母数字混合格式组成：</w:t>
      </w:r>
    </w:p>
    <w:p>
      <w:pPr>
        <w:pStyle w:val="176"/>
        <w:numPr>
          <w:ilvl w:val="0"/>
          <w:numId w:val="34"/>
        </w:numPr>
      </w:pPr>
      <w:r>
        <w:rPr>
          <w:rFonts w:hint="eastAsia"/>
        </w:rPr>
        <w:t>第</w:t>
      </w:r>
      <w:r>
        <w:t>1</w:t>
      </w:r>
      <w:r>
        <w:rPr>
          <w:rFonts w:hint="eastAsia"/>
        </w:rPr>
        <w:t>位是编码分类</w:t>
      </w:r>
      <w:r>
        <w:t>,</w:t>
      </w:r>
      <w:r>
        <w:rPr>
          <w:rFonts w:hint="eastAsia"/>
        </w:rPr>
        <w:t>采用 1 位小写字母表示，“g”表示VOCs排放过程工况监测参数；</w:t>
      </w:r>
    </w:p>
    <w:p>
      <w:pPr>
        <w:pStyle w:val="176"/>
      </w:pPr>
      <w:r>
        <w:rPr>
          <w:rFonts w:hint="eastAsia"/>
        </w:rPr>
        <w:t>第</w:t>
      </w:r>
      <w:r>
        <w:t>2</w:t>
      </w:r>
      <w:r>
        <w:rPr>
          <w:rFonts w:hint="eastAsia"/>
        </w:rPr>
        <w:t>位是工艺分类</w:t>
      </w:r>
      <w:r>
        <w:t>,</w:t>
      </w:r>
      <w:r>
        <w:rPr>
          <w:rFonts w:hint="eastAsia"/>
        </w:rPr>
        <w:t>表示污染治理设施处理工艺的分类，采用</w:t>
      </w:r>
      <w:r>
        <w:t>1</w:t>
      </w:r>
      <w:r>
        <w:rPr>
          <w:rFonts w:hint="eastAsia"/>
        </w:rPr>
        <w:t>位阿拉伯数字或小写字母表示，7代表V</w:t>
      </w:r>
      <w:r>
        <w:t>OCs</w:t>
      </w:r>
      <w:r>
        <w:rPr>
          <w:rFonts w:hint="eastAsia"/>
        </w:rPr>
        <w:t>；</w:t>
      </w:r>
    </w:p>
    <w:p>
      <w:pPr>
        <w:pStyle w:val="176"/>
      </w:pPr>
      <w:r>
        <w:rPr>
          <w:rFonts w:hint="eastAsia"/>
        </w:rPr>
        <w:t>第3～4位是参数编码，表示监测因子或一个监测指标在一个工艺类型中的编码，采用</w:t>
      </w:r>
      <w:r>
        <w:t>2</w:t>
      </w:r>
      <w:r>
        <w:rPr>
          <w:rFonts w:hint="eastAsia"/>
        </w:rPr>
        <w:t>位阿拉伯数字表示，即01～99，每一种阿拉伯数字表示一种监测参数或一个监测指标；</w:t>
      </w:r>
    </w:p>
    <w:p>
      <w:pPr>
        <w:pStyle w:val="176"/>
      </w:pPr>
      <w:r>
        <w:rPr>
          <w:rFonts w:hint="eastAsia"/>
        </w:rPr>
        <w:t>第5～6位是设备编码，表示污染治理设施的设备编码，采用</w:t>
      </w:r>
      <w:r>
        <w:t>2</w:t>
      </w:r>
      <w:r>
        <w:rPr>
          <w:rFonts w:hint="eastAsia"/>
        </w:rPr>
        <w:t>位阿拉伯数字表示，即01～99，默认值为 01，多个相同设备监测同一类参数时，数字码编码依次递增。</w:t>
      </w:r>
    </w:p>
    <w:p>
      <w:pPr>
        <w:pStyle w:val="214"/>
        <w:numPr>
          <w:ilvl w:val="3"/>
          <w:numId w:val="33"/>
        </w:numPr>
      </w:pPr>
      <w:r>
        <w:rPr>
          <w:rFonts w:hint="eastAsia"/>
        </w:rPr>
        <w:t xml:space="preserve"> 涉VOCs排污单位过程监控（工况监控）因子编码及安装位置见附录</w:t>
      </w:r>
      <w:r>
        <w:t>B</w:t>
      </w:r>
      <w:r>
        <w:rPr>
          <w:rFonts w:hint="eastAsia"/>
        </w:rPr>
        <w:t>。</w:t>
      </w:r>
    </w:p>
    <w:p>
      <w:pPr>
        <w:pStyle w:val="58"/>
        <w:ind w:firstLine="560"/>
        <w:jc w:val="center"/>
      </w:pPr>
      <w:r>
        <w:rPr>
          <w:sz w:val="28"/>
          <w:szCs w:val="24"/>
        </w:rPr>
        <w:drawing>
          <wp:inline distT="0" distB="0" distL="114300" distR="114300">
            <wp:extent cx="4079240" cy="2466975"/>
            <wp:effectExtent l="0" t="0" r="0" b="0"/>
            <wp:docPr id="920788620" name="图片 920788620" descr="测试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788620" name="图片 920788620" descr="测试2 (1)"/>
                    <pic:cNvPicPr>
                      <a:picLocks noChangeAspect="1"/>
                    </pic:cNvPicPr>
                  </pic:nvPicPr>
                  <pic:blipFill>
                    <a:blip r:embed="rId48"/>
                    <a:stretch>
                      <a:fillRect/>
                    </a:stretch>
                  </pic:blipFill>
                  <pic:spPr>
                    <a:xfrm>
                      <a:off x="0" y="0"/>
                      <a:ext cx="4094178" cy="2476384"/>
                    </a:xfrm>
                    <a:prstGeom prst="rect">
                      <a:avLst/>
                    </a:prstGeom>
                  </pic:spPr>
                </pic:pic>
              </a:graphicData>
            </a:graphic>
          </wp:inline>
        </w:drawing>
      </w:r>
    </w:p>
    <w:p>
      <w:pPr>
        <w:pStyle w:val="58"/>
        <w:ind w:firstLine="420"/>
        <w:jc w:val="center"/>
        <w:rPr>
          <w:rFonts w:ascii="黑体" w:hAnsi="黑体" w:eastAsia="黑体"/>
        </w:rPr>
      </w:pPr>
      <w:r>
        <w:rPr>
          <w:rFonts w:hint="eastAsia" w:ascii="黑体" w:hAnsi="黑体" w:eastAsia="黑体"/>
        </w:rPr>
        <w:t>图3</w:t>
      </w:r>
      <w:r>
        <w:rPr>
          <w:rFonts w:ascii="黑体" w:hAnsi="黑体" w:eastAsia="黑体"/>
        </w:rPr>
        <w:t xml:space="preserve"> </w:t>
      </w:r>
      <w:r>
        <w:rPr>
          <w:rFonts w:hint="eastAsia" w:ascii="黑体" w:hAnsi="黑体" w:eastAsia="黑体"/>
        </w:rPr>
        <w:t>排放过程工况参数编码规则示例图</w:t>
      </w:r>
    </w:p>
    <w:p>
      <w:pPr>
        <w:pStyle w:val="106"/>
        <w:spacing w:before="312" w:after="312"/>
      </w:pPr>
      <w:bookmarkStart w:id="119" w:name="_Toc158298179"/>
      <w:bookmarkStart w:id="120" w:name="_Toc170827886"/>
      <w:bookmarkStart w:id="121" w:name="_Toc157089404"/>
      <w:bookmarkStart w:id="122" w:name="_Toc167289340"/>
      <w:bookmarkStart w:id="123" w:name="_Toc171604859"/>
      <w:bookmarkStart w:id="124" w:name="_Toc147566900"/>
      <w:bookmarkStart w:id="125" w:name="_Toc160544788"/>
      <w:bookmarkStart w:id="126" w:name="_Toc158298574"/>
      <w:bookmarkStart w:id="127" w:name="_Toc146206950"/>
      <w:bookmarkStart w:id="128" w:name="_Toc158142696"/>
      <w:bookmarkStart w:id="129" w:name="_Toc171675712"/>
      <w:r>
        <w:rPr>
          <w:rFonts w:hint="eastAsia"/>
        </w:rPr>
        <w:t>技术要求</w:t>
      </w:r>
      <w:bookmarkEnd w:id="119"/>
      <w:bookmarkEnd w:id="120"/>
      <w:bookmarkEnd w:id="121"/>
      <w:bookmarkEnd w:id="122"/>
      <w:bookmarkEnd w:id="123"/>
      <w:bookmarkEnd w:id="124"/>
      <w:bookmarkEnd w:id="125"/>
      <w:bookmarkEnd w:id="126"/>
      <w:bookmarkEnd w:id="127"/>
      <w:bookmarkEnd w:id="128"/>
      <w:bookmarkEnd w:id="129"/>
    </w:p>
    <w:p>
      <w:pPr>
        <w:pStyle w:val="107"/>
        <w:spacing w:before="156" w:after="156"/>
      </w:pPr>
      <w:bookmarkStart w:id="130" w:name="_Toc160544789"/>
      <w:bookmarkStart w:id="131" w:name="_Toc167289341"/>
      <w:bookmarkStart w:id="132" w:name="_Toc158298575"/>
      <w:bookmarkStart w:id="133" w:name="_Toc146206951"/>
      <w:bookmarkStart w:id="134" w:name="_Toc158142697"/>
      <w:bookmarkStart w:id="135" w:name="_Toc157089405"/>
      <w:bookmarkStart w:id="136" w:name="_Toc170827887"/>
      <w:bookmarkStart w:id="137" w:name="_Toc158298180"/>
      <w:bookmarkStart w:id="138" w:name="_Toc171604860"/>
      <w:bookmarkStart w:id="139" w:name="_Toc147566901"/>
      <w:bookmarkStart w:id="140" w:name="_Toc171675713"/>
      <w:r>
        <w:rPr>
          <w:rFonts w:hint="eastAsia"/>
        </w:rPr>
        <w:t>外观</w:t>
      </w:r>
      <w:bookmarkEnd w:id="130"/>
      <w:bookmarkEnd w:id="131"/>
      <w:bookmarkEnd w:id="132"/>
      <w:bookmarkEnd w:id="133"/>
      <w:bookmarkEnd w:id="134"/>
      <w:bookmarkEnd w:id="135"/>
      <w:bookmarkEnd w:id="136"/>
      <w:bookmarkEnd w:id="137"/>
      <w:bookmarkEnd w:id="138"/>
      <w:bookmarkEnd w:id="139"/>
      <w:bookmarkEnd w:id="140"/>
    </w:p>
    <w:p>
      <w:pPr>
        <w:pStyle w:val="167"/>
      </w:pPr>
      <w:r>
        <w:rPr>
          <w:rFonts w:hint="eastAsia"/>
        </w:rPr>
        <w:t>系统仪器应具有产品铭牌，标示仪器名称、型号、生产单位、出厂编号、制造日期等信息。</w:t>
      </w:r>
    </w:p>
    <w:p>
      <w:pPr>
        <w:pStyle w:val="167"/>
      </w:pPr>
      <w:r>
        <w:rPr>
          <w:rFonts w:hint="eastAsia"/>
        </w:rPr>
        <w:t>系统仪器表面应完好无损，无明显缺陷，各零部件连接可靠，各操作键、按钮使用灵活，定位准确。</w:t>
      </w:r>
    </w:p>
    <w:p>
      <w:pPr>
        <w:pStyle w:val="167"/>
      </w:pPr>
      <w:r>
        <w:rPr>
          <w:rFonts w:hint="eastAsia"/>
        </w:rPr>
        <w:t>系统主机面板显示清晰，涂色牢固，字符、标识易于识别，不应有影响读数的缺陷。</w:t>
      </w:r>
    </w:p>
    <w:p>
      <w:pPr>
        <w:pStyle w:val="167"/>
      </w:pPr>
      <w:r>
        <w:rPr>
          <w:rFonts w:hint="eastAsia"/>
        </w:rPr>
        <w:t>系统外壳应密封性能良好、防尘、防雨，采样探头应采用耐腐蚀材料。</w:t>
      </w:r>
    </w:p>
    <w:p>
      <w:pPr>
        <w:pStyle w:val="107"/>
        <w:spacing w:before="156" w:after="156"/>
      </w:pPr>
      <w:bookmarkStart w:id="141" w:name="_Toc160544790"/>
      <w:bookmarkStart w:id="142" w:name="_Toc167289342"/>
      <w:bookmarkStart w:id="143" w:name="_Toc147566903"/>
      <w:bookmarkStart w:id="144" w:name="_Toc158298181"/>
      <w:bookmarkStart w:id="145" w:name="_Toc158298576"/>
      <w:bookmarkStart w:id="146" w:name="_Toc157089407"/>
      <w:bookmarkStart w:id="147" w:name="_Toc170827888"/>
      <w:bookmarkStart w:id="148" w:name="_Toc158142698"/>
      <w:bookmarkStart w:id="149" w:name="_Toc146206953"/>
      <w:bookmarkStart w:id="150" w:name="_Toc171604861"/>
      <w:bookmarkStart w:id="151" w:name="_Toc171675714"/>
      <w:r>
        <w:rPr>
          <w:rFonts w:hint="eastAsia"/>
        </w:rPr>
        <w:t>设备性能指标</w:t>
      </w:r>
      <w:bookmarkEnd w:id="141"/>
      <w:bookmarkEnd w:id="142"/>
      <w:bookmarkEnd w:id="143"/>
      <w:bookmarkEnd w:id="144"/>
      <w:bookmarkEnd w:id="145"/>
      <w:bookmarkEnd w:id="146"/>
      <w:bookmarkEnd w:id="147"/>
      <w:bookmarkEnd w:id="148"/>
      <w:bookmarkEnd w:id="149"/>
      <w:bookmarkEnd w:id="150"/>
      <w:bookmarkEnd w:id="151"/>
    </w:p>
    <w:p>
      <w:pPr>
        <w:pStyle w:val="67"/>
        <w:spacing w:before="156" w:after="156"/>
      </w:pPr>
      <w:r>
        <w:rPr>
          <w:rFonts w:hint="eastAsia"/>
          <w:lang w:eastAsia="zh-CN"/>
        </w:rPr>
        <w:t>用电</w:t>
      </w:r>
      <w:r>
        <w:rPr>
          <w:rFonts w:hint="eastAsia"/>
        </w:rPr>
        <w:t>监控仪表</w:t>
      </w:r>
    </w:p>
    <w:p>
      <w:pPr>
        <w:pStyle w:val="166"/>
      </w:pPr>
      <w:r>
        <w:rPr>
          <w:rFonts w:hint="eastAsia"/>
        </w:rPr>
        <w:t>电流互感器应符合 GB</w:t>
      </w:r>
      <w:r>
        <w:t>/</w:t>
      </w:r>
      <w:r>
        <w:rPr>
          <w:rFonts w:hint="eastAsia"/>
        </w:rPr>
        <w:t>T</w:t>
      </w:r>
      <w:r>
        <w:t xml:space="preserve"> </w:t>
      </w:r>
      <w:r>
        <w:rPr>
          <w:rFonts w:hint="eastAsia"/>
        </w:rPr>
        <w:t>20840.2要求。</w:t>
      </w:r>
    </w:p>
    <w:p>
      <w:pPr>
        <w:pStyle w:val="166"/>
      </w:pPr>
      <w:r>
        <w:rPr>
          <w:rFonts w:hint="eastAsia"/>
        </w:rPr>
        <w:t>电压互感器应符合 GB/T</w:t>
      </w:r>
      <w:r>
        <w:t xml:space="preserve"> </w:t>
      </w:r>
      <w:r>
        <w:rPr>
          <w:rFonts w:hint="eastAsia"/>
        </w:rPr>
        <w:t>20840.3要求。</w:t>
      </w:r>
    </w:p>
    <w:p>
      <w:pPr>
        <w:pStyle w:val="166"/>
      </w:pPr>
      <w:r>
        <w:rPr>
          <w:rFonts w:hint="eastAsia"/>
        </w:rPr>
        <w:t>电测量变送器应符合GB/T</w:t>
      </w:r>
      <w:r>
        <w:t xml:space="preserve"> </w:t>
      </w:r>
      <w:r>
        <w:rPr>
          <w:rFonts w:hint="eastAsia"/>
        </w:rPr>
        <w:t>13850要求。</w:t>
      </w:r>
    </w:p>
    <w:p>
      <w:pPr>
        <w:pStyle w:val="166"/>
      </w:pPr>
      <w:r>
        <w:rPr>
          <w:rFonts w:hint="eastAsia"/>
        </w:rPr>
        <w:t>电能计量产品应符合 GB/T</w:t>
      </w:r>
      <w:r>
        <w:t xml:space="preserve"> </w:t>
      </w:r>
      <w:r>
        <w:rPr>
          <w:rFonts w:hint="eastAsia"/>
        </w:rPr>
        <w:t>2423、GB/T</w:t>
      </w:r>
      <w:r>
        <w:t xml:space="preserve"> </w:t>
      </w:r>
      <w:r>
        <w:rPr>
          <w:rFonts w:hint="eastAsia"/>
        </w:rPr>
        <w:t>17215.211、GB/T</w:t>
      </w:r>
      <w:r>
        <w:t xml:space="preserve"> </w:t>
      </w:r>
      <w:r>
        <w:rPr>
          <w:rFonts w:hint="eastAsia"/>
        </w:rPr>
        <w:t>17215.321和 DL/T 5137 要求。</w:t>
      </w:r>
    </w:p>
    <w:p>
      <w:pPr>
        <w:pStyle w:val="67"/>
        <w:spacing w:before="156" w:after="156"/>
      </w:pPr>
      <w:r>
        <w:rPr>
          <w:rFonts w:hint="eastAsia"/>
        </w:rPr>
        <w:t>压力检测仪</w:t>
      </w:r>
    </w:p>
    <w:p>
      <w:pPr>
        <w:pStyle w:val="58"/>
        <w:ind w:firstLine="420"/>
      </w:pPr>
      <w:r>
        <w:rPr>
          <w:rFonts w:hint="eastAsia"/>
        </w:rPr>
        <w:t>应符合GB/T</w:t>
      </w:r>
      <w:r>
        <w:t xml:space="preserve"> </w:t>
      </w:r>
      <w:r>
        <w:rPr>
          <w:rFonts w:hint="eastAsia"/>
        </w:rPr>
        <w:t>28474.1和GB/T</w:t>
      </w:r>
      <w:r>
        <w:t xml:space="preserve"> </w:t>
      </w:r>
      <w:r>
        <w:rPr>
          <w:rFonts w:hint="eastAsia"/>
        </w:rPr>
        <w:t>28474.2要求，关键技术指标还应符合以下要求：</w:t>
      </w:r>
    </w:p>
    <w:p>
      <w:pPr>
        <w:pStyle w:val="58"/>
        <w:numPr>
          <w:ilvl w:val="0"/>
          <w:numId w:val="35"/>
        </w:numPr>
        <w:ind w:firstLineChars="0"/>
      </w:pPr>
      <w:r>
        <w:rPr>
          <w:rFonts w:hint="eastAsia"/>
        </w:rPr>
        <w:t>测量范围:0</w:t>
      </w:r>
      <w:r>
        <w:t xml:space="preserve"> </w:t>
      </w:r>
      <w:r>
        <w:rPr>
          <w:rFonts w:hint="eastAsia"/>
        </w:rPr>
        <w:t>kPa</w:t>
      </w:r>
      <w:r>
        <w:rPr>
          <w:rFonts w:hint="eastAsia" w:hAnsi="宋体"/>
        </w:rPr>
        <w:t>～</w:t>
      </w:r>
      <w:r>
        <w:rPr>
          <w:rFonts w:hint="eastAsia"/>
        </w:rPr>
        <w:t>5 kPa；</w:t>
      </w:r>
    </w:p>
    <w:p>
      <w:pPr>
        <w:pStyle w:val="58"/>
        <w:numPr>
          <w:ilvl w:val="0"/>
          <w:numId w:val="35"/>
        </w:numPr>
        <w:ind w:firstLineChars="0"/>
      </w:pPr>
      <w:r>
        <w:rPr>
          <w:rFonts w:hint="eastAsia"/>
        </w:rPr>
        <w:t>输出信号:4 mA</w:t>
      </w:r>
      <w:r>
        <w:rPr>
          <w:rFonts w:hint="eastAsia" w:hAnsi="宋体"/>
        </w:rPr>
        <w:t>～</w:t>
      </w:r>
      <w:r>
        <w:rPr>
          <w:rFonts w:hint="eastAsia"/>
        </w:rPr>
        <w:t>20</w:t>
      </w:r>
      <w:r>
        <w:t xml:space="preserve"> </w:t>
      </w:r>
      <w:r>
        <w:rPr>
          <w:rFonts w:hint="eastAsia"/>
        </w:rPr>
        <w:t>mA、HART(两线制)；</w:t>
      </w:r>
    </w:p>
    <w:p>
      <w:pPr>
        <w:pStyle w:val="58"/>
        <w:numPr>
          <w:ilvl w:val="0"/>
          <w:numId w:val="35"/>
        </w:numPr>
        <w:ind w:firstLineChars="0"/>
      </w:pPr>
      <w:r>
        <w:rPr>
          <w:rFonts w:hint="eastAsia"/>
        </w:rPr>
        <w:t>启动时间:3</w:t>
      </w:r>
      <w:r>
        <w:t xml:space="preserve"> </w:t>
      </w:r>
      <w:r>
        <w:rPr>
          <w:rFonts w:hint="eastAsia"/>
        </w:rPr>
        <w:t>s无需预热；</w:t>
      </w:r>
    </w:p>
    <w:p>
      <w:pPr>
        <w:pStyle w:val="58"/>
        <w:numPr>
          <w:ilvl w:val="0"/>
          <w:numId w:val="35"/>
        </w:numPr>
        <w:ind w:firstLineChars="0"/>
      </w:pPr>
      <w:r>
        <w:rPr>
          <w:rFonts w:hint="eastAsia"/>
        </w:rPr>
        <w:t>精度：±1.0</w:t>
      </w:r>
      <w:r>
        <w:t xml:space="preserve"> </w:t>
      </w:r>
      <w:r>
        <w:rPr>
          <w:rFonts w:hint="eastAsia"/>
        </w:rPr>
        <w:t>%</w:t>
      </w:r>
      <w:r>
        <w:t xml:space="preserve"> </w:t>
      </w:r>
      <w:r>
        <w:rPr>
          <w:rFonts w:hint="eastAsia"/>
        </w:rPr>
        <w:t>FS；</w:t>
      </w:r>
    </w:p>
    <w:p>
      <w:pPr>
        <w:pStyle w:val="58"/>
        <w:numPr>
          <w:ilvl w:val="0"/>
          <w:numId w:val="35"/>
        </w:numPr>
        <w:ind w:firstLineChars="0"/>
      </w:pPr>
      <w:r>
        <w:rPr>
          <w:rFonts w:hint="eastAsia"/>
        </w:rPr>
        <w:t>稳定性:六个月误差为最大量程的±0.15</w:t>
      </w:r>
      <w:r>
        <w:t xml:space="preserve"> </w:t>
      </w:r>
      <w:r>
        <w:rPr>
          <w:rFonts w:hint="eastAsia"/>
        </w:rPr>
        <w:t>%；</w:t>
      </w:r>
    </w:p>
    <w:p>
      <w:pPr>
        <w:pStyle w:val="58"/>
        <w:numPr>
          <w:ilvl w:val="0"/>
          <w:numId w:val="35"/>
        </w:numPr>
        <w:ind w:firstLineChars="0"/>
      </w:pPr>
      <w:r>
        <w:rPr>
          <w:rFonts w:hint="eastAsia"/>
        </w:rPr>
        <w:t>电磁辐射:符合GB</w:t>
      </w:r>
      <w:r>
        <w:t>/</w:t>
      </w:r>
      <w:r>
        <w:rPr>
          <w:rFonts w:hint="eastAsia"/>
        </w:rPr>
        <w:t>T</w:t>
      </w:r>
      <w:r>
        <w:t xml:space="preserve"> </w:t>
      </w:r>
      <w:r>
        <w:rPr>
          <w:rFonts w:hint="eastAsia"/>
        </w:rPr>
        <w:t>17626(所有部分)要求。</w:t>
      </w:r>
    </w:p>
    <w:p>
      <w:pPr>
        <w:pStyle w:val="67"/>
        <w:spacing w:before="156" w:after="156"/>
      </w:pPr>
      <w:r>
        <w:rPr>
          <w:rFonts w:hint="eastAsia"/>
        </w:rPr>
        <w:t>温度测量仪</w:t>
      </w:r>
    </w:p>
    <w:p>
      <w:pPr>
        <w:pStyle w:val="58"/>
        <w:ind w:firstLine="420"/>
      </w:pPr>
      <w:r>
        <w:rPr>
          <w:rFonts w:hint="eastAsia"/>
        </w:rPr>
        <w:t>应符合GB/T</w:t>
      </w:r>
      <w:r>
        <w:t xml:space="preserve"> </w:t>
      </w:r>
      <w:r>
        <w:rPr>
          <w:rFonts w:hint="eastAsia"/>
        </w:rPr>
        <w:t>30121要求，关键技术指标还应符合以下要求:</w:t>
      </w:r>
    </w:p>
    <w:p>
      <w:pPr>
        <w:pStyle w:val="176"/>
        <w:numPr>
          <w:ilvl w:val="0"/>
          <w:numId w:val="36"/>
        </w:numPr>
      </w:pPr>
      <w:r>
        <w:rPr>
          <w:rFonts w:hint="eastAsia"/>
        </w:rPr>
        <w:t>输出信号:数字信号或满足GB/T</w:t>
      </w:r>
      <w:r>
        <w:t xml:space="preserve"> </w:t>
      </w:r>
      <w:r>
        <w:rPr>
          <w:rFonts w:hint="eastAsia"/>
        </w:rPr>
        <w:t>3369.1、GB/T</w:t>
      </w:r>
      <w:r>
        <w:t xml:space="preserve"> </w:t>
      </w:r>
      <w:r>
        <w:rPr>
          <w:rFonts w:hint="eastAsia"/>
        </w:rPr>
        <w:t>3369.2的模拟信号；</w:t>
      </w:r>
    </w:p>
    <w:p>
      <w:pPr>
        <w:pStyle w:val="176"/>
      </w:pPr>
      <w:r>
        <w:rPr>
          <w:rFonts w:hint="eastAsia"/>
        </w:rPr>
        <w:t>工作电源:12</w:t>
      </w:r>
      <w:r>
        <w:t xml:space="preserve"> </w:t>
      </w:r>
      <w:r>
        <w:rPr>
          <w:rFonts w:hint="eastAsia"/>
        </w:rPr>
        <w:t>V</w:t>
      </w:r>
      <w:r>
        <w:rPr>
          <w:rFonts w:hint="eastAsia" w:hAnsi="宋体"/>
        </w:rPr>
        <w:t>～</w:t>
      </w:r>
      <w:r>
        <w:rPr>
          <w:rFonts w:hint="eastAsia"/>
        </w:rPr>
        <w:t>45</w:t>
      </w:r>
      <w:r>
        <w:t xml:space="preserve"> </w:t>
      </w:r>
      <w:r>
        <w:rPr>
          <w:rFonts w:hint="eastAsia"/>
        </w:rPr>
        <w:t>V直流电源或电池等供电，宜使用24</w:t>
      </w:r>
      <w:r>
        <w:t xml:space="preserve"> </w:t>
      </w:r>
      <w:r>
        <w:rPr>
          <w:rFonts w:hint="eastAsia"/>
        </w:rPr>
        <w:t>V直流电源；</w:t>
      </w:r>
    </w:p>
    <w:p>
      <w:pPr>
        <w:pStyle w:val="176"/>
      </w:pPr>
      <w:r>
        <w:rPr>
          <w:rFonts w:hint="eastAsia"/>
        </w:rPr>
        <w:t>精度等级:0.5；</w:t>
      </w:r>
    </w:p>
    <w:p>
      <w:pPr>
        <w:pStyle w:val="176"/>
      </w:pPr>
      <w:r>
        <w:rPr>
          <w:rFonts w:hint="eastAsia"/>
        </w:rPr>
        <w:t>温度漂移系数:≤200</w:t>
      </w:r>
      <w:r>
        <w:rPr>
          <w:rFonts w:ascii="Arial" w:hAnsi="Arial" w:cs="Arial"/>
          <w:sz w:val="20"/>
          <w:shd w:val="clear" w:color="auto" w:fill="FFFFFF"/>
        </w:rPr>
        <w:t>×</w:t>
      </w:r>
      <w:r>
        <w:rPr>
          <w:rFonts w:hint="eastAsia"/>
        </w:rPr>
        <w:t>10</w:t>
      </w:r>
      <w:r>
        <w:rPr>
          <w:rFonts w:hint="eastAsia"/>
          <w:vertAlign w:val="superscript"/>
        </w:rPr>
        <w:t>-6</w:t>
      </w:r>
      <w:r>
        <w:rPr>
          <w:rFonts w:hint="eastAsia"/>
        </w:rPr>
        <w:t>；</w:t>
      </w:r>
    </w:p>
    <w:p>
      <w:pPr>
        <w:pStyle w:val="176"/>
      </w:pPr>
      <w:r>
        <w:rPr>
          <w:rFonts w:hint="eastAsia"/>
        </w:rPr>
        <w:t>响应时间:平均值</w:t>
      </w:r>
      <w:r>
        <w:rPr>
          <w:rFonts w:hint="eastAsia" w:hAnsi="宋体"/>
        </w:rPr>
        <w:t>＜</w:t>
      </w:r>
      <w:r>
        <w:rPr>
          <w:rFonts w:hint="eastAsia"/>
        </w:rPr>
        <w:t>350</w:t>
      </w:r>
      <w:r>
        <w:t xml:space="preserve"> </w:t>
      </w:r>
      <w:r>
        <w:rPr>
          <w:rFonts w:hint="eastAsia"/>
        </w:rPr>
        <w:t>ms，真有效值≤100</w:t>
      </w:r>
      <w:r>
        <w:t xml:space="preserve"> ms</w:t>
      </w:r>
      <w:r>
        <w:rPr>
          <w:rFonts w:hint="eastAsia"/>
        </w:rPr>
        <w:t>。</w:t>
      </w:r>
    </w:p>
    <w:p>
      <w:pPr>
        <w:pStyle w:val="67"/>
        <w:spacing w:before="156" w:after="156"/>
      </w:pPr>
      <w:r>
        <w:rPr>
          <w:rFonts w:hint="eastAsia"/>
        </w:rPr>
        <w:t>流速仪</w:t>
      </w:r>
    </w:p>
    <w:p>
      <w:pPr>
        <w:pStyle w:val="58"/>
        <w:ind w:firstLine="420"/>
      </w:pPr>
      <w:r>
        <w:rPr>
          <w:rFonts w:hint="eastAsia"/>
        </w:rPr>
        <w:t>流速仪关键技术指标应符合以下要求:</w:t>
      </w:r>
      <w:r>
        <w:t xml:space="preserve"> </w:t>
      </w:r>
    </w:p>
    <w:p>
      <w:pPr>
        <w:pStyle w:val="176"/>
        <w:numPr>
          <w:ilvl w:val="0"/>
          <w:numId w:val="37"/>
        </w:numPr>
      </w:pPr>
      <w:r>
        <w:rPr>
          <w:rFonts w:hint="eastAsia"/>
        </w:rPr>
        <w:t>测量范围：0</w:t>
      </w:r>
      <w:r>
        <w:rPr>
          <w:rFonts w:hint="eastAsia" w:hAnsi="宋体"/>
        </w:rPr>
        <w:t>～</w:t>
      </w:r>
      <w:r>
        <w:t>60 m/s</w:t>
      </w:r>
      <w:r>
        <w:rPr>
          <w:rFonts w:hint="eastAsia"/>
          <w:lang w:eastAsia="zh-CN"/>
        </w:rPr>
        <w:t>；</w:t>
      </w:r>
    </w:p>
    <w:p>
      <w:pPr>
        <w:pStyle w:val="176"/>
      </w:pPr>
      <w:r>
        <w:rPr>
          <w:rFonts w:hint="eastAsia"/>
        </w:rPr>
        <w:t>精密度：±5</w:t>
      </w:r>
      <w:r>
        <w:t xml:space="preserve"> </w:t>
      </w:r>
      <w:r>
        <w:rPr>
          <w:rFonts w:hint="eastAsia"/>
        </w:rPr>
        <w:t>%</w:t>
      </w:r>
      <w:r>
        <w:t xml:space="preserve"> </w:t>
      </w:r>
      <w:r>
        <w:rPr>
          <w:rFonts w:hint="eastAsia"/>
        </w:rPr>
        <w:t>FS；</w:t>
      </w:r>
      <w:bookmarkStart w:id="270" w:name="_GoBack"/>
      <w:bookmarkEnd w:id="270"/>
    </w:p>
    <w:p>
      <w:pPr>
        <w:pStyle w:val="176"/>
      </w:pPr>
      <w:r>
        <w:rPr>
          <w:rFonts w:hint="eastAsia"/>
        </w:rPr>
        <w:t>分辨率：</w:t>
      </w:r>
      <w:r>
        <w:t>1 m/s</w:t>
      </w:r>
      <w:r>
        <w:rPr>
          <w:rFonts w:hint="eastAsia"/>
        </w:rPr>
        <w:t>；</w:t>
      </w:r>
    </w:p>
    <w:p>
      <w:pPr>
        <w:pStyle w:val="176"/>
      </w:pPr>
      <w:r>
        <w:rPr>
          <w:rFonts w:hint="eastAsia"/>
        </w:rPr>
        <w:t>温度稳定时响应时间：≤</w:t>
      </w:r>
      <w:r>
        <w:rPr>
          <w:rFonts w:ascii="Times New Roman"/>
        </w:rPr>
        <w:t xml:space="preserve"> </w:t>
      </w:r>
      <w:r>
        <w:t xml:space="preserve">1 </w:t>
      </w:r>
      <w:r>
        <w:rPr>
          <w:rFonts w:hint="eastAsia"/>
        </w:rPr>
        <w:t>s。</w:t>
      </w:r>
    </w:p>
    <w:p>
      <w:pPr>
        <w:pStyle w:val="67"/>
        <w:spacing w:before="156" w:after="156"/>
      </w:pPr>
      <w:bookmarkStart w:id="152" w:name="_Toc147566904"/>
      <w:bookmarkStart w:id="153" w:name="_Toc146206954"/>
      <w:r>
        <w:rPr>
          <w:rFonts w:hint="eastAsia"/>
        </w:rPr>
        <w:t>在线</w:t>
      </w:r>
      <w:r>
        <w:t>数采仪</w:t>
      </w:r>
    </w:p>
    <w:p>
      <w:pPr>
        <w:pStyle w:val="58"/>
        <w:ind w:firstLine="420"/>
      </w:pPr>
      <w:r>
        <w:rPr>
          <w:rFonts w:hint="eastAsia"/>
        </w:rPr>
        <w:t>应符合HJ 477要求。可集成于其他自动监控仪器设备中或单独运行。</w:t>
      </w:r>
    </w:p>
    <w:p>
      <w:pPr>
        <w:pStyle w:val="67"/>
        <w:spacing w:before="156" w:after="156"/>
      </w:pPr>
      <w:r>
        <w:t>摄像机</w:t>
      </w:r>
    </w:p>
    <w:p>
      <w:pPr>
        <w:pStyle w:val="58"/>
        <w:ind w:firstLine="420"/>
      </w:pPr>
      <w:r>
        <w:rPr>
          <w:rFonts w:hint="eastAsia"/>
        </w:rPr>
        <w:t>摄像机性能应符合</w:t>
      </w:r>
      <w:r>
        <w:t>GA/T 1127</w:t>
      </w:r>
      <w:r>
        <w:rPr>
          <w:rFonts w:hint="eastAsia"/>
        </w:rPr>
        <w:t>的规定。</w:t>
      </w:r>
    </w:p>
    <w:p>
      <w:pPr>
        <w:pStyle w:val="67"/>
        <w:spacing w:before="156" w:after="156"/>
      </w:pPr>
      <w:r>
        <w:t>p</w:t>
      </w:r>
      <w:r>
        <w:rPr>
          <w:rFonts w:hint="eastAsia"/>
        </w:rPr>
        <w:t>H计</w:t>
      </w:r>
    </w:p>
    <w:p>
      <w:pPr>
        <w:pStyle w:val="166"/>
        <w:numPr>
          <w:ilvl w:val="0"/>
          <w:numId w:val="0"/>
        </w:numPr>
        <w:ind w:firstLine="420" w:firstLineChars="200"/>
      </w:pPr>
      <w:r>
        <w:rPr>
          <w:rFonts w:hint="eastAsia"/>
        </w:rPr>
        <w:t>应符合JJF 1547-2015的0.01级要求，关键技术指标还应符合以下要求:</w:t>
      </w:r>
    </w:p>
    <w:p>
      <w:pPr>
        <w:pStyle w:val="176"/>
        <w:numPr>
          <w:ilvl w:val="0"/>
          <w:numId w:val="38"/>
        </w:numPr>
      </w:pPr>
      <w:r>
        <w:rPr>
          <w:rFonts w:hint="eastAsia"/>
        </w:rPr>
        <w:t>分辨率:0.01；</w:t>
      </w:r>
    </w:p>
    <w:p>
      <w:pPr>
        <w:pStyle w:val="176"/>
      </w:pPr>
      <w:r>
        <w:rPr>
          <w:rFonts w:hint="eastAsia"/>
        </w:rPr>
        <w:t>输出信号:数字信号或满足GB/T</w:t>
      </w:r>
      <w:r>
        <w:t xml:space="preserve"> </w:t>
      </w:r>
      <w:r>
        <w:rPr>
          <w:rFonts w:hint="eastAsia"/>
        </w:rPr>
        <w:t>3369.1、GB/T</w:t>
      </w:r>
      <w:r>
        <w:t xml:space="preserve"> </w:t>
      </w:r>
      <w:r>
        <w:rPr>
          <w:rFonts w:hint="eastAsia"/>
        </w:rPr>
        <w:t>3369.2的模拟信号；</w:t>
      </w:r>
    </w:p>
    <w:p>
      <w:pPr>
        <w:pStyle w:val="176"/>
      </w:pPr>
      <w:r>
        <w:rPr>
          <w:rFonts w:hint="eastAsia"/>
        </w:rPr>
        <w:t>防护等级:IP65。</w:t>
      </w:r>
    </w:p>
    <w:p>
      <w:pPr>
        <w:pStyle w:val="67"/>
        <w:spacing w:before="156" w:after="156"/>
      </w:pPr>
      <w:r>
        <w:rPr>
          <w:rFonts w:hint="eastAsia"/>
        </w:rPr>
        <w:t>CEMS（可选）</w:t>
      </w:r>
    </w:p>
    <w:p>
      <w:pPr>
        <w:pStyle w:val="58"/>
        <w:ind w:firstLine="420"/>
      </w:pPr>
      <w:r>
        <w:rPr>
          <w:rFonts w:hint="eastAsia"/>
        </w:rPr>
        <w:t>CEMS除应满足HJ</w:t>
      </w:r>
      <w:r>
        <w:t xml:space="preserve"> </w:t>
      </w:r>
      <w:r>
        <w:rPr>
          <w:rFonts w:hint="eastAsia"/>
        </w:rPr>
        <w:t>1013中的技术要求和性能指标要求外，还应满足以下要求：</w:t>
      </w:r>
    </w:p>
    <w:p>
      <w:pPr>
        <w:pStyle w:val="176"/>
        <w:numPr>
          <w:ilvl w:val="0"/>
          <w:numId w:val="39"/>
        </w:numPr>
      </w:pPr>
      <w:r>
        <w:rPr>
          <w:rFonts w:hint="eastAsia"/>
        </w:rPr>
        <w:t>NMHC-CEMS 示值误差:量程</w:t>
      </w:r>
      <w:r>
        <w:rPr>
          <w:rFonts w:hint="eastAsia" w:hAnsi="宋体"/>
        </w:rPr>
        <w:t>＞</w:t>
      </w:r>
      <w:r>
        <w:rPr>
          <w:rFonts w:hint="eastAsia"/>
        </w:rPr>
        <w:t>100</w:t>
      </w:r>
      <w:r>
        <w:t xml:space="preserve"> </w:t>
      </w:r>
      <w:r>
        <w:rPr>
          <w:rFonts w:hint="eastAsia"/>
        </w:rPr>
        <w:t>mg/m</w:t>
      </w:r>
      <w:r>
        <w:rPr>
          <w:vertAlign w:val="superscript"/>
        </w:rPr>
        <w:t>3</w:t>
      </w:r>
      <w:r>
        <w:rPr>
          <w:rFonts w:hint="eastAsia"/>
        </w:rPr>
        <w:t>时，示值误差应在标准气体标称值的±5</w:t>
      </w:r>
      <w:r>
        <w:t xml:space="preserve"> </w:t>
      </w:r>
      <w:r>
        <w:rPr>
          <w:rFonts w:hint="eastAsia"/>
        </w:rPr>
        <w:t>%以内；量程≤100</w:t>
      </w:r>
      <w:r>
        <w:t xml:space="preserve"> </w:t>
      </w:r>
      <w:r>
        <w:rPr>
          <w:rFonts w:hint="eastAsia"/>
        </w:rPr>
        <w:t>mg/m</w:t>
      </w:r>
      <w:r>
        <w:rPr>
          <w:rFonts w:hint="eastAsia"/>
          <w:vertAlign w:val="superscript"/>
        </w:rPr>
        <w:t>3</w:t>
      </w:r>
      <w:r>
        <w:rPr>
          <w:rFonts w:hint="eastAsia"/>
        </w:rPr>
        <w:t>时，示值误差应在F.S.的±2.5</w:t>
      </w:r>
      <w:r>
        <w:t xml:space="preserve"> </w:t>
      </w:r>
      <w:r>
        <w:rPr>
          <w:rFonts w:hint="eastAsia"/>
        </w:rPr>
        <w:t>%以内；</w:t>
      </w:r>
    </w:p>
    <w:p>
      <w:pPr>
        <w:pStyle w:val="176"/>
      </w:pPr>
      <w:r>
        <w:rPr>
          <w:rFonts w:hint="eastAsia"/>
        </w:rPr>
        <w:t>NMHC-CEMS系统响应时间≤300</w:t>
      </w:r>
      <w:r>
        <w:t xml:space="preserve"> </w:t>
      </w:r>
      <w:r>
        <w:rPr>
          <w:rFonts w:hint="eastAsia"/>
        </w:rPr>
        <w:t>s；</w:t>
      </w:r>
    </w:p>
    <w:p>
      <w:pPr>
        <w:pStyle w:val="176"/>
      </w:pPr>
      <w:r>
        <w:rPr>
          <w:rFonts w:hint="eastAsia"/>
        </w:rPr>
        <w:t>参比方法测量 NMHC浓度平均值和排放限值均</w:t>
      </w:r>
      <w:r>
        <w:rPr>
          <w:rFonts w:hint="eastAsia" w:hAnsi="宋体"/>
        </w:rPr>
        <w:t>＜</w:t>
      </w:r>
      <w:r>
        <w:rPr>
          <w:rFonts w:hint="eastAsia"/>
        </w:rPr>
        <w:t>50 mg/m</w:t>
      </w:r>
      <w:r>
        <w:rPr>
          <w:vertAlign w:val="superscript"/>
        </w:rPr>
        <w:t>3</w:t>
      </w:r>
      <w:r>
        <w:rPr>
          <w:rFonts w:hint="eastAsia"/>
        </w:rPr>
        <w:t>时,绝对误差平均值应在±10 mg/m</w:t>
      </w:r>
      <w:r>
        <w:rPr>
          <w:vertAlign w:val="superscript"/>
        </w:rPr>
        <w:t>3</w:t>
      </w:r>
      <w:r>
        <w:rPr>
          <w:rFonts w:hint="eastAsia"/>
        </w:rPr>
        <w:t>以内。</w:t>
      </w:r>
    </w:p>
    <w:p>
      <w:pPr>
        <w:pStyle w:val="67"/>
        <w:spacing w:before="156" w:after="156"/>
      </w:pPr>
      <w:r>
        <w:rPr>
          <w:rFonts w:hint="eastAsia"/>
        </w:rPr>
        <w:t>其他特殊要求</w:t>
      </w:r>
    </w:p>
    <w:p>
      <w:pPr>
        <w:pStyle w:val="58"/>
        <w:ind w:firstLine="420"/>
      </w:pPr>
      <w:r>
        <w:rPr>
          <w:rFonts w:hint="eastAsia"/>
        </w:rPr>
        <w:t>参数传感器、污染治理设施运行记录仪和数据采集传输仪使用场所如有防爆要求，应符合GB</w:t>
      </w:r>
      <w:r>
        <w:t xml:space="preserve">/T </w:t>
      </w:r>
      <w:r>
        <w:rPr>
          <w:rFonts w:hint="eastAsia"/>
        </w:rPr>
        <w:t>3836.1、GB</w:t>
      </w:r>
      <w:r>
        <w:t>/T</w:t>
      </w:r>
      <w:r>
        <w:rPr>
          <w:rFonts w:hint="eastAsia"/>
        </w:rPr>
        <w:t xml:space="preserve"> 3836.2、GB</w:t>
      </w:r>
      <w:r>
        <w:t xml:space="preserve">/T </w:t>
      </w:r>
      <w:r>
        <w:rPr>
          <w:rFonts w:hint="eastAsia"/>
        </w:rPr>
        <w:t>3836.4</w:t>
      </w:r>
      <w:r>
        <w:t xml:space="preserve"> </w:t>
      </w:r>
      <w:r>
        <w:rPr>
          <w:rFonts w:hint="eastAsia"/>
        </w:rPr>
        <w:t>的有关要求，并经具有资质的第三方质量检验机构检验合格，取得防爆合格证书。</w:t>
      </w:r>
    </w:p>
    <w:p>
      <w:pPr>
        <w:pStyle w:val="106"/>
        <w:spacing w:before="312" w:after="312"/>
      </w:pPr>
      <w:bookmarkStart w:id="154" w:name="_Toc158298577"/>
      <w:bookmarkStart w:id="155" w:name="_Toc170827889"/>
      <w:bookmarkStart w:id="156" w:name="_Toc171604862"/>
      <w:bookmarkStart w:id="157" w:name="_Toc158298182"/>
      <w:bookmarkStart w:id="158" w:name="_Toc158142699"/>
      <w:bookmarkStart w:id="159" w:name="_Toc160544791"/>
      <w:bookmarkStart w:id="160" w:name="_Toc167289343"/>
      <w:bookmarkStart w:id="161" w:name="_Toc157089408"/>
      <w:bookmarkStart w:id="162" w:name="_Toc171675715"/>
      <w:r>
        <w:rPr>
          <w:rFonts w:hint="eastAsia"/>
        </w:rPr>
        <w:t>安装</w:t>
      </w:r>
      <w:bookmarkEnd w:id="152"/>
      <w:bookmarkEnd w:id="153"/>
      <w:bookmarkEnd w:id="154"/>
      <w:bookmarkEnd w:id="155"/>
      <w:bookmarkEnd w:id="156"/>
      <w:bookmarkEnd w:id="157"/>
      <w:bookmarkEnd w:id="158"/>
      <w:bookmarkEnd w:id="159"/>
      <w:bookmarkEnd w:id="160"/>
      <w:bookmarkEnd w:id="161"/>
      <w:bookmarkEnd w:id="162"/>
    </w:p>
    <w:p>
      <w:pPr>
        <w:pStyle w:val="107"/>
        <w:spacing w:before="156" w:after="156"/>
      </w:pPr>
      <w:bookmarkStart w:id="163" w:name="_Toc146206955"/>
      <w:bookmarkStart w:id="164" w:name="_Toc157089409"/>
      <w:bookmarkStart w:id="165" w:name="_Toc158298578"/>
      <w:bookmarkStart w:id="166" w:name="_Toc158142700"/>
      <w:bookmarkStart w:id="167" w:name="_Toc147566905"/>
      <w:bookmarkStart w:id="168" w:name="_Toc158298183"/>
      <w:bookmarkStart w:id="169" w:name="_Toc170827890"/>
      <w:bookmarkStart w:id="170" w:name="_Toc171604863"/>
      <w:bookmarkStart w:id="171" w:name="_Toc160544792"/>
      <w:bookmarkStart w:id="172" w:name="_Toc167289344"/>
      <w:bookmarkStart w:id="173" w:name="_Toc171675716"/>
      <w:r>
        <w:rPr>
          <w:rFonts w:hint="eastAsia"/>
        </w:rPr>
        <w:t>安装</w:t>
      </w:r>
      <w:bookmarkEnd w:id="163"/>
      <w:bookmarkEnd w:id="164"/>
      <w:bookmarkEnd w:id="165"/>
      <w:bookmarkEnd w:id="166"/>
      <w:bookmarkEnd w:id="167"/>
      <w:bookmarkEnd w:id="168"/>
      <w:r>
        <w:rPr>
          <w:rFonts w:hint="eastAsia"/>
        </w:rPr>
        <w:t>要求</w:t>
      </w:r>
      <w:bookmarkEnd w:id="169"/>
      <w:bookmarkEnd w:id="170"/>
      <w:bookmarkEnd w:id="171"/>
      <w:bookmarkEnd w:id="172"/>
      <w:bookmarkEnd w:id="173"/>
    </w:p>
    <w:p>
      <w:pPr>
        <w:pStyle w:val="167"/>
      </w:pPr>
      <w:r>
        <w:rPr>
          <w:rFonts w:hint="eastAsia"/>
        </w:rPr>
        <w:t>安装调试人员必须具有相关的操作资质（电工证、高压电工证等），安全工程师和安全监督员应具有电力专业工程师以上专业技术任职资格，满足电力施工相关要求，保障安装工艺，对排污单位原有的用电线路不造成影响。</w:t>
      </w:r>
    </w:p>
    <w:p>
      <w:pPr>
        <w:pStyle w:val="167"/>
      </w:pPr>
      <w:r>
        <w:rPr>
          <w:rFonts w:hint="eastAsia"/>
        </w:rPr>
        <w:t>系统安装施工应符合 GB 50093、GB 50168、GB 50171的规定。系统安装不应对安全生产和生态环境造成影响，兼顾防爆、防雷、防电磁辐射等影响，保障信号传输。建立起有效安全措施，防止易燃易爆、有毒有害气体泄漏，及防范其他安全风险，若设备安装环境有防爆要求，则应按 GB/T 3836.1中有关规定执行。</w:t>
      </w:r>
    </w:p>
    <w:p>
      <w:pPr>
        <w:pStyle w:val="167"/>
      </w:pPr>
      <w:r>
        <w:rPr>
          <w:rFonts w:hint="eastAsia"/>
        </w:rPr>
        <w:t>安装联网后，进入试运行阶段，保证采集数据有效传输率不低于9</w:t>
      </w:r>
      <w:r>
        <w:t>0 %</w:t>
      </w:r>
      <w:r>
        <w:rPr>
          <w:rFonts w:hint="eastAsia"/>
        </w:rPr>
        <w:t>。保证采集信息能够真实反映现场实际情况，并确认现场运行数据、采集数据、平台数据的一致性。</w:t>
      </w:r>
    </w:p>
    <w:p>
      <w:pPr>
        <w:pStyle w:val="107"/>
        <w:spacing w:before="156" w:after="156"/>
      </w:pPr>
      <w:bookmarkStart w:id="174" w:name="_Toc167289345"/>
      <w:bookmarkStart w:id="175" w:name="_Toc157089410"/>
      <w:bookmarkStart w:id="176" w:name="_Toc171604864"/>
      <w:bookmarkStart w:id="177" w:name="_Toc158298184"/>
      <w:bookmarkStart w:id="178" w:name="_Toc146206956"/>
      <w:bookmarkStart w:id="179" w:name="_Toc160544793"/>
      <w:bookmarkStart w:id="180" w:name="_Toc158142701"/>
      <w:bookmarkStart w:id="181" w:name="_Toc170827891"/>
      <w:bookmarkStart w:id="182" w:name="_Toc147566906"/>
      <w:bookmarkStart w:id="183" w:name="_Toc158298579"/>
      <w:bookmarkStart w:id="184" w:name="_Toc171675717"/>
      <w:r>
        <w:rPr>
          <w:rFonts w:hint="eastAsia"/>
        </w:rPr>
        <w:t>技术验收</w:t>
      </w:r>
      <w:bookmarkEnd w:id="174"/>
      <w:bookmarkEnd w:id="175"/>
      <w:bookmarkEnd w:id="176"/>
      <w:bookmarkEnd w:id="177"/>
      <w:bookmarkEnd w:id="178"/>
      <w:bookmarkEnd w:id="179"/>
      <w:bookmarkEnd w:id="180"/>
      <w:bookmarkEnd w:id="181"/>
      <w:bookmarkEnd w:id="182"/>
      <w:bookmarkEnd w:id="183"/>
      <w:bookmarkEnd w:id="184"/>
    </w:p>
    <w:p>
      <w:pPr>
        <w:pStyle w:val="67"/>
        <w:spacing w:before="156" w:after="156"/>
      </w:pPr>
      <w:r>
        <w:rPr>
          <w:rFonts w:hint="eastAsia"/>
        </w:rPr>
        <w:t>概述</w:t>
      </w:r>
    </w:p>
    <w:p>
      <w:pPr>
        <w:pStyle w:val="58"/>
        <w:ind w:firstLine="420"/>
      </w:pPr>
      <w:r>
        <w:rPr>
          <w:rFonts w:hint="eastAsia"/>
        </w:rPr>
        <w:t>施工完毕、联网运行后由实施主体组织验收，验收过程包括提出申请、现场检查、现场测试、确认验收和信息备案、</w:t>
      </w:r>
      <w:r>
        <w:rPr>
          <w:rFonts w:hint="eastAsia"/>
          <w:color w:val="000000" w:themeColor="text1"/>
          <w14:textFill>
            <w14:solidFill>
              <w14:schemeClr w14:val="tx1"/>
            </w14:solidFill>
          </w14:textFill>
        </w:rPr>
        <w:t>公开等</w:t>
      </w:r>
      <w:r>
        <w:rPr>
          <w:rFonts w:hint="eastAsia"/>
        </w:rPr>
        <w:t>环节。</w:t>
      </w:r>
    </w:p>
    <w:p>
      <w:pPr>
        <w:pStyle w:val="67"/>
        <w:spacing w:before="156" w:after="156"/>
      </w:pPr>
      <w:r>
        <w:rPr>
          <w:rFonts w:hint="eastAsia"/>
        </w:rPr>
        <w:t>提出申请</w:t>
      </w:r>
    </w:p>
    <w:p>
      <w:pPr>
        <w:pStyle w:val="164"/>
        <w:numPr>
          <w:ilvl w:val="0"/>
          <w:numId w:val="0"/>
        </w:numPr>
        <w:ind w:firstLine="420" w:firstLineChars="200"/>
        <w:rPr>
          <w:highlight w:val="yellow"/>
        </w:rPr>
      </w:pPr>
      <w:r>
        <w:rPr>
          <w:rFonts w:hint="eastAsia"/>
        </w:rPr>
        <w:t>由施工单位提出验收申请，并提供以下书面材料：</w:t>
      </w:r>
      <w:r>
        <w:t xml:space="preserve"> </w:t>
      </w:r>
    </w:p>
    <w:p>
      <w:pPr>
        <w:pStyle w:val="176"/>
        <w:numPr>
          <w:ilvl w:val="0"/>
          <w:numId w:val="40"/>
        </w:numPr>
      </w:pPr>
      <w:r>
        <w:rPr>
          <w:rFonts w:hint="eastAsia"/>
        </w:rPr>
        <w:t>现场采用主要系统及设备说明书和资质证书；</w:t>
      </w:r>
    </w:p>
    <w:p>
      <w:pPr>
        <w:pStyle w:val="176"/>
        <w:numPr>
          <w:ilvl w:val="0"/>
          <w:numId w:val="40"/>
        </w:numPr>
      </w:pPr>
      <w:r>
        <w:rPr>
          <w:rFonts w:hint="eastAsia"/>
        </w:rPr>
        <w:t>现场采用设备的检测合格证书、设施设备校准材料；</w:t>
      </w:r>
    </w:p>
    <w:p>
      <w:pPr>
        <w:pStyle w:val="176"/>
        <w:numPr>
          <w:ilvl w:val="0"/>
          <w:numId w:val="40"/>
        </w:numPr>
      </w:pPr>
      <w:r>
        <w:rPr>
          <w:rFonts w:hint="eastAsia"/>
        </w:rPr>
        <w:t>过程在线监控系统方案；</w:t>
      </w:r>
    </w:p>
    <w:p>
      <w:pPr>
        <w:pStyle w:val="176"/>
        <w:numPr>
          <w:ilvl w:val="0"/>
          <w:numId w:val="40"/>
        </w:numPr>
      </w:pPr>
      <w:r>
        <w:rPr>
          <w:rFonts w:hint="eastAsia"/>
        </w:rPr>
        <w:t>信息采集与传输测试样例；</w:t>
      </w:r>
    </w:p>
    <w:p>
      <w:pPr>
        <w:pStyle w:val="176"/>
        <w:numPr>
          <w:ilvl w:val="0"/>
          <w:numId w:val="40"/>
        </w:numPr>
      </w:pPr>
      <w:r>
        <w:rPr>
          <w:rFonts w:hint="eastAsia"/>
        </w:rPr>
        <w:t>系统试运行报告。</w:t>
      </w:r>
    </w:p>
    <w:p>
      <w:pPr>
        <w:pStyle w:val="67"/>
        <w:spacing w:before="156" w:after="156"/>
      </w:pPr>
      <w:r>
        <w:rPr>
          <w:rFonts w:hint="eastAsia"/>
        </w:rPr>
        <w:t>现场检查</w:t>
      </w:r>
    </w:p>
    <w:p>
      <w:pPr>
        <w:pStyle w:val="164"/>
        <w:numPr>
          <w:ilvl w:val="0"/>
          <w:numId w:val="0"/>
        </w:numPr>
        <w:ind w:firstLine="420" w:firstLineChars="200"/>
      </w:pPr>
      <w:r>
        <w:rPr>
          <w:rFonts w:hint="eastAsia"/>
        </w:rPr>
        <w:t>实施主体对系统进行现场检查，主要检查设备性能、现场安装规范性、设备运行稳定性、系统功能全面性、系统安全性等是否满足本文件要求。</w:t>
      </w:r>
    </w:p>
    <w:p>
      <w:pPr>
        <w:pStyle w:val="67"/>
        <w:spacing w:before="156" w:after="156"/>
      </w:pPr>
      <w:r>
        <w:rPr>
          <w:rFonts w:hint="eastAsia"/>
        </w:rPr>
        <w:t>现场测试</w:t>
      </w:r>
    </w:p>
    <w:p>
      <w:pPr>
        <w:pStyle w:val="58"/>
        <w:ind w:firstLine="420"/>
      </w:pPr>
      <w:r>
        <w:rPr>
          <w:rFonts w:hint="eastAsia"/>
        </w:rPr>
        <w:t>应对系统功能进行现场测试，包括但不限于以下测试内容：</w:t>
      </w:r>
    </w:p>
    <w:p>
      <w:pPr>
        <w:pStyle w:val="134"/>
        <w:numPr>
          <w:ilvl w:val="0"/>
          <w:numId w:val="41"/>
        </w:numPr>
      </w:pPr>
      <w:r>
        <w:rPr>
          <w:rFonts w:hint="eastAsia"/>
        </w:rPr>
        <w:t>调整污染源生产设施或治理设施功率负荷，观察中心端平台数据传输时延情况及采集端和平台端数据一致性等；</w:t>
      </w:r>
    </w:p>
    <w:p>
      <w:pPr>
        <w:pStyle w:val="134"/>
        <w:numPr>
          <w:ilvl w:val="0"/>
          <w:numId w:val="41"/>
        </w:numPr>
      </w:pPr>
      <w:r>
        <w:rPr>
          <w:rFonts w:hint="eastAsia"/>
        </w:rPr>
        <w:t>结合企业生产情况，对污染源生产设施或治理设</w:t>
      </w:r>
      <w:r>
        <w:rPr>
          <w:rFonts w:hint="eastAsia"/>
          <w:color w:val="000000" w:themeColor="text1"/>
          <w14:textFill>
            <w14:solidFill>
              <w14:schemeClr w14:val="tx1"/>
            </w14:solidFill>
          </w14:textFill>
        </w:rPr>
        <w:t>施做停、上电实验，</w:t>
      </w:r>
      <w:r>
        <w:rPr>
          <w:rFonts w:hint="eastAsia"/>
        </w:rPr>
        <w:t>观察中心端平台是否正确推送异常信息；</w:t>
      </w:r>
    </w:p>
    <w:p>
      <w:pPr>
        <w:pStyle w:val="134"/>
        <w:numPr>
          <w:ilvl w:val="0"/>
          <w:numId w:val="41"/>
        </w:numPr>
      </w:pPr>
      <w:r>
        <w:rPr>
          <w:rFonts w:hint="eastAsia"/>
        </w:rPr>
        <w:t>其他关于监测点与监测数据匹配关系的测试。</w:t>
      </w:r>
    </w:p>
    <w:p>
      <w:pPr>
        <w:pStyle w:val="67"/>
        <w:spacing w:before="156" w:after="156"/>
      </w:pPr>
      <w:r>
        <w:rPr>
          <w:rFonts w:hint="eastAsia"/>
        </w:rPr>
        <w:t>确认验收</w:t>
      </w:r>
    </w:p>
    <w:p>
      <w:pPr>
        <w:pStyle w:val="164"/>
        <w:numPr>
          <w:ilvl w:val="0"/>
          <w:numId w:val="0"/>
        </w:numPr>
        <w:ind w:firstLine="420" w:firstLineChars="200"/>
      </w:pPr>
      <w:r>
        <w:rPr>
          <w:rFonts w:hint="eastAsia"/>
        </w:rPr>
        <w:t>经现场检查、现场测试并具备以下条件后，由实施主体确认验收：</w:t>
      </w:r>
    </w:p>
    <w:p>
      <w:pPr>
        <w:pStyle w:val="134"/>
      </w:pPr>
      <w:r>
        <w:rPr>
          <w:rFonts w:hint="eastAsia"/>
        </w:rPr>
        <w:t>现场设备安装完毕，调试运行正常，经现场检查、现场测试系统运行正常，技术指标达到本文件相关要求；</w:t>
      </w:r>
    </w:p>
    <w:p>
      <w:pPr>
        <w:pStyle w:val="134"/>
      </w:pPr>
      <w:r>
        <w:rPr>
          <w:rFonts w:hint="eastAsia"/>
        </w:rPr>
        <w:t>监测布点全面，现场设备安装位置符合要求；</w:t>
      </w:r>
    </w:p>
    <w:p>
      <w:pPr>
        <w:pStyle w:val="134"/>
      </w:pPr>
      <w:r>
        <w:rPr>
          <w:rFonts w:hint="eastAsia"/>
        </w:rPr>
        <w:t>资料验收，包括但不限于以下内容：</w:t>
      </w:r>
      <w:r>
        <w:t xml:space="preserve"> </w:t>
      </w:r>
    </w:p>
    <w:p>
      <w:pPr>
        <w:pStyle w:val="111"/>
      </w:pPr>
      <w:r>
        <w:rPr>
          <w:rFonts w:hint="eastAsia"/>
        </w:rPr>
        <w:t>企业产治污设施工况自动监控设备安装现场勘察表；</w:t>
      </w:r>
    </w:p>
    <w:p>
      <w:pPr>
        <w:pStyle w:val="111"/>
      </w:pPr>
      <w:r>
        <w:rPr>
          <w:rFonts w:hint="eastAsia"/>
        </w:rPr>
        <w:t>现场端设备的检测合格证书；</w:t>
      </w:r>
    </w:p>
    <w:p>
      <w:pPr>
        <w:pStyle w:val="111"/>
      </w:pPr>
      <w:r>
        <w:rPr>
          <w:rFonts w:hint="eastAsia"/>
        </w:rPr>
        <w:t>涉V</w:t>
      </w:r>
      <w:r>
        <w:t>OCs</w:t>
      </w:r>
      <w:r>
        <w:rPr>
          <w:rFonts w:hint="eastAsia"/>
        </w:rPr>
        <w:t>排污单位生产、治理工艺及流程图；</w:t>
      </w:r>
    </w:p>
    <w:p>
      <w:pPr>
        <w:pStyle w:val="111"/>
      </w:pPr>
      <w:r>
        <w:rPr>
          <w:rFonts w:hint="eastAsia"/>
        </w:rPr>
        <w:t>企业平面图及企业产治污关系图；</w:t>
      </w:r>
    </w:p>
    <w:p>
      <w:pPr>
        <w:pStyle w:val="111"/>
      </w:pPr>
      <w:r>
        <w:rPr>
          <w:rFonts w:hint="eastAsia"/>
        </w:rPr>
        <w:t>系统安装调试信息表；</w:t>
      </w:r>
    </w:p>
    <w:p>
      <w:pPr>
        <w:pStyle w:val="111"/>
      </w:pPr>
      <w:r>
        <w:rPr>
          <w:rFonts w:hint="eastAsia"/>
        </w:rPr>
        <w:t>系统运行数据采集和传输联网报告（详见附录C）；</w:t>
      </w:r>
    </w:p>
    <w:p>
      <w:pPr>
        <w:pStyle w:val="111"/>
      </w:pPr>
      <w:r>
        <w:rPr>
          <w:rFonts w:hint="eastAsia"/>
        </w:rPr>
        <w:t>验收申请表；</w:t>
      </w:r>
    </w:p>
    <w:p>
      <w:pPr>
        <w:pStyle w:val="111"/>
      </w:pPr>
      <w:r>
        <w:rPr>
          <w:rFonts w:hint="eastAsia"/>
        </w:rPr>
        <w:t>现场设备安装建设合同。</w:t>
      </w:r>
    </w:p>
    <w:p>
      <w:pPr>
        <w:pStyle w:val="106"/>
        <w:spacing w:before="312" w:after="312"/>
      </w:pPr>
      <w:bookmarkStart w:id="185" w:name="_Toc158298580"/>
      <w:bookmarkStart w:id="186" w:name="_Toc158298185"/>
      <w:bookmarkStart w:id="187" w:name="_Toc167289346"/>
      <w:bookmarkStart w:id="188" w:name="_Toc147566907"/>
      <w:bookmarkStart w:id="189" w:name="_Toc160544794"/>
      <w:bookmarkStart w:id="190" w:name="_Toc171604865"/>
      <w:bookmarkStart w:id="191" w:name="_Toc157089412"/>
      <w:bookmarkStart w:id="192" w:name="_Toc158142702"/>
      <w:bookmarkStart w:id="193" w:name="_Toc146206957"/>
      <w:bookmarkStart w:id="194" w:name="_Toc170827892"/>
      <w:bookmarkStart w:id="195" w:name="_Toc171675718"/>
      <w:r>
        <w:rPr>
          <w:rFonts w:hint="eastAsia"/>
        </w:rPr>
        <w:t>运行和维护</w:t>
      </w:r>
      <w:bookmarkEnd w:id="185"/>
      <w:bookmarkEnd w:id="186"/>
      <w:bookmarkEnd w:id="187"/>
      <w:bookmarkEnd w:id="188"/>
      <w:bookmarkEnd w:id="189"/>
      <w:bookmarkEnd w:id="190"/>
      <w:bookmarkEnd w:id="191"/>
      <w:bookmarkEnd w:id="192"/>
      <w:bookmarkEnd w:id="193"/>
      <w:bookmarkEnd w:id="194"/>
      <w:bookmarkEnd w:id="195"/>
    </w:p>
    <w:p>
      <w:pPr>
        <w:pStyle w:val="107"/>
        <w:spacing w:before="156" w:after="156"/>
      </w:pPr>
      <w:bookmarkStart w:id="196" w:name="_Toc167289347"/>
      <w:bookmarkStart w:id="197" w:name="_Toc160544795"/>
      <w:bookmarkStart w:id="198" w:name="_Toc171604866"/>
      <w:bookmarkStart w:id="199" w:name="_Toc158298186"/>
      <w:bookmarkStart w:id="200" w:name="_Toc170827893"/>
      <w:bookmarkStart w:id="201" w:name="_Toc158298581"/>
      <w:bookmarkStart w:id="202" w:name="_Toc158142703"/>
      <w:bookmarkStart w:id="203" w:name="_Toc171675719"/>
      <w:r>
        <w:rPr>
          <w:rFonts w:hint="eastAsia"/>
        </w:rPr>
        <w:t>日常运行管理</w:t>
      </w:r>
      <w:bookmarkEnd w:id="196"/>
      <w:bookmarkEnd w:id="197"/>
      <w:bookmarkEnd w:id="198"/>
      <w:bookmarkEnd w:id="199"/>
      <w:bookmarkEnd w:id="200"/>
      <w:bookmarkEnd w:id="201"/>
      <w:bookmarkEnd w:id="202"/>
      <w:bookmarkEnd w:id="203"/>
    </w:p>
    <w:p>
      <w:pPr>
        <w:pStyle w:val="58"/>
        <w:ind w:firstLine="420"/>
      </w:pPr>
      <w:r>
        <w:rPr>
          <w:rFonts w:hint="eastAsia"/>
        </w:rPr>
        <w:t>实施主体应配备相应的人力、物力资源，安排专人或委托专业机构负责监控设备的日常巡检与维护，巡检与维护包括各种设备的运行状况，检查设备是否正常运行，并做好巡检与维护记录，保障传输有效率不低于相关要求。日常维护包括但不限于以下几方面:</w:t>
      </w:r>
    </w:p>
    <w:p>
      <w:pPr>
        <w:pStyle w:val="176"/>
        <w:numPr>
          <w:ilvl w:val="0"/>
          <w:numId w:val="42"/>
        </w:numPr>
      </w:pPr>
      <w:r>
        <w:rPr>
          <w:rFonts w:hint="eastAsia"/>
        </w:rPr>
        <w:t>检查传感器头部是否有脏污、外壳及传感器表面是否受到损坏、线缆是否正常、易耗品是否有损坏、传感器寿命、测试数据是否正常，并做好记录；</w:t>
      </w:r>
    </w:p>
    <w:p>
      <w:pPr>
        <w:pStyle w:val="176"/>
      </w:pPr>
      <w:r>
        <w:rPr>
          <w:rFonts w:hint="eastAsia"/>
        </w:rPr>
        <w:t>定期检查维护设备及配件；</w:t>
      </w:r>
    </w:p>
    <w:p>
      <w:pPr>
        <w:pStyle w:val="176"/>
      </w:pPr>
      <w:r>
        <w:rPr>
          <w:rFonts w:hint="eastAsia"/>
        </w:rPr>
        <w:t>每月对传感器进行比对质控，确保数据准确有效，对于存在偏差的传感器，及时校准。所有的校准及保养维护均须保存记录；</w:t>
      </w:r>
    </w:p>
    <w:p>
      <w:pPr>
        <w:pStyle w:val="176"/>
      </w:pPr>
      <w:r>
        <w:rPr>
          <w:rFonts w:hint="eastAsia"/>
        </w:rPr>
        <w:t>设备经长期使用，元件自然老化导致的设备损坏故障维护；</w:t>
      </w:r>
    </w:p>
    <w:p>
      <w:pPr>
        <w:pStyle w:val="176"/>
      </w:pPr>
      <w:r>
        <w:rPr>
          <w:rFonts w:hint="eastAsia"/>
        </w:rPr>
        <w:t>修复运行过程中，由于电压、电流的不稳定，导致的设备损坏故障维护；</w:t>
      </w:r>
    </w:p>
    <w:p>
      <w:pPr>
        <w:pStyle w:val="176"/>
      </w:pPr>
      <w:r>
        <w:rPr>
          <w:rFonts w:hint="eastAsia"/>
        </w:rPr>
        <w:t>因线路受损导致的信号传输故障维护；</w:t>
      </w:r>
    </w:p>
    <w:p>
      <w:pPr>
        <w:pStyle w:val="176"/>
      </w:pPr>
      <w:r>
        <w:rPr>
          <w:rFonts w:hint="eastAsia"/>
        </w:rPr>
        <w:t>未采取防雷措施或因其他原因造成的施工质量故障维护等。</w:t>
      </w:r>
    </w:p>
    <w:p>
      <w:pPr>
        <w:pStyle w:val="107"/>
        <w:spacing w:before="156" w:after="156"/>
      </w:pPr>
      <w:bookmarkStart w:id="204" w:name="_Toc160544796"/>
      <w:bookmarkStart w:id="205" w:name="_Toc158142704"/>
      <w:bookmarkStart w:id="206" w:name="_Toc170827894"/>
      <w:bookmarkStart w:id="207" w:name="_Toc158298582"/>
      <w:bookmarkStart w:id="208" w:name="_Toc171604867"/>
      <w:bookmarkStart w:id="209" w:name="_Toc167289348"/>
      <w:bookmarkStart w:id="210" w:name="_Toc158298187"/>
      <w:bookmarkStart w:id="211" w:name="_Toc171675720"/>
      <w:bookmarkStart w:id="212" w:name="_Toc157089415"/>
      <w:bookmarkStart w:id="213" w:name="_Toc146206960"/>
      <w:bookmarkStart w:id="214" w:name="_Toc147566910"/>
      <w:r>
        <w:rPr>
          <w:rFonts w:hint="eastAsia"/>
        </w:rPr>
        <w:t>异常情况</w:t>
      </w:r>
      <w:bookmarkEnd w:id="204"/>
      <w:bookmarkEnd w:id="205"/>
      <w:bookmarkEnd w:id="206"/>
      <w:bookmarkEnd w:id="207"/>
      <w:bookmarkEnd w:id="208"/>
      <w:bookmarkEnd w:id="209"/>
      <w:bookmarkEnd w:id="210"/>
      <w:r>
        <w:rPr>
          <w:rFonts w:hint="eastAsia"/>
        </w:rPr>
        <w:t>判定</w:t>
      </w:r>
      <w:bookmarkEnd w:id="211"/>
    </w:p>
    <w:p>
      <w:pPr>
        <w:pStyle w:val="167"/>
      </w:pPr>
      <w:r>
        <w:rPr>
          <w:rFonts w:hint="eastAsia"/>
        </w:rPr>
        <w:t>生产设施运行时，污染治理设施关键参数符合违停判定条件，且持续时间＞60s，同时备用污染治理设施未运行，判定为该污染治理设施运行异常。</w:t>
      </w:r>
    </w:p>
    <w:p>
      <w:pPr>
        <w:pStyle w:val="167"/>
      </w:pPr>
      <w:r>
        <w:rPr>
          <w:rFonts w:hint="eastAsia"/>
        </w:rPr>
        <w:t>生产设施运行时，污染治理设施关键设备运行状态为“未运行”，且持续时间＞60s，同时备用污染治理设施未运行，判定为该污染治理设施运行异常。</w:t>
      </w:r>
    </w:p>
    <w:p>
      <w:pPr>
        <w:pStyle w:val="167"/>
      </w:pPr>
      <w:r>
        <w:rPr>
          <w:rFonts w:hint="eastAsia"/>
        </w:rPr>
        <w:t>异常情况判定参见表</w:t>
      </w:r>
      <w:r>
        <w:t>1</w:t>
      </w:r>
      <w:r>
        <w:rPr>
          <w:rFonts w:hint="eastAsia"/>
        </w:rPr>
        <w:t>。</w:t>
      </w:r>
    </w:p>
    <w:p>
      <w:pPr>
        <w:pStyle w:val="114"/>
        <w:spacing w:before="156" w:after="156"/>
      </w:pPr>
      <w:r>
        <w:rPr>
          <w:rFonts w:hint="eastAsia"/>
        </w:rPr>
        <w:t>异常情况判定</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57"/>
        <w:gridCol w:w="2835"/>
        <w:gridCol w:w="2692"/>
        <w:gridCol w:w="32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557" w:type="dxa"/>
            <w:tcBorders>
              <w:top w:val="single" w:color="auto" w:sz="8" w:space="0"/>
              <w:bottom w:val="single" w:color="auto" w:sz="8" w:space="0"/>
            </w:tcBorders>
            <w:shd w:val="clear" w:color="auto" w:fill="auto"/>
            <w:vAlign w:val="center"/>
          </w:tcPr>
          <w:p>
            <w:pPr>
              <w:pStyle w:val="180"/>
            </w:pPr>
            <w:r>
              <w:rPr>
                <w:rFonts w:hint="eastAsia"/>
              </w:rPr>
              <w:t>序号</w:t>
            </w:r>
          </w:p>
        </w:tc>
        <w:tc>
          <w:tcPr>
            <w:tcW w:w="2835" w:type="dxa"/>
            <w:tcBorders>
              <w:top w:val="single" w:color="auto" w:sz="8" w:space="0"/>
              <w:bottom w:val="single" w:color="auto" w:sz="8" w:space="0"/>
            </w:tcBorders>
            <w:shd w:val="clear" w:color="auto" w:fill="auto"/>
            <w:vAlign w:val="center"/>
          </w:tcPr>
          <w:p>
            <w:pPr>
              <w:pStyle w:val="180"/>
            </w:pPr>
            <w:r>
              <w:rPr>
                <w:rFonts w:hint="eastAsia"/>
              </w:rPr>
              <w:t>污染治理设施名称</w:t>
            </w:r>
          </w:p>
        </w:tc>
        <w:tc>
          <w:tcPr>
            <w:tcW w:w="2692" w:type="dxa"/>
            <w:tcBorders>
              <w:top w:val="single" w:color="auto" w:sz="8" w:space="0"/>
              <w:bottom w:val="single" w:color="auto" w:sz="8" w:space="0"/>
            </w:tcBorders>
            <w:shd w:val="clear" w:color="auto" w:fill="auto"/>
            <w:vAlign w:val="center"/>
          </w:tcPr>
          <w:p>
            <w:pPr>
              <w:pStyle w:val="180"/>
            </w:pPr>
            <w:r>
              <w:rPr>
                <w:rFonts w:hint="eastAsia"/>
              </w:rPr>
              <w:t>监控状态</w:t>
            </w:r>
          </w:p>
        </w:tc>
        <w:tc>
          <w:tcPr>
            <w:tcW w:w="3250" w:type="dxa"/>
            <w:tcBorders>
              <w:top w:val="single" w:color="auto" w:sz="8" w:space="0"/>
              <w:bottom w:val="single" w:color="auto" w:sz="8" w:space="0"/>
            </w:tcBorders>
            <w:shd w:val="clear" w:color="auto" w:fill="auto"/>
            <w:vAlign w:val="center"/>
          </w:tcPr>
          <w:p>
            <w:pPr>
              <w:pStyle w:val="180"/>
            </w:pPr>
            <w:r>
              <w:rPr>
                <w:rFonts w:hint="eastAsia"/>
              </w:rPr>
              <w:t>不正常运行判定条件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tcBorders>
              <w:top w:val="single" w:color="auto" w:sz="8" w:space="0"/>
            </w:tcBorders>
            <w:shd w:val="clear" w:color="auto" w:fill="auto"/>
            <w:vAlign w:val="center"/>
          </w:tcPr>
          <w:p>
            <w:pPr>
              <w:pStyle w:val="180"/>
              <w:numPr>
                <w:ilvl w:val="0"/>
                <w:numId w:val="43"/>
              </w:numPr>
            </w:pPr>
          </w:p>
        </w:tc>
        <w:tc>
          <w:tcPr>
            <w:tcW w:w="2835" w:type="dxa"/>
            <w:tcBorders>
              <w:top w:val="single" w:color="auto" w:sz="8" w:space="0"/>
            </w:tcBorders>
            <w:shd w:val="clear" w:color="auto" w:fill="auto"/>
            <w:vAlign w:val="center"/>
          </w:tcPr>
          <w:p>
            <w:pPr>
              <w:pStyle w:val="180"/>
            </w:pPr>
            <w:r>
              <w:rPr>
                <w:rFonts w:hint="eastAsia"/>
              </w:rPr>
              <w:t>光氧催化设施</w:t>
            </w:r>
          </w:p>
        </w:tc>
        <w:tc>
          <w:tcPr>
            <w:tcW w:w="2692" w:type="dxa"/>
            <w:tcBorders>
              <w:top w:val="single" w:color="auto" w:sz="8" w:space="0"/>
            </w:tcBorders>
            <w:shd w:val="clear" w:color="auto" w:fill="auto"/>
            <w:vAlign w:val="center"/>
          </w:tcPr>
          <w:p>
            <w:pPr>
              <w:pStyle w:val="180"/>
            </w:pPr>
            <w:r>
              <w:rPr>
                <w:rFonts w:hint="eastAsia"/>
              </w:rPr>
              <w:t>运行状态</w:t>
            </w:r>
          </w:p>
        </w:tc>
        <w:tc>
          <w:tcPr>
            <w:tcW w:w="3250" w:type="dxa"/>
            <w:tcBorders>
              <w:top w:val="single" w:color="auto" w:sz="8" w:space="0"/>
            </w:tcBorders>
            <w:shd w:val="clear" w:color="auto" w:fill="auto"/>
            <w:vAlign w:val="center"/>
          </w:tcPr>
          <w:p>
            <w:pPr>
              <w:pStyle w:val="180"/>
            </w:pPr>
            <w:r>
              <w:rPr>
                <w:rFonts w:hint="eastAsia"/>
              </w:rPr>
              <w:t>未运行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vMerge w:val="restart"/>
            <w:shd w:val="clear" w:color="auto" w:fill="auto"/>
            <w:vAlign w:val="center"/>
          </w:tcPr>
          <w:p>
            <w:pPr>
              <w:pStyle w:val="180"/>
              <w:numPr>
                <w:ilvl w:val="0"/>
                <w:numId w:val="43"/>
              </w:numPr>
            </w:pPr>
          </w:p>
        </w:tc>
        <w:tc>
          <w:tcPr>
            <w:tcW w:w="2835" w:type="dxa"/>
            <w:vMerge w:val="restart"/>
            <w:shd w:val="clear" w:color="auto" w:fill="auto"/>
            <w:vAlign w:val="center"/>
          </w:tcPr>
          <w:p>
            <w:pPr>
              <w:pStyle w:val="180"/>
            </w:pPr>
            <w:r>
              <w:rPr>
                <w:rFonts w:hint="eastAsia"/>
              </w:rPr>
              <w:t>等离子体设施</w:t>
            </w:r>
          </w:p>
        </w:tc>
        <w:tc>
          <w:tcPr>
            <w:tcW w:w="2692" w:type="dxa"/>
            <w:shd w:val="clear" w:color="auto" w:fill="auto"/>
            <w:vAlign w:val="center"/>
          </w:tcPr>
          <w:p>
            <w:pPr>
              <w:pStyle w:val="180"/>
            </w:pPr>
            <w:r>
              <w:rPr>
                <w:rFonts w:hint="eastAsia"/>
              </w:rPr>
              <w:t>电流</w:t>
            </w:r>
          </w:p>
        </w:tc>
        <w:tc>
          <w:tcPr>
            <w:tcW w:w="3250" w:type="dxa"/>
            <w:shd w:val="clear" w:color="auto" w:fill="auto"/>
            <w:vAlign w:val="center"/>
          </w:tcPr>
          <w:p>
            <w:pPr>
              <w:pStyle w:val="180"/>
            </w:pPr>
            <w:r>
              <w:rPr>
                <w:rFonts w:hint="eastAsia"/>
              </w:rPr>
              <w:t>＜ 基准值的30%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vMerge w:val="continue"/>
            <w:shd w:val="clear" w:color="auto" w:fill="auto"/>
            <w:vAlign w:val="center"/>
          </w:tcPr>
          <w:p>
            <w:pPr>
              <w:pStyle w:val="180"/>
              <w:numPr>
                <w:ilvl w:val="0"/>
                <w:numId w:val="43"/>
              </w:numPr>
            </w:pPr>
          </w:p>
        </w:tc>
        <w:tc>
          <w:tcPr>
            <w:tcW w:w="2835" w:type="dxa"/>
            <w:vMerge w:val="continue"/>
            <w:shd w:val="clear" w:color="auto" w:fill="auto"/>
            <w:vAlign w:val="center"/>
          </w:tcPr>
          <w:p>
            <w:pPr>
              <w:pStyle w:val="180"/>
            </w:pPr>
          </w:p>
        </w:tc>
        <w:tc>
          <w:tcPr>
            <w:tcW w:w="2692" w:type="dxa"/>
            <w:shd w:val="clear" w:color="auto" w:fill="auto"/>
            <w:vAlign w:val="center"/>
          </w:tcPr>
          <w:p>
            <w:pPr>
              <w:pStyle w:val="180"/>
            </w:pPr>
            <w:r>
              <w:rPr>
                <w:rFonts w:hint="eastAsia"/>
              </w:rPr>
              <w:t>开关机状态</w:t>
            </w:r>
          </w:p>
        </w:tc>
        <w:tc>
          <w:tcPr>
            <w:tcW w:w="3250" w:type="dxa"/>
            <w:shd w:val="clear" w:color="auto" w:fill="auto"/>
            <w:vAlign w:val="center"/>
          </w:tcPr>
          <w:p>
            <w:pPr>
              <w:pStyle w:val="180"/>
            </w:pPr>
            <w:r>
              <w:rPr>
                <w:rFonts w:hint="eastAsia"/>
              </w:rPr>
              <w:t>未开机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vMerge w:val="restart"/>
            <w:shd w:val="clear" w:color="auto" w:fill="auto"/>
            <w:vAlign w:val="center"/>
          </w:tcPr>
          <w:p>
            <w:pPr>
              <w:pStyle w:val="180"/>
              <w:numPr>
                <w:ilvl w:val="0"/>
                <w:numId w:val="43"/>
              </w:numPr>
            </w:pPr>
          </w:p>
        </w:tc>
        <w:tc>
          <w:tcPr>
            <w:tcW w:w="2835" w:type="dxa"/>
            <w:vMerge w:val="restart"/>
            <w:shd w:val="clear" w:color="auto" w:fill="auto"/>
            <w:vAlign w:val="center"/>
          </w:tcPr>
          <w:p>
            <w:pPr>
              <w:pStyle w:val="180"/>
            </w:pPr>
            <w:r>
              <w:rPr>
                <w:rFonts w:hint="eastAsia"/>
              </w:rPr>
              <w:t>静电设施</w:t>
            </w:r>
          </w:p>
        </w:tc>
        <w:tc>
          <w:tcPr>
            <w:tcW w:w="2692" w:type="dxa"/>
            <w:shd w:val="clear" w:color="auto" w:fill="auto"/>
            <w:vAlign w:val="center"/>
          </w:tcPr>
          <w:p>
            <w:pPr>
              <w:pStyle w:val="180"/>
            </w:pPr>
            <w:r>
              <w:rPr>
                <w:rFonts w:hint="eastAsia"/>
              </w:rPr>
              <w:t>电流</w:t>
            </w:r>
          </w:p>
        </w:tc>
        <w:tc>
          <w:tcPr>
            <w:tcW w:w="3250" w:type="dxa"/>
            <w:shd w:val="clear" w:color="auto" w:fill="auto"/>
            <w:vAlign w:val="center"/>
          </w:tcPr>
          <w:p>
            <w:pPr>
              <w:pStyle w:val="180"/>
            </w:pPr>
            <w:r>
              <w:rPr>
                <w:rFonts w:hint="eastAsia"/>
              </w:rPr>
              <w:t>＜ 基准值的30%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vMerge w:val="continue"/>
            <w:shd w:val="clear" w:color="auto" w:fill="auto"/>
            <w:vAlign w:val="center"/>
          </w:tcPr>
          <w:p>
            <w:pPr>
              <w:pStyle w:val="180"/>
              <w:numPr>
                <w:ilvl w:val="0"/>
                <w:numId w:val="43"/>
              </w:numPr>
            </w:pPr>
          </w:p>
        </w:tc>
        <w:tc>
          <w:tcPr>
            <w:tcW w:w="2835" w:type="dxa"/>
            <w:vMerge w:val="continue"/>
            <w:shd w:val="clear" w:color="auto" w:fill="auto"/>
            <w:vAlign w:val="center"/>
          </w:tcPr>
          <w:p>
            <w:pPr>
              <w:pStyle w:val="180"/>
            </w:pPr>
          </w:p>
        </w:tc>
        <w:tc>
          <w:tcPr>
            <w:tcW w:w="2692" w:type="dxa"/>
            <w:shd w:val="clear" w:color="auto" w:fill="auto"/>
            <w:vAlign w:val="center"/>
          </w:tcPr>
          <w:p>
            <w:pPr>
              <w:pStyle w:val="180"/>
            </w:pPr>
            <w:r>
              <w:rPr>
                <w:rFonts w:hint="eastAsia"/>
              </w:rPr>
              <w:t>开关机状态</w:t>
            </w:r>
          </w:p>
        </w:tc>
        <w:tc>
          <w:tcPr>
            <w:tcW w:w="3250" w:type="dxa"/>
            <w:shd w:val="clear" w:color="auto" w:fill="auto"/>
            <w:vAlign w:val="center"/>
          </w:tcPr>
          <w:p>
            <w:pPr>
              <w:pStyle w:val="180"/>
            </w:pPr>
            <w:r>
              <w:rPr>
                <w:rFonts w:hint="eastAsia"/>
              </w:rPr>
              <w:t>未开机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shd w:val="clear" w:color="auto" w:fill="auto"/>
            <w:vAlign w:val="center"/>
          </w:tcPr>
          <w:p>
            <w:pPr>
              <w:pStyle w:val="180"/>
              <w:numPr>
                <w:ilvl w:val="0"/>
                <w:numId w:val="43"/>
              </w:numPr>
            </w:pPr>
            <w:r>
              <w:br w:type="page"/>
            </w:r>
          </w:p>
        </w:tc>
        <w:tc>
          <w:tcPr>
            <w:tcW w:w="2835" w:type="dxa"/>
            <w:shd w:val="clear" w:color="auto" w:fill="auto"/>
            <w:vAlign w:val="center"/>
          </w:tcPr>
          <w:p>
            <w:pPr>
              <w:pStyle w:val="180"/>
            </w:pPr>
            <w:r>
              <w:rPr>
                <w:rFonts w:hint="eastAsia"/>
              </w:rPr>
              <w:t>活性炭（含其他填料）吸附装置</w:t>
            </w:r>
          </w:p>
        </w:tc>
        <w:tc>
          <w:tcPr>
            <w:tcW w:w="2692" w:type="dxa"/>
            <w:shd w:val="clear" w:color="auto" w:fill="auto"/>
            <w:vAlign w:val="center"/>
          </w:tcPr>
          <w:p>
            <w:pPr>
              <w:pStyle w:val="180"/>
            </w:pPr>
            <w:r>
              <w:rPr>
                <w:rFonts w:hint="eastAsia"/>
              </w:rPr>
              <w:t>照片/音频</w:t>
            </w:r>
          </w:p>
        </w:tc>
        <w:tc>
          <w:tcPr>
            <w:tcW w:w="3250" w:type="dxa"/>
            <w:shd w:val="clear" w:color="auto" w:fill="auto"/>
            <w:vAlign w:val="center"/>
          </w:tcPr>
          <w:p>
            <w:pPr>
              <w:pStyle w:val="180"/>
            </w:pPr>
            <w:r>
              <w:rPr>
                <w:rFonts w:hint="eastAsia"/>
              </w:rPr>
              <w:t>未及时更换填料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vMerge w:val="restart"/>
            <w:shd w:val="clear" w:color="auto" w:fill="auto"/>
            <w:vAlign w:val="center"/>
          </w:tcPr>
          <w:p>
            <w:pPr>
              <w:pStyle w:val="180"/>
              <w:numPr>
                <w:ilvl w:val="0"/>
                <w:numId w:val="43"/>
              </w:numPr>
            </w:pPr>
          </w:p>
        </w:tc>
        <w:tc>
          <w:tcPr>
            <w:tcW w:w="2835" w:type="dxa"/>
            <w:vMerge w:val="restart"/>
            <w:shd w:val="clear" w:color="auto" w:fill="auto"/>
            <w:vAlign w:val="center"/>
          </w:tcPr>
          <w:p>
            <w:pPr>
              <w:pStyle w:val="180"/>
            </w:pPr>
            <w:r>
              <w:rPr>
                <w:rFonts w:hint="eastAsia"/>
              </w:rPr>
              <w:t>R</w:t>
            </w:r>
            <w:r>
              <w:t>CO</w:t>
            </w:r>
            <w:r>
              <w:rPr>
                <w:rFonts w:hint="eastAsia"/>
              </w:rPr>
              <w:t>装置</w:t>
            </w:r>
          </w:p>
        </w:tc>
        <w:tc>
          <w:tcPr>
            <w:tcW w:w="2692" w:type="dxa"/>
            <w:shd w:val="clear" w:color="auto" w:fill="auto"/>
            <w:vAlign w:val="center"/>
          </w:tcPr>
          <w:p>
            <w:pPr>
              <w:pStyle w:val="180"/>
            </w:pPr>
            <w:r>
              <w:rPr>
                <w:rFonts w:hint="eastAsia"/>
              </w:rPr>
              <w:t>催化温度</w:t>
            </w:r>
          </w:p>
        </w:tc>
        <w:tc>
          <w:tcPr>
            <w:tcW w:w="3250" w:type="dxa"/>
            <w:shd w:val="clear" w:color="auto" w:fill="auto"/>
            <w:vAlign w:val="center"/>
          </w:tcPr>
          <w:p>
            <w:pPr>
              <w:pStyle w:val="180"/>
            </w:pPr>
            <w:r>
              <w:rPr>
                <w:rFonts w:hint="eastAsia"/>
              </w:rPr>
              <w:t>＜ 基准值的10%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vMerge w:val="continue"/>
            <w:shd w:val="clear" w:color="auto" w:fill="auto"/>
            <w:vAlign w:val="center"/>
          </w:tcPr>
          <w:p>
            <w:pPr>
              <w:pStyle w:val="180"/>
            </w:pPr>
          </w:p>
        </w:tc>
        <w:tc>
          <w:tcPr>
            <w:tcW w:w="2835" w:type="dxa"/>
            <w:vMerge w:val="continue"/>
            <w:shd w:val="clear" w:color="auto" w:fill="auto"/>
            <w:vAlign w:val="center"/>
          </w:tcPr>
          <w:p>
            <w:pPr>
              <w:pStyle w:val="180"/>
            </w:pPr>
          </w:p>
        </w:tc>
        <w:tc>
          <w:tcPr>
            <w:tcW w:w="2692" w:type="dxa"/>
            <w:shd w:val="clear" w:color="auto" w:fill="auto"/>
            <w:vAlign w:val="center"/>
          </w:tcPr>
          <w:p>
            <w:pPr>
              <w:pStyle w:val="180"/>
            </w:pPr>
            <w:r>
              <w:rPr>
                <w:rFonts w:hint="eastAsia"/>
              </w:rPr>
              <w:t>脱附风机电流</w:t>
            </w:r>
          </w:p>
        </w:tc>
        <w:tc>
          <w:tcPr>
            <w:tcW w:w="3250" w:type="dxa"/>
            <w:shd w:val="clear" w:color="auto" w:fill="auto"/>
            <w:vAlign w:val="center"/>
          </w:tcPr>
          <w:p>
            <w:pPr>
              <w:pStyle w:val="180"/>
            </w:pPr>
            <w:r>
              <w:rPr>
                <w:rFonts w:hint="eastAsia"/>
              </w:rPr>
              <w:t>＜ 基准值的30%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vMerge w:val="restart"/>
            <w:shd w:val="clear" w:color="auto" w:fill="auto"/>
            <w:vAlign w:val="center"/>
          </w:tcPr>
          <w:p>
            <w:pPr>
              <w:pStyle w:val="180"/>
              <w:numPr>
                <w:ilvl w:val="0"/>
                <w:numId w:val="43"/>
              </w:numPr>
            </w:pPr>
          </w:p>
        </w:tc>
        <w:tc>
          <w:tcPr>
            <w:tcW w:w="2835" w:type="dxa"/>
            <w:vMerge w:val="restart"/>
            <w:shd w:val="clear" w:color="auto" w:fill="auto"/>
            <w:vAlign w:val="center"/>
          </w:tcPr>
          <w:p>
            <w:pPr>
              <w:pStyle w:val="180"/>
            </w:pPr>
            <w:r>
              <w:rPr>
                <w:rFonts w:hint="eastAsia"/>
              </w:rPr>
              <w:t>R</w:t>
            </w:r>
            <w:r>
              <w:t>TO</w:t>
            </w:r>
            <w:r>
              <w:rPr>
                <w:rFonts w:hint="eastAsia"/>
              </w:rPr>
              <w:t>装置</w:t>
            </w:r>
          </w:p>
        </w:tc>
        <w:tc>
          <w:tcPr>
            <w:tcW w:w="2692" w:type="dxa"/>
            <w:shd w:val="clear" w:color="auto" w:fill="auto"/>
            <w:vAlign w:val="center"/>
          </w:tcPr>
          <w:p>
            <w:pPr>
              <w:pStyle w:val="180"/>
            </w:pPr>
            <w:r>
              <w:rPr>
                <w:rFonts w:hint="eastAsia"/>
              </w:rPr>
              <w:t>炉膛温度</w:t>
            </w:r>
          </w:p>
        </w:tc>
        <w:tc>
          <w:tcPr>
            <w:tcW w:w="3250" w:type="dxa"/>
            <w:shd w:val="clear" w:color="auto" w:fill="auto"/>
            <w:vAlign w:val="center"/>
          </w:tcPr>
          <w:p>
            <w:pPr>
              <w:pStyle w:val="180"/>
            </w:pPr>
            <w:r>
              <w:rPr>
                <w:rFonts w:hint="eastAsia"/>
              </w:rPr>
              <w:t>＜ 基准值的10%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vMerge w:val="continue"/>
            <w:shd w:val="clear" w:color="auto" w:fill="auto"/>
            <w:vAlign w:val="center"/>
          </w:tcPr>
          <w:p>
            <w:pPr>
              <w:pStyle w:val="180"/>
            </w:pPr>
          </w:p>
        </w:tc>
        <w:tc>
          <w:tcPr>
            <w:tcW w:w="2835" w:type="dxa"/>
            <w:vMerge w:val="continue"/>
            <w:shd w:val="clear" w:color="auto" w:fill="auto"/>
            <w:vAlign w:val="center"/>
          </w:tcPr>
          <w:p>
            <w:pPr>
              <w:pStyle w:val="180"/>
            </w:pPr>
          </w:p>
        </w:tc>
        <w:tc>
          <w:tcPr>
            <w:tcW w:w="2692" w:type="dxa"/>
            <w:shd w:val="clear" w:color="auto" w:fill="auto"/>
            <w:vAlign w:val="center"/>
          </w:tcPr>
          <w:p>
            <w:pPr>
              <w:pStyle w:val="180"/>
            </w:pPr>
            <w:r>
              <w:rPr>
                <w:rFonts w:hint="eastAsia"/>
              </w:rPr>
              <w:t>吸附风机电流</w:t>
            </w:r>
          </w:p>
        </w:tc>
        <w:tc>
          <w:tcPr>
            <w:tcW w:w="3250" w:type="dxa"/>
            <w:shd w:val="clear" w:color="auto" w:fill="auto"/>
            <w:vAlign w:val="center"/>
          </w:tcPr>
          <w:p>
            <w:pPr>
              <w:pStyle w:val="180"/>
            </w:pPr>
            <w:r>
              <w:rPr>
                <w:rFonts w:hint="eastAsia"/>
              </w:rPr>
              <w:t>＜ 基准值的30%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vMerge w:val="continue"/>
            <w:shd w:val="clear" w:color="auto" w:fill="auto"/>
            <w:vAlign w:val="center"/>
          </w:tcPr>
          <w:p>
            <w:pPr>
              <w:pStyle w:val="180"/>
            </w:pPr>
          </w:p>
        </w:tc>
        <w:tc>
          <w:tcPr>
            <w:tcW w:w="2835" w:type="dxa"/>
            <w:vMerge w:val="continue"/>
            <w:shd w:val="clear" w:color="auto" w:fill="auto"/>
            <w:vAlign w:val="center"/>
          </w:tcPr>
          <w:p>
            <w:pPr>
              <w:pStyle w:val="180"/>
            </w:pPr>
          </w:p>
        </w:tc>
        <w:tc>
          <w:tcPr>
            <w:tcW w:w="2692" w:type="dxa"/>
            <w:shd w:val="clear" w:color="auto" w:fill="auto"/>
            <w:vAlign w:val="center"/>
          </w:tcPr>
          <w:p>
            <w:pPr>
              <w:pStyle w:val="180"/>
            </w:pPr>
            <w:r>
              <w:rPr>
                <w:rFonts w:hint="eastAsia"/>
              </w:rPr>
              <w:t>脱附风机电流</w:t>
            </w:r>
          </w:p>
        </w:tc>
        <w:tc>
          <w:tcPr>
            <w:tcW w:w="3250" w:type="dxa"/>
            <w:shd w:val="clear" w:color="auto" w:fill="auto"/>
            <w:vAlign w:val="center"/>
          </w:tcPr>
          <w:p>
            <w:pPr>
              <w:pStyle w:val="180"/>
            </w:pPr>
            <w:r>
              <w:rPr>
                <w:rFonts w:hint="eastAsia"/>
              </w:rPr>
              <w:t>＜ 基准值的30%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vMerge w:val="restart"/>
            <w:shd w:val="clear" w:color="auto" w:fill="auto"/>
            <w:vAlign w:val="center"/>
          </w:tcPr>
          <w:p>
            <w:pPr>
              <w:pStyle w:val="180"/>
            </w:pPr>
            <w:r>
              <w:rPr>
                <w:rFonts w:hint="eastAsia"/>
              </w:rPr>
              <w:t>7</w:t>
            </w:r>
          </w:p>
        </w:tc>
        <w:tc>
          <w:tcPr>
            <w:tcW w:w="2835" w:type="dxa"/>
            <w:vMerge w:val="restart"/>
            <w:shd w:val="clear" w:color="auto" w:fill="auto"/>
            <w:vAlign w:val="center"/>
          </w:tcPr>
          <w:p>
            <w:pPr>
              <w:pStyle w:val="180"/>
            </w:pPr>
            <w:r>
              <w:rPr>
                <w:rFonts w:hint="eastAsia"/>
              </w:rPr>
              <w:t>CO装置</w:t>
            </w:r>
          </w:p>
        </w:tc>
        <w:tc>
          <w:tcPr>
            <w:tcW w:w="2692" w:type="dxa"/>
            <w:shd w:val="clear" w:color="auto" w:fill="auto"/>
            <w:vAlign w:val="center"/>
          </w:tcPr>
          <w:p>
            <w:pPr>
              <w:pStyle w:val="180"/>
            </w:pPr>
            <w:r>
              <w:rPr>
                <w:rFonts w:hint="eastAsia"/>
              </w:rPr>
              <w:t>温度</w:t>
            </w:r>
          </w:p>
        </w:tc>
        <w:tc>
          <w:tcPr>
            <w:tcW w:w="3250" w:type="dxa"/>
            <w:shd w:val="clear" w:color="auto" w:fill="auto"/>
            <w:vAlign w:val="center"/>
          </w:tcPr>
          <w:p>
            <w:pPr>
              <w:pStyle w:val="180"/>
            </w:pPr>
            <w:r>
              <w:rPr>
                <w:rFonts w:hint="eastAsia"/>
              </w:rPr>
              <w:t>＜ 基准值的10%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vMerge w:val="continue"/>
            <w:shd w:val="clear" w:color="auto" w:fill="auto"/>
            <w:vAlign w:val="center"/>
          </w:tcPr>
          <w:p>
            <w:pPr>
              <w:pStyle w:val="180"/>
            </w:pPr>
          </w:p>
        </w:tc>
        <w:tc>
          <w:tcPr>
            <w:tcW w:w="2835" w:type="dxa"/>
            <w:vMerge w:val="continue"/>
            <w:shd w:val="clear" w:color="auto" w:fill="auto"/>
            <w:vAlign w:val="center"/>
          </w:tcPr>
          <w:p>
            <w:pPr>
              <w:pStyle w:val="180"/>
            </w:pPr>
          </w:p>
        </w:tc>
        <w:tc>
          <w:tcPr>
            <w:tcW w:w="2692" w:type="dxa"/>
            <w:shd w:val="clear" w:color="auto" w:fill="auto"/>
            <w:vAlign w:val="center"/>
          </w:tcPr>
          <w:p>
            <w:pPr>
              <w:pStyle w:val="180"/>
            </w:pPr>
            <w:r>
              <w:rPr>
                <w:rFonts w:hint="eastAsia"/>
              </w:rPr>
              <w:t>脱附风机</w:t>
            </w:r>
          </w:p>
        </w:tc>
        <w:tc>
          <w:tcPr>
            <w:tcW w:w="3250" w:type="dxa"/>
            <w:shd w:val="clear" w:color="auto" w:fill="auto"/>
            <w:vAlign w:val="center"/>
          </w:tcPr>
          <w:p>
            <w:pPr>
              <w:pStyle w:val="180"/>
            </w:pPr>
            <w:r>
              <w:rPr>
                <w:rFonts w:hint="eastAsia"/>
              </w:rPr>
              <w:t>＜ 基准值的30%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shd w:val="clear" w:color="auto" w:fill="auto"/>
            <w:vAlign w:val="center"/>
          </w:tcPr>
          <w:p>
            <w:pPr>
              <w:pStyle w:val="180"/>
            </w:pPr>
            <w:r>
              <w:rPr>
                <w:rFonts w:hint="eastAsia"/>
              </w:rPr>
              <w:t>8</w:t>
            </w:r>
          </w:p>
        </w:tc>
        <w:tc>
          <w:tcPr>
            <w:tcW w:w="2835" w:type="dxa"/>
            <w:shd w:val="clear" w:color="auto" w:fill="auto"/>
            <w:vAlign w:val="center"/>
          </w:tcPr>
          <w:p>
            <w:pPr>
              <w:pStyle w:val="180"/>
            </w:pPr>
            <w:r>
              <w:rPr>
                <w:rFonts w:hint="eastAsia"/>
              </w:rPr>
              <w:t>水喷淋设施</w:t>
            </w:r>
          </w:p>
        </w:tc>
        <w:tc>
          <w:tcPr>
            <w:tcW w:w="2692" w:type="dxa"/>
            <w:shd w:val="clear" w:color="auto" w:fill="auto"/>
            <w:vAlign w:val="center"/>
          </w:tcPr>
          <w:p>
            <w:pPr>
              <w:pStyle w:val="180"/>
            </w:pPr>
            <w:r>
              <w:rPr>
                <w:rFonts w:hint="eastAsia"/>
              </w:rPr>
              <w:t>循环泵运行状态</w:t>
            </w:r>
          </w:p>
        </w:tc>
        <w:tc>
          <w:tcPr>
            <w:tcW w:w="3250" w:type="dxa"/>
            <w:shd w:val="clear" w:color="auto" w:fill="auto"/>
            <w:vAlign w:val="center"/>
          </w:tcPr>
          <w:p>
            <w:pPr>
              <w:pStyle w:val="180"/>
            </w:pPr>
            <w:r>
              <w:rPr>
                <w:rFonts w:hint="eastAsia"/>
              </w:rPr>
              <w:t>未运行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vMerge w:val="restart"/>
            <w:shd w:val="clear" w:color="auto" w:fill="auto"/>
            <w:vAlign w:val="center"/>
          </w:tcPr>
          <w:p>
            <w:pPr>
              <w:pStyle w:val="180"/>
            </w:pPr>
            <w:r>
              <w:rPr>
                <w:rFonts w:hint="eastAsia"/>
              </w:rPr>
              <w:t>9</w:t>
            </w:r>
          </w:p>
        </w:tc>
        <w:tc>
          <w:tcPr>
            <w:tcW w:w="2835" w:type="dxa"/>
            <w:vMerge w:val="restart"/>
            <w:shd w:val="clear" w:color="auto" w:fill="auto"/>
            <w:vAlign w:val="center"/>
          </w:tcPr>
          <w:p>
            <w:pPr>
              <w:pStyle w:val="180"/>
            </w:pPr>
            <w:r>
              <w:rPr>
                <w:rFonts w:hint="eastAsia"/>
              </w:rPr>
              <w:t>酸碱喷淋设施</w:t>
            </w:r>
          </w:p>
        </w:tc>
        <w:tc>
          <w:tcPr>
            <w:tcW w:w="2692" w:type="dxa"/>
            <w:shd w:val="clear" w:color="auto" w:fill="auto"/>
            <w:vAlign w:val="center"/>
          </w:tcPr>
          <w:p>
            <w:pPr>
              <w:pStyle w:val="180"/>
            </w:pPr>
            <w:r>
              <w:rPr>
                <w:rFonts w:hint="eastAsia"/>
              </w:rPr>
              <w:t>循环泵运行状态</w:t>
            </w:r>
          </w:p>
        </w:tc>
        <w:tc>
          <w:tcPr>
            <w:tcW w:w="3250" w:type="dxa"/>
            <w:shd w:val="clear" w:color="auto" w:fill="auto"/>
            <w:vAlign w:val="center"/>
          </w:tcPr>
          <w:p>
            <w:pPr>
              <w:pStyle w:val="180"/>
            </w:pPr>
            <w:r>
              <w:rPr>
                <w:rFonts w:hint="eastAsia"/>
              </w:rPr>
              <w:t>未运行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vMerge w:val="continue"/>
            <w:shd w:val="clear" w:color="auto" w:fill="auto"/>
            <w:vAlign w:val="center"/>
          </w:tcPr>
          <w:p>
            <w:pPr>
              <w:pStyle w:val="180"/>
            </w:pPr>
          </w:p>
        </w:tc>
        <w:tc>
          <w:tcPr>
            <w:tcW w:w="2835" w:type="dxa"/>
            <w:vMerge w:val="continue"/>
            <w:shd w:val="clear" w:color="auto" w:fill="auto"/>
            <w:vAlign w:val="center"/>
          </w:tcPr>
          <w:p>
            <w:pPr>
              <w:pStyle w:val="180"/>
            </w:pPr>
          </w:p>
        </w:tc>
        <w:tc>
          <w:tcPr>
            <w:tcW w:w="2692" w:type="dxa"/>
            <w:shd w:val="clear" w:color="auto" w:fill="auto"/>
            <w:vAlign w:val="center"/>
          </w:tcPr>
          <w:p>
            <w:pPr>
              <w:pStyle w:val="180"/>
            </w:pPr>
            <w:r>
              <w:rPr>
                <w:rFonts w:hint="eastAsia"/>
              </w:rPr>
              <w:t>循环泵电流</w:t>
            </w:r>
          </w:p>
        </w:tc>
        <w:tc>
          <w:tcPr>
            <w:tcW w:w="3250" w:type="dxa"/>
            <w:shd w:val="clear" w:color="auto" w:fill="auto"/>
            <w:vAlign w:val="center"/>
          </w:tcPr>
          <w:p>
            <w:pPr>
              <w:pStyle w:val="180"/>
            </w:pPr>
            <w:r>
              <w:rPr>
                <w:rFonts w:hint="eastAsia"/>
              </w:rPr>
              <w:t>＜ 基准值的30%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57" w:type="dxa"/>
            <w:shd w:val="clear" w:color="auto" w:fill="auto"/>
            <w:vAlign w:val="center"/>
          </w:tcPr>
          <w:p>
            <w:pPr>
              <w:pStyle w:val="180"/>
            </w:pPr>
            <w:bookmarkStart w:id="215" w:name="_Toc158298188"/>
            <w:bookmarkStart w:id="216" w:name="_Toc160544797"/>
            <w:bookmarkStart w:id="217" w:name="_Toc167289349"/>
            <w:bookmarkStart w:id="218" w:name="_Toc170827895"/>
            <w:bookmarkStart w:id="219" w:name="_Toc171604868"/>
            <w:bookmarkStart w:id="220" w:name="_Toc158298583"/>
            <w:bookmarkStart w:id="221" w:name="_Toc158142705"/>
            <w:r>
              <w:rPr>
                <w:rFonts w:hint="eastAsia"/>
              </w:rPr>
              <w:t>10</w:t>
            </w:r>
          </w:p>
        </w:tc>
        <w:tc>
          <w:tcPr>
            <w:tcW w:w="2835" w:type="dxa"/>
            <w:shd w:val="clear" w:color="auto" w:fill="auto"/>
            <w:vAlign w:val="center"/>
          </w:tcPr>
          <w:p>
            <w:pPr>
              <w:pStyle w:val="180"/>
            </w:pPr>
            <w:r>
              <w:rPr>
                <w:rFonts w:hint="eastAsia"/>
              </w:rPr>
              <w:t>生物法工艺</w:t>
            </w:r>
          </w:p>
        </w:tc>
        <w:tc>
          <w:tcPr>
            <w:tcW w:w="2692" w:type="dxa"/>
            <w:shd w:val="clear" w:color="auto" w:fill="auto"/>
            <w:vAlign w:val="center"/>
          </w:tcPr>
          <w:p>
            <w:pPr>
              <w:pStyle w:val="180"/>
            </w:pPr>
            <w:r>
              <w:rPr>
                <w:rFonts w:hint="eastAsia"/>
              </w:rPr>
              <w:t>循环泵电流</w:t>
            </w:r>
          </w:p>
        </w:tc>
        <w:tc>
          <w:tcPr>
            <w:tcW w:w="3250" w:type="dxa"/>
            <w:shd w:val="clear" w:color="auto" w:fill="auto"/>
            <w:vAlign w:val="center"/>
          </w:tcPr>
          <w:p>
            <w:pPr>
              <w:pStyle w:val="180"/>
            </w:pPr>
            <w:r>
              <w:rPr>
                <w:rFonts w:hint="eastAsia"/>
              </w:rPr>
              <w:t>未运行</w:t>
            </w:r>
          </w:p>
        </w:tc>
      </w:tr>
    </w:tbl>
    <w:p>
      <w:pPr>
        <w:pStyle w:val="107"/>
        <w:spacing w:before="156" w:after="156"/>
      </w:pPr>
      <w:bookmarkStart w:id="222" w:name="_Toc171675721"/>
      <w:r>
        <w:rPr>
          <w:rFonts w:hint="eastAsia"/>
        </w:rPr>
        <w:t>系统数据采集与传输、存储要求</w:t>
      </w:r>
      <w:bookmarkEnd w:id="212"/>
      <w:bookmarkEnd w:id="213"/>
      <w:bookmarkEnd w:id="214"/>
      <w:bookmarkEnd w:id="215"/>
      <w:bookmarkEnd w:id="216"/>
      <w:bookmarkEnd w:id="217"/>
      <w:bookmarkEnd w:id="218"/>
      <w:bookmarkEnd w:id="219"/>
      <w:bookmarkEnd w:id="220"/>
      <w:bookmarkEnd w:id="221"/>
      <w:bookmarkEnd w:id="222"/>
    </w:p>
    <w:p>
      <w:pPr>
        <w:pStyle w:val="67"/>
        <w:spacing w:before="156" w:after="156"/>
      </w:pPr>
      <w:r>
        <w:rPr>
          <w:rFonts w:hint="eastAsia"/>
        </w:rPr>
        <w:t>数据采集与传输</w:t>
      </w:r>
    </w:p>
    <w:p>
      <w:pPr>
        <w:pStyle w:val="166"/>
      </w:pPr>
      <w:r>
        <w:rPr>
          <w:rFonts w:hint="eastAsia"/>
        </w:rPr>
        <w:t>数据采集、传输及通信协议应符合 HJ 212 的规定。</w:t>
      </w:r>
    </w:p>
    <w:p>
      <w:pPr>
        <w:pStyle w:val="166"/>
      </w:pPr>
      <w:r>
        <w:t>在正常工作情况下，数据</w:t>
      </w:r>
      <w:r>
        <w:rPr>
          <w:rFonts w:hint="eastAsia"/>
        </w:rPr>
        <w:t>有效</w:t>
      </w:r>
      <w:r>
        <w:t>传输率应不低于 90 %</w:t>
      </w:r>
      <w:r>
        <w:rPr>
          <w:rFonts w:hint="eastAsia"/>
        </w:rPr>
        <w:t>，数据最小上传周期不低于2</w:t>
      </w:r>
      <w:r>
        <w:t xml:space="preserve"> min</w:t>
      </w:r>
      <w:r>
        <w:rPr>
          <w:rFonts w:hint="eastAsia"/>
        </w:rPr>
        <w:t>。</w:t>
      </w:r>
    </w:p>
    <w:p>
      <w:pPr>
        <w:pStyle w:val="166"/>
      </w:pPr>
      <w:r>
        <w:rPr>
          <w:rFonts w:hint="eastAsia"/>
        </w:rPr>
        <w:t>传输终端的数据采集误差应小于1</w:t>
      </w:r>
      <w:r>
        <w:t xml:space="preserve"> </w:t>
      </w:r>
      <w:r>
        <w:rPr>
          <w:rFonts w:hint="eastAsia"/>
        </w:rPr>
        <w:t>%，48 h连续运行内系统时钟计时误差为±0.5</w:t>
      </w:r>
      <w:r>
        <w:t xml:space="preserve"> </w:t>
      </w:r>
      <w:r>
        <w:rPr>
          <w:rFonts w:hint="eastAsia"/>
        </w:rPr>
        <w:t>%。</w:t>
      </w:r>
    </w:p>
    <w:p>
      <w:pPr>
        <w:pStyle w:val="67"/>
        <w:spacing w:before="156" w:after="156"/>
      </w:pPr>
      <w:r>
        <w:rPr>
          <w:rFonts w:hint="eastAsia"/>
        </w:rPr>
        <w:t>数据存储</w:t>
      </w:r>
    </w:p>
    <w:p>
      <w:pPr>
        <w:pStyle w:val="58"/>
        <w:ind w:firstLine="420"/>
      </w:pPr>
      <w:r>
        <w:rPr>
          <w:rFonts w:hint="eastAsia"/>
        </w:rPr>
        <w:t>系统数据存储时间应不少于</w:t>
      </w:r>
      <w:r>
        <w:t>5</w:t>
      </w:r>
      <w:r>
        <w:rPr>
          <w:rFonts w:hint="eastAsia"/>
        </w:rPr>
        <w:t>年；现场端视频监控设备2</w:t>
      </w:r>
      <w:r>
        <w:t>4 h</w:t>
      </w:r>
      <w:r>
        <w:rPr>
          <w:rFonts w:hint="eastAsia"/>
        </w:rPr>
        <w:t>录像，录像文件存储时间应不少于3个月。</w:t>
      </w:r>
    </w:p>
    <w:p>
      <w:pPr>
        <w:pStyle w:val="58"/>
        <w:ind w:firstLine="0" w:firstLineChars="0"/>
      </w:pPr>
    </w:p>
    <w:p>
      <w:pPr>
        <w:pStyle w:val="58"/>
        <w:ind w:firstLine="420"/>
        <w:jc w:val="center"/>
        <w:sectPr>
          <w:headerReference r:id="rId23" w:type="default"/>
          <w:footerReference r:id="rId25" w:type="default"/>
          <w:headerReference r:id="rId24" w:type="even"/>
          <w:footerReference r:id="rId26" w:type="even"/>
          <w:pgSz w:w="11906" w:h="16838"/>
          <w:pgMar w:top="2410" w:right="1134" w:bottom="1134" w:left="1134" w:header="1418" w:footer="1134" w:gutter="284"/>
          <w:cols w:space="425" w:num="1"/>
          <w:formProt w:val="0"/>
          <w:docGrid w:type="lines" w:linePitch="312" w:charSpace="0"/>
        </w:sectPr>
      </w:pPr>
    </w:p>
    <w:bookmarkEnd w:id="34"/>
    <w:p>
      <w:pPr>
        <w:pStyle w:val="200"/>
        <w:numPr>
          <w:ilvl w:val="0"/>
          <w:numId w:val="0"/>
        </w:numPr>
        <w:ind w:left="420"/>
        <w:jc w:val="both"/>
        <w:rPr>
          <w:vanish w:val="0"/>
        </w:rPr>
      </w:pPr>
      <w:bookmarkStart w:id="223" w:name="BookMark5"/>
    </w:p>
    <w:p>
      <w:pPr>
        <w:pStyle w:val="201"/>
        <w:numPr>
          <w:ilvl w:val="0"/>
          <w:numId w:val="0"/>
        </w:numPr>
        <w:ind w:left="425"/>
        <w:jc w:val="both"/>
        <w:rPr>
          <w:vanish w:val="0"/>
        </w:rPr>
      </w:pPr>
    </w:p>
    <w:p>
      <w:pPr>
        <w:pStyle w:val="78"/>
        <w:spacing w:before="78" w:after="156"/>
      </w:pPr>
      <w:r>
        <w:br w:type="textWrapping"/>
      </w:r>
      <w:bookmarkStart w:id="224" w:name="_Toc158298584"/>
      <w:bookmarkStart w:id="225" w:name="_Toc160544798"/>
      <w:bookmarkStart w:id="226" w:name="_Toc171675722"/>
      <w:bookmarkStart w:id="227" w:name="_Toc158298189"/>
      <w:bookmarkStart w:id="228" w:name="_Toc167289350"/>
      <w:bookmarkStart w:id="229" w:name="_Toc170827896"/>
      <w:bookmarkStart w:id="230" w:name="_Toc171604869"/>
      <w:r>
        <w:rPr>
          <w:rFonts w:hint="eastAsia"/>
        </w:rPr>
        <w:t>（资料性）</w:t>
      </w:r>
      <w:r>
        <w:br w:type="textWrapping"/>
      </w:r>
      <w:r>
        <w:rPr>
          <w:rFonts w:hint="eastAsia"/>
        </w:rPr>
        <w:t>企业信息表示例及设备清单</w:t>
      </w:r>
      <w:bookmarkEnd w:id="224"/>
      <w:bookmarkEnd w:id="225"/>
      <w:bookmarkEnd w:id="226"/>
      <w:bookmarkEnd w:id="227"/>
      <w:bookmarkEnd w:id="228"/>
      <w:bookmarkEnd w:id="229"/>
      <w:bookmarkEnd w:id="230"/>
    </w:p>
    <w:p>
      <w:pPr>
        <w:pStyle w:val="80"/>
        <w:spacing w:before="156" w:after="156"/>
      </w:pPr>
      <w:bookmarkStart w:id="231" w:name="_Toc147566912"/>
      <w:bookmarkStart w:id="232" w:name="_Toc146206962"/>
      <w:bookmarkStart w:id="233" w:name="_Toc167289351"/>
      <w:bookmarkStart w:id="234" w:name="_Toc160544799"/>
      <w:bookmarkStart w:id="235" w:name="_Toc158298190"/>
      <w:bookmarkStart w:id="236" w:name="_Toc158298585"/>
      <w:bookmarkStart w:id="237" w:name="_Toc170827897"/>
      <w:bookmarkStart w:id="238" w:name="_Toc171604870"/>
      <w:bookmarkStart w:id="239" w:name="_Toc171675723"/>
      <w:r>
        <w:rPr>
          <w:rFonts w:hint="eastAsia"/>
        </w:rPr>
        <w:t>企业信息表</w:t>
      </w:r>
      <w:bookmarkEnd w:id="231"/>
      <w:bookmarkEnd w:id="232"/>
      <w:bookmarkEnd w:id="233"/>
      <w:bookmarkEnd w:id="234"/>
      <w:bookmarkEnd w:id="235"/>
      <w:bookmarkEnd w:id="236"/>
      <w:bookmarkEnd w:id="237"/>
      <w:r>
        <w:rPr>
          <w:rFonts w:hint="eastAsia"/>
        </w:rPr>
        <w:t>示例</w:t>
      </w:r>
      <w:bookmarkEnd w:id="238"/>
      <w:bookmarkEnd w:id="239"/>
    </w:p>
    <w:p>
      <w:pPr>
        <w:pStyle w:val="58"/>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企业信息表示例见表</w:t>
      </w:r>
      <w:r>
        <w:rPr>
          <w:color w:val="000000" w:themeColor="text1"/>
          <w:szCs w:val="21"/>
          <w14:textFill>
            <w14:solidFill>
              <w14:schemeClr w14:val="tx1"/>
            </w14:solidFill>
          </w14:textFill>
        </w:rPr>
        <w:t>A.1</w:t>
      </w:r>
      <w:r>
        <w:rPr>
          <w:rFonts w:hint="eastAsia"/>
          <w:color w:val="000000" w:themeColor="text1"/>
          <w:szCs w:val="21"/>
          <w14:textFill>
            <w14:solidFill>
              <w14:schemeClr w14:val="tx1"/>
            </w14:solidFill>
          </w14:textFill>
        </w:rPr>
        <w:t>。</w:t>
      </w:r>
    </w:p>
    <w:p>
      <w:pPr>
        <w:pStyle w:val="79"/>
        <w:spacing w:before="156" w:after="156"/>
      </w:pPr>
      <w:r>
        <w:rPr>
          <w:rFonts w:hint="eastAsia"/>
        </w:rPr>
        <w:t>企业信息表示例</w:t>
      </w:r>
    </w:p>
    <w:tbl>
      <w:tblPr>
        <w:tblStyle w:val="2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838"/>
        <w:gridCol w:w="2134"/>
        <w:gridCol w:w="2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9071" w:type="dxa"/>
            <w:gridSpan w:val="4"/>
            <w:vAlign w:val="center"/>
          </w:tcPr>
          <w:p>
            <w:pPr>
              <w:spacing w:line="240" w:lineRule="atLeast"/>
              <w:jc w:val="center"/>
              <w:rPr>
                <w:rFonts w:ascii="宋体" w:hAnsi="宋体"/>
                <w:sz w:val="18"/>
                <w:szCs w:val="18"/>
              </w:rPr>
            </w:pPr>
            <w:r>
              <w:rPr>
                <w:rFonts w:hint="eastAsia" w:ascii="宋体" w:hAnsi="宋体"/>
                <w:sz w:val="18"/>
                <w:szCs w:val="18"/>
              </w:rPr>
              <w:t>企业信息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696" w:type="dxa"/>
            <w:vAlign w:val="center"/>
          </w:tcPr>
          <w:p>
            <w:pPr>
              <w:spacing w:line="240" w:lineRule="atLeast"/>
              <w:jc w:val="center"/>
              <w:rPr>
                <w:rFonts w:ascii="宋体" w:hAnsi="宋体"/>
                <w:sz w:val="18"/>
                <w:szCs w:val="18"/>
              </w:rPr>
            </w:pPr>
            <w:r>
              <w:rPr>
                <w:rFonts w:hint="eastAsia" w:ascii="宋体" w:hAnsi="宋体"/>
                <w:sz w:val="18"/>
                <w:szCs w:val="18"/>
              </w:rPr>
              <w:t>企业名称</w:t>
            </w:r>
          </w:p>
        </w:tc>
        <w:tc>
          <w:tcPr>
            <w:tcW w:w="7375" w:type="dxa"/>
            <w:gridSpan w:val="3"/>
            <w:vAlign w:val="center"/>
          </w:tcPr>
          <w:p>
            <w:pPr>
              <w:spacing w:line="24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696" w:type="dxa"/>
            <w:vAlign w:val="center"/>
          </w:tcPr>
          <w:p>
            <w:pPr>
              <w:spacing w:line="240" w:lineRule="atLeast"/>
              <w:jc w:val="center"/>
              <w:rPr>
                <w:rFonts w:ascii="宋体" w:hAnsi="宋体"/>
                <w:sz w:val="18"/>
                <w:szCs w:val="18"/>
              </w:rPr>
            </w:pPr>
            <w:r>
              <w:rPr>
                <w:rFonts w:hint="eastAsia" w:ascii="宋体" w:hAnsi="宋体"/>
                <w:sz w:val="18"/>
                <w:szCs w:val="18"/>
              </w:rPr>
              <w:t>联系人及电话</w:t>
            </w:r>
          </w:p>
        </w:tc>
        <w:tc>
          <w:tcPr>
            <w:tcW w:w="2838" w:type="dxa"/>
            <w:vAlign w:val="center"/>
          </w:tcPr>
          <w:p>
            <w:pPr>
              <w:spacing w:line="240" w:lineRule="atLeast"/>
              <w:jc w:val="center"/>
              <w:rPr>
                <w:rFonts w:ascii="宋体" w:hAnsi="宋体"/>
                <w:sz w:val="18"/>
                <w:szCs w:val="18"/>
              </w:rPr>
            </w:pPr>
          </w:p>
        </w:tc>
        <w:tc>
          <w:tcPr>
            <w:tcW w:w="2134" w:type="dxa"/>
            <w:vAlign w:val="center"/>
          </w:tcPr>
          <w:p>
            <w:pPr>
              <w:spacing w:line="240" w:lineRule="atLeast"/>
              <w:jc w:val="center"/>
              <w:rPr>
                <w:rFonts w:ascii="宋体" w:hAnsi="宋体"/>
                <w:sz w:val="18"/>
                <w:szCs w:val="18"/>
              </w:rPr>
            </w:pPr>
            <w:r>
              <w:rPr>
                <w:rFonts w:hint="eastAsia" w:ascii="宋体" w:hAnsi="宋体"/>
                <w:sz w:val="18"/>
                <w:szCs w:val="18"/>
              </w:rPr>
              <w:t>填报时间</w:t>
            </w:r>
          </w:p>
        </w:tc>
        <w:tc>
          <w:tcPr>
            <w:tcW w:w="2403" w:type="dxa"/>
            <w:vAlign w:val="center"/>
          </w:tcPr>
          <w:p>
            <w:pPr>
              <w:spacing w:line="240" w:lineRule="atLeast"/>
              <w:jc w:val="center"/>
              <w:rPr>
                <w:rFonts w:ascii="宋体" w:hAnsi="宋体"/>
                <w:sz w:val="18"/>
                <w:szCs w:val="18"/>
              </w:rPr>
            </w:pP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696" w:type="dxa"/>
            <w:vAlign w:val="center"/>
          </w:tcPr>
          <w:p>
            <w:pPr>
              <w:spacing w:line="240" w:lineRule="atLeast"/>
              <w:jc w:val="center"/>
              <w:rPr>
                <w:rFonts w:ascii="宋体" w:hAnsi="宋体"/>
                <w:sz w:val="18"/>
                <w:szCs w:val="18"/>
              </w:rPr>
            </w:pPr>
            <w:r>
              <w:rPr>
                <w:rFonts w:hint="eastAsia" w:ascii="宋体" w:hAnsi="宋体"/>
                <w:sz w:val="18"/>
                <w:szCs w:val="18"/>
              </w:rPr>
              <w:t>县区</w:t>
            </w:r>
          </w:p>
        </w:tc>
        <w:tc>
          <w:tcPr>
            <w:tcW w:w="2838" w:type="dxa"/>
            <w:vAlign w:val="center"/>
          </w:tcPr>
          <w:p>
            <w:pPr>
              <w:spacing w:line="240" w:lineRule="atLeast"/>
              <w:jc w:val="center"/>
              <w:rPr>
                <w:rFonts w:ascii="宋体" w:hAnsi="宋体"/>
                <w:sz w:val="18"/>
                <w:szCs w:val="18"/>
              </w:rPr>
            </w:pPr>
          </w:p>
        </w:tc>
        <w:tc>
          <w:tcPr>
            <w:tcW w:w="2134" w:type="dxa"/>
            <w:vAlign w:val="center"/>
          </w:tcPr>
          <w:p>
            <w:pPr>
              <w:spacing w:line="240" w:lineRule="atLeast"/>
              <w:jc w:val="center"/>
              <w:rPr>
                <w:rFonts w:ascii="宋体" w:hAnsi="宋体"/>
                <w:sz w:val="18"/>
                <w:szCs w:val="18"/>
              </w:rPr>
            </w:pPr>
            <w:r>
              <w:rPr>
                <w:rFonts w:hint="eastAsia" w:ascii="宋体" w:hAnsi="宋体"/>
                <w:sz w:val="18"/>
                <w:szCs w:val="18"/>
              </w:rPr>
              <w:t>地址</w:t>
            </w:r>
          </w:p>
        </w:tc>
        <w:tc>
          <w:tcPr>
            <w:tcW w:w="2403" w:type="dxa"/>
            <w:vAlign w:val="center"/>
          </w:tcPr>
          <w:p>
            <w:pPr>
              <w:spacing w:line="24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9071" w:type="dxa"/>
            <w:gridSpan w:val="4"/>
            <w:vAlign w:val="center"/>
          </w:tcPr>
          <w:p>
            <w:pPr>
              <w:spacing w:line="240" w:lineRule="atLeast"/>
              <w:jc w:val="center"/>
              <w:rPr>
                <w:rFonts w:ascii="宋体" w:hAnsi="宋体"/>
                <w:sz w:val="18"/>
                <w:szCs w:val="18"/>
              </w:rPr>
            </w:pPr>
            <w:r>
              <w:rPr>
                <w:rFonts w:hint="eastAsia" w:ascii="宋体" w:hAnsi="宋体"/>
                <w:sz w:val="18"/>
                <w:szCs w:val="18"/>
              </w:rPr>
              <w:t>VOCs基本信息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696" w:type="dxa"/>
            <w:vAlign w:val="center"/>
          </w:tcPr>
          <w:p>
            <w:pPr>
              <w:spacing w:line="240" w:lineRule="atLeast"/>
              <w:jc w:val="center"/>
              <w:rPr>
                <w:rFonts w:ascii="宋体" w:hAnsi="宋体"/>
                <w:sz w:val="18"/>
                <w:szCs w:val="18"/>
              </w:rPr>
            </w:pPr>
            <w:r>
              <w:rPr>
                <w:rFonts w:hint="eastAsia" w:ascii="宋体" w:hAnsi="宋体"/>
                <w:sz w:val="18"/>
                <w:szCs w:val="18"/>
              </w:rPr>
              <w:t>VOCs排放口数量</w:t>
            </w:r>
          </w:p>
        </w:tc>
        <w:tc>
          <w:tcPr>
            <w:tcW w:w="2838" w:type="dxa"/>
            <w:vAlign w:val="center"/>
          </w:tcPr>
          <w:p>
            <w:pPr>
              <w:spacing w:line="240" w:lineRule="atLeast"/>
              <w:jc w:val="center"/>
              <w:rPr>
                <w:rFonts w:ascii="宋体" w:hAnsi="宋体"/>
                <w:sz w:val="18"/>
                <w:szCs w:val="18"/>
              </w:rPr>
            </w:pPr>
          </w:p>
        </w:tc>
        <w:tc>
          <w:tcPr>
            <w:tcW w:w="2134" w:type="dxa"/>
            <w:vAlign w:val="center"/>
          </w:tcPr>
          <w:p>
            <w:pPr>
              <w:spacing w:line="240" w:lineRule="atLeast"/>
              <w:jc w:val="center"/>
              <w:rPr>
                <w:rFonts w:ascii="宋体" w:hAnsi="宋体"/>
                <w:sz w:val="18"/>
                <w:szCs w:val="18"/>
              </w:rPr>
            </w:pPr>
            <w:r>
              <w:rPr>
                <w:rFonts w:hint="eastAsia" w:ascii="宋体" w:hAnsi="宋体"/>
                <w:sz w:val="18"/>
                <w:szCs w:val="18"/>
              </w:rPr>
              <w:t>在产VOCs排放口数量</w:t>
            </w:r>
          </w:p>
        </w:tc>
        <w:tc>
          <w:tcPr>
            <w:tcW w:w="2403" w:type="dxa"/>
            <w:vAlign w:val="center"/>
          </w:tcPr>
          <w:p>
            <w:pPr>
              <w:spacing w:line="240" w:lineRule="atLeast"/>
              <w:jc w:val="center"/>
              <w:rPr>
                <w:rFonts w:ascii="宋体" w:hAnsi="宋体"/>
                <w:sz w:val="18"/>
                <w:szCs w:val="18"/>
                <w:highlight w:val="re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9071" w:type="dxa"/>
            <w:gridSpan w:val="4"/>
            <w:vAlign w:val="center"/>
          </w:tcPr>
          <w:p>
            <w:pPr>
              <w:spacing w:line="240" w:lineRule="atLeast"/>
              <w:jc w:val="center"/>
              <w:rPr>
                <w:rFonts w:ascii="宋体" w:hAnsi="宋体"/>
                <w:sz w:val="18"/>
                <w:szCs w:val="18"/>
              </w:rPr>
            </w:pPr>
            <w:r>
              <w:rPr>
                <w:rFonts w:hint="eastAsia" w:ascii="宋体" w:hAnsi="宋体"/>
                <w:sz w:val="18"/>
                <w:szCs w:val="18"/>
              </w:rPr>
              <w:t>1#VOCs排放口基础信息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96" w:type="dxa"/>
            <w:vAlign w:val="center"/>
          </w:tcPr>
          <w:p>
            <w:pPr>
              <w:spacing w:line="240" w:lineRule="atLeast"/>
              <w:jc w:val="center"/>
              <w:rPr>
                <w:rFonts w:ascii="宋体" w:hAnsi="宋体"/>
                <w:sz w:val="18"/>
                <w:szCs w:val="18"/>
              </w:rPr>
            </w:pPr>
            <w:r>
              <w:rPr>
                <w:rFonts w:hint="eastAsia" w:ascii="宋体" w:hAnsi="宋体"/>
                <w:sz w:val="18"/>
                <w:szCs w:val="18"/>
              </w:rPr>
              <w:t>所在位置</w:t>
            </w:r>
          </w:p>
        </w:tc>
        <w:tc>
          <w:tcPr>
            <w:tcW w:w="7375" w:type="dxa"/>
            <w:gridSpan w:val="3"/>
            <w:vAlign w:val="center"/>
          </w:tcPr>
          <w:p>
            <w:pPr>
              <w:spacing w:line="24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96" w:type="dxa"/>
            <w:vAlign w:val="center"/>
          </w:tcPr>
          <w:p>
            <w:pPr>
              <w:spacing w:line="240" w:lineRule="atLeast"/>
              <w:jc w:val="center"/>
              <w:rPr>
                <w:rFonts w:ascii="宋体" w:hAnsi="宋体"/>
                <w:sz w:val="18"/>
                <w:szCs w:val="18"/>
              </w:rPr>
            </w:pPr>
            <w:r>
              <w:rPr>
                <w:rFonts w:hint="eastAsia" w:ascii="宋体" w:hAnsi="宋体"/>
                <w:sz w:val="18"/>
                <w:szCs w:val="18"/>
              </w:rPr>
              <w:t>对应产污设备名称</w:t>
            </w:r>
          </w:p>
        </w:tc>
        <w:tc>
          <w:tcPr>
            <w:tcW w:w="7375" w:type="dxa"/>
            <w:gridSpan w:val="3"/>
            <w:vAlign w:val="center"/>
          </w:tcPr>
          <w:p>
            <w:pPr>
              <w:spacing w:line="240" w:lineRule="atLeast"/>
              <w:jc w:val="center"/>
              <w:rPr>
                <w:rFonts w:ascii="宋体" w:hAnsi="宋体"/>
                <w:sz w:val="18"/>
                <w:szCs w:val="18"/>
              </w:rPr>
            </w:pPr>
            <w:r>
              <w:rPr>
                <w:rFonts w:hint="eastAsia" w:ascii="宋体" w:hAnsi="宋体"/>
                <w:sz w:val="18"/>
                <w:szCs w:val="18"/>
              </w:rPr>
              <w:t>此排放口对应的产污设备（或车间、生产线）的名称,如：注塑机、喷漆房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696" w:type="dxa"/>
            <w:vAlign w:val="center"/>
          </w:tcPr>
          <w:p>
            <w:pPr>
              <w:spacing w:line="240" w:lineRule="atLeast"/>
              <w:jc w:val="center"/>
              <w:rPr>
                <w:rFonts w:ascii="宋体" w:hAnsi="宋体"/>
                <w:sz w:val="18"/>
                <w:szCs w:val="18"/>
              </w:rPr>
            </w:pPr>
            <w:r>
              <w:rPr>
                <w:rFonts w:hint="eastAsia" w:ascii="宋体" w:hAnsi="宋体"/>
                <w:sz w:val="18"/>
                <w:szCs w:val="18"/>
              </w:rPr>
              <w:t>对应废气收集风机数量</w:t>
            </w:r>
          </w:p>
        </w:tc>
        <w:tc>
          <w:tcPr>
            <w:tcW w:w="7375" w:type="dxa"/>
            <w:gridSpan w:val="3"/>
            <w:vAlign w:val="center"/>
          </w:tcPr>
          <w:p>
            <w:pPr>
              <w:spacing w:line="240" w:lineRule="atLeast"/>
              <w:jc w:val="center"/>
              <w:rPr>
                <w:rFonts w:ascii="宋体" w:hAnsi="宋体"/>
                <w:sz w:val="18"/>
                <w:szCs w:val="18"/>
              </w:rPr>
            </w:pPr>
            <w:r>
              <w:rPr>
                <w:rFonts w:hint="eastAsia" w:ascii="宋体" w:hAnsi="宋体"/>
                <w:sz w:val="18"/>
                <w:szCs w:val="18"/>
              </w:rPr>
              <w:t>产污设备至废气治理输送风机的数量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696" w:type="dxa"/>
            <w:vAlign w:val="center"/>
          </w:tcPr>
          <w:p>
            <w:pPr>
              <w:spacing w:line="240" w:lineRule="atLeast"/>
              <w:jc w:val="center"/>
              <w:rPr>
                <w:rFonts w:ascii="宋体" w:hAnsi="宋体"/>
                <w:sz w:val="18"/>
                <w:szCs w:val="18"/>
              </w:rPr>
            </w:pPr>
            <w:r>
              <w:rPr>
                <w:rFonts w:hint="eastAsia" w:ascii="宋体" w:hAnsi="宋体"/>
                <w:sz w:val="18"/>
                <w:szCs w:val="18"/>
              </w:rPr>
              <w:t>对应废气处理工艺</w:t>
            </w:r>
          </w:p>
        </w:tc>
        <w:tc>
          <w:tcPr>
            <w:tcW w:w="7375" w:type="dxa"/>
            <w:gridSpan w:val="3"/>
            <w:vAlign w:val="center"/>
          </w:tcPr>
          <w:p>
            <w:pPr>
              <w:spacing w:line="240" w:lineRule="atLeast"/>
              <w:jc w:val="center"/>
              <w:rPr>
                <w:rFonts w:ascii="宋体" w:hAnsi="宋体"/>
                <w:sz w:val="18"/>
                <w:szCs w:val="18"/>
              </w:rPr>
            </w:pPr>
            <w:r>
              <w:rPr>
                <w:rFonts w:hint="eastAsia" w:ascii="宋体" w:hAnsi="宋体"/>
                <w:sz w:val="18"/>
                <w:szCs w:val="18"/>
              </w:rPr>
              <w:t>如：水喷淋</w:t>
            </w:r>
            <w:r>
              <w:rPr>
                <w:rFonts w:ascii="宋体" w:hAnsi="宋体" w:cs="Arial"/>
                <w:sz w:val="18"/>
                <w:szCs w:val="18"/>
              </w:rPr>
              <w:t>→</w:t>
            </w:r>
            <w:r>
              <w:rPr>
                <w:rFonts w:hint="eastAsia" w:ascii="宋体" w:hAnsi="宋体"/>
                <w:sz w:val="18"/>
                <w:szCs w:val="18"/>
              </w:rPr>
              <w:t>活性炭吸附</w:t>
            </w:r>
            <w:r>
              <w:rPr>
                <w:rFonts w:ascii="宋体" w:hAnsi="宋体" w:cs="Arial"/>
                <w:sz w:val="18"/>
                <w:szCs w:val="18"/>
              </w:rPr>
              <w:t>→</w:t>
            </w:r>
            <w:r>
              <w:rPr>
                <w:rFonts w:hint="eastAsia" w:ascii="宋体" w:hAnsi="宋体" w:cs="Arial"/>
                <w:sz w:val="18"/>
                <w:szCs w:val="18"/>
              </w:rPr>
              <w:t>光氧</w:t>
            </w:r>
            <w:r>
              <w:rPr>
                <w:rFonts w:ascii="宋体" w:hAnsi="宋体" w:cs="Arial"/>
                <w:sz w:val="18"/>
                <w:szCs w:val="18"/>
              </w:rPr>
              <w:t>→</w:t>
            </w:r>
            <w:r>
              <w:rPr>
                <w:rFonts w:hint="eastAsia" w:ascii="宋体" w:hAnsi="宋体" w:cs="Arial"/>
                <w:sz w:val="18"/>
                <w:szCs w:val="18"/>
              </w:rPr>
              <w:t>排放风机</w:t>
            </w:r>
            <w:r>
              <w:rPr>
                <w:rFonts w:ascii="宋体" w:hAnsi="宋体" w:cs="Arial"/>
                <w:sz w:val="18"/>
                <w:szCs w:val="18"/>
              </w:rPr>
              <w:t>→</w:t>
            </w:r>
            <w:r>
              <w:rPr>
                <w:rFonts w:hint="eastAsia" w:ascii="宋体" w:hAnsi="宋体" w:cs="Arial"/>
                <w:sz w:val="18"/>
                <w:szCs w:val="18"/>
              </w:rPr>
              <w:t>排放口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96" w:type="dxa"/>
            <w:vAlign w:val="center"/>
          </w:tcPr>
          <w:p>
            <w:pPr>
              <w:spacing w:line="240" w:lineRule="atLeast"/>
              <w:jc w:val="center"/>
              <w:rPr>
                <w:rFonts w:ascii="宋体" w:hAnsi="宋体"/>
                <w:sz w:val="18"/>
                <w:szCs w:val="18"/>
              </w:rPr>
            </w:pPr>
            <w:r>
              <w:rPr>
                <w:rFonts w:hint="eastAsia" w:ascii="宋体" w:hAnsi="宋体"/>
                <w:sz w:val="18"/>
                <w:szCs w:val="18"/>
              </w:rPr>
              <w:t>产治污流程示意图</w:t>
            </w:r>
          </w:p>
        </w:tc>
        <w:tc>
          <w:tcPr>
            <w:tcW w:w="7375" w:type="dxa"/>
            <w:gridSpan w:val="3"/>
            <w:vAlign w:val="center"/>
          </w:tcPr>
          <w:p>
            <w:pPr>
              <w:spacing w:line="240" w:lineRule="atLeast"/>
              <w:rPr>
                <w:rFonts w:ascii="宋体" w:hAnsi="宋体"/>
                <w:sz w:val="18"/>
                <w:szCs w:val="18"/>
              </w:rPr>
            </w:pPr>
          </w:p>
          <w:p>
            <w:pPr>
              <w:spacing w:line="240" w:lineRule="atLeast"/>
              <w:jc w:val="center"/>
              <w:rPr>
                <w:rFonts w:ascii="宋体" w:hAnsi="宋体"/>
                <w:sz w:val="18"/>
                <w:szCs w:val="18"/>
              </w:rPr>
            </w:pPr>
          </w:p>
          <w:p>
            <w:pPr>
              <w:spacing w:line="240" w:lineRule="atLeas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71" w:type="dxa"/>
            <w:gridSpan w:val="4"/>
            <w:vAlign w:val="center"/>
          </w:tcPr>
          <w:p>
            <w:pPr>
              <w:spacing w:line="240" w:lineRule="atLeast"/>
              <w:jc w:val="center"/>
              <w:rPr>
                <w:rFonts w:ascii="宋体" w:hAnsi="宋体"/>
                <w:sz w:val="18"/>
                <w:szCs w:val="18"/>
              </w:rPr>
            </w:pPr>
            <w:r>
              <w:rPr>
                <w:rFonts w:hint="eastAsia" w:ascii="宋体" w:hAnsi="宋体"/>
                <w:sz w:val="18"/>
                <w:szCs w:val="18"/>
              </w:rPr>
              <w:t>2#VOCs排放口基础信息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96" w:type="dxa"/>
            <w:vAlign w:val="center"/>
          </w:tcPr>
          <w:p>
            <w:pPr>
              <w:spacing w:line="240" w:lineRule="atLeast"/>
              <w:jc w:val="center"/>
              <w:rPr>
                <w:rFonts w:ascii="宋体" w:hAnsi="宋体"/>
                <w:sz w:val="18"/>
                <w:szCs w:val="18"/>
              </w:rPr>
            </w:pPr>
            <w:r>
              <w:rPr>
                <w:rFonts w:hint="eastAsia" w:ascii="宋体" w:hAnsi="宋体"/>
                <w:sz w:val="18"/>
                <w:szCs w:val="18"/>
              </w:rPr>
              <w:t>所在位置</w:t>
            </w:r>
          </w:p>
        </w:tc>
        <w:tc>
          <w:tcPr>
            <w:tcW w:w="7375" w:type="dxa"/>
            <w:gridSpan w:val="3"/>
            <w:vAlign w:val="center"/>
          </w:tcPr>
          <w:p>
            <w:pPr>
              <w:spacing w:line="24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96" w:type="dxa"/>
            <w:vAlign w:val="center"/>
          </w:tcPr>
          <w:p>
            <w:pPr>
              <w:spacing w:line="240" w:lineRule="atLeast"/>
              <w:jc w:val="center"/>
              <w:rPr>
                <w:rFonts w:ascii="宋体" w:hAnsi="宋体"/>
                <w:sz w:val="18"/>
                <w:szCs w:val="18"/>
              </w:rPr>
            </w:pPr>
            <w:r>
              <w:rPr>
                <w:rFonts w:hint="eastAsia" w:ascii="宋体" w:hAnsi="宋体"/>
                <w:sz w:val="18"/>
                <w:szCs w:val="18"/>
              </w:rPr>
              <w:t>对应产污设备名称及数量</w:t>
            </w:r>
          </w:p>
        </w:tc>
        <w:tc>
          <w:tcPr>
            <w:tcW w:w="7375" w:type="dxa"/>
            <w:gridSpan w:val="3"/>
            <w:vAlign w:val="center"/>
          </w:tcPr>
          <w:p>
            <w:pPr>
              <w:spacing w:line="24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96" w:type="dxa"/>
            <w:vAlign w:val="center"/>
          </w:tcPr>
          <w:p>
            <w:pPr>
              <w:spacing w:line="240" w:lineRule="atLeast"/>
              <w:jc w:val="center"/>
              <w:rPr>
                <w:rFonts w:ascii="宋体" w:hAnsi="宋体"/>
                <w:sz w:val="18"/>
                <w:szCs w:val="18"/>
              </w:rPr>
            </w:pPr>
            <w:r>
              <w:rPr>
                <w:rFonts w:hint="eastAsia" w:ascii="宋体" w:hAnsi="宋体"/>
                <w:sz w:val="18"/>
                <w:szCs w:val="18"/>
              </w:rPr>
              <w:t>对应废气收集风机数量</w:t>
            </w:r>
          </w:p>
        </w:tc>
        <w:tc>
          <w:tcPr>
            <w:tcW w:w="7375" w:type="dxa"/>
            <w:gridSpan w:val="3"/>
            <w:vAlign w:val="center"/>
          </w:tcPr>
          <w:p>
            <w:pPr>
              <w:spacing w:line="24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96" w:type="dxa"/>
            <w:vAlign w:val="center"/>
          </w:tcPr>
          <w:p>
            <w:pPr>
              <w:spacing w:line="240" w:lineRule="atLeast"/>
              <w:jc w:val="center"/>
              <w:rPr>
                <w:rFonts w:ascii="宋体" w:hAnsi="宋体"/>
                <w:sz w:val="18"/>
                <w:szCs w:val="18"/>
              </w:rPr>
            </w:pPr>
            <w:r>
              <w:rPr>
                <w:rFonts w:hint="eastAsia" w:ascii="宋体" w:hAnsi="宋体"/>
                <w:sz w:val="18"/>
                <w:szCs w:val="18"/>
              </w:rPr>
              <w:t>对应废气处理工艺</w:t>
            </w:r>
          </w:p>
        </w:tc>
        <w:tc>
          <w:tcPr>
            <w:tcW w:w="7375" w:type="dxa"/>
            <w:gridSpan w:val="3"/>
            <w:vAlign w:val="center"/>
          </w:tcPr>
          <w:p>
            <w:pPr>
              <w:spacing w:line="240" w:lineRule="atLeast"/>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96" w:type="dxa"/>
            <w:vAlign w:val="center"/>
          </w:tcPr>
          <w:p>
            <w:pPr>
              <w:spacing w:line="240" w:lineRule="atLeast"/>
              <w:jc w:val="center"/>
              <w:rPr>
                <w:rFonts w:ascii="宋体" w:hAnsi="宋体"/>
                <w:sz w:val="18"/>
                <w:szCs w:val="18"/>
              </w:rPr>
            </w:pPr>
            <w:r>
              <w:rPr>
                <w:rFonts w:hint="eastAsia" w:ascii="宋体" w:hAnsi="宋体"/>
                <w:sz w:val="18"/>
                <w:szCs w:val="18"/>
              </w:rPr>
              <w:t>产治污流程示意图</w:t>
            </w:r>
          </w:p>
        </w:tc>
        <w:tc>
          <w:tcPr>
            <w:tcW w:w="7375" w:type="dxa"/>
            <w:gridSpan w:val="3"/>
            <w:vAlign w:val="center"/>
          </w:tcPr>
          <w:p>
            <w:pPr>
              <w:spacing w:line="240" w:lineRule="atLeast"/>
              <w:rPr>
                <w:rFonts w:ascii="宋体" w:hAnsi="宋体"/>
                <w:sz w:val="18"/>
                <w:szCs w:val="18"/>
              </w:rPr>
            </w:pPr>
          </w:p>
          <w:p>
            <w:pPr>
              <w:spacing w:line="240" w:lineRule="atLeast"/>
              <w:jc w:val="center"/>
              <w:rPr>
                <w:rFonts w:ascii="宋体" w:hAnsi="宋体"/>
                <w:sz w:val="18"/>
                <w:szCs w:val="18"/>
              </w:rPr>
            </w:pPr>
          </w:p>
          <w:p>
            <w:pPr>
              <w:spacing w:line="240" w:lineRule="atLeast"/>
              <w:rPr>
                <w:rFonts w:ascii="宋体" w:hAnsi="宋体"/>
                <w:sz w:val="18"/>
                <w:szCs w:val="18"/>
              </w:rPr>
            </w:pPr>
          </w:p>
        </w:tc>
      </w:tr>
    </w:tbl>
    <w:p>
      <w:pPr>
        <w:pStyle w:val="80"/>
        <w:spacing w:before="156" w:after="156"/>
      </w:pPr>
      <w:bookmarkStart w:id="240" w:name="_Toc160544800"/>
      <w:bookmarkStart w:id="241" w:name="_Toc170827898"/>
      <w:bookmarkStart w:id="242" w:name="_Toc158298191"/>
      <w:bookmarkStart w:id="243" w:name="_Toc146206963"/>
      <w:bookmarkStart w:id="244" w:name="_Toc167289352"/>
      <w:bookmarkStart w:id="245" w:name="_Toc158298586"/>
      <w:bookmarkStart w:id="246" w:name="_Toc147566913"/>
      <w:bookmarkStart w:id="247" w:name="_Toc171604871"/>
      <w:bookmarkStart w:id="248" w:name="_Toc171675724"/>
      <w:r>
        <w:rPr>
          <w:rFonts w:hint="eastAsia"/>
        </w:rPr>
        <w:t>系统设备清单</w:t>
      </w:r>
      <w:bookmarkEnd w:id="240"/>
      <w:bookmarkEnd w:id="241"/>
      <w:bookmarkEnd w:id="242"/>
      <w:bookmarkEnd w:id="243"/>
      <w:bookmarkEnd w:id="244"/>
      <w:bookmarkEnd w:id="245"/>
      <w:bookmarkEnd w:id="246"/>
      <w:bookmarkEnd w:id="247"/>
      <w:bookmarkEnd w:id="248"/>
    </w:p>
    <w:p>
      <w:pPr>
        <w:pStyle w:val="58"/>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系统设备清单见表</w:t>
      </w:r>
      <w:r>
        <w:rPr>
          <w:color w:val="000000" w:themeColor="text1"/>
          <w:szCs w:val="21"/>
          <w14:textFill>
            <w14:solidFill>
              <w14:schemeClr w14:val="tx1"/>
            </w14:solidFill>
          </w14:textFill>
        </w:rPr>
        <w:t>A.2</w:t>
      </w:r>
      <w:r>
        <w:rPr>
          <w:rFonts w:hint="eastAsia"/>
          <w:color w:val="000000" w:themeColor="text1"/>
          <w:szCs w:val="21"/>
          <w14:textFill>
            <w14:solidFill>
              <w14:schemeClr w14:val="tx1"/>
            </w14:solidFill>
          </w14:textFill>
        </w:rPr>
        <w:t>。</w:t>
      </w:r>
    </w:p>
    <w:p>
      <w:pPr>
        <w:pStyle w:val="58"/>
        <w:ind w:firstLine="420"/>
        <w:rPr>
          <w:color w:val="000000" w:themeColor="text1"/>
          <w:szCs w:val="21"/>
          <w14:textFill>
            <w14:solidFill>
              <w14:schemeClr w14:val="tx1"/>
            </w14:solidFill>
          </w14:textFill>
        </w:rPr>
      </w:pPr>
    </w:p>
    <w:p>
      <w:pPr>
        <w:pStyle w:val="79"/>
        <w:spacing w:before="156" w:after="156"/>
      </w:pPr>
      <w:r>
        <w:rPr>
          <w:rFonts w:hint="eastAsia"/>
        </w:rPr>
        <w:t>系统设备清单</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966"/>
        <w:gridCol w:w="1333"/>
        <w:gridCol w:w="1334"/>
        <w:gridCol w:w="1334"/>
        <w:gridCol w:w="1334"/>
        <w:gridCol w:w="1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699" w:type="dxa"/>
            <w:tcBorders>
              <w:top w:val="single" w:color="auto" w:sz="8" w:space="0"/>
              <w:bottom w:val="single" w:color="auto" w:sz="8" w:space="0"/>
            </w:tcBorders>
            <w:shd w:val="clear" w:color="auto" w:fill="auto"/>
            <w:vAlign w:val="center"/>
          </w:tcPr>
          <w:p>
            <w:pPr>
              <w:pStyle w:val="180"/>
              <w:rPr>
                <w:rFonts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序号</w:t>
            </w:r>
          </w:p>
        </w:tc>
        <w:tc>
          <w:tcPr>
            <w:tcW w:w="1966" w:type="dxa"/>
            <w:tcBorders>
              <w:top w:val="single" w:color="auto" w:sz="8" w:space="0"/>
              <w:bottom w:val="single" w:color="auto" w:sz="8" w:space="0"/>
            </w:tcBorders>
            <w:shd w:val="clear" w:color="auto" w:fill="auto"/>
            <w:vAlign w:val="center"/>
          </w:tcPr>
          <w:p>
            <w:pPr>
              <w:pStyle w:val="180"/>
              <w:rPr>
                <w:rFonts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设备名称</w:t>
            </w:r>
          </w:p>
        </w:tc>
        <w:tc>
          <w:tcPr>
            <w:tcW w:w="1333" w:type="dxa"/>
            <w:tcBorders>
              <w:top w:val="single" w:color="auto" w:sz="8" w:space="0"/>
              <w:bottom w:val="single" w:color="auto" w:sz="8" w:space="0"/>
            </w:tcBorders>
            <w:shd w:val="clear" w:color="auto" w:fill="auto"/>
            <w:vAlign w:val="center"/>
          </w:tcPr>
          <w:p>
            <w:pPr>
              <w:pStyle w:val="180"/>
              <w:rPr>
                <w:rFonts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型号</w:t>
            </w:r>
          </w:p>
        </w:tc>
        <w:tc>
          <w:tcPr>
            <w:tcW w:w="1334" w:type="dxa"/>
            <w:tcBorders>
              <w:top w:val="single" w:color="auto" w:sz="8" w:space="0"/>
              <w:bottom w:val="single" w:color="auto" w:sz="8" w:space="0"/>
            </w:tcBorders>
            <w:shd w:val="clear" w:color="auto" w:fill="auto"/>
            <w:vAlign w:val="center"/>
          </w:tcPr>
          <w:p>
            <w:pPr>
              <w:pStyle w:val="180"/>
              <w:rPr>
                <w:rFonts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单位</w:t>
            </w:r>
          </w:p>
        </w:tc>
        <w:tc>
          <w:tcPr>
            <w:tcW w:w="1334" w:type="dxa"/>
            <w:tcBorders>
              <w:top w:val="single" w:color="auto" w:sz="8" w:space="0"/>
              <w:bottom w:val="single" w:color="auto" w:sz="8" w:space="0"/>
            </w:tcBorders>
            <w:shd w:val="clear" w:color="auto" w:fill="auto"/>
            <w:vAlign w:val="center"/>
          </w:tcPr>
          <w:p>
            <w:pPr>
              <w:pStyle w:val="180"/>
              <w:rPr>
                <w:rFonts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安装数量</w:t>
            </w:r>
          </w:p>
        </w:tc>
        <w:tc>
          <w:tcPr>
            <w:tcW w:w="1334" w:type="dxa"/>
            <w:tcBorders>
              <w:top w:val="single" w:color="auto" w:sz="8" w:space="0"/>
              <w:bottom w:val="single" w:color="auto" w:sz="8" w:space="0"/>
            </w:tcBorders>
            <w:shd w:val="clear" w:color="auto" w:fill="auto"/>
            <w:vAlign w:val="center"/>
          </w:tcPr>
          <w:p>
            <w:pPr>
              <w:pStyle w:val="180"/>
              <w:rPr>
                <w:rFonts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安装位置</w:t>
            </w:r>
          </w:p>
        </w:tc>
        <w:tc>
          <w:tcPr>
            <w:tcW w:w="1334" w:type="dxa"/>
            <w:tcBorders>
              <w:top w:val="single" w:color="auto" w:sz="8" w:space="0"/>
              <w:bottom w:val="single" w:color="auto" w:sz="8" w:space="0"/>
            </w:tcBorders>
            <w:shd w:val="clear" w:color="auto" w:fill="auto"/>
            <w:vAlign w:val="center"/>
          </w:tcPr>
          <w:p>
            <w:pPr>
              <w:pStyle w:val="180"/>
              <w:rPr>
                <w:rFonts w:hAnsi="宋体"/>
                <w:color w:val="000000" w:themeColor="text1"/>
                <w:szCs w:val="18"/>
                <w14:textFill>
                  <w14:solidFill>
                    <w14:schemeClr w14:val="tx1"/>
                  </w14:solidFill>
                </w14:textFill>
              </w:rPr>
            </w:pPr>
            <w:r>
              <w:rPr>
                <w:rFonts w:hint="eastAsia" w:hAnsi="宋体"/>
                <w:color w:val="000000" w:themeColor="text1"/>
                <w:szCs w:val="18"/>
                <w14:textFill>
                  <w14:solidFill>
                    <w14:schemeClr w14:val="tx1"/>
                  </w14:solidFill>
                </w14:textFill>
              </w:rPr>
              <w:t>验收结果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tcBorders>
              <w:top w:val="single" w:color="auto" w:sz="8" w:space="0"/>
            </w:tcBorders>
            <w:shd w:val="clear" w:color="auto" w:fill="auto"/>
            <w:vAlign w:val="center"/>
          </w:tcPr>
          <w:p>
            <w:pPr>
              <w:pStyle w:val="180"/>
              <w:numPr>
                <w:ilvl w:val="0"/>
                <w:numId w:val="44"/>
              </w:numPr>
              <w:rPr>
                <w:rFonts w:hAnsi="宋体"/>
                <w:color w:val="000000" w:themeColor="text1"/>
                <w:szCs w:val="18"/>
                <w14:textFill>
                  <w14:solidFill>
                    <w14:schemeClr w14:val="tx1"/>
                  </w14:solidFill>
                </w14:textFill>
              </w:rPr>
            </w:pPr>
          </w:p>
        </w:tc>
        <w:tc>
          <w:tcPr>
            <w:tcW w:w="1966" w:type="dxa"/>
            <w:tcBorders>
              <w:top w:val="single" w:color="auto" w:sz="8" w:space="0"/>
            </w:tcBorders>
            <w:shd w:val="clear" w:color="auto" w:fill="auto"/>
            <w:vAlign w:val="center"/>
          </w:tcPr>
          <w:p>
            <w:pPr>
              <w:pStyle w:val="180"/>
              <w:rPr>
                <w:rFonts w:hAnsi="宋体"/>
                <w:color w:val="000000" w:themeColor="text1"/>
                <w:szCs w:val="18"/>
                <w14:textFill>
                  <w14:solidFill>
                    <w14:schemeClr w14:val="tx1"/>
                  </w14:solidFill>
                </w14:textFill>
              </w:rPr>
            </w:pPr>
          </w:p>
        </w:tc>
        <w:tc>
          <w:tcPr>
            <w:tcW w:w="1333" w:type="dxa"/>
            <w:tcBorders>
              <w:top w:val="single" w:color="auto" w:sz="8" w:space="0"/>
            </w:tcBorders>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tcBorders>
              <w:top w:val="single" w:color="auto" w:sz="8" w:space="0"/>
            </w:tcBorders>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tcBorders>
              <w:top w:val="single" w:color="auto" w:sz="8" w:space="0"/>
            </w:tcBorders>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tcBorders>
              <w:top w:val="single" w:color="auto" w:sz="8" w:space="0"/>
            </w:tcBorders>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tcBorders>
              <w:top w:val="single" w:color="auto" w:sz="8" w:space="0"/>
            </w:tcBorders>
            <w:shd w:val="clear" w:color="auto" w:fill="auto"/>
            <w:vAlign w:val="center"/>
          </w:tcPr>
          <w:p>
            <w:pPr>
              <w:pStyle w:val="180"/>
              <w:rPr>
                <w:rFonts w:hAnsi="宋体"/>
                <w:color w:val="000000" w:themeColor="text1"/>
                <w:szCs w:val="18"/>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9" w:type="dxa"/>
            <w:shd w:val="clear" w:color="auto" w:fill="auto"/>
            <w:vAlign w:val="center"/>
          </w:tcPr>
          <w:p>
            <w:pPr>
              <w:pStyle w:val="180"/>
              <w:numPr>
                <w:ilvl w:val="0"/>
                <w:numId w:val="44"/>
              </w:numPr>
              <w:rPr>
                <w:rFonts w:hAnsi="宋体"/>
                <w:color w:val="000000" w:themeColor="text1"/>
                <w:szCs w:val="18"/>
                <w14:textFill>
                  <w14:solidFill>
                    <w14:schemeClr w14:val="tx1"/>
                  </w14:solidFill>
                </w14:textFill>
              </w:rPr>
            </w:pPr>
          </w:p>
        </w:tc>
        <w:tc>
          <w:tcPr>
            <w:tcW w:w="1966" w:type="dxa"/>
            <w:shd w:val="clear" w:color="auto" w:fill="auto"/>
            <w:vAlign w:val="center"/>
          </w:tcPr>
          <w:p>
            <w:pPr>
              <w:pStyle w:val="180"/>
              <w:rPr>
                <w:rFonts w:hAnsi="宋体"/>
                <w:color w:val="000000" w:themeColor="text1"/>
                <w:szCs w:val="18"/>
                <w14:textFill>
                  <w14:solidFill>
                    <w14:schemeClr w14:val="tx1"/>
                  </w14:solidFill>
                </w14:textFill>
              </w:rPr>
            </w:pPr>
          </w:p>
        </w:tc>
        <w:tc>
          <w:tcPr>
            <w:tcW w:w="1333"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9" w:type="dxa"/>
            <w:shd w:val="clear" w:color="auto" w:fill="auto"/>
            <w:vAlign w:val="center"/>
          </w:tcPr>
          <w:p>
            <w:pPr>
              <w:pStyle w:val="180"/>
              <w:numPr>
                <w:ilvl w:val="0"/>
                <w:numId w:val="44"/>
              </w:numPr>
              <w:rPr>
                <w:rFonts w:hAnsi="宋体"/>
                <w:color w:val="000000" w:themeColor="text1"/>
                <w:szCs w:val="18"/>
                <w14:textFill>
                  <w14:solidFill>
                    <w14:schemeClr w14:val="tx1"/>
                  </w14:solidFill>
                </w14:textFill>
              </w:rPr>
            </w:pPr>
          </w:p>
        </w:tc>
        <w:tc>
          <w:tcPr>
            <w:tcW w:w="1966" w:type="dxa"/>
            <w:shd w:val="clear" w:color="auto" w:fill="auto"/>
            <w:vAlign w:val="center"/>
          </w:tcPr>
          <w:p>
            <w:pPr>
              <w:pStyle w:val="180"/>
              <w:rPr>
                <w:rFonts w:hAnsi="宋体"/>
                <w:color w:val="000000" w:themeColor="text1"/>
                <w:szCs w:val="18"/>
                <w14:textFill>
                  <w14:solidFill>
                    <w14:schemeClr w14:val="tx1"/>
                  </w14:solidFill>
                </w14:textFill>
              </w:rPr>
            </w:pPr>
          </w:p>
        </w:tc>
        <w:tc>
          <w:tcPr>
            <w:tcW w:w="1333"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9" w:type="dxa"/>
            <w:shd w:val="clear" w:color="auto" w:fill="auto"/>
            <w:vAlign w:val="center"/>
          </w:tcPr>
          <w:p>
            <w:pPr>
              <w:pStyle w:val="180"/>
              <w:numPr>
                <w:ilvl w:val="0"/>
                <w:numId w:val="44"/>
              </w:numPr>
              <w:rPr>
                <w:rFonts w:hAnsi="宋体"/>
                <w:color w:val="000000" w:themeColor="text1"/>
                <w:szCs w:val="18"/>
                <w14:textFill>
                  <w14:solidFill>
                    <w14:schemeClr w14:val="tx1"/>
                  </w14:solidFill>
                </w14:textFill>
              </w:rPr>
            </w:pPr>
          </w:p>
        </w:tc>
        <w:tc>
          <w:tcPr>
            <w:tcW w:w="1966" w:type="dxa"/>
            <w:shd w:val="clear" w:color="auto" w:fill="auto"/>
            <w:vAlign w:val="center"/>
          </w:tcPr>
          <w:p>
            <w:pPr>
              <w:pStyle w:val="180"/>
              <w:rPr>
                <w:rFonts w:hAnsi="宋体"/>
                <w:color w:val="000000" w:themeColor="text1"/>
                <w:szCs w:val="18"/>
                <w14:textFill>
                  <w14:solidFill>
                    <w14:schemeClr w14:val="tx1"/>
                  </w14:solidFill>
                </w14:textFill>
              </w:rPr>
            </w:pPr>
          </w:p>
        </w:tc>
        <w:tc>
          <w:tcPr>
            <w:tcW w:w="1333"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9" w:type="dxa"/>
            <w:shd w:val="clear" w:color="auto" w:fill="auto"/>
            <w:vAlign w:val="center"/>
          </w:tcPr>
          <w:p>
            <w:pPr>
              <w:pStyle w:val="180"/>
              <w:numPr>
                <w:ilvl w:val="0"/>
                <w:numId w:val="44"/>
              </w:numPr>
              <w:rPr>
                <w:rFonts w:hAnsi="宋体"/>
                <w:color w:val="000000" w:themeColor="text1"/>
                <w:szCs w:val="18"/>
                <w14:textFill>
                  <w14:solidFill>
                    <w14:schemeClr w14:val="tx1"/>
                  </w14:solidFill>
                </w14:textFill>
              </w:rPr>
            </w:pPr>
          </w:p>
        </w:tc>
        <w:tc>
          <w:tcPr>
            <w:tcW w:w="1966" w:type="dxa"/>
            <w:shd w:val="clear" w:color="auto" w:fill="auto"/>
            <w:vAlign w:val="center"/>
          </w:tcPr>
          <w:p>
            <w:pPr>
              <w:pStyle w:val="180"/>
              <w:rPr>
                <w:rFonts w:hAnsi="宋体"/>
                <w:color w:val="000000" w:themeColor="text1"/>
                <w:szCs w:val="18"/>
                <w14:textFill>
                  <w14:solidFill>
                    <w14:schemeClr w14:val="tx1"/>
                  </w14:solidFill>
                </w14:textFill>
              </w:rPr>
            </w:pPr>
          </w:p>
        </w:tc>
        <w:tc>
          <w:tcPr>
            <w:tcW w:w="1333"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pPr>
              <w:pStyle w:val="180"/>
              <w:numPr>
                <w:ilvl w:val="0"/>
                <w:numId w:val="44"/>
              </w:numPr>
              <w:rPr>
                <w:rFonts w:hAnsi="宋体"/>
                <w:color w:val="000000" w:themeColor="text1"/>
                <w:szCs w:val="18"/>
                <w14:textFill>
                  <w14:solidFill>
                    <w14:schemeClr w14:val="tx1"/>
                  </w14:solidFill>
                </w14:textFill>
              </w:rPr>
            </w:pPr>
          </w:p>
        </w:tc>
        <w:tc>
          <w:tcPr>
            <w:tcW w:w="1966" w:type="dxa"/>
            <w:shd w:val="clear" w:color="auto" w:fill="auto"/>
            <w:vAlign w:val="center"/>
          </w:tcPr>
          <w:p>
            <w:pPr>
              <w:pStyle w:val="180"/>
              <w:rPr>
                <w:rFonts w:hAnsi="宋体"/>
                <w:color w:val="000000" w:themeColor="text1"/>
                <w:szCs w:val="18"/>
                <w14:textFill>
                  <w14:solidFill>
                    <w14:schemeClr w14:val="tx1"/>
                  </w14:solidFill>
                </w14:textFill>
              </w:rPr>
            </w:pPr>
          </w:p>
        </w:tc>
        <w:tc>
          <w:tcPr>
            <w:tcW w:w="1333"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9" w:type="dxa"/>
            <w:shd w:val="clear" w:color="auto" w:fill="auto"/>
            <w:vAlign w:val="center"/>
          </w:tcPr>
          <w:p>
            <w:pPr>
              <w:pStyle w:val="180"/>
              <w:numPr>
                <w:ilvl w:val="0"/>
                <w:numId w:val="44"/>
              </w:numPr>
              <w:rPr>
                <w:rFonts w:hAnsi="宋体"/>
                <w:color w:val="000000" w:themeColor="text1"/>
                <w:szCs w:val="18"/>
                <w14:textFill>
                  <w14:solidFill>
                    <w14:schemeClr w14:val="tx1"/>
                  </w14:solidFill>
                </w14:textFill>
              </w:rPr>
            </w:pPr>
          </w:p>
        </w:tc>
        <w:tc>
          <w:tcPr>
            <w:tcW w:w="1966" w:type="dxa"/>
            <w:shd w:val="clear" w:color="auto" w:fill="auto"/>
            <w:vAlign w:val="center"/>
          </w:tcPr>
          <w:p>
            <w:pPr>
              <w:pStyle w:val="180"/>
              <w:rPr>
                <w:rFonts w:hAnsi="宋体"/>
                <w:color w:val="000000" w:themeColor="text1"/>
                <w:szCs w:val="18"/>
                <w14:textFill>
                  <w14:solidFill>
                    <w14:schemeClr w14:val="tx1"/>
                  </w14:solidFill>
                </w14:textFill>
              </w:rPr>
            </w:pPr>
          </w:p>
        </w:tc>
        <w:tc>
          <w:tcPr>
            <w:tcW w:w="1333"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pPr>
              <w:pStyle w:val="180"/>
              <w:numPr>
                <w:ilvl w:val="0"/>
                <w:numId w:val="44"/>
              </w:numPr>
              <w:rPr>
                <w:rFonts w:hAnsi="宋体"/>
                <w:color w:val="000000" w:themeColor="text1"/>
                <w:szCs w:val="18"/>
                <w14:textFill>
                  <w14:solidFill>
                    <w14:schemeClr w14:val="tx1"/>
                  </w14:solidFill>
                </w14:textFill>
              </w:rPr>
            </w:pPr>
          </w:p>
        </w:tc>
        <w:tc>
          <w:tcPr>
            <w:tcW w:w="1966" w:type="dxa"/>
            <w:shd w:val="clear" w:color="auto" w:fill="auto"/>
            <w:vAlign w:val="center"/>
          </w:tcPr>
          <w:p>
            <w:pPr>
              <w:pStyle w:val="180"/>
              <w:rPr>
                <w:rFonts w:hAnsi="宋体"/>
                <w:color w:val="000000" w:themeColor="text1"/>
                <w:szCs w:val="18"/>
                <w14:textFill>
                  <w14:solidFill>
                    <w14:schemeClr w14:val="tx1"/>
                  </w14:solidFill>
                </w14:textFill>
              </w:rPr>
            </w:pPr>
          </w:p>
        </w:tc>
        <w:tc>
          <w:tcPr>
            <w:tcW w:w="1333"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pPr>
              <w:pStyle w:val="180"/>
              <w:numPr>
                <w:ilvl w:val="0"/>
                <w:numId w:val="44"/>
              </w:numPr>
              <w:rPr>
                <w:rFonts w:hAnsi="宋体"/>
                <w:color w:val="000000" w:themeColor="text1"/>
                <w:szCs w:val="18"/>
                <w14:textFill>
                  <w14:solidFill>
                    <w14:schemeClr w14:val="tx1"/>
                  </w14:solidFill>
                </w14:textFill>
              </w:rPr>
            </w:pPr>
          </w:p>
        </w:tc>
        <w:tc>
          <w:tcPr>
            <w:tcW w:w="1966" w:type="dxa"/>
            <w:shd w:val="clear" w:color="auto" w:fill="auto"/>
            <w:vAlign w:val="center"/>
          </w:tcPr>
          <w:p>
            <w:pPr>
              <w:pStyle w:val="180"/>
              <w:rPr>
                <w:rFonts w:hAnsi="宋体"/>
                <w:color w:val="000000" w:themeColor="text1"/>
                <w:szCs w:val="18"/>
                <w14:textFill>
                  <w14:solidFill>
                    <w14:schemeClr w14:val="tx1"/>
                  </w14:solidFill>
                </w14:textFill>
              </w:rPr>
            </w:pPr>
          </w:p>
        </w:tc>
        <w:tc>
          <w:tcPr>
            <w:tcW w:w="1333"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c>
          <w:tcPr>
            <w:tcW w:w="1334" w:type="dxa"/>
            <w:shd w:val="clear" w:color="auto" w:fill="auto"/>
            <w:vAlign w:val="center"/>
          </w:tcPr>
          <w:p>
            <w:pPr>
              <w:pStyle w:val="180"/>
              <w:rPr>
                <w:rFonts w:hAnsi="宋体"/>
                <w:color w:val="000000" w:themeColor="text1"/>
                <w:szCs w:val="18"/>
                <w14:textFill>
                  <w14:solidFill>
                    <w14:schemeClr w14:val="tx1"/>
                  </w14:solidFill>
                </w14:textFill>
              </w:rPr>
            </w:pPr>
          </w:p>
        </w:tc>
      </w:tr>
    </w:tbl>
    <w:p>
      <w:pPr>
        <w:pStyle w:val="58"/>
        <w:ind w:firstLine="560"/>
        <w:rPr>
          <w:color w:val="000000" w:themeColor="text1"/>
          <w:sz w:val="28"/>
          <w:szCs w:val="24"/>
          <w14:textFill>
            <w14:solidFill>
              <w14:schemeClr w14:val="tx1"/>
            </w14:solidFill>
          </w14:textFill>
        </w:rPr>
      </w:pPr>
    </w:p>
    <w:p>
      <w:pPr>
        <w:pStyle w:val="58"/>
        <w:ind w:firstLine="560"/>
        <w:rPr>
          <w:color w:val="000000" w:themeColor="text1"/>
          <w:sz w:val="28"/>
          <w:szCs w:val="24"/>
          <w14:textFill>
            <w14:solidFill>
              <w14:schemeClr w14:val="tx1"/>
            </w14:solidFill>
          </w14:textFill>
        </w:rPr>
      </w:pPr>
    </w:p>
    <w:p>
      <w:pPr>
        <w:pStyle w:val="58"/>
        <w:ind w:firstLine="560"/>
        <w:rPr>
          <w:color w:val="000000" w:themeColor="text1"/>
          <w:sz w:val="28"/>
          <w:szCs w:val="24"/>
          <w14:textFill>
            <w14:solidFill>
              <w14:schemeClr w14:val="tx1"/>
            </w14:solidFill>
          </w14:textFill>
        </w:rPr>
      </w:pPr>
    </w:p>
    <w:p>
      <w:pPr>
        <w:pStyle w:val="58"/>
        <w:ind w:firstLine="560"/>
        <w:rPr>
          <w:color w:val="000000" w:themeColor="text1"/>
          <w:sz w:val="28"/>
          <w:szCs w:val="24"/>
          <w14:textFill>
            <w14:solidFill>
              <w14:schemeClr w14:val="tx1"/>
            </w14:solidFill>
          </w14:textFill>
        </w:rPr>
      </w:pPr>
    </w:p>
    <w:p>
      <w:pPr>
        <w:pStyle w:val="58"/>
        <w:ind w:firstLine="560"/>
        <w:rPr>
          <w:color w:val="000000" w:themeColor="text1"/>
          <w:sz w:val="28"/>
          <w:szCs w:val="24"/>
          <w14:textFill>
            <w14:solidFill>
              <w14:schemeClr w14:val="tx1"/>
            </w14:solidFill>
          </w14:textFill>
        </w:rPr>
      </w:pPr>
    </w:p>
    <w:p>
      <w:pPr>
        <w:pStyle w:val="58"/>
        <w:ind w:firstLine="560"/>
        <w:rPr>
          <w:color w:val="000000" w:themeColor="text1"/>
          <w:sz w:val="28"/>
          <w:szCs w:val="24"/>
          <w14:textFill>
            <w14:solidFill>
              <w14:schemeClr w14:val="tx1"/>
            </w14:solidFill>
          </w14:textFill>
        </w:rPr>
      </w:pPr>
    </w:p>
    <w:p>
      <w:pPr>
        <w:pStyle w:val="58"/>
        <w:ind w:firstLine="560"/>
        <w:rPr>
          <w:color w:val="000000" w:themeColor="text1"/>
          <w:sz w:val="28"/>
          <w:szCs w:val="24"/>
          <w14:textFill>
            <w14:solidFill>
              <w14:schemeClr w14:val="tx1"/>
            </w14:solidFill>
          </w14:textFill>
        </w:rPr>
      </w:pPr>
    </w:p>
    <w:p>
      <w:pPr>
        <w:pStyle w:val="58"/>
        <w:ind w:firstLine="560"/>
        <w:rPr>
          <w:color w:val="000000" w:themeColor="text1"/>
          <w:sz w:val="28"/>
          <w:szCs w:val="24"/>
          <w14:textFill>
            <w14:solidFill>
              <w14:schemeClr w14:val="tx1"/>
            </w14:solidFill>
          </w14:textFill>
        </w:rPr>
      </w:pPr>
    </w:p>
    <w:p>
      <w:pPr>
        <w:pStyle w:val="58"/>
        <w:ind w:firstLine="560"/>
        <w:rPr>
          <w:color w:val="000000" w:themeColor="text1"/>
          <w:sz w:val="28"/>
          <w:szCs w:val="24"/>
          <w14:textFill>
            <w14:solidFill>
              <w14:schemeClr w14:val="tx1"/>
            </w14:solidFill>
          </w14:textFill>
        </w:rPr>
      </w:pPr>
    </w:p>
    <w:p>
      <w:pPr>
        <w:pStyle w:val="58"/>
        <w:ind w:firstLine="560"/>
        <w:rPr>
          <w:color w:val="000000" w:themeColor="text1"/>
          <w:sz w:val="28"/>
          <w:szCs w:val="24"/>
          <w14:textFill>
            <w14:solidFill>
              <w14:schemeClr w14:val="tx1"/>
            </w14:solidFill>
          </w14:textFill>
        </w:rPr>
      </w:pPr>
    </w:p>
    <w:p>
      <w:pPr>
        <w:pStyle w:val="58"/>
        <w:ind w:firstLine="560"/>
        <w:rPr>
          <w:color w:val="000000" w:themeColor="text1"/>
          <w:sz w:val="28"/>
          <w:szCs w:val="24"/>
          <w14:textFill>
            <w14:solidFill>
              <w14:schemeClr w14:val="tx1"/>
            </w14:solidFill>
          </w14:textFill>
        </w:rPr>
      </w:pPr>
    </w:p>
    <w:p>
      <w:pPr>
        <w:pStyle w:val="58"/>
        <w:ind w:firstLine="560"/>
        <w:rPr>
          <w:color w:val="000000" w:themeColor="text1"/>
          <w:sz w:val="28"/>
          <w:szCs w:val="24"/>
          <w14:textFill>
            <w14:solidFill>
              <w14:schemeClr w14:val="tx1"/>
            </w14:solidFill>
          </w14:textFill>
        </w:rPr>
      </w:pPr>
    </w:p>
    <w:p>
      <w:pPr>
        <w:pStyle w:val="58"/>
        <w:ind w:firstLine="560"/>
        <w:rPr>
          <w:color w:val="000000" w:themeColor="text1"/>
          <w:sz w:val="28"/>
          <w:szCs w:val="24"/>
          <w14:textFill>
            <w14:solidFill>
              <w14:schemeClr w14:val="tx1"/>
            </w14:solidFill>
          </w14:textFill>
        </w:rPr>
      </w:pPr>
    </w:p>
    <w:p>
      <w:pPr>
        <w:pStyle w:val="58"/>
        <w:ind w:firstLine="560"/>
        <w:rPr>
          <w:color w:val="000000" w:themeColor="text1"/>
          <w:sz w:val="28"/>
          <w:szCs w:val="24"/>
          <w14:textFill>
            <w14:solidFill>
              <w14:schemeClr w14:val="tx1"/>
            </w14:solidFill>
          </w14:textFill>
        </w:rPr>
        <w:sectPr>
          <w:headerReference r:id="rId27" w:type="default"/>
          <w:footerReference r:id="rId29" w:type="default"/>
          <w:headerReference r:id="rId28" w:type="even"/>
          <w:footerReference r:id="rId30" w:type="even"/>
          <w:pgSz w:w="11906" w:h="16838"/>
          <w:pgMar w:top="2410" w:right="1134" w:bottom="1134" w:left="1134" w:header="1418" w:footer="1134" w:gutter="284"/>
          <w:cols w:space="425" w:num="1"/>
          <w:formProt w:val="0"/>
          <w:docGrid w:type="lines" w:linePitch="312" w:charSpace="0"/>
        </w:sectPr>
      </w:pPr>
    </w:p>
    <w:p>
      <w:pPr>
        <w:pStyle w:val="200"/>
        <w:numPr>
          <w:ilvl w:val="0"/>
          <w:numId w:val="0"/>
        </w:numPr>
        <w:rPr>
          <w:vanish w:val="0"/>
        </w:rPr>
      </w:pPr>
    </w:p>
    <w:p>
      <w:pPr>
        <w:pStyle w:val="201"/>
        <w:numPr>
          <w:ilvl w:val="0"/>
          <w:numId w:val="0"/>
        </w:numPr>
        <w:rPr>
          <w:vanish w:val="0"/>
        </w:rPr>
      </w:pPr>
    </w:p>
    <w:p>
      <w:pPr>
        <w:pStyle w:val="78"/>
        <w:spacing w:before="78" w:after="156"/>
      </w:pPr>
      <w:r>
        <w:br w:type="textWrapping"/>
      </w:r>
      <w:bookmarkStart w:id="249" w:name="_Toc167289353"/>
      <w:bookmarkStart w:id="250" w:name="_Toc160544801"/>
      <w:bookmarkStart w:id="251" w:name="_Toc158298192"/>
      <w:bookmarkStart w:id="252" w:name="_Toc170827899"/>
      <w:bookmarkStart w:id="253" w:name="_Toc171604872"/>
      <w:bookmarkStart w:id="254" w:name="_Toc171675725"/>
      <w:bookmarkStart w:id="255" w:name="_Toc158298587"/>
      <w:r>
        <w:rPr>
          <w:rFonts w:hint="eastAsia"/>
        </w:rPr>
        <w:t>（资料性）</w:t>
      </w:r>
      <w:r>
        <w:br w:type="textWrapping"/>
      </w:r>
      <w:r>
        <w:rPr>
          <w:rFonts w:hint="eastAsia"/>
        </w:rPr>
        <w:t>因子编码及安装位置</w:t>
      </w:r>
      <w:bookmarkEnd w:id="249"/>
      <w:bookmarkEnd w:id="250"/>
      <w:bookmarkEnd w:id="251"/>
      <w:bookmarkEnd w:id="252"/>
      <w:bookmarkEnd w:id="253"/>
      <w:bookmarkEnd w:id="254"/>
      <w:bookmarkEnd w:id="255"/>
    </w:p>
    <w:p>
      <w:pPr>
        <w:pStyle w:val="114"/>
        <w:numPr>
          <w:ilvl w:val="0"/>
          <w:numId w:val="0"/>
        </w:numPr>
        <w:spacing w:before="156" w:after="156"/>
      </w:pPr>
      <w:r>
        <w:rPr>
          <w:rFonts w:hint="eastAsia"/>
          <w:highlight w:val="lightGray"/>
        </w:rPr>
        <w:t>表</w:t>
      </w:r>
      <w:r>
        <w:rPr>
          <w:rFonts w:hint="eastAsia"/>
        </w:rPr>
        <w:t>B</w:t>
      </w:r>
      <w:r>
        <w:t>.1</w:t>
      </w:r>
      <w:r>
        <w:rPr>
          <w:rFonts w:hint="eastAsia"/>
        </w:rPr>
        <w:t>涉VOCs排污单位过程在线监控（工况监控）因子编码及安装位置</w:t>
      </w:r>
    </w:p>
    <w:p>
      <w:pPr>
        <w:pStyle w:val="200"/>
        <w:numPr>
          <w:ilvl w:val="0"/>
          <w:numId w:val="0"/>
        </w:numPr>
        <w:jc w:val="both"/>
        <w:rPr>
          <w:vanish w:val="0"/>
        </w:rPr>
      </w:pP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57"/>
        <w:gridCol w:w="1418"/>
        <w:gridCol w:w="992"/>
        <w:gridCol w:w="2835"/>
        <w:gridCol w:w="1701"/>
        <w:gridCol w:w="18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57" w:type="dxa"/>
            <w:tcBorders>
              <w:top w:val="single" w:color="auto" w:sz="8" w:space="0"/>
              <w:bottom w:val="single" w:color="auto" w:sz="8" w:space="0"/>
            </w:tcBorders>
            <w:shd w:val="clear" w:color="auto" w:fill="auto"/>
          </w:tcPr>
          <w:p>
            <w:pPr>
              <w:pStyle w:val="180"/>
              <w:rPr>
                <w:rFonts w:hAnsi="宋体"/>
                <w:szCs w:val="18"/>
              </w:rPr>
            </w:pPr>
            <w:r>
              <w:rPr>
                <w:rFonts w:hint="eastAsia" w:hAnsi="宋体"/>
                <w:szCs w:val="18"/>
              </w:rPr>
              <w:t>序号</w:t>
            </w:r>
          </w:p>
        </w:tc>
        <w:tc>
          <w:tcPr>
            <w:tcW w:w="1418" w:type="dxa"/>
            <w:tcBorders>
              <w:top w:val="single" w:color="auto" w:sz="8" w:space="0"/>
              <w:bottom w:val="single" w:color="auto" w:sz="8" w:space="0"/>
            </w:tcBorders>
            <w:shd w:val="clear" w:color="auto" w:fill="auto"/>
          </w:tcPr>
          <w:p>
            <w:pPr>
              <w:pStyle w:val="180"/>
              <w:rPr>
                <w:rFonts w:hAnsi="宋体"/>
                <w:szCs w:val="18"/>
              </w:rPr>
            </w:pPr>
            <w:r>
              <w:rPr>
                <w:rFonts w:hint="eastAsia" w:hAnsi="宋体"/>
                <w:szCs w:val="18"/>
              </w:rPr>
              <w:t>工段、工艺</w:t>
            </w:r>
          </w:p>
        </w:tc>
        <w:tc>
          <w:tcPr>
            <w:tcW w:w="992" w:type="dxa"/>
            <w:tcBorders>
              <w:top w:val="single" w:color="auto" w:sz="8" w:space="0"/>
              <w:bottom w:val="single" w:color="auto" w:sz="8" w:space="0"/>
            </w:tcBorders>
            <w:shd w:val="clear" w:color="auto" w:fill="auto"/>
          </w:tcPr>
          <w:p>
            <w:pPr>
              <w:pStyle w:val="180"/>
              <w:rPr>
                <w:rFonts w:hAnsi="宋体"/>
                <w:szCs w:val="18"/>
              </w:rPr>
            </w:pPr>
            <w:r>
              <w:rPr>
                <w:rFonts w:hint="eastAsia" w:hAnsi="宋体"/>
                <w:szCs w:val="18"/>
              </w:rPr>
              <w:t>因子编码</w:t>
            </w:r>
          </w:p>
        </w:tc>
        <w:tc>
          <w:tcPr>
            <w:tcW w:w="2835" w:type="dxa"/>
            <w:tcBorders>
              <w:top w:val="single" w:color="auto" w:sz="8" w:space="0"/>
              <w:bottom w:val="single" w:color="auto" w:sz="8" w:space="0"/>
            </w:tcBorders>
            <w:shd w:val="clear" w:color="auto" w:fill="auto"/>
          </w:tcPr>
          <w:p>
            <w:pPr>
              <w:pStyle w:val="180"/>
              <w:rPr>
                <w:rFonts w:hAnsi="宋体"/>
                <w:szCs w:val="18"/>
              </w:rPr>
            </w:pPr>
            <w:r>
              <w:rPr>
                <w:rFonts w:hint="eastAsia" w:hAnsi="宋体"/>
                <w:szCs w:val="18"/>
              </w:rPr>
              <w:t>重点行业</w:t>
            </w:r>
          </w:p>
        </w:tc>
        <w:tc>
          <w:tcPr>
            <w:tcW w:w="1701" w:type="dxa"/>
            <w:tcBorders>
              <w:top w:val="single" w:color="auto" w:sz="8" w:space="0"/>
              <w:bottom w:val="single" w:color="auto" w:sz="8" w:space="0"/>
            </w:tcBorders>
            <w:shd w:val="clear" w:color="auto" w:fill="auto"/>
            <w:vAlign w:val="center"/>
          </w:tcPr>
          <w:p>
            <w:pPr>
              <w:pStyle w:val="180"/>
              <w:rPr>
                <w:rFonts w:hAnsi="宋体"/>
                <w:szCs w:val="18"/>
              </w:rPr>
            </w:pPr>
            <w:r>
              <w:rPr>
                <w:rFonts w:hint="eastAsia" w:hAnsi="宋体"/>
                <w:szCs w:val="18"/>
              </w:rPr>
              <w:t>监控参数</w:t>
            </w:r>
          </w:p>
        </w:tc>
        <w:tc>
          <w:tcPr>
            <w:tcW w:w="1831" w:type="dxa"/>
            <w:tcBorders>
              <w:top w:val="single" w:color="auto" w:sz="8" w:space="0"/>
              <w:bottom w:val="single" w:color="auto" w:sz="8" w:space="0"/>
            </w:tcBorders>
            <w:shd w:val="clear" w:color="auto" w:fill="auto"/>
            <w:vAlign w:val="center"/>
          </w:tcPr>
          <w:p>
            <w:pPr>
              <w:pStyle w:val="180"/>
              <w:rPr>
                <w:rFonts w:hAnsi="宋体"/>
                <w:szCs w:val="18"/>
              </w:rPr>
            </w:pPr>
            <w:r>
              <w:rPr>
                <w:rFonts w:hint="eastAsia" w:hAnsi="宋体"/>
                <w:szCs w:val="18"/>
              </w:rPr>
              <w:t>安装位置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Borders>
              <w:top w:val="single" w:color="auto" w:sz="8" w:space="0"/>
            </w:tcBorders>
            <w:shd w:val="clear" w:color="auto" w:fill="auto"/>
          </w:tcPr>
          <w:p>
            <w:pPr>
              <w:pStyle w:val="180"/>
              <w:spacing w:line="240" w:lineRule="atLeast"/>
              <w:rPr>
                <w:rFonts w:hAnsi="宋体"/>
                <w:szCs w:val="18"/>
              </w:rPr>
            </w:pPr>
            <w:r>
              <w:rPr>
                <w:rFonts w:hint="eastAsia" w:hAnsi="宋体"/>
                <w:szCs w:val="18"/>
              </w:rPr>
              <w:t>1</w:t>
            </w:r>
          </w:p>
        </w:tc>
        <w:tc>
          <w:tcPr>
            <w:tcW w:w="1418" w:type="dxa"/>
            <w:tcBorders>
              <w:top w:val="single" w:color="auto" w:sz="8" w:space="0"/>
            </w:tcBorders>
            <w:shd w:val="clear" w:color="auto" w:fill="auto"/>
            <w:vAlign w:val="center"/>
          </w:tcPr>
          <w:p>
            <w:pPr>
              <w:pStyle w:val="180"/>
              <w:spacing w:line="240" w:lineRule="atLeast"/>
              <w:rPr>
                <w:rFonts w:hAnsi="宋体"/>
                <w:szCs w:val="18"/>
              </w:rPr>
            </w:pPr>
            <w:r>
              <w:rPr>
                <w:rFonts w:hint="eastAsia" w:hAnsi="宋体"/>
                <w:szCs w:val="18"/>
              </w:rPr>
              <w:t>产污工段</w:t>
            </w:r>
          </w:p>
        </w:tc>
        <w:tc>
          <w:tcPr>
            <w:tcW w:w="992" w:type="dxa"/>
            <w:tcBorders>
              <w:top w:val="single" w:color="auto" w:sz="8" w:space="0"/>
            </w:tcBorders>
            <w:shd w:val="clear" w:color="auto" w:fill="auto"/>
            <w:vAlign w:val="center"/>
          </w:tcPr>
          <w:p>
            <w:pPr>
              <w:pStyle w:val="180"/>
              <w:spacing w:line="240" w:lineRule="atLeast"/>
              <w:rPr>
                <w:rFonts w:hAnsi="宋体"/>
                <w:szCs w:val="18"/>
              </w:rPr>
            </w:pPr>
            <w:r>
              <w:rPr>
                <w:rFonts w:hint="eastAsia" w:hAnsi="宋体"/>
                <w:szCs w:val="18"/>
              </w:rPr>
              <w:t>g701xx</w:t>
            </w:r>
          </w:p>
        </w:tc>
        <w:tc>
          <w:tcPr>
            <w:tcW w:w="2835" w:type="dxa"/>
            <w:tcBorders>
              <w:top w:val="single" w:color="auto" w:sz="8" w:space="0"/>
            </w:tcBorders>
            <w:shd w:val="clear" w:color="auto" w:fill="auto"/>
          </w:tcPr>
          <w:p>
            <w:pPr>
              <w:pStyle w:val="180"/>
              <w:spacing w:line="240" w:lineRule="atLeast"/>
              <w:rPr>
                <w:rFonts w:hAnsi="宋体"/>
                <w:szCs w:val="18"/>
              </w:rPr>
            </w:pPr>
            <w:r>
              <w:rPr>
                <w:rFonts w:hint="eastAsia" w:hAnsi="宋体"/>
                <w:szCs w:val="18"/>
              </w:rPr>
              <w:t>-</w:t>
            </w:r>
          </w:p>
        </w:tc>
        <w:tc>
          <w:tcPr>
            <w:tcW w:w="1701" w:type="dxa"/>
            <w:tcBorders>
              <w:top w:val="single" w:color="auto" w:sz="8" w:space="0"/>
            </w:tcBorders>
            <w:shd w:val="clear" w:color="auto" w:fill="auto"/>
            <w:vAlign w:val="center"/>
          </w:tcPr>
          <w:p>
            <w:pPr>
              <w:pStyle w:val="180"/>
              <w:spacing w:line="240" w:lineRule="atLeast"/>
              <w:rPr>
                <w:rFonts w:hAnsi="宋体"/>
                <w:szCs w:val="18"/>
              </w:rPr>
            </w:pPr>
            <w:r>
              <w:rPr>
                <w:rFonts w:hint="eastAsia" w:hAnsi="宋体"/>
                <w:szCs w:val="18"/>
              </w:rPr>
              <w:t>产污设施运行电流</w:t>
            </w:r>
          </w:p>
        </w:tc>
        <w:tc>
          <w:tcPr>
            <w:tcW w:w="1831" w:type="dxa"/>
            <w:tcBorders>
              <w:top w:val="single" w:color="auto" w:sz="8" w:space="0"/>
            </w:tcBorders>
            <w:shd w:val="clear" w:color="auto" w:fill="auto"/>
            <w:vAlign w:val="center"/>
          </w:tcPr>
          <w:p>
            <w:pPr>
              <w:pStyle w:val="180"/>
              <w:spacing w:line="240" w:lineRule="atLeast"/>
              <w:rPr>
                <w:rFonts w:hAnsi="宋体"/>
                <w:szCs w:val="18"/>
              </w:rPr>
            </w:pPr>
            <w:r>
              <w:rPr>
                <w:rFonts w:hint="eastAsia" w:hAnsi="宋体"/>
                <w:szCs w:val="18"/>
              </w:rPr>
              <w:t>产污设施配电箱内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tcPr>
          <w:p>
            <w:pPr>
              <w:pStyle w:val="180"/>
              <w:spacing w:line="240" w:lineRule="atLeast"/>
              <w:rPr>
                <w:rFonts w:hAnsi="宋体"/>
                <w:szCs w:val="18"/>
              </w:rPr>
            </w:pPr>
            <w:r>
              <w:rPr>
                <w:rFonts w:hAnsi="宋体"/>
                <w:szCs w:val="18"/>
              </w:rPr>
              <w:t>2</w:t>
            </w:r>
          </w:p>
        </w:tc>
        <w:tc>
          <w:tcPr>
            <w:tcW w:w="1418" w:type="dxa"/>
            <w:shd w:val="clear" w:color="auto" w:fill="auto"/>
            <w:vAlign w:val="center"/>
          </w:tcPr>
          <w:p>
            <w:pPr>
              <w:pStyle w:val="180"/>
              <w:spacing w:line="240" w:lineRule="atLeast"/>
              <w:rPr>
                <w:rFonts w:hAnsi="宋体"/>
                <w:szCs w:val="18"/>
              </w:rPr>
            </w:pPr>
            <w:r>
              <w:rPr>
                <w:rFonts w:hint="eastAsia" w:hAnsi="宋体"/>
                <w:szCs w:val="18"/>
              </w:rPr>
              <w:t>废气收集工段</w:t>
            </w:r>
          </w:p>
        </w:tc>
        <w:tc>
          <w:tcPr>
            <w:tcW w:w="992" w:type="dxa"/>
            <w:shd w:val="clear" w:color="auto" w:fill="auto"/>
            <w:vAlign w:val="center"/>
          </w:tcPr>
          <w:p>
            <w:pPr>
              <w:pStyle w:val="180"/>
              <w:spacing w:line="240" w:lineRule="atLeast"/>
              <w:rPr>
                <w:rFonts w:hAnsi="宋体"/>
                <w:szCs w:val="18"/>
              </w:rPr>
            </w:pPr>
            <w:r>
              <w:rPr>
                <w:rFonts w:hint="eastAsia" w:hAnsi="宋体"/>
                <w:szCs w:val="18"/>
              </w:rPr>
              <w:t>g702xx</w:t>
            </w:r>
          </w:p>
        </w:tc>
        <w:tc>
          <w:tcPr>
            <w:tcW w:w="2835" w:type="dxa"/>
            <w:shd w:val="clear" w:color="auto" w:fill="auto"/>
          </w:tcPr>
          <w:p>
            <w:pPr>
              <w:pStyle w:val="180"/>
              <w:spacing w:line="240" w:lineRule="atLeast"/>
              <w:rPr>
                <w:rFonts w:hAnsi="宋体"/>
                <w:szCs w:val="18"/>
              </w:rPr>
            </w:pPr>
            <w:r>
              <w:rPr>
                <w:rFonts w:hint="eastAsia" w:hAnsi="宋体"/>
                <w:szCs w:val="18"/>
              </w:rPr>
              <w:t>-</w:t>
            </w:r>
          </w:p>
        </w:tc>
        <w:tc>
          <w:tcPr>
            <w:tcW w:w="1701" w:type="dxa"/>
            <w:shd w:val="clear" w:color="auto" w:fill="auto"/>
            <w:vAlign w:val="center"/>
          </w:tcPr>
          <w:p>
            <w:pPr>
              <w:pStyle w:val="180"/>
              <w:spacing w:line="240" w:lineRule="atLeast"/>
              <w:rPr>
                <w:rFonts w:hAnsi="宋体"/>
                <w:szCs w:val="18"/>
              </w:rPr>
            </w:pPr>
            <w:r>
              <w:rPr>
                <w:rFonts w:hint="eastAsia" w:hAnsi="宋体"/>
                <w:szCs w:val="18"/>
              </w:rPr>
              <w:t>收集风机运行电流</w:t>
            </w:r>
          </w:p>
        </w:tc>
        <w:tc>
          <w:tcPr>
            <w:tcW w:w="1831" w:type="dxa"/>
            <w:shd w:val="clear" w:color="auto" w:fill="auto"/>
            <w:vAlign w:val="center"/>
          </w:tcPr>
          <w:p>
            <w:pPr>
              <w:pStyle w:val="180"/>
              <w:spacing w:line="240" w:lineRule="atLeast"/>
              <w:rPr>
                <w:rFonts w:hAnsi="宋体"/>
                <w:szCs w:val="18"/>
              </w:rPr>
            </w:pPr>
            <w:r>
              <w:rPr>
                <w:rFonts w:hint="eastAsia" w:hAnsi="宋体"/>
                <w:szCs w:val="18"/>
              </w:rPr>
              <w:t>收集风机配电箱内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tcPr>
          <w:p>
            <w:pPr>
              <w:pStyle w:val="180"/>
              <w:spacing w:line="240" w:lineRule="atLeast"/>
              <w:rPr>
                <w:rFonts w:hAnsi="宋体"/>
                <w:szCs w:val="18"/>
              </w:rPr>
            </w:pPr>
            <w:r>
              <w:rPr>
                <w:rFonts w:hint="eastAsia" w:hAnsi="宋体"/>
                <w:szCs w:val="18"/>
              </w:rPr>
              <w:t>3</w:t>
            </w:r>
          </w:p>
        </w:tc>
        <w:tc>
          <w:tcPr>
            <w:tcW w:w="1418" w:type="dxa"/>
            <w:shd w:val="clear" w:color="auto" w:fill="auto"/>
            <w:vAlign w:val="center"/>
          </w:tcPr>
          <w:p>
            <w:pPr>
              <w:pStyle w:val="180"/>
              <w:spacing w:line="240" w:lineRule="atLeast"/>
              <w:rPr>
                <w:rFonts w:hAnsi="宋体"/>
                <w:szCs w:val="18"/>
              </w:rPr>
            </w:pPr>
            <w:r>
              <w:rPr>
                <w:rFonts w:hint="eastAsia" w:hAnsi="宋体"/>
                <w:szCs w:val="18"/>
              </w:rPr>
              <w:t>活性炭吸附（含其他吸附材料）</w:t>
            </w:r>
          </w:p>
        </w:tc>
        <w:tc>
          <w:tcPr>
            <w:tcW w:w="992" w:type="dxa"/>
            <w:shd w:val="clear" w:color="auto" w:fill="auto"/>
            <w:vAlign w:val="center"/>
          </w:tcPr>
          <w:p>
            <w:pPr>
              <w:pStyle w:val="180"/>
              <w:spacing w:line="240" w:lineRule="atLeast"/>
              <w:rPr>
                <w:rFonts w:hAnsi="宋体"/>
                <w:szCs w:val="18"/>
              </w:rPr>
            </w:pPr>
            <w:r>
              <w:rPr>
                <w:rFonts w:hint="eastAsia" w:hAnsi="宋体"/>
                <w:szCs w:val="18"/>
              </w:rPr>
              <w:t>g703xx</w:t>
            </w:r>
          </w:p>
        </w:tc>
        <w:tc>
          <w:tcPr>
            <w:tcW w:w="2835" w:type="dxa"/>
            <w:shd w:val="clear" w:color="auto" w:fill="auto"/>
          </w:tcPr>
          <w:p>
            <w:pPr>
              <w:pStyle w:val="180"/>
              <w:spacing w:line="240" w:lineRule="atLeast"/>
              <w:jc w:val="left"/>
              <w:rPr>
                <w:rFonts w:hAnsi="宋体"/>
                <w:szCs w:val="18"/>
              </w:rPr>
            </w:pPr>
            <w:r>
              <w:rPr>
                <w:rFonts w:hint="eastAsia" w:hAnsi="宋体"/>
                <w:szCs w:val="18"/>
              </w:rPr>
              <w:t>纺织后整理、印刷、毛刷、油漆等</w:t>
            </w:r>
          </w:p>
        </w:tc>
        <w:tc>
          <w:tcPr>
            <w:tcW w:w="1701" w:type="dxa"/>
            <w:shd w:val="clear" w:color="auto" w:fill="auto"/>
            <w:vAlign w:val="center"/>
          </w:tcPr>
          <w:p>
            <w:pPr>
              <w:pStyle w:val="180"/>
              <w:spacing w:line="240" w:lineRule="atLeast"/>
              <w:rPr>
                <w:rFonts w:hAnsi="宋体"/>
                <w:szCs w:val="18"/>
              </w:rPr>
            </w:pPr>
            <w:r>
              <w:rPr>
                <w:rFonts w:hint="eastAsia" w:hAnsi="宋体"/>
                <w:szCs w:val="18"/>
              </w:rPr>
              <w:t>活性炭（其他填料）更换音频</w:t>
            </w:r>
          </w:p>
        </w:tc>
        <w:tc>
          <w:tcPr>
            <w:tcW w:w="1831" w:type="dxa"/>
            <w:shd w:val="clear" w:color="auto" w:fill="auto"/>
            <w:vAlign w:val="center"/>
          </w:tcPr>
          <w:p>
            <w:pPr>
              <w:pStyle w:val="180"/>
              <w:spacing w:line="240" w:lineRule="atLeast"/>
              <w:rPr>
                <w:rFonts w:hAnsi="宋体"/>
                <w:szCs w:val="18"/>
              </w:rPr>
            </w:pPr>
            <w:r>
              <w:rPr>
                <w:rFonts w:hint="eastAsia" w:hAnsi="宋体"/>
                <w:szCs w:val="18"/>
              </w:rPr>
              <w:t>能够覆盖活性炭箱全貌画面的安全位置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180"/>
              <w:spacing w:line="240" w:lineRule="atLeast"/>
              <w:rPr>
                <w:rFonts w:hAnsi="宋体"/>
                <w:szCs w:val="18"/>
              </w:rPr>
            </w:pPr>
            <w:r>
              <w:rPr>
                <w:rFonts w:hint="eastAsia" w:hAnsi="宋体"/>
                <w:szCs w:val="18"/>
              </w:rPr>
              <w:t>4</w:t>
            </w:r>
          </w:p>
        </w:tc>
        <w:tc>
          <w:tcPr>
            <w:tcW w:w="1418" w:type="dxa"/>
            <w:shd w:val="clear" w:color="auto" w:fill="auto"/>
            <w:vAlign w:val="center"/>
          </w:tcPr>
          <w:p>
            <w:pPr>
              <w:pStyle w:val="180"/>
              <w:spacing w:line="240" w:lineRule="atLeast"/>
              <w:rPr>
                <w:rFonts w:hAnsi="宋体"/>
                <w:szCs w:val="18"/>
              </w:rPr>
            </w:pPr>
            <w:r>
              <w:rPr>
                <w:rFonts w:hint="eastAsia" w:hAnsi="宋体"/>
                <w:szCs w:val="18"/>
              </w:rPr>
              <w:t>活性炭脱附（含其他吸附材料）</w:t>
            </w:r>
          </w:p>
        </w:tc>
        <w:tc>
          <w:tcPr>
            <w:tcW w:w="992" w:type="dxa"/>
            <w:shd w:val="clear" w:color="auto" w:fill="auto"/>
            <w:vAlign w:val="center"/>
          </w:tcPr>
          <w:p>
            <w:pPr>
              <w:pStyle w:val="180"/>
              <w:spacing w:line="240" w:lineRule="atLeast"/>
              <w:rPr>
                <w:rFonts w:hAnsi="宋体"/>
                <w:szCs w:val="18"/>
              </w:rPr>
            </w:pPr>
            <w:r>
              <w:rPr>
                <w:rFonts w:hint="eastAsia" w:hAnsi="宋体"/>
                <w:szCs w:val="18"/>
              </w:rPr>
              <w:t>g704xx</w:t>
            </w:r>
          </w:p>
        </w:tc>
        <w:tc>
          <w:tcPr>
            <w:tcW w:w="2835" w:type="dxa"/>
            <w:shd w:val="clear" w:color="auto" w:fill="auto"/>
          </w:tcPr>
          <w:p>
            <w:pPr>
              <w:pStyle w:val="180"/>
              <w:spacing w:line="240" w:lineRule="atLeast"/>
              <w:jc w:val="left"/>
              <w:rPr>
                <w:rFonts w:hAnsi="宋体"/>
                <w:szCs w:val="18"/>
              </w:rPr>
            </w:pPr>
            <w:r>
              <w:rPr>
                <w:rFonts w:hint="eastAsia" w:hAnsi="宋体"/>
                <w:szCs w:val="18"/>
              </w:rPr>
              <w:t>纺织后整理、印刷、毛刷、油漆等</w:t>
            </w:r>
          </w:p>
        </w:tc>
        <w:tc>
          <w:tcPr>
            <w:tcW w:w="1701" w:type="dxa"/>
            <w:shd w:val="clear" w:color="auto" w:fill="auto"/>
            <w:vAlign w:val="center"/>
          </w:tcPr>
          <w:p>
            <w:pPr>
              <w:pStyle w:val="180"/>
              <w:spacing w:line="240" w:lineRule="atLeast"/>
              <w:rPr>
                <w:rFonts w:hAnsi="宋体"/>
                <w:szCs w:val="18"/>
              </w:rPr>
            </w:pPr>
            <w:r>
              <w:rPr>
                <w:rFonts w:hint="eastAsia" w:hAnsi="宋体"/>
                <w:szCs w:val="18"/>
              </w:rPr>
              <w:t>脱附风机电流、加热器电流</w:t>
            </w:r>
          </w:p>
        </w:tc>
        <w:tc>
          <w:tcPr>
            <w:tcW w:w="1831" w:type="dxa"/>
            <w:shd w:val="clear" w:color="auto" w:fill="auto"/>
            <w:vAlign w:val="center"/>
          </w:tcPr>
          <w:p>
            <w:pPr>
              <w:pStyle w:val="180"/>
              <w:spacing w:line="240" w:lineRule="atLeast"/>
              <w:rPr>
                <w:rFonts w:hAnsi="宋体"/>
                <w:szCs w:val="18"/>
              </w:rPr>
            </w:pPr>
            <w:r>
              <w:rPr>
                <w:rFonts w:hint="eastAsia" w:hAnsi="宋体"/>
                <w:szCs w:val="18"/>
              </w:rPr>
              <w:t>治理设施配电柜内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180"/>
              <w:spacing w:line="240" w:lineRule="atLeast"/>
              <w:rPr>
                <w:rFonts w:hAnsi="宋体"/>
                <w:szCs w:val="18"/>
              </w:rPr>
            </w:pPr>
            <w:r>
              <w:rPr>
                <w:rFonts w:hAnsi="宋体"/>
                <w:szCs w:val="18"/>
              </w:rPr>
              <w:br w:type="page"/>
            </w:r>
            <w:r>
              <w:rPr>
                <w:rFonts w:hint="eastAsia" w:hAnsi="宋体"/>
                <w:szCs w:val="18"/>
              </w:rPr>
              <w:t>5</w:t>
            </w:r>
          </w:p>
        </w:tc>
        <w:tc>
          <w:tcPr>
            <w:tcW w:w="1418" w:type="dxa"/>
            <w:shd w:val="clear" w:color="auto" w:fill="auto"/>
            <w:vAlign w:val="center"/>
          </w:tcPr>
          <w:p>
            <w:pPr>
              <w:pStyle w:val="180"/>
              <w:spacing w:line="240" w:lineRule="atLeast"/>
              <w:rPr>
                <w:rFonts w:hAnsi="宋体"/>
                <w:szCs w:val="18"/>
              </w:rPr>
            </w:pPr>
            <w:r>
              <w:rPr>
                <w:rFonts w:hint="eastAsia" w:hAnsi="宋体"/>
                <w:szCs w:val="18"/>
              </w:rPr>
              <w:t>高压静电</w:t>
            </w:r>
          </w:p>
        </w:tc>
        <w:tc>
          <w:tcPr>
            <w:tcW w:w="992" w:type="dxa"/>
            <w:shd w:val="clear" w:color="auto" w:fill="auto"/>
            <w:vAlign w:val="center"/>
          </w:tcPr>
          <w:p>
            <w:pPr>
              <w:pStyle w:val="180"/>
              <w:spacing w:line="240" w:lineRule="atLeast"/>
              <w:rPr>
                <w:rFonts w:hAnsi="宋体"/>
                <w:szCs w:val="18"/>
              </w:rPr>
            </w:pPr>
            <w:r>
              <w:rPr>
                <w:rFonts w:hint="eastAsia" w:hAnsi="宋体"/>
                <w:szCs w:val="18"/>
              </w:rPr>
              <w:t>g705xx</w:t>
            </w:r>
          </w:p>
        </w:tc>
        <w:tc>
          <w:tcPr>
            <w:tcW w:w="2835" w:type="dxa"/>
            <w:shd w:val="clear" w:color="auto" w:fill="auto"/>
          </w:tcPr>
          <w:p>
            <w:pPr>
              <w:pStyle w:val="180"/>
              <w:spacing w:line="240" w:lineRule="atLeast"/>
              <w:jc w:val="left"/>
              <w:rPr>
                <w:rFonts w:hAnsi="宋体"/>
                <w:szCs w:val="18"/>
              </w:rPr>
            </w:pPr>
            <w:r>
              <w:rPr>
                <w:rFonts w:hint="eastAsia" w:hAnsi="宋体"/>
                <w:szCs w:val="18"/>
              </w:rPr>
              <w:t>印染和定型、产业用布、纺织后整理、橡胶、塑料、涂装、餐饮等</w:t>
            </w:r>
          </w:p>
        </w:tc>
        <w:tc>
          <w:tcPr>
            <w:tcW w:w="1701" w:type="dxa"/>
            <w:shd w:val="clear" w:color="auto" w:fill="auto"/>
            <w:vAlign w:val="center"/>
          </w:tcPr>
          <w:p>
            <w:pPr>
              <w:pStyle w:val="180"/>
              <w:spacing w:line="240" w:lineRule="atLeast"/>
              <w:rPr>
                <w:rFonts w:hAnsi="宋体"/>
                <w:szCs w:val="18"/>
              </w:rPr>
            </w:pPr>
            <w:r>
              <w:rPr>
                <w:rFonts w:hint="eastAsia" w:hAnsi="宋体"/>
                <w:szCs w:val="18"/>
              </w:rPr>
              <w:t>静电设施运行电流</w:t>
            </w:r>
          </w:p>
        </w:tc>
        <w:tc>
          <w:tcPr>
            <w:tcW w:w="1831" w:type="dxa"/>
            <w:shd w:val="clear" w:color="auto" w:fill="auto"/>
            <w:vAlign w:val="center"/>
          </w:tcPr>
          <w:p>
            <w:pPr>
              <w:pStyle w:val="180"/>
              <w:spacing w:line="240" w:lineRule="atLeast"/>
              <w:rPr>
                <w:rFonts w:hAnsi="宋体"/>
                <w:szCs w:val="18"/>
              </w:rPr>
            </w:pPr>
            <w:r>
              <w:rPr>
                <w:rFonts w:hint="eastAsia" w:hAnsi="宋体"/>
                <w:szCs w:val="18"/>
              </w:rPr>
              <w:t>治理设施配电柜内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180"/>
              <w:spacing w:line="240" w:lineRule="atLeast"/>
              <w:rPr>
                <w:rFonts w:hAnsi="宋体"/>
                <w:szCs w:val="18"/>
              </w:rPr>
            </w:pPr>
            <w:r>
              <w:rPr>
                <w:rFonts w:hint="eastAsia" w:hAnsi="宋体"/>
                <w:szCs w:val="18"/>
              </w:rPr>
              <w:t>6</w:t>
            </w:r>
          </w:p>
        </w:tc>
        <w:tc>
          <w:tcPr>
            <w:tcW w:w="1418" w:type="dxa"/>
            <w:shd w:val="clear" w:color="auto" w:fill="auto"/>
            <w:vAlign w:val="center"/>
          </w:tcPr>
          <w:p>
            <w:pPr>
              <w:pStyle w:val="180"/>
              <w:spacing w:line="240" w:lineRule="atLeast"/>
              <w:rPr>
                <w:rFonts w:hAnsi="宋体"/>
                <w:szCs w:val="18"/>
              </w:rPr>
            </w:pPr>
            <w:r>
              <w:rPr>
                <w:rFonts w:hint="eastAsia" w:hAnsi="宋体"/>
                <w:szCs w:val="18"/>
              </w:rPr>
              <w:t>低温等离子</w:t>
            </w:r>
          </w:p>
        </w:tc>
        <w:tc>
          <w:tcPr>
            <w:tcW w:w="992" w:type="dxa"/>
            <w:shd w:val="clear" w:color="auto" w:fill="auto"/>
            <w:vAlign w:val="center"/>
          </w:tcPr>
          <w:p>
            <w:pPr>
              <w:pStyle w:val="180"/>
              <w:spacing w:line="240" w:lineRule="atLeast"/>
              <w:rPr>
                <w:rFonts w:hAnsi="宋体"/>
                <w:szCs w:val="18"/>
              </w:rPr>
            </w:pPr>
            <w:r>
              <w:rPr>
                <w:rFonts w:hint="eastAsia" w:hAnsi="宋体"/>
                <w:szCs w:val="18"/>
              </w:rPr>
              <w:t>g706xx</w:t>
            </w:r>
          </w:p>
        </w:tc>
        <w:tc>
          <w:tcPr>
            <w:tcW w:w="2835" w:type="dxa"/>
            <w:shd w:val="clear" w:color="auto" w:fill="auto"/>
          </w:tcPr>
          <w:p>
            <w:pPr>
              <w:pStyle w:val="180"/>
              <w:spacing w:line="240" w:lineRule="atLeast"/>
              <w:jc w:val="left"/>
              <w:rPr>
                <w:rFonts w:hAnsi="宋体"/>
                <w:szCs w:val="18"/>
              </w:rPr>
            </w:pPr>
            <w:r>
              <w:rPr>
                <w:rFonts w:hint="eastAsia" w:hAnsi="宋体"/>
                <w:szCs w:val="18"/>
              </w:rPr>
              <w:t>纺织后整理、印刷、橡胶、毛刷、造纸、化工、医药、油漆、皮革、食品、餐饮、垃圾处理等</w:t>
            </w:r>
          </w:p>
        </w:tc>
        <w:tc>
          <w:tcPr>
            <w:tcW w:w="1701" w:type="dxa"/>
            <w:shd w:val="clear" w:color="auto" w:fill="auto"/>
            <w:vAlign w:val="center"/>
          </w:tcPr>
          <w:p>
            <w:pPr>
              <w:pStyle w:val="180"/>
              <w:spacing w:line="240" w:lineRule="atLeast"/>
              <w:rPr>
                <w:rFonts w:hAnsi="宋体"/>
                <w:szCs w:val="18"/>
              </w:rPr>
            </w:pPr>
            <w:r>
              <w:rPr>
                <w:rFonts w:hint="eastAsia" w:hAnsi="宋体"/>
                <w:szCs w:val="18"/>
              </w:rPr>
              <w:t>低温等离子运行电流</w:t>
            </w:r>
          </w:p>
        </w:tc>
        <w:tc>
          <w:tcPr>
            <w:tcW w:w="1831" w:type="dxa"/>
            <w:shd w:val="clear" w:color="auto" w:fill="auto"/>
            <w:vAlign w:val="center"/>
          </w:tcPr>
          <w:p>
            <w:pPr>
              <w:pStyle w:val="180"/>
              <w:spacing w:line="240" w:lineRule="atLeast"/>
              <w:rPr>
                <w:rFonts w:hAnsi="宋体"/>
                <w:szCs w:val="18"/>
              </w:rPr>
            </w:pPr>
            <w:r>
              <w:rPr>
                <w:rFonts w:hint="eastAsia" w:hAnsi="宋体"/>
                <w:szCs w:val="18"/>
              </w:rPr>
              <w:t>治理设施配电柜内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180"/>
              <w:spacing w:line="240" w:lineRule="atLeast"/>
              <w:rPr>
                <w:rFonts w:hAnsi="宋体"/>
                <w:szCs w:val="18"/>
              </w:rPr>
            </w:pPr>
            <w:r>
              <w:rPr>
                <w:rFonts w:hint="eastAsia" w:hAnsi="宋体"/>
                <w:szCs w:val="18"/>
              </w:rPr>
              <w:t>7</w:t>
            </w:r>
          </w:p>
        </w:tc>
        <w:tc>
          <w:tcPr>
            <w:tcW w:w="1418" w:type="dxa"/>
            <w:shd w:val="clear" w:color="auto" w:fill="auto"/>
            <w:vAlign w:val="center"/>
          </w:tcPr>
          <w:p>
            <w:pPr>
              <w:pStyle w:val="180"/>
              <w:spacing w:line="240" w:lineRule="atLeast"/>
              <w:rPr>
                <w:rFonts w:hAnsi="宋体"/>
                <w:szCs w:val="18"/>
              </w:rPr>
            </w:pPr>
            <w:r>
              <w:rPr>
                <w:rFonts w:hint="eastAsia" w:hAnsi="宋体"/>
                <w:szCs w:val="18"/>
              </w:rPr>
              <w:t>光氧催化</w:t>
            </w:r>
          </w:p>
          <w:p>
            <w:pPr>
              <w:pStyle w:val="180"/>
              <w:spacing w:line="240" w:lineRule="atLeast"/>
              <w:rPr>
                <w:rFonts w:hAnsi="宋体"/>
                <w:szCs w:val="18"/>
              </w:rPr>
            </w:pPr>
            <w:r>
              <w:rPr>
                <w:rFonts w:hint="eastAsia" w:hAnsi="宋体"/>
                <w:szCs w:val="18"/>
              </w:rPr>
              <w:t>（UV光解）</w:t>
            </w:r>
          </w:p>
        </w:tc>
        <w:tc>
          <w:tcPr>
            <w:tcW w:w="992" w:type="dxa"/>
            <w:shd w:val="clear" w:color="auto" w:fill="auto"/>
            <w:vAlign w:val="center"/>
          </w:tcPr>
          <w:p>
            <w:pPr>
              <w:pStyle w:val="180"/>
              <w:spacing w:line="240" w:lineRule="atLeast"/>
              <w:rPr>
                <w:rFonts w:hAnsi="宋体"/>
                <w:szCs w:val="18"/>
              </w:rPr>
            </w:pPr>
            <w:r>
              <w:rPr>
                <w:rFonts w:hint="eastAsia" w:hAnsi="宋体"/>
                <w:szCs w:val="18"/>
              </w:rPr>
              <w:t>g707xx</w:t>
            </w:r>
          </w:p>
        </w:tc>
        <w:tc>
          <w:tcPr>
            <w:tcW w:w="2835" w:type="dxa"/>
            <w:shd w:val="clear" w:color="auto" w:fill="auto"/>
          </w:tcPr>
          <w:p>
            <w:pPr>
              <w:pStyle w:val="180"/>
              <w:spacing w:line="240" w:lineRule="atLeast"/>
              <w:jc w:val="left"/>
              <w:rPr>
                <w:rFonts w:hAnsi="宋体"/>
                <w:szCs w:val="18"/>
              </w:rPr>
            </w:pPr>
            <w:r>
              <w:rPr>
                <w:rFonts w:hint="eastAsia" w:hAnsi="宋体"/>
                <w:szCs w:val="18"/>
              </w:rPr>
              <w:t>纺织后整理、印刷、橡胶、毛刷、造纸、化工、医药、油漆、皮革、食品、餐饮、垃圾处理等</w:t>
            </w:r>
          </w:p>
        </w:tc>
        <w:tc>
          <w:tcPr>
            <w:tcW w:w="1701" w:type="dxa"/>
            <w:shd w:val="clear" w:color="auto" w:fill="auto"/>
            <w:vAlign w:val="center"/>
          </w:tcPr>
          <w:p>
            <w:pPr>
              <w:pStyle w:val="180"/>
              <w:spacing w:line="240" w:lineRule="atLeast"/>
              <w:rPr>
                <w:rFonts w:hAnsi="宋体"/>
                <w:szCs w:val="18"/>
              </w:rPr>
            </w:pPr>
          </w:p>
          <w:p>
            <w:pPr>
              <w:pStyle w:val="180"/>
              <w:spacing w:line="240" w:lineRule="atLeast"/>
              <w:rPr>
                <w:rFonts w:hAnsi="宋体"/>
                <w:szCs w:val="18"/>
              </w:rPr>
            </w:pPr>
            <w:r>
              <w:rPr>
                <w:rFonts w:hint="eastAsia" w:hAnsi="宋体"/>
                <w:szCs w:val="18"/>
              </w:rPr>
              <w:t>光氧催化运行电流</w:t>
            </w:r>
          </w:p>
        </w:tc>
        <w:tc>
          <w:tcPr>
            <w:tcW w:w="1831" w:type="dxa"/>
            <w:shd w:val="clear" w:color="auto" w:fill="auto"/>
            <w:vAlign w:val="center"/>
          </w:tcPr>
          <w:p>
            <w:pPr>
              <w:pStyle w:val="180"/>
              <w:spacing w:line="240" w:lineRule="atLeast"/>
              <w:rPr>
                <w:rFonts w:hAnsi="宋体"/>
                <w:szCs w:val="18"/>
              </w:rPr>
            </w:pPr>
            <w:r>
              <w:rPr>
                <w:rFonts w:hint="eastAsia" w:hAnsi="宋体"/>
                <w:szCs w:val="18"/>
              </w:rPr>
              <w:t>治理设施配电柜内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180"/>
              <w:spacing w:line="240" w:lineRule="atLeast"/>
              <w:rPr>
                <w:rFonts w:hAnsi="宋体"/>
                <w:szCs w:val="18"/>
              </w:rPr>
            </w:pPr>
            <w:r>
              <w:rPr>
                <w:rFonts w:hint="eastAsia" w:hAnsi="宋体"/>
                <w:szCs w:val="18"/>
              </w:rPr>
              <w:t>8</w:t>
            </w:r>
          </w:p>
        </w:tc>
        <w:tc>
          <w:tcPr>
            <w:tcW w:w="1418" w:type="dxa"/>
            <w:shd w:val="clear" w:color="auto" w:fill="auto"/>
            <w:vAlign w:val="center"/>
          </w:tcPr>
          <w:p>
            <w:pPr>
              <w:pStyle w:val="180"/>
              <w:spacing w:line="240" w:lineRule="atLeast"/>
              <w:rPr>
                <w:rFonts w:hAnsi="宋体"/>
                <w:szCs w:val="18"/>
              </w:rPr>
            </w:pPr>
            <w:r>
              <w:rPr>
                <w:rFonts w:hint="eastAsia" w:hAnsi="宋体"/>
                <w:szCs w:val="18"/>
              </w:rPr>
              <w:t>RTO</w:t>
            </w:r>
          </w:p>
        </w:tc>
        <w:tc>
          <w:tcPr>
            <w:tcW w:w="992" w:type="dxa"/>
            <w:shd w:val="clear" w:color="auto" w:fill="auto"/>
            <w:vAlign w:val="center"/>
          </w:tcPr>
          <w:p>
            <w:pPr>
              <w:pStyle w:val="180"/>
              <w:spacing w:line="240" w:lineRule="atLeast"/>
              <w:rPr>
                <w:rFonts w:hAnsi="宋体"/>
                <w:szCs w:val="18"/>
              </w:rPr>
            </w:pPr>
            <w:r>
              <w:rPr>
                <w:rFonts w:hint="eastAsia" w:hAnsi="宋体"/>
                <w:szCs w:val="18"/>
              </w:rPr>
              <w:t>g708xx</w:t>
            </w:r>
          </w:p>
        </w:tc>
        <w:tc>
          <w:tcPr>
            <w:tcW w:w="2835" w:type="dxa"/>
            <w:shd w:val="clear" w:color="auto" w:fill="auto"/>
          </w:tcPr>
          <w:p>
            <w:pPr>
              <w:pStyle w:val="180"/>
              <w:spacing w:line="240" w:lineRule="atLeast"/>
              <w:jc w:val="left"/>
              <w:rPr>
                <w:rFonts w:hAnsi="宋体"/>
                <w:szCs w:val="18"/>
              </w:rPr>
            </w:pPr>
            <w:r>
              <w:rPr>
                <w:rFonts w:hint="eastAsia" w:hAnsi="宋体"/>
                <w:szCs w:val="18"/>
              </w:rPr>
              <w:t>产业用布、五金、电子、涂装、印刷、化工、医药等</w:t>
            </w:r>
          </w:p>
        </w:tc>
        <w:tc>
          <w:tcPr>
            <w:tcW w:w="1701" w:type="dxa"/>
            <w:shd w:val="clear" w:color="auto" w:fill="auto"/>
            <w:vAlign w:val="center"/>
          </w:tcPr>
          <w:p>
            <w:pPr>
              <w:pStyle w:val="180"/>
              <w:spacing w:line="240" w:lineRule="atLeast"/>
              <w:rPr>
                <w:rFonts w:hAnsi="宋体"/>
                <w:szCs w:val="18"/>
              </w:rPr>
            </w:pPr>
            <w:r>
              <w:rPr>
                <w:rFonts w:hint="eastAsia" w:hAnsi="宋体"/>
                <w:szCs w:val="18"/>
              </w:rPr>
              <w:t>炉膛温度、脱附风机、排放风机电流</w:t>
            </w:r>
          </w:p>
        </w:tc>
        <w:tc>
          <w:tcPr>
            <w:tcW w:w="1831" w:type="dxa"/>
            <w:shd w:val="clear" w:color="auto" w:fill="auto"/>
            <w:vAlign w:val="center"/>
          </w:tcPr>
          <w:p>
            <w:pPr>
              <w:pStyle w:val="180"/>
              <w:spacing w:line="240" w:lineRule="atLeast"/>
              <w:rPr>
                <w:rFonts w:hAnsi="宋体"/>
                <w:szCs w:val="18"/>
              </w:rPr>
            </w:pPr>
            <w:r>
              <w:rPr>
                <w:rFonts w:hint="eastAsia" w:hAnsi="宋体"/>
                <w:szCs w:val="18"/>
              </w:rPr>
              <w:t>治理设施配电柜内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180"/>
              <w:spacing w:line="240" w:lineRule="atLeast"/>
              <w:rPr>
                <w:rFonts w:hAnsi="宋体"/>
                <w:szCs w:val="18"/>
              </w:rPr>
            </w:pPr>
            <w:r>
              <w:rPr>
                <w:rFonts w:hint="eastAsia" w:hAnsi="宋体"/>
                <w:szCs w:val="18"/>
              </w:rPr>
              <w:t>9</w:t>
            </w:r>
          </w:p>
        </w:tc>
        <w:tc>
          <w:tcPr>
            <w:tcW w:w="1418" w:type="dxa"/>
            <w:shd w:val="clear" w:color="auto" w:fill="auto"/>
            <w:vAlign w:val="center"/>
          </w:tcPr>
          <w:p>
            <w:pPr>
              <w:pStyle w:val="180"/>
              <w:spacing w:line="240" w:lineRule="atLeast"/>
              <w:rPr>
                <w:rFonts w:hAnsi="宋体"/>
                <w:szCs w:val="18"/>
              </w:rPr>
            </w:pPr>
            <w:r>
              <w:rPr>
                <w:rFonts w:hint="eastAsia" w:hAnsi="宋体"/>
                <w:szCs w:val="18"/>
              </w:rPr>
              <w:t>RCO、沸石转轮工艺</w:t>
            </w:r>
          </w:p>
        </w:tc>
        <w:tc>
          <w:tcPr>
            <w:tcW w:w="992" w:type="dxa"/>
            <w:shd w:val="clear" w:color="auto" w:fill="auto"/>
            <w:vAlign w:val="center"/>
          </w:tcPr>
          <w:p>
            <w:pPr>
              <w:pStyle w:val="180"/>
              <w:spacing w:line="240" w:lineRule="atLeast"/>
              <w:rPr>
                <w:rFonts w:hAnsi="宋体"/>
                <w:szCs w:val="18"/>
              </w:rPr>
            </w:pPr>
            <w:r>
              <w:rPr>
                <w:rFonts w:hint="eastAsia" w:hAnsi="宋体"/>
                <w:szCs w:val="18"/>
              </w:rPr>
              <w:t>g709xx</w:t>
            </w:r>
          </w:p>
        </w:tc>
        <w:tc>
          <w:tcPr>
            <w:tcW w:w="2835" w:type="dxa"/>
            <w:shd w:val="clear" w:color="auto" w:fill="auto"/>
          </w:tcPr>
          <w:p>
            <w:pPr>
              <w:pStyle w:val="180"/>
              <w:spacing w:line="240" w:lineRule="atLeast"/>
              <w:jc w:val="left"/>
              <w:rPr>
                <w:rFonts w:hAnsi="宋体"/>
                <w:szCs w:val="18"/>
              </w:rPr>
            </w:pPr>
            <w:r>
              <w:rPr>
                <w:rFonts w:hint="eastAsia" w:hAnsi="宋体"/>
                <w:szCs w:val="18"/>
              </w:rPr>
              <w:t>纺织后整理、印刷、毛刷、油漆、化工、医药、橡胶、塑料、汽车等</w:t>
            </w:r>
          </w:p>
        </w:tc>
        <w:tc>
          <w:tcPr>
            <w:tcW w:w="1701" w:type="dxa"/>
            <w:shd w:val="clear" w:color="auto" w:fill="auto"/>
            <w:vAlign w:val="center"/>
          </w:tcPr>
          <w:p>
            <w:pPr>
              <w:pStyle w:val="180"/>
              <w:spacing w:line="240" w:lineRule="atLeast"/>
              <w:rPr>
                <w:rFonts w:hAnsi="宋体"/>
                <w:szCs w:val="18"/>
              </w:rPr>
            </w:pPr>
            <w:r>
              <w:rPr>
                <w:rFonts w:hint="eastAsia" w:hAnsi="宋体"/>
                <w:szCs w:val="18"/>
              </w:rPr>
              <w:t>温度、加热器电流、排放风机电流</w:t>
            </w:r>
          </w:p>
        </w:tc>
        <w:tc>
          <w:tcPr>
            <w:tcW w:w="1831" w:type="dxa"/>
            <w:shd w:val="clear" w:color="auto" w:fill="auto"/>
            <w:vAlign w:val="center"/>
          </w:tcPr>
          <w:p>
            <w:pPr>
              <w:pStyle w:val="180"/>
              <w:spacing w:line="240" w:lineRule="atLeast"/>
              <w:rPr>
                <w:rFonts w:hAnsi="宋体"/>
                <w:szCs w:val="18"/>
              </w:rPr>
            </w:pPr>
            <w:r>
              <w:rPr>
                <w:rFonts w:hint="eastAsia" w:hAnsi="宋体"/>
                <w:szCs w:val="18"/>
              </w:rPr>
              <w:t>治理设施配电柜内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180"/>
              <w:spacing w:line="240" w:lineRule="atLeast"/>
              <w:rPr>
                <w:rFonts w:hAnsi="宋体"/>
                <w:szCs w:val="18"/>
              </w:rPr>
            </w:pPr>
            <w:r>
              <w:rPr>
                <w:rFonts w:hint="eastAsia" w:hAnsi="宋体"/>
                <w:szCs w:val="18"/>
              </w:rPr>
              <w:t>10</w:t>
            </w:r>
          </w:p>
        </w:tc>
        <w:tc>
          <w:tcPr>
            <w:tcW w:w="1418" w:type="dxa"/>
            <w:shd w:val="clear" w:color="auto" w:fill="auto"/>
            <w:vAlign w:val="center"/>
          </w:tcPr>
          <w:p>
            <w:pPr>
              <w:pStyle w:val="180"/>
              <w:spacing w:line="240" w:lineRule="atLeast"/>
              <w:rPr>
                <w:rFonts w:hAnsi="宋体"/>
                <w:szCs w:val="18"/>
              </w:rPr>
            </w:pPr>
            <w:r>
              <w:rPr>
                <w:rFonts w:hint="eastAsia" w:hAnsi="宋体"/>
                <w:szCs w:val="18"/>
              </w:rPr>
              <w:t>水喷淋</w:t>
            </w:r>
          </w:p>
        </w:tc>
        <w:tc>
          <w:tcPr>
            <w:tcW w:w="992" w:type="dxa"/>
            <w:shd w:val="clear" w:color="auto" w:fill="auto"/>
            <w:vAlign w:val="center"/>
          </w:tcPr>
          <w:p>
            <w:pPr>
              <w:pStyle w:val="180"/>
              <w:spacing w:line="240" w:lineRule="atLeast"/>
              <w:rPr>
                <w:rFonts w:hAnsi="宋体"/>
                <w:szCs w:val="18"/>
              </w:rPr>
            </w:pPr>
            <w:r>
              <w:rPr>
                <w:rFonts w:hint="eastAsia" w:hAnsi="宋体"/>
                <w:szCs w:val="18"/>
              </w:rPr>
              <w:t>g710xx</w:t>
            </w:r>
          </w:p>
        </w:tc>
        <w:tc>
          <w:tcPr>
            <w:tcW w:w="2835" w:type="dxa"/>
            <w:shd w:val="clear" w:color="auto" w:fill="auto"/>
          </w:tcPr>
          <w:p>
            <w:pPr>
              <w:pStyle w:val="180"/>
              <w:spacing w:line="240" w:lineRule="atLeast"/>
              <w:jc w:val="left"/>
              <w:rPr>
                <w:rFonts w:hAnsi="宋体"/>
                <w:szCs w:val="18"/>
              </w:rPr>
            </w:pPr>
            <w:r>
              <w:rPr>
                <w:rFonts w:hint="eastAsia" w:hAnsi="宋体"/>
                <w:szCs w:val="18"/>
              </w:rPr>
              <w:t>印染和定型、产业用布、纺织后整理、橡胶、印刷、塑料、毛刷、油漆</w:t>
            </w:r>
          </w:p>
        </w:tc>
        <w:tc>
          <w:tcPr>
            <w:tcW w:w="1701" w:type="dxa"/>
            <w:shd w:val="clear" w:color="auto" w:fill="auto"/>
            <w:vAlign w:val="center"/>
          </w:tcPr>
          <w:p>
            <w:pPr>
              <w:pStyle w:val="180"/>
              <w:spacing w:line="240" w:lineRule="atLeast"/>
              <w:rPr>
                <w:rFonts w:hAnsi="宋体"/>
                <w:szCs w:val="18"/>
              </w:rPr>
            </w:pPr>
            <w:r>
              <w:rPr>
                <w:rFonts w:hint="eastAsia" w:hAnsi="宋体"/>
                <w:szCs w:val="18"/>
              </w:rPr>
              <w:t>循环泵运行电流</w:t>
            </w:r>
          </w:p>
        </w:tc>
        <w:tc>
          <w:tcPr>
            <w:tcW w:w="1831" w:type="dxa"/>
            <w:shd w:val="clear" w:color="auto" w:fill="auto"/>
            <w:vAlign w:val="center"/>
          </w:tcPr>
          <w:p>
            <w:pPr>
              <w:pStyle w:val="180"/>
              <w:spacing w:line="240" w:lineRule="atLeast"/>
              <w:rPr>
                <w:rFonts w:hAnsi="宋体"/>
                <w:szCs w:val="18"/>
              </w:rPr>
            </w:pPr>
            <w:r>
              <w:rPr>
                <w:rFonts w:hint="eastAsia" w:hAnsi="宋体"/>
                <w:szCs w:val="18"/>
              </w:rPr>
              <w:t>治理设施配电柜内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180"/>
              <w:spacing w:line="240" w:lineRule="atLeast"/>
              <w:rPr>
                <w:rFonts w:hAnsi="宋体"/>
                <w:szCs w:val="18"/>
              </w:rPr>
            </w:pPr>
            <w:r>
              <w:rPr>
                <w:rFonts w:hint="eastAsia" w:hAnsi="宋体"/>
                <w:szCs w:val="18"/>
              </w:rPr>
              <w:t>1</w:t>
            </w:r>
            <w:r>
              <w:rPr>
                <w:rFonts w:hAnsi="宋体"/>
                <w:szCs w:val="18"/>
              </w:rPr>
              <w:t>1</w:t>
            </w:r>
          </w:p>
        </w:tc>
        <w:tc>
          <w:tcPr>
            <w:tcW w:w="1418" w:type="dxa"/>
            <w:shd w:val="clear" w:color="auto" w:fill="auto"/>
            <w:vAlign w:val="center"/>
          </w:tcPr>
          <w:p>
            <w:pPr>
              <w:pStyle w:val="180"/>
              <w:spacing w:line="240" w:lineRule="atLeast"/>
              <w:rPr>
                <w:rFonts w:hAnsi="宋体"/>
                <w:szCs w:val="18"/>
              </w:rPr>
            </w:pPr>
            <w:r>
              <w:rPr>
                <w:rFonts w:hint="eastAsia" w:hAnsi="宋体"/>
                <w:szCs w:val="18"/>
              </w:rPr>
              <w:t>酸喷淋</w:t>
            </w:r>
          </w:p>
        </w:tc>
        <w:tc>
          <w:tcPr>
            <w:tcW w:w="992" w:type="dxa"/>
            <w:shd w:val="clear" w:color="auto" w:fill="auto"/>
            <w:vAlign w:val="center"/>
          </w:tcPr>
          <w:p>
            <w:pPr>
              <w:pStyle w:val="180"/>
              <w:spacing w:line="240" w:lineRule="atLeast"/>
              <w:rPr>
                <w:rFonts w:hAnsi="宋体"/>
                <w:szCs w:val="18"/>
              </w:rPr>
            </w:pPr>
            <w:r>
              <w:rPr>
                <w:rFonts w:hint="eastAsia" w:hAnsi="宋体"/>
                <w:szCs w:val="18"/>
              </w:rPr>
              <w:t>g711xx</w:t>
            </w:r>
          </w:p>
        </w:tc>
        <w:tc>
          <w:tcPr>
            <w:tcW w:w="2835" w:type="dxa"/>
            <w:shd w:val="clear" w:color="auto" w:fill="auto"/>
          </w:tcPr>
          <w:p>
            <w:pPr>
              <w:pStyle w:val="180"/>
              <w:spacing w:line="240" w:lineRule="atLeast"/>
              <w:jc w:val="left"/>
              <w:rPr>
                <w:rFonts w:hAnsi="宋体"/>
                <w:szCs w:val="18"/>
              </w:rPr>
            </w:pPr>
            <w:r>
              <w:rPr>
                <w:rFonts w:hint="eastAsia" w:hAnsi="宋体"/>
                <w:szCs w:val="18"/>
              </w:rPr>
              <w:t>电子、化工、电镀、钢铁、有色金属、冶炼、造纸、污水处理</w:t>
            </w:r>
          </w:p>
        </w:tc>
        <w:tc>
          <w:tcPr>
            <w:tcW w:w="1701" w:type="dxa"/>
            <w:shd w:val="clear" w:color="auto" w:fill="auto"/>
            <w:vAlign w:val="center"/>
          </w:tcPr>
          <w:p>
            <w:pPr>
              <w:pStyle w:val="180"/>
              <w:spacing w:line="240" w:lineRule="atLeast"/>
              <w:rPr>
                <w:rFonts w:hAnsi="宋体"/>
                <w:szCs w:val="18"/>
              </w:rPr>
            </w:pPr>
            <w:r>
              <w:rPr>
                <w:rFonts w:hint="eastAsia" w:hAnsi="宋体"/>
                <w:szCs w:val="18"/>
              </w:rPr>
              <w:t>循环泵电流、</w:t>
            </w:r>
            <w:r>
              <w:rPr>
                <w:rFonts w:hAnsi="宋体"/>
                <w:szCs w:val="18"/>
              </w:rPr>
              <w:t>p</w:t>
            </w:r>
            <w:r>
              <w:rPr>
                <w:rFonts w:hint="eastAsia" w:hAnsi="宋体"/>
                <w:szCs w:val="18"/>
              </w:rPr>
              <w:t>H</w:t>
            </w:r>
          </w:p>
        </w:tc>
        <w:tc>
          <w:tcPr>
            <w:tcW w:w="1831" w:type="dxa"/>
            <w:shd w:val="clear" w:color="auto" w:fill="auto"/>
            <w:vAlign w:val="center"/>
          </w:tcPr>
          <w:p>
            <w:pPr>
              <w:pStyle w:val="180"/>
              <w:spacing w:line="240" w:lineRule="atLeast"/>
              <w:rPr>
                <w:rFonts w:hAnsi="宋体"/>
                <w:szCs w:val="18"/>
              </w:rPr>
            </w:pPr>
            <w:r>
              <w:rPr>
                <w:rFonts w:hint="eastAsia" w:hAnsi="宋体"/>
                <w:szCs w:val="18"/>
              </w:rPr>
              <w:t>治理设备配电柜内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180"/>
              <w:spacing w:line="240" w:lineRule="atLeast"/>
              <w:rPr>
                <w:rFonts w:hAnsi="宋体"/>
                <w:szCs w:val="18"/>
              </w:rPr>
            </w:pPr>
            <w:r>
              <w:rPr>
                <w:rFonts w:hint="eastAsia" w:hAnsi="宋体"/>
                <w:szCs w:val="18"/>
              </w:rPr>
              <w:t>1</w:t>
            </w:r>
            <w:r>
              <w:rPr>
                <w:rFonts w:hAnsi="宋体"/>
                <w:szCs w:val="18"/>
              </w:rPr>
              <w:t>2</w:t>
            </w:r>
          </w:p>
        </w:tc>
        <w:tc>
          <w:tcPr>
            <w:tcW w:w="1418" w:type="dxa"/>
            <w:shd w:val="clear" w:color="auto" w:fill="auto"/>
            <w:vAlign w:val="center"/>
          </w:tcPr>
          <w:p>
            <w:pPr>
              <w:pStyle w:val="180"/>
              <w:spacing w:line="240" w:lineRule="atLeast"/>
              <w:rPr>
                <w:rFonts w:hAnsi="宋体"/>
                <w:szCs w:val="18"/>
              </w:rPr>
            </w:pPr>
            <w:r>
              <w:rPr>
                <w:rFonts w:hint="eastAsia" w:hAnsi="宋体"/>
                <w:szCs w:val="18"/>
              </w:rPr>
              <w:t>碱喷淋</w:t>
            </w:r>
          </w:p>
        </w:tc>
        <w:tc>
          <w:tcPr>
            <w:tcW w:w="992" w:type="dxa"/>
            <w:shd w:val="clear" w:color="auto" w:fill="auto"/>
            <w:vAlign w:val="center"/>
          </w:tcPr>
          <w:p>
            <w:pPr>
              <w:pStyle w:val="180"/>
              <w:spacing w:line="240" w:lineRule="atLeast"/>
              <w:rPr>
                <w:rFonts w:hAnsi="宋体"/>
                <w:szCs w:val="18"/>
              </w:rPr>
            </w:pPr>
            <w:r>
              <w:rPr>
                <w:rFonts w:hint="eastAsia" w:hAnsi="宋体"/>
                <w:szCs w:val="18"/>
              </w:rPr>
              <w:t>g712xx</w:t>
            </w:r>
          </w:p>
        </w:tc>
        <w:tc>
          <w:tcPr>
            <w:tcW w:w="2835" w:type="dxa"/>
            <w:shd w:val="clear" w:color="auto" w:fill="auto"/>
          </w:tcPr>
          <w:p>
            <w:pPr>
              <w:pStyle w:val="180"/>
              <w:spacing w:line="240" w:lineRule="atLeast"/>
              <w:jc w:val="left"/>
              <w:rPr>
                <w:rFonts w:hAnsi="宋体"/>
                <w:szCs w:val="18"/>
              </w:rPr>
            </w:pPr>
            <w:r>
              <w:rPr>
                <w:rFonts w:hint="eastAsia" w:hAnsi="宋体"/>
                <w:szCs w:val="18"/>
              </w:rPr>
              <w:t>电子、化工、电镀、钢铁、有色金属、冶炼、造纸、污水处理</w:t>
            </w:r>
          </w:p>
        </w:tc>
        <w:tc>
          <w:tcPr>
            <w:tcW w:w="1701" w:type="dxa"/>
            <w:shd w:val="clear" w:color="auto" w:fill="auto"/>
            <w:vAlign w:val="center"/>
          </w:tcPr>
          <w:p>
            <w:pPr>
              <w:pStyle w:val="180"/>
              <w:spacing w:line="240" w:lineRule="atLeast"/>
              <w:rPr>
                <w:rFonts w:hAnsi="宋体"/>
                <w:szCs w:val="18"/>
              </w:rPr>
            </w:pPr>
            <w:r>
              <w:rPr>
                <w:rFonts w:hint="eastAsia" w:hAnsi="宋体"/>
                <w:szCs w:val="18"/>
              </w:rPr>
              <w:t>循环泵电流、</w:t>
            </w:r>
            <w:r>
              <w:rPr>
                <w:rFonts w:hAnsi="宋体"/>
                <w:szCs w:val="18"/>
              </w:rPr>
              <w:t>p</w:t>
            </w:r>
            <w:r>
              <w:rPr>
                <w:rFonts w:hint="eastAsia" w:hAnsi="宋体"/>
                <w:szCs w:val="18"/>
              </w:rPr>
              <w:t>H</w:t>
            </w:r>
          </w:p>
        </w:tc>
        <w:tc>
          <w:tcPr>
            <w:tcW w:w="1831" w:type="dxa"/>
            <w:shd w:val="clear" w:color="auto" w:fill="auto"/>
            <w:vAlign w:val="center"/>
          </w:tcPr>
          <w:p>
            <w:pPr>
              <w:pStyle w:val="180"/>
              <w:spacing w:line="240" w:lineRule="atLeast"/>
              <w:rPr>
                <w:rFonts w:hAnsi="宋体"/>
                <w:szCs w:val="18"/>
              </w:rPr>
            </w:pPr>
            <w:r>
              <w:rPr>
                <w:rFonts w:hint="eastAsia" w:hAnsi="宋体"/>
                <w:szCs w:val="18"/>
              </w:rPr>
              <w:t>治理设备配电柜内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180"/>
              <w:spacing w:line="240" w:lineRule="atLeast"/>
              <w:rPr>
                <w:rFonts w:hAnsi="宋体"/>
                <w:szCs w:val="18"/>
              </w:rPr>
            </w:pPr>
            <w:r>
              <w:rPr>
                <w:rFonts w:hint="eastAsia" w:hAnsi="宋体"/>
                <w:szCs w:val="18"/>
              </w:rPr>
              <w:t>1</w:t>
            </w:r>
            <w:r>
              <w:rPr>
                <w:rFonts w:hAnsi="宋体"/>
                <w:szCs w:val="18"/>
              </w:rPr>
              <w:t>3</w:t>
            </w:r>
          </w:p>
        </w:tc>
        <w:tc>
          <w:tcPr>
            <w:tcW w:w="1418" w:type="dxa"/>
            <w:shd w:val="clear" w:color="auto" w:fill="auto"/>
            <w:vAlign w:val="center"/>
          </w:tcPr>
          <w:p>
            <w:pPr>
              <w:pStyle w:val="180"/>
              <w:spacing w:line="240" w:lineRule="atLeast"/>
              <w:rPr>
                <w:rFonts w:hAnsi="宋体"/>
                <w:szCs w:val="18"/>
              </w:rPr>
            </w:pPr>
            <w:r>
              <w:rPr>
                <w:rFonts w:hint="eastAsia" w:hAnsi="宋体"/>
                <w:szCs w:val="18"/>
              </w:rPr>
              <w:t>C</w:t>
            </w:r>
            <w:r>
              <w:rPr>
                <w:rFonts w:hAnsi="宋体"/>
                <w:szCs w:val="18"/>
              </w:rPr>
              <w:t>O</w:t>
            </w:r>
          </w:p>
        </w:tc>
        <w:tc>
          <w:tcPr>
            <w:tcW w:w="992" w:type="dxa"/>
            <w:shd w:val="clear" w:color="auto" w:fill="auto"/>
            <w:vAlign w:val="center"/>
          </w:tcPr>
          <w:p>
            <w:pPr>
              <w:pStyle w:val="180"/>
              <w:spacing w:line="240" w:lineRule="atLeast"/>
              <w:rPr>
                <w:rFonts w:hAnsi="宋体"/>
                <w:szCs w:val="18"/>
              </w:rPr>
            </w:pPr>
            <w:r>
              <w:rPr>
                <w:rFonts w:hint="eastAsia" w:hAnsi="宋体"/>
                <w:szCs w:val="18"/>
              </w:rPr>
              <w:t>g71</w:t>
            </w:r>
            <w:r>
              <w:rPr>
                <w:rFonts w:hAnsi="宋体"/>
                <w:szCs w:val="18"/>
              </w:rPr>
              <w:t>3</w:t>
            </w:r>
            <w:r>
              <w:rPr>
                <w:rFonts w:hint="eastAsia" w:hAnsi="宋体"/>
                <w:szCs w:val="18"/>
              </w:rPr>
              <w:t>xx</w:t>
            </w:r>
          </w:p>
        </w:tc>
        <w:tc>
          <w:tcPr>
            <w:tcW w:w="2835" w:type="dxa"/>
            <w:shd w:val="clear" w:color="auto" w:fill="auto"/>
          </w:tcPr>
          <w:p>
            <w:pPr>
              <w:pStyle w:val="180"/>
              <w:spacing w:line="240" w:lineRule="atLeast"/>
              <w:rPr>
                <w:rFonts w:hAnsi="宋体"/>
                <w:szCs w:val="18"/>
              </w:rPr>
            </w:pPr>
            <w:r>
              <w:rPr>
                <w:rFonts w:hint="eastAsia" w:hAnsi="宋体"/>
                <w:szCs w:val="18"/>
              </w:rPr>
              <w:t>纺织后整理、印刷、毛刷、油漆、化工、医药、橡胶、塑料、汽车等</w:t>
            </w:r>
          </w:p>
        </w:tc>
        <w:tc>
          <w:tcPr>
            <w:tcW w:w="1701" w:type="dxa"/>
            <w:shd w:val="clear" w:color="auto" w:fill="auto"/>
            <w:vAlign w:val="center"/>
          </w:tcPr>
          <w:p>
            <w:pPr>
              <w:pStyle w:val="180"/>
              <w:spacing w:line="240" w:lineRule="atLeast"/>
              <w:rPr>
                <w:rFonts w:hAnsi="宋体"/>
                <w:szCs w:val="18"/>
              </w:rPr>
            </w:pPr>
            <w:r>
              <w:rPr>
                <w:rFonts w:hint="eastAsia" w:hAnsi="宋体"/>
                <w:szCs w:val="18"/>
              </w:rPr>
              <w:t>温度、电流、脱附风机</w:t>
            </w:r>
          </w:p>
        </w:tc>
        <w:tc>
          <w:tcPr>
            <w:tcW w:w="1831" w:type="dxa"/>
            <w:shd w:val="clear" w:color="auto" w:fill="auto"/>
            <w:vAlign w:val="center"/>
          </w:tcPr>
          <w:p>
            <w:pPr>
              <w:pStyle w:val="180"/>
              <w:spacing w:line="240" w:lineRule="atLeast"/>
              <w:rPr>
                <w:rFonts w:hAnsi="宋体"/>
                <w:szCs w:val="18"/>
              </w:rPr>
            </w:pPr>
            <w:r>
              <w:rPr>
                <w:rFonts w:hint="eastAsia" w:hAnsi="宋体"/>
                <w:szCs w:val="18"/>
              </w:rPr>
              <w:t>治理设施配电柜内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180"/>
              <w:spacing w:line="240" w:lineRule="atLeast"/>
              <w:rPr>
                <w:rFonts w:hAnsi="宋体"/>
                <w:szCs w:val="18"/>
              </w:rPr>
            </w:pPr>
            <w:r>
              <w:rPr>
                <w:rFonts w:hint="eastAsia" w:hAnsi="宋体"/>
                <w:szCs w:val="18"/>
              </w:rPr>
              <w:t>1</w:t>
            </w:r>
            <w:r>
              <w:rPr>
                <w:rFonts w:hAnsi="宋体"/>
                <w:szCs w:val="18"/>
              </w:rPr>
              <w:t>4</w:t>
            </w:r>
          </w:p>
        </w:tc>
        <w:tc>
          <w:tcPr>
            <w:tcW w:w="1418" w:type="dxa"/>
            <w:shd w:val="clear" w:color="auto" w:fill="auto"/>
            <w:vAlign w:val="center"/>
          </w:tcPr>
          <w:p>
            <w:pPr>
              <w:pStyle w:val="180"/>
              <w:spacing w:line="240" w:lineRule="atLeast"/>
              <w:rPr>
                <w:rFonts w:hAnsi="宋体"/>
                <w:szCs w:val="18"/>
              </w:rPr>
            </w:pPr>
            <w:r>
              <w:rPr>
                <w:rFonts w:hint="eastAsia" w:hAnsi="宋体"/>
                <w:szCs w:val="18"/>
              </w:rPr>
              <w:t>生物法工艺</w:t>
            </w:r>
          </w:p>
        </w:tc>
        <w:tc>
          <w:tcPr>
            <w:tcW w:w="992" w:type="dxa"/>
            <w:shd w:val="clear" w:color="auto" w:fill="auto"/>
            <w:vAlign w:val="center"/>
          </w:tcPr>
          <w:p>
            <w:pPr>
              <w:pStyle w:val="180"/>
              <w:spacing w:line="240" w:lineRule="atLeast"/>
              <w:rPr>
                <w:rFonts w:hAnsi="宋体"/>
                <w:szCs w:val="18"/>
              </w:rPr>
            </w:pPr>
            <w:r>
              <w:rPr>
                <w:rFonts w:hint="eastAsia" w:hAnsi="宋体"/>
                <w:szCs w:val="18"/>
              </w:rPr>
              <w:t>g71</w:t>
            </w:r>
            <w:r>
              <w:rPr>
                <w:rFonts w:hAnsi="宋体"/>
                <w:szCs w:val="18"/>
              </w:rPr>
              <w:t>4</w:t>
            </w:r>
            <w:r>
              <w:rPr>
                <w:rFonts w:hint="eastAsia" w:hAnsi="宋体"/>
                <w:szCs w:val="18"/>
              </w:rPr>
              <w:t>xx</w:t>
            </w:r>
          </w:p>
        </w:tc>
        <w:tc>
          <w:tcPr>
            <w:tcW w:w="2835" w:type="dxa"/>
            <w:shd w:val="clear" w:color="auto" w:fill="auto"/>
          </w:tcPr>
          <w:p>
            <w:pPr>
              <w:pStyle w:val="180"/>
              <w:spacing w:line="240" w:lineRule="atLeast"/>
              <w:jc w:val="both"/>
              <w:rPr>
                <w:rFonts w:hAnsi="宋体"/>
                <w:szCs w:val="18"/>
              </w:rPr>
            </w:pPr>
            <w:r>
              <w:rPr>
                <w:rFonts w:hAnsi="宋体"/>
                <w:szCs w:val="18"/>
                <w:shd w:val="clear" w:color="auto" w:fill="FFFFFF"/>
              </w:rPr>
              <w:t>塑料、橡胶、油漆</w:t>
            </w:r>
            <w:r>
              <w:rPr>
                <w:rFonts w:hint="eastAsia" w:hAnsi="宋体"/>
                <w:szCs w:val="18"/>
                <w:shd w:val="clear" w:color="auto" w:fill="FFFFFF"/>
              </w:rPr>
              <w:t>等</w:t>
            </w:r>
          </w:p>
        </w:tc>
        <w:tc>
          <w:tcPr>
            <w:tcW w:w="1701" w:type="dxa"/>
            <w:shd w:val="clear" w:color="auto" w:fill="auto"/>
            <w:vAlign w:val="center"/>
          </w:tcPr>
          <w:p>
            <w:pPr>
              <w:pStyle w:val="180"/>
              <w:spacing w:line="240" w:lineRule="atLeast"/>
              <w:rPr>
                <w:rFonts w:hAnsi="宋体"/>
                <w:szCs w:val="18"/>
              </w:rPr>
            </w:pPr>
            <w:r>
              <w:rPr>
                <w:rFonts w:hint="eastAsia" w:hAnsi="宋体"/>
                <w:szCs w:val="18"/>
              </w:rPr>
              <w:t>循环泵电流、电导率</w:t>
            </w:r>
          </w:p>
        </w:tc>
        <w:tc>
          <w:tcPr>
            <w:tcW w:w="1831" w:type="dxa"/>
            <w:shd w:val="clear" w:color="auto" w:fill="auto"/>
            <w:vAlign w:val="center"/>
          </w:tcPr>
          <w:p>
            <w:pPr>
              <w:pStyle w:val="180"/>
              <w:spacing w:line="240" w:lineRule="atLeast"/>
              <w:rPr>
                <w:rFonts w:hAnsi="宋体"/>
                <w:szCs w:val="18"/>
              </w:rPr>
            </w:pPr>
            <w:r>
              <w:rPr>
                <w:rFonts w:hint="eastAsia" w:hAnsi="宋体"/>
                <w:szCs w:val="18"/>
              </w:rPr>
              <w:t>治理设备配电柜内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180"/>
              <w:spacing w:line="240" w:lineRule="atLeast"/>
              <w:rPr>
                <w:rFonts w:hAnsi="宋体"/>
                <w:szCs w:val="18"/>
              </w:rPr>
            </w:pPr>
            <w:r>
              <w:rPr>
                <w:rFonts w:hint="eastAsia" w:hAnsi="宋体"/>
                <w:szCs w:val="18"/>
              </w:rPr>
              <w:t>15</w:t>
            </w:r>
          </w:p>
        </w:tc>
        <w:tc>
          <w:tcPr>
            <w:tcW w:w="1418" w:type="dxa"/>
            <w:shd w:val="clear" w:color="auto" w:fill="auto"/>
            <w:vAlign w:val="center"/>
          </w:tcPr>
          <w:p>
            <w:pPr>
              <w:pStyle w:val="180"/>
              <w:spacing w:line="240" w:lineRule="atLeast"/>
              <w:rPr>
                <w:rFonts w:hAnsi="宋体"/>
                <w:szCs w:val="18"/>
              </w:rPr>
            </w:pPr>
            <w:r>
              <w:rPr>
                <w:rFonts w:hint="eastAsia" w:hAnsi="宋体"/>
                <w:szCs w:val="18"/>
              </w:rPr>
              <w:t>TO</w:t>
            </w:r>
          </w:p>
        </w:tc>
        <w:tc>
          <w:tcPr>
            <w:tcW w:w="992" w:type="dxa"/>
            <w:shd w:val="clear" w:color="auto" w:fill="auto"/>
            <w:vAlign w:val="center"/>
          </w:tcPr>
          <w:p>
            <w:pPr>
              <w:pStyle w:val="180"/>
              <w:spacing w:line="240" w:lineRule="atLeast"/>
              <w:rPr>
                <w:rFonts w:hAnsi="宋体"/>
                <w:szCs w:val="18"/>
              </w:rPr>
            </w:pPr>
            <w:r>
              <w:rPr>
                <w:rFonts w:hint="eastAsia" w:hAnsi="宋体"/>
                <w:szCs w:val="18"/>
              </w:rPr>
              <w:t>g715xx</w:t>
            </w:r>
          </w:p>
        </w:tc>
        <w:tc>
          <w:tcPr>
            <w:tcW w:w="2835" w:type="dxa"/>
            <w:shd w:val="clear" w:color="auto" w:fill="auto"/>
          </w:tcPr>
          <w:p>
            <w:pPr>
              <w:pStyle w:val="180"/>
              <w:spacing w:line="240" w:lineRule="atLeast"/>
              <w:jc w:val="both"/>
              <w:rPr>
                <w:rFonts w:hAnsi="宋体"/>
                <w:szCs w:val="18"/>
                <w:shd w:val="clear" w:color="auto" w:fill="FFFFFF"/>
              </w:rPr>
            </w:pPr>
            <w:r>
              <w:rPr>
                <w:rFonts w:hint="eastAsia" w:hAnsi="宋体"/>
                <w:szCs w:val="18"/>
              </w:rPr>
              <w:t>纺织后整理、印刷、毛刷、油漆、化工、医药、橡胶、塑料、汽车等</w:t>
            </w:r>
          </w:p>
        </w:tc>
        <w:tc>
          <w:tcPr>
            <w:tcW w:w="1701" w:type="dxa"/>
            <w:shd w:val="clear" w:color="auto" w:fill="auto"/>
            <w:vAlign w:val="center"/>
          </w:tcPr>
          <w:p>
            <w:pPr>
              <w:pStyle w:val="180"/>
              <w:spacing w:line="240" w:lineRule="atLeast"/>
              <w:rPr>
                <w:rFonts w:hAnsi="宋体"/>
                <w:szCs w:val="18"/>
              </w:rPr>
            </w:pPr>
            <w:r>
              <w:rPr>
                <w:rFonts w:hint="eastAsia" w:hAnsi="宋体"/>
                <w:szCs w:val="18"/>
              </w:rPr>
              <w:t>温度、电流</w:t>
            </w:r>
          </w:p>
        </w:tc>
        <w:tc>
          <w:tcPr>
            <w:tcW w:w="1831" w:type="dxa"/>
            <w:shd w:val="clear" w:color="auto" w:fill="auto"/>
            <w:vAlign w:val="center"/>
          </w:tcPr>
          <w:p>
            <w:pPr>
              <w:pStyle w:val="180"/>
              <w:spacing w:line="240" w:lineRule="atLeast"/>
              <w:rPr>
                <w:rFonts w:hAnsi="宋体"/>
                <w:szCs w:val="18"/>
              </w:rPr>
            </w:pPr>
            <w:r>
              <w:rPr>
                <w:rFonts w:hint="eastAsia" w:hAnsi="宋体"/>
                <w:szCs w:val="18"/>
              </w:rPr>
              <w:t>治理设备配电柜内</w:t>
            </w:r>
          </w:p>
        </w:tc>
      </w:tr>
    </w:tbl>
    <w:p>
      <w:pPr>
        <w:pStyle w:val="58"/>
        <w:ind w:firstLine="420"/>
        <w:sectPr>
          <w:headerReference r:id="rId31" w:type="default"/>
          <w:footerReference r:id="rId33" w:type="default"/>
          <w:headerReference r:id="rId32" w:type="even"/>
          <w:footerReference r:id="rId34" w:type="even"/>
          <w:pgSz w:w="11906" w:h="16838"/>
          <w:pgMar w:top="2410" w:right="1134" w:bottom="1134" w:left="1134" w:header="1418" w:footer="1134" w:gutter="284"/>
          <w:cols w:space="425" w:num="1"/>
          <w:formProt w:val="0"/>
          <w:docGrid w:type="lines" w:linePitch="312" w:charSpace="0"/>
        </w:sectPr>
      </w:pPr>
    </w:p>
    <w:p>
      <w:pPr>
        <w:pStyle w:val="200"/>
        <w:numPr>
          <w:ilvl w:val="0"/>
          <w:numId w:val="0"/>
        </w:numPr>
        <w:jc w:val="both"/>
        <w:rPr>
          <w:vanish w:val="0"/>
        </w:rPr>
      </w:pPr>
    </w:p>
    <w:p>
      <w:pPr>
        <w:pStyle w:val="201"/>
        <w:numPr>
          <w:ilvl w:val="0"/>
          <w:numId w:val="0"/>
        </w:numPr>
        <w:ind w:left="425"/>
        <w:jc w:val="both"/>
        <w:rPr>
          <w:vanish w:val="0"/>
        </w:rPr>
      </w:pPr>
    </w:p>
    <w:p>
      <w:pPr>
        <w:pStyle w:val="78"/>
        <w:spacing w:before="78" w:after="156"/>
      </w:pPr>
      <w:r>
        <w:br w:type="textWrapping"/>
      </w:r>
      <w:bookmarkStart w:id="256" w:name="_Toc171675726"/>
      <w:r>
        <w:rPr>
          <w:rFonts w:hint="eastAsia"/>
        </w:rPr>
        <w:t>（资料性）</w:t>
      </w:r>
      <w:r>
        <w:br w:type="textWrapping"/>
      </w:r>
      <w:r>
        <w:rPr>
          <w:rFonts w:hint="eastAsia"/>
        </w:rPr>
        <w:t>系统运行数据采集和传输联网报告</w:t>
      </w:r>
      <w:bookmarkEnd w:id="256"/>
    </w:p>
    <w:p>
      <w:pPr>
        <w:pStyle w:val="58"/>
        <w:ind w:firstLine="420"/>
      </w:pPr>
      <w:r>
        <w:t xml:space="preserve">（排污单位：）            </w:t>
      </w:r>
      <w:r>
        <w:rPr>
          <w:rFonts w:hint="eastAsia"/>
        </w:rPr>
        <w:t>系统</w:t>
      </w:r>
      <w:r>
        <w:t>已于</w:t>
      </w:r>
      <w:r>
        <w:rPr>
          <w:rFonts w:hint="eastAsia"/>
        </w:rPr>
        <w:t xml:space="preserve"> </w:t>
      </w:r>
      <w:r>
        <w:t xml:space="preserve">   年    月    日完成与 </w:t>
      </w:r>
      <w:r>
        <w:tab/>
      </w:r>
      <w:r>
        <w:t xml:space="preserve">  监控   中心联网，运行稳定，并于 </w:t>
      </w:r>
      <w:r>
        <w:rPr>
          <w:rFonts w:ascii="Times New Roman" w:eastAsia="Times New Roman"/>
          <w:w w:val="95"/>
          <w:u w:val="single" w:color="000000"/>
        </w:rPr>
        <w:tab/>
      </w:r>
      <w:r>
        <w:rPr>
          <w:rFonts w:ascii="Times New Roman" w:eastAsia="Times New Roman"/>
          <w:w w:val="95"/>
          <w:u w:val="single" w:color="000000"/>
        </w:rPr>
        <w:tab/>
      </w:r>
      <w:r>
        <w:t xml:space="preserve">年 </w:t>
      </w:r>
      <w:r>
        <w:rPr>
          <w:u w:val="single"/>
        </w:rPr>
        <w:t xml:space="preserve">  </w:t>
      </w:r>
      <w:r>
        <w:rPr>
          <w:rFonts w:ascii="Times New Roman" w:eastAsia="Times New Roman"/>
          <w:u w:val="single" w:color="000000"/>
        </w:rPr>
        <w:t xml:space="preserve"> </w:t>
      </w:r>
      <w:r>
        <w:t>月</w:t>
      </w:r>
      <w:r>
        <w:rPr>
          <w:u w:val="single"/>
        </w:rPr>
        <w:t xml:space="preserve">  </w:t>
      </w:r>
      <w:r>
        <w:rPr>
          <w:spacing w:val="2"/>
          <w:u w:val="single"/>
        </w:rPr>
        <w:t xml:space="preserve"> </w:t>
      </w:r>
      <w:r>
        <w:rPr>
          <w:rFonts w:ascii="Times New Roman" w:eastAsia="Times New Roman"/>
          <w:spacing w:val="2"/>
          <w:u w:val="single" w:color="000000"/>
        </w:rPr>
        <w:t xml:space="preserve"> </w:t>
      </w:r>
      <w:r>
        <w:t>日起连续</w:t>
      </w:r>
      <w:r>
        <w:rPr>
          <w:spacing w:val="-50"/>
        </w:rPr>
        <w:t xml:space="preserve"> </w:t>
      </w:r>
      <w:r>
        <w:rPr>
          <w:rFonts w:ascii="Times New Roman" w:eastAsia="Times New Roman"/>
        </w:rPr>
        <w:t>168</w:t>
      </w:r>
      <w:r>
        <w:rPr>
          <w:rFonts w:ascii="Times New Roman" w:eastAsia="Times New Roman"/>
          <w:spacing w:val="-1"/>
        </w:rPr>
        <w:t xml:space="preserve"> </w:t>
      </w:r>
      <w:r>
        <w:rPr>
          <w:rFonts w:hint="eastAsia"/>
        </w:rPr>
        <w:t>h</w:t>
      </w:r>
      <w:r>
        <w:t xml:space="preserve">各项因子数据传输符合监控中心的技术要求。数据传输率明细表如下： </w:t>
      </w:r>
    </w:p>
    <w:p>
      <w:pPr>
        <w:pStyle w:val="79"/>
        <w:numPr>
          <w:ilvl w:val="0"/>
          <w:numId w:val="0"/>
        </w:numPr>
        <w:spacing w:before="156" w:after="156"/>
      </w:pPr>
      <w:r>
        <w:rPr>
          <w:rFonts w:hint="eastAsia"/>
        </w:rPr>
        <w:t>表C</w:t>
      </w:r>
      <w:r>
        <w:t>.1</w:t>
      </w:r>
      <w:r>
        <w:rPr>
          <w:rFonts w:hint="eastAsia"/>
        </w:rPr>
        <w:t xml:space="preserve"> 系统运行数据采集和传输联网报告</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70"/>
        <w:gridCol w:w="2179"/>
        <w:gridCol w:w="1875"/>
        <w:gridCol w:w="1875"/>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70" w:type="dxa"/>
            <w:tcBorders>
              <w:top w:val="single" w:color="auto" w:sz="8" w:space="0"/>
              <w:bottom w:val="single" w:color="auto" w:sz="8" w:space="0"/>
            </w:tcBorders>
            <w:shd w:val="clear" w:color="auto" w:fill="auto"/>
            <w:vAlign w:val="center"/>
          </w:tcPr>
          <w:p>
            <w:pPr>
              <w:pStyle w:val="180"/>
            </w:pPr>
            <w:r>
              <w:rPr>
                <w:rFonts w:hint="eastAsia"/>
              </w:rPr>
              <w:t>序号</w:t>
            </w:r>
          </w:p>
        </w:tc>
        <w:tc>
          <w:tcPr>
            <w:tcW w:w="2179" w:type="dxa"/>
            <w:tcBorders>
              <w:top w:val="single" w:color="auto" w:sz="8" w:space="0"/>
              <w:bottom w:val="single" w:color="auto" w:sz="8" w:space="0"/>
            </w:tcBorders>
            <w:shd w:val="clear" w:color="auto" w:fill="auto"/>
          </w:tcPr>
          <w:p>
            <w:pPr>
              <w:pStyle w:val="180"/>
            </w:pPr>
            <w:r>
              <w:rPr>
                <w:rFonts w:hAnsi="宋体" w:cs="宋体"/>
                <w:szCs w:val="18"/>
              </w:rPr>
              <w:t>因子名称</w:t>
            </w:r>
          </w:p>
        </w:tc>
        <w:tc>
          <w:tcPr>
            <w:tcW w:w="1875" w:type="dxa"/>
            <w:tcBorders>
              <w:top w:val="single" w:color="auto" w:sz="8" w:space="0"/>
              <w:bottom w:val="single" w:color="auto" w:sz="8" w:space="0"/>
            </w:tcBorders>
            <w:shd w:val="clear" w:color="auto" w:fill="auto"/>
          </w:tcPr>
          <w:p>
            <w:pPr>
              <w:pStyle w:val="180"/>
            </w:pPr>
            <w:r>
              <w:rPr>
                <w:rFonts w:hAnsi="宋体" w:cs="宋体"/>
                <w:szCs w:val="18"/>
              </w:rPr>
              <w:t>因子编码</w:t>
            </w:r>
          </w:p>
        </w:tc>
        <w:tc>
          <w:tcPr>
            <w:tcW w:w="1875" w:type="dxa"/>
            <w:tcBorders>
              <w:top w:val="single" w:color="auto" w:sz="8" w:space="0"/>
              <w:bottom w:val="single" w:color="auto" w:sz="8" w:space="0"/>
            </w:tcBorders>
            <w:shd w:val="clear" w:color="auto" w:fill="auto"/>
          </w:tcPr>
          <w:p>
            <w:pPr>
              <w:pStyle w:val="180"/>
            </w:pPr>
            <w:r>
              <w:rPr>
                <w:rFonts w:hAnsi="宋体" w:cs="宋体"/>
                <w:szCs w:val="18"/>
              </w:rPr>
              <w:t>日期</w:t>
            </w:r>
          </w:p>
        </w:tc>
        <w:tc>
          <w:tcPr>
            <w:tcW w:w="1875" w:type="dxa"/>
            <w:tcBorders>
              <w:top w:val="single" w:color="auto" w:sz="8" w:space="0"/>
              <w:bottom w:val="single" w:color="auto" w:sz="8" w:space="0"/>
            </w:tcBorders>
            <w:shd w:val="clear" w:color="auto" w:fill="auto"/>
            <w:vAlign w:val="center"/>
          </w:tcPr>
          <w:p>
            <w:pPr>
              <w:pStyle w:val="180"/>
            </w:pPr>
            <w:r>
              <w:rPr>
                <w:rFonts w:hAnsi="宋体" w:cs="宋体"/>
                <w:szCs w:val="18"/>
              </w:rPr>
              <w:t>实时数据传输率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tcBorders>
              <w:top w:val="single" w:color="auto" w:sz="8" w:space="0"/>
            </w:tcBorders>
            <w:shd w:val="clear" w:color="auto" w:fill="auto"/>
            <w:vAlign w:val="center"/>
          </w:tcPr>
          <w:p>
            <w:pPr>
              <w:pStyle w:val="180"/>
              <w:numPr>
                <w:ilvl w:val="0"/>
                <w:numId w:val="45"/>
              </w:numPr>
            </w:pPr>
          </w:p>
        </w:tc>
        <w:tc>
          <w:tcPr>
            <w:tcW w:w="2179" w:type="dxa"/>
            <w:tcBorders>
              <w:top w:val="single" w:color="auto" w:sz="8" w:space="0"/>
            </w:tcBorders>
            <w:shd w:val="clear" w:color="auto" w:fill="auto"/>
            <w:vAlign w:val="center"/>
          </w:tcPr>
          <w:p>
            <w:pPr>
              <w:pStyle w:val="180"/>
            </w:pPr>
          </w:p>
        </w:tc>
        <w:tc>
          <w:tcPr>
            <w:tcW w:w="1875" w:type="dxa"/>
            <w:tcBorders>
              <w:top w:val="single" w:color="auto" w:sz="8" w:space="0"/>
            </w:tcBorders>
            <w:shd w:val="clear" w:color="auto" w:fill="auto"/>
            <w:vAlign w:val="center"/>
          </w:tcPr>
          <w:p>
            <w:pPr>
              <w:pStyle w:val="180"/>
            </w:pPr>
          </w:p>
        </w:tc>
        <w:tc>
          <w:tcPr>
            <w:tcW w:w="1875" w:type="dxa"/>
            <w:tcBorders>
              <w:top w:val="single" w:color="auto" w:sz="8" w:space="0"/>
            </w:tcBorders>
            <w:shd w:val="clear" w:color="auto" w:fill="auto"/>
            <w:vAlign w:val="center"/>
          </w:tcPr>
          <w:p>
            <w:pPr>
              <w:pStyle w:val="180"/>
            </w:pPr>
          </w:p>
        </w:tc>
        <w:tc>
          <w:tcPr>
            <w:tcW w:w="1875" w:type="dxa"/>
            <w:tcBorders>
              <w:top w:val="single" w:color="auto" w:sz="8" w:space="0"/>
            </w:tcBorders>
            <w:shd w:val="clear" w:color="auto" w:fill="auto"/>
            <w:vAlign w:val="center"/>
          </w:tcPr>
          <w:p>
            <w:pPr>
              <w:pStyle w:val="18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shd w:val="clear" w:color="auto" w:fill="auto"/>
            <w:vAlign w:val="center"/>
          </w:tcPr>
          <w:p>
            <w:pPr>
              <w:pStyle w:val="180"/>
              <w:numPr>
                <w:ilvl w:val="0"/>
                <w:numId w:val="45"/>
              </w:numPr>
            </w:pPr>
          </w:p>
        </w:tc>
        <w:tc>
          <w:tcPr>
            <w:tcW w:w="2179" w:type="dxa"/>
            <w:shd w:val="clear" w:color="auto" w:fill="auto"/>
            <w:vAlign w:val="center"/>
          </w:tcPr>
          <w:p>
            <w:pPr>
              <w:pStyle w:val="180"/>
            </w:pPr>
          </w:p>
        </w:tc>
        <w:tc>
          <w:tcPr>
            <w:tcW w:w="1875" w:type="dxa"/>
            <w:shd w:val="clear" w:color="auto" w:fill="auto"/>
            <w:vAlign w:val="center"/>
          </w:tcPr>
          <w:p>
            <w:pPr>
              <w:pStyle w:val="180"/>
            </w:pPr>
          </w:p>
        </w:tc>
        <w:tc>
          <w:tcPr>
            <w:tcW w:w="1875" w:type="dxa"/>
            <w:shd w:val="clear" w:color="auto" w:fill="auto"/>
            <w:vAlign w:val="center"/>
          </w:tcPr>
          <w:p>
            <w:pPr>
              <w:pStyle w:val="180"/>
            </w:pPr>
          </w:p>
        </w:tc>
        <w:tc>
          <w:tcPr>
            <w:tcW w:w="1875" w:type="dxa"/>
            <w:shd w:val="clear" w:color="auto" w:fill="auto"/>
            <w:vAlign w:val="center"/>
          </w:tcPr>
          <w:p>
            <w:pPr>
              <w:pStyle w:val="18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shd w:val="clear" w:color="auto" w:fill="auto"/>
            <w:vAlign w:val="center"/>
          </w:tcPr>
          <w:p>
            <w:pPr>
              <w:pStyle w:val="180"/>
              <w:numPr>
                <w:ilvl w:val="0"/>
                <w:numId w:val="45"/>
              </w:numPr>
            </w:pPr>
          </w:p>
        </w:tc>
        <w:tc>
          <w:tcPr>
            <w:tcW w:w="2179" w:type="dxa"/>
            <w:shd w:val="clear" w:color="auto" w:fill="auto"/>
            <w:vAlign w:val="center"/>
          </w:tcPr>
          <w:p>
            <w:pPr>
              <w:pStyle w:val="180"/>
            </w:pPr>
          </w:p>
        </w:tc>
        <w:tc>
          <w:tcPr>
            <w:tcW w:w="1875" w:type="dxa"/>
            <w:shd w:val="clear" w:color="auto" w:fill="auto"/>
            <w:vAlign w:val="center"/>
          </w:tcPr>
          <w:p>
            <w:pPr>
              <w:pStyle w:val="180"/>
            </w:pPr>
          </w:p>
        </w:tc>
        <w:tc>
          <w:tcPr>
            <w:tcW w:w="1875" w:type="dxa"/>
            <w:shd w:val="clear" w:color="auto" w:fill="auto"/>
            <w:vAlign w:val="center"/>
          </w:tcPr>
          <w:p>
            <w:pPr>
              <w:pStyle w:val="180"/>
            </w:pPr>
          </w:p>
        </w:tc>
        <w:tc>
          <w:tcPr>
            <w:tcW w:w="1875" w:type="dxa"/>
            <w:shd w:val="clear" w:color="auto" w:fill="auto"/>
            <w:vAlign w:val="center"/>
          </w:tcPr>
          <w:p>
            <w:pPr>
              <w:pStyle w:val="18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shd w:val="clear" w:color="auto" w:fill="auto"/>
            <w:vAlign w:val="center"/>
          </w:tcPr>
          <w:p>
            <w:pPr>
              <w:pStyle w:val="180"/>
              <w:numPr>
                <w:ilvl w:val="0"/>
                <w:numId w:val="45"/>
              </w:numPr>
            </w:pPr>
          </w:p>
        </w:tc>
        <w:tc>
          <w:tcPr>
            <w:tcW w:w="2179" w:type="dxa"/>
            <w:shd w:val="clear" w:color="auto" w:fill="auto"/>
            <w:vAlign w:val="center"/>
          </w:tcPr>
          <w:p>
            <w:pPr>
              <w:pStyle w:val="180"/>
            </w:pPr>
          </w:p>
        </w:tc>
        <w:tc>
          <w:tcPr>
            <w:tcW w:w="1875" w:type="dxa"/>
            <w:shd w:val="clear" w:color="auto" w:fill="auto"/>
            <w:vAlign w:val="center"/>
          </w:tcPr>
          <w:p>
            <w:pPr>
              <w:pStyle w:val="180"/>
            </w:pPr>
          </w:p>
        </w:tc>
        <w:tc>
          <w:tcPr>
            <w:tcW w:w="1875" w:type="dxa"/>
            <w:shd w:val="clear" w:color="auto" w:fill="auto"/>
            <w:vAlign w:val="center"/>
          </w:tcPr>
          <w:p>
            <w:pPr>
              <w:pStyle w:val="180"/>
            </w:pPr>
          </w:p>
        </w:tc>
        <w:tc>
          <w:tcPr>
            <w:tcW w:w="1875" w:type="dxa"/>
            <w:shd w:val="clear" w:color="auto" w:fill="auto"/>
            <w:vAlign w:val="center"/>
          </w:tcPr>
          <w:p>
            <w:pPr>
              <w:pStyle w:val="18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shd w:val="clear" w:color="auto" w:fill="auto"/>
            <w:vAlign w:val="center"/>
          </w:tcPr>
          <w:p>
            <w:pPr>
              <w:pStyle w:val="180"/>
              <w:numPr>
                <w:ilvl w:val="0"/>
                <w:numId w:val="45"/>
              </w:numPr>
            </w:pPr>
          </w:p>
        </w:tc>
        <w:tc>
          <w:tcPr>
            <w:tcW w:w="2179" w:type="dxa"/>
            <w:shd w:val="clear" w:color="auto" w:fill="auto"/>
            <w:vAlign w:val="center"/>
          </w:tcPr>
          <w:p>
            <w:pPr>
              <w:pStyle w:val="180"/>
            </w:pPr>
          </w:p>
        </w:tc>
        <w:tc>
          <w:tcPr>
            <w:tcW w:w="1875" w:type="dxa"/>
            <w:shd w:val="clear" w:color="auto" w:fill="auto"/>
            <w:vAlign w:val="center"/>
          </w:tcPr>
          <w:p>
            <w:pPr>
              <w:pStyle w:val="180"/>
            </w:pPr>
          </w:p>
        </w:tc>
        <w:tc>
          <w:tcPr>
            <w:tcW w:w="1875" w:type="dxa"/>
            <w:shd w:val="clear" w:color="auto" w:fill="auto"/>
            <w:vAlign w:val="center"/>
          </w:tcPr>
          <w:p>
            <w:pPr>
              <w:pStyle w:val="180"/>
            </w:pPr>
          </w:p>
        </w:tc>
        <w:tc>
          <w:tcPr>
            <w:tcW w:w="1875" w:type="dxa"/>
            <w:shd w:val="clear" w:color="auto" w:fill="auto"/>
            <w:vAlign w:val="center"/>
          </w:tcPr>
          <w:p>
            <w:pPr>
              <w:pStyle w:val="18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shd w:val="clear" w:color="auto" w:fill="auto"/>
            <w:vAlign w:val="center"/>
          </w:tcPr>
          <w:p>
            <w:pPr>
              <w:pStyle w:val="180"/>
              <w:numPr>
                <w:ilvl w:val="0"/>
                <w:numId w:val="45"/>
              </w:numPr>
            </w:pPr>
          </w:p>
        </w:tc>
        <w:tc>
          <w:tcPr>
            <w:tcW w:w="2179" w:type="dxa"/>
            <w:shd w:val="clear" w:color="auto" w:fill="auto"/>
            <w:vAlign w:val="center"/>
          </w:tcPr>
          <w:p>
            <w:pPr>
              <w:pStyle w:val="180"/>
            </w:pPr>
          </w:p>
        </w:tc>
        <w:tc>
          <w:tcPr>
            <w:tcW w:w="1875" w:type="dxa"/>
            <w:shd w:val="clear" w:color="auto" w:fill="auto"/>
            <w:vAlign w:val="center"/>
          </w:tcPr>
          <w:p>
            <w:pPr>
              <w:pStyle w:val="180"/>
            </w:pPr>
          </w:p>
        </w:tc>
        <w:tc>
          <w:tcPr>
            <w:tcW w:w="1875" w:type="dxa"/>
            <w:shd w:val="clear" w:color="auto" w:fill="auto"/>
            <w:vAlign w:val="center"/>
          </w:tcPr>
          <w:p>
            <w:pPr>
              <w:pStyle w:val="180"/>
            </w:pPr>
          </w:p>
        </w:tc>
        <w:tc>
          <w:tcPr>
            <w:tcW w:w="1875" w:type="dxa"/>
            <w:shd w:val="clear" w:color="auto" w:fill="auto"/>
            <w:vAlign w:val="center"/>
          </w:tcPr>
          <w:p>
            <w:pPr>
              <w:pStyle w:val="180"/>
            </w:pPr>
          </w:p>
        </w:tc>
      </w:tr>
    </w:tbl>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sectPr>
          <w:headerReference r:id="rId35" w:type="default"/>
          <w:footerReference r:id="rId37" w:type="default"/>
          <w:headerReference r:id="rId36" w:type="even"/>
          <w:footerReference r:id="rId38" w:type="even"/>
          <w:pgSz w:w="11906" w:h="16838"/>
          <w:pgMar w:top="2410" w:right="1134" w:bottom="1134" w:left="1134" w:header="1418" w:footer="1134" w:gutter="284"/>
          <w:cols w:space="425" w:num="1"/>
          <w:formProt w:val="0"/>
          <w:docGrid w:type="lines" w:linePitch="312" w:charSpace="0"/>
        </w:sectPr>
      </w:pPr>
    </w:p>
    <w:bookmarkEnd w:id="223"/>
    <w:p>
      <w:pPr>
        <w:pStyle w:val="65"/>
        <w:spacing w:before="124" w:after="156"/>
      </w:pPr>
      <w:bookmarkStart w:id="257" w:name="_Toc158142713"/>
      <w:bookmarkStart w:id="258" w:name="_Toc147566914"/>
      <w:bookmarkStart w:id="259" w:name="_Toc171604873"/>
      <w:bookmarkStart w:id="260" w:name="_Toc167289354"/>
      <w:bookmarkStart w:id="261" w:name="_Toc170827900"/>
      <w:bookmarkStart w:id="262" w:name="_Toc157089425"/>
      <w:bookmarkStart w:id="263" w:name="_Toc158298193"/>
      <w:bookmarkStart w:id="264" w:name="_Toc171675727"/>
      <w:bookmarkStart w:id="265" w:name="_Toc160544802"/>
      <w:bookmarkStart w:id="266" w:name="_Toc158298588"/>
      <w:bookmarkStart w:id="267" w:name="_Toc146206964"/>
      <w:bookmarkStart w:id="268" w:name="BookMark6"/>
      <w:r>
        <w:rPr>
          <w:rFonts w:hint="eastAsia"/>
          <w:spacing w:val="105"/>
        </w:rPr>
        <w:t>参考文</w:t>
      </w:r>
      <w:r>
        <w:rPr>
          <w:rFonts w:hint="eastAsia"/>
        </w:rPr>
        <w:t>献</w:t>
      </w:r>
      <w:bookmarkEnd w:id="257"/>
      <w:bookmarkEnd w:id="258"/>
      <w:bookmarkEnd w:id="259"/>
      <w:bookmarkEnd w:id="260"/>
      <w:bookmarkEnd w:id="261"/>
      <w:bookmarkEnd w:id="262"/>
      <w:bookmarkEnd w:id="263"/>
      <w:bookmarkEnd w:id="264"/>
      <w:bookmarkEnd w:id="265"/>
      <w:bookmarkEnd w:id="266"/>
      <w:bookmarkEnd w:id="267"/>
    </w:p>
    <w:p>
      <w:pPr>
        <w:pStyle w:val="58"/>
        <w:numPr>
          <w:ilvl w:val="0"/>
          <w:numId w:val="46"/>
        </w:numPr>
        <w:ind w:firstLineChars="0"/>
      </w:pPr>
      <w:r>
        <w:rPr>
          <w:rFonts w:hint="eastAsia"/>
        </w:rPr>
        <w:t>GB 37822-2019</w:t>
      </w:r>
      <w:r>
        <w:t xml:space="preserve">  </w:t>
      </w:r>
      <w:r>
        <w:rPr>
          <w:rFonts w:hint="eastAsia"/>
        </w:rPr>
        <w:t>挥发性有机物无组织排放控制标准</w:t>
      </w:r>
    </w:p>
    <w:p>
      <w:pPr>
        <w:pStyle w:val="58"/>
        <w:numPr>
          <w:ilvl w:val="0"/>
          <w:numId w:val="46"/>
        </w:numPr>
        <w:ind w:left="0" w:firstLine="424" w:firstLineChars="202"/>
      </w:pPr>
      <w:r>
        <w:t xml:space="preserve">HJ 75-2017  </w:t>
      </w:r>
      <w:r>
        <w:rPr>
          <w:rFonts w:hint="eastAsia"/>
        </w:rPr>
        <w:t>固定污染源烟气（</w:t>
      </w:r>
      <w:r>
        <w:t>SO</w:t>
      </w:r>
      <w:r>
        <w:rPr>
          <w:vertAlign w:val="subscript"/>
        </w:rPr>
        <w:t>2</w:t>
      </w:r>
      <w:r>
        <w:rPr>
          <w:rFonts w:hint="eastAsia"/>
        </w:rPr>
        <w:t>、</w:t>
      </w:r>
      <w:r>
        <w:t>NO</w:t>
      </w:r>
      <w:r>
        <w:rPr>
          <w:rFonts w:hint="eastAsia"/>
          <w:vertAlign w:val="subscript"/>
        </w:rPr>
        <w:t>x</w:t>
      </w:r>
      <w:r>
        <w:rPr>
          <w:rFonts w:hint="eastAsia"/>
        </w:rPr>
        <w:t>、颗粒物）排放连续监测技术规范</w:t>
      </w:r>
    </w:p>
    <w:p>
      <w:pPr>
        <w:pStyle w:val="58"/>
        <w:numPr>
          <w:ilvl w:val="0"/>
          <w:numId w:val="46"/>
        </w:numPr>
        <w:ind w:firstLineChars="0"/>
      </w:pPr>
      <w:r>
        <w:t xml:space="preserve">HJ 76-2017  </w:t>
      </w:r>
      <w:r>
        <w:rPr>
          <w:rFonts w:hint="eastAsia"/>
        </w:rPr>
        <w:t>固定污染源烟气（SO</w:t>
      </w:r>
      <w:r>
        <w:rPr>
          <w:rFonts w:hint="eastAsia"/>
          <w:vertAlign w:val="subscript"/>
        </w:rPr>
        <w:t>2</w:t>
      </w:r>
      <w:r>
        <w:rPr>
          <w:rFonts w:hint="eastAsia"/>
        </w:rPr>
        <w:t>、NO</w:t>
      </w:r>
      <w:r>
        <w:rPr>
          <w:rFonts w:hint="eastAsia"/>
          <w:vertAlign w:val="subscript"/>
        </w:rPr>
        <w:t>x</w:t>
      </w:r>
      <w:r>
        <w:rPr>
          <w:rFonts w:hint="eastAsia"/>
        </w:rPr>
        <w:t>、颗粒物）排放连续监测系统技术要求及检测方法</w:t>
      </w:r>
    </w:p>
    <w:p>
      <w:pPr>
        <w:pStyle w:val="58"/>
        <w:numPr>
          <w:ilvl w:val="0"/>
          <w:numId w:val="46"/>
        </w:numPr>
        <w:ind w:firstLineChars="0"/>
      </w:pPr>
      <w:r>
        <w:rPr>
          <w:rFonts w:hint="eastAsia"/>
        </w:rPr>
        <w:t>HJ</w:t>
      </w:r>
      <w:r>
        <w:t xml:space="preserve"> 1286</w:t>
      </w:r>
      <w:r>
        <w:rPr>
          <w:rFonts w:hint="eastAsia"/>
        </w:rPr>
        <w:t>-20</w:t>
      </w:r>
      <w:r>
        <w:t xml:space="preserve">23  </w:t>
      </w:r>
      <w:r>
        <w:rPr>
          <w:rFonts w:hint="eastAsia"/>
        </w:rPr>
        <w:t>固定污染源废气 非甲烷总烃连续监测技术规范</w:t>
      </w:r>
    </w:p>
    <w:p>
      <w:pPr>
        <w:pStyle w:val="58"/>
        <w:numPr>
          <w:ilvl w:val="0"/>
          <w:numId w:val="46"/>
        </w:numPr>
        <w:ind w:firstLineChars="0"/>
      </w:pPr>
      <w:r>
        <w:rPr>
          <w:rFonts w:hint="eastAsia"/>
        </w:rPr>
        <w:t>T/GDAEPI 06-2022 广东省固定污染源挥发性有机物排放过程监控系统技术规范</w:t>
      </w:r>
    </w:p>
    <w:p>
      <w:pPr>
        <w:pStyle w:val="58"/>
        <w:numPr>
          <w:ilvl w:val="0"/>
          <w:numId w:val="46"/>
        </w:numPr>
        <w:ind w:firstLineChars="0"/>
      </w:pPr>
      <w:r>
        <w:rPr>
          <w:rFonts w:hint="eastAsia"/>
        </w:rPr>
        <w:t>T</w:t>
      </w:r>
      <w:r>
        <w:t xml:space="preserve">/EERT 030-2022  </w:t>
      </w:r>
      <w:r>
        <w:rPr>
          <w:rFonts w:hint="eastAsia"/>
        </w:rPr>
        <w:t>挥发性有机物污染治理工况自动监控技术规范</w:t>
      </w:r>
    </w:p>
    <w:p>
      <w:pPr>
        <w:pStyle w:val="58"/>
        <w:numPr>
          <w:ilvl w:val="0"/>
          <w:numId w:val="46"/>
        </w:numPr>
        <w:ind w:firstLineChars="0"/>
      </w:pPr>
      <w:r>
        <w:rPr>
          <w:rFonts w:hint="eastAsia"/>
        </w:rPr>
        <w:t>污染源自动监控管理办法(国家环境保护总局</w:t>
      </w:r>
      <w:r>
        <w:rPr>
          <w:rFonts w:hint="eastAsia" w:hAnsi="宋体"/>
        </w:rPr>
        <w:t>﹝</w:t>
      </w:r>
      <w:r>
        <w:rPr>
          <w:rFonts w:hint="eastAsia"/>
        </w:rPr>
        <w:t>2</w:t>
      </w:r>
      <w:r>
        <w:t>005</w:t>
      </w:r>
      <w:r>
        <w:rPr>
          <w:rFonts w:hint="eastAsia" w:hAnsi="宋体"/>
        </w:rPr>
        <w:t>﹞</w:t>
      </w:r>
      <w:r>
        <w:rPr>
          <w:rFonts w:hint="eastAsia"/>
        </w:rPr>
        <w:t>第28号令)</w:t>
      </w:r>
    </w:p>
    <w:p>
      <w:pPr>
        <w:pStyle w:val="58"/>
        <w:ind w:firstLine="420"/>
      </w:pPr>
    </w:p>
    <w:p>
      <w:pPr>
        <w:pStyle w:val="111"/>
        <w:numPr>
          <w:ilvl w:val="0"/>
          <w:numId w:val="0"/>
        </w:numPr>
        <w:ind w:left="851"/>
      </w:pPr>
    </w:p>
    <w:bookmarkEnd w:id="268"/>
    <w:p>
      <w:pPr>
        <w:pStyle w:val="176"/>
        <w:numPr>
          <w:ilvl w:val="0"/>
          <w:numId w:val="0"/>
        </w:numPr>
        <w:ind w:left="425"/>
        <w:jc w:val="center"/>
      </w:pPr>
      <w:bookmarkStart w:id="269" w:name="BookMark8"/>
      <w:r>
        <w:drawing>
          <wp:inline distT="0" distB="0" distL="0" distR="0">
            <wp:extent cx="1485900" cy="317500"/>
            <wp:effectExtent l="0" t="0" r="0" b="635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4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69"/>
    </w:p>
    <w:p/>
    <w:p/>
    <w:p/>
    <w:p/>
    <w:p/>
    <w:p/>
    <w:p/>
    <w:p/>
    <w:p/>
    <w:p/>
    <w:p/>
    <w:p/>
    <w:p/>
    <w:p/>
    <w:p>
      <w:pPr>
        <w:tabs>
          <w:tab w:val="left" w:pos="2383"/>
        </w:tabs>
        <w:jc w:val="left"/>
      </w:pPr>
    </w:p>
    <w:p>
      <w:pPr>
        <w:tabs>
          <w:tab w:val="left" w:pos="2383"/>
        </w:tabs>
        <w:jc w:val="left"/>
      </w:pPr>
    </w:p>
    <w:p>
      <w:pPr>
        <w:tabs>
          <w:tab w:val="left" w:pos="2383"/>
        </w:tabs>
        <w:jc w:val="left"/>
      </w:pPr>
    </w:p>
    <w:p>
      <w:pPr>
        <w:tabs>
          <w:tab w:val="left" w:pos="2383"/>
        </w:tabs>
        <w:jc w:val="left"/>
      </w:pPr>
    </w:p>
    <w:p>
      <w:pPr>
        <w:tabs>
          <w:tab w:val="left" w:pos="2383"/>
        </w:tabs>
        <w:jc w:val="left"/>
      </w:pPr>
    </w:p>
    <w:p>
      <w:pPr>
        <w:tabs>
          <w:tab w:val="left" w:pos="2383"/>
        </w:tabs>
        <w:jc w:val="left"/>
      </w:pPr>
    </w:p>
    <w:p>
      <w:pPr>
        <w:tabs>
          <w:tab w:val="left" w:pos="2383"/>
        </w:tabs>
        <w:jc w:val="left"/>
      </w:pPr>
    </w:p>
    <w:p>
      <w:pPr>
        <w:tabs>
          <w:tab w:val="left" w:pos="2383"/>
        </w:tabs>
        <w:jc w:val="left"/>
      </w:pPr>
    </w:p>
    <w:sectPr>
      <w:headerReference r:id="rId39" w:type="default"/>
      <w:footerReference r:id="rId41" w:type="default"/>
      <w:headerReference r:id="rId40" w:type="even"/>
      <w:footerReference r:id="rId42" w:type="even"/>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4</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13</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14</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15</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16</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15</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3</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15</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DB4413/T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DB4413/T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DB4413/T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DB4413/T 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DB4413/T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DB4413/T XXXX—XXXX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DB4413/T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DB4413/T XXXX—XXXX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DB4413/T XXXX—XXXX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DB4413/T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DB4413/T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DB4413/T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DB4413/T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DB4413/T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DB4413/T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DB4413/T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0943725"/>
    <w:multiLevelType w:val="multilevel"/>
    <w:tmpl w:val="10943725"/>
    <w:lvl w:ilvl="0" w:tentative="0">
      <w:start w:val="1"/>
      <w:numFmt w:val="decimal"/>
      <w:suff w:val="spac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7E05B1"/>
    <w:multiLevelType w:val="multilevel"/>
    <w:tmpl w:val="1E7E05B1"/>
    <w:lvl w:ilvl="0" w:tentative="0">
      <w:start w:val="4"/>
      <w:numFmt w:val="decimal"/>
      <w:lvlText w:val="%1"/>
      <w:lvlJc w:val="left"/>
      <w:pPr>
        <w:ind w:left="770" w:hanging="770"/>
      </w:pPr>
      <w:rPr>
        <w:rFonts w:hint="default"/>
      </w:rPr>
    </w:lvl>
    <w:lvl w:ilvl="1" w:tentative="0">
      <w:start w:val="2"/>
      <w:numFmt w:val="decimal"/>
      <w:lvlText w:val="%1.%2"/>
      <w:lvlJc w:val="left"/>
      <w:pPr>
        <w:ind w:left="770" w:hanging="770"/>
      </w:pPr>
      <w:rPr>
        <w:rFonts w:hint="default"/>
      </w:rPr>
    </w:lvl>
    <w:lvl w:ilvl="2" w:tentative="0">
      <w:start w:val="4"/>
      <w:numFmt w:val="decimal"/>
      <w:lvlText w:val="%1.%2.%3"/>
      <w:lvlJc w:val="left"/>
      <w:pPr>
        <w:ind w:left="770" w:hanging="770"/>
      </w:pPr>
      <w:rPr>
        <w:rFonts w:hint="default"/>
      </w:rPr>
    </w:lvl>
    <w:lvl w:ilvl="3" w:tentative="0">
      <w:start w:val="1"/>
      <w:numFmt w:val="decimal"/>
      <w:suff w:val="space"/>
      <w:lvlText w:val="%1.%2.%3.%4"/>
      <w:lvlJc w:val="left"/>
      <w:pPr>
        <w:ind w:left="1080" w:hanging="1080"/>
      </w:pPr>
      <w:rPr>
        <w:rFonts w:hint="eastAsia" w:ascii="黑体" w:hAnsi="黑体" w:eastAsia="黑体"/>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1">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2F5212A2"/>
    <w:multiLevelType w:val="multilevel"/>
    <w:tmpl w:val="2F5212A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3109720A"/>
    <w:multiLevelType w:val="multilevel"/>
    <w:tmpl w:val="3109720A"/>
    <w:lvl w:ilvl="0" w:tentative="0">
      <w:start w:val="1"/>
      <w:numFmt w:val="decimal"/>
      <w:suff w:val="spac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6">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13A525B"/>
    <w:multiLevelType w:val="multilevel"/>
    <w:tmpl w:val="513A525B"/>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2">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1E31C81"/>
    <w:multiLevelType w:val="multilevel"/>
    <w:tmpl w:val="61E31C81"/>
    <w:lvl w:ilvl="0" w:tentative="0">
      <w:start w:val="4"/>
      <w:numFmt w:val="decimal"/>
      <w:lvlText w:val="%1"/>
      <w:lvlJc w:val="left"/>
      <w:pPr>
        <w:ind w:left="770" w:hanging="770"/>
      </w:pPr>
      <w:rPr>
        <w:rFonts w:hint="default"/>
      </w:rPr>
    </w:lvl>
    <w:lvl w:ilvl="1" w:tentative="0">
      <w:start w:val="2"/>
      <w:numFmt w:val="decimal"/>
      <w:lvlText w:val="%1.%2"/>
      <w:lvlJc w:val="left"/>
      <w:pPr>
        <w:ind w:left="770" w:hanging="770"/>
      </w:pPr>
      <w:rPr>
        <w:rFonts w:hint="default"/>
      </w:rPr>
    </w:lvl>
    <w:lvl w:ilvl="2" w:tentative="0">
      <w:start w:val="3"/>
      <w:numFmt w:val="decimal"/>
      <w:lvlText w:val="%1.%2.%3"/>
      <w:lvlJc w:val="left"/>
      <w:pPr>
        <w:ind w:left="770" w:hanging="770"/>
      </w:pPr>
      <w:rPr>
        <w:rFonts w:hint="default"/>
      </w:rPr>
    </w:lvl>
    <w:lvl w:ilvl="3" w:tentative="0">
      <w:start w:val="1"/>
      <w:numFmt w:val="decimal"/>
      <w:suff w:val="space"/>
      <w:lvlText w:val="%1.%2.%3.%4"/>
      <w:lvlJc w:val="left"/>
      <w:pPr>
        <w:ind w:left="1080" w:hanging="1080"/>
      </w:pPr>
      <w:rPr>
        <w:rFonts w:hint="default" w:ascii="黑体" w:hAnsi="黑体" w:eastAsia="黑体"/>
        <w:sz w:val="21"/>
        <w:szCs w:val="21"/>
      </w:rPr>
    </w:lvl>
    <w:lvl w:ilvl="4" w:tentative="0">
      <w:start w:val="1"/>
      <w:numFmt w:val="decimal"/>
      <w:suff w:val="space"/>
      <w:lvlText w:val="%1.%2.%3.%4.%5"/>
      <w:lvlJc w:val="left"/>
      <w:pPr>
        <w:ind w:left="1080" w:hanging="1080"/>
      </w:pPr>
      <w:rPr>
        <w:rFonts w:hint="default" w:ascii="黑体" w:hAnsi="黑体" w:eastAsia="黑体"/>
        <w:sz w:val="21"/>
        <w:szCs w:val="21"/>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26">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lang w:val="en-US"/>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5C7542F"/>
    <w:multiLevelType w:val="multilevel"/>
    <w:tmpl w:val="65C7542F"/>
    <w:lvl w:ilvl="0" w:tentative="0">
      <w:start w:val="1"/>
      <w:numFmt w:val="decimal"/>
      <w:suff w:val="spac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2">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hAns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5">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6">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7">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4"/>
  </w:num>
  <w:num w:numId="3">
    <w:abstractNumId w:val="5"/>
  </w:num>
  <w:num w:numId="4">
    <w:abstractNumId w:val="29"/>
  </w:num>
  <w:num w:numId="5">
    <w:abstractNumId w:val="23"/>
  </w:num>
  <w:num w:numId="6">
    <w:abstractNumId w:val="17"/>
  </w:num>
  <w:num w:numId="7">
    <w:abstractNumId w:val="9"/>
  </w:num>
  <w:num w:numId="8">
    <w:abstractNumId w:val="3"/>
  </w:num>
  <w:num w:numId="9">
    <w:abstractNumId w:val="11"/>
  </w:num>
  <w:num w:numId="10">
    <w:abstractNumId w:val="21"/>
  </w:num>
  <w:num w:numId="11">
    <w:abstractNumId w:val="32"/>
  </w:num>
  <w:num w:numId="12">
    <w:abstractNumId w:val="15"/>
  </w:num>
  <w:num w:numId="13">
    <w:abstractNumId w:val="16"/>
  </w:num>
  <w:num w:numId="14">
    <w:abstractNumId w:val="8"/>
  </w:num>
  <w:num w:numId="15">
    <w:abstractNumId w:val="24"/>
  </w:num>
  <w:num w:numId="16">
    <w:abstractNumId w:val="27"/>
  </w:num>
  <w:num w:numId="17">
    <w:abstractNumId w:val="22"/>
  </w:num>
  <w:num w:numId="18">
    <w:abstractNumId w:val="36"/>
  </w:num>
  <w:num w:numId="19">
    <w:abstractNumId w:val="19"/>
  </w:num>
  <w:num w:numId="20">
    <w:abstractNumId w:val="1"/>
  </w:num>
  <w:num w:numId="21">
    <w:abstractNumId w:val="12"/>
  </w:num>
  <w:num w:numId="22">
    <w:abstractNumId w:val="37"/>
  </w:num>
  <w:num w:numId="23">
    <w:abstractNumId w:val="26"/>
  </w:num>
  <w:num w:numId="24">
    <w:abstractNumId w:val="6"/>
  </w:num>
  <w:num w:numId="25">
    <w:abstractNumId w:val="33"/>
  </w:num>
  <w:num w:numId="26">
    <w:abstractNumId w:val="35"/>
  </w:num>
  <w:num w:numId="27">
    <w:abstractNumId w:val="2"/>
  </w:num>
  <w:num w:numId="28">
    <w:abstractNumId w:val="4"/>
  </w:num>
  <w:num w:numId="29">
    <w:abstractNumId w:val="18"/>
  </w:num>
  <w:num w:numId="30">
    <w:abstractNumId w:val="31"/>
  </w:num>
  <w:num w:numId="31">
    <w:abstractNumId w:val="28"/>
  </w:num>
  <w:num w:numId="32">
    <w:abstractNumId w:val="25"/>
  </w:num>
  <w:num w:numId="33">
    <w:abstractNumId w:val="10"/>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30"/>
  </w:num>
  <w:num w:numId="45">
    <w:abstractNumId w:val="7"/>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1206FA"/>
    <w:rsid w:val="0000040A"/>
    <w:rsid w:val="00000A94"/>
    <w:rsid w:val="00001972"/>
    <w:rsid w:val="00001D9A"/>
    <w:rsid w:val="00002643"/>
    <w:rsid w:val="00003307"/>
    <w:rsid w:val="000068AC"/>
    <w:rsid w:val="00007A6E"/>
    <w:rsid w:val="00007B3A"/>
    <w:rsid w:val="00007F88"/>
    <w:rsid w:val="000107E0"/>
    <w:rsid w:val="000115E1"/>
    <w:rsid w:val="00011FDE"/>
    <w:rsid w:val="00012501"/>
    <w:rsid w:val="00012FFD"/>
    <w:rsid w:val="00014162"/>
    <w:rsid w:val="00014340"/>
    <w:rsid w:val="0001601D"/>
    <w:rsid w:val="00016A9C"/>
    <w:rsid w:val="00022184"/>
    <w:rsid w:val="00022762"/>
    <w:rsid w:val="000227FD"/>
    <w:rsid w:val="000238E0"/>
    <w:rsid w:val="000249DB"/>
    <w:rsid w:val="0002595E"/>
    <w:rsid w:val="00026631"/>
    <w:rsid w:val="000303C3"/>
    <w:rsid w:val="00030DA1"/>
    <w:rsid w:val="000331D3"/>
    <w:rsid w:val="000346A5"/>
    <w:rsid w:val="000357C2"/>
    <w:rsid w:val="000359C3"/>
    <w:rsid w:val="00035A7D"/>
    <w:rsid w:val="00035C62"/>
    <w:rsid w:val="000365ED"/>
    <w:rsid w:val="00036A11"/>
    <w:rsid w:val="000373B5"/>
    <w:rsid w:val="00037A82"/>
    <w:rsid w:val="000404F2"/>
    <w:rsid w:val="00040F4D"/>
    <w:rsid w:val="0004249A"/>
    <w:rsid w:val="00043282"/>
    <w:rsid w:val="00044286"/>
    <w:rsid w:val="00046D4E"/>
    <w:rsid w:val="00047F28"/>
    <w:rsid w:val="000503AA"/>
    <w:rsid w:val="000506A1"/>
    <w:rsid w:val="0005156D"/>
    <w:rsid w:val="000515DD"/>
    <w:rsid w:val="0005265A"/>
    <w:rsid w:val="000539DD"/>
    <w:rsid w:val="00053BD3"/>
    <w:rsid w:val="000556ED"/>
    <w:rsid w:val="00055958"/>
    <w:rsid w:val="00055FE2"/>
    <w:rsid w:val="0005616F"/>
    <w:rsid w:val="00057D4F"/>
    <w:rsid w:val="00060B1F"/>
    <w:rsid w:val="00060C2E"/>
    <w:rsid w:val="00061033"/>
    <w:rsid w:val="000619E9"/>
    <w:rsid w:val="000622D4"/>
    <w:rsid w:val="0006357D"/>
    <w:rsid w:val="00067E9F"/>
    <w:rsid w:val="00067ECB"/>
    <w:rsid w:val="00067F1E"/>
    <w:rsid w:val="00071CC0"/>
    <w:rsid w:val="0007334C"/>
    <w:rsid w:val="00073C8C"/>
    <w:rsid w:val="00075AE9"/>
    <w:rsid w:val="00077B64"/>
    <w:rsid w:val="00080A1C"/>
    <w:rsid w:val="00080C2D"/>
    <w:rsid w:val="00080F3C"/>
    <w:rsid w:val="00082317"/>
    <w:rsid w:val="00083D2C"/>
    <w:rsid w:val="0008581A"/>
    <w:rsid w:val="00085D7B"/>
    <w:rsid w:val="00086AA1"/>
    <w:rsid w:val="00087A77"/>
    <w:rsid w:val="00090CA6"/>
    <w:rsid w:val="000916B9"/>
    <w:rsid w:val="00092B8A"/>
    <w:rsid w:val="00092FB0"/>
    <w:rsid w:val="000934C5"/>
    <w:rsid w:val="00093D25"/>
    <w:rsid w:val="00093DAB"/>
    <w:rsid w:val="0009439C"/>
    <w:rsid w:val="00094D73"/>
    <w:rsid w:val="00096D63"/>
    <w:rsid w:val="000A0B60"/>
    <w:rsid w:val="000A0EB8"/>
    <w:rsid w:val="000A0FD3"/>
    <w:rsid w:val="000A19FC"/>
    <w:rsid w:val="000A296B"/>
    <w:rsid w:val="000A2FEE"/>
    <w:rsid w:val="000A6219"/>
    <w:rsid w:val="000A7311"/>
    <w:rsid w:val="000A7358"/>
    <w:rsid w:val="000B060F"/>
    <w:rsid w:val="000B1592"/>
    <w:rsid w:val="000B1FF2"/>
    <w:rsid w:val="000B3CDA"/>
    <w:rsid w:val="000B451F"/>
    <w:rsid w:val="000B6A0B"/>
    <w:rsid w:val="000B7BC8"/>
    <w:rsid w:val="000C0F6C"/>
    <w:rsid w:val="000C11DB"/>
    <w:rsid w:val="000C130D"/>
    <w:rsid w:val="000C1492"/>
    <w:rsid w:val="000C26D1"/>
    <w:rsid w:val="000C2FBD"/>
    <w:rsid w:val="000C324F"/>
    <w:rsid w:val="000C3911"/>
    <w:rsid w:val="000C4B41"/>
    <w:rsid w:val="000C57D6"/>
    <w:rsid w:val="000C6362"/>
    <w:rsid w:val="000C6CFB"/>
    <w:rsid w:val="000C7666"/>
    <w:rsid w:val="000D0842"/>
    <w:rsid w:val="000D0A9C"/>
    <w:rsid w:val="000D1795"/>
    <w:rsid w:val="000D329A"/>
    <w:rsid w:val="000D4B9C"/>
    <w:rsid w:val="000D4EB6"/>
    <w:rsid w:val="000D60EB"/>
    <w:rsid w:val="000D6CD2"/>
    <w:rsid w:val="000D753B"/>
    <w:rsid w:val="000E0CA6"/>
    <w:rsid w:val="000E150D"/>
    <w:rsid w:val="000E4AF6"/>
    <w:rsid w:val="000E4C9E"/>
    <w:rsid w:val="000E52CF"/>
    <w:rsid w:val="000E67DE"/>
    <w:rsid w:val="000E6FA2"/>
    <w:rsid w:val="000E6FD7"/>
    <w:rsid w:val="000E7435"/>
    <w:rsid w:val="000F06E1"/>
    <w:rsid w:val="000F0E3C"/>
    <w:rsid w:val="000F19D5"/>
    <w:rsid w:val="000F2C79"/>
    <w:rsid w:val="000F4AEA"/>
    <w:rsid w:val="000F633F"/>
    <w:rsid w:val="000F67E9"/>
    <w:rsid w:val="00104027"/>
    <w:rsid w:val="001040B1"/>
    <w:rsid w:val="00104926"/>
    <w:rsid w:val="0011135B"/>
    <w:rsid w:val="001118FB"/>
    <w:rsid w:val="00113B1E"/>
    <w:rsid w:val="0011711C"/>
    <w:rsid w:val="0012059C"/>
    <w:rsid w:val="001206FA"/>
    <w:rsid w:val="001229BA"/>
    <w:rsid w:val="00123F43"/>
    <w:rsid w:val="00124E4F"/>
    <w:rsid w:val="00125930"/>
    <w:rsid w:val="001260B7"/>
    <w:rsid w:val="001265CB"/>
    <w:rsid w:val="001274C8"/>
    <w:rsid w:val="001321C6"/>
    <w:rsid w:val="0013248D"/>
    <w:rsid w:val="001325C4"/>
    <w:rsid w:val="00132ABF"/>
    <w:rsid w:val="00133010"/>
    <w:rsid w:val="001338EE"/>
    <w:rsid w:val="00133AAE"/>
    <w:rsid w:val="00135323"/>
    <w:rsid w:val="001356C4"/>
    <w:rsid w:val="00141114"/>
    <w:rsid w:val="00141239"/>
    <w:rsid w:val="00141637"/>
    <w:rsid w:val="00141C96"/>
    <w:rsid w:val="0014227A"/>
    <w:rsid w:val="0014295B"/>
    <w:rsid w:val="00142969"/>
    <w:rsid w:val="0014447A"/>
    <w:rsid w:val="001446C2"/>
    <w:rsid w:val="001457E7"/>
    <w:rsid w:val="00145D9D"/>
    <w:rsid w:val="00146388"/>
    <w:rsid w:val="00147F5B"/>
    <w:rsid w:val="001529E5"/>
    <w:rsid w:val="00153C7E"/>
    <w:rsid w:val="00156B25"/>
    <w:rsid w:val="00156E1A"/>
    <w:rsid w:val="00157894"/>
    <w:rsid w:val="00157B55"/>
    <w:rsid w:val="00160F42"/>
    <w:rsid w:val="0016119B"/>
    <w:rsid w:val="001619F6"/>
    <w:rsid w:val="001626B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5CA"/>
    <w:rsid w:val="0018260F"/>
    <w:rsid w:val="00183058"/>
    <w:rsid w:val="001852C9"/>
    <w:rsid w:val="001862AE"/>
    <w:rsid w:val="00186683"/>
    <w:rsid w:val="00190087"/>
    <w:rsid w:val="001913C4"/>
    <w:rsid w:val="0019348F"/>
    <w:rsid w:val="00193A07"/>
    <w:rsid w:val="00194C95"/>
    <w:rsid w:val="00195C34"/>
    <w:rsid w:val="00196EF5"/>
    <w:rsid w:val="00197AEC"/>
    <w:rsid w:val="001A1A53"/>
    <w:rsid w:val="001A234A"/>
    <w:rsid w:val="001A4CF3"/>
    <w:rsid w:val="001A6918"/>
    <w:rsid w:val="001A7F6E"/>
    <w:rsid w:val="001B06E8"/>
    <w:rsid w:val="001B0A80"/>
    <w:rsid w:val="001B334B"/>
    <w:rsid w:val="001B4840"/>
    <w:rsid w:val="001B699C"/>
    <w:rsid w:val="001B71D0"/>
    <w:rsid w:val="001B71EE"/>
    <w:rsid w:val="001C030C"/>
    <w:rsid w:val="001C04A8"/>
    <w:rsid w:val="001C0A28"/>
    <w:rsid w:val="001C1B64"/>
    <w:rsid w:val="001C2C03"/>
    <w:rsid w:val="001C37B6"/>
    <w:rsid w:val="001C3842"/>
    <w:rsid w:val="001C42F7"/>
    <w:rsid w:val="001C49E5"/>
    <w:rsid w:val="001C574B"/>
    <w:rsid w:val="001C680C"/>
    <w:rsid w:val="001C7594"/>
    <w:rsid w:val="001C7FEA"/>
    <w:rsid w:val="001D0499"/>
    <w:rsid w:val="001D0BBE"/>
    <w:rsid w:val="001D0ED4"/>
    <w:rsid w:val="001D212F"/>
    <w:rsid w:val="001D29D7"/>
    <w:rsid w:val="001D2DE7"/>
    <w:rsid w:val="001D411C"/>
    <w:rsid w:val="001E15BB"/>
    <w:rsid w:val="001E1B6A"/>
    <w:rsid w:val="001E2484"/>
    <w:rsid w:val="001E3CC4"/>
    <w:rsid w:val="001E4882"/>
    <w:rsid w:val="001E622D"/>
    <w:rsid w:val="001E7101"/>
    <w:rsid w:val="001E730F"/>
    <w:rsid w:val="001E73AB"/>
    <w:rsid w:val="001E7C11"/>
    <w:rsid w:val="001F092D"/>
    <w:rsid w:val="001F143A"/>
    <w:rsid w:val="001F1605"/>
    <w:rsid w:val="001F214A"/>
    <w:rsid w:val="001F2508"/>
    <w:rsid w:val="001F2FE5"/>
    <w:rsid w:val="001F4816"/>
    <w:rsid w:val="001F4DD8"/>
    <w:rsid w:val="001F4EE9"/>
    <w:rsid w:val="001F69B4"/>
    <w:rsid w:val="001F6BF1"/>
    <w:rsid w:val="001F728A"/>
    <w:rsid w:val="001F7694"/>
    <w:rsid w:val="001F77C7"/>
    <w:rsid w:val="00200183"/>
    <w:rsid w:val="00200333"/>
    <w:rsid w:val="0020107D"/>
    <w:rsid w:val="00202AA4"/>
    <w:rsid w:val="00202FF5"/>
    <w:rsid w:val="002031F7"/>
    <w:rsid w:val="002040E6"/>
    <w:rsid w:val="0020527B"/>
    <w:rsid w:val="00205782"/>
    <w:rsid w:val="00205F2C"/>
    <w:rsid w:val="00206E0E"/>
    <w:rsid w:val="00207067"/>
    <w:rsid w:val="00207238"/>
    <w:rsid w:val="00210B15"/>
    <w:rsid w:val="0021226C"/>
    <w:rsid w:val="002134A5"/>
    <w:rsid w:val="002142EA"/>
    <w:rsid w:val="002152C4"/>
    <w:rsid w:val="002204BB"/>
    <w:rsid w:val="0022060E"/>
    <w:rsid w:val="002215C7"/>
    <w:rsid w:val="00221B79"/>
    <w:rsid w:val="00221C6B"/>
    <w:rsid w:val="00224899"/>
    <w:rsid w:val="0022513F"/>
    <w:rsid w:val="002253A1"/>
    <w:rsid w:val="00225546"/>
    <w:rsid w:val="00225CF8"/>
    <w:rsid w:val="0022705A"/>
    <w:rsid w:val="00227252"/>
    <w:rsid w:val="0022794E"/>
    <w:rsid w:val="00230951"/>
    <w:rsid w:val="00233099"/>
    <w:rsid w:val="00233D64"/>
    <w:rsid w:val="00234265"/>
    <w:rsid w:val="0023482A"/>
    <w:rsid w:val="002359CB"/>
    <w:rsid w:val="0023798A"/>
    <w:rsid w:val="00243540"/>
    <w:rsid w:val="0024497B"/>
    <w:rsid w:val="00244E85"/>
    <w:rsid w:val="0024515B"/>
    <w:rsid w:val="00246021"/>
    <w:rsid w:val="0024665A"/>
    <w:rsid w:val="0024666E"/>
    <w:rsid w:val="00246C91"/>
    <w:rsid w:val="00247318"/>
    <w:rsid w:val="00247F52"/>
    <w:rsid w:val="00250B25"/>
    <w:rsid w:val="00250BBE"/>
    <w:rsid w:val="002515C2"/>
    <w:rsid w:val="0025194F"/>
    <w:rsid w:val="00256718"/>
    <w:rsid w:val="0026010C"/>
    <w:rsid w:val="0026148A"/>
    <w:rsid w:val="00262696"/>
    <w:rsid w:val="00263D25"/>
    <w:rsid w:val="002643C3"/>
    <w:rsid w:val="00264A0C"/>
    <w:rsid w:val="002659EE"/>
    <w:rsid w:val="00266EEB"/>
    <w:rsid w:val="002678B1"/>
    <w:rsid w:val="00267EF4"/>
    <w:rsid w:val="00270233"/>
    <w:rsid w:val="00270CB8"/>
    <w:rsid w:val="0027182B"/>
    <w:rsid w:val="00272B08"/>
    <w:rsid w:val="00274A7F"/>
    <w:rsid w:val="00275037"/>
    <w:rsid w:val="00277A17"/>
    <w:rsid w:val="00277D6E"/>
    <w:rsid w:val="00280183"/>
    <w:rsid w:val="00281BAE"/>
    <w:rsid w:val="00281BB8"/>
    <w:rsid w:val="00281E9E"/>
    <w:rsid w:val="00281FF0"/>
    <w:rsid w:val="00282405"/>
    <w:rsid w:val="00285170"/>
    <w:rsid w:val="00285361"/>
    <w:rsid w:val="00287A60"/>
    <w:rsid w:val="0029030F"/>
    <w:rsid w:val="00292D60"/>
    <w:rsid w:val="0029354F"/>
    <w:rsid w:val="00293B30"/>
    <w:rsid w:val="00294D34"/>
    <w:rsid w:val="00294E3B"/>
    <w:rsid w:val="00296193"/>
    <w:rsid w:val="00296C66"/>
    <w:rsid w:val="00296EBE"/>
    <w:rsid w:val="002974E3"/>
    <w:rsid w:val="0029757F"/>
    <w:rsid w:val="002A084B"/>
    <w:rsid w:val="002A1260"/>
    <w:rsid w:val="002A1576"/>
    <w:rsid w:val="002A1589"/>
    <w:rsid w:val="002A1608"/>
    <w:rsid w:val="002A25DC"/>
    <w:rsid w:val="002A3145"/>
    <w:rsid w:val="002A3AAB"/>
    <w:rsid w:val="002A4CEA"/>
    <w:rsid w:val="002A5977"/>
    <w:rsid w:val="002A5A13"/>
    <w:rsid w:val="002A757F"/>
    <w:rsid w:val="002A7F44"/>
    <w:rsid w:val="002B011D"/>
    <w:rsid w:val="002B0C40"/>
    <w:rsid w:val="002B0E31"/>
    <w:rsid w:val="002B1966"/>
    <w:rsid w:val="002B1BF6"/>
    <w:rsid w:val="002B4508"/>
    <w:rsid w:val="002B5779"/>
    <w:rsid w:val="002B61C1"/>
    <w:rsid w:val="002B7332"/>
    <w:rsid w:val="002B78C6"/>
    <w:rsid w:val="002B7F51"/>
    <w:rsid w:val="002C09E7"/>
    <w:rsid w:val="002C1E06"/>
    <w:rsid w:val="002C1E1C"/>
    <w:rsid w:val="002C3F07"/>
    <w:rsid w:val="002C5278"/>
    <w:rsid w:val="002C7EBB"/>
    <w:rsid w:val="002D06C1"/>
    <w:rsid w:val="002D1D7C"/>
    <w:rsid w:val="002D2FB1"/>
    <w:rsid w:val="002D42B5"/>
    <w:rsid w:val="002D4F1A"/>
    <w:rsid w:val="002D6EC6"/>
    <w:rsid w:val="002D79AC"/>
    <w:rsid w:val="002E039D"/>
    <w:rsid w:val="002E08DB"/>
    <w:rsid w:val="002E4D5A"/>
    <w:rsid w:val="002E6326"/>
    <w:rsid w:val="002F2C81"/>
    <w:rsid w:val="002F30E0"/>
    <w:rsid w:val="002F35E4"/>
    <w:rsid w:val="002F3730"/>
    <w:rsid w:val="002F38E1"/>
    <w:rsid w:val="002F7AF6"/>
    <w:rsid w:val="00300E63"/>
    <w:rsid w:val="00302F5F"/>
    <w:rsid w:val="00302FA2"/>
    <w:rsid w:val="0030441D"/>
    <w:rsid w:val="00306063"/>
    <w:rsid w:val="0030726E"/>
    <w:rsid w:val="003072D7"/>
    <w:rsid w:val="00307DC2"/>
    <w:rsid w:val="00311F3C"/>
    <w:rsid w:val="00313700"/>
    <w:rsid w:val="00313B85"/>
    <w:rsid w:val="0031539C"/>
    <w:rsid w:val="00317988"/>
    <w:rsid w:val="003221B4"/>
    <w:rsid w:val="0032258D"/>
    <w:rsid w:val="00322E62"/>
    <w:rsid w:val="00324816"/>
    <w:rsid w:val="00324D13"/>
    <w:rsid w:val="00324D2A"/>
    <w:rsid w:val="00324EDD"/>
    <w:rsid w:val="0032645E"/>
    <w:rsid w:val="00327266"/>
    <w:rsid w:val="003319B5"/>
    <w:rsid w:val="003331E4"/>
    <w:rsid w:val="00333A3B"/>
    <w:rsid w:val="003341AC"/>
    <w:rsid w:val="003362B3"/>
    <w:rsid w:val="003363A2"/>
    <w:rsid w:val="00336C64"/>
    <w:rsid w:val="00337162"/>
    <w:rsid w:val="003371BC"/>
    <w:rsid w:val="0033751B"/>
    <w:rsid w:val="003401EF"/>
    <w:rsid w:val="0034052F"/>
    <w:rsid w:val="0034107F"/>
    <w:rsid w:val="0034194F"/>
    <w:rsid w:val="0034354C"/>
    <w:rsid w:val="00344605"/>
    <w:rsid w:val="00344FCD"/>
    <w:rsid w:val="00346DE6"/>
    <w:rsid w:val="003474AA"/>
    <w:rsid w:val="00350D1D"/>
    <w:rsid w:val="003527FF"/>
    <w:rsid w:val="00352C83"/>
    <w:rsid w:val="00356FD6"/>
    <w:rsid w:val="003610BF"/>
    <w:rsid w:val="003615D2"/>
    <w:rsid w:val="0036175B"/>
    <w:rsid w:val="003630E3"/>
    <w:rsid w:val="00363845"/>
    <w:rsid w:val="0036429C"/>
    <w:rsid w:val="00364A53"/>
    <w:rsid w:val="003654CB"/>
    <w:rsid w:val="00365AA9"/>
    <w:rsid w:val="00365F86"/>
    <w:rsid w:val="00365F87"/>
    <w:rsid w:val="00366E89"/>
    <w:rsid w:val="0036784A"/>
    <w:rsid w:val="003705F4"/>
    <w:rsid w:val="00370D58"/>
    <w:rsid w:val="00371316"/>
    <w:rsid w:val="0037558D"/>
    <w:rsid w:val="00376713"/>
    <w:rsid w:val="00377D32"/>
    <w:rsid w:val="00377DB3"/>
    <w:rsid w:val="00377FF4"/>
    <w:rsid w:val="0038003D"/>
    <w:rsid w:val="00380A13"/>
    <w:rsid w:val="00381815"/>
    <w:rsid w:val="003819AF"/>
    <w:rsid w:val="003820E9"/>
    <w:rsid w:val="00382DE7"/>
    <w:rsid w:val="003835AA"/>
    <w:rsid w:val="00384FFC"/>
    <w:rsid w:val="003856E1"/>
    <w:rsid w:val="00386BA7"/>
    <w:rsid w:val="003872FC"/>
    <w:rsid w:val="00387ADC"/>
    <w:rsid w:val="00390020"/>
    <w:rsid w:val="003903D6"/>
    <w:rsid w:val="00390EE6"/>
    <w:rsid w:val="0039118F"/>
    <w:rsid w:val="00392240"/>
    <w:rsid w:val="00392A97"/>
    <w:rsid w:val="00392AD7"/>
    <w:rsid w:val="003938D9"/>
    <w:rsid w:val="00394376"/>
    <w:rsid w:val="003943FF"/>
    <w:rsid w:val="00395700"/>
    <w:rsid w:val="00396E44"/>
    <w:rsid w:val="003974EB"/>
    <w:rsid w:val="00397CC5"/>
    <w:rsid w:val="003A1582"/>
    <w:rsid w:val="003A4077"/>
    <w:rsid w:val="003A4741"/>
    <w:rsid w:val="003A4EC5"/>
    <w:rsid w:val="003A5F23"/>
    <w:rsid w:val="003A6DBC"/>
    <w:rsid w:val="003B09AD"/>
    <w:rsid w:val="003B0BEF"/>
    <w:rsid w:val="003B0C3A"/>
    <w:rsid w:val="003B1F18"/>
    <w:rsid w:val="003B2A95"/>
    <w:rsid w:val="003B5BF0"/>
    <w:rsid w:val="003B60BF"/>
    <w:rsid w:val="003B6BE3"/>
    <w:rsid w:val="003C010C"/>
    <w:rsid w:val="003C0A6C"/>
    <w:rsid w:val="003C14F8"/>
    <w:rsid w:val="003C26AC"/>
    <w:rsid w:val="003C4756"/>
    <w:rsid w:val="003C4D3B"/>
    <w:rsid w:val="003C5A43"/>
    <w:rsid w:val="003C5CCB"/>
    <w:rsid w:val="003D005D"/>
    <w:rsid w:val="003D0519"/>
    <w:rsid w:val="003D0FF6"/>
    <w:rsid w:val="003D262C"/>
    <w:rsid w:val="003D3570"/>
    <w:rsid w:val="003D59AB"/>
    <w:rsid w:val="003D6D61"/>
    <w:rsid w:val="003E091D"/>
    <w:rsid w:val="003E136A"/>
    <w:rsid w:val="003E1C53"/>
    <w:rsid w:val="003E26A1"/>
    <w:rsid w:val="003E2A69"/>
    <w:rsid w:val="003E2D49"/>
    <w:rsid w:val="003E2FD4"/>
    <w:rsid w:val="003E4363"/>
    <w:rsid w:val="003E49F6"/>
    <w:rsid w:val="003E5729"/>
    <w:rsid w:val="003E575C"/>
    <w:rsid w:val="003E660F"/>
    <w:rsid w:val="003E71F0"/>
    <w:rsid w:val="003F0841"/>
    <w:rsid w:val="003F0E45"/>
    <w:rsid w:val="003F23D3"/>
    <w:rsid w:val="003F3B01"/>
    <w:rsid w:val="003F3F08"/>
    <w:rsid w:val="003F4067"/>
    <w:rsid w:val="003F49F1"/>
    <w:rsid w:val="003F4E98"/>
    <w:rsid w:val="003F6272"/>
    <w:rsid w:val="00400454"/>
    <w:rsid w:val="00400E72"/>
    <w:rsid w:val="00401400"/>
    <w:rsid w:val="004014A0"/>
    <w:rsid w:val="0040190F"/>
    <w:rsid w:val="004031C1"/>
    <w:rsid w:val="00403EFB"/>
    <w:rsid w:val="00404869"/>
    <w:rsid w:val="00405884"/>
    <w:rsid w:val="004065C2"/>
    <w:rsid w:val="00406952"/>
    <w:rsid w:val="00407D39"/>
    <w:rsid w:val="0041477A"/>
    <w:rsid w:val="004162E0"/>
    <w:rsid w:val="004167A3"/>
    <w:rsid w:val="004212A7"/>
    <w:rsid w:val="00421A6F"/>
    <w:rsid w:val="00422DD9"/>
    <w:rsid w:val="00424197"/>
    <w:rsid w:val="00425348"/>
    <w:rsid w:val="0042586A"/>
    <w:rsid w:val="00425CC9"/>
    <w:rsid w:val="00432DAA"/>
    <w:rsid w:val="004331A5"/>
    <w:rsid w:val="00434305"/>
    <w:rsid w:val="00435DF7"/>
    <w:rsid w:val="00436684"/>
    <w:rsid w:val="0044083F"/>
    <w:rsid w:val="00441AE7"/>
    <w:rsid w:val="004437DE"/>
    <w:rsid w:val="00445574"/>
    <w:rsid w:val="004467FB"/>
    <w:rsid w:val="004525F5"/>
    <w:rsid w:val="00452D6B"/>
    <w:rsid w:val="00454340"/>
    <w:rsid w:val="00454484"/>
    <w:rsid w:val="0045517B"/>
    <w:rsid w:val="0045626A"/>
    <w:rsid w:val="0045726E"/>
    <w:rsid w:val="004578A1"/>
    <w:rsid w:val="004601C7"/>
    <w:rsid w:val="00463B77"/>
    <w:rsid w:val="00463C7B"/>
    <w:rsid w:val="004644A6"/>
    <w:rsid w:val="004659BD"/>
    <w:rsid w:val="00466CE2"/>
    <w:rsid w:val="004677FE"/>
    <w:rsid w:val="00470775"/>
    <w:rsid w:val="0047147D"/>
    <w:rsid w:val="004746B1"/>
    <w:rsid w:val="00474A75"/>
    <w:rsid w:val="0047583F"/>
    <w:rsid w:val="00475DE8"/>
    <w:rsid w:val="00480594"/>
    <w:rsid w:val="004818F2"/>
    <w:rsid w:val="00481C44"/>
    <w:rsid w:val="00482FE1"/>
    <w:rsid w:val="0048319B"/>
    <w:rsid w:val="004832D3"/>
    <w:rsid w:val="00484936"/>
    <w:rsid w:val="00484A74"/>
    <w:rsid w:val="00485C89"/>
    <w:rsid w:val="00486BE3"/>
    <w:rsid w:val="00486C99"/>
    <w:rsid w:val="004905E4"/>
    <w:rsid w:val="00490A89"/>
    <w:rsid w:val="00490AB4"/>
    <w:rsid w:val="004910F4"/>
    <w:rsid w:val="00492635"/>
    <w:rsid w:val="00492F02"/>
    <w:rsid w:val="004939AE"/>
    <w:rsid w:val="00496E90"/>
    <w:rsid w:val="004A12DF"/>
    <w:rsid w:val="004A17E6"/>
    <w:rsid w:val="004A1BA8"/>
    <w:rsid w:val="004A2BBF"/>
    <w:rsid w:val="004A4B57"/>
    <w:rsid w:val="004A5171"/>
    <w:rsid w:val="004A63FA"/>
    <w:rsid w:val="004A6BCE"/>
    <w:rsid w:val="004B007D"/>
    <w:rsid w:val="004B0272"/>
    <w:rsid w:val="004B037D"/>
    <w:rsid w:val="004B0A45"/>
    <w:rsid w:val="004B114A"/>
    <w:rsid w:val="004B2701"/>
    <w:rsid w:val="004B2E1B"/>
    <w:rsid w:val="004B33F7"/>
    <w:rsid w:val="004B3AA8"/>
    <w:rsid w:val="004B3E93"/>
    <w:rsid w:val="004B534B"/>
    <w:rsid w:val="004B6522"/>
    <w:rsid w:val="004C15DF"/>
    <w:rsid w:val="004C1FBC"/>
    <w:rsid w:val="004C3F1D"/>
    <w:rsid w:val="004C4114"/>
    <w:rsid w:val="004C458D"/>
    <w:rsid w:val="004C7556"/>
    <w:rsid w:val="004C7E8B"/>
    <w:rsid w:val="004C7E9D"/>
    <w:rsid w:val="004C7F67"/>
    <w:rsid w:val="004D076D"/>
    <w:rsid w:val="004D0EF1"/>
    <w:rsid w:val="004D16A3"/>
    <w:rsid w:val="004D2253"/>
    <w:rsid w:val="004D4235"/>
    <w:rsid w:val="004D4406"/>
    <w:rsid w:val="004D46D4"/>
    <w:rsid w:val="004D5019"/>
    <w:rsid w:val="004D54CD"/>
    <w:rsid w:val="004D7C42"/>
    <w:rsid w:val="004E0465"/>
    <w:rsid w:val="004E0E6A"/>
    <w:rsid w:val="004E127B"/>
    <w:rsid w:val="004E1C0A"/>
    <w:rsid w:val="004E26FC"/>
    <w:rsid w:val="004E2B06"/>
    <w:rsid w:val="004E2E13"/>
    <w:rsid w:val="004E30C5"/>
    <w:rsid w:val="004E48EE"/>
    <w:rsid w:val="004E4AA5"/>
    <w:rsid w:val="004E4AEE"/>
    <w:rsid w:val="004E59E3"/>
    <w:rsid w:val="004E5BAA"/>
    <w:rsid w:val="004E67C0"/>
    <w:rsid w:val="004E6F77"/>
    <w:rsid w:val="004F2516"/>
    <w:rsid w:val="004F26D7"/>
    <w:rsid w:val="004F391A"/>
    <w:rsid w:val="004F3CFB"/>
    <w:rsid w:val="004F5479"/>
    <w:rsid w:val="004F6456"/>
    <w:rsid w:val="004F696E"/>
    <w:rsid w:val="004F6C71"/>
    <w:rsid w:val="004F6F70"/>
    <w:rsid w:val="00501139"/>
    <w:rsid w:val="0050363E"/>
    <w:rsid w:val="005039BC"/>
    <w:rsid w:val="005043BB"/>
    <w:rsid w:val="00504A3D"/>
    <w:rsid w:val="00505767"/>
    <w:rsid w:val="005073F0"/>
    <w:rsid w:val="00510A7B"/>
    <w:rsid w:val="00510A80"/>
    <w:rsid w:val="00512F6E"/>
    <w:rsid w:val="00513038"/>
    <w:rsid w:val="005137F7"/>
    <w:rsid w:val="005138C7"/>
    <w:rsid w:val="00514174"/>
    <w:rsid w:val="00514515"/>
    <w:rsid w:val="00515171"/>
    <w:rsid w:val="00515535"/>
    <w:rsid w:val="00515B6D"/>
    <w:rsid w:val="00516088"/>
    <w:rsid w:val="00516B0B"/>
    <w:rsid w:val="00516BFA"/>
    <w:rsid w:val="005220EC"/>
    <w:rsid w:val="00522C6A"/>
    <w:rsid w:val="00522EEB"/>
    <w:rsid w:val="00523F95"/>
    <w:rsid w:val="005248AC"/>
    <w:rsid w:val="00524D65"/>
    <w:rsid w:val="00525B16"/>
    <w:rsid w:val="0053143B"/>
    <w:rsid w:val="005326B6"/>
    <w:rsid w:val="0053306F"/>
    <w:rsid w:val="00533D04"/>
    <w:rsid w:val="00534231"/>
    <w:rsid w:val="00534804"/>
    <w:rsid w:val="00534B88"/>
    <w:rsid w:val="00534BDF"/>
    <w:rsid w:val="005354EA"/>
    <w:rsid w:val="0053585F"/>
    <w:rsid w:val="00535EC4"/>
    <w:rsid w:val="00535ED9"/>
    <w:rsid w:val="0053692B"/>
    <w:rsid w:val="00540F76"/>
    <w:rsid w:val="00541853"/>
    <w:rsid w:val="00543BDA"/>
    <w:rsid w:val="005440E8"/>
    <w:rsid w:val="005441CC"/>
    <w:rsid w:val="005471AD"/>
    <w:rsid w:val="005479DA"/>
    <w:rsid w:val="00547BCC"/>
    <w:rsid w:val="0055013B"/>
    <w:rsid w:val="00551F6F"/>
    <w:rsid w:val="00552DC6"/>
    <w:rsid w:val="00555044"/>
    <w:rsid w:val="0055592A"/>
    <w:rsid w:val="0055773D"/>
    <w:rsid w:val="00561475"/>
    <w:rsid w:val="005638AC"/>
    <w:rsid w:val="0056487B"/>
    <w:rsid w:val="00564FB9"/>
    <w:rsid w:val="00565068"/>
    <w:rsid w:val="00573D9E"/>
    <w:rsid w:val="0057429A"/>
    <w:rsid w:val="00575147"/>
    <w:rsid w:val="005779D9"/>
    <w:rsid w:val="005801E3"/>
    <w:rsid w:val="00581802"/>
    <w:rsid w:val="005833C9"/>
    <w:rsid w:val="005836A8"/>
    <w:rsid w:val="0058409C"/>
    <w:rsid w:val="00584262"/>
    <w:rsid w:val="00586630"/>
    <w:rsid w:val="00587ADD"/>
    <w:rsid w:val="00587BAC"/>
    <w:rsid w:val="00590583"/>
    <w:rsid w:val="00590FE3"/>
    <w:rsid w:val="00591E27"/>
    <w:rsid w:val="0059327F"/>
    <w:rsid w:val="00594C54"/>
    <w:rsid w:val="0059557A"/>
    <w:rsid w:val="00596160"/>
    <w:rsid w:val="005966E2"/>
    <w:rsid w:val="00597007"/>
    <w:rsid w:val="005A0966"/>
    <w:rsid w:val="005A11B7"/>
    <w:rsid w:val="005A245B"/>
    <w:rsid w:val="005A260B"/>
    <w:rsid w:val="005A42D6"/>
    <w:rsid w:val="005A4541"/>
    <w:rsid w:val="005A4A1B"/>
    <w:rsid w:val="005A586D"/>
    <w:rsid w:val="005A7830"/>
    <w:rsid w:val="005A7A2F"/>
    <w:rsid w:val="005A7FCE"/>
    <w:rsid w:val="005B0F3F"/>
    <w:rsid w:val="005B4903"/>
    <w:rsid w:val="005B4BE4"/>
    <w:rsid w:val="005B51CE"/>
    <w:rsid w:val="005B5684"/>
    <w:rsid w:val="005B5885"/>
    <w:rsid w:val="005B5CD7"/>
    <w:rsid w:val="005B6CF6"/>
    <w:rsid w:val="005B7422"/>
    <w:rsid w:val="005C29B8"/>
    <w:rsid w:val="005C3A53"/>
    <w:rsid w:val="005C5F21"/>
    <w:rsid w:val="005C6376"/>
    <w:rsid w:val="005C6DD0"/>
    <w:rsid w:val="005C7156"/>
    <w:rsid w:val="005D0C75"/>
    <w:rsid w:val="005D1535"/>
    <w:rsid w:val="005D2E60"/>
    <w:rsid w:val="005D4171"/>
    <w:rsid w:val="005D6A95"/>
    <w:rsid w:val="005D6B2C"/>
    <w:rsid w:val="005D6D9C"/>
    <w:rsid w:val="005D74A6"/>
    <w:rsid w:val="005E0AAA"/>
    <w:rsid w:val="005E2335"/>
    <w:rsid w:val="005E3144"/>
    <w:rsid w:val="005E34CA"/>
    <w:rsid w:val="005E3C18"/>
    <w:rsid w:val="005E3DDF"/>
    <w:rsid w:val="005E6812"/>
    <w:rsid w:val="005E6A02"/>
    <w:rsid w:val="005E7881"/>
    <w:rsid w:val="005E78E0"/>
    <w:rsid w:val="005F0D9C"/>
    <w:rsid w:val="005F2705"/>
    <w:rsid w:val="005F284E"/>
    <w:rsid w:val="005F372B"/>
    <w:rsid w:val="005F4712"/>
    <w:rsid w:val="005F5952"/>
    <w:rsid w:val="005F7C55"/>
    <w:rsid w:val="00600481"/>
    <w:rsid w:val="00600941"/>
    <w:rsid w:val="006015CE"/>
    <w:rsid w:val="00604784"/>
    <w:rsid w:val="00606419"/>
    <w:rsid w:val="00607D29"/>
    <w:rsid w:val="00607E59"/>
    <w:rsid w:val="00612952"/>
    <w:rsid w:val="00614433"/>
    <w:rsid w:val="00614CC1"/>
    <w:rsid w:val="00615A9D"/>
    <w:rsid w:val="0061669F"/>
    <w:rsid w:val="00617387"/>
    <w:rsid w:val="00620461"/>
    <w:rsid w:val="006205D6"/>
    <w:rsid w:val="00620D95"/>
    <w:rsid w:val="00624239"/>
    <w:rsid w:val="00624A60"/>
    <w:rsid w:val="006252D8"/>
    <w:rsid w:val="006259BC"/>
    <w:rsid w:val="0062636B"/>
    <w:rsid w:val="00627C13"/>
    <w:rsid w:val="00632182"/>
    <w:rsid w:val="00632AE0"/>
    <w:rsid w:val="00632DEF"/>
    <w:rsid w:val="00632E39"/>
    <w:rsid w:val="00633C17"/>
    <w:rsid w:val="00634D9E"/>
    <w:rsid w:val="006361F9"/>
    <w:rsid w:val="00636E3E"/>
    <w:rsid w:val="006379F7"/>
    <w:rsid w:val="00637E4D"/>
    <w:rsid w:val="00640620"/>
    <w:rsid w:val="00641A1F"/>
    <w:rsid w:val="0064546C"/>
    <w:rsid w:val="00645904"/>
    <w:rsid w:val="00645C7A"/>
    <w:rsid w:val="00646356"/>
    <w:rsid w:val="00651ACB"/>
    <w:rsid w:val="00651C47"/>
    <w:rsid w:val="00652AB2"/>
    <w:rsid w:val="00653FED"/>
    <w:rsid w:val="00654EC0"/>
    <w:rsid w:val="0065525B"/>
    <w:rsid w:val="00655299"/>
    <w:rsid w:val="00655D4F"/>
    <w:rsid w:val="00656D29"/>
    <w:rsid w:val="00660182"/>
    <w:rsid w:val="0066392C"/>
    <w:rsid w:val="006640E5"/>
    <w:rsid w:val="006646F1"/>
    <w:rsid w:val="00664929"/>
    <w:rsid w:val="00664F62"/>
    <w:rsid w:val="006655E1"/>
    <w:rsid w:val="006675E9"/>
    <w:rsid w:val="00672060"/>
    <w:rsid w:val="00672BFD"/>
    <w:rsid w:val="00675A56"/>
    <w:rsid w:val="006770F4"/>
    <w:rsid w:val="00677A84"/>
    <w:rsid w:val="0068026D"/>
    <w:rsid w:val="00680A27"/>
    <w:rsid w:val="006816A4"/>
    <w:rsid w:val="006819B8"/>
    <w:rsid w:val="006840A6"/>
    <w:rsid w:val="00684ED0"/>
    <w:rsid w:val="006850CD"/>
    <w:rsid w:val="00685AAB"/>
    <w:rsid w:val="0069393E"/>
    <w:rsid w:val="006952ED"/>
    <w:rsid w:val="00695D22"/>
    <w:rsid w:val="00696E3F"/>
    <w:rsid w:val="006A07AA"/>
    <w:rsid w:val="006A25E5"/>
    <w:rsid w:val="006A2B46"/>
    <w:rsid w:val="006A336D"/>
    <w:rsid w:val="006A37B9"/>
    <w:rsid w:val="006A4F8D"/>
    <w:rsid w:val="006A5F0B"/>
    <w:rsid w:val="006B2672"/>
    <w:rsid w:val="006B5223"/>
    <w:rsid w:val="006B54BF"/>
    <w:rsid w:val="006B5F44"/>
    <w:rsid w:val="006B5F90"/>
    <w:rsid w:val="006B62E4"/>
    <w:rsid w:val="006C1BBA"/>
    <w:rsid w:val="006C2079"/>
    <w:rsid w:val="006C5A62"/>
    <w:rsid w:val="006C5D68"/>
    <w:rsid w:val="006C602C"/>
    <w:rsid w:val="006C6976"/>
    <w:rsid w:val="006C6DD0"/>
    <w:rsid w:val="006C7673"/>
    <w:rsid w:val="006D04EA"/>
    <w:rsid w:val="006D16C4"/>
    <w:rsid w:val="006D1C8B"/>
    <w:rsid w:val="006D30A8"/>
    <w:rsid w:val="006D3E96"/>
    <w:rsid w:val="006D4515"/>
    <w:rsid w:val="006D4BB1"/>
    <w:rsid w:val="006D4CC2"/>
    <w:rsid w:val="006D57CB"/>
    <w:rsid w:val="006D6277"/>
    <w:rsid w:val="006D6593"/>
    <w:rsid w:val="006E0232"/>
    <w:rsid w:val="006E23EA"/>
    <w:rsid w:val="006E59D0"/>
    <w:rsid w:val="006E651A"/>
    <w:rsid w:val="006F0184"/>
    <w:rsid w:val="006F03A8"/>
    <w:rsid w:val="006F2ACA"/>
    <w:rsid w:val="006F2ADC"/>
    <w:rsid w:val="006F2BFE"/>
    <w:rsid w:val="006F31E9"/>
    <w:rsid w:val="006F53A0"/>
    <w:rsid w:val="006F5A08"/>
    <w:rsid w:val="006F6284"/>
    <w:rsid w:val="007002C5"/>
    <w:rsid w:val="00701761"/>
    <w:rsid w:val="00703BA1"/>
    <w:rsid w:val="00704387"/>
    <w:rsid w:val="00704DA7"/>
    <w:rsid w:val="00707669"/>
    <w:rsid w:val="007109E5"/>
    <w:rsid w:val="00711CBA"/>
    <w:rsid w:val="00711FB5"/>
    <w:rsid w:val="00712047"/>
    <w:rsid w:val="00712071"/>
    <w:rsid w:val="007125D1"/>
    <w:rsid w:val="00712A01"/>
    <w:rsid w:val="00714E76"/>
    <w:rsid w:val="00714F58"/>
    <w:rsid w:val="00716FBD"/>
    <w:rsid w:val="00722FBF"/>
    <w:rsid w:val="00722FC2"/>
    <w:rsid w:val="00724879"/>
    <w:rsid w:val="00724E1B"/>
    <w:rsid w:val="00725949"/>
    <w:rsid w:val="00726FCB"/>
    <w:rsid w:val="00727FA2"/>
    <w:rsid w:val="007322D9"/>
    <w:rsid w:val="00732BC0"/>
    <w:rsid w:val="00732E46"/>
    <w:rsid w:val="007339D3"/>
    <w:rsid w:val="007365B3"/>
    <w:rsid w:val="0073720F"/>
    <w:rsid w:val="00737796"/>
    <w:rsid w:val="0074165C"/>
    <w:rsid w:val="00742C35"/>
    <w:rsid w:val="007432CA"/>
    <w:rsid w:val="007439EB"/>
    <w:rsid w:val="00743CB4"/>
    <w:rsid w:val="00743F0A"/>
    <w:rsid w:val="007441BF"/>
    <w:rsid w:val="007444E8"/>
    <w:rsid w:val="0074548E"/>
    <w:rsid w:val="00745773"/>
    <w:rsid w:val="00746800"/>
    <w:rsid w:val="007501A8"/>
    <w:rsid w:val="00750D61"/>
    <w:rsid w:val="00750EE1"/>
    <w:rsid w:val="00752B4D"/>
    <w:rsid w:val="0075415F"/>
    <w:rsid w:val="0075525F"/>
    <w:rsid w:val="00755402"/>
    <w:rsid w:val="00756B26"/>
    <w:rsid w:val="00756EDF"/>
    <w:rsid w:val="007575F5"/>
    <w:rsid w:val="007576AF"/>
    <w:rsid w:val="007600E3"/>
    <w:rsid w:val="0076510F"/>
    <w:rsid w:val="00765C43"/>
    <w:rsid w:val="00765EFB"/>
    <w:rsid w:val="007671CA"/>
    <w:rsid w:val="00767C61"/>
    <w:rsid w:val="0077008A"/>
    <w:rsid w:val="00770EE9"/>
    <w:rsid w:val="00773C1F"/>
    <w:rsid w:val="0077473C"/>
    <w:rsid w:val="00774DA4"/>
    <w:rsid w:val="00775AC9"/>
    <w:rsid w:val="00776599"/>
    <w:rsid w:val="00776AC6"/>
    <w:rsid w:val="0077779D"/>
    <w:rsid w:val="00780DA0"/>
    <w:rsid w:val="0078114B"/>
    <w:rsid w:val="00781402"/>
    <w:rsid w:val="00781DD2"/>
    <w:rsid w:val="00782250"/>
    <w:rsid w:val="00783ECF"/>
    <w:rsid w:val="0078413A"/>
    <w:rsid w:val="00786857"/>
    <w:rsid w:val="00791017"/>
    <w:rsid w:val="00793751"/>
    <w:rsid w:val="007945B4"/>
    <w:rsid w:val="00794752"/>
    <w:rsid w:val="00794AD1"/>
    <w:rsid w:val="007959E8"/>
    <w:rsid w:val="00795E32"/>
    <w:rsid w:val="00795E9C"/>
    <w:rsid w:val="007963BD"/>
    <w:rsid w:val="007A0521"/>
    <w:rsid w:val="007A1AD9"/>
    <w:rsid w:val="007A2E12"/>
    <w:rsid w:val="007A3475"/>
    <w:rsid w:val="007A41C8"/>
    <w:rsid w:val="007A4F41"/>
    <w:rsid w:val="007A54CE"/>
    <w:rsid w:val="007A68B8"/>
    <w:rsid w:val="007A6FD9"/>
    <w:rsid w:val="007A7FFA"/>
    <w:rsid w:val="007B04EB"/>
    <w:rsid w:val="007B0D4F"/>
    <w:rsid w:val="007B196A"/>
    <w:rsid w:val="007B5A3D"/>
    <w:rsid w:val="007B5B95"/>
    <w:rsid w:val="007B645D"/>
    <w:rsid w:val="007B68EA"/>
    <w:rsid w:val="007B7453"/>
    <w:rsid w:val="007C1E8B"/>
    <w:rsid w:val="007C2D89"/>
    <w:rsid w:val="007C4593"/>
    <w:rsid w:val="007C4631"/>
    <w:rsid w:val="007C5309"/>
    <w:rsid w:val="007C5B90"/>
    <w:rsid w:val="007C6069"/>
    <w:rsid w:val="007C74FE"/>
    <w:rsid w:val="007C760E"/>
    <w:rsid w:val="007D06C4"/>
    <w:rsid w:val="007D1352"/>
    <w:rsid w:val="007D2508"/>
    <w:rsid w:val="007D346A"/>
    <w:rsid w:val="007D48FC"/>
    <w:rsid w:val="007D4C6E"/>
    <w:rsid w:val="007D6518"/>
    <w:rsid w:val="007D76BD"/>
    <w:rsid w:val="007D778B"/>
    <w:rsid w:val="007E0626"/>
    <w:rsid w:val="007E0BF1"/>
    <w:rsid w:val="007E1CDD"/>
    <w:rsid w:val="007E2E60"/>
    <w:rsid w:val="007E3F18"/>
    <w:rsid w:val="007E6513"/>
    <w:rsid w:val="007E7988"/>
    <w:rsid w:val="007E7ED6"/>
    <w:rsid w:val="007F0ED8"/>
    <w:rsid w:val="007F0F63"/>
    <w:rsid w:val="007F1A04"/>
    <w:rsid w:val="007F5A6F"/>
    <w:rsid w:val="007F5DE8"/>
    <w:rsid w:val="007F614A"/>
    <w:rsid w:val="007F6281"/>
    <w:rsid w:val="007F75CE"/>
    <w:rsid w:val="007F7CFE"/>
    <w:rsid w:val="008013A4"/>
    <w:rsid w:val="008027CE"/>
    <w:rsid w:val="00802B37"/>
    <w:rsid w:val="00802D0F"/>
    <w:rsid w:val="00802F42"/>
    <w:rsid w:val="00804383"/>
    <w:rsid w:val="00804BB7"/>
    <w:rsid w:val="00804D41"/>
    <w:rsid w:val="00810257"/>
    <w:rsid w:val="008104F5"/>
    <w:rsid w:val="00810F40"/>
    <w:rsid w:val="00811072"/>
    <w:rsid w:val="00811369"/>
    <w:rsid w:val="008118B4"/>
    <w:rsid w:val="00811EA0"/>
    <w:rsid w:val="008139E1"/>
    <w:rsid w:val="00815419"/>
    <w:rsid w:val="008163C8"/>
    <w:rsid w:val="008164A1"/>
    <w:rsid w:val="00817325"/>
    <w:rsid w:val="00817EFA"/>
    <w:rsid w:val="008209E6"/>
    <w:rsid w:val="00820E05"/>
    <w:rsid w:val="0082233F"/>
    <w:rsid w:val="00823303"/>
    <w:rsid w:val="008233B2"/>
    <w:rsid w:val="00823A9F"/>
    <w:rsid w:val="00823C85"/>
    <w:rsid w:val="00824B18"/>
    <w:rsid w:val="00825138"/>
    <w:rsid w:val="008269DD"/>
    <w:rsid w:val="00827014"/>
    <w:rsid w:val="00827F53"/>
    <w:rsid w:val="00830621"/>
    <w:rsid w:val="00830E55"/>
    <w:rsid w:val="0083348C"/>
    <w:rsid w:val="00834194"/>
    <w:rsid w:val="00835165"/>
    <w:rsid w:val="00836F3F"/>
    <w:rsid w:val="008373D3"/>
    <w:rsid w:val="008400AA"/>
    <w:rsid w:val="00840617"/>
    <w:rsid w:val="00840D5C"/>
    <w:rsid w:val="00840F84"/>
    <w:rsid w:val="00842A47"/>
    <w:rsid w:val="00843560"/>
    <w:rsid w:val="00843C13"/>
    <w:rsid w:val="008453AF"/>
    <w:rsid w:val="008454F8"/>
    <w:rsid w:val="008469EE"/>
    <w:rsid w:val="00846B7F"/>
    <w:rsid w:val="0085173A"/>
    <w:rsid w:val="0085210F"/>
    <w:rsid w:val="00856045"/>
    <w:rsid w:val="00856316"/>
    <w:rsid w:val="008568D6"/>
    <w:rsid w:val="00856C96"/>
    <w:rsid w:val="008603CE"/>
    <w:rsid w:val="00861E48"/>
    <w:rsid w:val="008620FC"/>
    <w:rsid w:val="008627A5"/>
    <w:rsid w:val="00863E05"/>
    <w:rsid w:val="00864EFE"/>
    <w:rsid w:val="00865ACA"/>
    <w:rsid w:val="00865D28"/>
    <w:rsid w:val="00865F85"/>
    <w:rsid w:val="00867C10"/>
    <w:rsid w:val="00870439"/>
    <w:rsid w:val="00870DA1"/>
    <w:rsid w:val="00871230"/>
    <w:rsid w:val="008741D5"/>
    <w:rsid w:val="0087499D"/>
    <w:rsid w:val="00877631"/>
    <w:rsid w:val="0088314C"/>
    <w:rsid w:val="00883F93"/>
    <w:rsid w:val="008847C5"/>
    <w:rsid w:val="00884DB3"/>
    <w:rsid w:val="00885A9D"/>
    <w:rsid w:val="008864F6"/>
    <w:rsid w:val="00887DC8"/>
    <w:rsid w:val="0089049D"/>
    <w:rsid w:val="008928C9"/>
    <w:rsid w:val="00892EF6"/>
    <w:rsid w:val="008930CB"/>
    <w:rsid w:val="008938DC"/>
    <w:rsid w:val="00893FD1"/>
    <w:rsid w:val="00894836"/>
    <w:rsid w:val="00895172"/>
    <w:rsid w:val="00895680"/>
    <w:rsid w:val="00896DFF"/>
    <w:rsid w:val="0089762C"/>
    <w:rsid w:val="008A1747"/>
    <w:rsid w:val="008A1893"/>
    <w:rsid w:val="008A1C61"/>
    <w:rsid w:val="008A3215"/>
    <w:rsid w:val="008A49D8"/>
    <w:rsid w:val="008A57E6"/>
    <w:rsid w:val="008A6F81"/>
    <w:rsid w:val="008A769A"/>
    <w:rsid w:val="008B0C9C"/>
    <w:rsid w:val="008B166D"/>
    <w:rsid w:val="008B17F4"/>
    <w:rsid w:val="008B3615"/>
    <w:rsid w:val="008B4AC4"/>
    <w:rsid w:val="008B50C8"/>
    <w:rsid w:val="008B5281"/>
    <w:rsid w:val="008B6180"/>
    <w:rsid w:val="008B7E05"/>
    <w:rsid w:val="008B7F45"/>
    <w:rsid w:val="008C1797"/>
    <w:rsid w:val="008C219C"/>
    <w:rsid w:val="008C3D69"/>
    <w:rsid w:val="008C475E"/>
    <w:rsid w:val="008C5C3D"/>
    <w:rsid w:val="008C619A"/>
    <w:rsid w:val="008C7252"/>
    <w:rsid w:val="008C7641"/>
    <w:rsid w:val="008D0827"/>
    <w:rsid w:val="008D0CE8"/>
    <w:rsid w:val="008D2D1D"/>
    <w:rsid w:val="008D453D"/>
    <w:rsid w:val="008D53AD"/>
    <w:rsid w:val="008D562B"/>
    <w:rsid w:val="008D5733"/>
    <w:rsid w:val="008D5FA2"/>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5E3"/>
    <w:rsid w:val="008F4C29"/>
    <w:rsid w:val="008F5540"/>
    <w:rsid w:val="008F5770"/>
    <w:rsid w:val="008F70BD"/>
    <w:rsid w:val="008F788F"/>
    <w:rsid w:val="008F7EA2"/>
    <w:rsid w:val="008F7F83"/>
    <w:rsid w:val="00900483"/>
    <w:rsid w:val="00902722"/>
    <w:rsid w:val="009027BC"/>
    <w:rsid w:val="00903F3F"/>
    <w:rsid w:val="009045BC"/>
    <w:rsid w:val="009062E6"/>
    <w:rsid w:val="009106EF"/>
    <w:rsid w:val="00911BE5"/>
    <w:rsid w:val="00913CA9"/>
    <w:rsid w:val="00913DA0"/>
    <w:rsid w:val="009145AE"/>
    <w:rsid w:val="009146CE"/>
    <w:rsid w:val="00914CA7"/>
    <w:rsid w:val="00915C3E"/>
    <w:rsid w:val="009161A8"/>
    <w:rsid w:val="009245F5"/>
    <w:rsid w:val="009249EC"/>
    <w:rsid w:val="0092579F"/>
    <w:rsid w:val="009273B3"/>
    <w:rsid w:val="009305B5"/>
    <w:rsid w:val="00930DAD"/>
    <w:rsid w:val="00933813"/>
    <w:rsid w:val="009364F9"/>
    <w:rsid w:val="0093658A"/>
    <w:rsid w:val="009400F2"/>
    <w:rsid w:val="009429D5"/>
    <w:rsid w:val="00942BF1"/>
    <w:rsid w:val="00945180"/>
    <w:rsid w:val="00945428"/>
    <w:rsid w:val="0094607B"/>
    <w:rsid w:val="009472C6"/>
    <w:rsid w:val="00947435"/>
    <w:rsid w:val="0094771C"/>
    <w:rsid w:val="00950A92"/>
    <w:rsid w:val="00952CD8"/>
    <w:rsid w:val="00953029"/>
    <w:rsid w:val="00953604"/>
    <w:rsid w:val="00953BD0"/>
    <w:rsid w:val="0095496B"/>
    <w:rsid w:val="009550A0"/>
    <w:rsid w:val="00955DA5"/>
    <w:rsid w:val="009567E2"/>
    <w:rsid w:val="009610DC"/>
    <w:rsid w:val="00961490"/>
    <w:rsid w:val="00961E3E"/>
    <w:rsid w:val="0096381A"/>
    <w:rsid w:val="00965E04"/>
    <w:rsid w:val="00966C0C"/>
    <w:rsid w:val="009674AD"/>
    <w:rsid w:val="009702FB"/>
    <w:rsid w:val="00970CDC"/>
    <w:rsid w:val="00970FAB"/>
    <w:rsid w:val="00975422"/>
    <w:rsid w:val="00977010"/>
    <w:rsid w:val="00977800"/>
    <w:rsid w:val="00977D02"/>
    <w:rsid w:val="00977DEE"/>
    <w:rsid w:val="009809BB"/>
    <w:rsid w:val="0098232C"/>
    <w:rsid w:val="0098364B"/>
    <w:rsid w:val="0098456D"/>
    <w:rsid w:val="0098581D"/>
    <w:rsid w:val="0098586C"/>
    <w:rsid w:val="009911AF"/>
    <w:rsid w:val="00991875"/>
    <w:rsid w:val="00991F92"/>
    <w:rsid w:val="00992985"/>
    <w:rsid w:val="00993889"/>
    <w:rsid w:val="009953FD"/>
    <w:rsid w:val="0099551B"/>
    <w:rsid w:val="00997BF1"/>
    <w:rsid w:val="009A089C"/>
    <w:rsid w:val="009A08CD"/>
    <w:rsid w:val="009A0B9C"/>
    <w:rsid w:val="009A118E"/>
    <w:rsid w:val="009A21CD"/>
    <w:rsid w:val="009A278C"/>
    <w:rsid w:val="009A2BC2"/>
    <w:rsid w:val="009A42C1"/>
    <w:rsid w:val="009A5429"/>
    <w:rsid w:val="009A72AD"/>
    <w:rsid w:val="009B0650"/>
    <w:rsid w:val="009B09E0"/>
    <w:rsid w:val="009B0BC5"/>
    <w:rsid w:val="009B1247"/>
    <w:rsid w:val="009B1842"/>
    <w:rsid w:val="009B2F79"/>
    <w:rsid w:val="009B3AFB"/>
    <w:rsid w:val="009B6029"/>
    <w:rsid w:val="009B6971"/>
    <w:rsid w:val="009B6CF1"/>
    <w:rsid w:val="009C05E1"/>
    <w:rsid w:val="009C0EC4"/>
    <w:rsid w:val="009C26CE"/>
    <w:rsid w:val="009C27F1"/>
    <w:rsid w:val="009C3152"/>
    <w:rsid w:val="009C4999"/>
    <w:rsid w:val="009C4CFA"/>
    <w:rsid w:val="009C5070"/>
    <w:rsid w:val="009D112C"/>
    <w:rsid w:val="009D1B1F"/>
    <w:rsid w:val="009D472C"/>
    <w:rsid w:val="009D47FA"/>
    <w:rsid w:val="009D4C5B"/>
    <w:rsid w:val="009D4C61"/>
    <w:rsid w:val="009D50D2"/>
    <w:rsid w:val="009D5166"/>
    <w:rsid w:val="009D5FDD"/>
    <w:rsid w:val="009D6BCA"/>
    <w:rsid w:val="009D6EC2"/>
    <w:rsid w:val="009D6EDE"/>
    <w:rsid w:val="009E05B4"/>
    <w:rsid w:val="009E0F62"/>
    <w:rsid w:val="009E4A58"/>
    <w:rsid w:val="009E5A2D"/>
    <w:rsid w:val="009E5AB2"/>
    <w:rsid w:val="009E6219"/>
    <w:rsid w:val="009F03B3"/>
    <w:rsid w:val="009F0BD1"/>
    <w:rsid w:val="009F14AB"/>
    <w:rsid w:val="009F768C"/>
    <w:rsid w:val="00A0034D"/>
    <w:rsid w:val="00A0096C"/>
    <w:rsid w:val="00A01757"/>
    <w:rsid w:val="00A028C0"/>
    <w:rsid w:val="00A02BAE"/>
    <w:rsid w:val="00A03C4C"/>
    <w:rsid w:val="00A066C9"/>
    <w:rsid w:val="00A0695E"/>
    <w:rsid w:val="00A069D3"/>
    <w:rsid w:val="00A06A6B"/>
    <w:rsid w:val="00A06E16"/>
    <w:rsid w:val="00A07E47"/>
    <w:rsid w:val="00A11B01"/>
    <w:rsid w:val="00A11C3E"/>
    <w:rsid w:val="00A1210E"/>
    <w:rsid w:val="00A129D0"/>
    <w:rsid w:val="00A12C33"/>
    <w:rsid w:val="00A138BA"/>
    <w:rsid w:val="00A14C8E"/>
    <w:rsid w:val="00A153D9"/>
    <w:rsid w:val="00A15F09"/>
    <w:rsid w:val="00A161E4"/>
    <w:rsid w:val="00A169B6"/>
    <w:rsid w:val="00A2271D"/>
    <w:rsid w:val="00A237D5"/>
    <w:rsid w:val="00A24094"/>
    <w:rsid w:val="00A2416E"/>
    <w:rsid w:val="00A26FFE"/>
    <w:rsid w:val="00A30EFC"/>
    <w:rsid w:val="00A31984"/>
    <w:rsid w:val="00A320F2"/>
    <w:rsid w:val="00A32D73"/>
    <w:rsid w:val="00A3367B"/>
    <w:rsid w:val="00A338BE"/>
    <w:rsid w:val="00A338F0"/>
    <w:rsid w:val="00A34340"/>
    <w:rsid w:val="00A34939"/>
    <w:rsid w:val="00A3597D"/>
    <w:rsid w:val="00A36DD1"/>
    <w:rsid w:val="00A372C2"/>
    <w:rsid w:val="00A4006C"/>
    <w:rsid w:val="00A40091"/>
    <w:rsid w:val="00A4030F"/>
    <w:rsid w:val="00A41AC1"/>
    <w:rsid w:val="00A41C79"/>
    <w:rsid w:val="00A41CB5"/>
    <w:rsid w:val="00A42CDF"/>
    <w:rsid w:val="00A4452E"/>
    <w:rsid w:val="00A4472C"/>
    <w:rsid w:val="00A44E69"/>
    <w:rsid w:val="00A4661E"/>
    <w:rsid w:val="00A5033E"/>
    <w:rsid w:val="00A511A1"/>
    <w:rsid w:val="00A5148E"/>
    <w:rsid w:val="00A52876"/>
    <w:rsid w:val="00A53DF7"/>
    <w:rsid w:val="00A5415E"/>
    <w:rsid w:val="00A55748"/>
    <w:rsid w:val="00A55BD6"/>
    <w:rsid w:val="00A55D50"/>
    <w:rsid w:val="00A57142"/>
    <w:rsid w:val="00A574F1"/>
    <w:rsid w:val="00A620B7"/>
    <w:rsid w:val="00A62284"/>
    <w:rsid w:val="00A62F7E"/>
    <w:rsid w:val="00A631D4"/>
    <w:rsid w:val="00A648CD"/>
    <w:rsid w:val="00A6537A"/>
    <w:rsid w:val="00A67866"/>
    <w:rsid w:val="00A70B07"/>
    <w:rsid w:val="00A70C55"/>
    <w:rsid w:val="00A719DC"/>
    <w:rsid w:val="00A723F8"/>
    <w:rsid w:val="00A74D4E"/>
    <w:rsid w:val="00A762D9"/>
    <w:rsid w:val="00A77662"/>
    <w:rsid w:val="00A77CCB"/>
    <w:rsid w:val="00A8190A"/>
    <w:rsid w:val="00A83D8D"/>
    <w:rsid w:val="00A83DB9"/>
    <w:rsid w:val="00A8446B"/>
    <w:rsid w:val="00A8473F"/>
    <w:rsid w:val="00A862D6"/>
    <w:rsid w:val="00A8715E"/>
    <w:rsid w:val="00A9295B"/>
    <w:rsid w:val="00A930A6"/>
    <w:rsid w:val="00A93B09"/>
    <w:rsid w:val="00A940D6"/>
    <w:rsid w:val="00A94247"/>
    <w:rsid w:val="00A952D7"/>
    <w:rsid w:val="00A963F7"/>
    <w:rsid w:val="00A96704"/>
    <w:rsid w:val="00A96AD8"/>
    <w:rsid w:val="00AA052C"/>
    <w:rsid w:val="00AA1E45"/>
    <w:rsid w:val="00AA4286"/>
    <w:rsid w:val="00AA456B"/>
    <w:rsid w:val="00AA4D9C"/>
    <w:rsid w:val="00AA57F5"/>
    <w:rsid w:val="00AA672E"/>
    <w:rsid w:val="00AA6EC9"/>
    <w:rsid w:val="00AB417C"/>
    <w:rsid w:val="00AB41D5"/>
    <w:rsid w:val="00AB5553"/>
    <w:rsid w:val="00AB6309"/>
    <w:rsid w:val="00AB6872"/>
    <w:rsid w:val="00AB6C5F"/>
    <w:rsid w:val="00AB7129"/>
    <w:rsid w:val="00AB7AB4"/>
    <w:rsid w:val="00AC27A6"/>
    <w:rsid w:val="00AC30F7"/>
    <w:rsid w:val="00AC3A5A"/>
    <w:rsid w:val="00AC47A8"/>
    <w:rsid w:val="00AC4D95"/>
    <w:rsid w:val="00AC5C96"/>
    <w:rsid w:val="00AC5DF4"/>
    <w:rsid w:val="00AC6080"/>
    <w:rsid w:val="00AC6B6C"/>
    <w:rsid w:val="00AD0AEF"/>
    <w:rsid w:val="00AD11B7"/>
    <w:rsid w:val="00AD1A94"/>
    <w:rsid w:val="00AD1C05"/>
    <w:rsid w:val="00AD1EE4"/>
    <w:rsid w:val="00AD3B58"/>
    <w:rsid w:val="00AD3C47"/>
    <w:rsid w:val="00AD4126"/>
    <w:rsid w:val="00AD421C"/>
    <w:rsid w:val="00AD44FA"/>
    <w:rsid w:val="00AD4766"/>
    <w:rsid w:val="00AD5AC9"/>
    <w:rsid w:val="00AD6823"/>
    <w:rsid w:val="00AD769A"/>
    <w:rsid w:val="00AE070A"/>
    <w:rsid w:val="00AE0F1D"/>
    <w:rsid w:val="00AE101C"/>
    <w:rsid w:val="00AE10BA"/>
    <w:rsid w:val="00AE2765"/>
    <w:rsid w:val="00AE37E5"/>
    <w:rsid w:val="00AE5EB4"/>
    <w:rsid w:val="00AE6B5F"/>
    <w:rsid w:val="00AF0C18"/>
    <w:rsid w:val="00AF1C71"/>
    <w:rsid w:val="00AF47C5"/>
    <w:rsid w:val="00AF5398"/>
    <w:rsid w:val="00B0149C"/>
    <w:rsid w:val="00B01547"/>
    <w:rsid w:val="00B01F64"/>
    <w:rsid w:val="00B049AF"/>
    <w:rsid w:val="00B050DC"/>
    <w:rsid w:val="00B05234"/>
    <w:rsid w:val="00B05426"/>
    <w:rsid w:val="00B054A9"/>
    <w:rsid w:val="00B0565F"/>
    <w:rsid w:val="00B057FF"/>
    <w:rsid w:val="00B06EFC"/>
    <w:rsid w:val="00B07242"/>
    <w:rsid w:val="00B10534"/>
    <w:rsid w:val="00B108AB"/>
    <w:rsid w:val="00B113DB"/>
    <w:rsid w:val="00B11D8A"/>
    <w:rsid w:val="00B12981"/>
    <w:rsid w:val="00B147DD"/>
    <w:rsid w:val="00B156FD"/>
    <w:rsid w:val="00B21F61"/>
    <w:rsid w:val="00B261F1"/>
    <w:rsid w:val="00B2638A"/>
    <w:rsid w:val="00B265BC"/>
    <w:rsid w:val="00B3052E"/>
    <w:rsid w:val="00B30732"/>
    <w:rsid w:val="00B307DF"/>
    <w:rsid w:val="00B30F50"/>
    <w:rsid w:val="00B31FB1"/>
    <w:rsid w:val="00B32C57"/>
    <w:rsid w:val="00B33952"/>
    <w:rsid w:val="00B33C5E"/>
    <w:rsid w:val="00B342F4"/>
    <w:rsid w:val="00B34369"/>
    <w:rsid w:val="00B34A74"/>
    <w:rsid w:val="00B34DC2"/>
    <w:rsid w:val="00B36957"/>
    <w:rsid w:val="00B36E7E"/>
    <w:rsid w:val="00B37188"/>
    <w:rsid w:val="00B378E5"/>
    <w:rsid w:val="00B37914"/>
    <w:rsid w:val="00B4086D"/>
    <w:rsid w:val="00B4346D"/>
    <w:rsid w:val="00B440F4"/>
    <w:rsid w:val="00B447A5"/>
    <w:rsid w:val="00B4654C"/>
    <w:rsid w:val="00B47107"/>
    <w:rsid w:val="00B47293"/>
    <w:rsid w:val="00B50E50"/>
    <w:rsid w:val="00B52120"/>
    <w:rsid w:val="00B53907"/>
    <w:rsid w:val="00B54ABC"/>
    <w:rsid w:val="00B54DDE"/>
    <w:rsid w:val="00B56FBE"/>
    <w:rsid w:val="00B570F5"/>
    <w:rsid w:val="00B60ACF"/>
    <w:rsid w:val="00B610FB"/>
    <w:rsid w:val="00B62B58"/>
    <w:rsid w:val="00B65149"/>
    <w:rsid w:val="00B65D61"/>
    <w:rsid w:val="00B65FAD"/>
    <w:rsid w:val="00B66567"/>
    <w:rsid w:val="00B66F52"/>
    <w:rsid w:val="00B66FE5"/>
    <w:rsid w:val="00B7074C"/>
    <w:rsid w:val="00B72880"/>
    <w:rsid w:val="00B73384"/>
    <w:rsid w:val="00B758BF"/>
    <w:rsid w:val="00B77EC8"/>
    <w:rsid w:val="00B80610"/>
    <w:rsid w:val="00B80D6E"/>
    <w:rsid w:val="00B81BF0"/>
    <w:rsid w:val="00B827A6"/>
    <w:rsid w:val="00B831CE"/>
    <w:rsid w:val="00B8601F"/>
    <w:rsid w:val="00B86677"/>
    <w:rsid w:val="00B87131"/>
    <w:rsid w:val="00B916BE"/>
    <w:rsid w:val="00B939B1"/>
    <w:rsid w:val="00B94655"/>
    <w:rsid w:val="00B9650B"/>
    <w:rsid w:val="00B96809"/>
    <w:rsid w:val="00B96D40"/>
    <w:rsid w:val="00B97386"/>
    <w:rsid w:val="00BA263B"/>
    <w:rsid w:val="00BA34FF"/>
    <w:rsid w:val="00BA3F99"/>
    <w:rsid w:val="00BA42B2"/>
    <w:rsid w:val="00BA58D4"/>
    <w:rsid w:val="00BA5B9E"/>
    <w:rsid w:val="00BA7C9A"/>
    <w:rsid w:val="00BB1A46"/>
    <w:rsid w:val="00BB208E"/>
    <w:rsid w:val="00BB5F8F"/>
    <w:rsid w:val="00BB657A"/>
    <w:rsid w:val="00BC0995"/>
    <w:rsid w:val="00BC121A"/>
    <w:rsid w:val="00BC1A4E"/>
    <w:rsid w:val="00BC5DC7"/>
    <w:rsid w:val="00BC6B8B"/>
    <w:rsid w:val="00BC73D8"/>
    <w:rsid w:val="00BD095B"/>
    <w:rsid w:val="00BD2CC4"/>
    <w:rsid w:val="00BD44EA"/>
    <w:rsid w:val="00BD52D7"/>
    <w:rsid w:val="00BD5AD2"/>
    <w:rsid w:val="00BE0DE2"/>
    <w:rsid w:val="00BE22F3"/>
    <w:rsid w:val="00BE2485"/>
    <w:rsid w:val="00BE2A5A"/>
    <w:rsid w:val="00BE3710"/>
    <w:rsid w:val="00BE41DA"/>
    <w:rsid w:val="00BE4865"/>
    <w:rsid w:val="00BE5B52"/>
    <w:rsid w:val="00BE7B8D"/>
    <w:rsid w:val="00BF0993"/>
    <w:rsid w:val="00BF10A9"/>
    <w:rsid w:val="00BF12B1"/>
    <w:rsid w:val="00BF1703"/>
    <w:rsid w:val="00BF231C"/>
    <w:rsid w:val="00BF51E5"/>
    <w:rsid w:val="00BF6631"/>
    <w:rsid w:val="00BF68A0"/>
    <w:rsid w:val="00BF74A6"/>
    <w:rsid w:val="00BF792A"/>
    <w:rsid w:val="00C00EBD"/>
    <w:rsid w:val="00C013AD"/>
    <w:rsid w:val="00C04904"/>
    <w:rsid w:val="00C049F2"/>
    <w:rsid w:val="00C056B3"/>
    <w:rsid w:val="00C05C9B"/>
    <w:rsid w:val="00C103E5"/>
    <w:rsid w:val="00C13319"/>
    <w:rsid w:val="00C13EE9"/>
    <w:rsid w:val="00C14AE4"/>
    <w:rsid w:val="00C21540"/>
    <w:rsid w:val="00C21906"/>
    <w:rsid w:val="00C21BFA"/>
    <w:rsid w:val="00C22148"/>
    <w:rsid w:val="00C234AF"/>
    <w:rsid w:val="00C24C8D"/>
    <w:rsid w:val="00C25FE2"/>
    <w:rsid w:val="00C26471"/>
    <w:rsid w:val="00C26B53"/>
    <w:rsid w:val="00C26DD8"/>
    <w:rsid w:val="00C279B2"/>
    <w:rsid w:val="00C33285"/>
    <w:rsid w:val="00C33E50"/>
    <w:rsid w:val="00C3403C"/>
    <w:rsid w:val="00C34408"/>
    <w:rsid w:val="00C34C20"/>
    <w:rsid w:val="00C35A3E"/>
    <w:rsid w:val="00C36D64"/>
    <w:rsid w:val="00C414E7"/>
    <w:rsid w:val="00C41C6E"/>
    <w:rsid w:val="00C42130"/>
    <w:rsid w:val="00C423A4"/>
    <w:rsid w:val="00C44BF5"/>
    <w:rsid w:val="00C47FCD"/>
    <w:rsid w:val="00C50AEB"/>
    <w:rsid w:val="00C51596"/>
    <w:rsid w:val="00C521D6"/>
    <w:rsid w:val="00C53EB9"/>
    <w:rsid w:val="00C55232"/>
    <w:rsid w:val="00C553A4"/>
    <w:rsid w:val="00C55A06"/>
    <w:rsid w:val="00C55D03"/>
    <w:rsid w:val="00C56E05"/>
    <w:rsid w:val="00C579D6"/>
    <w:rsid w:val="00C601BC"/>
    <w:rsid w:val="00C60B1D"/>
    <w:rsid w:val="00C60BD8"/>
    <w:rsid w:val="00C6329F"/>
    <w:rsid w:val="00C63340"/>
    <w:rsid w:val="00C643F9"/>
    <w:rsid w:val="00C64A81"/>
    <w:rsid w:val="00C64E95"/>
    <w:rsid w:val="00C6604B"/>
    <w:rsid w:val="00C71372"/>
    <w:rsid w:val="00C71DCE"/>
    <w:rsid w:val="00C72059"/>
    <w:rsid w:val="00C72410"/>
    <w:rsid w:val="00C7287F"/>
    <w:rsid w:val="00C72E74"/>
    <w:rsid w:val="00C73559"/>
    <w:rsid w:val="00C759FC"/>
    <w:rsid w:val="00C80CB8"/>
    <w:rsid w:val="00C819F8"/>
    <w:rsid w:val="00C8248C"/>
    <w:rsid w:val="00C82B2D"/>
    <w:rsid w:val="00C830D0"/>
    <w:rsid w:val="00C84804"/>
    <w:rsid w:val="00C84DCE"/>
    <w:rsid w:val="00C84E33"/>
    <w:rsid w:val="00C86946"/>
    <w:rsid w:val="00C86D6F"/>
    <w:rsid w:val="00C876CF"/>
    <w:rsid w:val="00C87D23"/>
    <w:rsid w:val="00C87D45"/>
    <w:rsid w:val="00C905FC"/>
    <w:rsid w:val="00C91F9A"/>
    <w:rsid w:val="00C92273"/>
    <w:rsid w:val="00C92D03"/>
    <w:rsid w:val="00C9319C"/>
    <w:rsid w:val="00C9435D"/>
    <w:rsid w:val="00C94DF2"/>
    <w:rsid w:val="00C963CA"/>
    <w:rsid w:val="00C96741"/>
    <w:rsid w:val="00CA0BCF"/>
    <w:rsid w:val="00CA275F"/>
    <w:rsid w:val="00CA2D1B"/>
    <w:rsid w:val="00CA375D"/>
    <w:rsid w:val="00CA488B"/>
    <w:rsid w:val="00CA662A"/>
    <w:rsid w:val="00CA7AFD"/>
    <w:rsid w:val="00CA7C3C"/>
    <w:rsid w:val="00CB0189"/>
    <w:rsid w:val="00CB054D"/>
    <w:rsid w:val="00CB0BA2"/>
    <w:rsid w:val="00CB1A42"/>
    <w:rsid w:val="00CB1B0C"/>
    <w:rsid w:val="00CB2C0B"/>
    <w:rsid w:val="00CB517D"/>
    <w:rsid w:val="00CC010B"/>
    <w:rsid w:val="00CC038D"/>
    <w:rsid w:val="00CC0722"/>
    <w:rsid w:val="00CC08DB"/>
    <w:rsid w:val="00CC3535"/>
    <w:rsid w:val="00CC39FF"/>
    <w:rsid w:val="00CC3C2F"/>
    <w:rsid w:val="00CC3D38"/>
    <w:rsid w:val="00CC4AC8"/>
    <w:rsid w:val="00CC5233"/>
    <w:rsid w:val="00CC5DE6"/>
    <w:rsid w:val="00CC6E4E"/>
    <w:rsid w:val="00CC6FE8"/>
    <w:rsid w:val="00CC7202"/>
    <w:rsid w:val="00CD2808"/>
    <w:rsid w:val="00CD28BF"/>
    <w:rsid w:val="00CD4092"/>
    <w:rsid w:val="00CD4A20"/>
    <w:rsid w:val="00CD50A1"/>
    <w:rsid w:val="00CD519E"/>
    <w:rsid w:val="00CE0408"/>
    <w:rsid w:val="00CE0C4F"/>
    <w:rsid w:val="00CE30EA"/>
    <w:rsid w:val="00CE35C5"/>
    <w:rsid w:val="00CE364D"/>
    <w:rsid w:val="00CE62AA"/>
    <w:rsid w:val="00CE6695"/>
    <w:rsid w:val="00CF048A"/>
    <w:rsid w:val="00CF0FF8"/>
    <w:rsid w:val="00CF155A"/>
    <w:rsid w:val="00CF16E9"/>
    <w:rsid w:val="00CF290C"/>
    <w:rsid w:val="00CF2947"/>
    <w:rsid w:val="00CF2EAB"/>
    <w:rsid w:val="00CF5B5F"/>
    <w:rsid w:val="00CF686F"/>
    <w:rsid w:val="00CF6E60"/>
    <w:rsid w:val="00CF6F80"/>
    <w:rsid w:val="00CF7BCA"/>
    <w:rsid w:val="00D008FD"/>
    <w:rsid w:val="00D0321C"/>
    <w:rsid w:val="00D035EC"/>
    <w:rsid w:val="00D0375B"/>
    <w:rsid w:val="00D06AB1"/>
    <w:rsid w:val="00D072ED"/>
    <w:rsid w:val="00D07A16"/>
    <w:rsid w:val="00D1032A"/>
    <w:rsid w:val="00D10493"/>
    <w:rsid w:val="00D1067E"/>
    <w:rsid w:val="00D10C52"/>
    <w:rsid w:val="00D10F50"/>
    <w:rsid w:val="00D11272"/>
    <w:rsid w:val="00D1202E"/>
    <w:rsid w:val="00D126F5"/>
    <w:rsid w:val="00D14364"/>
    <w:rsid w:val="00D1489E"/>
    <w:rsid w:val="00D15498"/>
    <w:rsid w:val="00D1646A"/>
    <w:rsid w:val="00D16909"/>
    <w:rsid w:val="00D202F7"/>
    <w:rsid w:val="00D20737"/>
    <w:rsid w:val="00D20DA4"/>
    <w:rsid w:val="00D211C0"/>
    <w:rsid w:val="00D21E81"/>
    <w:rsid w:val="00D22346"/>
    <w:rsid w:val="00D223DE"/>
    <w:rsid w:val="00D25E37"/>
    <w:rsid w:val="00D2661A"/>
    <w:rsid w:val="00D27582"/>
    <w:rsid w:val="00D27E81"/>
    <w:rsid w:val="00D27EC4"/>
    <w:rsid w:val="00D301C5"/>
    <w:rsid w:val="00D32719"/>
    <w:rsid w:val="00D32C00"/>
    <w:rsid w:val="00D33333"/>
    <w:rsid w:val="00D33457"/>
    <w:rsid w:val="00D352A2"/>
    <w:rsid w:val="00D36E91"/>
    <w:rsid w:val="00D41096"/>
    <w:rsid w:val="00D4162B"/>
    <w:rsid w:val="00D434D0"/>
    <w:rsid w:val="00D445A9"/>
    <w:rsid w:val="00D4473D"/>
    <w:rsid w:val="00D44D98"/>
    <w:rsid w:val="00D4514F"/>
    <w:rsid w:val="00D451E2"/>
    <w:rsid w:val="00D45E89"/>
    <w:rsid w:val="00D45E8D"/>
    <w:rsid w:val="00D46567"/>
    <w:rsid w:val="00D466AE"/>
    <w:rsid w:val="00D4734F"/>
    <w:rsid w:val="00D51BF3"/>
    <w:rsid w:val="00D602ED"/>
    <w:rsid w:val="00D60F6F"/>
    <w:rsid w:val="00D63336"/>
    <w:rsid w:val="00D63CEA"/>
    <w:rsid w:val="00D65307"/>
    <w:rsid w:val="00D66846"/>
    <w:rsid w:val="00D675FB"/>
    <w:rsid w:val="00D71F25"/>
    <w:rsid w:val="00D72A9C"/>
    <w:rsid w:val="00D74596"/>
    <w:rsid w:val="00D746A5"/>
    <w:rsid w:val="00D77031"/>
    <w:rsid w:val="00D805D5"/>
    <w:rsid w:val="00D8220C"/>
    <w:rsid w:val="00D84941"/>
    <w:rsid w:val="00D84FA1"/>
    <w:rsid w:val="00D851F0"/>
    <w:rsid w:val="00D86DB7"/>
    <w:rsid w:val="00D926D0"/>
    <w:rsid w:val="00D93030"/>
    <w:rsid w:val="00D9401F"/>
    <w:rsid w:val="00D940B0"/>
    <w:rsid w:val="00D950E1"/>
    <w:rsid w:val="00D952A6"/>
    <w:rsid w:val="00D95466"/>
    <w:rsid w:val="00D95EE0"/>
    <w:rsid w:val="00D97105"/>
    <w:rsid w:val="00D97F99"/>
    <w:rsid w:val="00DA0DF5"/>
    <w:rsid w:val="00DA105F"/>
    <w:rsid w:val="00DA1E08"/>
    <w:rsid w:val="00DA24F8"/>
    <w:rsid w:val="00DA28E8"/>
    <w:rsid w:val="00DA2EE6"/>
    <w:rsid w:val="00DA2F3D"/>
    <w:rsid w:val="00DA38D3"/>
    <w:rsid w:val="00DA3932"/>
    <w:rsid w:val="00DA3AFC"/>
    <w:rsid w:val="00DA3C97"/>
    <w:rsid w:val="00DA3E6E"/>
    <w:rsid w:val="00DA46EA"/>
    <w:rsid w:val="00DA5B8A"/>
    <w:rsid w:val="00DA61C4"/>
    <w:rsid w:val="00DA64F8"/>
    <w:rsid w:val="00DA6C15"/>
    <w:rsid w:val="00DB0258"/>
    <w:rsid w:val="00DB36A0"/>
    <w:rsid w:val="00DB38EE"/>
    <w:rsid w:val="00DB498B"/>
    <w:rsid w:val="00DB581A"/>
    <w:rsid w:val="00DB66CA"/>
    <w:rsid w:val="00DB6BCA"/>
    <w:rsid w:val="00DB73F7"/>
    <w:rsid w:val="00DC0321"/>
    <w:rsid w:val="00DC12CB"/>
    <w:rsid w:val="00DC3067"/>
    <w:rsid w:val="00DC370B"/>
    <w:rsid w:val="00DC5B90"/>
    <w:rsid w:val="00DC62D3"/>
    <w:rsid w:val="00DC6B97"/>
    <w:rsid w:val="00DD00FF"/>
    <w:rsid w:val="00DD0619"/>
    <w:rsid w:val="00DD07FB"/>
    <w:rsid w:val="00DD25C6"/>
    <w:rsid w:val="00DD4FE5"/>
    <w:rsid w:val="00DD54B0"/>
    <w:rsid w:val="00DD57EE"/>
    <w:rsid w:val="00DD6BCC"/>
    <w:rsid w:val="00DE0A4B"/>
    <w:rsid w:val="00DE2410"/>
    <w:rsid w:val="00DE291E"/>
    <w:rsid w:val="00DE2939"/>
    <w:rsid w:val="00DE6E81"/>
    <w:rsid w:val="00DE703F"/>
    <w:rsid w:val="00DE743B"/>
    <w:rsid w:val="00DE7595"/>
    <w:rsid w:val="00DF11FC"/>
    <w:rsid w:val="00DF17DA"/>
    <w:rsid w:val="00DF1961"/>
    <w:rsid w:val="00DF2106"/>
    <w:rsid w:val="00DF2E1E"/>
    <w:rsid w:val="00DF44DE"/>
    <w:rsid w:val="00DF48D3"/>
    <w:rsid w:val="00DF501D"/>
    <w:rsid w:val="00DF5F11"/>
    <w:rsid w:val="00DF6E0E"/>
    <w:rsid w:val="00DF764D"/>
    <w:rsid w:val="00E01138"/>
    <w:rsid w:val="00E022C3"/>
    <w:rsid w:val="00E02502"/>
    <w:rsid w:val="00E02DFB"/>
    <w:rsid w:val="00E030F9"/>
    <w:rsid w:val="00E0311A"/>
    <w:rsid w:val="00E03138"/>
    <w:rsid w:val="00E04750"/>
    <w:rsid w:val="00E05AC0"/>
    <w:rsid w:val="00E06404"/>
    <w:rsid w:val="00E118FA"/>
    <w:rsid w:val="00E11A85"/>
    <w:rsid w:val="00E12495"/>
    <w:rsid w:val="00E13451"/>
    <w:rsid w:val="00E143BC"/>
    <w:rsid w:val="00E14FE8"/>
    <w:rsid w:val="00E15CCD"/>
    <w:rsid w:val="00E16DE6"/>
    <w:rsid w:val="00E202EF"/>
    <w:rsid w:val="00E20471"/>
    <w:rsid w:val="00E210B5"/>
    <w:rsid w:val="00E23345"/>
    <w:rsid w:val="00E23D99"/>
    <w:rsid w:val="00E2552F"/>
    <w:rsid w:val="00E30F2F"/>
    <w:rsid w:val="00E3137A"/>
    <w:rsid w:val="00E32CCF"/>
    <w:rsid w:val="00E34A98"/>
    <w:rsid w:val="00E35D1E"/>
    <w:rsid w:val="00E364F9"/>
    <w:rsid w:val="00E365FA"/>
    <w:rsid w:val="00E36789"/>
    <w:rsid w:val="00E421D8"/>
    <w:rsid w:val="00E44A83"/>
    <w:rsid w:val="00E502C1"/>
    <w:rsid w:val="00E502DD"/>
    <w:rsid w:val="00E50D3A"/>
    <w:rsid w:val="00E51387"/>
    <w:rsid w:val="00E51E68"/>
    <w:rsid w:val="00E52EFD"/>
    <w:rsid w:val="00E5408A"/>
    <w:rsid w:val="00E54944"/>
    <w:rsid w:val="00E56800"/>
    <w:rsid w:val="00E575E2"/>
    <w:rsid w:val="00E60C63"/>
    <w:rsid w:val="00E622AE"/>
    <w:rsid w:val="00E62FF9"/>
    <w:rsid w:val="00E635D6"/>
    <w:rsid w:val="00E639BC"/>
    <w:rsid w:val="00E643DF"/>
    <w:rsid w:val="00E65980"/>
    <w:rsid w:val="00E664CC"/>
    <w:rsid w:val="00E66B8C"/>
    <w:rsid w:val="00E70388"/>
    <w:rsid w:val="00E70F92"/>
    <w:rsid w:val="00E74C54"/>
    <w:rsid w:val="00E74FD2"/>
    <w:rsid w:val="00E77649"/>
    <w:rsid w:val="00E77A03"/>
    <w:rsid w:val="00E822E8"/>
    <w:rsid w:val="00E82383"/>
    <w:rsid w:val="00E82554"/>
    <w:rsid w:val="00E82606"/>
    <w:rsid w:val="00E846C8"/>
    <w:rsid w:val="00E84957"/>
    <w:rsid w:val="00E84A55"/>
    <w:rsid w:val="00E85A4E"/>
    <w:rsid w:val="00E85BFF"/>
    <w:rsid w:val="00E8738D"/>
    <w:rsid w:val="00E90391"/>
    <w:rsid w:val="00E906C2"/>
    <w:rsid w:val="00E9311F"/>
    <w:rsid w:val="00E934D1"/>
    <w:rsid w:val="00E94AF0"/>
    <w:rsid w:val="00E95920"/>
    <w:rsid w:val="00E95D13"/>
    <w:rsid w:val="00E95DD3"/>
    <w:rsid w:val="00E969D5"/>
    <w:rsid w:val="00E972AF"/>
    <w:rsid w:val="00EA0FC4"/>
    <w:rsid w:val="00EA58D1"/>
    <w:rsid w:val="00EA61BC"/>
    <w:rsid w:val="00EA681A"/>
    <w:rsid w:val="00EA735B"/>
    <w:rsid w:val="00EB09FB"/>
    <w:rsid w:val="00EB17DE"/>
    <w:rsid w:val="00EB1E69"/>
    <w:rsid w:val="00EB2086"/>
    <w:rsid w:val="00EB3B8E"/>
    <w:rsid w:val="00EB509F"/>
    <w:rsid w:val="00EB5EDF"/>
    <w:rsid w:val="00EB60FE"/>
    <w:rsid w:val="00EB74DB"/>
    <w:rsid w:val="00EC0DAF"/>
    <w:rsid w:val="00EC0DB7"/>
    <w:rsid w:val="00EC1822"/>
    <w:rsid w:val="00EC2CF7"/>
    <w:rsid w:val="00EC3852"/>
    <w:rsid w:val="00EC5359"/>
    <w:rsid w:val="00EC562A"/>
    <w:rsid w:val="00EC59BD"/>
    <w:rsid w:val="00EC6B8F"/>
    <w:rsid w:val="00EC724B"/>
    <w:rsid w:val="00EC76C3"/>
    <w:rsid w:val="00ED067A"/>
    <w:rsid w:val="00ED163B"/>
    <w:rsid w:val="00ED2B50"/>
    <w:rsid w:val="00ED7D97"/>
    <w:rsid w:val="00EE0350"/>
    <w:rsid w:val="00EE0719"/>
    <w:rsid w:val="00EE0E80"/>
    <w:rsid w:val="00EE257B"/>
    <w:rsid w:val="00EE4EB2"/>
    <w:rsid w:val="00EE54A6"/>
    <w:rsid w:val="00EE613F"/>
    <w:rsid w:val="00EE7295"/>
    <w:rsid w:val="00EE7869"/>
    <w:rsid w:val="00EF054A"/>
    <w:rsid w:val="00EF3235"/>
    <w:rsid w:val="00EF38AD"/>
    <w:rsid w:val="00EF7E72"/>
    <w:rsid w:val="00F0294F"/>
    <w:rsid w:val="00F044EB"/>
    <w:rsid w:val="00F068C7"/>
    <w:rsid w:val="00F06D37"/>
    <w:rsid w:val="00F07677"/>
    <w:rsid w:val="00F07B9D"/>
    <w:rsid w:val="00F11586"/>
    <w:rsid w:val="00F1183B"/>
    <w:rsid w:val="00F11C9F"/>
    <w:rsid w:val="00F12263"/>
    <w:rsid w:val="00F1409D"/>
    <w:rsid w:val="00F14214"/>
    <w:rsid w:val="00F157A9"/>
    <w:rsid w:val="00F16AD9"/>
    <w:rsid w:val="00F22B37"/>
    <w:rsid w:val="00F2327B"/>
    <w:rsid w:val="00F25BB6"/>
    <w:rsid w:val="00F262D2"/>
    <w:rsid w:val="00F26B7E"/>
    <w:rsid w:val="00F27A3B"/>
    <w:rsid w:val="00F33817"/>
    <w:rsid w:val="00F4134B"/>
    <w:rsid w:val="00F420D5"/>
    <w:rsid w:val="00F43F8F"/>
    <w:rsid w:val="00F451EA"/>
    <w:rsid w:val="00F45447"/>
    <w:rsid w:val="00F456C6"/>
    <w:rsid w:val="00F4577B"/>
    <w:rsid w:val="00F46496"/>
    <w:rsid w:val="00F473D3"/>
    <w:rsid w:val="00F474D0"/>
    <w:rsid w:val="00F47F02"/>
    <w:rsid w:val="00F50179"/>
    <w:rsid w:val="00F515EE"/>
    <w:rsid w:val="00F517A0"/>
    <w:rsid w:val="00F5577D"/>
    <w:rsid w:val="00F56356"/>
    <w:rsid w:val="00F56511"/>
    <w:rsid w:val="00F6028D"/>
    <w:rsid w:val="00F60E07"/>
    <w:rsid w:val="00F6194E"/>
    <w:rsid w:val="00F623AC"/>
    <w:rsid w:val="00F62E64"/>
    <w:rsid w:val="00F6412A"/>
    <w:rsid w:val="00F64E61"/>
    <w:rsid w:val="00F64E97"/>
    <w:rsid w:val="00F65893"/>
    <w:rsid w:val="00F65975"/>
    <w:rsid w:val="00F66A4A"/>
    <w:rsid w:val="00F67AC4"/>
    <w:rsid w:val="00F71E22"/>
    <w:rsid w:val="00F72142"/>
    <w:rsid w:val="00F72AE7"/>
    <w:rsid w:val="00F73B64"/>
    <w:rsid w:val="00F74C82"/>
    <w:rsid w:val="00F81141"/>
    <w:rsid w:val="00F831CC"/>
    <w:rsid w:val="00F833BA"/>
    <w:rsid w:val="00F84FD0"/>
    <w:rsid w:val="00F853C4"/>
    <w:rsid w:val="00F859A8"/>
    <w:rsid w:val="00F86D87"/>
    <w:rsid w:val="00F872EC"/>
    <w:rsid w:val="00F9094A"/>
    <w:rsid w:val="00F9108B"/>
    <w:rsid w:val="00F91349"/>
    <w:rsid w:val="00F93A8A"/>
    <w:rsid w:val="00F95248"/>
    <w:rsid w:val="00F95461"/>
    <w:rsid w:val="00F956A9"/>
    <w:rsid w:val="00F963ED"/>
    <w:rsid w:val="00F966CF"/>
    <w:rsid w:val="00F96CAE"/>
    <w:rsid w:val="00F96E69"/>
    <w:rsid w:val="00F97C99"/>
    <w:rsid w:val="00FA1848"/>
    <w:rsid w:val="00FA4DAC"/>
    <w:rsid w:val="00FA5EE5"/>
    <w:rsid w:val="00FA662D"/>
    <w:rsid w:val="00FA6640"/>
    <w:rsid w:val="00FA73B1"/>
    <w:rsid w:val="00FA796E"/>
    <w:rsid w:val="00FA7A37"/>
    <w:rsid w:val="00FB0CB9"/>
    <w:rsid w:val="00FB231D"/>
    <w:rsid w:val="00FB45F1"/>
    <w:rsid w:val="00FB4A72"/>
    <w:rsid w:val="00FB54E8"/>
    <w:rsid w:val="00FB68BD"/>
    <w:rsid w:val="00FB6A97"/>
    <w:rsid w:val="00FB7054"/>
    <w:rsid w:val="00FB7E2E"/>
    <w:rsid w:val="00FC15DD"/>
    <w:rsid w:val="00FC17B7"/>
    <w:rsid w:val="00FC2BF0"/>
    <w:rsid w:val="00FC2CB7"/>
    <w:rsid w:val="00FC4090"/>
    <w:rsid w:val="00FC55B4"/>
    <w:rsid w:val="00FC6470"/>
    <w:rsid w:val="00FC66D7"/>
    <w:rsid w:val="00FD00E6"/>
    <w:rsid w:val="00FD04C9"/>
    <w:rsid w:val="00FD09A1"/>
    <w:rsid w:val="00FD2A7C"/>
    <w:rsid w:val="00FD4230"/>
    <w:rsid w:val="00FD4B7B"/>
    <w:rsid w:val="00FD59EB"/>
    <w:rsid w:val="00FD648F"/>
    <w:rsid w:val="00FD7299"/>
    <w:rsid w:val="00FE1FBE"/>
    <w:rsid w:val="00FE3901"/>
    <w:rsid w:val="00FE39D3"/>
    <w:rsid w:val="00FE4BCE"/>
    <w:rsid w:val="00FE54AE"/>
    <w:rsid w:val="00FE576A"/>
    <w:rsid w:val="00FE741C"/>
    <w:rsid w:val="00FE7663"/>
    <w:rsid w:val="00FE7E79"/>
    <w:rsid w:val="00FF188A"/>
    <w:rsid w:val="00FF3E7D"/>
    <w:rsid w:val="00FF5B99"/>
    <w:rsid w:val="00FF730C"/>
    <w:rsid w:val="00FF73F4"/>
    <w:rsid w:val="00FF7CE4"/>
    <w:rsid w:val="00FF7E39"/>
    <w:rsid w:val="05081CAA"/>
    <w:rsid w:val="0883106B"/>
    <w:rsid w:val="0ADC0030"/>
    <w:rsid w:val="0F3925A4"/>
    <w:rsid w:val="12614FB6"/>
    <w:rsid w:val="1AAF54D0"/>
    <w:rsid w:val="1B922792"/>
    <w:rsid w:val="34CD63B8"/>
    <w:rsid w:val="363C2D6A"/>
    <w:rsid w:val="3C683431"/>
    <w:rsid w:val="43EF2A8C"/>
    <w:rsid w:val="49AA1884"/>
    <w:rsid w:val="4A477384"/>
    <w:rsid w:val="5F964131"/>
    <w:rsid w:val="6181771A"/>
    <w:rsid w:val="6DF4417A"/>
    <w:rsid w:val="73A2469D"/>
    <w:rsid w:val="783D48C6"/>
    <w:rsid w:val="7AB74E0F"/>
    <w:rsid w:val="7F1F5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6"/>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table" w:customStyle="1" w:styleId="232">
    <w:name w:val="Table Normal"/>
    <w:semiHidden/>
    <w:unhideWhenUsed/>
    <w:qFormat/>
    <w:uiPriority w:val="2"/>
    <w:rPr>
      <w:rFonts w:asciiTheme="minorHAnsi" w:hAnsiTheme="minorHAnsi" w:eastAsiaTheme="minorEastAsia" w:cstheme="minorBidi"/>
    </w:rPr>
    <w:tblPr>
      <w:tblCellMar>
        <w:top w:w="0" w:type="dxa"/>
        <w:left w:w="0" w:type="dxa"/>
        <w:bottom w:w="0" w:type="dxa"/>
        <w:right w:w="0" w:type="dxa"/>
      </w:tblCellMar>
    </w:tblPr>
  </w:style>
  <w:style w:type="paragraph" w:customStyle="1" w:styleId="233">
    <w:name w:val="Table Paragraph"/>
    <w:basedOn w:val="1"/>
    <w:qFormat/>
    <w:uiPriority w:val="1"/>
    <w:pPr>
      <w:adjustRightInd/>
      <w:spacing w:line="240" w:lineRule="auto"/>
      <w:jc w:val="left"/>
    </w:pPr>
    <w:rPr>
      <w:rFonts w:asciiTheme="minorHAnsi" w:hAnsiTheme="minorHAnsi" w:eastAsiaTheme="minorEastAsia" w:cstheme="minorBidi"/>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4" Type="http://schemas.openxmlformats.org/officeDocument/2006/relationships/glossaryDocument" Target="glossary/document.xml"/><Relationship Id="rId53" Type="http://schemas.openxmlformats.org/officeDocument/2006/relationships/fontTable" Target="fontTable.xml"/><Relationship Id="rId52" Type="http://schemas.openxmlformats.org/officeDocument/2006/relationships/customXml" Target="../customXml/item2.xml"/><Relationship Id="rId51" Type="http://schemas.openxmlformats.org/officeDocument/2006/relationships/numbering" Target="numbering.xml"/><Relationship Id="rId50" Type="http://schemas.openxmlformats.org/officeDocument/2006/relationships/customXml" Target="../customXml/item1.xml"/><Relationship Id="rId5" Type="http://schemas.openxmlformats.org/officeDocument/2006/relationships/header" Target="header1.xml"/><Relationship Id="rId49" Type="http://schemas.openxmlformats.org/officeDocument/2006/relationships/image" Target="media/image4.jpeg"/><Relationship Id="rId48" Type="http://schemas.openxmlformats.org/officeDocument/2006/relationships/image" Target="media/image3.png"/><Relationship Id="rId47" Type="http://schemas.openxmlformats.org/officeDocument/2006/relationships/image" Target="media/image2.png"/><Relationship Id="rId46" Type="http://schemas.openxmlformats.org/officeDocument/2006/relationships/image" Target="media/image1.emf"/><Relationship Id="rId45" Type="http://schemas.openxmlformats.org/officeDocument/2006/relationships/oleObject" Target="embeddings/oleObject1.bin"/><Relationship Id="rId44" Type="http://schemas.openxmlformats.org/officeDocument/2006/relationships/image" Target="media/image1.tiff"/><Relationship Id="rId43" Type="http://schemas.openxmlformats.org/officeDocument/2006/relationships/theme" Target="theme/theme1.xml"/><Relationship Id="rId42" Type="http://schemas.openxmlformats.org/officeDocument/2006/relationships/footer" Target="footer19.xml"/><Relationship Id="rId41" Type="http://schemas.openxmlformats.org/officeDocument/2006/relationships/footer" Target="footer18.xml"/><Relationship Id="rId40" Type="http://schemas.openxmlformats.org/officeDocument/2006/relationships/header" Target="header19.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10F2404902E4D77A987A0AC04DE8750"/>
        <w:style w:val=""/>
        <w:category>
          <w:name w:val="常规"/>
          <w:gallery w:val="placeholder"/>
        </w:category>
        <w:types>
          <w:type w:val="bbPlcHdr"/>
        </w:types>
        <w:behaviors>
          <w:behavior w:val="content"/>
        </w:behaviors>
        <w:description w:val=""/>
        <w:guid w:val="{61D8C88F-5C0D-4206-B4A4-F3924D17271E}"/>
      </w:docPartPr>
      <w:docPartBody>
        <w:p>
          <w:pPr>
            <w:pStyle w:val="5"/>
          </w:pPr>
          <w:r>
            <w:rPr>
              <w:rStyle w:val="4"/>
              <w:rFonts w:hint="eastAsia"/>
            </w:rPr>
            <w:t>单击或点击此处输入文字。</w:t>
          </w:r>
        </w:p>
      </w:docPartBody>
    </w:docPart>
    <w:docPart>
      <w:docPartPr>
        <w:name w:val="3CF88B3775984FD1A01B1E58BCF545DC"/>
        <w:style w:val=""/>
        <w:category>
          <w:name w:val="常规"/>
          <w:gallery w:val="placeholder"/>
        </w:category>
        <w:types>
          <w:type w:val="bbPlcHdr"/>
        </w:types>
        <w:behaviors>
          <w:behavior w:val="content"/>
        </w:behaviors>
        <w:description w:val=""/>
        <w:guid w:val="{454DEE4C-F984-47C3-B549-45D34BA7B7C6}"/>
      </w:docPartPr>
      <w:docPartBody>
        <w:p>
          <w:pPr>
            <w:pStyle w:val="6"/>
          </w:pPr>
          <w:r>
            <w:rPr>
              <w:rStyle w:val="4"/>
              <w:rFonts w:hint="eastAsia"/>
            </w:rPr>
            <w:t>选择一项。</w:t>
          </w:r>
        </w:p>
      </w:docPartBody>
    </w:docPart>
    <w:docPart>
      <w:docPartPr>
        <w:name w:val="0DA17F321B2343AF8D3DDAF1464F7882"/>
        <w:style w:val=""/>
        <w:category>
          <w:name w:val="常规"/>
          <w:gallery w:val="placeholder"/>
        </w:category>
        <w:types>
          <w:type w:val="bbPlcHdr"/>
        </w:types>
        <w:behaviors>
          <w:behavior w:val="content"/>
        </w:behaviors>
        <w:description w:val=""/>
        <w:guid w:val="{1487701B-FB68-457C-8919-5BAEAD585494}"/>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A"/>
    <w:rsid w:val="00033942"/>
    <w:rsid w:val="0004158F"/>
    <w:rsid w:val="00062F05"/>
    <w:rsid w:val="001505F7"/>
    <w:rsid w:val="00154590"/>
    <w:rsid w:val="00154CBC"/>
    <w:rsid w:val="00162122"/>
    <w:rsid w:val="001939DD"/>
    <w:rsid w:val="001A667D"/>
    <w:rsid w:val="002329A4"/>
    <w:rsid w:val="002B501C"/>
    <w:rsid w:val="002C2170"/>
    <w:rsid w:val="002D1AF2"/>
    <w:rsid w:val="003007BB"/>
    <w:rsid w:val="003159FE"/>
    <w:rsid w:val="00320D26"/>
    <w:rsid w:val="00370739"/>
    <w:rsid w:val="00376C99"/>
    <w:rsid w:val="00387484"/>
    <w:rsid w:val="00395D58"/>
    <w:rsid w:val="003E1581"/>
    <w:rsid w:val="00410BC5"/>
    <w:rsid w:val="00443B8A"/>
    <w:rsid w:val="00451E32"/>
    <w:rsid w:val="00507227"/>
    <w:rsid w:val="005215A5"/>
    <w:rsid w:val="00532285"/>
    <w:rsid w:val="00547E21"/>
    <w:rsid w:val="005B316C"/>
    <w:rsid w:val="00635CF1"/>
    <w:rsid w:val="0064063F"/>
    <w:rsid w:val="006631B8"/>
    <w:rsid w:val="00666BC7"/>
    <w:rsid w:val="006B0A1A"/>
    <w:rsid w:val="00781E21"/>
    <w:rsid w:val="007946B6"/>
    <w:rsid w:val="007C676C"/>
    <w:rsid w:val="007D34CB"/>
    <w:rsid w:val="00812152"/>
    <w:rsid w:val="008516E0"/>
    <w:rsid w:val="008575AB"/>
    <w:rsid w:val="00885FEE"/>
    <w:rsid w:val="008B61FE"/>
    <w:rsid w:val="008E42B3"/>
    <w:rsid w:val="008E506B"/>
    <w:rsid w:val="00A0371A"/>
    <w:rsid w:val="00A16502"/>
    <w:rsid w:val="00A27421"/>
    <w:rsid w:val="00AB4ECF"/>
    <w:rsid w:val="00AC05FC"/>
    <w:rsid w:val="00AD016D"/>
    <w:rsid w:val="00AF1086"/>
    <w:rsid w:val="00B06F7D"/>
    <w:rsid w:val="00B245D6"/>
    <w:rsid w:val="00B44A79"/>
    <w:rsid w:val="00B45985"/>
    <w:rsid w:val="00B52AE4"/>
    <w:rsid w:val="00B63055"/>
    <w:rsid w:val="00B97DAB"/>
    <w:rsid w:val="00BC4762"/>
    <w:rsid w:val="00BC5753"/>
    <w:rsid w:val="00C03292"/>
    <w:rsid w:val="00C5071A"/>
    <w:rsid w:val="00C60C42"/>
    <w:rsid w:val="00C70F55"/>
    <w:rsid w:val="00C866E8"/>
    <w:rsid w:val="00C95037"/>
    <w:rsid w:val="00CA3C29"/>
    <w:rsid w:val="00CE613B"/>
    <w:rsid w:val="00D504AA"/>
    <w:rsid w:val="00D8122D"/>
    <w:rsid w:val="00DB6059"/>
    <w:rsid w:val="00DF639D"/>
    <w:rsid w:val="00E339C2"/>
    <w:rsid w:val="00E417B4"/>
    <w:rsid w:val="00E517E0"/>
    <w:rsid w:val="00E77CCA"/>
    <w:rsid w:val="00E906D0"/>
    <w:rsid w:val="00EA43BA"/>
    <w:rsid w:val="00EC26AD"/>
    <w:rsid w:val="00EC5716"/>
    <w:rsid w:val="00EE6B7E"/>
    <w:rsid w:val="00F05058"/>
    <w:rsid w:val="00FE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10F2404902E4D77A987A0AC04DE875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CF88B3775984FD1A01B1E58BCF545D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DA17F321B2343AF8D3DDAF1464F788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14CCE5-F401-4757-A396-FCAB9DFDF952}">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19</Pages>
  <Words>5382</Words>
  <Characters>6674</Characters>
  <Lines>1112</Lines>
  <Paragraphs>927</Paragraphs>
  <TotalTime>0</TotalTime>
  <ScaleCrop>false</ScaleCrop>
  <LinksUpToDate>false</LinksUpToDate>
  <CharactersWithSpaces>11129</CharactersWithSpaces>
  <Application>WPS Office_11.8.6.10973_F1E327BC-269C-435d-A152-05C5408002CA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2024-05-24T01:05:00Z</dcterms:created>
  <dc:creator>Administrator</dc:creator>
  <dc:description>&lt;config cover="true" show_menu="true" version="1.0.0" doctype="SDKXY"&gt;_x000d_
&lt;/config&gt;</dc:description>
  <cp:lastModifiedBy>阿静</cp:lastModifiedBy>
  <cp:lastPrinted>2024-07-12T08:52:00Z</cp:lastPrinted>
  <dcterms:modified xsi:type="dcterms:W3CDTF">2024-12-09T00:53:11Z</dcterms:modified>
  <dc:title>地方标准</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2052-11.8.6.10973</vt:lpwstr>
  </property>
  <property fmtid="{D5CDD505-2E9C-101B-9397-08002B2CF9AE}" pid="15" name="ICV">
    <vt:lpwstr>9F93B627EDE64DAB8D51DF59F18EDB08</vt:lpwstr>
  </property>
  <property fmtid="{D5CDD505-2E9C-101B-9397-08002B2CF9AE}" pid="16" name="DoublePage">
    <vt:lpwstr>true</vt:lpwstr>
  </property>
</Properties>
</file>