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13</w:t>
            </w:r>
            <w:r>
              <w:fldChar w:fldCharType="end"/>
            </w:r>
            <w:bookmarkEnd w:id="1"/>
          </w:p>
        </w:tc>
      </w:tr>
    </w:tbl>
    <w:p>
      <w:pPr>
        <w:pStyle w:val="52"/>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shd w:val="clear" w:color="FFFFFF" w:fill="D9D9D9"/>
        </w:rPr>
        <w:t>湖南省</w:t>
      </w:r>
      <w:r>
        <w:rPr>
          <w:rFonts w:hint="eastAsia" w:ascii="黑体" w:hAnsi="黑体" w:eastAsia="黑体"/>
          <w:b w:val="0"/>
          <w:bCs w:val="0"/>
          <w:w w:val="100"/>
          <w:sz w:val="48"/>
          <w:szCs w:val="48"/>
        </w:rPr>
        <w:t>地方标准</w:t>
      </w:r>
    </w:p>
    <w:bookmarkEnd w:id="0"/>
    <w:p>
      <w:pPr>
        <w:pStyle w:val="197"/>
        <w:rPr>
          <w:lang w:val="fr-FR"/>
        </w:rPr>
      </w:pPr>
      <w:r>
        <w:rPr>
          <w:lang w:val="fr-FR"/>
        </w:rPr>
        <w:t>DB</w:t>
      </w:r>
      <w:r>
        <w:rPr>
          <w:sz w:val="15"/>
          <w:szCs w:val="15"/>
          <w:lang w:val="fr-FR"/>
        </w:rPr>
        <w:t xml:space="preserve"> </w:t>
      </w:r>
      <w:bookmarkStart w:id="2" w:name="文字1"/>
      <w:r>
        <w:rPr>
          <w:rFonts w:hint="eastAsia" w:ascii="黑体" w:hAnsi="Times New Roman" w:eastAsia="黑体" w:cs="Times New Roman"/>
          <w:bCs/>
          <w:sz w:val="28"/>
          <w:szCs w:val="28"/>
          <w:lang w:val="fr-FR" w:eastAsia="zh-CN" w:bidi="ar-SA"/>
        </w:rPr>
        <w:fldChar w:fldCharType="begin">
          <w:ffData>
            <w:name w:val="文字1"/>
            <w:enabled/>
            <w:calcOnExit w:val="0"/>
            <w:textInput>
              <w:default w:val="XX/X"/>
            </w:textInput>
          </w:ffData>
        </w:fldChar>
      </w:r>
      <w:r>
        <w:rPr>
          <w:rFonts w:hint="eastAsia" w:ascii="黑体" w:hAnsi="Times New Roman" w:eastAsia="黑体" w:cs="Times New Roman"/>
          <w:bCs/>
          <w:sz w:val="28"/>
          <w:szCs w:val="28"/>
          <w:lang w:val="fr-FR" w:eastAsia="zh-CN" w:bidi="ar-SA"/>
        </w:rPr>
        <w:instrText xml:space="preserve">FORMTEXT</w:instrText>
      </w:r>
      <w:r>
        <w:rPr>
          <w:rFonts w:hint="eastAsia" w:ascii="黑体" w:hAnsi="Times New Roman" w:eastAsia="黑体" w:cs="Times New Roman"/>
          <w:bCs/>
          <w:sz w:val="28"/>
          <w:szCs w:val="28"/>
          <w:lang w:val="fr-FR" w:eastAsia="zh-CN" w:bidi="ar-SA"/>
        </w:rPr>
        <w:fldChar w:fldCharType="separate"/>
      </w:r>
      <w:r>
        <w:rPr>
          <w:rFonts w:hint="eastAsia" w:ascii="黑体" w:hAnsi="Times New Roman" w:eastAsia="黑体" w:cs="Times New Roman"/>
          <w:bCs/>
          <w:sz w:val="28"/>
          <w:szCs w:val="28"/>
          <w:lang w:val="fr-FR" w:eastAsia="zh-CN" w:bidi="ar-SA"/>
        </w:rPr>
        <w:t>XX/X</w:t>
      </w:r>
      <w:r>
        <w:rPr>
          <w:rFonts w:hint="eastAsia" w:ascii="黑体" w:hAnsi="Times New Roman" w:eastAsia="黑体" w:cs="Times New Roman"/>
          <w:bCs/>
          <w:sz w:val="28"/>
          <w:szCs w:val="28"/>
          <w:lang w:val="fr-FR" w:eastAsia="zh-CN" w:bidi="ar-SA"/>
        </w:rPr>
        <w:fldChar w:fldCharType="end"/>
      </w:r>
      <w:bookmarkEnd w:id="2"/>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t>XXXX</w:t>
      </w:r>
      <w:r>
        <w:fldChar w:fldCharType="end"/>
      </w:r>
      <w:bookmarkEnd w:id="4"/>
    </w:p>
    <w:p>
      <w:pPr>
        <w:pStyle w:val="198"/>
      </w:pPr>
      <w:r>
        <w:fldChar w:fldCharType="begin">
          <w:ffData>
            <w:name w:val="OSTD_CODE"/>
            <w:enabled/>
            <w:calcOnExit w:val="0"/>
            <w:textInput/>
          </w:ffData>
        </w:fldChar>
      </w:r>
      <w:bookmarkStart w:id="5" w:name="OSTD_CODE"/>
      <w:r>
        <w:instrText xml:space="preserve"> FORMTEXT </w:instrText>
      </w:r>
      <w:r>
        <w:fldChar w:fldCharType="separate"/>
      </w:r>
      <w:r>
        <w:t>     </w:t>
      </w:r>
      <w:r>
        <w:fldChar w:fldCharType="end"/>
      </w:r>
      <w:bookmarkEnd w:id="5"/>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6350" b="6985"/>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x="1620" w:y="6049"/>
        <w:rPr>
          <w:rFonts w:hint="eastAsia"/>
          <w:shd w:val="clear" w:color="FFFFFF" w:fill="D9D9D9"/>
          <w:lang w:val="en-US" w:eastAsia="zh-CN"/>
        </w:rPr>
      </w:pPr>
      <w:r>
        <w:rPr>
          <w:rFonts w:hint="eastAsia"/>
          <w:shd w:val="clear" w:color="FFFFFF" w:fill="D9D9D9"/>
          <w:lang w:val="en-US" w:eastAsia="zh-CN"/>
        </w:rPr>
        <w:t>电力电缆接地环流在线监测装置</w:t>
      </w:r>
    </w:p>
    <w:p>
      <w:pPr>
        <w:pStyle w:val="199"/>
        <w:framePr w:x="1620" w:y="6049"/>
        <w:rPr>
          <w:rFonts w:hint="default" w:eastAsia="黑体"/>
          <w:shd w:val="clear" w:color="FFFFFF" w:fill="D9D9D9"/>
          <w:lang w:val="en-US" w:eastAsia="zh-CN"/>
        </w:rPr>
      </w:pPr>
      <w:r>
        <w:rPr>
          <w:rFonts w:hint="eastAsia"/>
          <w:shd w:val="clear" w:color="FFFFFF" w:fill="D9D9D9"/>
          <w:lang w:val="en-US" w:eastAsia="zh-CN"/>
        </w:rPr>
        <w:t>现场校验导则</w:t>
      </w:r>
    </w:p>
    <w:p>
      <w:pPr>
        <w:framePr w:w="9639" w:h="6974" w:hRule="exact" w:wrap="around" w:vAnchor="page" w:hAnchor="page" w:x="1323" w:y="7146" w:anchorLock="1"/>
        <w:ind w:left="-1418"/>
      </w:pPr>
    </w:p>
    <w:p>
      <w:pPr>
        <w:pStyle w:val="127"/>
        <w:framePr w:w="9639" w:h="6974" w:hRule="exact" w:wrap="around" w:vAnchor="page" w:hAnchor="page" w:x="1323" w:y="7146" w:anchorLock="1"/>
        <w:textAlignment w:val="bottom"/>
        <w:rPr>
          <w:rFonts w:hint="eastAsia" w:eastAsia="黑体"/>
          <w:szCs w:val="28"/>
          <w:lang w:val="en-US" w:eastAsia="zh-CN"/>
        </w:rPr>
      </w:pPr>
    </w:p>
    <w:p>
      <w:pPr>
        <w:pStyle w:val="127"/>
        <w:framePr w:w="9639" w:h="6974" w:hRule="exact" w:wrap="around" w:vAnchor="page" w:hAnchor="page" w:x="1323" w:y="7146" w:anchorLock="1"/>
        <w:textAlignment w:val="bottom"/>
        <w:rPr>
          <w:rFonts w:hint="default" w:eastAsia="黑体"/>
          <w:szCs w:val="28"/>
          <w:lang w:val="en-US" w:eastAsia="zh-CN"/>
        </w:rPr>
      </w:pPr>
      <w:r>
        <w:rPr>
          <w:rFonts w:hint="eastAsia" w:eastAsia="黑体"/>
          <w:szCs w:val="28"/>
          <w:lang w:val="en-US" w:eastAsia="zh-CN"/>
        </w:rPr>
        <w:t>Field verification guidelines of power cable sheath current on-line monitoring devices</w:t>
      </w:r>
    </w:p>
    <w:p>
      <w:pPr>
        <w:framePr w:w="9639" w:h="6974" w:hRule="exact" w:wrap="around" w:vAnchor="page" w:hAnchor="page" w:x="1323" w:y="7146" w:anchorLock="1"/>
        <w:spacing w:line="760" w:lineRule="exact"/>
        <w:ind w:left="-1418"/>
      </w:pPr>
    </w:p>
    <w:p>
      <w:pPr>
        <w:pStyle w:val="127"/>
        <w:framePr w:w="9639" w:h="6974" w:hRule="exact" w:wrap="around" w:vAnchor="page" w:hAnchor="page" w:x="1323" w:y="7146" w:anchorLock="1"/>
        <w:textAlignment w:val="bottom"/>
        <w:rPr>
          <w:rFonts w:eastAsia="黑体"/>
          <w:szCs w:val="28"/>
        </w:rPr>
      </w:pPr>
    </w:p>
    <w:p>
      <w:pPr>
        <w:pStyle w:val="127"/>
        <w:framePr w:w="9639" w:h="6974" w:hRule="exact" w:wrap="around" w:vAnchor="page" w:hAnchor="page" w:x="1323" w:y="7146"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pPr>
        <w:pStyle w:val="127"/>
        <w:framePr w:w="9639" w:h="6974" w:hRule="exact" w:wrap="around" w:vAnchor="page" w:hAnchor="page" w:x="1323" w:y="7146" w:anchorLock="1"/>
        <w:spacing w:before="180" w:line="240" w:lineRule="atLeast"/>
        <w:textAlignment w:val="bottom"/>
        <w:rPr>
          <w:sz w:val="21"/>
          <w:szCs w:val="28"/>
        </w:rPr>
      </w:pPr>
    </w:p>
    <w:p>
      <w:pPr>
        <w:pStyle w:val="127"/>
        <w:framePr w:w="9639" w:h="6974" w:hRule="exact" w:wrap="around" w:vAnchor="page" w:hAnchor="page" w:x="1323" w:y="7146" w:anchorLock="1"/>
        <w:spacing w:before="720" w:beforeLines="300" w:after="72" w:afterLines="30" w:line="240" w:lineRule="auto"/>
        <w:textAlignment w:val="bottom"/>
        <w:rPr>
          <w:b/>
          <w:sz w:val="21"/>
          <w:szCs w:val="28"/>
        </w:rPr>
      </w:pPr>
    </w:p>
    <w:p>
      <w:pPr>
        <w:pStyle w:val="195"/>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3"/>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6350" b="698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60645"/>
        <w15:color w:val="DBDBDB"/>
        <w:docPartObj>
          <w:docPartGallery w:val="Table of Contents"/>
          <w:docPartUnique/>
        </w:docPartObj>
      </w:sdtPr>
      <w:sdtEndPr>
        <w:rPr>
          <w:rFonts w:ascii="Calibri" w:hAnsi="Calibri" w:eastAsia="宋体" w:cs="Times New Roman"/>
          <w:kern w:val="2"/>
          <w:sz w:val="21"/>
          <w:szCs w:val="21"/>
          <w:lang w:val="en-US" w:eastAsia="zh-CN" w:bidi="ar-SA"/>
        </w:rPr>
      </w:sdtEndPr>
      <w:sdtContent>
        <w:p>
          <w:pPr>
            <w:spacing w:before="0" w:beforeLines="0" w:after="0" w:afterLines="0" w:line="240" w:lineRule="auto"/>
            <w:ind w:left="0" w:leftChars="0" w:right="0" w:rightChars="0" w:firstLine="0" w:firstLineChars="0"/>
            <w:jc w:val="center"/>
            <w:rPr>
              <w:rFonts w:hint="eastAsia" w:eastAsia="宋体"/>
              <w:lang w:eastAsia="zh-CN"/>
            </w:rPr>
          </w:pPr>
          <w:r>
            <w:rPr>
              <w:rFonts w:hint="eastAsia" w:ascii="黑体" w:hAnsi="黑体" w:eastAsia="黑体" w:cs="黑体"/>
              <w:sz w:val="32"/>
              <w:szCs w:val="32"/>
              <w:lang w:val="en-US" w:eastAsia="zh-CN"/>
            </w:rPr>
            <w:t>目   次</w:t>
          </w:r>
        </w:p>
        <w:p>
          <w:pPr>
            <w:pStyle w:val="235"/>
            <w:keepNext w:val="0"/>
            <w:keepLines w:val="0"/>
            <w:pageBreakBefore w:val="0"/>
            <w:widowControl/>
            <w:tabs>
              <w:tab w:val="right" w:leader="dot" w:pos="9354"/>
            </w:tabs>
            <w:kinsoku/>
            <w:wordWrap/>
            <w:overflowPunct/>
            <w:topLinePunct w:val="0"/>
            <w:autoSpaceDE/>
            <w:autoSpaceDN/>
            <w:bidi w:val="0"/>
            <w:adjustRightInd/>
            <w:snapToGrid/>
            <w:jc w:val="left"/>
            <w:textAlignment w:val="auto"/>
          </w:pPr>
          <w:r>
            <w:fldChar w:fldCharType="begin"/>
          </w:r>
          <w:r>
            <w:instrText xml:space="preserve">TOC \o "1-1" \h \u </w:instrText>
          </w:r>
          <w:r>
            <w:fldChar w:fldCharType="separate"/>
          </w:r>
          <w:r>
            <w:fldChar w:fldCharType="begin"/>
          </w:r>
          <w:r>
            <w:instrText xml:space="preserve"> HYPERLINK \l _Toc28941 </w:instrText>
          </w:r>
          <w:r>
            <w:fldChar w:fldCharType="separate"/>
          </w:r>
          <w:r>
            <w:rPr>
              <w:rFonts w:hint="eastAsia"/>
              <w:lang w:val="en-US" w:eastAsia="zh-CN"/>
            </w:rPr>
            <w:t>前言</w:t>
          </w:r>
          <w:r>
            <w:tab/>
          </w:r>
          <w:r>
            <w:fldChar w:fldCharType="begin"/>
          </w:r>
          <w:r>
            <w:instrText xml:space="preserve"> PAGEREF _Toc28941 \h </w:instrText>
          </w:r>
          <w:r>
            <w:fldChar w:fldCharType="separate"/>
          </w:r>
          <w:r>
            <w:t>III</w:t>
          </w:r>
          <w:r>
            <w:fldChar w:fldCharType="end"/>
          </w:r>
          <w:r>
            <w:fldChar w:fldCharType="end"/>
          </w:r>
        </w:p>
        <w:p>
          <w:pPr>
            <w:pStyle w:val="235"/>
            <w:tabs>
              <w:tab w:val="right" w:leader="dot" w:pos="9354"/>
            </w:tabs>
          </w:pPr>
          <w:r>
            <w:fldChar w:fldCharType="begin"/>
          </w:r>
          <w:r>
            <w:instrText xml:space="preserve"> HYPERLINK \l _Toc23483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_Toc23483 \h </w:instrText>
          </w:r>
          <w:r>
            <w:fldChar w:fldCharType="separate"/>
          </w:r>
          <w:r>
            <w:t>1</w:t>
          </w:r>
          <w:r>
            <w:fldChar w:fldCharType="end"/>
          </w:r>
          <w:r>
            <w:fldChar w:fldCharType="end"/>
          </w:r>
        </w:p>
        <w:p>
          <w:pPr>
            <w:pStyle w:val="235"/>
            <w:tabs>
              <w:tab w:val="right" w:leader="dot" w:pos="9354"/>
            </w:tabs>
          </w:pPr>
          <w:r>
            <w:fldChar w:fldCharType="begin"/>
          </w:r>
          <w:r>
            <w:instrText xml:space="preserve"> HYPERLINK \l _Toc28483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_Toc28483 \h </w:instrText>
          </w:r>
          <w:r>
            <w:fldChar w:fldCharType="separate"/>
          </w:r>
          <w:r>
            <w:t>1</w:t>
          </w:r>
          <w:r>
            <w:fldChar w:fldCharType="end"/>
          </w:r>
          <w:r>
            <w:fldChar w:fldCharType="end"/>
          </w:r>
        </w:p>
        <w:p>
          <w:pPr>
            <w:pStyle w:val="235"/>
            <w:tabs>
              <w:tab w:val="right" w:leader="dot" w:pos="9354"/>
            </w:tabs>
          </w:pPr>
          <w:r>
            <w:fldChar w:fldCharType="begin"/>
          </w:r>
          <w:r>
            <w:instrText xml:space="preserve"> HYPERLINK \l _Toc9189 </w:instrText>
          </w:r>
          <w:r>
            <w:fldChar w:fldCharType="separate"/>
          </w:r>
          <w:r>
            <w:rPr>
              <w:rFonts w:hint="eastAsia" w:ascii="黑体" w:eastAsia="黑体"/>
              <w:i w:val="0"/>
            </w:rPr>
            <w:t xml:space="preserve">3 </w:t>
          </w:r>
          <w:r>
            <w:rPr>
              <w:rFonts w:hint="eastAsia"/>
              <w:szCs w:val="21"/>
              <w:highlight w:val="none"/>
            </w:rPr>
            <w:t>术语和定义</w:t>
          </w:r>
          <w:r>
            <w:tab/>
          </w:r>
          <w:r>
            <w:fldChar w:fldCharType="begin"/>
          </w:r>
          <w:r>
            <w:instrText xml:space="preserve"> PAGEREF _Toc9189 \h </w:instrText>
          </w:r>
          <w:r>
            <w:fldChar w:fldCharType="separate"/>
          </w:r>
          <w:r>
            <w:t>1</w:t>
          </w:r>
          <w:r>
            <w:fldChar w:fldCharType="end"/>
          </w:r>
          <w:r>
            <w:fldChar w:fldCharType="end"/>
          </w:r>
        </w:p>
        <w:p>
          <w:pPr>
            <w:pStyle w:val="235"/>
            <w:tabs>
              <w:tab w:val="right" w:leader="dot" w:pos="9354"/>
            </w:tabs>
          </w:pPr>
          <w:r>
            <w:fldChar w:fldCharType="begin"/>
          </w:r>
          <w:r>
            <w:instrText xml:space="preserve"> HYPERLINK \l _Toc14973 </w:instrText>
          </w:r>
          <w:r>
            <w:fldChar w:fldCharType="separate"/>
          </w:r>
          <w:r>
            <w:rPr>
              <w:rFonts w:hint="eastAsia" w:ascii="黑体" w:eastAsia="黑体"/>
              <w:i w:val="0"/>
            </w:rPr>
            <w:t xml:space="preserve">4 </w:t>
          </w:r>
          <w:r>
            <w:rPr>
              <w:rFonts w:hint="eastAsia"/>
              <w:highlight w:val="none"/>
              <w:lang w:val="en-US" w:eastAsia="zh-CN"/>
            </w:rPr>
            <w:t>技术要求</w:t>
          </w:r>
          <w:r>
            <w:tab/>
          </w:r>
          <w:r>
            <w:fldChar w:fldCharType="begin"/>
          </w:r>
          <w:r>
            <w:instrText xml:space="preserve"> PAGEREF _Toc14973 \h </w:instrText>
          </w:r>
          <w:r>
            <w:fldChar w:fldCharType="separate"/>
          </w:r>
          <w:r>
            <w:t>2</w:t>
          </w:r>
          <w:r>
            <w:fldChar w:fldCharType="end"/>
          </w:r>
          <w:r>
            <w:fldChar w:fldCharType="end"/>
          </w:r>
        </w:p>
        <w:p>
          <w:pPr>
            <w:pStyle w:val="235"/>
            <w:tabs>
              <w:tab w:val="right" w:leader="dot" w:pos="9354"/>
            </w:tabs>
          </w:pPr>
          <w:r>
            <w:fldChar w:fldCharType="begin"/>
          </w:r>
          <w:r>
            <w:instrText xml:space="preserve"> HYPERLINK \l _Toc4774 </w:instrText>
          </w:r>
          <w:r>
            <w:fldChar w:fldCharType="separate"/>
          </w:r>
          <w:r>
            <w:rPr>
              <w:rFonts w:hint="eastAsia" w:ascii="黑体" w:eastAsia="黑体"/>
              <w:i w:val="0"/>
            </w:rPr>
            <w:t xml:space="preserve">5 </w:t>
          </w:r>
          <w:r>
            <w:rPr>
              <w:rFonts w:hint="eastAsia"/>
              <w:lang w:val="en-US" w:eastAsia="zh-CN"/>
            </w:rPr>
            <w:t>校验条件</w:t>
          </w:r>
          <w:r>
            <w:tab/>
          </w:r>
          <w:r>
            <w:fldChar w:fldCharType="begin"/>
          </w:r>
          <w:r>
            <w:instrText xml:space="preserve"> PAGEREF _Toc4774 \h </w:instrText>
          </w:r>
          <w:r>
            <w:fldChar w:fldCharType="separate"/>
          </w:r>
          <w:r>
            <w:t>2</w:t>
          </w:r>
          <w:r>
            <w:fldChar w:fldCharType="end"/>
          </w:r>
          <w:r>
            <w:fldChar w:fldCharType="end"/>
          </w:r>
        </w:p>
        <w:p>
          <w:pPr>
            <w:pStyle w:val="235"/>
            <w:tabs>
              <w:tab w:val="right" w:leader="dot" w:pos="9354"/>
            </w:tabs>
          </w:pPr>
          <w:r>
            <w:fldChar w:fldCharType="begin"/>
          </w:r>
          <w:r>
            <w:instrText xml:space="preserve"> HYPERLINK \l _Toc18952 </w:instrText>
          </w:r>
          <w:r>
            <w:fldChar w:fldCharType="separate"/>
          </w:r>
          <w:r>
            <w:rPr>
              <w:rFonts w:hint="eastAsia" w:ascii="黑体" w:eastAsia="黑体"/>
              <w:i w:val="0"/>
            </w:rPr>
            <w:t xml:space="preserve">6 </w:t>
          </w:r>
          <w:r>
            <w:rPr>
              <w:rFonts w:hint="eastAsia"/>
              <w:lang w:val="en-US" w:eastAsia="zh-CN"/>
            </w:rPr>
            <w:t>现场校验</w:t>
          </w:r>
          <w:r>
            <w:tab/>
          </w:r>
          <w:r>
            <w:fldChar w:fldCharType="begin"/>
          </w:r>
          <w:r>
            <w:instrText xml:space="preserve"> PAGEREF _Toc18952 \h </w:instrText>
          </w:r>
          <w:r>
            <w:fldChar w:fldCharType="separate"/>
          </w:r>
          <w:r>
            <w:t>3</w:t>
          </w:r>
          <w:r>
            <w:fldChar w:fldCharType="end"/>
          </w:r>
          <w:r>
            <w:fldChar w:fldCharType="end"/>
          </w:r>
        </w:p>
        <w:p>
          <w:pPr>
            <w:pStyle w:val="235"/>
            <w:tabs>
              <w:tab w:val="right" w:leader="dot" w:pos="9354"/>
            </w:tabs>
          </w:pPr>
          <w:r>
            <w:fldChar w:fldCharType="begin"/>
          </w:r>
          <w:r>
            <w:instrText xml:space="preserve"> HYPERLINK \l _Toc26942 </w:instrText>
          </w:r>
          <w:r>
            <w:fldChar w:fldCharType="separate"/>
          </w:r>
          <w:r>
            <w:rPr>
              <w:rFonts w:hint="eastAsia" w:ascii="黑体" w:eastAsia="黑体"/>
              <w:i w:val="0"/>
            </w:rPr>
            <w:t xml:space="preserve">7 </w:t>
          </w:r>
          <w:r>
            <w:rPr>
              <w:rFonts w:hint="eastAsia"/>
              <w:lang w:val="en-US" w:eastAsia="zh-CN"/>
            </w:rPr>
            <w:t>校验结果判定</w:t>
          </w:r>
          <w:r>
            <w:tab/>
          </w:r>
          <w:r>
            <w:fldChar w:fldCharType="begin"/>
          </w:r>
          <w:r>
            <w:instrText xml:space="preserve"> PAGEREF _Toc26942 \h </w:instrText>
          </w:r>
          <w:r>
            <w:fldChar w:fldCharType="separate"/>
          </w:r>
          <w:r>
            <w:t>4</w:t>
          </w:r>
          <w:r>
            <w:fldChar w:fldCharType="end"/>
          </w:r>
          <w:r>
            <w:fldChar w:fldCharType="end"/>
          </w:r>
        </w:p>
        <w:p>
          <w:pPr>
            <w:pStyle w:val="235"/>
            <w:tabs>
              <w:tab w:val="right" w:leader="dot" w:pos="9354"/>
            </w:tabs>
          </w:pPr>
          <w:r>
            <w:fldChar w:fldCharType="begin"/>
          </w:r>
          <w:r>
            <w:instrText xml:space="preserve"> HYPERLINK \l _Toc27837 </w:instrText>
          </w:r>
          <w:r>
            <w:fldChar w:fldCharType="separate"/>
          </w:r>
          <w:r>
            <w:rPr>
              <w:rFonts w:hint="eastAsia" w:ascii="黑体" w:eastAsia="黑体"/>
              <w:i w:val="0"/>
            </w:rPr>
            <w:t xml:space="preserve">8 </w:t>
          </w:r>
          <w:r>
            <w:rPr>
              <w:rFonts w:hint="eastAsia"/>
              <w:lang w:val="en-US" w:eastAsia="zh-CN"/>
            </w:rPr>
            <w:t>校验周期</w:t>
          </w:r>
          <w:r>
            <w:tab/>
          </w:r>
          <w:r>
            <w:fldChar w:fldCharType="begin"/>
          </w:r>
          <w:r>
            <w:instrText xml:space="preserve"> PAGEREF _Toc27837 \h </w:instrText>
          </w:r>
          <w:r>
            <w:fldChar w:fldCharType="separate"/>
          </w:r>
          <w:r>
            <w:t>5</w:t>
          </w:r>
          <w:r>
            <w:fldChar w:fldCharType="end"/>
          </w:r>
          <w:r>
            <w:fldChar w:fldCharType="end"/>
          </w:r>
        </w:p>
        <w:p>
          <w:pPr>
            <w:pStyle w:val="235"/>
            <w:tabs>
              <w:tab w:val="right" w:leader="dot" w:pos="9354"/>
            </w:tabs>
          </w:pPr>
          <w:r>
            <w:fldChar w:fldCharType="begin"/>
          </w:r>
          <w:r>
            <w:instrText xml:space="preserve"> HYPERLINK \l _Toc27470 </w:instrText>
          </w:r>
          <w:r>
            <w:fldChar w:fldCharType="separate"/>
          </w:r>
          <w:r>
            <w:rPr>
              <w:rFonts w:hint="eastAsia"/>
              <w:spacing w:val="100"/>
              <w:lang w:val="en-US" w:eastAsia="zh-CN"/>
            </w:rPr>
            <w:t>附录A</w:t>
          </w:r>
          <w:r>
            <w:rPr>
              <w:rFonts w:hint="eastAsia" w:cs="Times New Roman"/>
              <w:lang w:val="en-US" w:eastAsia="zh-CN"/>
            </w:rPr>
            <w:t>接地环流传感器</w:t>
          </w:r>
          <w:r>
            <w:rPr>
              <w:rFonts w:hint="eastAsia" w:hAnsi="Times New Roman" w:cs="Times New Roman"/>
              <w:lang w:val="en-US" w:eastAsia="zh-CN"/>
            </w:rPr>
            <w:t>现场校验原理</w:t>
          </w:r>
          <w:r>
            <w:tab/>
          </w:r>
          <w:r>
            <w:fldChar w:fldCharType="begin"/>
          </w:r>
          <w:r>
            <w:instrText xml:space="preserve"> PAGEREF _Toc27470 \h </w:instrText>
          </w:r>
          <w:r>
            <w:fldChar w:fldCharType="separate"/>
          </w:r>
          <w:r>
            <w:t>6</w:t>
          </w:r>
          <w:r>
            <w:fldChar w:fldCharType="end"/>
          </w:r>
          <w:r>
            <w:fldChar w:fldCharType="end"/>
          </w:r>
        </w:p>
        <w:p>
          <w:pPr>
            <w:pStyle w:val="235"/>
            <w:tabs>
              <w:tab w:val="right" w:leader="dot" w:pos="9354"/>
            </w:tabs>
          </w:pPr>
          <w:r>
            <w:fldChar w:fldCharType="begin"/>
          </w:r>
          <w:r>
            <w:instrText xml:space="preserve"> HYPERLINK \l _Toc21781 </w:instrText>
          </w:r>
          <w:r>
            <w:fldChar w:fldCharType="separate"/>
          </w:r>
          <w:r>
            <w:rPr>
              <w:rFonts w:hint="eastAsia"/>
              <w:spacing w:val="100"/>
            </w:rPr>
            <w:t>附录B</w:t>
          </w:r>
          <w:r>
            <w:rPr>
              <w:rFonts w:hint="eastAsia" w:cs="Times New Roman"/>
              <w:lang w:val="en-US" w:eastAsia="zh-CN"/>
            </w:rPr>
            <w:t>复合电流传感器</w:t>
          </w:r>
          <w:r>
            <w:rPr>
              <w:rFonts w:hint="eastAsia" w:hAnsi="Times New Roman" w:cs="Times New Roman"/>
              <w:lang w:val="en-US" w:eastAsia="zh-CN"/>
            </w:rPr>
            <w:t>现场校验原理</w:t>
          </w:r>
          <w:r>
            <w:tab/>
          </w:r>
          <w:r>
            <w:fldChar w:fldCharType="begin"/>
          </w:r>
          <w:r>
            <w:instrText xml:space="preserve"> PAGEREF _Toc21781 \h </w:instrText>
          </w:r>
          <w:r>
            <w:fldChar w:fldCharType="separate"/>
          </w:r>
          <w:r>
            <w:t>7</w:t>
          </w:r>
          <w:r>
            <w:fldChar w:fldCharType="end"/>
          </w:r>
          <w:r>
            <w:fldChar w:fldCharType="end"/>
          </w:r>
        </w:p>
        <w:p>
          <w:pPr>
            <w:pStyle w:val="235"/>
            <w:tabs>
              <w:tab w:val="right" w:leader="dot" w:pos="9354"/>
            </w:tabs>
          </w:pPr>
          <w:r>
            <w:fldChar w:fldCharType="begin"/>
          </w:r>
          <w:r>
            <w:instrText xml:space="preserve"> HYPERLINK \l _Toc7263 </w:instrText>
          </w:r>
          <w:r>
            <w:fldChar w:fldCharType="separate"/>
          </w:r>
          <w:r>
            <w:rPr>
              <w:rFonts w:hint="eastAsia"/>
              <w:spacing w:val="100"/>
            </w:rPr>
            <w:t>附录C</w:t>
          </w:r>
          <w:r>
            <w:rPr>
              <w:rFonts w:hint="eastAsia" w:hAnsi="Times New Roman" w:cs="Times New Roman"/>
              <w:lang w:val="en-US" w:eastAsia="zh-CN"/>
            </w:rPr>
            <w:t>接地环流在线监测装置现场校验数据记录</w:t>
          </w:r>
          <w:r>
            <w:tab/>
          </w:r>
          <w:r>
            <w:fldChar w:fldCharType="begin"/>
          </w:r>
          <w:r>
            <w:instrText xml:space="preserve"> PAGEREF _Toc7263 \h </w:instrText>
          </w:r>
          <w:r>
            <w:fldChar w:fldCharType="separate"/>
          </w:r>
          <w:r>
            <w:t>8</w:t>
          </w:r>
          <w:r>
            <w:fldChar w:fldCharType="end"/>
          </w:r>
          <w:r>
            <w:fldChar w:fldCharType="end"/>
          </w:r>
        </w:p>
        <w:p>
          <w:pPr>
            <w:rPr>
              <w:rFonts w:ascii="Calibri" w:hAnsi="Calibri" w:eastAsia="宋体" w:cs="Times New Roman"/>
              <w:kern w:val="2"/>
              <w:sz w:val="21"/>
              <w:szCs w:val="21"/>
              <w:lang w:val="en-US" w:eastAsia="zh-CN" w:bidi="ar-SA"/>
            </w:rPr>
          </w:pPr>
          <w:r>
            <w:fldChar w:fldCharType="end"/>
          </w:r>
        </w:p>
      </w:sdtContent>
    </w:sdt>
    <w:p>
      <w:pPr>
        <w:rPr>
          <w:spacing w:val="320"/>
        </w:rPr>
      </w:pPr>
      <w:bookmarkStart w:id="14" w:name="_Toc189314700"/>
      <w:bookmarkStart w:id="15" w:name="_Toc16712"/>
      <w:bookmarkStart w:id="16" w:name="_Toc28941"/>
      <w:bookmarkStart w:id="17" w:name="BookMark2"/>
      <w:r>
        <w:rPr>
          <w:spacing w:val="320"/>
        </w:rPr>
        <w:br w:type="page"/>
      </w:r>
    </w:p>
    <w:p>
      <w:pPr>
        <w:pStyle w:val="91"/>
        <w:numPr>
          <w:ilvl w:val="0"/>
          <w:numId w:val="0"/>
        </w:numPr>
        <w:spacing w:after="468"/>
        <w:ind w:leftChars="0"/>
        <w:jc w:val="center"/>
      </w:pPr>
      <w:r>
        <w:rPr>
          <w:spacing w:val="320"/>
        </w:rPr>
        <w:t>前</w:t>
      </w:r>
      <w:r>
        <w:t>言</w:t>
      </w:r>
      <w:bookmarkEnd w:id="14"/>
      <w:bookmarkEnd w:id="15"/>
      <w:bookmarkEnd w:id="16"/>
    </w:p>
    <w:p>
      <w:pPr>
        <w:pStyle w:val="58"/>
      </w:pPr>
      <w:r>
        <w:rPr>
          <w:rFonts w:hint="eastAsia"/>
        </w:rPr>
        <w:t>本文件按照GB/T 1.1—2020《标准化工作导则  第1部分：标准化文件的结构和起草规则》的规定起草。</w:t>
      </w:r>
    </w:p>
    <w:p>
      <w:pPr>
        <w:pStyle w:val="58"/>
      </w:pPr>
      <w:r>
        <w:rPr>
          <w:rFonts w:hint="eastAsia"/>
        </w:rPr>
        <w:t>本文件由</w:t>
      </w:r>
      <w:r>
        <w:rPr>
          <w:rFonts w:hint="default"/>
        </w:rPr>
        <w:t>湖南省</w:t>
      </w:r>
      <w:r>
        <w:rPr>
          <w:rFonts w:hint="eastAsia"/>
          <w:lang w:val="en-US" w:eastAsia="zh-CN"/>
        </w:rPr>
        <w:t>能源局</w:t>
      </w:r>
      <w:r>
        <w:rPr>
          <w:rFonts w:hint="eastAsia"/>
        </w:rPr>
        <w:t>提出并归口。</w:t>
      </w:r>
    </w:p>
    <w:p>
      <w:pPr>
        <w:pStyle w:val="58"/>
        <w:rPr>
          <w:rFonts w:hint="eastAsia" w:eastAsia="宋体"/>
          <w:lang w:eastAsia="zh-CN"/>
        </w:rPr>
      </w:pPr>
      <w:r>
        <w:rPr>
          <w:rFonts w:hint="eastAsia"/>
        </w:rPr>
        <w:t>本文件起草单位：国网湖南省电力有限公司电力科学研究院</w:t>
      </w:r>
      <w:r>
        <w:rPr>
          <w:rFonts w:hint="eastAsia"/>
          <w:lang w:eastAsia="zh-CN"/>
        </w:rPr>
        <w:t>、国网湖南省电力有限公司</w:t>
      </w:r>
      <w:r>
        <w:rPr>
          <w:rFonts w:hint="eastAsia"/>
          <w:lang w:val="en-US" w:eastAsia="zh-CN"/>
        </w:rPr>
        <w:t>永州</w:t>
      </w:r>
      <w:r>
        <w:rPr>
          <w:rFonts w:hint="eastAsia"/>
          <w:lang w:eastAsia="zh-CN"/>
        </w:rPr>
        <w:t>供电分公司、国网湖南省电力有限公司</w:t>
      </w:r>
      <w:r>
        <w:rPr>
          <w:rFonts w:hint="eastAsia"/>
          <w:lang w:val="en-US" w:eastAsia="zh-CN"/>
        </w:rPr>
        <w:t>长沙</w:t>
      </w:r>
      <w:r>
        <w:rPr>
          <w:rFonts w:hint="eastAsia"/>
          <w:lang w:eastAsia="zh-CN"/>
        </w:rPr>
        <w:t>供电分公司、国网湖南省电力有限公司</w:t>
      </w:r>
      <w:r>
        <w:rPr>
          <w:rFonts w:hint="eastAsia"/>
          <w:lang w:val="en-US" w:eastAsia="zh-CN"/>
        </w:rPr>
        <w:t>湘潭</w:t>
      </w:r>
      <w:r>
        <w:rPr>
          <w:rFonts w:hint="eastAsia"/>
          <w:lang w:eastAsia="zh-CN"/>
        </w:rPr>
        <w:t>供电分公司</w:t>
      </w:r>
    </w:p>
    <w:p>
      <w:pPr>
        <w:pStyle w:val="58"/>
        <w:rPr>
          <w:rFonts w:hint="default" w:eastAsia="宋体"/>
          <w:lang w:val="en-US" w:eastAsia="zh-CN"/>
        </w:rPr>
      </w:pPr>
      <w:r>
        <w:rPr>
          <w:rFonts w:hint="eastAsia"/>
        </w:rPr>
        <w:t>本文件主要起草人：喻婷、段肖力、岳一石、段建家、刘三伟、范翔宇、曾泽宇、</w:t>
      </w:r>
      <w:r>
        <w:rPr>
          <w:rFonts w:hint="eastAsia"/>
          <w:lang w:val="en-US" w:eastAsia="zh-CN"/>
        </w:rPr>
        <w:t>段新宇、孙利朋、谭奔、阮景煇、方超文、</w:t>
      </w:r>
      <w:r>
        <w:rPr>
          <w:rFonts w:hint="eastAsia"/>
        </w:rPr>
        <w:t>王丹、孙山峰</w:t>
      </w:r>
      <w:r>
        <w:rPr>
          <w:rFonts w:hint="eastAsia"/>
          <w:lang w:eastAsia="zh-CN"/>
        </w:rPr>
        <w:t>、</w:t>
      </w:r>
      <w:r>
        <w:rPr>
          <w:rFonts w:hint="eastAsia"/>
          <w:lang w:val="en-US" w:eastAsia="zh-CN"/>
        </w:rPr>
        <w:t>张誉、徐爽、</w:t>
      </w:r>
      <w:bookmarkStart w:id="63" w:name="_GoBack"/>
      <w:bookmarkEnd w:id="63"/>
      <w:r>
        <w:rPr>
          <w:rFonts w:hint="eastAsia"/>
          <w:lang w:val="en-US" w:eastAsia="zh-CN"/>
        </w:rPr>
        <w:t>谷建鹏</w:t>
      </w:r>
    </w:p>
    <w:p>
      <w:pPr>
        <w:pStyle w:val="58"/>
        <w:sectPr>
          <w:headerReference r:id="rId10" w:type="default"/>
          <w:footerReference r:id="rId11" w:type="default"/>
          <w:pgSz w:w="11906" w:h="16838"/>
          <w:pgMar w:top="567" w:right="1134" w:bottom="1134" w:left="1134" w:header="1418" w:footer="1134" w:gutter="284"/>
          <w:pgNumType w:fmt="upperRoman"/>
          <w:cols w:space="425" w:num="1"/>
          <w:formProt w:val="0"/>
          <w:docGrid w:type="lines" w:linePitch="312" w:charSpace="0"/>
        </w:sectPr>
      </w:pPr>
    </w:p>
    <w:bookmarkEnd w:id="17"/>
    <w:p>
      <w:pPr>
        <w:spacing w:line="20" w:lineRule="exact"/>
        <w:jc w:val="center"/>
        <w:rPr>
          <w:rFonts w:ascii="黑体" w:hAnsi="黑体" w:eastAsia="黑体"/>
          <w:sz w:val="32"/>
          <w:szCs w:val="32"/>
        </w:rPr>
      </w:pPr>
      <w:bookmarkStart w:id="18" w:name="BookMark4"/>
    </w:p>
    <w:p>
      <w:pPr>
        <w:spacing w:line="20" w:lineRule="exact"/>
        <w:jc w:val="center"/>
        <w:rPr>
          <w:rFonts w:ascii="黑体" w:hAnsi="黑体" w:eastAsia="黑体"/>
          <w:sz w:val="32"/>
          <w:szCs w:val="32"/>
        </w:rPr>
      </w:pPr>
    </w:p>
    <w:sdt>
      <w:sdtPr>
        <w:rPr>
          <w:shd w:val="clear" w:color="FFFFFF" w:fill="D9D9D9"/>
        </w:rPr>
        <w:tag w:val="NEW_STAND_NAME"/>
        <w:id w:val="595910757"/>
        <w:lock w:val="sdtLocked"/>
        <w:placeholder>
          <w:docPart w:val="9FB4D1BDC1234C94B25ECF360AC412F4"/>
        </w:placeholder>
      </w:sdtPr>
      <w:sdtEndPr>
        <w:rPr>
          <w:shd w:val="clear" w:color="FFFFFF" w:fill="D9D9D9"/>
        </w:rPr>
      </w:sdtEndPr>
      <w:sdtContent>
        <w:p>
          <w:pPr>
            <w:pStyle w:val="179"/>
            <w:spacing w:before="312" w:beforeLines="100" w:after="686" w:afterLines="220"/>
            <w:rPr>
              <w:shd w:val="clear" w:color="FFFFFF" w:fill="D9D9D9"/>
            </w:rPr>
          </w:pPr>
          <w:bookmarkStart w:id="19" w:name="NEW_STAND_NAME"/>
          <w:r>
            <w:rPr>
              <w:rFonts w:hint="eastAsia" w:cs="Times New Roman"/>
              <w:lang w:val="en-US" w:eastAsia="zh-CN"/>
            </w:rPr>
            <w:t>电力电缆接地环流在线监测装置现场校验导则</w:t>
          </w:r>
        </w:p>
      </w:sdtContent>
    </w:sdt>
    <w:bookmarkEnd w:id="19"/>
    <w:p>
      <w:pPr>
        <w:pStyle w:val="106"/>
        <w:spacing w:before="312" w:after="312"/>
      </w:pPr>
      <w:bookmarkStart w:id="20" w:name="_Toc17233325"/>
      <w:bookmarkStart w:id="21" w:name="_Toc1203898672"/>
      <w:bookmarkStart w:id="22" w:name="_Toc24884218"/>
      <w:bookmarkStart w:id="23" w:name="_Toc23483"/>
      <w:bookmarkStart w:id="24" w:name="_Toc26718930"/>
      <w:bookmarkStart w:id="25" w:name="_Toc26986530"/>
      <w:bookmarkStart w:id="26" w:name="_Toc17233333"/>
      <w:bookmarkStart w:id="27" w:name="_Toc24884211"/>
      <w:bookmarkStart w:id="28" w:name="_Toc24713"/>
      <w:bookmarkStart w:id="29" w:name="_Toc26986771"/>
      <w:bookmarkStart w:id="30" w:name="_Toc26648465"/>
      <w:r>
        <w:rPr>
          <w:rFonts w:hint="eastAsia"/>
        </w:rPr>
        <w:t>范围</w:t>
      </w:r>
      <w:bookmarkEnd w:id="20"/>
      <w:bookmarkEnd w:id="21"/>
      <w:bookmarkEnd w:id="22"/>
      <w:bookmarkEnd w:id="23"/>
      <w:bookmarkEnd w:id="24"/>
      <w:bookmarkEnd w:id="25"/>
      <w:bookmarkEnd w:id="26"/>
      <w:bookmarkEnd w:id="27"/>
      <w:bookmarkEnd w:id="28"/>
      <w:bookmarkEnd w:id="29"/>
      <w:bookmarkEnd w:id="30"/>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eastAsia="宋体"/>
          <w:highlight w:val="none"/>
          <w:lang w:val="en-US" w:eastAsia="zh-CN"/>
        </w:rPr>
      </w:pPr>
      <w:bookmarkStart w:id="31" w:name="_Toc24884212"/>
      <w:bookmarkStart w:id="32" w:name="_Toc17233326"/>
      <w:bookmarkStart w:id="33" w:name="_Toc24884219"/>
      <w:bookmarkStart w:id="34" w:name="_Toc17233334"/>
      <w:bookmarkStart w:id="35" w:name="_Toc26648466"/>
      <w:r>
        <w:rPr>
          <w:rFonts w:hint="eastAsia"/>
          <w:highlight w:val="none"/>
        </w:rPr>
        <w:t>本文件</w:t>
      </w:r>
      <w:r>
        <w:rPr>
          <w:rFonts w:hint="eastAsia"/>
          <w:highlight w:val="none"/>
          <w:lang w:val="en-US" w:eastAsia="zh-CN"/>
        </w:rPr>
        <w:t>规定了电力电缆接地环流在线监测装置现场校验的技术要求、校验条件、现场校验、校验结果判定及校验周期。</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eastAsia="宋体"/>
          <w:lang w:val="en-US" w:eastAsia="zh-CN"/>
        </w:rPr>
      </w:pPr>
      <w:r>
        <w:rPr>
          <w:rFonts w:hint="eastAsia"/>
          <w:lang w:val="en-US" w:eastAsia="zh-CN"/>
        </w:rPr>
        <w:t>本文件适用于额定电压110kV（66kV）及以上带金属护层的单芯交联聚乙烯绝缘交流电力电缆接地环流在线监测装置。</w:t>
      </w:r>
    </w:p>
    <w:p>
      <w:pPr>
        <w:pStyle w:val="106"/>
        <w:spacing w:before="312" w:after="312"/>
      </w:pPr>
      <w:bookmarkStart w:id="36" w:name="_Toc868420728"/>
      <w:bookmarkStart w:id="37" w:name="_Toc26718931"/>
      <w:bookmarkStart w:id="38" w:name="_Toc26986772"/>
      <w:bookmarkStart w:id="39" w:name="_Toc25497"/>
      <w:bookmarkStart w:id="40" w:name="_Toc26986531"/>
      <w:bookmarkStart w:id="41" w:name="_Toc28483"/>
      <w:r>
        <w:rPr>
          <w:rFonts w:hint="eastAsia"/>
        </w:rPr>
        <w:t>规范性引用文件</w:t>
      </w:r>
      <w:bookmarkEnd w:id="31"/>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DA26A971AEF24D508FC0A0122D4B9C2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highlight w:val="none"/>
          <w:lang w:val="en-US" w:eastAsia="zh-CN"/>
        </w:rPr>
      </w:pPr>
      <w:r>
        <w:rPr>
          <w:rFonts w:hint="eastAsia"/>
          <w:highlight w:val="none"/>
          <w:lang w:val="en-US" w:eastAsia="zh-CN"/>
        </w:rPr>
        <w:t>GB 26859 电力安全工作规程 电力线路部分</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highlight w:val="none"/>
          <w:lang w:val="en-US" w:eastAsia="zh-CN"/>
        </w:rPr>
      </w:pPr>
      <w:r>
        <w:rPr>
          <w:rFonts w:hint="eastAsia"/>
          <w:highlight w:val="none"/>
          <w:lang w:val="en-US" w:eastAsia="zh-CN"/>
        </w:rPr>
        <w:t>GB/T 20840.2 互感器 第2部分电流互感器的补充技术要求</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color w:val="auto"/>
          <w:highlight w:val="none"/>
          <w:lang w:val="en-US" w:eastAsia="zh-CN"/>
        </w:rPr>
      </w:pPr>
      <w:r>
        <w:rPr>
          <w:rFonts w:hint="eastAsia"/>
          <w:color w:val="auto"/>
          <w:highlight w:val="none"/>
          <w:lang w:val="en-US" w:eastAsia="zh-CN"/>
        </w:rPr>
        <w:t>GB/T 17626.2 电磁兼容 试验和测量技术 静电放电抗扰度试验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color w:val="auto"/>
          <w:highlight w:val="none"/>
          <w:lang w:val="en-US" w:eastAsia="zh-CN"/>
        </w:rPr>
      </w:pPr>
      <w:r>
        <w:rPr>
          <w:rFonts w:hint="eastAsia"/>
          <w:color w:val="auto"/>
          <w:highlight w:val="none"/>
          <w:lang w:val="en-US" w:eastAsia="zh-CN"/>
        </w:rPr>
        <w:t>GB/T 17626.3 电磁兼容 试验和测量技术 射频电磁场辐射抗扰度试验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color w:val="auto"/>
          <w:highlight w:val="none"/>
          <w:lang w:val="en-US" w:eastAsia="zh-CN"/>
        </w:rPr>
      </w:pPr>
      <w:r>
        <w:rPr>
          <w:rFonts w:hint="eastAsia"/>
          <w:color w:val="auto"/>
          <w:highlight w:val="none"/>
          <w:lang w:val="en-US" w:eastAsia="zh-CN"/>
        </w:rPr>
        <w:t>GB/T 17626.4 电磁兼容 试验和测量技术 电快速瞬变脉冲群抗扰度试验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color w:val="auto"/>
          <w:highlight w:val="none"/>
          <w:lang w:val="en-US" w:eastAsia="zh-CN"/>
        </w:rPr>
      </w:pPr>
      <w:r>
        <w:rPr>
          <w:rFonts w:hint="eastAsia"/>
          <w:color w:val="auto"/>
          <w:highlight w:val="none"/>
          <w:lang w:val="en-US" w:eastAsia="zh-CN"/>
        </w:rPr>
        <w:t>GB/T 17626.5 电磁兼容 试验和测量技术 浪涌（冲击）抗扰度试验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color w:val="auto"/>
          <w:highlight w:val="none"/>
          <w:lang w:val="en-US" w:eastAsia="zh-CN"/>
        </w:rPr>
      </w:pPr>
      <w:r>
        <w:rPr>
          <w:rFonts w:hint="eastAsia"/>
          <w:color w:val="auto"/>
          <w:highlight w:val="none"/>
          <w:lang w:val="en-US" w:eastAsia="zh-CN"/>
        </w:rPr>
        <w:t>GB/T 17626.6 电磁兼容 试验和测量技术 射频场感应的传导骚扰抗扰度试验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color w:val="auto"/>
          <w:highlight w:val="none"/>
          <w:lang w:val="en-US" w:eastAsia="zh-CN"/>
        </w:rPr>
      </w:pPr>
      <w:r>
        <w:rPr>
          <w:rFonts w:hint="eastAsia"/>
          <w:color w:val="auto"/>
          <w:highlight w:val="none"/>
          <w:lang w:val="en-US" w:eastAsia="zh-CN"/>
        </w:rPr>
        <w:t>GB/T 17626.8 电磁兼容 试验和测量技术 工频电磁抗扰度试验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color w:val="auto"/>
          <w:highlight w:val="none"/>
          <w:lang w:val="en-US" w:eastAsia="zh-CN"/>
        </w:rPr>
      </w:pPr>
      <w:r>
        <w:rPr>
          <w:rFonts w:hint="eastAsia"/>
          <w:color w:val="auto"/>
          <w:highlight w:val="none"/>
          <w:lang w:val="en-US" w:eastAsia="zh-CN"/>
        </w:rPr>
        <w:t>GB/T 17626.9 电磁兼容 试验和测量技术 脉冲磁场抗扰度试验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color w:val="auto"/>
          <w:highlight w:val="none"/>
          <w:lang w:val="en-US" w:eastAsia="zh-CN"/>
        </w:rPr>
      </w:pPr>
      <w:r>
        <w:rPr>
          <w:rFonts w:hint="eastAsia"/>
          <w:color w:val="auto"/>
          <w:highlight w:val="none"/>
          <w:lang w:val="en-US" w:eastAsia="zh-CN"/>
        </w:rPr>
        <w:t>GB/T 17626.10 电磁兼容 试验和测量技术 阻尼振荡磁场抗扰度试验</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highlight w:val="none"/>
          <w:lang w:val="en-US" w:eastAsia="zh-CN"/>
        </w:rPr>
      </w:pPr>
      <w:r>
        <w:rPr>
          <w:rFonts w:hint="eastAsia"/>
          <w:highlight w:val="none"/>
          <w:lang w:val="en-US" w:eastAsia="zh-CN"/>
        </w:rPr>
        <w:t>DL/T 1506—2016 高压交流电缆在线监测系统通用技术规范</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highlight w:val="none"/>
          <w:lang w:val="en-US" w:eastAsia="zh-CN"/>
        </w:rPr>
      </w:pPr>
      <w:r>
        <w:rPr>
          <w:rFonts w:hint="eastAsia"/>
          <w:highlight w:val="none"/>
          <w:lang w:val="en-US" w:eastAsia="zh-CN"/>
        </w:rPr>
        <w:t>DL/T 2270—2021 高压电缆接地环流在线监测系统技术规范</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highlight w:val="none"/>
          <w:lang w:val="en-US" w:eastAsia="zh-CN"/>
        </w:rPr>
      </w:pPr>
      <w:r>
        <w:rPr>
          <w:rFonts w:hint="eastAsia"/>
          <w:highlight w:val="none"/>
          <w:lang w:val="en-US" w:eastAsia="zh-CN"/>
        </w:rPr>
        <w:t>DL/T 2630 电力电缆线路用接地箱技术规范</w:t>
      </w:r>
    </w:p>
    <w:p>
      <w:pPr>
        <w:pStyle w:val="58"/>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highlight w:val="none"/>
          <w:lang w:val="en-US" w:eastAsia="zh-CN"/>
        </w:rPr>
      </w:pPr>
      <w:r>
        <w:rPr>
          <w:rFonts w:hint="eastAsia"/>
          <w:highlight w:val="none"/>
          <w:lang w:val="en-US" w:eastAsia="zh-CN"/>
        </w:rPr>
        <w:t>DL/T 1433 变压器铁芯接地电流测量装置通用技术条件</w:t>
      </w:r>
    </w:p>
    <w:p>
      <w:pPr>
        <w:pStyle w:val="106"/>
        <w:spacing w:before="312" w:after="312"/>
        <w:rPr>
          <w:color w:val="auto"/>
          <w:highlight w:val="none"/>
        </w:rPr>
      </w:pPr>
      <w:bookmarkStart w:id="42" w:name="_Toc5345"/>
      <w:bookmarkStart w:id="43" w:name="_Toc1793179446"/>
      <w:bookmarkStart w:id="44" w:name="_Toc9189"/>
      <w:r>
        <w:rPr>
          <w:rFonts w:hint="eastAsia"/>
          <w:color w:val="auto"/>
          <w:szCs w:val="21"/>
          <w:highlight w:val="none"/>
        </w:rPr>
        <w:t>术语和定义</w:t>
      </w:r>
      <w:bookmarkEnd w:id="42"/>
      <w:bookmarkEnd w:id="43"/>
      <w:bookmarkEnd w:id="44"/>
    </w:p>
    <w:sdt>
      <w:sdtPr>
        <w:rPr>
          <w:color w:val="auto"/>
          <w:highlight w:val="none"/>
        </w:rPr>
        <w:id w:val="-1"/>
        <w:placeholder>
          <w:docPart w:val="F616E7440B614430A21B7152897D7F2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pPr>
            <w:pStyle w:val="58"/>
            <w:ind w:firstLine="420" w:firstLineChars="200"/>
            <w:rPr>
              <w:color w:val="auto"/>
              <w:highlight w:val="none"/>
            </w:rPr>
          </w:pPr>
          <w:bookmarkStart w:id="45" w:name="_Toc26986532"/>
          <w:bookmarkEnd w:id="45"/>
          <w:r>
            <w:rPr>
              <w:color w:val="auto"/>
              <w:highlight w:val="none"/>
            </w:rPr>
            <w:t>下列术语和定义适用于本文件。</w:t>
          </w:r>
        </w:p>
      </w:sdtContent>
    </w:sdt>
    <w:p>
      <w:pPr>
        <w:pStyle w:val="225"/>
        <w:ind w:left="420" w:hanging="420" w:hangingChars="200"/>
        <w:outlineLvl w:val="1"/>
        <w:rPr>
          <w:rFonts w:ascii="黑体" w:hAnsi="黑体" w:eastAsia="黑体"/>
          <w:color w:val="auto"/>
          <w:highlight w:val="none"/>
        </w:rPr>
      </w:pPr>
      <w:bookmarkStart w:id="46" w:name="_Toc28238"/>
      <w:bookmarkStart w:id="47" w:name="_Toc1479388489"/>
      <w:r>
        <w:rPr>
          <w:rFonts w:ascii="黑体" w:hAnsi="黑体" w:eastAsia="黑体"/>
          <w:color w:val="auto"/>
          <w:highlight w:val="none"/>
        </w:rPr>
        <w:br w:type="textWrapping"/>
      </w:r>
      <w:r>
        <w:rPr>
          <w:rFonts w:hint="eastAsia" w:ascii="黑体" w:hAnsi="黑体" w:eastAsia="黑体"/>
          <w:color w:val="auto"/>
          <w:highlight w:val="none"/>
          <w:lang w:val="en-US" w:eastAsia="zh-CN"/>
        </w:rPr>
        <w:t>接地环流</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sheath current</w:t>
      </w:r>
      <w:bookmarkEnd w:id="46"/>
      <w:bookmarkEnd w:id="47"/>
    </w:p>
    <w:p>
      <w:pPr>
        <w:pStyle w:val="58"/>
        <w:ind w:firstLine="420" w:firstLineChars="200"/>
        <w:rPr>
          <w:rFonts w:hint="eastAsia"/>
          <w:color w:val="auto"/>
          <w:highlight w:val="none"/>
          <w:lang w:val="en-US" w:eastAsia="zh-CN"/>
        </w:rPr>
      </w:pPr>
      <w:r>
        <w:rPr>
          <w:rFonts w:hint="eastAsia"/>
          <w:color w:val="auto"/>
          <w:highlight w:val="none"/>
          <w:lang w:val="en-US" w:eastAsia="zh-CN"/>
        </w:rPr>
        <w:t>电缆金属护层和大地之间的回路电流</w:t>
      </w:r>
      <w:r>
        <w:rPr>
          <w:rFonts w:hint="default"/>
          <w:color w:val="auto"/>
          <w:highlight w:val="none"/>
          <w:lang w:val="en-US" w:eastAsia="zh-CN"/>
        </w:rPr>
        <w:t>‌</w:t>
      </w:r>
      <w:r>
        <w:rPr>
          <w:rFonts w:hint="eastAsia"/>
          <w:color w:val="auto"/>
          <w:highlight w:val="none"/>
          <w:lang w:val="en-US" w:eastAsia="zh-CN"/>
        </w:rPr>
        <w:t>。</w:t>
      </w:r>
    </w:p>
    <w:p>
      <w:pPr>
        <w:pStyle w:val="225"/>
        <w:ind w:left="420" w:hanging="420" w:hangingChars="200"/>
        <w:outlineLvl w:val="1"/>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lang w:val="en-US" w:eastAsia="zh-CN"/>
        </w:rPr>
        <w:t>复合电流</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composite current</w:t>
      </w:r>
    </w:p>
    <w:p>
      <w:pPr>
        <w:pStyle w:val="58"/>
        <w:ind w:firstLine="420" w:firstLineChars="200"/>
        <w:rPr>
          <w:color w:val="auto"/>
          <w:highlight w:val="none"/>
        </w:rPr>
      </w:pPr>
      <w:r>
        <w:rPr>
          <w:rFonts w:hint="eastAsia"/>
          <w:color w:val="auto"/>
          <w:highlight w:val="none"/>
          <w:lang w:val="en-US" w:eastAsia="zh-CN"/>
        </w:rPr>
        <w:t>电缆导体中负荷电流与高压电缆金属套中接地环流在时域上叠加形成的电流</w:t>
      </w:r>
      <w:r>
        <w:rPr>
          <w:rFonts w:hint="default"/>
          <w:color w:val="auto"/>
          <w:highlight w:val="none"/>
          <w:lang w:val="en-US" w:eastAsia="zh-CN"/>
        </w:rPr>
        <w:t>‌</w:t>
      </w:r>
      <w:r>
        <w:rPr>
          <w:rFonts w:hint="eastAsia"/>
          <w:color w:val="auto"/>
          <w:highlight w:val="none"/>
          <w:lang w:val="en-US" w:eastAsia="zh-CN"/>
        </w:rPr>
        <w:t>。</w:t>
      </w:r>
    </w:p>
    <w:p>
      <w:pPr>
        <w:pStyle w:val="225"/>
        <w:ind w:left="420" w:hanging="420" w:hangingChars="200"/>
        <w:outlineLvl w:val="1"/>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lang w:val="en-US" w:eastAsia="zh-CN"/>
        </w:rPr>
        <w:t>接地环流传感器</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sheath current sensor</w:t>
      </w:r>
    </w:p>
    <w:p>
      <w:pPr>
        <w:pStyle w:val="58"/>
        <w:ind w:firstLine="420" w:firstLineChars="200"/>
        <w:rPr>
          <w:rFonts w:hint="eastAsia"/>
          <w:color w:val="auto"/>
          <w:highlight w:val="none"/>
        </w:rPr>
      </w:pPr>
      <w:r>
        <w:rPr>
          <w:rFonts w:hint="eastAsia"/>
          <w:color w:val="auto"/>
          <w:highlight w:val="none"/>
          <w:lang w:val="en-US" w:eastAsia="zh-CN"/>
        </w:rPr>
        <w:t>用于测量高压电缆金属护层接地环流的互感器，其测量频率范围一般介于45Hz~55Hz</w:t>
      </w:r>
      <w:r>
        <w:rPr>
          <w:rFonts w:hint="eastAsia"/>
          <w:color w:val="auto"/>
          <w:highlight w:val="none"/>
        </w:rPr>
        <w:t>。</w:t>
      </w:r>
    </w:p>
    <w:p>
      <w:pPr>
        <w:pStyle w:val="225"/>
        <w:ind w:left="420" w:hanging="420" w:hangingChars="200"/>
        <w:outlineLvl w:val="1"/>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lang w:val="en-US" w:eastAsia="zh-CN"/>
        </w:rPr>
        <w:t>复合电流传感器</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sheath current sensor</w:t>
      </w:r>
    </w:p>
    <w:p>
      <w:pPr>
        <w:pStyle w:val="58"/>
        <w:ind w:firstLine="420" w:firstLineChars="200"/>
        <w:rPr>
          <w:rFonts w:hint="eastAsia"/>
          <w:color w:val="auto"/>
          <w:highlight w:val="none"/>
        </w:rPr>
      </w:pPr>
      <w:r>
        <w:rPr>
          <w:rFonts w:hint="eastAsia"/>
          <w:color w:val="auto"/>
          <w:highlight w:val="none"/>
          <w:lang w:val="en-US" w:eastAsia="zh-CN"/>
        </w:rPr>
        <w:t>用于测量高压电缆本体复合电流的互感器，其测量频率范围一般介于45Hz~55Hz</w:t>
      </w:r>
      <w:r>
        <w:rPr>
          <w:rFonts w:hint="eastAsia"/>
          <w:color w:val="auto"/>
          <w:highlight w:val="none"/>
        </w:rPr>
        <w:t>。</w:t>
      </w:r>
    </w:p>
    <w:p>
      <w:pPr>
        <w:pStyle w:val="225"/>
        <w:ind w:left="420" w:hanging="420" w:hangingChars="200"/>
        <w:outlineLvl w:val="1"/>
        <w:rPr>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lang w:val="en-US" w:eastAsia="zh-CN"/>
        </w:rPr>
        <w:t>接地环流在线监测装置</w:t>
      </w:r>
      <w:r>
        <w:rPr>
          <w:rFonts w:hint="eastAsia" w:ascii="黑体" w:hAnsi="黑体" w:eastAsia="黑体"/>
          <w:color w:val="auto"/>
          <w:highlight w:val="none"/>
        </w:rPr>
        <w:t xml:space="preserve"> </w:t>
      </w:r>
      <w:r>
        <w:rPr>
          <w:rFonts w:ascii="黑体" w:hAnsi="黑体" w:eastAsia="黑体"/>
          <w:color w:val="auto"/>
          <w:highlight w:val="none"/>
        </w:rPr>
        <w:t xml:space="preserve"> </w:t>
      </w:r>
      <w:r>
        <w:rPr>
          <w:rFonts w:hint="eastAsia" w:ascii="黑体" w:hAnsi="黑体" w:eastAsia="黑体"/>
          <w:color w:val="auto"/>
          <w:highlight w:val="none"/>
          <w:lang w:val="en-US" w:eastAsia="zh-CN"/>
        </w:rPr>
        <w:t xml:space="preserve">sheath current on-line </w:t>
      </w:r>
      <w:r>
        <w:rPr>
          <w:rFonts w:hint="eastAsia" w:ascii="黑体" w:hAnsi="黑体" w:eastAsia="黑体"/>
          <w:color w:val="auto"/>
          <w:highlight w:val="none"/>
        </w:rPr>
        <w:t>monitoring device</w:t>
      </w:r>
    </w:p>
    <w:p>
      <w:pPr>
        <w:pStyle w:val="58"/>
        <w:ind w:firstLine="420" w:firstLineChars="200"/>
        <w:jc w:val="both"/>
        <w:rPr>
          <w:rFonts w:hint="eastAsia" w:hAnsi="Times New Roman" w:cs="Times New Roman"/>
          <w:color w:val="auto"/>
          <w:highlight w:val="none"/>
          <w:lang w:val="en-US" w:eastAsia="zh-CN"/>
        </w:rPr>
      </w:pPr>
      <w:r>
        <w:rPr>
          <w:rFonts w:hint="eastAsia" w:cs="Times New Roman"/>
          <w:color w:val="auto"/>
          <w:highlight w:val="none"/>
          <w:lang w:val="en-US" w:eastAsia="zh-CN"/>
        </w:rPr>
        <w:t>由接地环流传感器、复合电流传感器、信号采集单元、通信单元、监测主机等组成，用于监测电力电缆接地环流的</w:t>
      </w:r>
      <w:r>
        <w:rPr>
          <w:rFonts w:hint="eastAsia" w:hAnsi="Times New Roman" w:cs="Times New Roman"/>
          <w:color w:val="auto"/>
          <w:highlight w:val="none"/>
          <w:lang w:val="en-US" w:eastAsia="zh-CN"/>
        </w:rPr>
        <w:t>装置。</w:t>
      </w:r>
    </w:p>
    <w:p>
      <w:pPr>
        <w:pStyle w:val="225"/>
        <w:ind w:left="420" w:hanging="420" w:hangingChars="200"/>
        <w:outlineLvl w:val="1"/>
        <w:rPr>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lang w:val="en-US" w:eastAsia="zh-CN"/>
        </w:rPr>
        <w:t>现场校验</w:t>
      </w:r>
      <w:r>
        <w:rPr>
          <w:rFonts w:hint="eastAsia" w:ascii="黑体" w:hAnsi="黑体" w:eastAsia="黑体"/>
          <w:color w:val="auto"/>
          <w:highlight w:val="none"/>
        </w:rPr>
        <w:t xml:space="preserve"> </w:t>
      </w:r>
      <w:r>
        <w:rPr>
          <w:rFonts w:ascii="黑体" w:hAnsi="黑体" w:eastAsia="黑体"/>
          <w:color w:val="auto"/>
          <w:highlight w:val="none"/>
        </w:rPr>
        <w:t xml:space="preserve"> </w:t>
      </w:r>
      <w:r>
        <w:rPr>
          <w:rFonts w:hint="eastAsia" w:ascii="黑体" w:hAnsi="黑体" w:eastAsia="黑体"/>
          <w:color w:val="auto"/>
          <w:highlight w:val="none"/>
          <w:lang w:val="en-US" w:eastAsia="zh-CN"/>
        </w:rPr>
        <w:t>field test</w:t>
      </w:r>
    </w:p>
    <w:p>
      <w:pPr>
        <w:pStyle w:val="58"/>
        <w:ind w:firstLine="420" w:firstLineChars="200"/>
        <w:jc w:val="both"/>
        <w:rPr>
          <w:rFonts w:hint="default"/>
          <w:color w:val="auto"/>
          <w:highlight w:val="none"/>
        </w:rPr>
      </w:pPr>
      <w:r>
        <w:rPr>
          <w:rFonts w:hint="eastAsia" w:cs="Times New Roman"/>
          <w:color w:val="auto"/>
          <w:highlight w:val="none"/>
          <w:lang w:val="en-US" w:eastAsia="zh-CN"/>
        </w:rPr>
        <w:t>现场运行条件下对接地环流在线监测装置的检查和检测</w:t>
      </w:r>
      <w:r>
        <w:rPr>
          <w:rFonts w:hint="eastAsia" w:hAnsi="Times New Roman" w:cs="Times New Roman"/>
          <w:color w:val="auto"/>
          <w:highlight w:val="none"/>
          <w:lang w:val="en-US" w:eastAsia="zh-CN"/>
        </w:rPr>
        <w:t>。</w:t>
      </w:r>
    </w:p>
    <w:p>
      <w:pPr>
        <w:pStyle w:val="225"/>
        <w:ind w:left="420" w:hanging="420" w:hangingChars="200"/>
        <w:outlineLvl w:val="1"/>
        <w:rPr>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lang w:val="en-US" w:eastAsia="zh-CN"/>
        </w:rPr>
        <w:t>接地环流在线监测装置现场校验设备</w:t>
      </w:r>
      <w:r>
        <w:rPr>
          <w:rFonts w:hint="eastAsia" w:ascii="黑体" w:hAnsi="黑体" w:eastAsia="黑体"/>
          <w:color w:val="auto"/>
          <w:highlight w:val="none"/>
        </w:rPr>
        <w:t xml:space="preserve"> </w:t>
      </w:r>
      <w:r>
        <w:rPr>
          <w:rFonts w:ascii="黑体" w:hAnsi="黑体" w:eastAsia="黑体"/>
          <w:color w:val="auto"/>
          <w:highlight w:val="none"/>
        </w:rPr>
        <w:t xml:space="preserve"> </w:t>
      </w:r>
      <w:r>
        <w:rPr>
          <w:rFonts w:hint="eastAsia" w:ascii="黑体" w:hAnsi="黑体" w:eastAsia="黑体"/>
          <w:color w:val="auto"/>
          <w:highlight w:val="none"/>
          <w:lang w:val="en-US" w:eastAsia="zh-CN"/>
        </w:rPr>
        <w:t>sheath current on-line monitoring device field testing equipment</w:t>
      </w:r>
    </w:p>
    <w:p>
      <w:pPr>
        <w:pStyle w:val="58"/>
        <w:ind w:firstLine="420" w:firstLineChars="200"/>
        <w:jc w:val="both"/>
        <w:rPr>
          <w:rFonts w:hint="eastAsia" w:hAnsi="Times New Roman" w:cs="Times New Roman"/>
          <w:color w:val="auto"/>
          <w:highlight w:val="none"/>
          <w:lang w:val="en-US" w:eastAsia="zh-CN"/>
        </w:rPr>
      </w:pPr>
      <w:r>
        <w:rPr>
          <w:rFonts w:hint="eastAsia" w:cs="Times New Roman"/>
          <w:color w:val="auto"/>
          <w:highlight w:val="none"/>
          <w:lang w:val="en-US" w:eastAsia="zh-CN"/>
        </w:rPr>
        <w:t>由标准电流发生器、电流传感器、激励电流输出回路组成，对接地环流在线监测装置现场运行性能进行检查和检测的设备</w:t>
      </w:r>
      <w:r>
        <w:rPr>
          <w:rFonts w:hint="eastAsia" w:hAnsi="Times New Roman" w:cs="Times New Roman"/>
          <w:color w:val="auto"/>
          <w:highlight w:val="none"/>
          <w:lang w:val="en-US" w:eastAsia="zh-CN"/>
        </w:rPr>
        <w:t>。</w:t>
      </w:r>
    </w:p>
    <w:p>
      <w:pPr>
        <w:pStyle w:val="106"/>
        <w:bidi w:val="0"/>
        <w:rPr>
          <w:highlight w:val="none"/>
        </w:rPr>
      </w:pPr>
      <w:bookmarkStart w:id="48" w:name="_Toc14973"/>
      <w:r>
        <w:rPr>
          <w:rFonts w:hint="eastAsia"/>
          <w:highlight w:val="none"/>
          <w:lang w:val="en-US" w:eastAsia="zh-CN"/>
        </w:rPr>
        <w:t>技术要求</w:t>
      </w:r>
      <w:bookmarkEnd w:id="48"/>
    </w:p>
    <w:p>
      <w:pPr>
        <w:pStyle w:val="107"/>
        <w:spacing w:before="156" w:after="156"/>
        <w:rPr>
          <w:rFonts w:hint="default"/>
          <w:highlight w:val="none"/>
          <w:lang w:val="en-US" w:eastAsia="zh-CN"/>
        </w:rPr>
      </w:pPr>
      <w:r>
        <w:rPr>
          <w:rFonts w:hint="eastAsia"/>
          <w:highlight w:val="none"/>
          <w:lang w:val="en-US" w:eastAsia="zh-CN"/>
        </w:rPr>
        <w:t>外观及数据接入</w:t>
      </w:r>
    </w:p>
    <w:p>
      <w:pPr>
        <w:pStyle w:val="58"/>
        <w:ind w:firstLine="420" w:firstLineChars="200"/>
        <w:jc w:val="both"/>
        <w:rPr>
          <w:rFonts w:hint="eastAsia"/>
          <w:color w:val="auto"/>
          <w:highlight w:val="none"/>
          <w:lang w:val="en-US" w:eastAsia="zh-CN"/>
        </w:rPr>
      </w:pPr>
      <w:r>
        <w:rPr>
          <w:rFonts w:hint="eastAsia"/>
          <w:color w:val="auto"/>
          <w:highlight w:val="none"/>
          <w:lang w:val="en-US" w:eastAsia="zh-CN"/>
        </w:rPr>
        <w:t>接地环流在线监测装置外观完好，外壳无锐口、尖角、变形、锈蚀等明显缺陷，表面电镀层牢固均匀光洁，无起层剥落现象；</w:t>
      </w:r>
    </w:p>
    <w:p>
      <w:pPr>
        <w:pStyle w:val="58"/>
        <w:ind w:firstLine="420" w:firstLineChars="200"/>
        <w:jc w:val="both"/>
        <w:rPr>
          <w:rFonts w:hint="eastAsia"/>
          <w:color w:val="auto"/>
          <w:highlight w:val="none"/>
          <w:lang w:val="en-US" w:eastAsia="zh-CN"/>
        </w:rPr>
      </w:pPr>
      <w:r>
        <w:rPr>
          <w:rFonts w:hint="eastAsia"/>
          <w:color w:val="auto"/>
          <w:highlight w:val="none"/>
          <w:lang w:val="en-US" w:eastAsia="zh-CN"/>
        </w:rPr>
        <w:t>接地环流在线监测装置铭牌产品名称、厂家、型号、出厂编号、生产日期信息、检测记录齐全；</w:t>
      </w:r>
    </w:p>
    <w:p>
      <w:pPr>
        <w:pStyle w:val="58"/>
        <w:ind w:firstLine="420" w:firstLineChars="200"/>
        <w:jc w:val="both"/>
        <w:rPr>
          <w:rFonts w:hint="default"/>
          <w:color w:val="auto"/>
          <w:highlight w:val="none"/>
          <w:lang w:val="en-US" w:eastAsia="zh-CN"/>
        </w:rPr>
      </w:pPr>
      <w:r>
        <w:rPr>
          <w:rFonts w:hint="eastAsia"/>
          <w:color w:val="auto"/>
          <w:highlight w:val="none"/>
          <w:lang w:val="en-US" w:eastAsia="zh-CN"/>
        </w:rPr>
        <w:t>接地环流在线监测装置包含3路接地电流传感器和1路复合电流传感器；</w:t>
      </w:r>
    </w:p>
    <w:p>
      <w:pPr>
        <w:pStyle w:val="58"/>
        <w:ind w:firstLine="420" w:firstLineChars="200"/>
        <w:jc w:val="both"/>
        <w:rPr>
          <w:rFonts w:hint="eastAsia"/>
          <w:color w:val="auto"/>
          <w:highlight w:val="none"/>
          <w:lang w:val="en-US" w:eastAsia="zh-CN"/>
        </w:rPr>
      </w:pPr>
      <w:r>
        <w:rPr>
          <w:rFonts w:hint="eastAsia"/>
          <w:color w:val="auto"/>
          <w:highlight w:val="none"/>
          <w:lang w:val="en-US" w:eastAsia="zh-CN"/>
        </w:rPr>
        <w:t>接地环流在线监测装置数据接入指定平台，数据能正常展示。</w:t>
      </w:r>
    </w:p>
    <w:p>
      <w:pPr>
        <w:pStyle w:val="107"/>
        <w:spacing w:before="156" w:after="156"/>
        <w:rPr>
          <w:rFonts w:hint="eastAsia"/>
          <w:highlight w:val="none"/>
          <w:lang w:val="en-US" w:eastAsia="zh-CN"/>
        </w:rPr>
      </w:pPr>
      <w:r>
        <w:rPr>
          <w:rFonts w:hint="eastAsia"/>
          <w:highlight w:val="none"/>
          <w:lang w:val="en-US" w:eastAsia="zh-CN"/>
        </w:rPr>
        <w:t>电流测量量程</w:t>
      </w:r>
    </w:p>
    <w:p>
      <w:pPr>
        <w:pStyle w:val="58"/>
        <w:ind w:firstLine="420" w:firstLineChars="200"/>
        <w:jc w:val="both"/>
        <w:rPr>
          <w:rFonts w:hint="eastAsia"/>
          <w:highlight w:val="none"/>
          <w:vertAlign w:val="baseline"/>
          <w:lang w:val="en-US" w:eastAsia="zh-CN"/>
        </w:rPr>
      </w:pPr>
      <w:r>
        <w:rPr>
          <w:rFonts w:hint="eastAsia"/>
          <w:color w:val="auto"/>
          <w:highlight w:val="none"/>
          <w:lang w:val="en-US" w:eastAsia="zh-CN"/>
        </w:rPr>
        <w:t>接地环流传感器</w:t>
      </w:r>
      <w:r>
        <w:rPr>
          <w:rFonts w:hint="eastAsia"/>
          <w:highlight w:val="none"/>
          <w:vertAlign w:val="baseline"/>
          <w:lang w:val="en-US" w:eastAsia="zh-CN"/>
        </w:rPr>
        <w:t>、</w:t>
      </w:r>
      <w:r>
        <w:rPr>
          <w:rFonts w:hint="eastAsia"/>
          <w:color w:val="auto"/>
          <w:highlight w:val="none"/>
          <w:lang w:val="en-US" w:eastAsia="zh-CN"/>
        </w:rPr>
        <w:t>复合电流传感器的</w:t>
      </w:r>
      <w:r>
        <w:rPr>
          <w:rFonts w:hint="eastAsia"/>
          <w:highlight w:val="none"/>
          <w:vertAlign w:val="baseline"/>
          <w:lang w:val="en-US" w:eastAsia="zh-CN"/>
        </w:rPr>
        <w:t>电流测量量程应满足DL/T 2270</w:t>
      </w:r>
      <w:r>
        <w:rPr>
          <w:rFonts w:hint="eastAsia"/>
          <w:highlight w:val="none"/>
          <w:lang w:val="en-US" w:eastAsia="zh-CN"/>
        </w:rPr>
        <w:t>—</w:t>
      </w:r>
      <w:r>
        <w:rPr>
          <w:rFonts w:hint="eastAsia"/>
          <w:highlight w:val="none"/>
          <w:vertAlign w:val="baseline"/>
          <w:lang w:val="en-US" w:eastAsia="zh-CN"/>
        </w:rPr>
        <w:t>2021中6.4.3的规定，</w:t>
      </w:r>
      <w:r>
        <w:rPr>
          <w:rFonts w:hint="eastAsia"/>
          <w:color w:val="auto"/>
          <w:highlight w:val="none"/>
          <w:lang w:val="en-US" w:eastAsia="zh-CN"/>
        </w:rPr>
        <w:t>接地环流传感器</w:t>
      </w:r>
      <w:r>
        <w:rPr>
          <w:rFonts w:hint="eastAsia"/>
          <w:highlight w:val="none"/>
          <w:vertAlign w:val="baseline"/>
          <w:lang w:val="en-US" w:eastAsia="zh-CN"/>
        </w:rPr>
        <w:t>电流测量量程0.1A~300A，</w:t>
      </w:r>
      <w:r>
        <w:rPr>
          <w:rFonts w:hint="eastAsia"/>
          <w:color w:val="auto"/>
          <w:highlight w:val="none"/>
          <w:lang w:val="en-US" w:eastAsia="zh-CN"/>
        </w:rPr>
        <w:t>复合电流传感器</w:t>
      </w:r>
      <w:r>
        <w:rPr>
          <w:rFonts w:hint="eastAsia"/>
          <w:highlight w:val="none"/>
          <w:vertAlign w:val="baseline"/>
          <w:lang w:val="en-US" w:eastAsia="zh-CN"/>
        </w:rPr>
        <w:t>电流测量量程1A~2000A。</w:t>
      </w:r>
    </w:p>
    <w:p>
      <w:pPr>
        <w:pStyle w:val="107"/>
        <w:spacing w:before="156" w:after="156"/>
        <w:rPr>
          <w:rFonts w:hint="eastAsia"/>
          <w:highlight w:val="none"/>
          <w:lang w:val="en-US" w:eastAsia="zh-CN"/>
        </w:rPr>
      </w:pPr>
      <w:r>
        <w:rPr>
          <w:rFonts w:hint="eastAsia"/>
          <w:highlight w:val="none"/>
          <w:lang w:val="en-US" w:eastAsia="zh-CN"/>
        </w:rPr>
        <w:t>测量分辨力误差</w:t>
      </w:r>
    </w:p>
    <w:p>
      <w:pPr>
        <w:pStyle w:val="58"/>
        <w:ind w:firstLine="420" w:firstLineChars="200"/>
        <w:jc w:val="both"/>
        <w:rPr>
          <w:rFonts w:hint="eastAsia"/>
          <w:color w:val="auto"/>
          <w:highlight w:val="none"/>
          <w:lang w:val="en-US" w:eastAsia="zh-CN"/>
        </w:rPr>
      </w:pPr>
      <w:r>
        <w:rPr>
          <w:rFonts w:hint="eastAsia"/>
          <w:highlight w:val="none"/>
          <w:vertAlign w:val="baseline"/>
          <w:lang w:val="en-US" w:eastAsia="zh-CN"/>
        </w:rPr>
        <w:t>测量分辨力误差应满足DL/T 2270</w:t>
      </w:r>
      <w:r>
        <w:rPr>
          <w:rFonts w:hint="eastAsia"/>
          <w:highlight w:val="none"/>
          <w:lang w:val="en-US" w:eastAsia="zh-CN"/>
        </w:rPr>
        <w:t>—</w:t>
      </w:r>
      <w:r>
        <w:rPr>
          <w:rFonts w:hint="eastAsia"/>
          <w:highlight w:val="none"/>
          <w:vertAlign w:val="baseline"/>
          <w:lang w:val="en-US" w:eastAsia="zh-CN"/>
        </w:rPr>
        <w:t>2021中7.10的要求，</w:t>
      </w:r>
      <w:r>
        <w:rPr>
          <w:rFonts w:hint="eastAsia"/>
          <w:color w:val="auto"/>
          <w:highlight w:val="none"/>
          <w:lang w:val="en-US" w:eastAsia="zh-CN"/>
        </w:rPr>
        <w:t>接地环流在线监测装置电流测量示值最大允许误差的绝对值不超过（5%标准电流读数+0.1A）。</w:t>
      </w:r>
    </w:p>
    <w:p>
      <w:pPr>
        <w:pStyle w:val="107"/>
        <w:spacing w:before="156" w:after="156"/>
        <w:rPr>
          <w:rFonts w:hint="default"/>
          <w:highlight w:val="none"/>
          <w:lang w:val="en-US" w:eastAsia="zh-CN"/>
        </w:rPr>
      </w:pPr>
      <w:r>
        <w:rPr>
          <w:rFonts w:hint="eastAsia"/>
          <w:highlight w:val="none"/>
          <w:lang w:val="en-US" w:eastAsia="zh-CN"/>
        </w:rPr>
        <w:t>报警响应时间</w:t>
      </w:r>
    </w:p>
    <w:p>
      <w:pPr>
        <w:pStyle w:val="58"/>
        <w:ind w:firstLine="420" w:firstLineChars="200"/>
        <w:jc w:val="both"/>
        <w:rPr>
          <w:rFonts w:hint="default"/>
          <w:highlight w:val="none"/>
          <w:vertAlign w:val="baseline"/>
          <w:lang w:val="en-US" w:eastAsia="zh-CN"/>
        </w:rPr>
      </w:pPr>
      <w:r>
        <w:rPr>
          <w:rFonts w:hint="eastAsia"/>
          <w:color w:val="auto"/>
          <w:highlight w:val="none"/>
          <w:lang w:val="en-US" w:eastAsia="zh-CN"/>
        </w:rPr>
        <w:t>报警响应时间应满足</w:t>
      </w:r>
      <w:r>
        <w:rPr>
          <w:rFonts w:hint="eastAsia"/>
          <w:highlight w:val="none"/>
          <w:vertAlign w:val="baseline"/>
          <w:lang w:val="en-US" w:eastAsia="zh-CN"/>
        </w:rPr>
        <w:t>DL/T 1506</w:t>
      </w:r>
      <w:r>
        <w:rPr>
          <w:rFonts w:hint="eastAsia"/>
          <w:highlight w:val="none"/>
          <w:lang w:val="en-US" w:eastAsia="zh-CN"/>
        </w:rPr>
        <w:t>—</w:t>
      </w:r>
      <w:r>
        <w:rPr>
          <w:rFonts w:hint="eastAsia"/>
          <w:highlight w:val="none"/>
          <w:vertAlign w:val="baseline"/>
          <w:lang w:val="en-US" w:eastAsia="zh-CN"/>
        </w:rPr>
        <w:t>2016</w:t>
      </w:r>
      <w:r>
        <w:rPr>
          <w:rFonts w:hint="eastAsia"/>
          <w:color w:val="auto"/>
          <w:highlight w:val="none"/>
          <w:lang w:val="en-US" w:eastAsia="zh-CN"/>
        </w:rPr>
        <w:t>中6.14的要求，接地环流在线监测装置</w:t>
      </w:r>
      <w:r>
        <w:rPr>
          <w:rFonts w:hint="eastAsia"/>
          <w:highlight w:val="none"/>
          <w:vertAlign w:val="baseline"/>
          <w:lang w:val="en-US" w:eastAsia="zh-CN"/>
        </w:rPr>
        <w:t>报警响应时间不超过5s。</w:t>
      </w:r>
    </w:p>
    <w:p>
      <w:pPr>
        <w:pStyle w:val="106"/>
        <w:bidi w:val="0"/>
      </w:pPr>
      <w:bookmarkStart w:id="49" w:name="_Toc4774"/>
      <w:r>
        <w:rPr>
          <w:rFonts w:hint="eastAsia"/>
          <w:lang w:val="en-US" w:eastAsia="zh-CN"/>
        </w:rPr>
        <w:t>校验条件</w:t>
      </w:r>
      <w:bookmarkEnd w:id="49"/>
    </w:p>
    <w:p>
      <w:pPr>
        <w:pStyle w:val="107"/>
        <w:spacing w:before="156" w:after="156"/>
      </w:pPr>
      <w:r>
        <w:rPr>
          <w:rFonts w:hint="eastAsia"/>
          <w:lang w:val="en-US" w:eastAsia="zh-CN"/>
        </w:rPr>
        <w:t>环境条件</w:t>
      </w:r>
    </w:p>
    <w:p>
      <w:pPr>
        <w:pStyle w:val="58"/>
        <w:ind w:firstLine="420" w:firstLineChars="200"/>
        <w:jc w:val="both"/>
        <w:rPr>
          <w:rFonts w:hint="default"/>
          <w:lang w:val="en-US" w:eastAsia="zh-CN"/>
        </w:rPr>
      </w:pPr>
      <w:r>
        <w:rPr>
          <w:rFonts w:hint="eastAsia"/>
          <w:lang w:val="en-US" w:eastAsia="zh-CN"/>
        </w:rPr>
        <w:t>现场校验时应满足环境要求如下：</w:t>
      </w:r>
    </w:p>
    <w:p>
      <w:pPr>
        <w:pStyle w:val="58"/>
        <w:ind w:firstLine="420" w:firstLineChars="200"/>
        <w:jc w:val="both"/>
        <w:rPr>
          <w:rFonts w:hint="eastAsia"/>
          <w:lang w:val="en-US" w:eastAsia="zh-CN"/>
        </w:rPr>
      </w:pPr>
      <w:r>
        <w:rPr>
          <w:rFonts w:hint="eastAsia"/>
          <w:lang w:val="en-US" w:eastAsia="zh-CN"/>
        </w:rPr>
        <w:t>a）环境温度：-40℃~+50℃；</w:t>
      </w:r>
    </w:p>
    <w:p>
      <w:pPr>
        <w:pStyle w:val="58"/>
        <w:ind w:firstLine="420" w:firstLineChars="200"/>
        <w:jc w:val="both"/>
        <w:rPr>
          <w:rFonts w:hint="eastAsia"/>
          <w:lang w:val="en-US" w:eastAsia="zh-CN"/>
        </w:rPr>
      </w:pPr>
      <w:r>
        <w:rPr>
          <w:rFonts w:hint="eastAsia"/>
          <w:lang w:val="en-US" w:eastAsia="zh-CN"/>
        </w:rPr>
        <w:t>b）环境相对湿度：5%~99%；</w:t>
      </w:r>
    </w:p>
    <w:p>
      <w:pPr>
        <w:pStyle w:val="58"/>
        <w:ind w:firstLine="420" w:firstLineChars="200"/>
        <w:jc w:val="both"/>
        <w:rPr>
          <w:rFonts w:hint="eastAsia"/>
          <w:lang w:val="en-US" w:eastAsia="zh-CN"/>
        </w:rPr>
      </w:pPr>
      <w:r>
        <w:rPr>
          <w:rFonts w:hint="eastAsia"/>
          <w:lang w:val="en-US" w:eastAsia="zh-CN"/>
        </w:rPr>
        <w:t>c）大气压力：55kPa~110kPa。</w:t>
      </w:r>
    </w:p>
    <w:p>
      <w:pPr>
        <w:pStyle w:val="107"/>
        <w:spacing w:before="156" w:after="156"/>
      </w:pPr>
      <w:bookmarkStart w:id="50" w:name="_Toc8223"/>
      <w:bookmarkStart w:id="51" w:name="_Toc1427772882"/>
      <w:r>
        <w:rPr>
          <w:rFonts w:hint="eastAsia"/>
          <w:lang w:val="en-US" w:eastAsia="zh-CN"/>
        </w:rPr>
        <w:t>人员条件</w:t>
      </w:r>
    </w:p>
    <w:p>
      <w:pPr>
        <w:pStyle w:val="58"/>
        <w:ind w:firstLine="420" w:firstLineChars="200"/>
        <w:jc w:val="both"/>
        <w:rPr>
          <w:rFonts w:hint="default"/>
          <w:lang w:val="en-US" w:eastAsia="zh-CN"/>
        </w:rPr>
      </w:pPr>
      <w:r>
        <w:rPr>
          <w:rFonts w:hint="eastAsia"/>
          <w:lang w:val="en-US" w:eastAsia="zh-CN"/>
        </w:rPr>
        <w:t>从事现场校验的人员具备必要的安全生产知识和技能，掌握触电急救等救护法，具备必要的电气知识和业务技能，熟悉电气设备及其系统。</w:t>
      </w:r>
    </w:p>
    <w:p>
      <w:pPr>
        <w:pStyle w:val="58"/>
        <w:ind w:firstLine="420" w:firstLineChars="200"/>
        <w:jc w:val="both"/>
        <w:rPr>
          <w:rFonts w:hint="default"/>
          <w:lang w:val="en-US" w:eastAsia="zh-CN"/>
        </w:rPr>
      </w:pPr>
      <w:r>
        <w:rPr>
          <w:rFonts w:hint="eastAsia"/>
          <w:lang w:val="en-US" w:eastAsia="zh-CN"/>
        </w:rPr>
        <w:t>从事现场校验的人员应当在接地环流在线监测、现场校验设备操作以及现场问题处理等方面受过专业培训。</w:t>
      </w:r>
    </w:p>
    <w:bookmarkEnd w:id="50"/>
    <w:bookmarkEnd w:id="51"/>
    <w:p>
      <w:pPr>
        <w:pStyle w:val="107"/>
        <w:spacing w:before="156" w:after="156"/>
      </w:pPr>
      <w:r>
        <w:rPr>
          <w:rFonts w:hint="eastAsia"/>
          <w:lang w:val="en-US" w:eastAsia="zh-CN"/>
        </w:rPr>
        <w:t>安全条件</w:t>
      </w:r>
    </w:p>
    <w:p>
      <w:pPr>
        <w:pStyle w:val="58"/>
        <w:ind w:firstLine="420" w:firstLineChars="200"/>
        <w:jc w:val="both"/>
        <w:rPr>
          <w:rFonts w:hint="default" w:eastAsia="宋体"/>
          <w:lang w:val="en-US" w:eastAsia="zh-CN"/>
        </w:rPr>
      </w:pPr>
      <w:r>
        <w:rPr>
          <w:rFonts w:hint="eastAsia"/>
        </w:rPr>
        <w:t>电力电缆接地环流在线监测装置现场校验</w:t>
      </w:r>
      <w:r>
        <w:rPr>
          <w:rFonts w:hint="eastAsia"/>
          <w:lang w:val="en-US" w:eastAsia="zh-CN"/>
        </w:rPr>
        <w:t>应符合</w:t>
      </w:r>
      <w:r>
        <w:rPr>
          <w:rFonts w:hint="eastAsia"/>
          <w:highlight w:val="none"/>
          <w:lang w:val="en-US" w:eastAsia="zh-CN"/>
        </w:rPr>
        <w:t>GB 26859中的</w:t>
      </w:r>
      <w:r>
        <w:rPr>
          <w:rFonts w:hint="eastAsia"/>
          <w:lang w:val="en-US" w:eastAsia="zh-CN"/>
        </w:rPr>
        <w:t>规定：</w:t>
      </w:r>
    </w:p>
    <w:p>
      <w:pPr>
        <w:pStyle w:val="58"/>
        <w:ind w:firstLine="420" w:firstLineChars="200"/>
        <w:jc w:val="both"/>
        <w:rPr>
          <w:rFonts w:hint="default"/>
          <w:color w:val="auto"/>
          <w:highlight w:val="none"/>
          <w:lang w:val="en-US" w:eastAsia="zh-CN"/>
        </w:rPr>
      </w:pPr>
      <w:r>
        <w:rPr>
          <w:rFonts w:hint="eastAsia"/>
          <w:color w:val="auto"/>
          <w:highlight w:val="none"/>
          <w:lang w:val="en-US" w:eastAsia="zh-CN"/>
        </w:rPr>
        <w:t>a）电缆隧道、电缆井内应有充足的照明，并有防火、防水、通风的措施；</w:t>
      </w:r>
    </w:p>
    <w:p>
      <w:pPr>
        <w:pStyle w:val="58"/>
        <w:ind w:firstLine="420" w:firstLineChars="200"/>
        <w:jc w:val="both"/>
        <w:rPr>
          <w:rFonts w:hint="default"/>
          <w:color w:val="auto"/>
          <w:highlight w:val="none"/>
          <w:lang w:val="en-US" w:eastAsia="zh-CN"/>
        </w:rPr>
      </w:pPr>
      <w:r>
        <w:rPr>
          <w:rFonts w:hint="eastAsia"/>
          <w:color w:val="auto"/>
          <w:highlight w:val="none"/>
          <w:lang w:val="en-US" w:eastAsia="zh-CN"/>
        </w:rPr>
        <w:t>b）进入电缆井、电缆隧道前，应先用通风机排除浊气，再用气体检测仪检查井内或隧道内的易燃易爆及有毒气体的含量，气体检测合格后方可进入电缆井、电缆隧道；</w:t>
      </w:r>
    </w:p>
    <w:p>
      <w:pPr>
        <w:pStyle w:val="58"/>
        <w:ind w:firstLine="420" w:firstLineChars="200"/>
        <w:jc w:val="both"/>
        <w:rPr>
          <w:rFonts w:hint="default"/>
          <w:color w:val="auto"/>
          <w:highlight w:val="none"/>
          <w:lang w:val="en-US" w:eastAsia="zh-CN"/>
        </w:rPr>
      </w:pPr>
      <w:r>
        <w:rPr>
          <w:rFonts w:hint="eastAsia"/>
          <w:color w:val="auto"/>
          <w:highlight w:val="none"/>
          <w:lang w:val="en-US" w:eastAsia="zh-CN"/>
        </w:rPr>
        <w:t>c）现场校验过程中，除了现场校验人员外，还应设置一名安全监护人，对现场校验人员安全进行监护；</w:t>
      </w:r>
    </w:p>
    <w:p>
      <w:pPr>
        <w:pStyle w:val="58"/>
        <w:ind w:firstLine="420" w:firstLineChars="200"/>
        <w:jc w:val="both"/>
        <w:rPr>
          <w:rFonts w:hint="default"/>
          <w:color w:val="auto"/>
          <w:highlight w:val="none"/>
          <w:lang w:val="en-US" w:eastAsia="zh-CN"/>
        </w:rPr>
      </w:pPr>
      <w:r>
        <w:rPr>
          <w:rFonts w:hint="eastAsia"/>
          <w:color w:val="auto"/>
          <w:highlight w:val="none"/>
          <w:lang w:val="en-US" w:eastAsia="zh-CN"/>
        </w:rPr>
        <w:t>d）现场人员全程正确佩戴使用合格的安全防护用品、便携式气体检测报警仪和对讲机等。</w:t>
      </w:r>
    </w:p>
    <w:p>
      <w:pPr>
        <w:pStyle w:val="107"/>
        <w:spacing w:before="156" w:after="156"/>
        <w:rPr>
          <w:rFonts w:hint="eastAsia"/>
          <w:lang w:val="en-US" w:eastAsia="zh-CN"/>
        </w:rPr>
      </w:pPr>
      <w:r>
        <w:rPr>
          <w:rFonts w:hint="eastAsia"/>
          <w:lang w:val="en-US" w:eastAsia="zh-CN"/>
        </w:rPr>
        <w:t>现场校验设备条件</w:t>
      </w:r>
    </w:p>
    <w:p>
      <w:pPr>
        <w:pStyle w:val="58"/>
        <w:ind w:firstLine="420" w:firstLineChars="200"/>
        <w:jc w:val="both"/>
        <w:rPr>
          <w:rFonts w:hint="default"/>
          <w:lang w:val="en-US" w:eastAsia="zh-CN"/>
        </w:rPr>
      </w:pPr>
      <w:r>
        <w:rPr>
          <w:rFonts w:hint="eastAsia"/>
          <w:lang w:val="en-US" w:eastAsia="zh-CN"/>
        </w:rPr>
        <w:t>接地环流在线监测装置现场校验设备包含标准电流发生器、电流传感器、</w:t>
      </w:r>
      <w:r>
        <w:rPr>
          <w:rFonts w:hint="eastAsia" w:cs="Times New Roman"/>
          <w:color w:val="auto"/>
          <w:highlight w:val="none"/>
          <w:lang w:val="en-US" w:eastAsia="zh-CN"/>
        </w:rPr>
        <w:t>激励电流输出回路</w:t>
      </w:r>
      <w:r>
        <w:rPr>
          <w:rFonts w:hint="eastAsia"/>
          <w:lang w:val="en-US" w:eastAsia="zh-CN"/>
        </w:rPr>
        <w:t>，</w:t>
      </w:r>
      <w:r>
        <w:rPr>
          <w:rFonts w:hint="eastAsia" w:cs="Times New Roman"/>
          <w:color w:val="auto"/>
          <w:highlight w:val="none"/>
          <w:lang w:val="en-US" w:eastAsia="zh-CN"/>
        </w:rPr>
        <w:t>需满足如下要求：</w:t>
      </w:r>
    </w:p>
    <w:p>
      <w:pPr>
        <w:pStyle w:val="58"/>
        <w:ind w:firstLine="420" w:firstLineChars="200"/>
        <w:jc w:val="both"/>
        <w:rPr>
          <w:rFonts w:hint="default"/>
          <w:lang w:val="en-US" w:eastAsia="zh-CN"/>
        </w:rPr>
      </w:pPr>
      <w:r>
        <w:rPr>
          <w:rFonts w:hint="eastAsia"/>
          <w:lang w:val="en-US" w:eastAsia="zh-CN"/>
        </w:rPr>
        <w:t>a）标准电流测量范围：</w:t>
      </w:r>
      <w:r>
        <w:rPr>
          <w:rFonts w:hint="eastAsia"/>
          <w:color w:val="auto"/>
          <w:highlight w:val="none"/>
          <w:lang w:val="en-US" w:eastAsia="zh-CN"/>
        </w:rPr>
        <w:t>接地环流传感器现场校验，</w:t>
      </w:r>
      <w:r>
        <w:rPr>
          <w:rFonts w:hint="eastAsia"/>
          <w:lang w:val="en-US" w:eastAsia="zh-CN"/>
        </w:rPr>
        <w:t>标准电流测量范围0.1A~300，复合电流传感器现场校验，标准电流测量范围1A~2000A；</w:t>
      </w:r>
    </w:p>
    <w:p>
      <w:pPr>
        <w:pStyle w:val="58"/>
        <w:ind w:firstLine="420" w:firstLineChars="200"/>
        <w:jc w:val="both"/>
        <w:rPr>
          <w:rFonts w:hint="eastAsia"/>
          <w:highlight w:val="none"/>
          <w:lang w:val="en-US" w:eastAsia="zh-CN"/>
        </w:rPr>
      </w:pPr>
      <w:r>
        <w:rPr>
          <w:rFonts w:hint="eastAsia"/>
          <w:lang w:val="en-US" w:eastAsia="zh-CN"/>
        </w:rPr>
        <w:t>b）</w:t>
      </w:r>
      <w:r>
        <w:rPr>
          <w:rFonts w:hint="eastAsia"/>
          <w:highlight w:val="none"/>
          <w:lang w:val="en-US" w:eastAsia="zh-CN"/>
        </w:rPr>
        <w:t>电流测量准确度等级：0.5级；</w:t>
      </w:r>
    </w:p>
    <w:p>
      <w:pPr>
        <w:pStyle w:val="58"/>
        <w:ind w:firstLine="420" w:firstLineChars="200"/>
        <w:jc w:val="both"/>
        <w:rPr>
          <w:rFonts w:hint="eastAsia"/>
          <w:highlight w:val="none"/>
          <w:lang w:val="en-US" w:eastAsia="zh-CN"/>
        </w:rPr>
      </w:pPr>
      <w:r>
        <w:rPr>
          <w:rFonts w:hint="eastAsia"/>
          <w:highlight w:val="none"/>
          <w:lang w:val="en-US" w:eastAsia="zh-CN"/>
        </w:rPr>
        <w:t>c）抗扰度：应符合表1的要求；</w:t>
      </w:r>
    </w:p>
    <w:p>
      <w:pPr>
        <w:pStyle w:val="114"/>
        <w:spacing w:before="156" w:after="156"/>
        <w:rPr>
          <w:rFonts w:hint="eastAsia"/>
          <w:lang w:val="en-US" w:eastAsia="zh-CN"/>
        </w:rPr>
      </w:pPr>
      <w:r>
        <w:rPr>
          <w:rFonts w:hint="eastAsia"/>
          <w:lang w:val="en-US" w:eastAsia="zh-CN"/>
        </w:rPr>
        <w:t>表1 接地环流在线监测装置现场校验设备的抗扰度要求</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2"/>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r>
              <w:rPr>
                <w:rFonts w:hint="eastAsia" w:eastAsia="Times New Roman"/>
                <w:lang w:val="en-US" w:eastAsia="zh-CN"/>
              </w:rPr>
              <w:t>端口</w:t>
            </w: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r>
              <w:rPr>
                <w:rFonts w:hint="eastAsia" w:eastAsia="Times New Roman"/>
                <w:lang w:val="en-US" w:eastAsia="zh-CN"/>
              </w:rPr>
              <w:t>试验项目</w:t>
            </w: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r>
              <w:rPr>
                <w:rFonts w:hint="eastAsia" w:eastAsia="Times New Roman"/>
                <w:lang w:val="en-US" w:eastAsia="zh-CN"/>
              </w:rPr>
              <w:t>基础标准</w:t>
            </w: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r>
              <w:rPr>
                <w:rFonts w:hint="eastAsia" w:eastAsia="Times New Roman"/>
                <w:lang w:val="en-US" w:eastAsia="zh-C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r>
              <w:rPr>
                <w:rFonts w:hint="eastAsia" w:eastAsia="Times New Roman"/>
                <w:lang w:val="en-US" w:eastAsia="zh-CN"/>
              </w:rPr>
              <w:t>外壳</w:t>
            </w: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静电放电（ESD）</w:t>
            </w: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17626.2</w:t>
            </w: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vAlign w:val="center"/>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射频电磁场辐射</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w:t>
            </w:r>
            <w:r>
              <w:rPr>
                <w:rFonts w:hint="eastAsia" w:ascii="宋体" w:cs="Times New Roman"/>
                <w:kern w:val="0"/>
                <w:sz w:val="21"/>
                <w:lang w:val="en-US" w:eastAsia="zh-CN" w:bidi="ar-SA"/>
              </w:rPr>
              <w:t>3</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vAlign w:val="center"/>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工频磁场</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w:t>
            </w:r>
            <w:r>
              <w:rPr>
                <w:rFonts w:hint="eastAsia" w:ascii="宋体" w:cs="Times New Roman"/>
                <w:kern w:val="0"/>
                <w:sz w:val="21"/>
                <w:lang w:val="en-US" w:eastAsia="zh-CN" w:bidi="ar-SA"/>
              </w:rPr>
              <w:t>8</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vAlign w:val="center"/>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脉冲磁场</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w:t>
            </w:r>
            <w:r>
              <w:rPr>
                <w:rFonts w:hint="eastAsia" w:ascii="宋体" w:cs="Times New Roman"/>
                <w:kern w:val="0"/>
                <w:sz w:val="21"/>
                <w:lang w:val="en-US" w:eastAsia="zh-CN" w:bidi="ar-SA"/>
              </w:rPr>
              <w:t>9</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vAlign w:val="center"/>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阻尼振荡磁场</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w:t>
            </w:r>
            <w:r>
              <w:rPr>
                <w:rFonts w:hint="eastAsia" w:ascii="宋体" w:cs="Times New Roman"/>
                <w:kern w:val="0"/>
                <w:sz w:val="21"/>
                <w:lang w:val="en-US" w:eastAsia="zh-CN" w:bidi="ar-SA"/>
              </w:rPr>
              <w:t>10</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r>
              <w:rPr>
                <w:rFonts w:hint="eastAsia" w:eastAsia="Times New Roman"/>
                <w:lang w:val="en-US" w:eastAsia="zh-CN"/>
              </w:rPr>
              <w:t>直流电源</w:t>
            </w: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脉冲群</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w:t>
            </w:r>
            <w:r>
              <w:rPr>
                <w:rFonts w:hint="eastAsia" w:ascii="宋体" w:cs="Times New Roman"/>
                <w:kern w:val="0"/>
                <w:sz w:val="21"/>
                <w:lang w:val="en-US" w:eastAsia="zh-CN" w:bidi="ar-SA"/>
              </w:rPr>
              <w:t>4</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浪涌</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w:t>
            </w:r>
            <w:r>
              <w:rPr>
                <w:rFonts w:hint="eastAsia" w:ascii="宋体" w:cs="Times New Roman"/>
                <w:kern w:val="0"/>
                <w:sz w:val="21"/>
                <w:lang w:val="en-US" w:eastAsia="zh-CN" w:bidi="ar-SA"/>
              </w:rPr>
              <w:t>5</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Times New Roman"/>
                <w:lang w:val="en-US" w:eastAsia="zh-CN"/>
              </w:rPr>
            </w:pPr>
          </w:p>
        </w:tc>
        <w:tc>
          <w:tcPr>
            <w:tcW w:w="2392" w:type="dxa"/>
          </w:tcPr>
          <w:p>
            <w:pPr>
              <w:pStyle w:val="237"/>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射频场感应的传导骚扰</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hAnsi="Times New Roman" w:eastAsia="宋体" w:cs="Times New Roman"/>
                <w:kern w:val="0"/>
                <w:sz w:val="21"/>
                <w:lang w:val="en-US" w:eastAsia="zh-CN" w:bidi="ar-SA"/>
              </w:rPr>
              <w:t>GB/T 17626.</w:t>
            </w:r>
            <w:r>
              <w:rPr>
                <w:rFonts w:hint="eastAsia" w:ascii="宋体" w:cs="Times New Roman"/>
                <w:kern w:val="0"/>
                <w:sz w:val="21"/>
                <w:lang w:val="en-US" w:eastAsia="zh-CN" w:bidi="ar-SA"/>
              </w:rPr>
              <w:t>6</w:t>
            </w:r>
          </w:p>
        </w:tc>
        <w:tc>
          <w:tcPr>
            <w:tcW w:w="2392" w:type="dxa"/>
            <w:vAlign w:val="top"/>
          </w:tcPr>
          <w:p>
            <w:pPr>
              <w:pStyle w:val="23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Times New Roman" w:eastAsia="宋体" w:cs="Times New Roman"/>
                <w:kern w:val="0"/>
                <w:sz w:val="21"/>
                <w:lang w:val="en-US" w:eastAsia="zh-CN" w:bidi="ar-SA"/>
              </w:rPr>
            </w:pPr>
            <w:r>
              <w:rPr>
                <w:rFonts w:hint="eastAsia" w:ascii="宋体" w:cs="Times New Roman"/>
                <w:kern w:val="0"/>
                <w:sz w:val="21"/>
                <w:lang w:val="en-US" w:eastAsia="zh-CN" w:bidi="ar-SA"/>
              </w:rPr>
              <w:t>3级</w:t>
            </w:r>
          </w:p>
        </w:tc>
      </w:tr>
    </w:tbl>
    <w:p>
      <w:pPr>
        <w:pStyle w:val="58"/>
        <w:ind w:firstLine="420" w:firstLineChars="200"/>
        <w:jc w:val="both"/>
        <w:rPr>
          <w:rFonts w:hint="default"/>
          <w:highlight w:val="none"/>
          <w:lang w:val="en-US" w:eastAsia="zh-CN"/>
        </w:rPr>
      </w:pPr>
      <w:r>
        <w:rPr>
          <w:rFonts w:hint="eastAsia"/>
          <w:highlight w:val="none"/>
          <w:lang w:val="en-US" w:eastAsia="zh-CN"/>
        </w:rPr>
        <w:t>d）工作电压：不低于12.6V。</w:t>
      </w:r>
    </w:p>
    <w:p>
      <w:pPr>
        <w:pStyle w:val="106"/>
        <w:spacing w:before="312" w:after="312"/>
        <w:rPr>
          <w:rFonts w:hint="eastAsia"/>
        </w:rPr>
      </w:pPr>
      <w:bookmarkStart w:id="52" w:name="_Toc18952"/>
      <w:r>
        <w:rPr>
          <w:rFonts w:hint="eastAsia"/>
          <w:lang w:val="en-US" w:eastAsia="zh-CN"/>
        </w:rPr>
        <w:t>现场校验</w:t>
      </w:r>
      <w:bookmarkEnd w:id="52"/>
    </w:p>
    <w:p>
      <w:pPr>
        <w:pStyle w:val="107"/>
        <w:spacing w:before="156" w:after="156"/>
        <w:rPr>
          <w:rFonts w:hint="eastAsia"/>
          <w:lang w:val="en-US" w:eastAsia="zh-CN"/>
        </w:rPr>
      </w:pPr>
      <w:r>
        <w:rPr>
          <w:rFonts w:hint="eastAsia"/>
          <w:lang w:val="en-US" w:eastAsia="zh-CN"/>
        </w:rPr>
        <w:t>装置检查</w:t>
      </w:r>
    </w:p>
    <w:p>
      <w:pPr>
        <w:pStyle w:val="58"/>
        <w:ind w:firstLine="420" w:firstLineChars="200"/>
        <w:jc w:val="both"/>
        <w:rPr>
          <w:rFonts w:hint="eastAsia"/>
          <w:color w:val="auto"/>
          <w:lang w:val="en-US" w:eastAsia="zh-CN"/>
        </w:rPr>
      </w:pPr>
      <w:r>
        <w:rPr>
          <w:rFonts w:hint="eastAsia"/>
          <w:color w:val="auto"/>
          <w:lang w:val="en-US" w:eastAsia="zh-CN"/>
        </w:rPr>
        <w:t>包括以下内容：</w:t>
      </w:r>
    </w:p>
    <w:p>
      <w:pPr>
        <w:pStyle w:val="58"/>
        <w:ind w:firstLine="420" w:firstLineChars="200"/>
        <w:jc w:val="both"/>
        <w:rPr>
          <w:rFonts w:hint="eastAsia"/>
          <w:color w:val="auto"/>
          <w:lang w:val="en-US" w:eastAsia="zh-CN"/>
        </w:rPr>
      </w:pPr>
      <w:r>
        <w:rPr>
          <w:rFonts w:hint="eastAsia"/>
          <w:color w:val="auto"/>
          <w:lang w:val="en-US" w:eastAsia="zh-CN"/>
        </w:rPr>
        <w:t>待校验接地环流在线监测装置外观是否完好，外壳有无锐口、尖角、变形、锈蚀等明显缺陷，表面电镀层是否牢固均匀光洁，是否有起层剥落现象；</w:t>
      </w:r>
    </w:p>
    <w:p>
      <w:pPr>
        <w:pStyle w:val="58"/>
        <w:ind w:firstLine="420" w:firstLineChars="200"/>
        <w:jc w:val="both"/>
        <w:rPr>
          <w:rFonts w:hint="eastAsia"/>
          <w:color w:val="auto"/>
          <w:lang w:val="en-US" w:eastAsia="zh-CN"/>
        </w:rPr>
      </w:pPr>
      <w:r>
        <w:rPr>
          <w:rFonts w:hint="eastAsia"/>
          <w:color w:val="auto"/>
          <w:lang w:val="en-US" w:eastAsia="zh-CN"/>
        </w:rPr>
        <w:t>待校验接地环流在线监测装置铭牌产品名称、厂家、型号、出厂编号、生产日期信息、检测记录是否齐全；</w:t>
      </w:r>
    </w:p>
    <w:p>
      <w:pPr>
        <w:pStyle w:val="58"/>
        <w:ind w:firstLine="420" w:firstLineChars="200"/>
        <w:jc w:val="both"/>
        <w:rPr>
          <w:rFonts w:hint="default"/>
          <w:color w:val="auto"/>
          <w:lang w:val="en-US" w:eastAsia="zh-CN"/>
        </w:rPr>
      </w:pPr>
      <w:r>
        <w:rPr>
          <w:rFonts w:hint="eastAsia"/>
          <w:color w:val="auto"/>
          <w:lang w:val="en-US" w:eastAsia="zh-CN"/>
        </w:rPr>
        <w:t>待校验接地环流在线监测装置是否包含3路接地电流传感器</w:t>
      </w:r>
      <w:r>
        <w:rPr>
          <w:rFonts w:hint="eastAsia"/>
          <w:color w:val="auto"/>
          <w:highlight w:val="none"/>
          <w:lang w:val="en-US" w:eastAsia="zh-CN"/>
        </w:rPr>
        <w:t>和1路复合电流传感器</w:t>
      </w:r>
      <w:r>
        <w:rPr>
          <w:rFonts w:hint="eastAsia"/>
          <w:color w:val="auto"/>
          <w:lang w:val="en-US" w:eastAsia="zh-CN"/>
        </w:rPr>
        <w:t>；</w:t>
      </w:r>
    </w:p>
    <w:p>
      <w:pPr>
        <w:pStyle w:val="58"/>
        <w:ind w:firstLine="420" w:firstLineChars="200"/>
        <w:jc w:val="both"/>
        <w:rPr>
          <w:rFonts w:hint="eastAsia"/>
          <w:color w:val="auto"/>
          <w:lang w:val="en-US" w:eastAsia="zh-CN"/>
        </w:rPr>
      </w:pPr>
      <w:r>
        <w:rPr>
          <w:rFonts w:hint="eastAsia"/>
          <w:color w:val="auto"/>
          <w:lang w:val="en-US" w:eastAsia="zh-CN"/>
        </w:rPr>
        <w:t>待校验接地环流在线监测装置数据是否接入指定平台，数据是否能正常展示。</w:t>
      </w:r>
    </w:p>
    <w:p>
      <w:pPr>
        <w:pStyle w:val="107"/>
        <w:spacing w:before="156" w:after="156"/>
        <w:rPr>
          <w:rFonts w:hint="eastAsia"/>
          <w:lang w:val="en-US" w:eastAsia="zh-CN"/>
        </w:rPr>
      </w:pPr>
      <w:r>
        <w:rPr>
          <w:rFonts w:hint="eastAsia"/>
          <w:color w:val="auto"/>
          <w:lang w:val="en-US" w:eastAsia="zh-CN"/>
        </w:rPr>
        <w:t>接地环流传感器</w:t>
      </w:r>
      <w:r>
        <w:rPr>
          <w:rFonts w:hint="eastAsia"/>
          <w:lang w:val="en-US" w:eastAsia="zh-CN"/>
        </w:rPr>
        <w:t>电流测量量程、测量分辨力误差和报警响应时间试验</w:t>
      </w:r>
    </w:p>
    <w:p>
      <w:pPr>
        <w:pStyle w:val="58"/>
        <w:ind w:firstLine="420" w:firstLineChars="200"/>
        <w:jc w:val="both"/>
        <w:rPr>
          <w:rFonts w:hint="default"/>
          <w:color w:val="auto"/>
          <w:lang w:val="en-US" w:eastAsia="zh-CN"/>
        </w:rPr>
      </w:pPr>
      <w:r>
        <w:rPr>
          <w:rFonts w:hint="eastAsia"/>
          <w:color w:val="auto"/>
          <w:lang w:val="en-US" w:eastAsia="zh-CN"/>
        </w:rPr>
        <w:t>接地环流传感器现场校验原理见附录A，电流测量量程和测量分辨力误差试验步骤如下：</w:t>
      </w:r>
    </w:p>
    <w:p>
      <w:pPr>
        <w:pStyle w:val="58"/>
        <w:ind w:firstLine="420" w:firstLineChars="200"/>
        <w:jc w:val="both"/>
        <w:rPr>
          <w:rFonts w:hint="default"/>
          <w:color w:val="auto"/>
          <w:lang w:val="en-US" w:eastAsia="zh-CN"/>
        </w:rPr>
      </w:pPr>
      <w:r>
        <w:rPr>
          <w:rFonts w:hint="eastAsia"/>
          <w:color w:val="auto"/>
          <w:lang w:val="en-US" w:eastAsia="zh-CN"/>
        </w:rPr>
        <w:t>a）现场校验设备接线。现场校验设备接地，</w:t>
      </w:r>
      <w:r>
        <w:rPr>
          <w:rFonts w:hint="eastAsia"/>
          <w:lang w:val="en-US" w:eastAsia="zh-CN"/>
        </w:rPr>
        <w:t>激励电流输出回路穿过待校验接地环流在线监测装置的接地环流传感器CT1，激励电流</w:t>
      </w:r>
      <w:r>
        <w:rPr>
          <w:rFonts w:hint="eastAsia"/>
          <w:i/>
          <w:iCs/>
          <w:lang w:val="en-US" w:eastAsia="zh-CN"/>
        </w:rPr>
        <w:t>I</w:t>
      </w:r>
      <w:r>
        <w:rPr>
          <w:rFonts w:hint="eastAsia"/>
          <w:vertAlign w:val="subscript"/>
          <w:lang w:val="en-US" w:eastAsia="zh-CN"/>
        </w:rPr>
        <w:t>p</w:t>
      </w:r>
      <w:r>
        <w:rPr>
          <w:rFonts w:hint="eastAsia"/>
          <w:lang w:val="en-US" w:eastAsia="zh-CN"/>
        </w:rPr>
        <w:t>输出方向与电缆金属护层接地环流I方向一致，电流传感器CT2套在接地电缆上，采集金属护层接地环流，记为</w:t>
      </w:r>
      <w:r>
        <w:rPr>
          <w:rFonts w:hint="eastAsia"/>
          <w:i/>
          <w:iCs/>
          <w:lang w:val="en-US" w:eastAsia="zh-CN"/>
        </w:rPr>
        <w:t>I</w:t>
      </w:r>
      <w:r>
        <w:rPr>
          <w:rFonts w:hint="eastAsia"/>
          <w:vertAlign w:val="subscript"/>
          <w:lang w:val="en-US" w:eastAsia="zh-CN"/>
        </w:rPr>
        <w:t>a</w:t>
      </w:r>
      <w:r>
        <w:rPr>
          <w:rFonts w:hint="eastAsia"/>
          <w:vertAlign w:val="baseline"/>
          <w:lang w:val="en-US" w:eastAsia="zh-CN"/>
        </w:rPr>
        <w:t>，CTI和CT2</w:t>
      </w:r>
      <w:r>
        <w:rPr>
          <w:rFonts w:hint="eastAsia"/>
          <w:lang w:val="en-US" w:eastAsia="zh-CN"/>
        </w:rPr>
        <w:t>两个电流传感器尽可能互相远离，</w:t>
      </w:r>
      <w:r>
        <w:rPr>
          <w:rFonts w:hint="eastAsia"/>
          <w:vertAlign w:val="baseline"/>
          <w:lang w:val="en-US" w:eastAsia="zh-CN"/>
        </w:rPr>
        <w:t>若</w:t>
      </w:r>
      <w:r>
        <w:rPr>
          <w:rFonts w:hint="eastAsia"/>
          <w:lang w:val="en-US" w:eastAsia="zh-CN"/>
        </w:rPr>
        <w:t>待校验</w:t>
      </w:r>
      <w:r>
        <w:rPr>
          <w:rFonts w:hint="eastAsia"/>
          <w:vertAlign w:val="baseline"/>
          <w:lang w:val="en-US" w:eastAsia="zh-CN"/>
        </w:rPr>
        <w:t>接地环流在线监测装置监测</w:t>
      </w:r>
      <w:r>
        <w:rPr>
          <w:rFonts w:hint="eastAsia"/>
          <w:lang w:val="en-US" w:eastAsia="zh-CN"/>
        </w:rPr>
        <w:t>交叉互联段</w:t>
      </w:r>
      <w:r>
        <w:rPr>
          <w:rFonts w:hint="eastAsia"/>
          <w:vertAlign w:val="baseline"/>
          <w:lang w:val="en-US" w:eastAsia="zh-CN"/>
        </w:rPr>
        <w:t>绝缘接头接地环流，则电流</w:t>
      </w:r>
      <w:r>
        <w:rPr>
          <w:rFonts w:hint="eastAsia"/>
          <w:lang w:val="en-US" w:eastAsia="zh-CN"/>
        </w:rPr>
        <w:t>传感器CT2应与</w:t>
      </w:r>
      <w:r>
        <w:rPr>
          <w:rFonts w:hint="eastAsia"/>
          <w:vertAlign w:val="baseline"/>
          <w:lang w:val="en-US" w:eastAsia="zh-CN"/>
        </w:rPr>
        <w:t>接地环流在线监测装置保持一致，</w:t>
      </w:r>
      <w:r>
        <w:rPr>
          <w:rFonts w:hint="eastAsia"/>
          <w:lang w:val="en-US" w:eastAsia="zh-CN"/>
        </w:rPr>
        <w:t>安装在绝缘接头同侧电缆金属护层接地引出线上，禁止安装在绝缘接头两侧金属护层接地引出线汇总的同轴电缆上；</w:t>
      </w:r>
    </w:p>
    <w:p>
      <w:pPr>
        <w:pStyle w:val="58"/>
        <w:ind w:firstLine="420" w:firstLineChars="200"/>
        <w:jc w:val="both"/>
        <w:rPr>
          <w:rFonts w:hint="default"/>
          <w:highlight w:val="none"/>
          <w:lang w:val="en-US" w:eastAsia="zh-CN"/>
        </w:rPr>
      </w:pPr>
      <w:r>
        <w:rPr>
          <w:rFonts w:hint="eastAsia"/>
          <w:color w:val="auto"/>
          <w:lang w:val="en-US" w:eastAsia="zh-CN"/>
        </w:rPr>
        <w:t>b</w:t>
      </w:r>
      <w:r>
        <w:rPr>
          <w:rFonts w:hint="eastAsia"/>
          <w:color w:val="auto"/>
          <w:highlight w:val="none"/>
          <w:lang w:val="en-US" w:eastAsia="zh-CN"/>
        </w:rPr>
        <w:t>）施加标准电流。打开现场校验设备开关，设置</w:t>
      </w:r>
      <w:r>
        <w:rPr>
          <w:rFonts w:hint="eastAsia"/>
          <w:highlight w:val="none"/>
          <w:lang w:val="en-US" w:eastAsia="zh-CN"/>
        </w:rPr>
        <w:t>标准电流</w:t>
      </w:r>
      <w:r>
        <w:rPr>
          <w:rFonts w:hint="eastAsia"/>
          <w:i/>
          <w:iCs/>
          <w:highlight w:val="none"/>
          <w:lang w:val="en-US" w:eastAsia="zh-CN"/>
        </w:rPr>
        <w:t>I</w:t>
      </w:r>
      <w:r>
        <w:rPr>
          <w:rFonts w:hint="eastAsia"/>
          <w:highlight w:val="none"/>
          <w:vertAlign w:val="subscript"/>
          <w:lang w:val="en-US" w:eastAsia="zh-CN"/>
        </w:rPr>
        <w:t>s</w:t>
      </w:r>
      <w:r>
        <w:rPr>
          <w:rFonts w:hint="eastAsia"/>
          <w:highlight w:val="none"/>
          <w:vertAlign w:val="baseline"/>
          <w:lang w:val="en-US" w:eastAsia="zh-CN"/>
        </w:rPr>
        <w:t>，</w:t>
      </w:r>
      <w:r>
        <w:rPr>
          <w:rFonts w:hint="eastAsia"/>
          <w:highlight w:val="none"/>
          <w:lang w:val="en-US" w:eastAsia="zh-CN"/>
        </w:rPr>
        <w:t>建议标准电流</w:t>
      </w:r>
      <w:r>
        <w:rPr>
          <w:rFonts w:hint="eastAsia"/>
          <w:i/>
          <w:iCs/>
          <w:highlight w:val="none"/>
          <w:lang w:val="en-US" w:eastAsia="zh-CN"/>
        </w:rPr>
        <w:t>I</w:t>
      </w:r>
      <w:r>
        <w:rPr>
          <w:rFonts w:hint="eastAsia"/>
          <w:highlight w:val="none"/>
          <w:vertAlign w:val="subscript"/>
          <w:lang w:val="en-US" w:eastAsia="zh-CN"/>
        </w:rPr>
        <w:t>s</w:t>
      </w:r>
      <w:r>
        <w:rPr>
          <w:rFonts w:hint="eastAsia"/>
          <w:highlight w:val="none"/>
          <w:lang w:val="en-US" w:eastAsia="zh-CN"/>
        </w:rPr>
        <w:t>取值如下：0.1A、0.5A、1A、10A、20A、50A、100A、200A、300A，</w:t>
      </w:r>
      <w:r>
        <w:rPr>
          <w:rFonts w:hint="eastAsia"/>
          <w:highlight w:val="none"/>
          <w:vertAlign w:val="baseline"/>
          <w:lang w:val="en-US" w:eastAsia="zh-CN"/>
        </w:rPr>
        <w:t>每次施加电流的持续</w:t>
      </w:r>
      <w:r>
        <w:rPr>
          <w:rFonts w:hint="eastAsia"/>
          <w:highlight w:val="none"/>
          <w:lang w:val="en-US" w:eastAsia="zh-CN"/>
        </w:rPr>
        <w:t>时间为</w:t>
      </w:r>
      <w:r>
        <w:rPr>
          <w:rFonts w:ascii="Arial" w:hAnsi="Arial" w:eastAsia="Arial" w:cs="Arial"/>
          <w:i w:val="0"/>
          <w:iCs w:val="0"/>
          <w:caps w:val="0"/>
          <w:color w:val="333333"/>
          <w:spacing w:val="0"/>
          <w:sz w:val="14"/>
          <w:szCs w:val="14"/>
          <w:highlight w:val="none"/>
          <w:shd w:val="clear" w:fill="FFFFFF"/>
        </w:rPr>
        <w:t>△</w:t>
      </w:r>
      <w:r>
        <w:rPr>
          <w:rFonts w:hint="eastAsia"/>
          <w:i/>
          <w:iCs/>
          <w:highlight w:val="none"/>
          <w:lang w:val="en-US" w:eastAsia="zh-CN"/>
        </w:rPr>
        <w:t>T</w:t>
      </w:r>
      <w:r>
        <w:rPr>
          <w:rFonts w:hint="eastAsia"/>
          <w:highlight w:val="none"/>
          <w:vertAlign w:val="subscript"/>
          <w:lang w:val="en-US" w:eastAsia="zh-CN"/>
        </w:rPr>
        <w:t>1</w:t>
      </w:r>
      <w:r>
        <w:rPr>
          <w:rFonts w:hint="eastAsia"/>
          <w:highlight w:val="none"/>
          <w:vertAlign w:val="baseline"/>
          <w:lang w:val="en-US" w:eastAsia="zh-CN"/>
        </w:rPr>
        <w:t>，</w:t>
      </w:r>
      <w:r>
        <w:rPr>
          <w:rFonts w:ascii="Arial" w:hAnsi="Arial" w:eastAsia="Arial" w:cs="Arial"/>
          <w:i w:val="0"/>
          <w:iCs w:val="0"/>
          <w:caps w:val="0"/>
          <w:color w:val="333333"/>
          <w:spacing w:val="0"/>
          <w:sz w:val="14"/>
          <w:szCs w:val="14"/>
          <w:highlight w:val="none"/>
          <w:shd w:val="clear" w:fill="FFFFFF"/>
        </w:rPr>
        <w:t>△</w:t>
      </w:r>
      <w:r>
        <w:rPr>
          <w:rFonts w:hint="eastAsia"/>
          <w:i/>
          <w:iCs/>
          <w:highlight w:val="none"/>
          <w:lang w:val="en-US" w:eastAsia="zh-CN"/>
        </w:rPr>
        <w:t>T</w:t>
      </w:r>
      <w:r>
        <w:rPr>
          <w:rFonts w:hint="eastAsia"/>
          <w:highlight w:val="none"/>
          <w:vertAlign w:val="subscript"/>
          <w:lang w:val="en-US" w:eastAsia="zh-CN"/>
        </w:rPr>
        <w:t>1</w:t>
      </w:r>
      <w:r>
        <w:rPr>
          <w:rFonts w:hint="eastAsia"/>
          <w:highlight w:val="none"/>
          <w:lang w:val="en-US" w:eastAsia="zh-CN"/>
        </w:rPr>
        <w:t>＞1/f，f为监测电流数据上传频率；</w:t>
      </w:r>
    </w:p>
    <w:p>
      <w:pPr>
        <w:pStyle w:val="58"/>
        <w:ind w:firstLine="420" w:firstLineChars="200"/>
        <w:jc w:val="both"/>
        <w:rPr>
          <w:rFonts w:hint="eastAsia"/>
          <w:color w:val="auto"/>
          <w:highlight w:val="none"/>
          <w:lang w:val="en-US" w:eastAsia="zh-CN"/>
        </w:rPr>
      </w:pPr>
      <w:r>
        <w:rPr>
          <w:rFonts w:hint="eastAsia"/>
          <w:color w:val="auto"/>
          <w:highlight w:val="none"/>
          <w:lang w:val="en-US" w:eastAsia="zh-CN"/>
        </w:rPr>
        <w:t>c）试验数据记录。记录</w:t>
      </w:r>
      <w:r>
        <w:rPr>
          <w:rFonts w:hint="eastAsia"/>
          <w:vertAlign w:val="baseline"/>
          <w:lang w:val="en-US" w:eastAsia="zh-CN"/>
        </w:rPr>
        <w:t>报警电流</w:t>
      </w:r>
      <w:r>
        <w:rPr>
          <w:rFonts w:hint="eastAsia"/>
          <w:highlight w:val="none"/>
          <w:vertAlign w:val="baseline"/>
          <w:lang w:val="en-US" w:eastAsia="zh-CN"/>
        </w:rPr>
        <w:t>阈值</w:t>
      </w:r>
      <w:r>
        <w:rPr>
          <w:rFonts w:hint="eastAsia"/>
          <w:i/>
          <w:iCs/>
          <w:highlight w:val="none"/>
          <w:lang w:val="en-US" w:eastAsia="zh-CN"/>
        </w:rPr>
        <w:t>I</w:t>
      </w:r>
      <w:r>
        <w:rPr>
          <w:rFonts w:hint="eastAsia"/>
          <w:highlight w:val="none"/>
          <w:vertAlign w:val="subscript"/>
          <w:lang w:val="en-US" w:eastAsia="zh-CN"/>
        </w:rPr>
        <w:t>w</w:t>
      </w:r>
      <w:r>
        <w:rPr>
          <w:rFonts w:hint="eastAsia"/>
          <w:vertAlign w:val="baseline"/>
          <w:lang w:val="en-US" w:eastAsia="zh-CN"/>
        </w:rPr>
        <w:t>、</w:t>
      </w:r>
      <w:r>
        <w:rPr>
          <w:rFonts w:hint="eastAsia"/>
          <w:highlight w:val="none"/>
          <w:lang w:val="en-US" w:eastAsia="zh-CN"/>
        </w:rPr>
        <w:t>标准电流</w:t>
      </w:r>
      <w:r>
        <w:rPr>
          <w:rFonts w:hint="eastAsia"/>
          <w:i/>
          <w:iCs/>
          <w:highlight w:val="none"/>
          <w:lang w:val="en-US" w:eastAsia="zh-CN"/>
        </w:rPr>
        <w:t>I</w:t>
      </w:r>
      <w:r>
        <w:rPr>
          <w:rFonts w:hint="eastAsia"/>
          <w:highlight w:val="none"/>
          <w:vertAlign w:val="subscript"/>
          <w:lang w:val="en-US" w:eastAsia="zh-CN"/>
        </w:rPr>
        <w:t>s</w:t>
      </w:r>
      <w:r>
        <w:rPr>
          <w:rFonts w:hint="eastAsia"/>
          <w:highlight w:val="none"/>
          <w:vertAlign w:val="baseline"/>
          <w:lang w:val="en-US" w:eastAsia="zh-CN"/>
        </w:rPr>
        <w:t>、施加标准电流时刻</w:t>
      </w:r>
      <w:r>
        <w:rPr>
          <w:rFonts w:hint="eastAsia"/>
          <w:i/>
          <w:iCs/>
          <w:highlight w:val="none"/>
          <w:lang w:val="en-US" w:eastAsia="zh-CN"/>
        </w:rPr>
        <w:t>T</w:t>
      </w:r>
      <w:r>
        <w:rPr>
          <w:rFonts w:hint="eastAsia"/>
          <w:highlight w:val="none"/>
          <w:vertAlign w:val="subscript"/>
          <w:lang w:val="en-US" w:eastAsia="zh-CN"/>
        </w:rPr>
        <w:t>1</w:t>
      </w:r>
      <w:r>
        <w:rPr>
          <w:rFonts w:hint="eastAsia"/>
          <w:highlight w:val="none"/>
          <w:vertAlign w:val="baseline"/>
          <w:lang w:val="en-US" w:eastAsia="zh-CN"/>
        </w:rPr>
        <w:t>、</w:t>
      </w:r>
      <w:r>
        <w:rPr>
          <w:rFonts w:hint="eastAsia"/>
          <w:highlight w:val="none"/>
          <w:lang w:val="en-US" w:eastAsia="zh-CN"/>
        </w:rPr>
        <w:t>监测电流</w:t>
      </w:r>
      <w:r>
        <w:rPr>
          <w:rFonts w:hint="eastAsia"/>
          <w:b w:val="0"/>
          <w:bCs w:val="0"/>
          <w:i/>
          <w:iCs/>
          <w:highlight w:val="none"/>
          <w:lang w:val="en-US" w:eastAsia="zh-CN"/>
        </w:rPr>
        <w:t>I</w:t>
      </w:r>
      <w:r>
        <w:rPr>
          <w:rFonts w:hint="eastAsia"/>
          <w:highlight w:val="none"/>
          <w:vertAlign w:val="subscript"/>
          <w:lang w:val="en-US" w:eastAsia="zh-CN"/>
        </w:rPr>
        <w:t>t</w:t>
      </w:r>
      <w:r>
        <w:rPr>
          <w:rFonts w:hint="eastAsia"/>
          <w:highlight w:val="none"/>
          <w:vertAlign w:val="baseline"/>
          <w:lang w:val="en-US" w:eastAsia="zh-CN"/>
        </w:rPr>
        <w:t>、监测电流传输至平台时刻</w:t>
      </w:r>
      <w:r>
        <w:rPr>
          <w:rFonts w:hint="eastAsia"/>
          <w:i/>
          <w:iCs/>
          <w:highlight w:val="none"/>
          <w:lang w:val="en-US" w:eastAsia="zh-CN"/>
        </w:rPr>
        <w:t>T</w:t>
      </w:r>
      <w:r>
        <w:rPr>
          <w:rFonts w:hint="eastAsia"/>
          <w:highlight w:val="none"/>
          <w:vertAlign w:val="subscript"/>
          <w:lang w:val="en-US" w:eastAsia="zh-CN"/>
        </w:rPr>
        <w:t>2</w:t>
      </w:r>
      <w:r>
        <w:rPr>
          <w:rFonts w:hint="eastAsia"/>
          <w:highlight w:val="none"/>
          <w:vertAlign w:val="baseline"/>
          <w:lang w:val="en-US" w:eastAsia="zh-CN"/>
        </w:rPr>
        <w:t>、</w:t>
      </w:r>
      <w:r>
        <w:rPr>
          <w:rFonts w:hint="eastAsia"/>
          <w:b w:val="0"/>
          <w:bCs w:val="0"/>
          <w:i w:val="0"/>
          <w:iCs w:val="0"/>
          <w:lang w:val="en-US" w:eastAsia="zh-CN"/>
        </w:rPr>
        <w:t>监测电流误差绝对值|</w:t>
      </w:r>
      <w:r>
        <w:rPr>
          <w:rFonts w:hint="eastAsia"/>
          <w:b w:val="0"/>
          <w:bCs w:val="0"/>
          <w:i/>
          <w:iCs/>
          <w:lang w:val="en-US" w:eastAsia="zh-CN"/>
        </w:rPr>
        <w:t>I</w:t>
      </w:r>
      <w:r>
        <w:rPr>
          <w:rFonts w:hint="eastAsia"/>
          <w:vertAlign w:val="subscript"/>
          <w:lang w:val="en-US" w:eastAsia="zh-CN"/>
        </w:rPr>
        <w:t>t</w:t>
      </w:r>
      <w:r>
        <w:rPr>
          <w:rFonts w:hint="eastAsia"/>
          <w:vertAlign w:val="baseline"/>
          <w:lang w:val="en-US" w:eastAsia="zh-CN"/>
        </w:rPr>
        <w:t>-</w:t>
      </w:r>
      <w:r>
        <w:rPr>
          <w:rFonts w:hint="eastAsia"/>
          <w:i/>
          <w:iCs/>
          <w:lang w:val="en-US" w:eastAsia="zh-CN"/>
        </w:rPr>
        <w:t>I</w:t>
      </w:r>
      <w:r>
        <w:rPr>
          <w:rFonts w:hint="eastAsia"/>
          <w:vertAlign w:val="subscript"/>
          <w:lang w:val="en-US" w:eastAsia="zh-CN"/>
        </w:rPr>
        <w:t>s</w:t>
      </w:r>
      <w:r>
        <w:rPr>
          <w:rFonts w:hint="eastAsia"/>
          <w:b w:val="0"/>
          <w:bCs w:val="0"/>
          <w:i w:val="0"/>
          <w:iCs w:val="0"/>
          <w:lang w:val="en-US" w:eastAsia="zh-CN"/>
        </w:rPr>
        <w:t>|、监测电流误差要求值</w:t>
      </w:r>
      <w:r>
        <w:rPr>
          <w:rFonts w:hint="eastAsia"/>
          <w:color w:val="auto"/>
          <w:highlight w:val="none"/>
          <w:lang w:val="en-US" w:eastAsia="zh-CN"/>
        </w:rPr>
        <w:t>5%</w:t>
      </w:r>
      <w:r>
        <w:rPr>
          <w:rFonts w:hint="eastAsia"/>
          <w:i/>
          <w:iCs/>
          <w:lang w:val="en-US" w:eastAsia="zh-CN"/>
        </w:rPr>
        <w:t>I</w:t>
      </w:r>
      <w:r>
        <w:rPr>
          <w:rFonts w:hint="eastAsia"/>
          <w:vertAlign w:val="subscript"/>
          <w:lang w:val="en-US" w:eastAsia="zh-CN"/>
        </w:rPr>
        <w:t>s</w:t>
      </w:r>
      <w:r>
        <w:rPr>
          <w:rFonts w:hint="eastAsia"/>
          <w:color w:val="auto"/>
          <w:highlight w:val="none"/>
          <w:lang w:val="en-US" w:eastAsia="zh-CN"/>
        </w:rPr>
        <w:t>+0.1A</w:t>
      </w:r>
      <w:r>
        <w:rPr>
          <w:rFonts w:hint="eastAsia"/>
          <w:vertAlign w:val="baseline"/>
          <w:lang w:val="en-US" w:eastAsia="zh-CN"/>
        </w:rPr>
        <w:t>、</w:t>
      </w:r>
      <w:r>
        <w:rPr>
          <w:rFonts w:hint="eastAsia"/>
          <w:i/>
          <w:iCs/>
          <w:highlight w:val="none"/>
          <w:lang w:val="en-US" w:eastAsia="zh-CN"/>
        </w:rPr>
        <w:t>I</w:t>
      </w:r>
      <w:r>
        <w:rPr>
          <w:rFonts w:hint="eastAsia"/>
          <w:highlight w:val="none"/>
          <w:vertAlign w:val="subscript"/>
          <w:lang w:val="en-US" w:eastAsia="zh-CN"/>
        </w:rPr>
        <w:t>t</w:t>
      </w:r>
      <w:r>
        <w:rPr>
          <w:rFonts w:hint="eastAsia"/>
          <w:highlight w:val="none"/>
          <w:vertAlign w:val="baseline"/>
          <w:lang w:val="en-US" w:eastAsia="zh-CN"/>
        </w:rPr>
        <w:t>≥</w:t>
      </w:r>
      <w:r>
        <w:rPr>
          <w:rFonts w:hint="eastAsia"/>
          <w:i/>
          <w:iCs/>
          <w:highlight w:val="none"/>
          <w:lang w:val="en-US" w:eastAsia="zh-CN"/>
        </w:rPr>
        <w:t>I</w:t>
      </w:r>
      <w:r>
        <w:rPr>
          <w:rFonts w:hint="eastAsia"/>
          <w:highlight w:val="none"/>
          <w:vertAlign w:val="subscript"/>
          <w:lang w:val="en-US" w:eastAsia="zh-CN"/>
        </w:rPr>
        <w:t>w</w:t>
      </w:r>
      <w:r>
        <w:rPr>
          <w:rFonts w:hint="eastAsia"/>
          <w:highlight w:val="none"/>
          <w:vertAlign w:val="baseline"/>
          <w:lang w:val="en-US" w:eastAsia="zh-CN"/>
        </w:rPr>
        <w:t>时的报警响应时间</w:t>
      </w:r>
      <w:r>
        <w:rPr>
          <w:rFonts w:hint="eastAsia"/>
          <w:i/>
          <w:iCs/>
          <w:highlight w:val="none"/>
          <w:lang w:val="en-US" w:eastAsia="zh-CN"/>
        </w:rPr>
        <w:t>T</w:t>
      </w:r>
      <w:r>
        <w:rPr>
          <w:rFonts w:hint="eastAsia"/>
          <w:highlight w:val="none"/>
          <w:vertAlign w:val="subscript"/>
          <w:lang w:val="en-US" w:eastAsia="zh-CN"/>
        </w:rPr>
        <w:t>2</w:t>
      </w:r>
      <w:r>
        <w:rPr>
          <w:rFonts w:hint="eastAsia"/>
          <w:vertAlign w:val="baseline"/>
          <w:lang w:val="en-US" w:eastAsia="zh-CN"/>
        </w:rPr>
        <w:t>-</w:t>
      </w:r>
      <w:r>
        <w:rPr>
          <w:rFonts w:hint="eastAsia"/>
          <w:i/>
          <w:iCs/>
          <w:highlight w:val="none"/>
          <w:lang w:val="en-US" w:eastAsia="zh-CN"/>
        </w:rPr>
        <w:t>T</w:t>
      </w:r>
      <w:r>
        <w:rPr>
          <w:rFonts w:hint="eastAsia"/>
          <w:highlight w:val="none"/>
          <w:vertAlign w:val="subscript"/>
          <w:lang w:val="en-US" w:eastAsia="zh-CN"/>
        </w:rPr>
        <w:t>1</w:t>
      </w:r>
      <w:r>
        <w:rPr>
          <w:rFonts w:hint="eastAsia"/>
          <w:color w:val="auto"/>
          <w:highlight w:val="none"/>
          <w:lang w:val="en-US" w:eastAsia="zh-CN"/>
        </w:rPr>
        <w:t>；</w:t>
      </w:r>
    </w:p>
    <w:p>
      <w:pPr>
        <w:pStyle w:val="58"/>
        <w:ind w:firstLine="420" w:firstLineChars="200"/>
        <w:jc w:val="both"/>
        <w:rPr>
          <w:rFonts w:hint="eastAsia"/>
          <w:color w:val="auto"/>
          <w:lang w:val="en-US" w:eastAsia="zh-CN"/>
        </w:rPr>
      </w:pPr>
      <w:r>
        <w:rPr>
          <w:rFonts w:hint="eastAsia"/>
          <w:color w:val="auto"/>
          <w:lang w:val="en-US" w:eastAsia="zh-CN"/>
        </w:rPr>
        <w:t>d）试验结束。关闭现场校验设备开关，先拆除</w:t>
      </w:r>
      <w:r>
        <w:rPr>
          <w:rFonts w:hint="eastAsia" w:cs="Times New Roman"/>
          <w:color w:val="auto"/>
          <w:highlight w:val="none"/>
          <w:lang w:val="en-US" w:eastAsia="zh-CN"/>
        </w:rPr>
        <w:t>激励电流输出回路、</w:t>
      </w:r>
      <w:r>
        <w:rPr>
          <w:rFonts w:hint="eastAsia"/>
          <w:lang w:val="en-US" w:eastAsia="zh-CN"/>
        </w:rPr>
        <w:t>电流传感器CT2</w:t>
      </w:r>
      <w:r>
        <w:rPr>
          <w:rFonts w:hint="eastAsia"/>
          <w:color w:val="auto"/>
          <w:lang w:val="en-US" w:eastAsia="zh-CN"/>
        </w:rPr>
        <w:t>，后拆除接地线，现场校验完毕，试验人员安全撤离。</w:t>
      </w:r>
    </w:p>
    <w:p>
      <w:pPr>
        <w:pStyle w:val="107"/>
        <w:spacing w:before="156" w:after="156"/>
        <w:rPr>
          <w:rFonts w:hint="eastAsia"/>
          <w:lang w:val="en-US" w:eastAsia="zh-CN"/>
        </w:rPr>
      </w:pPr>
      <w:r>
        <w:rPr>
          <w:rFonts w:hint="eastAsia"/>
          <w:color w:val="auto"/>
          <w:lang w:val="en-US" w:eastAsia="zh-CN"/>
        </w:rPr>
        <w:t>复合电流传感器</w:t>
      </w:r>
      <w:r>
        <w:rPr>
          <w:rFonts w:hint="eastAsia"/>
          <w:lang w:val="en-US" w:eastAsia="zh-CN"/>
        </w:rPr>
        <w:t>电流测量量程、测量分辨力</w:t>
      </w:r>
      <w:r>
        <w:rPr>
          <w:rFonts w:hint="eastAsia"/>
          <w:color w:val="auto"/>
          <w:lang w:val="en-US" w:eastAsia="zh-CN"/>
        </w:rPr>
        <w:t>误差</w:t>
      </w:r>
      <w:r>
        <w:rPr>
          <w:rFonts w:hint="eastAsia"/>
          <w:lang w:val="en-US" w:eastAsia="zh-CN"/>
        </w:rPr>
        <w:t>和报警响应时间试验</w:t>
      </w:r>
    </w:p>
    <w:p>
      <w:pPr>
        <w:pStyle w:val="58"/>
        <w:ind w:firstLine="420" w:firstLineChars="200"/>
        <w:jc w:val="both"/>
        <w:rPr>
          <w:rFonts w:hint="default"/>
          <w:color w:val="auto"/>
          <w:lang w:val="en-US" w:eastAsia="zh-CN"/>
        </w:rPr>
      </w:pPr>
      <w:r>
        <w:rPr>
          <w:rFonts w:hint="eastAsia"/>
          <w:color w:val="auto"/>
          <w:lang w:val="en-US" w:eastAsia="zh-CN"/>
        </w:rPr>
        <w:t>复合电流传感器现场校验原理见附录B，电流测量量程和测量分辨力误差试验步骤如下：</w:t>
      </w:r>
    </w:p>
    <w:p>
      <w:pPr>
        <w:pStyle w:val="58"/>
        <w:ind w:firstLine="420" w:firstLineChars="200"/>
        <w:jc w:val="both"/>
        <w:rPr>
          <w:rFonts w:hint="default"/>
          <w:color w:val="auto"/>
          <w:lang w:val="en-US" w:eastAsia="zh-CN"/>
        </w:rPr>
      </w:pPr>
      <w:r>
        <w:rPr>
          <w:rFonts w:hint="eastAsia"/>
          <w:color w:val="auto"/>
          <w:lang w:val="en-US" w:eastAsia="zh-CN"/>
        </w:rPr>
        <w:t>a）现场校验设备接线。现场校验设备接地，</w:t>
      </w:r>
      <w:r>
        <w:rPr>
          <w:rFonts w:hint="eastAsia"/>
          <w:lang w:val="en-US" w:eastAsia="zh-CN"/>
        </w:rPr>
        <w:t>激励电流输出回路穿过待校验接地环流在线监测装置的复合电流传感器CT3，激励电流</w:t>
      </w:r>
      <w:r>
        <w:rPr>
          <w:rFonts w:hint="eastAsia"/>
          <w:i/>
          <w:iCs/>
          <w:lang w:val="en-US" w:eastAsia="zh-CN"/>
        </w:rPr>
        <w:t>I</w:t>
      </w:r>
      <w:r>
        <w:rPr>
          <w:rFonts w:hint="eastAsia"/>
          <w:vertAlign w:val="subscript"/>
          <w:lang w:val="en-US" w:eastAsia="zh-CN"/>
        </w:rPr>
        <w:t>p</w:t>
      </w:r>
      <w:r>
        <w:rPr>
          <w:rFonts w:hint="eastAsia"/>
          <w:lang w:val="en-US" w:eastAsia="zh-CN"/>
        </w:rPr>
        <w:t>输出方向与</w:t>
      </w:r>
      <w:r>
        <w:rPr>
          <w:rFonts w:hint="eastAsia"/>
          <w:color w:val="auto"/>
          <w:highlight w:val="none"/>
          <w:lang w:val="en-US" w:eastAsia="zh-CN"/>
        </w:rPr>
        <w:t>复合电流</w:t>
      </w:r>
      <w:r>
        <w:rPr>
          <w:rFonts w:hint="eastAsia"/>
          <w:i/>
          <w:iCs/>
          <w:lang w:val="en-US" w:eastAsia="zh-CN"/>
        </w:rPr>
        <w:t>I</w:t>
      </w:r>
      <w:r>
        <w:rPr>
          <w:rFonts w:hint="eastAsia"/>
          <w:vertAlign w:val="subscript"/>
          <w:lang w:val="en-US" w:eastAsia="zh-CN"/>
        </w:rPr>
        <w:t>f</w:t>
      </w:r>
      <w:r>
        <w:rPr>
          <w:rFonts w:hint="eastAsia"/>
          <w:lang w:val="en-US" w:eastAsia="zh-CN"/>
        </w:rPr>
        <w:t>方向一致，电流传感器CT2套在电缆本体上，采集复合电流，记为</w:t>
      </w:r>
      <w:r>
        <w:rPr>
          <w:rFonts w:hint="eastAsia"/>
          <w:i/>
          <w:iCs/>
          <w:lang w:val="en-US" w:eastAsia="zh-CN"/>
        </w:rPr>
        <w:t>I</w:t>
      </w:r>
      <w:r>
        <w:rPr>
          <w:rFonts w:hint="eastAsia"/>
          <w:vertAlign w:val="subscript"/>
          <w:lang w:val="en-US" w:eastAsia="zh-CN"/>
        </w:rPr>
        <w:t>a</w:t>
      </w:r>
      <w:r>
        <w:rPr>
          <w:rFonts w:hint="eastAsia"/>
          <w:vertAlign w:val="baseline"/>
          <w:lang w:val="en-US" w:eastAsia="zh-CN"/>
        </w:rPr>
        <w:t>，CT3和CT2</w:t>
      </w:r>
      <w:r>
        <w:rPr>
          <w:rFonts w:hint="eastAsia"/>
          <w:lang w:val="en-US" w:eastAsia="zh-CN"/>
        </w:rPr>
        <w:t>两个电流传感器尽可能互相远离；</w:t>
      </w:r>
    </w:p>
    <w:p>
      <w:pPr>
        <w:pStyle w:val="58"/>
        <w:ind w:firstLine="420" w:firstLineChars="200"/>
        <w:jc w:val="both"/>
        <w:rPr>
          <w:rFonts w:hint="default"/>
          <w:highlight w:val="none"/>
          <w:lang w:val="en-US" w:eastAsia="zh-CN"/>
        </w:rPr>
      </w:pPr>
      <w:r>
        <w:rPr>
          <w:rFonts w:hint="eastAsia"/>
          <w:color w:val="auto"/>
          <w:lang w:val="en-US" w:eastAsia="zh-CN"/>
        </w:rPr>
        <w:t>b</w:t>
      </w:r>
      <w:r>
        <w:rPr>
          <w:rFonts w:hint="eastAsia"/>
          <w:color w:val="auto"/>
          <w:highlight w:val="none"/>
          <w:lang w:val="en-US" w:eastAsia="zh-CN"/>
        </w:rPr>
        <w:t>）施加标准电流。打开现场校验设备开关，设置</w:t>
      </w:r>
      <w:r>
        <w:rPr>
          <w:rFonts w:hint="eastAsia"/>
          <w:highlight w:val="none"/>
          <w:lang w:val="en-US" w:eastAsia="zh-CN"/>
        </w:rPr>
        <w:t>标准电流</w:t>
      </w:r>
      <w:r>
        <w:rPr>
          <w:rFonts w:hint="eastAsia"/>
          <w:i/>
          <w:iCs/>
          <w:highlight w:val="none"/>
          <w:lang w:val="en-US" w:eastAsia="zh-CN"/>
        </w:rPr>
        <w:t>I</w:t>
      </w:r>
      <w:r>
        <w:rPr>
          <w:rFonts w:hint="eastAsia"/>
          <w:highlight w:val="none"/>
          <w:vertAlign w:val="subscript"/>
          <w:lang w:val="en-US" w:eastAsia="zh-CN"/>
        </w:rPr>
        <w:t>s</w:t>
      </w:r>
      <w:r>
        <w:rPr>
          <w:rFonts w:hint="eastAsia"/>
          <w:highlight w:val="none"/>
          <w:vertAlign w:val="baseline"/>
          <w:lang w:val="en-US" w:eastAsia="zh-CN"/>
        </w:rPr>
        <w:t>，</w:t>
      </w:r>
      <w:r>
        <w:rPr>
          <w:rFonts w:hint="eastAsia"/>
          <w:highlight w:val="none"/>
          <w:lang w:val="en-US" w:eastAsia="zh-CN"/>
        </w:rPr>
        <w:t>建议标准电流</w:t>
      </w:r>
      <w:r>
        <w:rPr>
          <w:rFonts w:hint="eastAsia"/>
          <w:i/>
          <w:iCs/>
          <w:highlight w:val="none"/>
          <w:lang w:val="en-US" w:eastAsia="zh-CN"/>
        </w:rPr>
        <w:t>I</w:t>
      </w:r>
      <w:r>
        <w:rPr>
          <w:rFonts w:hint="eastAsia"/>
          <w:highlight w:val="none"/>
          <w:vertAlign w:val="subscript"/>
          <w:lang w:val="en-US" w:eastAsia="zh-CN"/>
        </w:rPr>
        <w:t>s</w:t>
      </w:r>
      <w:r>
        <w:rPr>
          <w:rFonts w:hint="eastAsia"/>
          <w:highlight w:val="none"/>
          <w:lang w:val="en-US" w:eastAsia="zh-CN"/>
        </w:rPr>
        <w:t>取值如下：1A、10A、50A、100A、200A、400A、800A、1200A、1600A、2000A，</w:t>
      </w:r>
      <w:r>
        <w:rPr>
          <w:rFonts w:hint="eastAsia"/>
          <w:highlight w:val="none"/>
          <w:vertAlign w:val="baseline"/>
          <w:lang w:val="en-US" w:eastAsia="zh-CN"/>
        </w:rPr>
        <w:t>每次施加电流的持续</w:t>
      </w:r>
      <w:r>
        <w:rPr>
          <w:rFonts w:hint="eastAsia"/>
          <w:highlight w:val="none"/>
          <w:lang w:val="en-US" w:eastAsia="zh-CN"/>
        </w:rPr>
        <w:t>时间为</w:t>
      </w:r>
      <w:r>
        <w:rPr>
          <w:rFonts w:ascii="Arial" w:hAnsi="Arial" w:eastAsia="Arial" w:cs="Arial"/>
          <w:i w:val="0"/>
          <w:iCs w:val="0"/>
          <w:caps w:val="0"/>
          <w:color w:val="333333"/>
          <w:spacing w:val="0"/>
          <w:sz w:val="14"/>
          <w:szCs w:val="14"/>
          <w:highlight w:val="none"/>
          <w:shd w:val="clear" w:fill="FFFFFF"/>
        </w:rPr>
        <w:t>△</w:t>
      </w:r>
      <w:r>
        <w:rPr>
          <w:rFonts w:hint="eastAsia"/>
          <w:i/>
          <w:iCs/>
          <w:highlight w:val="none"/>
          <w:lang w:val="en-US" w:eastAsia="zh-CN"/>
        </w:rPr>
        <w:t>T</w:t>
      </w:r>
      <w:r>
        <w:rPr>
          <w:rFonts w:hint="eastAsia"/>
          <w:highlight w:val="none"/>
          <w:vertAlign w:val="subscript"/>
          <w:lang w:val="en-US" w:eastAsia="zh-CN"/>
        </w:rPr>
        <w:t>1</w:t>
      </w:r>
      <w:r>
        <w:rPr>
          <w:rFonts w:hint="eastAsia"/>
          <w:highlight w:val="none"/>
          <w:vertAlign w:val="baseline"/>
          <w:lang w:val="en-US" w:eastAsia="zh-CN"/>
        </w:rPr>
        <w:t>，</w:t>
      </w:r>
      <w:r>
        <w:rPr>
          <w:rFonts w:ascii="Arial" w:hAnsi="Arial" w:eastAsia="Arial" w:cs="Arial"/>
          <w:i w:val="0"/>
          <w:iCs w:val="0"/>
          <w:caps w:val="0"/>
          <w:color w:val="333333"/>
          <w:spacing w:val="0"/>
          <w:sz w:val="14"/>
          <w:szCs w:val="14"/>
          <w:highlight w:val="none"/>
          <w:shd w:val="clear" w:fill="FFFFFF"/>
        </w:rPr>
        <w:t>△</w:t>
      </w:r>
      <w:r>
        <w:rPr>
          <w:rFonts w:hint="eastAsia"/>
          <w:i/>
          <w:iCs/>
          <w:highlight w:val="none"/>
          <w:lang w:val="en-US" w:eastAsia="zh-CN"/>
        </w:rPr>
        <w:t>T</w:t>
      </w:r>
      <w:r>
        <w:rPr>
          <w:rFonts w:hint="eastAsia"/>
          <w:highlight w:val="none"/>
          <w:vertAlign w:val="subscript"/>
          <w:lang w:val="en-US" w:eastAsia="zh-CN"/>
        </w:rPr>
        <w:t>1</w:t>
      </w:r>
      <w:r>
        <w:rPr>
          <w:rFonts w:hint="eastAsia"/>
          <w:highlight w:val="none"/>
          <w:lang w:val="en-US" w:eastAsia="zh-CN"/>
        </w:rPr>
        <w:t>＞1/f，f为监测电流数据上传频率；</w:t>
      </w:r>
    </w:p>
    <w:p>
      <w:pPr>
        <w:pStyle w:val="58"/>
        <w:ind w:firstLine="420" w:firstLineChars="200"/>
        <w:jc w:val="both"/>
        <w:rPr>
          <w:rFonts w:hint="eastAsia"/>
          <w:color w:val="auto"/>
          <w:highlight w:val="none"/>
          <w:lang w:val="en-US" w:eastAsia="zh-CN"/>
        </w:rPr>
      </w:pPr>
      <w:r>
        <w:rPr>
          <w:rFonts w:hint="eastAsia"/>
          <w:color w:val="auto"/>
          <w:highlight w:val="none"/>
          <w:lang w:val="en-US" w:eastAsia="zh-CN"/>
        </w:rPr>
        <w:t>c）试验数据记录。记录</w:t>
      </w:r>
      <w:r>
        <w:rPr>
          <w:rFonts w:hint="eastAsia"/>
          <w:vertAlign w:val="baseline"/>
          <w:lang w:val="en-US" w:eastAsia="zh-CN"/>
        </w:rPr>
        <w:t>报警电流</w:t>
      </w:r>
      <w:r>
        <w:rPr>
          <w:rFonts w:hint="eastAsia"/>
          <w:highlight w:val="none"/>
          <w:vertAlign w:val="baseline"/>
          <w:lang w:val="en-US" w:eastAsia="zh-CN"/>
        </w:rPr>
        <w:t>阈值</w:t>
      </w:r>
      <w:r>
        <w:rPr>
          <w:rFonts w:hint="eastAsia"/>
          <w:i/>
          <w:iCs/>
          <w:highlight w:val="none"/>
          <w:lang w:val="en-US" w:eastAsia="zh-CN"/>
        </w:rPr>
        <w:t>I</w:t>
      </w:r>
      <w:r>
        <w:rPr>
          <w:rFonts w:hint="eastAsia"/>
          <w:highlight w:val="none"/>
          <w:vertAlign w:val="subscript"/>
          <w:lang w:val="en-US" w:eastAsia="zh-CN"/>
        </w:rPr>
        <w:t>w</w:t>
      </w:r>
      <w:r>
        <w:rPr>
          <w:rFonts w:hint="eastAsia"/>
          <w:vertAlign w:val="baseline"/>
          <w:lang w:val="en-US" w:eastAsia="zh-CN"/>
        </w:rPr>
        <w:t>、</w:t>
      </w:r>
      <w:r>
        <w:rPr>
          <w:rFonts w:hint="eastAsia"/>
          <w:highlight w:val="none"/>
          <w:lang w:val="en-US" w:eastAsia="zh-CN"/>
        </w:rPr>
        <w:t>标准电流</w:t>
      </w:r>
      <w:r>
        <w:rPr>
          <w:rFonts w:hint="eastAsia"/>
          <w:i/>
          <w:iCs/>
          <w:highlight w:val="none"/>
          <w:lang w:val="en-US" w:eastAsia="zh-CN"/>
        </w:rPr>
        <w:t>I</w:t>
      </w:r>
      <w:r>
        <w:rPr>
          <w:rFonts w:hint="eastAsia"/>
          <w:highlight w:val="none"/>
          <w:vertAlign w:val="subscript"/>
          <w:lang w:val="en-US" w:eastAsia="zh-CN"/>
        </w:rPr>
        <w:t>s</w:t>
      </w:r>
      <w:r>
        <w:rPr>
          <w:rFonts w:hint="eastAsia"/>
          <w:highlight w:val="none"/>
          <w:vertAlign w:val="baseline"/>
          <w:lang w:val="en-US" w:eastAsia="zh-CN"/>
        </w:rPr>
        <w:t>、施加标准电流时刻</w:t>
      </w:r>
      <w:r>
        <w:rPr>
          <w:rFonts w:hint="eastAsia"/>
          <w:i/>
          <w:iCs/>
          <w:highlight w:val="none"/>
          <w:lang w:val="en-US" w:eastAsia="zh-CN"/>
        </w:rPr>
        <w:t>T</w:t>
      </w:r>
      <w:r>
        <w:rPr>
          <w:rFonts w:hint="eastAsia"/>
          <w:highlight w:val="none"/>
          <w:vertAlign w:val="subscript"/>
          <w:lang w:val="en-US" w:eastAsia="zh-CN"/>
        </w:rPr>
        <w:t>1</w:t>
      </w:r>
      <w:r>
        <w:rPr>
          <w:rFonts w:hint="eastAsia"/>
          <w:highlight w:val="none"/>
          <w:vertAlign w:val="baseline"/>
          <w:lang w:val="en-US" w:eastAsia="zh-CN"/>
        </w:rPr>
        <w:t>、</w:t>
      </w:r>
      <w:r>
        <w:rPr>
          <w:rFonts w:hint="eastAsia"/>
          <w:highlight w:val="none"/>
          <w:lang w:val="en-US" w:eastAsia="zh-CN"/>
        </w:rPr>
        <w:t>监测电流</w:t>
      </w:r>
      <w:r>
        <w:rPr>
          <w:rFonts w:hint="eastAsia"/>
          <w:b w:val="0"/>
          <w:bCs w:val="0"/>
          <w:i/>
          <w:iCs/>
          <w:highlight w:val="none"/>
          <w:lang w:val="en-US" w:eastAsia="zh-CN"/>
        </w:rPr>
        <w:t>I</w:t>
      </w:r>
      <w:r>
        <w:rPr>
          <w:rFonts w:hint="eastAsia"/>
          <w:highlight w:val="none"/>
          <w:vertAlign w:val="subscript"/>
          <w:lang w:val="en-US" w:eastAsia="zh-CN"/>
        </w:rPr>
        <w:t>t</w:t>
      </w:r>
      <w:r>
        <w:rPr>
          <w:rFonts w:hint="eastAsia"/>
          <w:highlight w:val="none"/>
          <w:vertAlign w:val="baseline"/>
          <w:lang w:val="en-US" w:eastAsia="zh-CN"/>
        </w:rPr>
        <w:t>、监测电流传输至平台时刻</w:t>
      </w:r>
      <w:r>
        <w:rPr>
          <w:rFonts w:hint="eastAsia"/>
          <w:i/>
          <w:iCs/>
          <w:highlight w:val="none"/>
          <w:lang w:val="en-US" w:eastAsia="zh-CN"/>
        </w:rPr>
        <w:t>T</w:t>
      </w:r>
      <w:r>
        <w:rPr>
          <w:rFonts w:hint="eastAsia"/>
          <w:highlight w:val="none"/>
          <w:vertAlign w:val="subscript"/>
          <w:lang w:val="en-US" w:eastAsia="zh-CN"/>
        </w:rPr>
        <w:t>2</w:t>
      </w:r>
      <w:r>
        <w:rPr>
          <w:rFonts w:hint="eastAsia"/>
          <w:highlight w:val="none"/>
          <w:vertAlign w:val="baseline"/>
          <w:lang w:val="en-US" w:eastAsia="zh-CN"/>
        </w:rPr>
        <w:t>、</w:t>
      </w:r>
      <w:r>
        <w:rPr>
          <w:rFonts w:hint="eastAsia"/>
          <w:b w:val="0"/>
          <w:bCs w:val="0"/>
          <w:i w:val="0"/>
          <w:iCs w:val="0"/>
          <w:lang w:val="en-US" w:eastAsia="zh-CN"/>
        </w:rPr>
        <w:t>监测电流误差绝对值|</w:t>
      </w:r>
      <w:r>
        <w:rPr>
          <w:rFonts w:hint="eastAsia"/>
          <w:b w:val="0"/>
          <w:bCs w:val="0"/>
          <w:i/>
          <w:iCs/>
          <w:lang w:val="en-US" w:eastAsia="zh-CN"/>
        </w:rPr>
        <w:t>I</w:t>
      </w:r>
      <w:r>
        <w:rPr>
          <w:rFonts w:hint="eastAsia"/>
          <w:vertAlign w:val="subscript"/>
          <w:lang w:val="en-US" w:eastAsia="zh-CN"/>
        </w:rPr>
        <w:t>t</w:t>
      </w:r>
      <w:r>
        <w:rPr>
          <w:rFonts w:hint="eastAsia"/>
          <w:vertAlign w:val="baseline"/>
          <w:lang w:val="en-US" w:eastAsia="zh-CN"/>
        </w:rPr>
        <w:t>-</w:t>
      </w:r>
      <w:r>
        <w:rPr>
          <w:rFonts w:hint="eastAsia"/>
          <w:i/>
          <w:iCs/>
          <w:lang w:val="en-US" w:eastAsia="zh-CN"/>
        </w:rPr>
        <w:t>I</w:t>
      </w:r>
      <w:r>
        <w:rPr>
          <w:rFonts w:hint="eastAsia"/>
          <w:vertAlign w:val="subscript"/>
          <w:lang w:val="en-US" w:eastAsia="zh-CN"/>
        </w:rPr>
        <w:t>s</w:t>
      </w:r>
      <w:r>
        <w:rPr>
          <w:rFonts w:hint="eastAsia"/>
          <w:b w:val="0"/>
          <w:bCs w:val="0"/>
          <w:i w:val="0"/>
          <w:iCs w:val="0"/>
          <w:lang w:val="en-US" w:eastAsia="zh-CN"/>
        </w:rPr>
        <w:t>|、监测电流误差要求值</w:t>
      </w:r>
      <w:r>
        <w:rPr>
          <w:rFonts w:hint="eastAsia"/>
          <w:color w:val="auto"/>
          <w:highlight w:val="none"/>
          <w:lang w:val="en-US" w:eastAsia="zh-CN"/>
        </w:rPr>
        <w:t>5%</w:t>
      </w:r>
      <w:r>
        <w:rPr>
          <w:rFonts w:hint="eastAsia"/>
          <w:i/>
          <w:iCs/>
          <w:lang w:val="en-US" w:eastAsia="zh-CN"/>
        </w:rPr>
        <w:t>I</w:t>
      </w:r>
      <w:r>
        <w:rPr>
          <w:rFonts w:hint="eastAsia"/>
          <w:vertAlign w:val="subscript"/>
          <w:lang w:val="en-US" w:eastAsia="zh-CN"/>
        </w:rPr>
        <w:t>s</w:t>
      </w:r>
      <w:r>
        <w:rPr>
          <w:rFonts w:hint="eastAsia"/>
          <w:color w:val="auto"/>
          <w:highlight w:val="none"/>
          <w:lang w:val="en-US" w:eastAsia="zh-CN"/>
        </w:rPr>
        <w:t>+0.1A</w:t>
      </w:r>
      <w:r>
        <w:rPr>
          <w:rFonts w:hint="eastAsia"/>
          <w:vertAlign w:val="baseline"/>
          <w:lang w:val="en-US" w:eastAsia="zh-CN"/>
        </w:rPr>
        <w:t>、</w:t>
      </w:r>
      <w:r>
        <w:rPr>
          <w:rFonts w:hint="eastAsia"/>
          <w:i/>
          <w:iCs/>
          <w:highlight w:val="none"/>
          <w:lang w:val="en-US" w:eastAsia="zh-CN"/>
        </w:rPr>
        <w:t>I</w:t>
      </w:r>
      <w:r>
        <w:rPr>
          <w:rFonts w:hint="eastAsia"/>
          <w:highlight w:val="none"/>
          <w:vertAlign w:val="subscript"/>
          <w:lang w:val="en-US" w:eastAsia="zh-CN"/>
        </w:rPr>
        <w:t>t</w:t>
      </w:r>
      <w:r>
        <w:rPr>
          <w:rFonts w:hint="eastAsia"/>
          <w:highlight w:val="none"/>
          <w:vertAlign w:val="baseline"/>
          <w:lang w:val="en-US" w:eastAsia="zh-CN"/>
        </w:rPr>
        <w:t>≥</w:t>
      </w:r>
      <w:r>
        <w:rPr>
          <w:rFonts w:hint="eastAsia"/>
          <w:i/>
          <w:iCs/>
          <w:highlight w:val="none"/>
          <w:lang w:val="en-US" w:eastAsia="zh-CN"/>
        </w:rPr>
        <w:t>I</w:t>
      </w:r>
      <w:r>
        <w:rPr>
          <w:rFonts w:hint="eastAsia"/>
          <w:highlight w:val="none"/>
          <w:vertAlign w:val="subscript"/>
          <w:lang w:val="en-US" w:eastAsia="zh-CN"/>
        </w:rPr>
        <w:t>w</w:t>
      </w:r>
      <w:r>
        <w:rPr>
          <w:rFonts w:hint="eastAsia"/>
          <w:highlight w:val="none"/>
          <w:vertAlign w:val="baseline"/>
          <w:lang w:val="en-US" w:eastAsia="zh-CN"/>
        </w:rPr>
        <w:t>时的报警响应时间</w:t>
      </w:r>
      <w:r>
        <w:rPr>
          <w:rFonts w:hint="eastAsia"/>
          <w:i/>
          <w:iCs/>
          <w:highlight w:val="none"/>
          <w:lang w:val="en-US" w:eastAsia="zh-CN"/>
        </w:rPr>
        <w:t>T</w:t>
      </w:r>
      <w:r>
        <w:rPr>
          <w:rFonts w:hint="eastAsia"/>
          <w:highlight w:val="none"/>
          <w:vertAlign w:val="subscript"/>
          <w:lang w:val="en-US" w:eastAsia="zh-CN"/>
        </w:rPr>
        <w:t>2</w:t>
      </w:r>
      <w:r>
        <w:rPr>
          <w:rFonts w:hint="eastAsia"/>
          <w:vertAlign w:val="baseline"/>
          <w:lang w:val="en-US" w:eastAsia="zh-CN"/>
        </w:rPr>
        <w:t>-</w:t>
      </w:r>
      <w:r>
        <w:rPr>
          <w:rFonts w:hint="eastAsia"/>
          <w:i/>
          <w:iCs/>
          <w:highlight w:val="none"/>
          <w:lang w:val="en-US" w:eastAsia="zh-CN"/>
        </w:rPr>
        <w:t>T</w:t>
      </w:r>
      <w:r>
        <w:rPr>
          <w:rFonts w:hint="eastAsia"/>
          <w:highlight w:val="none"/>
          <w:vertAlign w:val="subscript"/>
          <w:lang w:val="en-US" w:eastAsia="zh-CN"/>
        </w:rPr>
        <w:t>1</w:t>
      </w:r>
      <w:r>
        <w:rPr>
          <w:rFonts w:hint="eastAsia"/>
          <w:color w:val="auto"/>
          <w:highlight w:val="none"/>
          <w:lang w:val="en-US" w:eastAsia="zh-CN"/>
        </w:rPr>
        <w:t>；</w:t>
      </w:r>
    </w:p>
    <w:p>
      <w:pPr>
        <w:pStyle w:val="58"/>
        <w:ind w:firstLine="420" w:firstLineChars="200"/>
        <w:jc w:val="both"/>
        <w:rPr>
          <w:rFonts w:hint="eastAsia"/>
          <w:color w:val="auto"/>
          <w:lang w:val="en-US" w:eastAsia="zh-CN"/>
        </w:rPr>
      </w:pPr>
      <w:r>
        <w:rPr>
          <w:rFonts w:hint="eastAsia"/>
          <w:color w:val="auto"/>
          <w:lang w:val="en-US" w:eastAsia="zh-CN"/>
        </w:rPr>
        <w:t>d）试验结束。关闭现场校验设备开关，先拆除</w:t>
      </w:r>
      <w:r>
        <w:rPr>
          <w:rFonts w:hint="eastAsia" w:cs="Times New Roman"/>
          <w:color w:val="auto"/>
          <w:highlight w:val="none"/>
          <w:lang w:val="en-US" w:eastAsia="zh-CN"/>
        </w:rPr>
        <w:t>激励电流输出回路、</w:t>
      </w:r>
      <w:r>
        <w:rPr>
          <w:rFonts w:hint="eastAsia"/>
          <w:lang w:val="en-US" w:eastAsia="zh-CN"/>
        </w:rPr>
        <w:t>电流传感器CT2</w:t>
      </w:r>
      <w:r>
        <w:rPr>
          <w:rFonts w:hint="eastAsia"/>
          <w:color w:val="auto"/>
          <w:lang w:val="en-US" w:eastAsia="zh-CN"/>
        </w:rPr>
        <w:t>，后拆除接地线，现场校验完毕，试验人员安全撤离。</w:t>
      </w:r>
    </w:p>
    <w:p>
      <w:pPr>
        <w:pStyle w:val="58"/>
        <w:ind w:firstLine="420" w:firstLineChars="200"/>
        <w:jc w:val="both"/>
        <w:rPr>
          <w:rFonts w:hint="eastAsia"/>
          <w:color w:val="auto"/>
          <w:highlight w:val="none"/>
          <w:lang w:val="en-US" w:eastAsia="zh-CN"/>
        </w:rPr>
      </w:pPr>
      <w:r>
        <w:rPr>
          <w:rFonts w:hint="eastAsia"/>
          <w:color w:val="auto"/>
          <w:highlight w:val="none"/>
          <w:lang w:val="en-US" w:eastAsia="zh-CN"/>
        </w:rPr>
        <w:t>接地环流在线监测装置现场校验数据记录格式参见附录C。</w:t>
      </w:r>
    </w:p>
    <w:p>
      <w:pPr>
        <w:pStyle w:val="106"/>
        <w:spacing w:before="312" w:after="312"/>
      </w:pPr>
      <w:bookmarkStart w:id="53" w:name="_Toc26942"/>
      <w:r>
        <w:rPr>
          <w:rFonts w:hint="eastAsia"/>
          <w:lang w:val="en-US" w:eastAsia="zh-CN"/>
        </w:rPr>
        <w:t>校验结果判定</w:t>
      </w:r>
      <w:bookmarkEnd w:id="53"/>
    </w:p>
    <w:p>
      <w:pPr>
        <w:pStyle w:val="58"/>
        <w:ind w:firstLine="420" w:firstLineChars="200"/>
        <w:jc w:val="both"/>
        <w:rPr>
          <w:rFonts w:hint="default"/>
          <w:lang w:val="en-US"/>
        </w:rPr>
      </w:pPr>
      <w:r>
        <w:rPr>
          <w:rFonts w:hint="eastAsia"/>
          <w:lang w:val="en-US" w:eastAsia="zh-CN"/>
        </w:rPr>
        <w:t>按照本标准方法校验的接地环流在线监测装置，满足4 技术要求中的外观及数据接入、电流测量量程、测量分辨力</w:t>
      </w:r>
      <w:r>
        <w:rPr>
          <w:rFonts w:hint="eastAsia"/>
          <w:color w:val="auto"/>
          <w:lang w:val="en-US" w:eastAsia="zh-CN"/>
        </w:rPr>
        <w:t>误差</w:t>
      </w:r>
      <w:r>
        <w:rPr>
          <w:rFonts w:hint="eastAsia"/>
          <w:lang w:val="en-US" w:eastAsia="zh-CN"/>
        </w:rPr>
        <w:t>、报警响应时间要求，则该装置合格。</w:t>
      </w:r>
    </w:p>
    <w:p>
      <w:pPr>
        <w:pStyle w:val="106"/>
        <w:spacing w:before="312" w:after="312"/>
      </w:pPr>
      <w:bookmarkStart w:id="54" w:name="_Toc27837"/>
      <w:r>
        <w:rPr>
          <w:rFonts w:hint="eastAsia"/>
          <w:lang w:val="en-US" w:eastAsia="zh-CN"/>
        </w:rPr>
        <w:t>校验周期</w:t>
      </w:r>
      <w:bookmarkEnd w:id="54"/>
    </w:p>
    <w:p>
      <w:pPr>
        <w:pStyle w:val="58"/>
        <w:ind w:firstLine="420" w:firstLineChars="200"/>
        <w:jc w:val="both"/>
        <w:rPr>
          <w:rFonts w:hint="eastAsia"/>
          <w:lang w:val="en-US" w:eastAsia="zh-CN"/>
        </w:rPr>
      </w:pPr>
      <w:r>
        <w:rPr>
          <w:rFonts w:hint="eastAsia"/>
        </w:rPr>
        <w:t>接地环流在线监测装置</w:t>
      </w:r>
      <w:r>
        <w:rPr>
          <w:rFonts w:hint="eastAsia"/>
          <w:lang w:val="en-US" w:eastAsia="zh-CN"/>
        </w:rPr>
        <w:t>现场校验周期按照以下要求：</w:t>
      </w:r>
    </w:p>
    <w:p>
      <w:pPr>
        <w:pStyle w:val="58"/>
        <w:numPr>
          <w:ilvl w:val="0"/>
          <w:numId w:val="32"/>
        </w:numPr>
        <w:ind w:firstLine="420" w:firstLineChars="200"/>
        <w:jc w:val="both"/>
        <w:rPr>
          <w:rFonts w:hint="eastAsia"/>
          <w:lang w:val="en-US" w:eastAsia="zh-CN"/>
        </w:rPr>
      </w:pPr>
      <w:r>
        <w:rPr>
          <w:rFonts w:hint="eastAsia"/>
          <w:color w:val="auto"/>
          <w:lang w:val="en-US" w:eastAsia="zh-CN"/>
        </w:rPr>
        <w:t>接地环流在线监测装置安装完毕后，开展1次校验；</w:t>
      </w:r>
    </w:p>
    <w:p>
      <w:pPr>
        <w:pStyle w:val="58"/>
        <w:numPr>
          <w:ilvl w:val="0"/>
          <w:numId w:val="32"/>
        </w:numPr>
        <w:ind w:firstLine="420" w:firstLineChars="200"/>
        <w:jc w:val="both"/>
        <w:rPr>
          <w:rFonts w:hint="eastAsia"/>
          <w:lang w:val="en-US" w:eastAsia="zh-CN"/>
        </w:rPr>
      </w:pPr>
      <w:r>
        <w:rPr>
          <w:rFonts w:hint="eastAsia"/>
          <w:color w:val="auto"/>
          <w:lang w:val="en-US" w:eastAsia="zh-CN"/>
        </w:rPr>
        <w:t>接地环流在线监测装置投入运行后，定期例行校验，校验周期为1年~2年</w:t>
      </w:r>
      <w:r>
        <w:rPr>
          <w:rFonts w:hint="eastAsia"/>
          <w:lang w:val="en-US" w:eastAsia="zh-CN"/>
        </w:rPr>
        <w:t>；</w:t>
      </w:r>
    </w:p>
    <w:p>
      <w:pPr>
        <w:pStyle w:val="58"/>
        <w:numPr>
          <w:ilvl w:val="0"/>
          <w:numId w:val="32"/>
        </w:numPr>
        <w:ind w:firstLine="420" w:firstLineChars="200"/>
        <w:jc w:val="both"/>
        <w:rPr>
          <w:rFonts w:hint="default" w:eastAsia="宋体"/>
          <w:color w:val="auto"/>
          <w:lang w:val="en-US" w:eastAsia="zh-CN"/>
        </w:rPr>
      </w:pPr>
      <w:r>
        <w:rPr>
          <w:rFonts w:hint="eastAsia"/>
          <w:color w:val="auto"/>
          <w:lang w:val="en-US" w:eastAsia="zh-CN"/>
        </w:rPr>
        <w:t>经解体、修理或更换部件的接地环流在线监测装置，应当重新进行校验，从重新校验日起算校验周期；</w:t>
      </w:r>
    </w:p>
    <w:p>
      <w:pPr>
        <w:pStyle w:val="58"/>
        <w:ind w:firstLine="420" w:firstLineChars="200"/>
        <w:jc w:val="both"/>
        <w:rPr>
          <w:rFonts w:hint="default"/>
          <w:color w:val="auto"/>
          <w:lang w:val="en-US" w:eastAsia="zh-CN"/>
        </w:rPr>
      </w:pPr>
      <w:r>
        <w:rPr>
          <w:rFonts w:hint="eastAsia"/>
          <w:color w:val="auto"/>
          <w:lang w:val="en-US" w:eastAsia="zh-CN"/>
        </w:rPr>
        <w:t>d）必要时，开展校验。</w:t>
      </w:r>
    </w:p>
    <w:p>
      <w:pPr>
        <w:pStyle w:val="58"/>
        <w:jc w:val="both"/>
        <w:rPr>
          <w:rFonts w:hint="eastAsia"/>
          <w:color w:val="auto"/>
          <w:lang w:val="en-US" w:eastAsia="zh-CN"/>
        </w:rPr>
        <w:sectPr>
          <w:footerReference r:id="rId12" w:type="default"/>
          <w:pgSz w:w="11906" w:h="16838"/>
          <w:pgMar w:top="567" w:right="1134" w:bottom="1134" w:left="1134" w:header="1418" w:footer="1134" w:gutter="284"/>
          <w:pgNumType w:fmt="decimal" w:start="1"/>
          <w:cols w:space="425" w:num="1"/>
          <w:formProt w:val="0"/>
          <w:docGrid w:type="lines" w:linePitch="312" w:charSpace="0"/>
        </w:sectPr>
      </w:pPr>
    </w:p>
    <w:p>
      <w:pPr>
        <w:pStyle w:val="78"/>
        <w:bidi w:val="0"/>
      </w:pPr>
      <w:bookmarkStart w:id="55" w:name="_Toc27470"/>
      <w:bookmarkEnd w:id="55"/>
    </w:p>
    <w:p>
      <w:pPr>
        <w:pStyle w:val="78"/>
        <w:numPr>
          <w:ilvl w:val="0"/>
          <w:numId w:val="0"/>
        </w:numPr>
        <w:bidi w:val="0"/>
        <w:ind w:leftChars="0"/>
        <w:outlineLvl w:val="9"/>
      </w:pPr>
      <w:bookmarkStart w:id="56" w:name="_Toc772"/>
      <w:r>
        <w:rPr>
          <w:rFonts w:hint="eastAsia"/>
          <w:lang w:eastAsia="zh-CN"/>
        </w:rPr>
        <w:t>（</w:t>
      </w:r>
      <w:r>
        <w:rPr>
          <w:rFonts w:hint="eastAsia"/>
          <w:lang w:val="en-US" w:eastAsia="zh-CN"/>
        </w:rPr>
        <w:t>资料性</w:t>
      </w:r>
      <w:r>
        <w:rPr>
          <w:rFonts w:hint="eastAsia"/>
          <w:lang w:eastAsia="zh-CN"/>
        </w:rPr>
        <w:t>）</w:t>
      </w:r>
      <w:bookmarkEnd w:id="56"/>
    </w:p>
    <w:p>
      <w:pPr>
        <w:pStyle w:val="78"/>
        <w:numPr>
          <w:ilvl w:val="0"/>
          <w:numId w:val="0"/>
        </w:numPr>
        <w:shd w:val="clear" w:color="FFFFFF" w:fill="FFFFFF"/>
        <w:bidi w:val="0"/>
        <w:ind w:leftChars="0"/>
        <w:rPr>
          <w:rFonts w:hint="eastAsia" w:hAnsi="Times New Roman" w:cs="Times New Roman"/>
          <w:lang w:val="en-US" w:eastAsia="zh-CN"/>
        </w:rPr>
      </w:pPr>
      <w:bookmarkStart w:id="57" w:name="_Toc3870"/>
      <w:r>
        <w:rPr>
          <w:rFonts w:hint="eastAsia" w:cs="Times New Roman"/>
          <w:lang w:val="en-US" w:eastAsia="zh-CN"/>
        </w:rPr>
        <w:t>接地环流传感器</w:t>
      </w:r>
      <w:r>
        <w:rPr>
          <w:rFonts w:hint="eastAsia" w:hAnsi="Times New Roman" w:cs="Times New Roman"/>
          <w:lang w:val="en-US" w:eastAsia="zh-CN"/>
        </w:rPr>
        <w:t>现场校验原理</w:t>
      </w:r>
      <w:bookmarkEnd w:id="57"/>
    </w:p>
    <w:p>
      <w:pPr>
        <w:pStyle w:val="58"/>
        <w:ind w:firstLine="420" w:firstLineChars="200"/>
        <w:jc w:val="both"/>
        <w:rPr>
          <w:rFonts w:hint="default"/>
          <w:lang w:val="en-US" w:eastAsia="zh-CN"/>
        </w:rPr>
      </w:pPr>
      <w:r>
        <w:rPr>
          <w:rFonts w:hint="eastAsia"/>
          <w:lang w:val="en-US" w:eastAsia="zh-CN"/>
        </w:rPr>
        <w:t>电缆线路正常运行时，无论是单端保护接地还是交叉互联接地系统，由于现场存在磁场干扰，其接地环流值不一定为零，接地环流传感器CT1监测电缆金属护层接地环流I，接地环流在线监测装置采集电流用</w:t>
      </w:r>
      <w:r>
        <w:rPr>
          <w:rFonts w:hint="eastAsia"/>
          <w:b w:val="0"/>
          <w:bCs w:val="0"/>
          <w:i/>
          <w:iCs/>
          <w:lang w:val="en-US" w:eastAsia="zh-CN"/>
        </w:rPr>
        <w:t>I</w:t>
      </w:r>
      <w:r>
        <w:rPr>
          <w:rFonts w:hint="eastAsia"/>
          <w:vertAlign w:val="subscript"/>
          <w:lang w:val="en-US" w:eastAsia="zh-CN"/>
        </w:rPr>
        <w:t>d</w:t>
      </w:r>
      <w:r>
        <w:rPr>
          <w:rFonts w:hint="eastAsia"/>
          <w:lang w:val="en-US" w:eastAsia="zh-CN"/>
        </w:rPr>
        <w:t>表示，传输至指定平台的监测电流用</w:t>
      </w:r>
      <w:r>
        <w:rPr>
          <w:rFonts w:hint="eastAsia"/>
          <w:b w:val="0"/>
          <w:bCs w:val="0"/>
          <w:i/>
          <w:iCs/>
          <w:lang w:val="en-US" w:eastAsia="zh-CN"/>
        </w:rPr>
        <w:t>I</w:t>
      </w:r>
      <w:r>
        <w:rPr>
          <w:rFonts w:hint="eastAsia"/>
          <w:vertAlign w:val="subscript"/>
          <w:lang w:val="en-US" w:eastAsia="zh-CN"/>
        </w:rPr>
        <w:t>t</w:t>
      </w:r>
      <w:r>
        <w:rPr>
          <w:rFonts w:hint="eastAsia"/>
          <w:vertAlign w:val="baseline"/>
          <w:lang w:val="en-US" w:eastAsia="zh-CN"/>
        </w:rPr>
        <w:t>表示，</w:t>
      </w:r>
      <w:r>
        <w:rPr>
          <w:rFonts w:hint="eastAsia"/>
          <w:lang w:val="en-US" w:eastAsia="zh-CN"/>
        </w:rPr>
        <w:t>见图1。</w:t>
      </w:r>
    </w:p>
    <w:p>
      <w:pPr>
        <w:pStyle w:val="58"/>
        <w:ind w:firstLine="0" w:firstLineChars="0"/>
        <w:jc w:val="center"/>
        <w:rPr>
          <w:rFonts w:hint="eastAsia"/>
          <w:lang w:val="en-US" w:eastAsia="zh-CN"/>
        </w:rPr>
      </w:pPr>
      <w:r>
        <w:drawing>
          <wp:inline distT="0" distB="0" distL="114300" distR="114300">
            <wp:extent cx="2823845" cy="2160270"/>
            <wp:effectExtent l="0" t="0" r="825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2823845" cy="2160270"/>
                    </a:xfrm>
                    <a:prstGeom prst="rect">
                      <a:avLst/>
                    </a:prstGeom>
                    <a:noFill/>
                    <a:ln>
                      <a:noFill/>
                    </a:ln>
                  </pic:spPr>
                </pic:pic>
              </a:graphicData>
            </a:graphic>
          </wp:inline>
        </w:drawing>
      </w:r>
    </w:p>
    <w:p>
      <w:pPr>
        <w:pStyle w:val="58"/>
        <w:ind w:firstLine="0" w:firstLineChars="0"/>
        <w:jc w:val="center"/>
        <w:rPr>
          <w:rFonts w:hint="eastAsia"/>
          <w:lang w:val="en-US" w:eastAsia="zh-CN"/>
        </w:rPr>
      </w:pPr>
      <w:r>
        <w:rPr>
          <w:rFonts w:hint="eastAsia"/>
          <w:lang w:val="en-US" w:eastAsia="zh-CN"/>
        </w:rPr>
        <w:t>图1 接地环流传感器正常运行示意图</w:t>
      </w:r>
    </w:p>
    <w:p>
      <w:pPr>
        <w:pStyle w:val="58"/>
        <w:ind w:firstLine="420" w:firstLineChars="200"/>
        <w:jc w:val="both"/>
        <w:rPr>
          <w:rFonts w:hint="default"/>
          <w:lang w:val="en-US" w:eastAsia="zh-CN"/>
        </w:rPr>
      </w:pPr>
      <w:r>
        <w:rPr>
          <w:rFonts w:hint="eastAsia"/>
          <w:lang w:val="en-US" w:eastAsia="zh-CN"/>
        </w:rPr>
        <w:t>接地环流传感器现场校验的工作原理如图2所示，在被校验接地环流传感器CT1所测的电缆金属护层接地电缆上穿入一个电流传感器CT2，实时测量接地环流幅值和方向（设定为</w:t>
      </w:r>
      <w:r>
        <w:rPr>
          <w:rFonts w:hint="eastAsia"/>
          <w:i/>
          <w:iCs/>
          <w:lang w:val="en-US" w:eastAsia="zh-CN"/>
        </w:rPr>
        <w:t>I</w:t>
      </w:r>
      <w:r>
        <w:rPr>
          <w:rFonts w:hint="eastAsia"/>
          <w:vertAlign w:val="subscript"/>
          <w:lang w:val="en-US" w:eastAsia="zh-CN"/>
        </w:rPr>
        <w:t>a</w:t>
      </w:r>
      <w:r>
        <w:rPr>
          <w:rFonts w:hint="eastAsia"/>
          <w:lang w:val="en-US" w:eastAsia="zh-CN"/>
        </w:rPr>
        <w:t>），接地环流在线监测装置现场校验设备激励电流输出回路穿过接地环流传感器CT1，激励电流输出回路电流</w:t>
      </w:r>
      <w:r>
        <w:rPr>
          <w:rFonts w:hint="eastAsia"/>
          <w:i/>
          <w:iCs/>
          <w:lang w:val="en-US" w:eastAsia="zh-CN"/>
        </w:rPr>
        <w:t>I</w:t>
      </w:r>
      <w:r>
        <w:rPr>
          <w:rFonts w:hint="eastAsia"/>
          <w:vertAlign w:val="subscript"/>
          <w:lang w:val="en-US" w:eastAsia="zh-CN"/>
        </w:rPr>
        <w:t>p</w:t>
      </w:r>
      <w:r>
        <w:rPr>
          <w:rFonts w:hint="eastAsia"/>
          <w:lang w:val="en-US" w:eastAsia="zh-CN"/>
        </w:rPr>
        <w:t>方向与金属护层接地环流I方向一致，待校验接地环流在线监测装置采集电流</w:t>
      </w:r>
      <w:r>
        <w:rPr>
          <w:rFonts w:hint="eastAsia"/>
          <w:i/>
          <w:iCs/>
          <w:lang w:val="en-US" w:eastAsia="zh-CN"/>
        </w:rPr>
        <w:t>I</w:t>
      </w:r>
      <w:r>
        <w:rPr>
          <w:rFonts w:hint="eastAsia"/>
          <w:vertAlign w:val="subscript"/>
          <w:lang w:val="en-US" w:eastAsia="zh-CN"/>
        </w:rPr>
        <w:t>d</w:t>
      </w:r>
      <w:r>
        <w:rPr>
          <w:rFonts w:hint="eastAsia"/>
          <w:lang w:val="en-US" w:eastAsia="zh-CN"/>
        </w:rPr>
        <w:t>=I+</w:t>
      </w:r>
      <w:r>
        <w:rPr>
          <w:rFonts w:hint="eastAsia"/>
          <w:i/>
          <w:iCs/>
          <w:lang w:val="en-US" w:eastAsia="zh-CN"/>
        </w:rPr>
        <w:t>I</w:t>
      </w:r>
      <w:r>
        <w:rPr>
          <w:rFonts w:hint="eastAsia"/>
          <w:vertAlign w:val="subscript"/>
          <w:lang w:val="en-US" w:eastAsia="zh-CN"/>
        </w:rPr>
        <w:t>p</w:t>
      </w:r>
      <w:r>
        <w:rPr>
          <w:rFonts w:hint="eastAsia"/>
          <w:lang w:val="en-US" w:eastAsia="zh-CN"/>
        </w:rPr>
        <w:t>。此外，接地环流在线监测装置现场校验设备可输出与</w:t>
      </w:r>
      <w:r>
        <w:rPr>
          <w:rFonts w:hint="eastAsia"/>
          <w:i/>
          <w:iCs/>
          <w:lang w:val="en-US" w:eastAsia="zh-CN"/>
        </w:rPr>
        <w:t>I</w:t>
      </w:r>
      <w:r>
        <w:rPr>
          <w:rFonts w:hint="eastAsia"/>
          <w:vertAlign w:val="subscript"/>
          <w:lang w:val="en-US" w:eastAsia="zh-CN"/>
        </w:rPr>
        <w:t>a</w:t>
      </w:r>
      <w:r>
        <w:rPr>
          <w:rFonts w:hint="eastAsia"/>
          <w:lang w:val="en-US" w:eastAsia="zh-CN"/>
        </w:rPr>
        <w:t>相位相同或相反、幅值可调的激励电流</w:t>
      </w:r>
      <w:r>
        <w:rPr>
          <w:rFonts w:hint="eastAsia"/>
          <w:i/>
          <w:iCs/>
          <w:lang w:val="en-US" w:eastAsia="zh-CN"/>
        </w:rPr>
        <w:t>I</w:t>
      </w:r>
      <w:r>
        <w:rPr>
          <w:rFonts w:hint="eastAsia"/>
          <w:vertAlign w:val="subscript"/>
          <w:lang w:val="en-US" w:eastAsia="zh-CN"/>
        </w:rPr>
        <w:t>p</w:t>
      </w:r>
      <w:r>
        <w:rPr>
          <w:rFonts w:hint="eastAsia"/>
          <w:lang w:val="en-US" w:eastAsia="zh-CN"/>
        </w:rPr>
        <w:t>，标准电流</w:t>
      </w:r>
      <w:r>
        <w:rPr>
          <w:rFonts w:hint="eastAsia"/>
          <w:i/>
          <w:iCs/>
          <w:lang w:val="en-US" w:eastAsia="zh-CN"/>
        </w:rPr>
        <w:t>I</w:t>
      </w:r>
      <w:r>
        <w:rPr>
          <w:rFonts w:hint="eastAsia"/>
          <w:vertAlign w:val="subscript"/>
          <w:lang w:val="en-US" w:eastAsia="zh-CN"/>
        </w:rPr>
        <w:t>s</w:t>
      </w:r>
      <w:r>
        <w:rPr>
          <w:rFonts w:hint="eastAsia"/>
          <w:lang w:val="en-US" w:eastAsia="zh-CN"/>
        </w:rPr>
        <w:t>=</w:t>
      </w:r>
      <w:r>
        <w:rPr>
          <w:rFonts w:hint="eastAsia"/>
          <w:i/>
          <w:iCs/>
          <w:lang w:val="en-US" w:eastAsia="zh-CN"/>
        </w:rPr>
        <w:t>I</w:t>
      </w:r>
      <w:r>
        <w:rPr>
          <w:rFonts w:hint="eastAsia"/>
          <w:vertAlign w:val="subscript"/>
          <w:lang w:val="en-US" w:eastAsia="zh-CN"/>
        </w:rPr>
        <w:t>a</w:t>
      </w:r>
      <w:r>
        <w:rPr>
          <w:rFonts w:hint="eastAsia"/>
          <w:lang w:val="en-US" w:eastAsia="zh-CN"/>
        </w:rPr>
        <w:t>+</w:t>
      </w:r>
      <w:r>
        <w:rPr>
          <w:rFonts w:hint="eastAsia"/>
          <w:i/>
          <w:iCs/>
          <w:lang w:val="en-US" w:eastAsia="zh-CN"/>
        </w:rPr>
        <w:t>I</w:t>
      </w:r>
      <w:r>
        <w:rPr>
          <w:rFonts w:hint="eastAsia"/>
          <w:vertAlign w:val="subscript"/>
          <w:lang w:val="en-US" w:eastAsia="zh-CN"/>
        </w:rPr>
        <w:t>p</w:t>
      </w:r>
      <w:r>
        <w:rPr>
          <w:rFonts w:hint="eastAsia"/>
          <w:lang w:val="en-US" w:eastAsia="zh-CN"/>
        </w:rPr>
        <w:t>，调节标准电流</w:t>
      </w:r>
      <w:r>
        <w:rPr>
          <w:rFonts w:hint="eastAsia"/>
          <w:i/>
          <w:iCs/>
          <w:lang w:val="en-US" w:eastAsia="zh-CN"/>
        </w:rPr>
        <w:t>I</w:t>
      </w:r>
      <w:r>
        <w:rPr>
          <w:rFonts w:hint="eastAsia"/>
          <w:vertAlign w:val="subscript"/>
          <w:lang w:val="en-US" w:eastAsia="zh-CN"/>
        </w:rPr>
        <w:t>s</w:t>
      </w:r>
      <w:r>
        <w:rPr>
          <w:rFonts w:hint="eastAsia"/>
          <w:vertAlign w:val="baseline"/>
          <w:lang w:val="en-US" w:eastAsia="zh-CN"/>
        </w:rPr>
        <w:t>，</w:t>
      </w:r>
      <w:r>
        <w:rPr>
          <w:rFonts w:hint="eastAsia"/>
          <w:lang w:val="en-US" w:eastAsia="zh-CN"/>
        </w:rPr>
        <w:t>改变</w:t>
      </w:r>
      <w:r>
        <w:rPr>
          <w:rFonts w:hint="eastAsia"/>
          <w:i/>
          <w:iCs/>
          <w:lang w:val="en-US" w:eastAsia="zh-CN"/>
        </w:rPr>
        <w:t>I</w:t>
      </w:r>
      <w:r>
        <w:rPr>
          <w:rFonts w:hint="eastAsia"/>
          <w:vertAlign w:val="subscript"/>
          <w:lang w:val="en-US" w:eastAsia="zh-CN"/>
        </w:rPr>
        <w:t>p</w:t>
      </w:r>
      <w:r>
        <w:rPr>
          <w:rFonts w:hint="eastAsia"/>
          <w:lang w:val="en-US" w:eastAsia="zh-CN"/>
        </w:rPr>
        <w:t>实现待校验接地环流在线监测装置采集电流</w:t>
      </w:r>
      <w:r>
        <w:rPr>
          <w:rFonts w:hint="eastAsia"/>
          <w:i/>
          <w:iCs/>
          <w:highlight w:val="none"/>
          <w:lang w:val="en-US" w:eastAsia="zh-CN"/>
        </w:rPr>
        <w:t>I</w:t>
      </w:r>
      <w:r>
        <w:rPr>
          <w:rFonts w:hint="eastAsia"/>
          <w:highlight w:val="none"/>
          <w:vertAlign w:val="subscript"/>
          <w:lang w:val="en-US" w:eastAsia="zh-CN"/>
        </w:rPr>
        <w:t>d</w:t>
      </w:r>
      <w:r>
        <w:rPr>
          <w:rFonts w:hint="eastAsia"/>
          <w:highlight w:val="none"/>
          <w:lang w:val="en-US" w:eastAsia="zh-CN"/>
        </w:rPr>
        <w:t>≥0A</w:t>
      </w:r>
      <w:r>
        <w:rPr>
          <w:rFonts w:hint="eastAsia"/>
          <w:lang w:val="en-US" w:eastAsia="zh-CN"/>
        </w:rPr>
        <w:t>的电流精度检测，检测人员通过比对标准电流</w:t>
      </w:r>
      <w:r>
        <w:rPr>
          <w:rFonts w:hint="eastAsia"/>
          <w:i/>
          <w:iCs/>
          <w:lang w:val="en-US" w:eastAsia="zh-CN"/>
        </w:rPr>
        <w:t>I</w:t>
      </w:r>
      <w:r>
        <w:rPr>
          <w:rFonts w:hint="eastAsia"/>
          <w:vertAlign w:val="subscript"/>
          <w:lang w:val="en-US" w:eastAsia="zh-CN"/>
        </w:rPr>
        <w:t>s</w:t>
      </w:r>
      <w:r>
        <w:rPr>
          <w:rFonts w:hint="eastAsia"/>
          <w:vertAlign w:val="baseline"/>
          <w:lang w:val="en-US" w:eastAsia="zh-CN"/>
        </w:rPr>
        <w:t>与待校验</w:t>
      </w:r>
      <w:r>
        <w:rPr>
          <w:rFonts w:hint="eastAsia"/>
          <w:lang w:val="en-US" w:eastAsia="zh-CN"/>
        </w:rPr>
        <w:t>接地环流在线监测装置监测电流</w:t>
      </w:r>
      <w:r>
        <w:rPr>
          <w:rFonts w:hint="eastAsia"/>
          <w:b w:val="0"/>
          <w:bCs w:val="0"/>
          <w:i/>
          <w:iCs/>
          <w:lang w:val="en-US" w:eastAsia="zh-CN"/>
        </w:rPr>
        <w:t>I</w:t>
      </w:r>
      <w:r>
        <w:rPr>
          <w:rFonts w:hint="eastAsia"/>
          <w:vertAlign w:val="subscript"/>
          <w:lang w:val="en-US" w:eastAsia="zh-CN"/>
        </w:rPr>
        <w:t>t</w:t>
      </w:r>
      <w:r>
        <w:rPr>
          <w:rFonts w:hint="eastAsia"/>
          <w:lang w:val="en-US" w:eastAsia="zh-CN"/>
        </w:rPr>
        <w:t>，达到评估接地环流在线监测装置长期运行可靠性及稳定性的目的。</w:t>
      </w:r>
    </w:p>
    <w:p>
      <w:pPr>
        <w:pStyle w:val="58"/>
        <w:ind w:firstLine="0" w:firstLineChars="0"/>
        <w:jc w:val="center"/>
        <w:rPr>
          <w:rFonts w:hint="eastAsia"/>
          <w:lang w:val="en-US" w:eastAsia="zh-CN"/>
        </w:rPr>
      </w:pPr>
      <w:r>
        <w:drawing>
          <wp:inline distT="0" distB="0" distL="114300" distR="114300">
            <wp:extent cx="5541645" cy="2160270"/>
            <wp:effectExtent l="0" t="0" r="1905" b="1143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6"/>
                    <a:stretch>
                      <a:fillRect/>
                    </a:stretch>
                  </pic:blipFill>
                  <pic:spPr>
                    <a:xfrm>
                      <a:off x="0" y="0"/>
                      <a:ext cx="5541645" cy="2160270"/>
                    </a:xfrm>
                    <a:prstGeom prst="rect">
                      <a:avLst/>
                    </a:prstGeom>
                    <a:noFill/>
                    <a:ln>
                      <a:noFill/>
                    </a:ln>
                  </pic:spPr>
                </pic:pic>
              </a:graphicData>
            </a:graphic>
          </wp:inline>
        </w:drawing>
      </w:r>
    </w:p>
    <w:p>
      <w:pPr>
        <w:pStyle w:val="58"/>
        <w:ind w:firstLine="0" w:firstLineChars="0"/>
        <w:jc w:val="center"/>
        <w:rPr>
          <w:rFonts w:hint="eastAsia"/>
          <w:color w:val="auto"/>
          <w:lang w:val="en-US" w:eastAsia="zh-CN"/>
        </w:rPr>
      </w:pPr>
      <w:r>
        <w:rPr>
          <w:rFonts w:hint="eastAsia"/>
          <w:lang w:val="en-US" w:eastAsia="zh-CN"/>
        </w:rPr>
        <w:t>图2 接地环流传感器现场校验示意图</w:t>
      </w:r>
    </w:p>
    <w:p>
      <w:pPr>
        <w:rPr>
          <w:rFonts w:hint="default"/>
        </w:rPr>
      </w:pPr>
      <w:r>
        <w:rPr>
          <w:rFonts w:hint="default"/>
        </w:rPr>
        <w:br w:type="page"/>
      </w:r>
    </w:p>
    <w:p>
      <w:pPr>
        <w:pStyle w:val="78"/>
        <w:bidi w:val="0"/>
      </w:pPr>
      <w:bookmarkStart w:id="58" w:name="_Toc21781"/>
      <w:bookmarkEnd w:id="58"/>
    </w:p>
    <w:p>
      <w:pPr>
        <w:pStyle w:val="78"/>
        <w:numPr>
          <w:ilvl w:val="0"/>
          <w:numId w:val="0"/>
        </w:numPr>
        <w:bidi w:val="0"/>
        <w:ind w:leftChars="0"/>
        <w:outlineLvl w:val="9"/>
      </w:pPr>
      <w:r>
        <w:rPr>
          <w:rFonts w:hint="eastAsia"/>
          <w:lang w:eastAsia="zh-CN"/>
        </w:rPr>
        <w:t>（</w:t>
      </w:r>
      <w:r>
        <w:rPr>
          <w:rFonts w:hint="eastAsia"/>
          <w:lang w:val="en-US" w:eastAsia="zh-CN"/>
        </w:rPr>
        <w:t>资料性</w:t>
      </w:r>
      <w:r>
        <w:rPr>
          <w:rFonts w:hint="eastAsia"/>
          <w:lang w:eastAsia="zh-CN"/>
        </w:rPr>
        <w:t>）</w:t>
      </w:r>
    </w:p>
    <w:p>
      <w:pPr>
        <w:pStyle w:val="78"/>
        <w:numPr>
          <w:ilvl w:val="0"/>
          <w:numId w:val="0"/>
        </w:numPr>
        <w:shd w:val="clear" w:color="FFFFFF" w:fill="FFFFFF"/>
        <w:bidi w:val="0"/>
        <w:ind w:leftChars="0"/>
        <w:rPr>
          <w:rFonts w:hint="eastAsia" w:hAnsi="Times New Roman" w:cs="Times New Roman"/>
          <w:lang w:val="en-US" w:eastAsia="zh-CN"/>
        </w:rPr>
      </w:pPr>
      <w:bookmarkStart w:id="59" w:name="_Toc32556"/>
      <w:r>
        <w:rPr>
          <w:rFonts w:hint="eastAsia" w:cs="Times New Roman"/>
          <w:lang w:val="en-US" w:eastAsia="zh-CN"/>
        </w:rPr>
        <w:t>复合电流传感器</w:t>
      </w:r>
      <w:r>
        <w:rPr>
          <w:rFonts w:hint="eastAsia" w:hAnsi="Times New Roman" w:cs="Times New Roman"/>
          <w:lang w:val="en-US" w:eastAsia="zh-CN"/>
        </w:rPr>
        <w:t>现场校验原理</w:t>
      </w:r>
      <w:bookmarkEnd w:id="59"/>
    </w:p>
    <w:p>
      <w:pPr>
        <w:pStyle w:val="58"/>
        <w:ind w:firstLine="420" w:firstLineChars="200"/>
        <w:jc w:val="both"/>
        <w:rPr>
          <w:rFonts w:hint="default"/>
          <w:lang w:val="en-US" w:eastAsia="zh-CN"/>
        </w:rPr>
      </w:pPr>
      <w:r>
        <w:rPr>
          <w:rFonts w:hint="eastAsia"/>
          <w:lang w:val="en-US" w:eastAsia="zh-CN"/>
        </w:rPr>
        <w:t>复合电流传感器和接地环流传感器现场校验原理相同。</w:t>
      </w:r>
    </w:p>
    <w:p>
      <w:pPr>
        <w:pStyle w:val="58"/>
        <w:ind w:firstLine="0" w:firstLineChars="0"/>
        <w:jc w:val="center"/>
        <w:rPr>
          <w:rFonts w:hint="eastAsia"/>
          <w:lang w:val="en-US" w:eastAsia="zh-CN"/>
        </w:rPr>
      </w:pPr>
      <w:r>
        <w:drawing>
          <wp:inline distT="0" distB="0" distL="114300" distR="114300">
            <wp:extent cx="3007995" cy="2160270"/>
            <wp:effectExtent l="0" t="0" r="1905" b="1143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7"/>
                    <a:stretch>
                      <a:fillRect/>
                    </a:stretch>
                  </pic:blipFill>
                  <pic:spPr>
                    <a:xfrm>
                      <a:off x="0" y="0"/>
                      <a:ext cx="3007995" cy="2160270"/>
                    </a:xfrm>
                    <a:prstGeom prst="rect">
                      <a:avLst/>
                    </a:prstGeom>
                    <a:noFill/>
                    <a:ln>
                      <a:noFill/>
                    </a:ln>
                  </pic:spPr>
                </pic:pic>
              </a:graphicData>
            </a:graphic>
          </wp:inline>
        </w:drawing>
      </w:r>
    </w:p>
    <w:p>
      <w:pPr>
        <w:pStyle w:val="58"/>
        <w:ind w:firstLine="0" w:firstLineChars="0"/>
        <w:jc w:val="center"/>
        <w:rPr>
          <w:rFonts w:hint="eastAsia"/>
          <w:lang w:val="en-US" w:eastAsia="zh-CN"/>
        </w:rPr>
      </w:pPr>
      <w:r>
        <w:rPr>
          <w:rFonts w:hint="eastAsia"/>
          <w:lang w:val="en-US" w:eastAsia="zh-CN"/>
        </w:rPr>
        <w:t>图3 复合电流传感器正常运行示意图</w:t>
      </w:r>
    </w:p>
    <w:p>
      <w:pPr>
        <w:pStyle w:val="58"/>
        <w:ind w:firstLine="0" w:firstLineChars="0"/>
        <w:jc w:val="center"/>
        <w:rPr>
          <w:rFonts w:hint="eastAsia"/>
          <w:lang w:val="en-US" w:eastAsia="zh-CN"/>
        </w:rPr>
      </w:pPr>
      <w:r>
        <w:drawing>
          <wp:inline distT="0" distB="0" distL="114300" distR="114300">
            <wp:extent cx="4264660" cy="2160270"/>
            <wp:effectExtent l="0" t="0" r="2540" b="1143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8"/>
                    <a:stretch>
                      <a:fillRect/>
                    </a:stretch>
                  </pic:blipFill>
                  <pic:spPr>
                    <a:xfrm>
                      <a:off x="0" y="0"/>
                      <a:ext cx="4264660" cy="2160270"/>
                    </a:xfrm>
                    <a:prstGeom prst="rect">
                      <a:avLst/>
                    </a:prstGeom>
                    <a:noFill/>
                    <a:ln>
                      <a:noFill/>
                    </a:ln>
                  </pic:spPr>
                </pic:pic>
              </a:graphicData>
            </a:graphic>
          </wp:inline>
        </w:drawing>
      </w:r>
    </w:p>
    <w:p>
      <w:pPr>
        <w:pStyle w:val="58"/>
        <w:ind w:firstLine="0" w:firstLineChars="0"/>
        <w:jc w:val="center"/>
        <w:rPr>
          <w:rFonts w:hint="eastAsia"/>
          <w:color w:val="auto"/>
          <w:lang w:val="en-US" w:eastAsia="zh-CN"/>
        </w:rPr>
      </w:pPr>
      <w:r>
        <w:rPr>
          <w:rFonts w:hint="eastAsia"/>
          <w:lang w:val="en-US" w:eastAsia="zh-CN"/>
        </w:rPr>
        <w:t>图4 复合电流传感器现场校验示意图</w:t>
      </w:r>
    </w:p>
    <w:p>
      <w:r>
        <w:rPr>
          <w:rFonts w:hint="default"/>
        </w:rPr>
        <w:br w:type="page"/>
      </w:r>
    </w:p>
    <w:p>
      <w:pPr>
        <w:pStyle w:val="78"/>
        <w:bidi w:val="0"/>
      </w:pPr>
      <w:bookmarkStart w:id="60" w:name="_Toc7263"/>
      <w:bookmarkEnd w:id="60"/>
    </w:p>
    <w:p>
      <w:pPr>
        <w:pStyle w:val="78"/>
        <w:numPr>
          <w:ilvl w:val="0"/>
          <w:numId w:val="0"/>
        </w:numPr>
        <w:bidi w:val="0"/>
        <w:ind w:leftChars="0"/>
        <w:outlineLvl w:val="9"/>
      </w:pPr>
      <w:bookmarkStart w:id="61" w:name="_Toc29423"/>
      <w:r>
        <w:rPr>
          <w:rFonts w:hint="eastAsia"/>
          <w:lang w:eastAsia="zh-CN"/>
        </w:rPr>
        <w:t>（</w:t>
      </w:r>
      <w:r>
        <w:rPr>
          <w:rFonts w:hint="eastAsia"/>
          <w:lang w:val="en-US" w:eastAsia="zh-CN"/>
        </w:rPr>
        <w:t>资料性</w:t>
      </w:r>
      <w:r>
        <w:rPr>
          <w:rFonts w:hint="eastAsia"/>
          <w:lang w:eastAsia="zh-CN"/>
        </w:rPr>
        <w:t>）</w:t>
      </w:r>
      <w:bookmarkEnd w:id="61"/>
    </w:p>
    <w:p>
      <w:pPr>
        <w:pStyle w:val="78"/>
        <w:numPr>
          <w:ilvl w:val="0"/>
          <w:numId w:val="0"/>
        </w:numPr>
        <w:shd w:val="clear" w:color="FFFFFF" w:fill="FFFFFF"/>
        <w:bidi w:val="0"/>
        <w:ind w:leftChars="0"/>
        <w:rPr>
          <w:rFonts w:hint="eastAsia" w:hAnsi="Times New Roman" w:cs="Times New Roman"/>
          <w:lang w:val="en-US" w:eastAsia="zh-CN"/>
        </w:rPr>
      </w:pPr>
      <w:bookmarkStart w:id="62" w:name="_Toc1037"/>
      <w:r>
        <w:rPr>
          <w:rFonts w:hint="eastAsia" w:hAnsi="Times New Roman" w:cs="Times New Roman"/>
          <w:lang w:val="en-US" w:eastAsia="zh-CN"/>
        </w:rPr>
        <w:t>接地环流在线监测装置现场校验数据记录</w:t>
      </w:r>
      <w:bookmarkEnd w:id="62"/>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197"/>
        <w:gridCol w:w="1170"/>
        <w:gridCol w:w="573"/>
        <w:gridCol w:w="794"/>
        <w:gridCol w:w="684"/>
        <w:gridCol w:w="293"/>
        <w:gridCol w:w="390"/>
        <w:gridCol w:w="1367"/>
        <w:gridCol w:w="219"/>
        <w:gridCol w:w="1148"/>
        <w:gridCol w:w="190"/>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64" w:type="dxa"/>
            <w:gridSpan w:val="2"/>
            <w:vAlign w:val="center"/>
          </w:tcPr>
          <w:p>
            <w:pPr>
              <w:pStyle w:val="234"/>
              <w:ind w:firstLine="0" w:firstLineChars="0"/>
              <w:jc w:val="center"/>
              <w:rPr>
                <w:rFonts w:hint="default" w:hAnsi="黑体" w:cs="黑体"/>
                <w:vertAlign w:val="baseline"/>
                <w:lang w:val="en-US" w:eastAsia="zh-CN"/>
              </w:rPr>
            </w:pPr>
            <w:r>
              <w:rPr>
                <w:rFonts w:hint="eastAsia"/>
                <w:lang w:val="en-US" w:eastAsia="zh-CN"/>
              </w:rPr>
              <w:t>电缆线路名称</w:t>
            </w:r>
          </w:p>
        </w:tc>
        <w:tc>
          <w:tcPr>
            <w:tcW w:w="1743" w:type="dxa"/>
            <w:gridSpan w:val="2"/>
            <w:vAlign w:val="center"/>
          </w:tcPr>
          <w:p>
            <w:pPr>
              <w:pStyle w:val="234"/>
              <w:ind w:firstLine="0" w:firstLineChars="0"/>
              <w:jc w:val="center"/>
              <w:rPr>
                <w:rFonts w:hint="eastAsia" w:hAnsi="黑体" w:cs="黑体"/>
                <w:vertAlign w:val="baseline"/>
                <w:lang w:val="en-US" w:eastAsia="zh-CN"/>
              </w:rPr>
            </w:pPr>
          </w:p>
        </w:tc>
        <w:tc>
          <w:tcPr>
            <w:tcW w:w="1771" w:type="dxa"/>
            <w:gridSpan w:val="3"/>
            <w:vAlign w:val="center"/>
          </w:tcPr>
          <w:p>
            <w:pPr>
              <w:pStyle w:val="234"/>
              <w:ind w:firstLine="0" w:firstLineChars="0"/>
              <w:jc w:val="center"/>
              <w:rPr>
                <w:rFonts w:hint="default" w:hAnsi="黑体" w:cs="黑体"/>
                <w:vertAlign w:val="baseline"/>
                <w:lang w:val="en-US" w:eastAsia="zh-CN"/>
              </w:rPr>
            </w:pPr>
            <w:r>
              <w:rPr>
                <w:rFonts w:hint="eastAsia" w:hAnsi="黑体" w:cs="黑体"/>
                <w:vertAlign w:val="baseline"/>
                <w:lang w:val="en-US" w:eastAsia="zh-CN"/>
              </w:rPr>
              <w:t>装置安装的终端（接头）位置</w:t>
            </w:r>
          </w:p>
        </w:tc>
        <w:tc>
          <w:tcPr>
            <w:tcW w:w="1976" w:type="dxa"/>
            <w:gridSpan w:val="3"/>
            <w:vAlign w:val="center"/>
          </w:tcPr>
          <w:p>
            <w:pPr>
              <w:pStyle w:val="234"/>
              <w:ind w:firstLine="0" w:firstLineChars="0"/>
              <w:jc w:val="center"/>
              <w:rPr>
                <w:rFonts w:hint="default" w:hAnsi="黑体" w:cs="黑体"/>
                <w:vertAlign w:val="baseline"/>
                <w:lang w:val="en-US" w:eastAsia="zh-CN"/>
              </w:rPr>
            </w:pPr>
          </w:p>
        </w:tc>
        <w:tc>
          <w:tcPr>
            <w:tcW w:w="1338" w:type="dxa"/>
            <w:gridSpan w:val="2"/>
            <w:vAlign w:val="center"/>
          </w:tcPr>
          <w:p>
            <w:pPr>
              <w:pStyle w:val="234"/>
              <w:ind w:firstLine="0" w:firstLineChars="0"/>
              <w:jc w:val="center"/>
              <w:rPr>
                <w:rFonts w:hint="default" w:hAnsi="黑体" w:cs="黑体"/>
                <w:vertAlign w:val="baseline"/>
                <w:lang w:val="en-US" w:eastAsia="zh-CN"/>
              </w:rPr>
            </w:pPr>
            <w:r>
              <w:rPr>
                <w:rFonts w:hint="eastAsia" w:hAnsi="黑体" w:cs="黑体"/>
                <w:vertAlign w:val="baseline"/>
                <w:lang w:val="en-US" w:eastAsia="zh-CN"/>
              </w:rPr>
              <w:t>相别</w:t>
            </w:r>
          </w:p>
        </w:tc>
        <w:tc>
          <w:tcPr>
            <w:tcW w:w="1178" w:type="dxa"/>
            <w:vAlign w:val="center"/>
          </w:tcPr>
          <w:p>
            <w:pPr>
              <w:pStyle w:val="234"/>
              <w:ind w:firstLine="0" w:firstLineChars="0"/>
              <w:jc w:val="center"/>
              <w:rPr>
                <w:rFonts w:hint="default"/>
                <w:b w:val="0"/>
                <w:bCs w:val="0"/>
                <w:i w:val="0"/>
                <w:iCs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64" w:type="dxa"/>
            <w:gridSpan w:val="2"/>
            <w:vAlign w:val="center"/>
          </w:tcPr>
          <w:p>
            <w:pPr>
              <w:pStyle w:val="234"/>
              <w:ind w:firstLine="0" w:firstLineChars="0"/>
              <w:jc w:val="center"/>
              <w:rPr>
                <w:rFonts w:hint="default"/>
                <w:lang w:val="en-US" w:eastAsia="zh-CN"/>
              </w:rPr>
            </w:pPr>
            <w:r>
              <w:rPr>
                <w:rFonts w:hint="eastAsia"/>
                <w:lang w:val="en-US" w:eastAsia="zh-CN"/>
              </w:rPr>
              <w:t>厂家</w:t>
            </w:r>
          </w:p>
        </w:tc>
        <w:tc>
          <w:tcPr>
            <w:tcW w:w="1743" w:type="dxa"/>
            <w:gridSpan w:val="2"/>
            <w:vAlign w:val="center"/>
          </w:tcPr>
          <w:p>
            <w:pPr>
              <w:pStyle w:val="234"/>
              <w:ind w:firstLine="0" w:firstLineChars="0"/>
              <w:jc w:val="center"/>
              <w:rPr>
                <w:rFonts w:hint="eastAsia" w:hAnsi="黑体" w:cs="黑体"/>
                <w:vertAlign w:val="baseline"/>
                <w:lang w:val="en-US" w:eastAsia="zh-CN"/>
              </w:rPr>
            </w:pPr>
          </w:p>
        </w:tc>
        <w:tc>
          <w:tcPr>
            <w:tcW w:w="1771" w:type="dxa"/>
            <w:gridSpan w:val="3"/>
            <w:vAlign w:val="center"/>
          </w:tcPr>
          <w:p>
            <w:pPr>
              <w:pStyle w:val="234"/>
              <w:ind w:firstLine="0" w:firstLineChars="0"/>
              <w:jc w:val="center"/>
              <w:rPr>
                <w:rFonts w:hint="default" w:hAnsi="黑体" w:cs="黑体"/>
                <w:vertAlign w:val="baseline"/>
                <w:lang w:val="en-US" w:eastAsia="zh-CN"/>
              </w:rPr>
            </w:pPr>
            <w:r>
              <w:rPr>
                <w:rFonts w:hint="eastAsia" w:hAnsi="黑体" w:cs="黑体"/>
                <w:vertAlign w:val="baseline"/>
                <w:lang w:val="en-US" w:eastAsia="zh-CN"/>
              </w:rPr>
              <w:t>投运日期</w:t>
            </w:r>
          </w:p>
        </w:tc>
        <w:tc>
          <w:tcPr>
            <w:tcW w:w="1976" w:type="dxa"/>
            <w:gridSpan w:val="3"/>
            <w:vAlign w:val="center"/>
          </w:tcPr>
          <w:p>
            <w:pPr>
              <w:pStyle w:val="234"/>
              <w:ind w:firstLine="0" w:firstLineChars="0"/>
              <w:jc w:val="center"/>
              <w:rPr>
                <w:rFonts w:hint="default" w:hAnsi="黑体" w:cs="黑体"/>
                <w:vertAlign w:val="baseline"/>
                <w:lang w:val="en-US" w:eastAsia="zh-CN"/>
              </w:rPr>
            </w:pPr>
          </w:p>
        </w:tc>
        <w:tc>
          <w:tcPr>
            <w:tcW w:w="1338" w:type="dxa"/>
            <w:gridSpan w:val="2"/>
            <w:vAlign w:val="center"/>
          </w:tcPr>
          <w:p>
            <w:pPr>
              <w:pStyle w:val="234"/>
              <w:ind w:firstLine="0" w:firstLineChars="0"/>
              <w:jc w:val="center"/>
              <w:rPr>
                <w:rFonts w:hint="default" w:hAnsi="黑体" w:cs="黑体"/>
                <w:vertAlign w:val="baseline"/>
                <w:lang w:val="en-US" w:eastAsia="zh-CN"/>
              </w:rPr>
            </w:pPr>
            <w:r>
              <w:rPr>
                <w:rFonts w:hint="eastAsia" w:hAnsi="黑体" w:cs="黑体"/>
                <w:vertAlign w:val="baseline"/>
                <w:lang w:val="en-US" w:eastAsia="zh-CN"/>
              </w:rPr>
              <w:t>采样频率</w:t>
            </w:r>
          </w:p>
        </w:tc>
        <w:tc>
          <w:tcPr>
            <w:tcW w:w="1178" w:type="dxa"/>
            <w:vAlign w:val="center"/>
          </w:tcPr>
          <w:p>
            <w:pPr>
              <w:pStyle w:val="234"/>
              <w:ind w:firstLine="0" w:firstLineChars="0"/>
              <w:jc w:val="center"/>
              <w:rPr>
                <w:rFonts w:hint="default"/>
                <w:b w:val="0"/>
                <w:bCs w:val="0"/>
                <w:i w:val="0"/>
                <w:iCs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570" w:type="dxa"/>
            <w:gridSpan w:val="13"/>
            <w:vAlign w:val="center"/>
          </w:tcPr>
          <w:p>
            <w:pPr>
              <w:pStyle w:val="234"/>
              <w:ind w:firstLine="0" w:firstLineChars="0"/>
              <w:jc w:val="center"/>
              <w:rPr>
                <w:rFonts w:hint="default"/>
                <w:b w:val="0"/>
                <w:bCs w:val="0"/>
                <w:i w:val="0"/>
                <w:iCs w:val="0"/>
                <w:lang w:val="en-US" w:eastAsia="zh-CN"/>
              </w:rPr>
            </w:pPr>
            <w:r>
              <w:rPr>
                <w:rFonts w:hint="eastAsia"/>
                <w:b/>
                <w:bCs/>
                <w:lang w:val="en-US" w:eastAsia="zh-CN"/>
              </w:rPr>
              <w:t>一、装置检查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2" w:type="dxa"/>
            <w:gridSpan w:val="12"/>
            <w:vAlign w:val="center"/>
          </w:tcPr>
          <w:p>
            <w:pPr>
              <w:pStyle w:val="234"/>
              <w:ind w:firstLine="0" w:firstLineChars="0"/>
              <w:jc w:val="center"/>
              <w:rPr>
                <w:rFonts w:hint="eastAsia" w:hAnsi="黑体" w:cs="黑体"/>
                <w:vertAlign w:val="baseline"/>
                <w:lang w:val="en-US" w:eastAsia="zh-CN"/>
              </w:rPr>
            </w:pPr>
            <w:r>
              <w:rPr>
                <w:rFonts w:hint="eastAsia" w:hAnsi="黑体" w:cs="黑体"/>
                <w:vertAlign w:val="baseline"/>
                <w:lang w:val="en-US" w:eastAsia="zh-CN"/>
              </w:rPr>
              <w:t>要求</w:t>
            </w:r>
          </w:p>
        </w:tc>
        <w:tc>
          <w:tcPr>
            <w:tcW w:w="1178" w:type="dxa"/>
            <w:vAlign w:val="center"/>
          </w:tcPr>
          <w:p>
            <w:pPr>
              <w:pStyle w:val="234"/>
              <w:ind w:firstLine="0" w:firstLineChars="0"/>
              <w:jc w:val="center"/>
              <w:rPr>
                <w:rFonts w:hint="default"/>
                <w:b w:val="0"/>
                <w:bCs w:val="0"/>
                <w:i w:val="0"/>
                <w:iCs w:val="0"/>
                <w:lang w:val="en-US" w:eastAsia="zh-CN"/>
              </w:rPr>
            </w:pPr>
            <w:r>
              <w:rPr>
                <w:rFonts w:hint="eastAsia"/>
                <w:b w:val="0"/>
                <w:bCs w:val="0"/>
                <w:i w:val="0"/>
                <w:iCs w:val="0"/>
                <w:lang w:val="en-US" w:eastAsia="zh-CN"/>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2" w:type="dxa"/>
            <w:gridSpan w:val="12"/>
            <w:vAlign w:val="center"/>
          </w:tcPr>
          <w:p>
            <w:pPr>
              <w:pStyle w:val="234"/>
              <w:ind w:firstLine="0" w:firstLineChars="0"/>
              <w:jc w:val="both"/>
              <w:rPr>
                <w:rFonts w:hint="eastAsia" w:hAnsi="黑体" w:cs="黑体"/>
                <w:vertAlign w:val="baseline"/>
                <w:lang w:val="en-US" w:eastAsia="zh-CN"/>
              </w:rPr>
            </w:pPr>
            <w:r>
              <w:rPr>
                <w:rFonts w:hint="eastAsia"/>
                <w:color w:val="auto"/>
                <w:lang w:val="en-US" w:eastAsia="zh-CN"/>
              </w:rPr>
              <w:t>1.装置外观完好，外壳无锐口、尖角、变形、锈蚀等明显缺陷，表面电镀层牢固均匀光洁，无起层剥落现象。</w:t>
            </w:r>
          </w:p>
        </w:tc>
        <w:tc>
          <w:tcPr>
            <w:tcW w:w="1178" w:type="dxa"/>
            <w:vAlign w:val="center"/>
          </w:tcPr>
          <w:p>
            <w:pPr>
              <w:pStyle w:val="234"/>
              <w:ind w:firstLine="0" w:firstLineChars="0"/>
              <w:jc w:val="center"/>
              <w:rPr>
                <w:rFonts w:hint="default"/>
                <w:b w:val="0"/>
                <w:bCs w:val="0"/>
                <w:i w:val="0"/>
                <w:iCs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2" w:type="dxa"/>
            <w:gridSpan w:val="12"/>
            <w:vAlign w:val="center"/>
          </w:tcPr>
          <w:p>
            <w:pPr>
              <w:pStyle w:val="234"/>
              <w:ind w:firstLine="0" w:firstLineChars="0"/>
              <w:jc w:val="both"/>
              <w:rPr>
                <w:rFonts w:hint="eastAsia" w:hAnsi="黑体" w:cs="黑体"/>
                <w:vertAlign w:val="baseline"/>
                <w:lang w:val="en-US" w:eastAsia="zh-CN"/>
              </w:rPr>
            </w:pPr>
            <w:r>
              <w:rPr>
                <w:rFonts w:hint="eastAsia"/>
                <w:color w:val="auto"/>
                <w:lang w:val="en-US" w:eastAsia="zh-CN"/>
              </w:rPr>
              <w:t>2.装置铭牌产品名称、厂家、型号、出厂编号、生产日期信息、检测记录齐全。</w:t>
            </w:r>
          </w:p>
        </w:tc>
        <w:tc>
          <w:tcPr>
            <w:tcW w:w="1178" w:type="dxa"/>
            <w:vAlign w:val="center"/>
          </w:tcPr>
          <w:p>
            <w:pPr>
              <w:pStyle w:val="234"/>
              <w:ind w:firstLine="0" w:firstLineChars="0"/>
              <w:jc w:val="center"/>
              <w:rPr>
                <w:rFonts w:hint="default"/>
                <w:b w:val="0"/>
                <w:bCs w:val="0"/>
                <w:i w:val="0"/>
                <w:iCs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2" w:type="dxa"/>
            <w:gridSpan w:val="12"/>
            <w:vAlign w:val="center"/>
          </w:tcPr>
          <w:p>
            <w:pPr>
              <w:pStyle w:val="234"/>
              <w:ind w:firstLine="0" w:firstLineChars="0"/>
              <w:jc w:val="both"/>
              <w:rPr>
                <w:rFonts w:hint="default"/>
                <w:color w:val="auto"/>
                <w:lang w:val="en-US" w:eastAsia="zh-CN"/>
              </w:rPr>
            </w:pPr>
            <w:r>
              <w:rPr>
                <w:rFonts w:hint="eastAsia"/>
                <w:color w:val="auto"/>
                <w:lang w:val="en-US" w:eastAsia="zh-CN"/>
              </w:rPr>
              <w:t>3.装置包含3路接地电流传感器和1路复合电流传感器。</w:t>
            </w:r>
          </w:p>
        </w:tc>
        <w:tc>
          <w:tcPr>
            <w:tcW w:w="1178" w:type="dxa"/>
            <w:vAlign w:val="center"/>
          </w:tcPr>
          <w:p>
            <w:pPr>
              <w:pStyle w:val="234"/>
              <w:ind w:firstLine="0" w:firstLineChars="0"/>
              <w:jc w:val="center"/>
              <w:rPr>
                <w:rFonts w:hint="default"/>
                <w:b w:val="0"/>
                <w:bCs w:val="0"/>
                <w:i w:val="0"/>
                <w:iCs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2" w:type="dxa"/>
            <w:gridSpan w:val="12"/>
            <w:vAlign w:val="center"/>
          </w:tcPr>
          <w:p>
            <w:pPr>
              <w:pStyle w:val="234"/>
              <w:ind w:firstLine="0" w:firstLineChars="0"/>
              <w:jc w:val="both"/>
              <w:rPr>
                <w:rFonts w:hint="eastAsia" w:hAnsi="黑体" w:cs="黑体"/>
                <w:vertAlign w:val="baseline"/>
                <w:lang w:val="en-US" w:eastAsia="zh-CN"/>
              </w:rPr>
            </w:pPr>
            <w:r>
              <w:rPr>
                <w:rFonts w:hint="eastAsia"/>
                <w:color w:val="auto"/>
                <w:lang w:val="en-US" w:eastAsia="zh-CN"/>
              </w:rPr>
              <w:t>3.装置数据接入指定平台，数据能正常展示。</w:t>
            </w:r>
          </w:p>
        </w:tc>
        <w:tc>
          <w:tcPr>
            <w:tcW w:w="1178" w:type="dxa"/>
            <w:vAlign w:val="center"/>
          </w:tcPr>
          <w:p>
            <w:pPr>
              <w:pStyle w:val="234"/>
              <w:ind w:firstLine="0" w:firstLineChars="0"/>
              <w:jc w:val="center"/>
              <w:rPr>
                <w:rFonts w:hint="default"/>
                <w:b w:val="0"/>
                <w:bCs w:val="0"/>
                <w:i w:val="0"/>
                <w:iCs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570" w:type="dxa"/>
            <w:gridSpan w:val="13"/>
            <w:vAlign w:val="center"/>
          </w:tcPr>
          <w:p>
            <w:pPr>
              <w:pStyle w:val="234"/>
              <w:ind w:firstLine="0" w:firstLineChars="0"/>
              <w:jc w:val="center"/>
              <w:rPr>
                <w:rFonts w:hint="default"/>
                <w:b w:val="0"/>
                <w:bCs w:val="0"/>
                <w:i w:val="0"/>
                <w:iCs w:val="0"/>
                <w:lang w:val="en-US" w:eastAsia="zh-CN"/>
              </w:rPr>
            </w:pPr>
            <w:r>
              <w:rPr>
                <w:rFonts w:hint="eastAsia"/>
                <w:b/>
                <w:bCs/>
                <w:i w:val="0"/>
                <w:iCs w:val="0"/>
                <w:lang w:val="en-US" w:eastAsia="zh-CN"/>
              </w:rPr>
              <w:t>二、电流测量量程、测量分辨力误差和报警响应时间试验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85" w:type="dxa"/>
            <w:gridSpan w:val="6"/>
            <w:vAlign w:val="center"/>
          </w:tcPr>
          <w:p>
            <w:pPr>
              <w:pStyle w:val="234"/>
              <w:ind w:firstLine="0" w:firstLineChars="0"/>
              <w:jc w:val="center"/>
              <w:rPr>
                <w:rFonts w:hint="default"/>
                <w:b/>
                <w:bCs/>
                <w:i w:val="0"/>
                <w:iCs w:val="0"/>
                <w:lang w:val="en-US" w:eastAsia="zh-CN"/>
              </w:rPr>
            </w:pPr>
            <w:r>
              <w:rPr>
                <w:rFonts w:hint="eastAsia" w:hAnsi="黑体" w:cs="黑体"/>
                <w:vertAlign w:val="baseline"/>
                <w:lang w:val="en-US" w:eastAsia="zh-CN"/>
              </w:rPr>
              <w:t>报警电流阈值</w:t>
            </w:r>
            <w:r>
              <w:rPr>
                <w:rFonts w:hint="eastAsia"/>
                <w:i/>
                <w:iCs/>
                <w:highlight w:val="none"/>
                <w:lang w:val="en-US" w:eastAsia="zh-CN"/>
              </w:rPr>
              <w:t>I</w:t>
            </w:r>
            <w:r>
              <w:rPr>
                <w:rFonts w:hint="eastAsia"/>
                <w:highlight w:val="none"/>
                <w:vertAlign w:val="subscript"/>
                <w:lang w:val="en-US" w:eastAsia="zh-CN"/>
              </w:rPr>
              <w:t>w</w:t>
            </w:r>
          </w:p>
        </w:tc>
        <w:tc>
          <w:tcPr>
            <w:tcW w:w="4785" w:type="dxa"/>
            <w:gridSpan w:val="7"/>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vAlign w:val="center"/>
          </w:tcPr>
          <w:p>
            <w:pPr>
              <w:pStyle w:val="234"/>
              <w:ind w:firstLine="0" w:firstLineChars="0"/>
              <w:jc w:val="center"/>
              <w:rPr>
                <w:rFonts w:hint="eastAsia" w:ascii="宋体" w:hAnsi="黑体" w:eastAsia="宋体" w:cs="黑体"/>
                <w:sz w:val="21"/>
                <w:vertAlign w:val="baseline"/>
                <w:lang w:val="en-US" w:eastAsia="zh-CN" w:bidi="ar-SA"/>
              </w:rPr>
            </w:pPr>
            <w:r>
              <w:rPr>
                <w:rFonts w:hint="eastAsia"/>
                <w:lang w:val="en-US" w:eastAsia="zh-CN"/>
              </w:rPr>
              <w:t>标准电流</w:t>
            </w:r>
            <w:r>
              <w:rPr>
                <w:rFonts w:hint="eastAsia"/>
                <w:i/>
                <w:iCs/>
                <w:lang w:val="en-US" w:eastAsia="zh-CN"/>
              </w:rPr>
              <w:t>I</w:t>
            </w:r>
            <w:r>
              <w:rPr>
                <w:rFonts w:hint="eastAsia"/>
                <w:vertAlign w:val="subscript"/>
                <w:lang w:val="en-US" w:eastAsia="zh-CN"/>
              </w:rPr>
              <w:t>s</w:t>
            </w:r>
          </w:p>
        </w:tc>
        <w:tc>
          <w:tcPr>
            <w:tcW w:w="1367" w:type="dxa"/>
            <w:gridSpan w:val="2"/>
            <w:vAlign w:val="center"/>
          </w:tcPr>
          <w:p>
            <w:pPr>
              <w:pStyle w:val="234"/>
              <w:ind w:firstLine="0" w:firstLineChars="0"/>
              <w:jc w:val="center"/>
              <w:rPr>
                <w:rFonts w:hint="eastAsia" w:ascii="宋体" w:hAnsi="黑体" w:eastAsia="宋体" w:cs="黑体"/>
                <w:sz w:val="21"/>
                <w:vertAlign w:val="baseline"/>
                <w:lang w:val="en-US" w:eastAsia="zh-CN" w:bidi="ar-SA"/>
              </w:rPr>
            </w:pPr>
            <w:r>
              <w:rPr>
                <w:rFonts w:hint="eastAsia"/>
                <w:vertAlign w:val="baseline"/>
                <w:lang w:val="en-US" w:eastAsia="zh-CN"/>
              </w:rPr>
              <w:t>施加标准电流时刻</w:t>
            </w:r>
            <w:r>
              <w:rPr>
                <w:rFonts w:hint="eastAsia"/>
                <w:i/>
                <w:iCs/>
                <w:lang w:val="en-US" w:eastAsia="zh-CN"/>
              </w:rPr>
              <w:t>T</w:t>
            </w:r>
            <w:r>
              <w:rPr>
                <w:rFonts w:hint="eastAsia"/>
                <w:vertAlign w:val="subscript"/>
                <w:lang w:val="en-US" w:eastAsia="zh-CN"/>
              </w:rPr>
              <w:t>1</w:t>
            </w:r>
          </w:p>
        </w:tc>
        <w:tc>
          <w:tcPr>
            <w:tcW w:w="1367" w:type="dxa"/>
            <w:gridSpan w:val="2"/>
            <w:vAlign w:val="center"/>
          </w:tcPr>
          <w:p>
            <w:pPr>
              <w:pStyle w:val="234"/>
              <w:ind w:firstLine="0" w:firstLineChars="0"/>
              <w:jc w:val="center"/>
              <w:rPr>
                <w:rFonts w:hint="eastAsia" w:ascii="宋体" w:hAnsi="黑体" w:eastAsia="宋体" w:cs="黑体"/>
                <w:sz w:val="21"/>
                <w:vertAlign w:val="baseline"/>
                <w:lang w:val="en-US" w:eastAsia="zh-CN" w:bidi="ar-SA"/>
              </w:rPr>
            </w:pPr>
            <w:r>
              <w:rPr>
                <w:rFonts w:hint="eastAsia" w:hAnsi="黑体" w:cs="黑体"/>
                <w:vertAlign w:val="baseline"/>
                <w:lang w:val="en-US" w:eastAsia="zh-CN"/>
              </w:rPr>
              <w:t>监测电流</w:t>
            </w:r>
            <w:r>
              <w:rPr>
                <w:rFonts w:hint="eastAsia"/>
                <w:b w:val="0"/>
                <w:bCs w:val="0"/>
                <w:i/>
                <w:iCs/>
                <w:lang w:val="en-US" w:eastAsia="zh-CN"/>
              </w:rPr>
              <w:t>I</w:t>
            </w:r>
            <w:r>
              <w:rPr>
                <w:rFonts w:hint="eastAsia"/>
                <w:vertAlign w:val="subscript"/>
                <w:lang w:val="en-US" w:eastAsia="zh-CN"/>
              </w:rPr>
              <w:t>t</w:t>
            </w:r>
          </w:p>
        </w:tc>
        <w:tc>
          <w:tcPr>
            <w:tcW w:w="1367" w:type="dxa"/>
            <w:gridSpan w:val="3"/>
            <w:vAlign w:val="center"/>
          </w:tcPr>
          <w:p>
            <w:pPr>
              <w:pStyle w:val="234"/>
              <w:ind w:firstLine="0" w:firstLineChars="0"/>
              <w:jc w:val="center"/>
              <w:rPr>
                <w:rFonts w:hint="eastAsia" w:ascii="宋体" w:hAnsi="黑体" w:eastAsia="宋体" w:cs="黑体"/>
                <w:sz w:val="21"/>
                <w:vertAlign w:val="baseline"/>
                <w:lang w:val="en-US" w:eastAsia="zh-CN" w:bidi="ar-SA"/>
              </w:rPr>
            </w:pPr>
            <w:r>
              <w:rPr>
                <w:rFonts w:hint="eastAsia"/>
                <w:vertAlign w:val="baseline"/>
                <w:lang w:val="en-US" w:eastAsia="zh-CN"/>
              </w:rPr>
              <w:t>监测电流传输至</w:t>
            </w:r>
            <w:r>
              <w:rPr>
                <w:rFonts w:hint="eastAsia"/>
                <w:lang w:val="en-US" w:eastAsia="zh-CN"/>
              </w:rPr>
              <w:t>平台</w:t>
            </w:r>
            <w:r>
              <w:rPr>
                <w:rFonts w:hint="eastAsia"/>
                <w:vertAlign w:val="baseline"/>
                <w:lang w:val="en-US" w:eastAsia="zh-CN"/>
              </w:rPr>
              <w:t>时刻</w:t>
            </w:r>
            <w:r>
              <w:rPr>
                <w:rFonts w:hint="eastAsia"/>
                <w:i/>
                <w:iCs/>
                <w:lang w:val="en-US" w:eastAsia="zh-CN"/>
              </w:rPr>
              <w:t>T</w:t>
            </w:r>
            <w:r>
              <w:rPr>
                <w:rFonts w:hint="eastAsia"/>
                <w:vertAlign w:val="subscript"/>
                <w:lang w:val="en-US" w:eastAsia="zh-CN"/>
              </w:rPr>
              <w:t>2</w:t>
            </w:r>
          </w:p>
        </w:tc>
        <w:tc>
          <w:tcPr>
            <w:tcW w:w="1367" w:type="dxa"/>
            <w:vAlign w:val="center"/>
          </w:tcPr>
          <w:p>
            <w:pPr>
              <w:pStyle w:val="234"/>
              <w:ind w:firstLine="0" w:firstLineChars="0"/>
              <w:jc w:val="center"/>
              <w:rPr>
                <w:rFonts w:hint="eastAsia" w:ascii="宋体" w:hAnsi="Times New Roman" w:eastAsia="宋体" w:cs="Times New Roman"/>
                <w:sz w:val="21"/>
                <w:vertAlign w:val="baseline"/>
                <w:lang w:val="en-US" w:eastAsia="zh-CN" w:bidi="ar-SA"/>
              </w:rPr>
            </w:pPr>
            <w:r>
              <w:rPr>
                <w:rFonts w:hint="eastAsia"/>
                <w:b w:val="0"/>
                <w:bCs w:val="0"/>
                <w:i w:val="0"/>
                <w:iCs w:val="0"/>
                <w:lang w:val="en-US" w:eastAsia="zh-CN"/>
              </w:rPr>
              <w:t>监测电流误差绝对值|</w:t>
            </w:r>
            <w:r>
              <w:rPr>
                <w:rFonts w:hint="eastAsia"/>
                <w:b w:val="0"/>
                <w:bCs w:val="0"/>
                <w:i/>
                <w:iCs/>
                <w:lang w:val="en-US" w:eastAsia="zh-CN"/>
              </w:rPr>
              <w:t>I</w:t>
            </w:r>
            <w:r>
              <w:rPr>
                <w:rFonts w:hint="eastAsia"/>
                <w:vertAlign w:val="subscript"/>
                <w:lang w:val="en-US" w:eastAsia="zh-CN"/>
              </w:rPr>
              <w:t>t</w:t>
            </w:r>
            <w:r>
              <w:rPr>
                <w:rFonts w:hint="eastAsia"/>
                <w:vertAlign w:val="baseline"/>
                <w:lang w:val="en-US" w:eastAsia="zh-CN"/>
              </w:rPr>
              <w:t>-</w:t>
            </w:r>
            <w:r>
              <w:rPr>
                <w:rFonts w:hint="eastAsia"/>
                <w:i/>
                <w:iCs/>
                <w:lang w:val="en-US" w:eastAsia="zh-CN"/>
              </w:rPr>
              <w:t>I</w:t>
            </w:r>
            <w:r>
              <w:rPr>
                <w:rFonts w:hint="eastAsia"/>
                <w:vertAlign w:val="subscript"/>
                <w:lang w:val="en-US" w:eastAsia="zh-CN"/>
              </w:rPr>
              <w:t>s</w:t>
            </w:r>
            <w:r>
              <w:rPr>
                <w:rFonts w:hint="eastAsia"/>
                <w:b w:val="0"/>
                <w:bCs w:val="0"/>
                <w:i w:val="0"/>
                <w:iCs w:val="0"/>
                <w:lang w:val="en-US" w:eastAsia="zh-CN"/>
              </w:rPr>
              <w:t>|</w:t>
            </w:r>
          </w:p>
        </w:tc>
        <w:tc>
          <w:tcPr>
            <w:tcW w:w="1367" w:type="dxa"/>
            <w:gridSpan w:val="2"/>
            <w:vAlign w:val="center"/>
          </w:tcPr>
          <w:p>
            <w:pPr>
              <w:pStyle w:val="234"/>
              <w:ind w:firstLine="0" w:firstLineChars="0"/>
              <w:jc w:val="center"/>
              <w:rPr>
                <w:rFonts w:hint="default"/>
                <w:b w:val="0"/>
                <w:bCs w:val="0"/>
                <w:i/>
                <w:iCs/>
                <w:vertAlign w:val="baseline"/>
                <w:lang w:val="en-US" w:eastAsia="zh-CN"/>
              </w:rPr>
            </w:pPr>
            <w:r>
              <w:rPr>
                <w:rFonts w:hint="eastAsia"/>
                <w:b w:val="0"/>
                <w:bCs w:val="0"/>
                <w:i w:val="0"/>
                <w:iCs w:val="0"/>
                <w:lang w:val="en-US" w:eastAsia="zh-CN"/>
              </w:rPr>
              <w:t>监测电流误差要求值</w:t>
            </w:r>
            <w:r>
              <w:rPr>
                <w:rFonts w:hint="eastAsia"/>
                <w:color w:val="auto"/>
                <w:highlight w:val="none"/>
                <w:lang w:val="en-US" w:eastAsia="zh-CN"/>
              </w:rPr>
              <w:t>5%</w:t>
            </w:r>
            <w:r>
              <w:rPr>
                <w:rFonts w:hint="eastAsia"/>
                <w:i/>
                <w:iCs/>
                <w:lang w:val="en-US" w:eastAsia="zh-CN"/>
              </w:rPr>
              <w:t>I</w:t>
            </w:r>
            <w:r>
              <w:rPr>
                <w:rFonts w:hint="eastAsia"/>
                <w:vertAlign w:val="subscript"/>
                <w:lang w:val="en-US" w:eastAsia="zh-CN"/>
              </w:rPr>
              <w:t>s</w:t>
            </w:r>
            <w:r>
              <w:rPr>
                <w:rFonts w:hint="eastAsia"/>
                <w:color w:val="auto"/>
                <w:highlight w:val="none"/>
                <w:lang w:val="en-US" w:eastAsia="zh-CN"/>
              </w:rPr>
              <w:t>+0.1A</w:t>
            </w:r>
          </w:p>
        </w:tc>
        <w:tc>
          <w:tcPr>
            <w:tcW w:w="1368" w:type="dxa"/>
            <w:gridSpan w:val="2"/>
            <w:vAlign w:val="center"/>
          </w:tcPr>
          <w:p>
            <w:pPr>
              <w:pStyle w:val="234"/>
              <w:ind w:firstLine="0" w:firstLineChars="0"/>
              <w:jc w:val="center"/>
              <w:rPr>
                <w:rFonts w:hint="eastAsia" w:ascii="宋体" w:hAnsi="Times New Roman" w:eastAsia="宋体" w:cs="Times New Roman"/>
                <w:b w:val="0"/>
                <w:bCs w:val="0"/>
                <w:i w:val="0"/>
                <w:iCs w:val="0"/>
                <w:sz w:val="21"/>
                <w:lang w:val="en-US" w:eastAsia="zh-CN" w:bidi="ar-SA"/>
              </w:rPr>
            </w:pPr>
            <w:r>
              <w:rPr>
                <w:rFonts w:hint="eastAsia"/>
                <w:i/>
                <w:iCs/>
                <w:highlight w:val="none"/>
                <w:lang w:val="en-US" w:eastAsia="zh-CN"/>
              </w:rPr>
              <w:t>I</w:t>
            </w:r>
            <w:r>
              <w:rPr>
                <w:rFonts w:hint="eastAsia"/>
                <w:highlight w:val="none"/>
                <w:vertAlign w:val="subscript"/>
                <w:lang w:val="en-US" w:eastAsia="zh-CN"/>
              </w:rPr>
              <w:t>t</w:t>
            </w:r>
            <w:r>
              <w:rPr>
                <w:rFonts w:hint="eastAsia"/>
                <w:highlight w:val="none"/>
                <w:vertAlign w:val="baseline"/>
                <w:lang w:val="en-US" w:eastAsia="zh-CN"/>
              </w:rPr>
              <w:t>≥</w:t>
            </w:r>
            <w:r>
              <w:rPr>
                <w:rFonts w:hint="eastAsia"/>
                <w:i/>
                <w:iCs/>
                <w:highlight w:val="none"/>
                <w:lang w:val="en-US" w:eastAsia="zh-CN"/>
              </w:rPr>
              <w:t>I</w:t>
            </w:r>
            <w:r>
              <w:rPr>
                <w:rFonts w:hint="eastAsia"/>
                <w:highlight w:val="none"/>
                <w:vertAlign w:val="subscript"/>
                <w:lang w:val="en-US" w:eastAsia="zh-CN"/>
              </w:rPr>
              <w:t>w</w:t>
            </w:r>
            <w:r>
              <w:rPr>
                <w:rFonts w:hint="eastAsia"/>
                <w:highlight w:val="none"/>
                <w:vertAlign w:val="baseline"/>
                <w:lang w:val="en-US" w:eastAsia="zh-CN"/>
              </w:rPr>
              <w:t>时的报警响应时间</w:t>
            </w:r>
            <w:r>
              <w:rPr>
                <w:rFonts w:hint="eastAsia"/>
                <w:i/>
                <w:iCs/>
                <w:lang w:val="en-US" w:eastAsia="zh-CN"/>
              </w:rPr>
              <w:t>T</w:t>
            </w:r>
            <w:r>
              <w:rPr>
                <w:rFonts w:hint="eastAsia"/>
                <w:vertAlign w:val="subscript"/>
                <w:lang w:val="en-US" w:eastAsia="zh-CN"/>
              </w:rPr>
              <w:t>2</w:t>
            </w:r>
            <w:r>
              <w:rPr>
                <w:rFonts w:hint="eastAsia"/>
                <w:vertAlign w:val="baseline"/>
                <w:lang w:val="en-US" w:eastAsia="zh-CN"/>
              </w:rPr>
              <w:t>-</w:t>
            </w:r>
            <w:r>
              <w:rPr>
                <w:rFonts w:hint="eastAsia"/>
                <w:i/>
                <w:iCs/>
                <w:lang w:val="en-US" w:eastAsia="zh-CN"/>
              </w:rPr>
              <w:t>T</w:t>
            </w:r>
            <w:r>
              <w:rPr>
                <w:rFonts w:hint="eastAsia"/>
                <w:vertAlign w:val="sub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7" w:type="dxa"/>
            <w:gridSpan w:val="3"/>
            <w:vAlign w:val="center"/>
          </w:tcPr>
          <w:p>
            <w:pPr>
              <w:pStyle w:val="234"/>
              <w:ind w:firstLine="0" w:firstLineChars="0"/>
              <w:jc w:val="center"/>
              <w:rPr>
                <w:rFonts w:hint="eastAsia" w:hAnsi="黑体" w:cs="黑体"/>
                <w:vertAlign w:val="baseline"/>
                <w:lang w:val="en-US" w:eastAsia="zh-CN"/>
              </w:rPr>
            </w:pPr>
          </w:p>
        </w:tc>
        <w:tc>
          <w:tcPr>
            <w:tcW w:w="1367" w:type="dxa"/>
            <w:vAlign w:val="center"/>
          </w:tcPr>
          <w:p>
            <w:pPr>
              <w:pStyle w:val="234"/>
              <w:ind w:firstLine="0" w:firstLineChars="0"/>
              <w:jc w:val="center"/>
              <w:rPr>
                <w:rFonts w:hint="eastAsia" w:hAnsi="黑体" w:cs="黑体"/>
                <w:vertAlign w:val="baseline"/>
                <w:lang w:val="en-US" w:eastAsia="zh-CN"/>
              </w:rPr>
            </w:pPr>
          </w:p>
        </w:tc>
        <w:tc>
          <w:tcPr>
            <w:tcW w:w="1367" w:type="dxa"/>
            <w:gridSpan w:val="2"/>
            <w:vAlign w:val="center"/>
          </w:tcPr>
          <w:p>
            <w:pPr>
              <w:pStyle w:val="234"/>
              <w:ind w:firstLine="0" w:firstLineChars="0"/>
              <w:jc w:val="center"/>
              <w:rPr>
                <w:rFonts w:hint="eastAsia" w:hAnsi="黑体" w:cs="黑体"/>
                <w:vertAlign w:val="baseline"/>
                <w:lang w:val="en-US" w:eastAsia="zh-CN"/>
              </w:rPr>
            </w:pPr>
          </w:p>
        </w:tc>
        <w:tc>
          <w:tcPr>
            <w:tcW w:w="1368" w:type="dxa"/>
            <w:gridSpan w:val="2"/>
            <w:vAlign w:val="center"/>
          </w:tcPr>
          <w:p>
            <w:pPr>
              <w:pStyle w:val="234"/>
              <w:ind w:firstLine="0" w:firstLineChars="0"/>
              <w:jc w:val="center"/>
              <w:rPr>
                <w:rFonts w:hint="eastAsia" w:hAnsi="黑体" w:cs="黑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570" w:type="dxa"/>
            <w:gridSpan w:val="13"/>
            <w:vAlign w:val="center"/>
          </w:tcPr>
          <w:p>
            <w:pPr>
              <w:pStyle w:val="234"/>
              <w:ind w:firstLine="0" w:firstLineChars="0"/>
              <w:jc w:val="left"/>
              <w:rPr>
                <w:rFonts w:hint="eastAsia" w:hAnsi="黑体" w:cs="黑体"/>
                <w:vertAlign w:val="baseline"/>
                <w:lang w:val="en-US" w:eastAsia="zh-CN"/>
              </w:rPr>
            </w:pPr>
            <w:r>
              <w:rPr>
                <w:rFonts w:hint="eastAsia" w:hAnsi="黑体" w:cs="黑体"/>
                <w:vertAlign w:val="baseline"/>
                <w:lang w:val="en-US" w:eastAsia="zh-CN"/>
              </w:rPr>
              <w:t>综合校验结果：</w:t>
            </w:r>
          </w:p>
          <w:p>
            <w:pPr>
              <w:pStyle w:val="234"/>
              <w:ind w:firstLine="0" w:firstLineChars="0"/>
              <w:jc w:val="left"/>
              <w:rPr>
                <w:rFonts w:hint="eastAsia" w:hAnsi="黑体" w:cs="黑体"/>
                <w:vertAlign w:val="baseline"/>
                <w:lang w:val="en-US" w:eastAsia="zh-CN"/>
              </w:rPr>
            </w:pPr>
          </w:p>
          <w:p>
            <w:pPr>
              <w:pStyle w:val="234"/>
              <w:ind w:firstLine="0" w:firstLineChars="0"/>
              <w:jc w:val="left"/>
              <w:rPr>
                <w:rFonts w:hint="eastAsia" w:hAnsi="黑体" w:cs="黑体"/>
                <w:vertAlign w:val="baseline"/>
                <w:lang w:val="en-US" w:eastAsia="zh-CN"/>
              </w:rPr>
            </w:pPr>
          </w:p>
          <w:p>
            <w:pPr>
              <w:pStyle w:val="234"/>
              <w:ind w:firstLine="0" w:firstLineChars="0"/>
              <w:jc w:val="left"/>
              <w:rPr>
                <w:rFonts w:hint="eastAsia" w:hAnsi="黑体" w:cs="黑体"/>
                <w:vertAlign w:val="baseline"/>
                <w:lang w:val="en-US" w:eastAsia="zh-CN"/>
              </w:rPr>
            </w:pPr>
          </w:p>
          <w:p>
            <w:pPr>
              <w:pStyle w:val="234"/>
              <w:ind w:firstLine="0" w:firstLineChars="0"/>
              <w:jc w:val="left"/>
              <w:rPr>
                <w:rFonts w:hint="default" w:hAnsi="黑体" w:cs="黑体"/>
                <w:vertAlign w:val="baseline"/>
                <w:lang w:val="en-US" w:eastAsia="zh-CN"/>
              </w:rPr>
            </w:pPr>
          </w:p>
          <w:p>
            <w:pPr>
              <w:pStyle w:val="234"/>
              <w:ind w:firstLine="0" w:firstLineChars="0"/>
              <w:jc w:val="left"/>
              <w:rPr>
                <w:rFonts w:hint="default" w:hAnsi="黑体" w:cs="黑体"/>
                <w:vertAlign w:val="baseline"/>
                <w:lang w:val="en-US" w:eastAsia="zh-CN"/>
              </w:rPr>
            </w:pPr>
          </w:p>
        </w:tc>
      </w:tr>
      <w:bookmarkEnd w:id="18"/>
    </w:tbl>
    <w:p>
      <w:pPr>
        <w:pStyle w:val="58"/>
      </w:pPr>
      <w:r>
        <mc:AlternateContent>
          <mc:Choice Requires="wps">
            <w:drawing>
              <wp:anchor distT="0" distB="0" distL="114300" distR="114300" simplePos="0" relativeHeight="251662336" behindDoc="0" locked="0" layoutInCell="1" allowOverlap="1">
                <wp:simplePos x="0" y="0"/>
                <wp:positionH relativeFrom="column">
                  <wp:posOffset>1294130</wp:posOffset>
                </wp:positionH>
                <wp:positionV relativeFrom="paragraph">
                  <wp:posOffset>427355</wp:posOffset>
                </wp:positionV>
                <wp:extent cx="3181350" cy="0"/>
                <wp:effectExtent l="0" t="5080" r="3810" b="6350"/>
                <wp:wrapNone/>
                <wp:docPr id="4" name="直接连接符 4"/>
                <wp:cNvGraphicFramePr/>
                <a:graphic xmlns:a="http://schemas.openxmlformats.org/drawingml/2006/main">
                  <a:graphicData uri="http://schemas.microsoft.com/office/word/2010/wordprocessingShape">
                    <wps:wsp>
                      <wps:cNvCnPr/>
                      <wps:spPr>
                        <a:xfrm>
                          <a:off x="2194560" y="2943860"/>
                          <a:ext cx="318135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01.9pt;margin-top:33.65pt;height:0pt;width:250.5pt;z-index:251662336;mso-width-relative:page;mso-height-relative:page;" filled="f" stroked="t" coordsize="21600,21600" o:gfxdata="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oh3wj1QAAAAkBAAAPAAAAAAAAAAEAIAAAACIAAABk&#10;cnMvZG93bnJldi54bWxQSwECFAAUAAAACACHTuJAk9KbztABAACEAwAADgAAAAAAAAABACAAAAAk&#10;AQAAZHJzL2Uyb0RvYy54bWxQSwUGAAAAAAYABgBZAQAAZgUAAAAA&#10;">
                <v:fill on="f" focussize="0,0"/>
                <v:stroke color="#000000" joinstyle="round"/>
                <v:imagedata o:title=""/>
                <o:lock v:ext="edit" aspectratio="f"/>
              </v:line>
            </w:pict>
          </mc:Fallback>
        </mc:AlternateContent>
      </w:r>
    </w:p>
    <w:sectPr>
      <w:pgSz w:w="11906" w:h="16838"/>
      <w:pgMar w:top="567"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8</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4"/>
                          </w:pPr>
                          <w:r>
                            <w:fldChar w:fldCharType="begin"/>
                          </w:r>
                          <w:r>
                            <w:instrText xml:space="preserve">PAGE   \* MERGEFORMAT</w:instrText>
                          </w:r>
                          <w:r>
                            <w:fldChar w:fldCharType="separate"/>
                          </w:r>
                          <w:r>
                            <w:rPr>
                              <w:lang w:val="zh-CN"/>
                            </w:rP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4"/>
                    </w:pPr>
                    <w:r>
                      <w:fldChar w:fldCharType="begin"/>
                    </w:r>
                    <w:r>
                      <w:instrText xml:space="preserve">PAGE   \* MERGEFORMAT</w:instrText>
                    </w:r>
                    <w:r>
                      <w:fldChar w:fldCharType="separate"/>
                    </w:r>
                    <w:r>
                      <w:rPr>
                        <w:lang w:val="zh-CN"/>
                      </w:rPr>
                      <w:t>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7418F"/>
    <w:multiLevelType w:val="singleLevel"/>
    <w:tmpl w:val="DDC7418F"/>
    <w:lvl w:ilvl="0" w:tentative="0">
      <w:start w:val="1"/>
      <w:numFmt w:val="lowerLetter"/>
      <w:suff w:val="nothing"/>
      <w:lvlText w:val="%1）"/>
      <w:lvlJc w:val="left"/>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23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18"/>
  </w:num>
  <w:num w:numId="17">
    <w:abstractNumId w:val="30"/>
  </w:num>
  <w:num w:numId="18">
    <w:abstractNumId w:val="16"/>
  </w:num>
  <w:num w:numId="19">
    <w:abstractNumId w:val="2"/>
  </w:num>
  <w:num w:numId="20">
    <w:abstractNumId w:val="11"/>
  </w:num>
  <w:num w:numId="21">
    <w:abstractNumId w:val="31"/>
  </w:num>
  <w:num w:numId="22">
    <w:abstractNumId w:val="21"/>
  </w:num>
  <w:num w:numId="23">
    <w:abstractNumId w:val="7"/>
  </w:num>
  <w:num w:numId="24">
    <w:abstractNumId w:val="27"/>
  </w:num>
  <w:num w:numId="25">
    <w:abstractNumId w:val="29"/>
  </w:num>
  <w:num w:numId="26">
    <w:abstractNumId w:val="3"/>
  </w:num>
  <w:num w:numId="27">
    <w:abstractNumId w:val="5"/>
  </w:num>
  <w:num w:numId="28">
    <w:abstractNumId w:val="15"/>
  </w:num>
  <w:num w:numId="29">
    <w:abstractNumId w:val="25"/>
  </w:num>
  <w:num w:numId="30">
    <w:abstractNumId w:val="23"/>
  </w:num>
  <w:num w:numId="31">
    <w:abstractNumId w:val="22"/>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MWY2ODZlZjIwYzQ4ZTg4MDhjNWNlZDZmZjhiYWYifQ=="/>
  </w:docVars>
  <w:rsids>
    <w:rsidRoot w:val="00E07812"/>
    <w:rsid w:val="0000040A"/>
    <w:rsid w:val="00000A94"/>
    <w:rsid w:val="00001972"/>
    <w:rsid w:val="00001D9A"/>
    <w:rsid w:val="00007B3A"/>
    <w:rsid w:val="000107E0"/>
    <w:rsid w:val="000118B3"/>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33C"/>
    <w:rsid w:val="0006357D"/>
    <w:rsid w:val="00067F1E"/>
    <w:rsid w:val="00071CC0"/>
    <w:rsid w:val="00073C8C"/>
    <w:rsid w:val="00077B64"/>
    <w:rsid w:val="00080A1C"/>
    <w:rsid w:val="00082317"/>
    <w:rsid w:val="00083D2C"/>
    <w:rsid w:val="00086499"/>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37A"/>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061"/>
    <w:rsid w:val="000F4AEA"/>
    <w:rsid w:val="000F633F"/>
    <w:rsid w:val="000F67E9"/>
    <w:rsid w:val="00104926"/>
    <w:rsid w:val="00113B1E"/>
    <w:rsid w:val="0011711C"/>
    <w:rsid w:val="0012059C"/>
    <w:rsid w:val="00124DE1"/>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DA1"/>
    <w:rsid w:val="00156B25"/>
    <w:rsid w:val="00156E1A"/>
    <w:rsid w:val="00157894"/>
    <w:rsid w:val="00157B55"/>
    <w:rsid w:val="001642FA"/>
    <w:rsid w:val="001649EB"/>
    <w:rsid w:val="00164BAF"/>
    <w:rsid w:val="00164FA8"/>
    <w:rsid w:val="00165065"/>
    <w:rsid w:val="00165434"/>
    <w:rsid w:val="0016580B"/>
    <w:rsid w:val="00165F49"/>
    <w:rsid w:val="001669D4"/>
    <w:rsid w:val="00166B88"/>
    <w:rsid w:val="0016770A"/>
    <w:rsid w:val="00170804"/>
    <w:rsid w:val="001708E9"/>
    <w:rsid w:val="00170F87"/>
    <w:rsid w:val="00172DD5"/>
    <w:rsid w:val="0017340B"/>
    <w:rsid w:val="00173FB1"/>
    <w:rsid w:val="00176DFD"/>
    <w:rsid w:val="001819C5"/>
    <w:rsid w:val="001852C9"/>
    <w:rsid w:val="00190087"/>
    <w:rsid w:val="00191108"/>
    <w:rsid w:val="001913C4"/>
    <w:rsid w:val="001920B8"/>
    <w:rsid w:val="0019348F"/>
    <w:rsid w:val="00193A07"/>
    <w:rsid w:val="00194C95"/>
    <w:rsid w:val="00195C34"/>
    <w:rsid w:val="00196EF5"/>
    <w:rsid w:val="001A03E6"/>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E31"/>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C62"/>
    <w:rsid w:val="0026148A"/>
    <w:rsid w:val="00262696"/>
    <w:rsid w:val="00263D25"/>
    <w:rsid w:val="002643C3"/>
    <w:rsid w:val="00264A0C"/>
    <w:rsid w:val="00266EEB"/>
    <w:rsid w:val="00267EF4"/>
    <w:rsid w:val="00270CB8"/>
    <w:rsid w:val="00272B08"/>
    <w:rsid w:val="0027578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9AE"/>
    <w:rsid w:val="002F7AF6"/>
    <w:rsid w:val="00300860"/>
    <w:rsid w:val="00300E63"/>
    <w:rsid w:val="00302F5F"/>
    <w:rsid w:val="0030441D"/>
    <w:rsid w:val="00306063"/>
    <w:rsid w:val="0030733A"/>
    <w:rsid w:val="00313B85"/>
    <w:rsid w:val="00317988"/>
    <w:rsid w:val="00317CC1"/>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DB9"/>
    <w:rsid w:val="003615D2"/>
    <w:rsid w:val="0036429C"/>
    <w:rsid w:val="00364728"/>
    <w:rsid w:val="00364A53"/>
    <w:rsid w:val="003654CB"/>
    <w:rsid w:val="00365AA9"/>
    <w:rsid w:val="00365F86"/>
    <w:rsid w:val="00365F87"/>
    <w:rsid w:val="00366E89"/>
    <w:rsid w:val="003705F4"/>
    <w:rsid w:val="00370D58"/>
    <w:rsid w:val="00371316"/>
    <w:rsid w:val="0037416F"/>
    <w:rsid w:val="00376340"/>
    <w:rsid w:val="00376713"/>
    <w:rsid w:val="00381815"/>
    <w:rsid w:val="003819AF"/>
    <w:rsid w:val="003820E9"/>
    <w:rsid w:val="00382DE7"/>
    <w:rsid w:val="00384FFC"/>
    <w:rsid w:val="003869D9"/>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2CFF"/>
    <w:rsid w:val="003F3CFA"/>
    <w:rsid w:val="003F3F08"/>
    <w:rsid w:val="003F49F1"/>
    <w:rsid w:val="003F6272"/>
    <w:rsid w:val="00400E72"/>
    <w:rsid w:val="00401400"/>
    <w:rsid w:val="00404869"/>
    <w:rsid w:val="00405884"/>
    <w:rsid w:val="00407D39"/>
    <w:rsid w:val="0041477A"/>
    <w:rsid w:val="004167A3"/>
    <w:rsid w:val="004272D1"/>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C32"/>
    <w:rsid w:val="004746B1"/>
    <w:rsid w:val="004757F9"/>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1EE1"/>
    <w:rsid w:val="004A4B57"/>
    <w:rsid w:val="004A63FA"/>
    <w:rsid w:val="004B0272"/>
    <w:rsid w:val="004B2701"/>
    <w:rsid w:val="004B2E1B"/>
    <w:rsid w:val="004B3AA8"/>
    <w:rsid w:val="004B3E93"/>
    <w:rsid w:val="004C18AA"/>
    <w:rsid w:val="004C1FBC"/>
    <w:rsid w:val="004C3F1D"/>
    <w:rsid w:val="004C458D"/>
    <w:rsid w:val="004C7556"/>
    <w:rsid w:val="004C7E8B"/>
    <w:rsid w:val="004C7E9D"/>
    <w:rsid w:val="004C7F67"/>
    <w:rsid w:val="004D076D"/>
    <w:rsid w:val="004D0EF1"/>
    <w:rsid w:val="004D2253"/>
    <w:rsid w:val="004D2FC2"/>
    <w:rsid w:val="004D4406"/>
    <w:rsid w:val="004D7C42"/>
    <w:rsid w:val="004E0465"/>
    <w:rsid w:val="004E127B"/>
    <w:rsid w:val="004E1C0A"/>
    <w:rsid w:val="004E2B06"/>
    <w:rsid w:val="004E30C5"/>
    <w:rsid w:val="004E4AA5"/>
    <w:rsid w:val="004E4AEE"/>
    <w:rsid w:val="004E5328"/>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E26"/>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5B5"/>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47E"/>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AA8"/>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392"/>
    <w:rsid w:val="006840A6"/>
    <w:rsid w:val="006850CD"/>
    <w:rsid w:val="00685AAB"/>
    <w:rsid w:val="006A07AA"/>
    <w:rsid w:val="006A25E5"/>
    <w:rsid w:val="006A2B46"/>
    <w:rsid w:val="006A336D"/>
    <w:rsid w:val="006A37B9"/>
    <w:rsid w:val="006A64C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0449"/>
    <w:rsid w:val="006F2ACA"/>
    <w:rsid w:val="006F2ADC"/>
    <w:rsid w:val="006F2BFE"/>
    <w:rsid w:val="006F31E9"/>
    <w:rsid w:val="006F6284"/>
    <w:rsid w:val="007002C5"/>
    <w:rsid w:val="00704387"/>
    <w:rsid w:val="00707669"/>
    <w:rsid w:val="00711CBA"/>
    <w:rsid w:val="00711FB5"/>
    <w:rsid w:val="00712A01"/>
    <w:rsid w:val="007134F6"/>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F94"/>
    <w:rsid w:val="0078114B"/>
    <w:rsid w:val="00781DD2"/>
    <w:rsid w:val="00783ECF"/>
    <w:rsid w:val="0078413A"/>
    <w:rsid w:val="0078422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1A4"/>
    <w:rsid w:val="007D6518"/>
    <w:rsid w:val="007D76BD"/>
    <w:rsid w:val="007E0BF1"/>
    <w:rsid w:val="007E3A80"/>
    <w:rsid w:val="007F0ED8"/>
    <w:rsid w:val="007F0F63"/>
    <w:rsid w:val="007F75CE"/>
    <w:rsid w:val="00800B3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FE0"/>
    <w:rsid w:val="008373D3"/>
    <w:rsid w:val="00840617"/>
    <w:rsid w:val="00840F84"/>
    <w:rsid w:val="00842A47"/>
    <w:rsid w:val="0084381E"/>
    <w:rsid w:val="00843C13"/>
    <w:rsid w:val="008454F8"/>
    <w:rsid w:val="0085173A"/>
    <w:rsid w:val="00856316"/>
    <w:rsid w:val="008603CE"/>
    <w:rsid w:val="008606E8"/>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13D"/>
    <w:rsid w:val="008B4AC4"/>
    <w:rsid w:val="008B50C8"/>
    <w:rsid w:val="008B5281"/>
    <w:rsid w:val="008B7E05"/>
    <w:rsid w:val="008C1797"/>
    <w:rsid w:val="008C219C"/>
    <w:rsid w:val="008C475E"/>
    <w:rsid w:val="008C619A"/>
    <w:rsid w:val="008D0CE8"/>
    <w:rsid w:val="008D1F2F"/>
    <w:rsid w:val="008D2D1D"/>
    <w:rsid w:val="008D453D"/>
    <w:rsid w:val="008D53AD"/>
    <w:rsid w:val="008D562B"/>
    <w:rsid w:val="008D5733"/>
    <w:rsid w:val="008D622B"/>
    <w:rsid w:val="008D666C"/>
    <w:rsid w:val="008D78CB"/>
    <w:rsid w:val="008D7B54"/>
    <w:rsid w:val="008E0C9D"/>
    <w:rsid w:val="008E1648"/>
    <w:rsid w:val="008E1B3E"/>
    <w:rsid w:val="008E2319"/>
    <w:rsid w:val="008E4BB6"/>
    <w:rsid w:val="008E5518"/>
    <w:rsid w:val="008E6A84"/>
    <w:rsid w:val="008F0265"/>
    <w:rsid w:val="008F0CDC"/>
    <w:rsid w:val="008F17A3"/>
    <w:rsid w:val="008F1ED3"/>
    <w:rsid w:val="008F23A5"/>
    <w:rsid w:val="008F3F9A"/>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597"/>
    <w:rsid w:val="0095496B"/>
    <w:rsid w:val="00955C58"/>
    <w:rsid w:val="009610DC"/>
    <w:rsid w:val="00961490"/>
    <w:rsid w:val="0096381A"/>
    <w:rsid w:val="00965E04"/>
    <w:rsid w:val="009674AD"/>
    <w:rsid w:val="00970CDC"/>
    <w:rsid w:val="00977010"/>
    <w:rsid w:val="00977D02"/>
    <w:rsid w:val="009809BB"/>
    <w:rsid w:val="0098364B"/>
    <w:rsid w:val="00985988"/>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666"/>
    <w:rsid w:val="009A681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BA"/>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6E2"/>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6E5B"/>
    <w:rsid w:val="00AA052C"/>
    <w:rsid w:val="00AA1E45"/>
    <w:rsid w:val="00AA4286"/>
    <w:rsid w:val="00AA456B"/>
    <w:rsid w:val="00AA57F5"/>
    <w:rsid w:val="00AA672E"/>
    <w:rsid w:val="00AA6EC9"/>
    <w:rsid w:val="00AB41D5"/>
    <w:rsid w:val="00AB6309"/>
    <w:rsid w:val="00AB6C5F"/>
    <w:rsid w:val="00AB7129"/>
    <w:rsid w:val="00AC0E3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1C9"/>
    <w:rsid w:val="00B62B58"/>
    <w:rsid w:val="00B65149"/>
    <w:rsid w:val="00B66567"/>
    <w:rsid w:val="00B66F28"/>
    <w:rsid w:val="00B66F52"/>
    <w:rsid w:val="00B66FE5"/>
    <w:rsid w:val="00B72880"/>
    <w:rsid w:val="00B758BF"/>
    <w:rsid w:val="00B77EC8"/>
    <w:rsid w:val="00B827A6"/>
    <w:rsid w:val="00B831CE"/>
    <w:rsid w:val="00B83AD6"/>
    <w:rsid w:val="00B86677"/>
    <w:rsid w:val="00B87131"/>
    <w:rsid w:val="00B939B1"/>
    <w:rsid w:val="00B957A0"/>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002"/>
    <w:rsid w:val="00C521D6"/>
    <w:rsid w:val="00C55232"/>
    <w:rsid w:val="00C553A4"/>
    <w:rsid w:val="00C55A06"/>
    <w:rsid w:val="00C55D03"/>
    <w:rsid w:val="00C601BC"/>
    <w:rsid w:val="00C6329F"/>
    <w:rsid w:val="00C63340"/>
    <w:rsid w:val="00C643F9"/>
    <w:rsid w:val="00C64E95"/>
    <w:rsid w:val="00C65C64"/>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62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74E"/>
    <w:rsid w:val="00CD5E0D"/>
    <w:rsid w:val="00CE0C4F"/>
    <w:rsid w:val="00CE30EA"/>
    <w:rsid w:val="00CF048A"/>
    <w:rsid w:val="00CF155A"/>
    <w:rsid w:val="00CF1824"/>
    <w:rsid w:val="00CF2947"/>
    <w:rsid w:val="00CF686F"/>
    <w:rsid w:val="00CF6E60"/>
    <w:rsid w:val="00CF7BCA"/>
    <w:rsid w:val="00D008FD"/>
    <w:rsid w:val="00D025C4"/>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5CD"/>
    <w:rsid w:val="00D4162B"/>
    <w:rsid w:val="00D4514F"/>
    <w:rsid w:val="00D451E2"/>
    <w:rsid w:val="00D45E89"/>
    <w:rsid w:val="00D45E8D"/>
    <w:rsid w:val="00D466AE"/>
    <w:rsid w:val="00D4734F"/>
    <w:rsid w:val="00D51BF3"/>
    <w:rsid w:val="00D54AAA"/>
    <w:rsid w:val="00D66846"/>
    <w:rsid w:val="00D675FB"/>
    <w:rsid w:val="00D679B7"/>
    <w:rsid w:val="00D71F25"/>
    <w:rsid w:val="00D72A9C"/>
    <w:rsid w:val="00D77031"/>
    <w:rsid w:val="00D84941"/>
    <w:rsid w:val="00D84FA1"/>
    <w:rsid w:val="00D851F0"/>
    <w:rsid w:val="00D852E6"/>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FEF"/>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F8D"/>
    <w:rsid w:val="00DE2410"/>
    <w:rsid w:val="00DE2939"/>
    <w:rsid w:val="00DE427D"/>
    <w:rsid w:val="00DE6E81"/>
    <w:rsid w:val="00DE703F"/>
    <w:rsid w:val="00DE7595"/>
    <w:rsid w:val="00DF1961"/>
    <w:rsid w:val="00DF2F8B"/>
    <w:rsid w:val="00DF44DE"/>
    <w:rsid w:val="00DF5F11"/>
    <w:rsid w:val="00E01138"/>
    <w:rsid w:val="00E02DFB"/>
    <w:rsid w:val="00E030F9"/>
    <w:rsid w:val="00E0311A"/>
    <w:rsid w:val="00E03138"/>
    <w:rsid w:val="00E06404"/>
    <w:rsid w:val="00E0781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B1B"/>
    <w:rsid w:val="00E822E8"/>
    <w:rsid w:val="00E82554"/>
    <w:rsid w:val="00E82606"/>
    <w:rsid w:val="00E846C8"/>
    <w:rsid w:val="00E84957"/>
    <w:rsid w:val="00E84A55"/>
    <w:rsid w:val="00E84C38"/>
    <w:rsid w:val="00E85BFF"/>
    <w:rsid w:val="00E90391"/>
    <w:rsid w:val="00E906C2"/>
    <w:rsid w:val="00E9311F"/>
    <w:rsid w:val="00E934D1"/>
    <w:rsid w:val="00E94AF0"/>
    <w:rsid w:val="00E95D13"/>
    <w:rsid w:val="00E95DD3"/>
    <w:rsid w:val="00E969D5"/>
    <w:rsid w:val="00E9750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21CE"/>
    <w:rsid w:val="00EF3235"/>
    <w:rsid w:val="00EF7E72"/>
    <w:rsid w:val="00F06D37"/>
    <w:rsid w:val="00F07B9D"/>
    <w:rsid w:val="00F11586"/>
    <w:rsid w:val="00F1183B"/>
    <w:rsid w:val="00F11C9F"/>
    <w:rsid w:val="00F12263"/>
    <w:rsid w:val="00F1409D"/>
    <w:rsid w:val="00F14214"/>
    <w:rsid w:val="00F157A9"/>
    <w:rsid w:val="00F24EC5"/>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399"/>
    <w:rsid w:val="00F65893"/>
    <w:rsid w:val="00F65E5F"/>
    <w:rsid w:val="00F66A4A"/>
    <w:rsid w:val="00F71E22"/>
    <w:rsid w:val="00F72142"/>
    <w:rsid w:val="00F72AE7"/>
    <w:rsid w:val="00F81141"/>
    <w:rsid w:val="00F833BA"/>
    <w:rsid w:val="00F83794"/>
    <w:rsid w:val="00F84FD0"/>
    <w:rsid w:val="00F850B5"/>
    <w:rsid w:val="00F859A8"/>
    <w:rsid w:val="00F86D87"/>
    <w:rsid w:val="00F9108B"/>
    <w:rsid w:val="00F91349"/>
    <w:rsid w:val="00F91DA2"/>
    <w:rsid w:val="00F929F2"/>
    <w:rsid w:val="00F93A8A"/>
    <w:rsid w:val="00F95248"/>
    <w:rsid w:val="00F956A9"/>
    <w:rsid w:val="00F963ED"/>
    <w:rsid w:val="00F96563"/>
    <w:rsid w:val="00F966CF"/>
    <w:rsid w:val="00F96CAE"/>
    <w:rsid w:val="00F97C99"/>
    <w:rsid w:val="00FA4DAC"/>
    <w:rsid w:val="00FA54BF"/>
    <w:rsid w:val="00FA662D"/>
    <w:rsid w:val="00FA73B1"/>
    <w:rsid w:val="00FB0CB9"/>
    <w:rsid w:val="00FB1406"/>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731"/>
    <w:rsid w:val="00FF3E7D"/>
    <w:rsid w:val="00FF5B99"/>
    <w:rsid w:val="00FF730C"/>
    <w:rsid w:val="00FF73F4"/>
    <w:rsid w:val="00FF7CE4"/>
    <w:rsid w:val="00FF7E39"/>
    <w:rsid w:val="01FF0067"/>
    <w:rsid w:val="02191596"/>
    <w:rsid w:val="025F28B4"/>
    <w:rsid w:val="02644DFC"/>
    <w:rsid w:val="027F781B"/>
    <w:rsid w:val="02962E34"/>
    <w:rsid w:val="029E0CDB"/>
    <w:rsid w:val="02A50666"/>
    <w:rsid w:val="041B6CAE"/>
    <w:rsid w:val="04B50046"/>
    <w:rsid w:val="04DE04A1"/>
    <w:rsid w:val="04F1766E"/>
    <w:rsid w:val="052E2664"/>
    <w:rsid w:val="05676CE4"/>
    <w:rsid w:val="05C16289"/>
    <w:rsid w:val="05CE4396"/>
    <w:rsid w:val="062A31D9"/>
    <w:rsid w:val="067D52B3"/>
    <w:rsid w:val="069D376A"/>
    <w:rsid w:val="06C453DB"/>
    <w:rsid w:val="073562D9"/>
    <w:rsid w:val="07FE2B6F"/>
    <w:rsid w:val="084A6FDD"/>
    <w:rsid w:val="087E704F"/>
    <w:rsid w:val="08E80B6F"/>
    <w:rsid w:val="09824426"/>
    <w:rsid w:val="0A663E13"/>
    <w:rsid w:val="0A762489"/>
    <w:rsid w:val="0A9A6B7F"/>
    <w:rsid w:val="0C561692"/>
    <w:rsid w:val="0D0E4978"/>
    <w:rsid w:val="0D236E67"/>
    <w:rsid w:val="0D6671EC"/>
    <w:rsid w:val="0DB452FF"/>
    <w:rsid w:val="0F5F7D3E"/>
    <w:rsid w:val="0F6C2F9D"/>
    <w:rsid w:val="0FC141B7"/>
    <w:rsid w:val="10CD1B40"/>
    <w:rsid w:val="11036AF6"/>
    <w:rsid w:val="11B67C3C"/>
    <w:rsid w:val="12744159"/>
    <w:rsid w:val="128F74B2"/>
    <w:rsid w:val="13DD188A"/>
    <w:rsid w:val="148202DA"/>
    <w:rsid w:val="14CF1B1B"/>
    <w:rsid w:val="15064E11"/>
    <w:rsid w:val="156B264F"/>
    <w:rsid w:val="15C164C0"/>
    <w:rsid w:val="16541B52"/>
    <w:rsid w:val="174B2FAF"/>
    <w:rsid w:val="176C3651"/>
    <w:rsid w:val="182211B5"/>
    <w:rsid w:val="186F14E0"/>
    <w:rsid w:val="18C354F3"/>
    <w:rsid w:val="18D50467"/>
    <w:rsid w:val="18F56619"/>
    <w:rsid w:val="18F579B9"/>
    <w:rsid w:val="19202945"/>
    <w:rsid w:val="19574DA2"/>
    <w:rsid w:val="1A7F369B"/>
    <w:rsid w:val="1AFA3FB9"/>
    <w:rsid w:val="1B065B6B"/>
    <w:rsid w:val="1C05671A"/>
    <w:rsid w:val="1C2F2E9F"/>
    <w:rsid w:val="1C6766A6"/>
    <w:rsid w:val="1C692D65"/>
    <w:rsid w:val="1E54660A"/>
    <w:rsid w:val="1ECD6D0B"/>
    <w:rsid w:val="1EF00B17"/>
    <w:rsid w:val="1FED10A7"/>
    <w:rsid w:val="20AF096E"/>
    <w:rsid w:val="21467A44"/>
    <w:rsid w:val="215A62B1"/>
    <w:rsid w:val="2197576F"/>
    <w:rsid w:val="21CB7267"/>
    <w:rsid w:val="21FB04CE"/>
    <w:rsid w:val="226F14F5"/>
    <w:rsid w:val="22986DDC"/>
    <w:rsid w:val="23056708"/>
    <w:rsid w:val="234B1755"/>
    <w:rsid w:val="24872F07"/>
    <w:rsid w:val="249D2382"/>
    <w:rsid w:val="251315B0"/>
    <w:rsid w:val="258173D8"/>
    <w:rsid w:val="26E179D7"/>
    <w:rsid w:val="277E4A69"/>
    <w:rsid w:val="28033AF1"/>
    <w:rsid w:val="284A0E9F"/>
    <w:rsid w:val="298D0EB9"/>
    <w:rsid w:val="29C464D3"/>
    <w:rsid w:val="2A8D770F"/>
    <w:rsid w:val="2AD215C5"/>
    <w:rsid w:val="2B825273"/>
    <w:rsid w:val="2C027C88"/>
    <w:rsid w:val="2C657476"/>
    <w:rsid w:val="2D340315"/>
    <w:rsid w:val="2DC960EE"/>
    <w:rsid w:val="2EAB2C6F"/>
    <w:rsid w:val="2EDD678B"/>
    <w:rsid w:val="2FBD0F7E"/>
    <w:rsid w:val="303D283E"/>
    <w:rsid w:val="304679BE"/>
    <w:rsid w:val="30ED53AB"/>
    <w:rsid w:val="31A74504"/>
    <w:rsid w:val="31EB53FB"/>
    <w:rsid w:val="31EC7411"/>
    <w:rsid w:val="31FC6B2C"/>
    <w:rsid w:val="322341B5"/>
    <w:rsid w:val="3244724D"/>
    <w:rsid w:val="335F9E52"/>
    <w:rsid w:val="33A0686F"/>
    <w:rsid w:val="347E2A03"/>
    <w:rsid w:val="34C76312"/>
    <w:rsid w:val="353B4629"/>
    <w:rsid w:val="357C1985"/>
    <w:rsid w:val="37C06BE1"/>
    <w:rsid w:val="389B56ED"/>
    <w:rsid w:val="39436FA2"/>
    <w:rsid w:val="394E7F1F"/>
    <w:rsid w:val="39935269"/>
    <w:rsid w:val="3A251474"/>
    <w:rsid w:val="3AE65B55"/>
    <w:rsid w:val="3B0251EF"/>
    <w:rsid w:val="3BC54639"/>
    <w:rsid w:val="3C4F6F1A"/>
    <w:rsid w:val="3D3B04A3"/>
    <w:rsid w:val="3D7931CE"/>
    <w:rsid w:val="3E141251"/>
    <w:rsid w:val="3E310173"/>
    <w:rsid w:val="40583EC3"/>
    <w:rsid w:val="40EA6130"/>
    <w:rsid w:val="40EB5B75"/>
    <w:rsid w:val="43042540"/>
    <w:rsid w:val="43811983"/>
    <w:rsid w:val="43DD21B8"/>
    <w:rsid w:val="43DF61E6"/>
    <w:rsid w:val="44BA2962"/>
    <w:rsid w:val="4548014E"/>
    <w:rsid w:val="456B60BD"/>
    <w:rsid w:val="457663D8"/>
    <w:rsid w:val="461D3CA8"/>
    <w:rsid w:val="46A41C10"/>
    <w:rsid w:val="486E5263"/>
    <w:rsid w:val="493375A8"/>
    <w:rsid w:val="49C16B3C"/>
    <w:rsid w:val="4D04000C"/>
    <w:rsid w:val="4D7567A7"/>
    <w:rsid w:val="4DF01BDF"/>
    <w:rsid w:val="4E2A3343"/>
    <w:rsid w:val="4EE96D5A"/>
    <w:rsid w:val="4F5148FF"/>
    <w:rsid w:val="4FC150FF"/>
    <w:rsid w:val="52BB1796"/>
    <w:rsid w:val="53BD2563"/>
    <w:rsid w:val="53C53843"/>
    <w:rsid w:val="555B01DF"/>
    <w:rsid w:val="55F96F9C"/>
    <w:rsid w:val="568B06F7"/>
    <w:rsid w:val="57456BE4"/>
    <w:rsid w:val="57620830"/>
    <w:rsid w:val="57DD5981"/>
    <w:rsid w:val="580249E9"/>
    <w:rsid w:val="5878638E"/>
    <w:rsid w:val="58805470"/>
    <w:rsid w:val="59350668"/>
    <w:rsid w:val="59917468"/>
    <w:rsid w:val="59D95C1D"/>
    <w:rsid w:val="5A59165A"/>
    <w:rsid w:val="5A5A6D5E"/>
    <w:rsid w:val="5B81022D"/>
    <w:rsid w:val="5BB701E0"/>
    <w:rsid w:val="5BCC0822"/>
    <w:rsid w:val="5BDC2EB3"/>
    <w:rsid w:val="5C100611"/>
    <w:rsid w:val="5C7B3595"/>
    <w:rsid w:val="5D7E0FB5"/>
    <w:rsid w:val="5DBF1C49"/>
    <w:rsid w:val="60186D76"/>
    <w:rsid w:val="60997EB4"/>
    <w:rsid w:val="618B5A4F"/>
    <w:rsid w:val="622248F9"/>
    <w:rsid w:val="62CF3B96"/>
    <w:rsid w:val="63027F93"/>
    <w:rsid w:val="633E0B31"/>
    <w:rsid w:val="6347476A"/>
    <w:rsid w:val="63493BD5"/>
    <w:rsid w:val="635872B8"/>
    <w:rsid w:val="63876C25"/>
    <w:rsid w:val="647D60CC"/>
    <w:rsid w:val="64B36E40"/>
    <w:rsid w:val="64CD1FC7"/>
    <w:rsid w:val="655D4D27"/>
    <w:rsid w:val="65B00EE1"/>
    <w:rsid w:val="66E41900"/>
    <w:rsid w:val="674E5AEB"/>
    <w:rsid w:val="67CA6C28"/>
    <w:rsid w:val="6B923942"/>
    <w:rsid w:val="6BA73DCD"/>
    <w:rsid w:val="6BA97AE4"/>
    <w:rsid w:val="6C7517D5"/>
    <w:rsid w:val="6CE56CE0"/>
    <w:rsid w:val="6E0723D7"/>
    <w:rsid w:val="6EB32A89"/>
    <w:rsid w:val="6EB72E34"/>
    <w:rsid w:val="6EF72D55"/>
    <w:rsid w:val="6F561428"/>
    <w:rsid w:val="6FCA614F"/>
    <w:rsid w:val="6FF82443"/>
    <w:rsid w:val="6FFB99DB"/>
    <w:rsid w:val="70D46BAE"/>
    <w:rsid w:val="70FE6D9A"/>
    <w:rsid w:val="71657657"/>
    <w:rsid w:val="71AE477E"/>
    <w:rsid w:val="71C427AD"/>
    <w:rsid w:val="725956F5"/>
    <w:rsid w:val="72D12243"/>
    <w:rsid w:val="744D3038"/>
    <w:rsid w:val="749877D0"/>
    <w:rsid w:val="74AE80D8"/>
    <w:rsid w:val="74FD4A5E"/>
    <w:rsid w:val="75542870"/>
    <w:rsid w:val="75FF50A7"/>
    <w:rsid w:val="76836B43"/>
    <w:rsid w:val="76A431DF"/>
    <w:rsid w:val="77942609"/>
    <w:rsid w:val="786C3E45"/>
    <w:rsid w:val="791113DB"/>
    <w:rsid w:val="796B468C"/>
    <w:rsid w:val="79763662"/>
    <w:rsid w:val="79B638CF"/>
    <w:rsid w:val="79DEC536"/>
    <w:rsid w:val="79FF378A"/>
    <w:rsid w:val="7A1C14E2"/>
    <w:rsid w:val="7A41719B"/>
    <w:rsid w:val="7ABA09F3"/>
    <w:rsid w:val="7B113011"/>
    <w:rsid w:val="7C49394C"/>
    <w:rsid w:val="7CAB4D9F"/>
    <w:rsid w:val="7F0F3510"/>
    <w:rsid w:val="AE9A2A47"/>
    <w:rsid w:val="B3AAFFA8"/>
    <w:rsid w:val="B6EF46E9"/>
    <w:rsid w:val="BBDFBF55"/>
    <w:rsid w:val="BEFB734B"/>
    <w:rsid w:val="BEFC379E"/>
    <w:rsid w:val="BFB58463"/>
    <w:rsid w:val="E9ED8E79"/>
    <w:rsid w:val="EFEF90B4"/>
    <w:rsid w:val="F6FF6885"/>
    <w:rsid w:val="F7CB056B"/>
    <w:rsid w:val="FBA508CA"/>
    <w:rsid w:val="FDEFFAE8"/>
    <w:rsid w:val="FDFF2A91"/>
    <w:rsid w:val="FE3F1CFE"/>
    <w:rsid w:val="FEDBD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semiHidden/>
    <w:unhideWhenUsed/>
    <w:qFormat/>
    <w:uiPriority w:val="0"/>
    <w:rPr>
      <w:rFonts w:ascii="Arial" w:hAnsi="Arial" w:eastAsia="黑体"/>
      <w:sz w:val="20"/>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Autospacing="1" w:afterAutospacing="1"/>
      <w:jc w:val="left"/>
    </w:pPr>
    <w:rPr>
      <w:kern w:val="0"/>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19"/>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19"/>
      </w:numPr>
      <w:adjustRightInd/>
    </w:pPr>
    <w:rPr>
      <w:szCs w:val="24"/>
    </w:rPr>
  </w:style>
  <w:style w:type="paragraph" w:customStyle="1" w:styleId="161">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2"/>
      </w:numPr>
      <w:ind w:firstLine="0"/>
    </w:pPr>
    <w:rPr>
      <w:rFonts w:ascii="Times New Roman" w:cs="Arial"/>
      <w:szCs w:val="28"/>
    </w:rPr>
  </w:style>
  <w:style w:type="paragraph" w:customStyle="1" w:styleId="171">
    <w:name w:val="标准文件_小写罗马数字编号列项"/>
    <w:basedOn w:val="58"/>
    <w:qFormat/>
    <w:uiPriority w:val="0"/>
    <w:pPr>
      <w:numPr>
        <w:ilvl w:val="0"/>
        <w:numId w:val="23"/>
      </w:numPr>
      <w:ind w:firstLine="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0"/>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4"/>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jc w:val="center"/>
    </w:pPr>
    <w:rPr>
      <w:sz w:val="18"/>
    </w:rPr>
  </w:style>
  <w:style w:type="paragraph" w:customStyle="1" w:styleId="181">
    <w:name w:val="标准文件_注："/>
    <w:next w:val="58"/>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qFormat/>
    <w:uiPriority w:val="99"/>
    <w:rPr>
      <w:color w:val="808080"/>
    </w:rPr>
  </w:style>
  <w:style w:type="paragraph" w:customStyle="1" w:styleId="189">
    <w:name w:val="标准文件_二级项2"/>
    <w:basedOn w:val="58"/>
    <w:qFormat/>
    <w:uiPriority w:val="0"/>
    <w:pPr>
      <w:numPr>
        <w:ilvl w:val="1"/>
        <w:numId w:val="20"/>
      </w:numPr>
      <w:ind w:left="1271" w:hanging="420"/>
    </w:pPr>
  </w:style>
  <w:style w:type="paragraph" w:customStyle="1" w:styleId="190">
    <w:name w:val="标准文件_三级项2"/>
    <w:basedOn w:val="58"/>
    <w:qFormat/>
    <w:uiPriority w:val="0"/>
    <w:pPr>
      <w:numPr>
        <w:ilvl w:val="0"/>
        <w:numId w:val="29"/>
      </w:numPr>
      <w:spacing w:line="300" w:lineRule="exact"/>
      <w:ind w:left="1276" w:hanging="425"/>
    </w:pPr>
    <w:rPr>
      <w:rFonts w:ascii="Times New Roman"/>
    </w:rPr>
  </w:style>
  <w:style w:type="paragraph" w:customStyle="1" w:styleId="191">
    <w:name w:val="标准文件_一级项2"/>
    <w:basedOn w:val="58"/>
    <w:qFormat/>
    <w:uiPriority w:val="0"/>
    <w:pPr>
      <w:numPr>
        <w:ilvl w:val="0"/>
        <w:numId w:val="30"/>
      </w:numPr>
      <w:spacing w:line="300" w:lineRule="exact"/>
      <w:ind w:left="1271" w:hanging="42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pPr>
    <w:rPr>
      <w:rFonts w:ascii="黑体" w:eastAsia="黑体"/>
    </w:rPr>
  </w:style>
  <w:style w:type="paragraph" w:customStyle="1" w:styleId="207">
    <w:name w:val="标准文件_注后"/>
    <w:basedOn w:val="58"/>
    <w:qFormat/>
    <w:uiPriority w:val="0"/>
    <w:pPr>
      <w:ind w:left="811"/>
    </w:pPr>
    <w:rPr>
      <w:sz w:val="18"/>
    </w:rPr>
  </w:style>
  <w:style w:type="paragraph" w:customStyle="1" w:styleId="208">
    <w:name w:val="标准文件_注X后"/>
    <w:basedOn w:val="58"/>
    <w:qFormat/>
    <w:uiPriority w:val="0"/>
    <w:pPr>
      <w:ind w:left="811"/>
    </w:pPr>
    <w:rPr>
      <w:sz w:val="18"/>
    </w:rPr>
  </w:style>
  <w:style w:type="paragraph" w:customStyle="1" w:styleId="209">
    <w:name w:val="标准文件_示例后"/>
    <w:basedOn w:val="58"/>
    <w:qFormat/>
    <w:uiPriority w:val="0"/>
    <w:pPr>
      <w:ind w:left="964"/>
    </w:pPr>
    <w:rPr>
      <w:sz w:val="18"/>
    </w:rPr>
  </w:style>
  <w:style w:type="paragraph" w:customStyle="1" w:styleId="210">
    <w:name w:val="标准文件_示例X后"/>
    <w:basedOn w:val="58"/>
    <w:link w:val="211"/>
    <w:qFormat/>
    <w:uiPriority w:val="0"/>
    <w:pPr>
      <w:ind w:left="1049"/>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修订1"/>
    <w:hidden/>
    <w:semiHidden/>
    <w:qFormat/>
    <w:uiPriority w:val="99"/>
    <w:rPr>
      <w:rFonts w:ascii="Calibri" w:hAnsi="Calibri" w:eastAsia="宋体" w:cs="Times New Roman"/>
      <w:kern w:val="2"/>
      <w:sz w:val="21"/>
      <w:szCs w:val="21"/>
      <w:lang w:val="en-US" w:eastAsia="zh-CN" w:bidi="ar-SA"/>
    </w:rPr>
  </w:style>
  <w:style w:type="paragraph" w:customStyle="1" w:styleId="233">
    <w:name w:val="正文表标题"/>
    <w:next w:val="234"/>
    <w:qFormat/>
    <w:uiPriority w:val="0"/>
    <w:pPr>
      <w:numPr>
        <w:ilvl w:val="0"/>
        <w:numId w:val="31"/>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3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5">
    <w:name w:val="WPSOffice手动目录 1"/>
    <w:qFormat/>
    <w:uiPriority w:val="0"/>
    <w:rPr>
      <w:rFonts w:ascii="Times New Roman" w:hAnsi="Times New Roman" w:eastAsia="宋体" w:cs="Times New Roman"/>
      <w:lang w:val="en-US" w:eastAsia="zh-CN" w:bidi="ar-SA"/>
    </w:rPr>
  </w:style>
  <w:style w:type="paragraph" w:customStyle="1" w:styleId="2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7">
    <w:name w:val="正文3"/>
    <w:qFormat/>
    <w:uiPriority w:val="0"/>
    <w:pPr>
      <w:jc w:val="both"/>
      <w:outlineLvl w:val="2"/>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FB4D1BDC1234C94B25ECF360AC412F4"/>
        <w:style w:val=""/>
        <w:category>
          <w:name w:val="常规"/>
          <w:gallery w:val="placeholder"/>
        </w:category>
        <w:types>
          <w:type w:val="bbPlcHdr"/>
        </w:types>
        <w:behaviors>
          <w:behavior w:val="content"/>
        </w:behaviors>
        <w:description w:val=""/>
        <w:guid w:val="{2631A7BB-E6C3-45D0-99CA-145E150EB4C8}"/>
      </w:docPartPr>
      <w:docPartBody>
        <w:p>
          <w:pPr>
            <w:pStyle w:val="5"/>
          </w:pPr>
          <w:r>
            <w:rPr>
              <w:rStyle w:val="4"/>
              <w:rFonts w:hint="eastAsia"/>
            </w:rPr>
            <w:t>单击或点击此处输入文字。</w:t>
          </w:r>
        </w:p>
      </w:docPartBody>
    </w:docPart>
    <w:docPart>
      <w:docPartPr>
        <w:name w:val="DA26A971AEF24D508FC0A0122D4B9C23"/>
        <w:style w:val=""/>
        <w:category>
          <w:name w:val="常规"/>
          <w:gallery w:val="placeholder"/>
        </w:category>
        <w:types>
          <w:type w:val="bbPlcHdr"/>
        </w:types>
        <w:behaviors>
          <w:behavior w:val="content"/>
        </w:behaviors>
        <w:description w:val=""/>
        <w:guid w:val="{A048F0A6-7A27-4688-8DDF-2D32B5B3CFE7}"/>
      </w:docPartPr>
      <w:docPartBody>
        <w:p>
          <w:pPr>
            <w:pStyle w:val="6"/>
          </w:pPr>
          <w:r>
            <w:rPr>
              <w:rStyle w:val="4"/>
              <w:rFonts w:hint="eastAsia"/>
            </w:rPr>
            <w:t>选择一项。</w:t>
          </w:r>
        </w:p>
      </w:docPartBody>
    </w:docPart>
    <w:docPart>
      <w:docPartPr>
        <w:name w:val="F616E7440B614430A21B7152897D7F24"/>
        <w:style w:val=""/>
        <w:category>
          <w:name w:val="常规"/>
          <w:gallery w:val="placeholder"/>
        </w:category>
        <w:types>
          <w:type w:val="bbPlcHdr"/>
        </w:types>
        <w:behaviors>
          <w:behavior w:val="content"/>
        </w:behaviors>
        <w:description w:val=""/>
        <w:guid w:val="{28FF9297-BDFB-4DBE-B3E7-8A26471FCD4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8119B5"/>
    <w:rsid w:val="000A6CCE"/>
    <w:rsid w:val="000C0516"/>
    <w:rsid w:val="001D480E"/>
    <w:rsid w:val="00354F69"/>
    <w:rsid w:val="003665C9"/>
    <w:rsid w:val="00483F2C"/>
    <w:rsid w:val="00530B59"/>
    <w:rsid w:val="006568AA"/>
    <w:rsid w:val="007825F4"/>
    <w:rsid w:val="008119B5"/>
    <w:rsid w:val="008A4F35"/>
    <w:rsid w:val="009C1519"/>
    <w:rsid w:val="00B51B3E"/>
    <w:rsid w:val="00D47892"/>
    <w:rsid w:val="00D538D5"/>
    <w:rsid w:val="00EE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FB4D1BDC1234C94B25ECF360AC412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A26A971AEF24D508FC0A0122D4B9C2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616E7440B614430A21B7152897D7F2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4565</Words>
  <Characters>5405</Characters>
  <Lines>100</Lines>
  <Paragraphs>28</Paragraphs>
  <TotalTime>1</TotalTime>
  <ScaleCrop>false</ScaleCrop>
  <LinksUpToDate>false</LinksUpToDate>
  <CharactersWithSpaces>5684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2021-05-08T02:07:00Z</dcterms:created>
  <dc:creator>cnis</dc:creator>
  <dc:description>&lt;config cover="true" show_menu="true" version="1.0.0" doctype="SDKXY"&gt;_x000d_
&lt;/config&gt;</dc:description>
  <cp:lastModifiedBy>yut</cp:lastModifiedBy>
  <cp:lastPrinted>2020-09-01T10:00:00Z</cp:lastPrinted>
  <dcterms:modified xsi:type="dcterms:W3CDTF">2024-11-26T03:50:21Z</dcterms:modified>
  <dc:title>地方标准</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2052-11.8.2.12309</vt:lpwstr>
  </property>
  <property fmtid="{D5CDD505-2E9C-101B-9397-08002B2CF9AE}" pid="15" name="ICV">
    <vt:lpwstr>DB0A01FB51D84962A177ADEFF1DF5301_13</vt:lpwstr>
  </property>
</Properties>
</file>