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rFonts w:ascii="黑体" w:cs="黑体" w:hAnsi="黑体" w:eastAsia="黑体"/>
          <w:sz w:val="32"/>
          <w:szCs w:val="32"/>
        </w:rPr>
      </w:pPr>
    </w:p>
    <w:p>
      <w:pPr>
        <w:pStyle w:val="Normal.0"/>
        <w:spacing w:line="360" w:lineRule="auto"/>
        <w:jc w:val="center"/>
        <w:rPr>
          <w:rFonts w:ascii="黑体" w:cs="黑体" w:hAnsi="黑体" w:eastAsia="黑体"/>
          <w:sz w:val="32"/>
          <w:szCs w:val="32"/>
          <w:lang w:val="zh-TW" w:eastAsia="zh-TW"/>
        </w:rPr>
      </w:pPr>
      <w:r>
        <w:rPr>
          <w:rFonts w:ascii="黑体" w:cs="黑体" w:hAnsi="黑体" w:eastAsia="黑体"/>
          <w:sz w:val="32"/>
          <w:szCs w:val="32"/>
          <w:rtl w:val="0"/>
          <w:lang w:val="zh-TW" w:eastAsia="zh-TW"/>
        </w:rPr>
        <w:t>乳制品企业低碳评价技术规范编制说明</w:t>
      </w:r>
    </w:p>
    <w:p>
      <w:pPr>
        <w:pStyle w:val="Normal.0"/>
        <w:jc w:val="center"/>
        <w:rPr>
          <w:outline w:val="0"/>
          <w:color w:val="000000"/>
          <w:u w:color="000000"/>
          <w14:textFill>
            <w14:solidFill>
              <w14:srgbClr w14:val="000000"/>
            </w14:solidFill>
          </w14:textFill>
        </w:rPr>
      </w:pPr>
    </w:p>
    <w:tbl>
      <w:tblPr>
        <w:tblW w:w="938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34"/>
        <w:gridCol w:w="160"/>
        <w:gridCol w:w="1384"/>
        <w:gridCol w:w="2790"/>
        <w:gridCol w:w="1260"/>
        <w:gridCol w:w="2156"/>
      </w:tblGrid>
      <w:tr>
        <w:tblPrEx>
          <w:shd w:val="clear" w:color="auto" w:fill="cdd4e9"/>
        </w:tblPrEx>
        <w:trPr>
          <w:trHeight w:val="639"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基本信息</w:t>
            </w:r>
          </w:p>
        </w:tc>
      </w:tr>
      <w:tr>
        <w:tblPrEx>
          <w:shd w:val="clear" w:color="auto" w:fill="cdd4e9"/>
        </w:tblPrEx>
        <w:trPr>
          <w:trHeight w:val="210" w:hRule="atLeast"/>
        </w:trPr>
        <w:tc>
          <w:tcPr>
            <w:tcW w:type="dxa" w:w="1634"/>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标准草案名称</w:t>
            </w:r>
          </w:p>
        </w:tc>
        <w:tc>
          <w:tcPr>
            <w:tcW w:type="dxa" w:w="15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hd w:val="nil" w:color="auto" w:fill="auto"/>
                <w:rtl w:val="0"/>
                <w:lang w:val="zh-TW" w:eastAsia="zh-TW"/>
              </w:rPr>
              <w:t>中文</w:t>
            </w:r>
          </w:p>
        </w:tc>
        <w:tc>
          <w:tcPr>
            <w:tcW w:type="dxa" w:w="62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eastAsia="SimSun" w:hint="eastAsia"/>
                <w:shd w:val="nil" w:color="auto" w:fill="auto"/>
                <w:rtl w:val="0"/>
                <w:lang w:val="zh-TW" w:eastAsia="zh-TW"/>
              </w:rPr>
              <w:t>乳制品企业低碳评价技术规范</w:t>
            </w:r>
          </w:p>
        </w:tc>
      </w:tr>
      <w:tr>
        <w:tblPrEx>
          <w:shd w:val="clear" w:color="auto" w:fill="cdd4e9"/>
        </w:tblPrEx>
        <w:trPr>
          <w:trHeight w:val="444" w:hRule="atLeast"/>
        </w:trPr>
        <w:tc>
          <w:tcPr>
            <w:tcW w:type="dxa" w:w="1634"/>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c>
          <w:tcPr>
            <w:tcW w:type="dxa" w:w="1544"/>
            <w:gridSpan w:val="2"/>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hd w:val="nil" w:color="auto" w:fill="auto"/>
                <w:rtl w:val="0"/>
                <w:lang w:val="zh-TW" w:eastAsia="zh-TW"/>
              </w:rPr>
              <w:t>英文</w:t>
            </w:r>
          </w:p>
        </w:tc>
        <w:tc>
          <w:tcPr>
            <w:tcW w:type="dxa" w:w="6206"/>
            <w:gridSpan w:val="3"/>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Fonts w:ascii="Times New Roman" w:hAnsi="Times New Roman"/>
                <w:shd w:val="nil" w:color="auto" w:fill="auto"/>
                <w:rtl w:val="0"/>
                <w:lang w:val="en-US"/>
              </w:rPr>
              <w:t>Technical specification for the low carbon assessment of dairy enterprises</w:t>
            </w:r>
          </w:p>
        </w:tc>
      </w:tr>
      <w:tr>
        <w:tblPrEx>
          <w:shd w:val="clear" w:color="auto" w:fill="cdd4e9"/>
        </w:tblPrEx>
        <w:trPr>
          <w:trHeight w:val="472" w:hRule="atLeast"/>
        </w:trPr>
        <w:tc>
          <w:tcPr>
            <w:tcW w:type="dxa" w:w="1634"/>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项目类型</w:t>
            </w:r>
          </w:p>
        </w:tc>
        <w:tc>
          <w:tcPr>
            <w:tcW w:type="dxa" w:w="4334"/>
            <w:gridSpan w:val="3"/>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Times New Roman" w:cs="Times New Roman" w:hAnsi="Times New Roman" w:eastAsia="Times New Roman"/>
                <w:kern w:val="0"/>
                <w:shd w:val="nil" w:color="auto" w:fill="auto"/>
              </w:rPr>
            </w:pPr>
            <w:r>
              <w:rPr>
                <w:rFonts w:ascii="Arial Unicode MS" w:cs="Arial Unicode MS" w:hAnsi="Arial Unicode MS" w:eastAsia="Arial Unicode MS" w:hint="default"/>
                <w:b w:val="0"/>
                <w:bCs w:val="0"/>
                <w:i w:val="0"/>
                <w:iCs w:val="0"/>
                <w:kern w:val="0"/>
                <w:shd w:val="nil" w:color="auto" w:fill="auto"/>
                <w:rtl w:val="0"/>
                <w:lang w:val="en-US"/>
              </w:rPr>
              <w:t>☑</w:t>
            </w:r>
            <w:r>
              <w:rPr>
                <w:rFonts w:eastAsia="SimSun" w:hint="eastAsia"/>
                <w:kern w:val="0"/>
                <w:shd w:val="nil" w:color="auto" w:fill="auto"/>
                <w:rtl w:val="0"/>
                <w:lang w:val="zh-TW" w:eastAsia="zh-TW"/>
              </w:rPr>
              <w:t>制定</w:t>
            </w:r>
            <w:r>
              <w:rPr>
                <w:rFonts w:ascii="Times New Roman" w:hAnsi="Times New Roman" w:hint="default"/>
                <w:kern w:val="0"/>
                <w:shd w:val="nil" w:color="auto" w:fill="auto"/>
                <w:rtl w:val="0"/>
                <w:lang w:val="en-US"/>
              </w:rPr>
              <w:t xml:space="preserve">     □</w:t>
            </w:r>
            <w:r>
              <w:rPr>
                <w:rFonts w:eastAsia="SimSun" w:hint="eastAsia"/>
                <w:kern w:val="0"/>
                <w:shd w:val="nil" w:color="auto" w:fill="auto"/>
                <w:rtl w:val="0"/>
                <w:lang w:val="zh-TW" w:eastAsia="zh-TW"/>
              </w:rPr>
              <w:t>修订</w:t>
            </w:r>
          </w:p>
          <w:p>
            <w:pPr>
              <w:pStyle w:val="Normal.0"/>
              <w:bidi w:val="0"/>
              <w:ind w:left="0" w:right="0" w:firstLine="0"/>
              <w:jc w:val="both"/>
              <w:rPr>
                <w:rtl w:val="0"/>
              </w:rPr>
            </w:pPr>
            <w:r>
              <w:rPr>
                <w:rFonts w:eastAsia="SimSun" w:hint="eastAsia"/>
                <w:shd w:val="nil" w:color="auto" w:fill="auto"/>
                <w:rtl w:val="0"/>
                <w:lang w:val="zh-TW" w:eastAsia="zh-TW"/>
              </w:rPr>
              <w:t>（被修订标准名称及编号：</w:t>
            </w:r>
            <w:r>
              <w:rPr>
                <w:rFonts w:ascii="Times New Roman" w:hAnsi="Times New Roman"/>
                <w:shd w:val="nil" w:color="auto" w:fill="auto"/>
                <w:rtl w:val="0"/>
                <w:lang w:val="en-US"/>
              </w:rPr>
              <w:t xml:space="preserve">          </w:t>
            </w:r>
            <w:r>
              <w:rPr>
                <w:rFonts w:eastAsia="SimSun" w:hint="eastAsia"/>
                <w:shd w:val="nil" w:color="auto" w:fill="auto"/>
                <w:rtl w:val="0"/>
                <w:lang w:val="zh-TW" w:eastAsia="zh-TW"/>
              </w:rPr>
              <w:t>）</w:t>
            </w:r>
          </w:p>
        </w:tc>
        <w:tc>
          <w:tcPr>
            <w:tcW w:type="dxa" w:w="1260"/>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hd w:val="nil" w:color="auto" w:fill="auto"/>
                <w:rtl w:val="0"/>
                <w:lang w:val="zh-TW" w:eastAsia="zh-TW"/>
              </w:rPr>
              <w:t>计划编号</w:t>
            </w:r>
          </w:p>
        </w:tc>
        <w:tc>
          <w:tcPr>
            <w:tcW w:type="dxa" w:w="2156"/>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1" w:hRule="atLeast"/>
        </w:trPr>
        <w:tc>
          <w:tcPr>
            <w:tcW w:type="dxa" w:w="16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起止时间</w:t>
            </w:r>
          </w:p>
        </w:tc>
        <w:tc>
          <w:tcPr>
            <w:tcW w:type="dxa" w:w="775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hd w:val="nil" w:color="auto" w:fill="auto"/>
                <w:rtl w:val="0"/>
                <w:lang w:val="en-US"/>
              </w:rPr>
              <w:t xml:space="preserve">2024 </w:t>
            </w:r>
            <w:r>
              <w:rPr>
                <w:rFonts w:eastAsia="SimSun" w:hint="eastAsia"/>
                <w:shd w:val="nil" w:color="auto" w:fill="auto"/>
                <w:rtl w:val="0"/>
                <w:lang w:val="zh-TW" w:eastAsia="zh-TW"/>
              </w:rPr>
              <w:t>年</w:t>
            </w:r>
            <w:r>
              <w:rPr>
                <w:rFonts w:ascii="Times New Roman" w:hAnsi="Times New Roman"/>
                <w:shd w:val="nil" w:color="auto" w:fill="auto"/>
                <w:rtl w:val="0"/>
                <w:lang w:val="en-US"/>
              </w:rPr>
              <w:t xml:space="preserve"> 11</w:t>
            </w:r>
            <w:r>
              <w:rPr>
                <w:rFonts w:eastAsia="SimSun" w:hint="eastAsia"/>
                <w:shd w:val="nil" w:color="auto" w:fill="auto"/>
                <w:rtl w:val="0"/>
                <w:lang w:val="zh-TW" w:eastAsia="zh-TW"/>
              </w:rPr>
              <w:t>月</w:t>
            </w:r>
            <w:r>
              <w:rPr>
                <w:rFonts w:ascii="Times New Roman" w:hAnsi="Times New Roman"/>
                <w:shd w:val="nil" w:color="auto" w:fill="auto"/>
                <w:rtl w:val="0"/>
                <w:lang w:val="en-US"/>
              </w:rPr>
              <w:t xml:space="preserve">--- 2025 </w:t>
            </w:r>
            <w:r>
              <w:rPr>
                <w:rFonts w:eastAsia="SimSun" w:hint="eastAsia"/>
                <w:shd w:val="nil" w:color="auto" w:fill="auto"/>
                <w:rtl w:val="0"/>
                <w:lang w:val="zh-TW" w:eastAsia="zh-TW"/>
              </w:rPr>
              <w:t>年</w:t>
            </w:r>
            <w:r>
              <w:rPr>
                <w:rFonts w:ascii="Times New Roman" w:hAnsi="Times New Roman"/>
                <w:shd w:val="nil" w:color="auto" w:fill="auto"/>
                <w:rtl w:val="0"/>
                <w:lang w:val="en-US"/>
              </w:rPr>
              <w:t xml:space="preserve"> 05 </w:t>
            </w:r>
            <w:r>
              <w:rPr>
                <w:rFonts w:eastAsia="SimSun" w:hint="eastAsia"/>
                <w:shd w:val="nil" w:color="auto" w:fill="auto"/>
                <w:rtl w:val="0"/>
                <w:lang w:val="zh-TW" w:eastAsia="zh-TW"/>
              </w:rPr>
              <w:t>月</w:t>
            </w:r>
          </w:p>
        </w:tc>
      </w:tr>
      <w:tr>
        <w:tblPrEx>
          <w:shd w:val="clear" w:color="auto" w:fill="cdd4e9"/>
        </w:tblPrEx>
        <w:trPr>
          <w:trHeight w:val="226" w:hRule="atLeast"/>
        </w:trPr>
        <w:tc>
          <w:tcPr>
            <w:tcW w:type="dxa" w:w="16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标准起草单位</w:t>
            </w:r>
          </w:p>
        </w:tc>
        <w:tc>
          <w:tcPr>
            <w:tcW w:type="dxa" w:w="775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24" w:hRule="atLeast"/>
        </w:trPr>
        <w:tc>
          <w:tcPr>
            <w:tcW w:type="dxa" w:w="163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起草组成员</w:t>
            </w:r>
          </w:p>
        </w:tc>
        <w:tc>
          <w:tcPr>
            <w:tcW w:type="dxa" w:w="7750"/>
            <w:gridSpan w:val="5"/>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10" w:hRule="atLeast"/>
        </w:trPr>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项目调整情况</w:t>
            </w:r>
          </w:p>
        </w:tc>
        <w:tc>
          <w:tcPr>
            <w:tcW w:type="dxa" w:w="775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eastAsia="SimSun" w:hint="eastAsia"/>
                <w:shd w:val="nil" w:color="auto" w:fill="auto"/>
                <w:rtl w:val="0"/>
                <w:lang w:val="zh-TW" w:eastAsia="zh-TW"/>
              </w:rPr>
              <w:t>标准名称调整为乳制品企业低碳评价技术规范</w:t>
            </w: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背景、目的和意义</w:t>
            </w:r>
          </w:p>
        </w:tc>
      </w:tr>
      <w:tr>
        <w:tblPrEx>
          <w:shd w:val="clear" w:color="auto" w:fill="cdd4e9"/>
        </w:tblPrEx>
        <w:trPr>
          <w:trHeight w:val="341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304"/>
              <w:rPr>
                <w:rFonts w:ascii="Times New Roman" w:cs="Times New Roman" w:hAnsi="Times New Roman" w:eastAsia="Times New Roman"/>
                <w:shd w:val="nil" w:color="auto" w:fill="auto"/>
              </w:rPr>
            </w:pPr>
            <w:r>
              <w:rPr>
                <w:rFonts w:eastAsia="SimSun" w:hint="eastAsia"/>
                <w:shd w:val="nil" w:color="auto" w:fill="auto"/>
                <w:rtl w:val="0"/>
                <w:lang w:val="zh-TW" w:eastAsia="zh-TW"/>
              </w:rPr>
              <w:t>在第</w:t>
            </w:r>
            <w:r>
              <w:rPr>
                <w:rFonts w:ascii="Times New Roman" w:hAnsi="Times New Roman"/>
                <w:shd w:val="nil" w:color="auto" w:fill="auto"/>
                <w:rtl w:val="0"/>
                <w:lang w:val="en-US"/>
              </w:rPr>
              <w:t>28</w:t>
            </w:r>
            <w:r>
              <w:rPr>
                <w:rFonts w:eastAsia="SimSun" w:hint="eastAsia"/>
                <w:shd w:val="nil" w:color="auto" w:fill="auto"/>
                <w:rtl w:val="0"/>
                <w:lang w:val="zh-TW" w:eastAsia="zh-TW"/>
              </w:rPr>
              <w:t>届联合国气候大会（</w:t>
            </w:r>
            <w:r>
              <w:rPr>
                <w:rFonts w:ascii="Times New Roman" w:hAnsi="Times New Roman"/>
                <w:shd w:val="nil" w:color="auto" w:fill="auto"/>
                <w:rtl w:val="0"/>
                <w:lang w:val="en-US"/>
              </w:rPr>
              <w:t>COP28</w:t>
            </w:r>
            <w:r>
              <w:rPr>
                <w:rFonts w:eastAsia="SimSun" w:hint="eastAsia"/>
                <w:shd w:val="nil" w:color="auto" w:fill="auto"/>
                <w:rtl w:val="0"/>
                <w:lang w:val="zh-TW" w:eastAsia="zh-TW"/>
              </w:rPr>
              <w:t>）上，</w:t>
            </w:r>
            <w:r>
              <w:rPr>
                <w:rFonts w:ascii="Times New Roman" w:hAnsi="Times New Roman"/>
                <w:shd w:val="nil" w:color="auto" w:fill="auto"/>
                <w:rtl w:val="0"/>
                <w:lang w:val="en-US"/>
              </w:rPr>
              <w:t>134</w:t>
            </w:r>
            <w:r>
              <w:rPr>
                <w:rFonts w:eastAsia="SimSun" w:hint="eastAsia"/>
                <w:shd w:val="nil" w:color="auto" w:fill="auto"/>
                <w:rtl w:val="0"/>
                <w:lang w:val="zh-TW" w:eastAsia="zh-TW"/>
              </w:rPr>
              <w:t>个国家联合签署了《关于可持续农业、韧性食物系统与气候行动的阿联酋宣言》，呼吁各国在</w:t>
            </w:r>
            <w:r>
              <w:rPr>
                <w:rFonts w:ascii="Times New Roman" w:hAnsi="Times New Roman"/>
                <w:shd w:val="nil" w:color="auto" w:fill="auto"/>
                <w:rtl w:val="0"/>
                <w:lang w:val="en-US"/>
              </w:rPr>
              <w:t>2025</w:t>
            </w:r>
            <w:r>
              <w:rPr>
                <w:rFonts w:eastAsia="SimSun" w:hint="eastAsia"/>
                <w:shd w:val="nil" w:color="auto" w:fill="auto"/>
                <w:rtl w:val="0"/>
                <w:lang w:val="zh-TW" w:eastAsia="zh-TW"/>
              </w:rPr>
              <w:t>年前将农食系统纳入自主减排目标（</w:t>
            </w:r>
            <w:r>
              <w:rPr>
                <w:rFonts w:ascii="Times New Roman" w:hAnsi="Times New Roman"/>
                <w:shd w:val="nil" w:color="auto" w:fill="auto"/>
                <w:rtl w:val="0"/>
                <w:lang w:val="en-US"/>
              </w:rPr>
              <w:t>NDCs</w:t>
            </w:r>
            <w:r>
              <w:rPr>
                <w:rFonts w:eastAsia="SimSun" w:hint="eastAsia"/>
                <w:shd w:val="nil" w:color="auto" w:fill="auto"/>
                <w:rtl w:val="0"/>
                <w:lang w:val="zh-TW" w:eastAsia="zh-TW"/>
              </w:rPr>
              <w:t>）和适应计划（</w:t>
            </w:r>
            <w:r>
              <w:rPr>
                <w:rFonts w:ascii="Times New Roman" w:hAnsi="Times New Roman"/>
                <w:shd w:val="nil" w:color="auto" w:fill="auto"/>
                <w:rtl w:val="0"/>
                <w:lang w:val="en-US"/>
              </w:rPr>
              <w:t>NAPs</w:t>
            </w:r>
            <w:r>
              <w:rPr>
                <w:rFonts w:eastAsia="SimSun" w:hint="eastAsia"/>
                <w:shd w:val="nil" w:color="auto" w:fill="auto"/>
                <w:rtl w:val="0"/>
                <w:lang w:val="zh-TW" w:eastAsia="zh-TW"/>
              </w:rPr>
              <w:t>），并强调其对实现《巴黎协定》目标的重要性。同时，</w:t>
            </w:r>
            <w:r>
              <w:rPr>
                <w:rFonts w:ascii="Times New Roman" w:hAnsi="Times New Roman"/>
                <w:shd w:val="nil" w:color="auto" w:fill="auto"/>
                <w:rtl w:val="0"/>
                <w:lang w:val="en-US"/>
              </w:rPr>
              <w:t>COP28</w:t>
            </w:r>
            <w:r>
              <w:rPr>
                <w:rFonts w:eastAsia="SimSun" w:hint="eastAsia"/>
                <w:shd w:val="nil" w:color="auto" w:fill="auto"/>
                <w:rtl w:val="0"/>
                <w:lang w:val="zh-TW" w:eastAsia="zh-TW"/>
              </w:rPr>
              <w:t>成立了食物系统转型联盟（</w:t>
            </w:r>
            <w:r>
              <w:rPr>
                <w:rFonts w:ascii="Times New Roman" w:hAnsi="Times New Roman"/>
                <w:shd w:val="nil" w:color="auto" w:fill="auto"/>
                <w:rtl w:val="0"/>
                <w:lang w:val="en-US"/>
              </w:rPr>
              <w:t>ACF</w:t>
            </w:r>
            <w:r>
              <w:rPr>
                <w:rFonts w:eastAsia="SimSun" w:hint="eastAsia"/>
                <w:shd w:val="nil" w:color="auto" w:fill="auto"/>
                <w:rtl w:val="0"/>
                <w:lang w:val="zh-TW" w:eastAsia="zh-TW"/>
              </w:rPr>
              <w:t>）等国际联盟，反映了全球对农食系统纳入气候行动的重视。</w:t>
            </w:r>
          </w:p>
          <w:p>
            <w:pPr>
              <w:pStyle w:val="Normal.0"/>
              <w:bidi w:val="0"/>
              <w:ind w:left="0" w:right="0" w:firstLine="304"/>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在我国，畜牧业是关系国计民生的重要产业，肉蛋奶是百姓</w:t>
            </w:r>
            <w:r>
              <w:rPr>
                <w:rFonts w:ascii="Times New Roman" w:hAnsi="Times New Roman" w:hint="default"/>
                <w:shd w:val="nil" w:color="auto" w:fill="auto"/>
                <w:rtl w:val="0"/>
                <w:lang w:val="en-US"/>
              </w:rPr>
              <w:t>“</w:t>
            </w:r>
            <w:r>
              <w:rPr>
                <w:rFonts w:eastAsia="SimSun" w:hint="eastAsia"/>
                <w:shd w:val="nil" w:color="auto" w:fill="auto"/>
                <w:rtl w:val="0"/>
                <w:lang w:val="zh-TW" w:eastAsia="zh-TW"/>
              </w:rPr>
              <w:t>菜篮子</w:t>
            </w:r>
            <w:r>
              <w:rPr>
                <w:rFonts w:ascii="Times New Roman" w:hAnsi="Times New Roman" w:hint="default"/>
                <w:shd w:val="nil" w:color="auto" w:fill="auto"/>
                <w:rtl w:val="0"/>
                <w:lang w:val="en-US"/>
              </w:rPr>
              <w:t>”</w:t>
            </w:r>
            <w:r>
              <w:rPr>
                <w:rFonts w:eastAsia="SimSun" w:hint="eastAsia"/>
                <w:shd w:val="nil" w:color="auto" w:fill="auto"/>
                <w:rtl w:val="0"/>
                <w:lang w:val="zh-TW" w:eastAsia="zh-TW"/>
              </w:rPr>
              <w:t>的重要品种。近年来，我国奶业生产水平明显提升</w:t>
            </w:r>
            <w:r>
              <w:rPr>
                <w:rFonts w:ascii="Times New Roman" w:hAnsi="Times New Roman"/>
                <w:shd w:val="nil" w:color="auto" w:fill="auto"/>
                <w:rtl w:val="0"/>
                <w:lang w:val="en-US"/>
              </w:rPr>
              <w:t>,</w:t>
            </w:r>
            <w:r>
              <w:rPr>
                <w:rFonts w:eastAsia="SimSun" w:hint="eastAsia"/>
                <w:shd w:val="nil" w:color="auto" w:fill="auto"/>
                <w:rtl w:val="0"/>
                <w:lang w:val="zh-TW" w:eastAsia="zh-TW"/>
              </w:rPr>
              <w:t>乳品消费仍在快速增长，乳制品生产行业稳定发展。</w:t>
            </w:r>
            <w:r>
              <w:rPr>
                <w:rFonts w:ascii="Times New Roman" w:hAnsi="Times New Roman"/>
                <w:shd w:val="nil" w:color="auto" w:fill="auto"/>
                <w:rtl w:val="0"/>
                <w:lang w:val="en-US"/>
              </w:rPr>
              <w:t>2023</w:t>
            </w:r>
            <w:r>
              <w:rPr>
                <w:rFonts w:eastAsia="SimSun" w:hint="eastAsia"/>
                <w:shd w:val="nil" w:color="auto" w:fill="auto"/>
                <w:rtl w:val="0"/>
                <w:lang w:val="zh-TW" w:eastAsia="zh-TW"/>
              </w:rPr>
              <w:t>年数据显示，全国规模以上企业乳制品产量</w:t>
            </w:r>
            <w:r>
              <w:rPr>
                <w:rFonts w:ascii="Times New Roman" w:hAnsi="Times New Roman"/>
                <w:shd w:val="nil" w:color="auto" w:fill="auto"/>
                <w:rtl w:val="0"/>
                <w:lang w:val="en-US"/>
              </w:rPr>
              <w:t>3055</w:t>
            </w:r>
            <w:r>
              <w:rPr>
                <w:rFonts w:eastAsia="SimSun" w:hint="eastAsia"/>
                <w:shd w:val="nil" w:color="auto" w:fill="auto"/>
                <w:rtl w:val="0"/>
                <w:lang w:val="zh-TW" w:eastAsia="zh-TW"/>
              </w:rPr>
              <w:t>万吨，主营业务销售总额</w:t>
            </w:r>
            <w:r>
              <w:rPr>
                <w:rFonts w:ascii="Times New Roman" w:hAnsi="Times New Roman"/>
                <w:shd w:val="nil" w:color="auto" w:fill="auto"/>
                <w:rtl w:val="0"/>
                <w:lang w:val="en-US"/>
              </w:rPr>
              <w:t>4621</w:t>
            </w:r>
            <w:r>
              <w:rPr>
                <w:rFonts w:eastAsia="SimSun" w:hint="eastAsia"/>
                <w:shd w:val="nil" w:color="auto" w:fill="auto"/>
                <w:rtl w:val="0"/>
                <w:lang w:val="zh-TW" w:eastAsia="zh-TW"/>
              </w:rPr>
              <w:t>亿元，在食品制造业</w:t>
            </w:r>
            <w:r>
              <w:rPr>
                <w:rFonts w:ascii="Times New Roman" w:hAnsi="Times New Roman"/>
                <w:shd w:val="nil" w:color="auto" w:fill="auto"/>
                <w:rtl w:val="0"/>
                <w:lang w:val="en-US"/>
              </w:rPr>
              <w:t>7</w:t>
            </w:r>
            <w:r>
              <w:rPr>
                <w:rFonts w:eastAsia="SimSun" w:hint="eastAsia"/>
                <w:shd w:val="nil" w:color="auto" w:fill="auto"/>
                <w:rtl w:val="0"/>
                <w:lang w:val="zh-TW" w:eastAsia="zh-TW"/>
              </w:rPr>
              <w:t>大行业中处第</w:t>
            </w:r>
            <w:r>
              <w:rPr>
                <w:rFonts w:ascii="Times New Roman" w:hAnsi="Times New Roman"/>
                <w:shd w:val="nil" w:color="auto" w:fill="auto"/>
                <w:rtl w:val="0"/>
                <w:lang w:val="en-US"/>
              </w:rPr>
              <w:t>2</w:t>
            </w:r>
            <w:r>
              <w:rPr>
                <w:rFonts w:eastAsia="SimSun" w:hint="eastAsia"/>
                <w:shd w:val="nil" w:color="auto" w:fill="auto"/>
                <w:rtl w:val="0"/>
                <w:lang w:val="zh-TW" w:eastAsia="zh-TW"/>
              </w:rPr>
              <w:t>位。与此同时，乳制品生产企业也是农食系统碳排放的主要来源之一，乳制品生产企业的碳足迹评价标准体系对于推动行业的低碳转型至关重要。</w:t>
            </w:r>
          </w:p>
          <w:p>
            <w:pPr>
              <w:pStyle w:val="Normal.0"/>
              <w:bidi w:val="0"/>
              <w:ind w:left="0" w:right="0" w:firstLine="304"/>
              <w:jc w:val="both"/>
              <w:rPr>
                <w:rtl w:val="0"/>
              </w:rPr>
            </w:pPr>
            <w:r>
              <w:rPr>
                <w:rFonts w:eastAsia="SimSun" w:hint="eastAsia"/>
                <w:shd w:val="nil" w:color="auto" w:fill="auto"/>
                <w:rtl w:val="0"/>
                <w:lang w:val="zh-TW" w:eastAsia="zh-TW"/>
              </w:rPr>
              <w:t>本项目研究旨在根据《中共中央、国务院关于完整准确全面贯彻新发展理念做好碳达峰碳中和工作的意见》《</w:t>
            </w:r>
            <w:r>
              <w:rPr>
                <w:rFonts w:ascii="Times New Roman" w:hAnsi="Times New Roman"/>
                <w:shd w:val="nil" w:color="auto" w:fill="auto"/>
                <w:rtl w:val="0"/>
                <w:lang w:val="en-US"/>
              </w:rPr>
              <w:t xml:space="preserve">2030 </w:t>
            </w:r>
            <w:r>
              <w:rPr>
                <w:rFonts w:eastAsia="SimSun" w:hint="eastAsia"/>
                <w:shd w:val="nil" w:color="auto" w:fill="auto"/>
                <w:rtl w:val="0"/>
                <w:lang w:val="zh-TW" w:eastAsia="zh-TW"/>
              </w:rPr>
              <w:t>年前碳达峰行动方案》以及《农业农村减排固碳实施方案》要求，通过分析乳制品生产企业的碳排放特点，详细测算工厂在生产、能源使用、废弃物管理等环节的碳排放量，借鉴国内外已有的科学研究、实践经验以及规范标准等，研究建立我国乳制品生产工厂的低碳评价技术规范，明确标准的适用范围，规范性引用文件，术语和定义，评价原则，评价要求，评价流程等关键环节，编制科学性、适用性、引领性强的低碳评价技术规范，为推动奶业绿色低碳转型和高质量发展提供支撑。</w:t>
            </w: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工作简况</w:t>
            </w:r>
          </w:p>
        </w:tc>
      </w:tr>
      <w:tr>
        <w:tblPrEx>
          <w:shd w:val="clear" w:color="auto" w:fill="cdd4e9"/>
        </w:tblPrEx>
        <w:trPr>
          <w:trHeight w:val="3750" w:hRule="atLeast"/>
        </w:trPr>
        <w:tc>
          <w:tcPr>
            <w:tcW w:type="dxa" w:w="17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主要工作过程</w:t>
            </w:r>
          </w:p>
        </w:tc>
        <w:tc>
          <w:tcPr>
            <w:tcW w:type="dxa" w:w="759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Times New Roman" w:cs="Times New Roman" w:hAnsi="Times New Roman" w:eastAsia="Times New Roman"/>
                <w:shd w:val="nil" w:color="auto" w:fill="auto"/>
              </w:rPr>
            </w:pPr>
            <w:r>
              <w:rPr>
                <w:rFonts w:ascii="黑体" w:cs="黑体" w:hAnsi="黑体" w:eastAsia="黑体"/>
                <w:shd w:val="nil" w:color="auto" w:fill="auto"/>
                <w:rtl w:val="0"/>
                <w:lang w:val="en-US"/>
              </w:rPr>
              <w:t xml:space="preserve">1. </w:t>
            </w:r>
            <w:r>
              <w:rPr>
                <w:rFonts w:eastAsia="SimSun" w:hint="eastAsia"/>
                <w:shd w:val="nil" w:color="auto" w:fill="auto"/>
                <w:rtl w:val="0"/>
                <w:lang w:val="zh-TW" w:eastAsia="zh-TW"/>
              </w:rPr>
              <w:t>调研与数据收集：进行乳制品企业碳排放情况的调研，与乳制品企业、环保部门及行业专家进行深度访谈，收集关键数据。了解各生产环节的主要碳排放源，识别高排放区域，为制定碳足迹评价标准奠定基础。</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2. </w:t>
            </w:r>
            <w:r>
              <w:rPr>
                <w:rFonts w:eastAsia="SimSun" w:hint="eastAsia"/>
                <w:shd w:val="nil" w:color="auto" w:fill="auto"/>
                <w:rtl w:val="0"/>
                <w:lang w:val="zh-TW" w:eastAsia="zh-TW"/>
              </w:rPr>
              <w:t>实地考察与监测：考察乳制品企业的生产和管理流程，包括奶牛养殖场的甲烷排放、乳制品生产工厂的能源使用以及废弃物处理方式等。在不同季节、生产高峰期及日常运作时进行碳排放监测，确保数据的代表性和准确性。</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3. </w:t>
            </w:r>
            <w:r>
              <w:rPr>
                <w:rFonts w:eastAsia="SimSun" w:hint="eastAsia"/>
                <w:shd w:val="nil" w:color="auto" w:fill="auto"/>
                <w:rtl w:val="0"/>
                <w:lang w:val="zh-TW" w:eastAsia="zh-TW"/>
              </w:rPr>
              <w:t>专题研究：重点研究乳制品企业在不同生产环节的碳排放强度，分析全球和中国乳制品行业的碳足迹评价现状。探索如何通过优化能源使用、改进养殖模式等手段实现碳减排，同时借鉴国际最佳实践，制定符合中国国情的碳足迹评价方法。</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4. </w:t>
            </w:r>
            <w:r>
              <w:rPr>
                <w:rFonts w:eastAsia="SimSun" w:hint="eastAsia"/>
                <w:shd w:val="nil" w:color="auto" w:fill="auto"/>
                <w:rtl w:val="0"/>
                <w:lang w:val="zh-TW" w:eastAsia="zh-TW"/>
              </w:rPr>
              <w:t>技术交流会：组织乳制品企业、环保组织、政府机构及碳足迹测算技术专家参加技术交流会，分享数据收集、碳足迹核算工具的使用以及行业最佳实践。通过多方合作，进一步完善乳制品企业碳足迹评价体系的框架，确保评价方法的科学性和可操作性。</w:t>
            </w:r>
          </w:p>
          <w:p>
            <w:pPr>
              <w:pStyle w:val="Normal.0"/>
              <w:bidi w:val="0"/>
              <w:ind w:left="0" w:right="0" w:firstLine="0"/>
              <w:jc w:val="both"/>
              <w:rPr>
                <w:rtl w:val="0"/>
              </w:rPr>
            </w:pPr>
            <w:r>
              <w:rPr>
                <w:rFonts w:ascii="Times New Roman" w:hAnsi="Times New Roman"/>
                <w:shd w:val="nil" w:color="auto" w:fill="auto"/>
                <w:rtl w:val="0"/>
                <w:lang w:val="en-US"/>
              </w:rPr>
              <w:t xml:space="preserve">5. </w:t>
            </w:r>
            <w:r>
              <w:rPr>
                <w:rFonts w:eastAsia="SimSun" w:hint="eastAsia"/>
                <w:shd w:val="nil" w:color="auto" w:fill="auto"/>
                <w:rtl w:val="0"/>
                <w:lang w:val="zh-TW" w:eastAsia="zh-TW"/>
              </w:rPr>
              <w:t>试点示范：选择几家代表性乳制品企业进行碳足迹评价体系的试点应用。试点将涵盖乳制品企业的不同生产模式和地区条件，测试评价体系的适用性与效果。根据试点反馈，调整和完善评价标准，最终形成可在全行业推广的碳足迹评价体系。</w:t>
            </w: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标准编制原则、标准主要内容</w:t>
            </w:r>
          </w:p>
        </w:tc>
      </w:tr>
      <w:tr>
        <w:tblPrEx>
          <w:shd w:val="clear" w:color="auto" w:fill="cdd4e9"/>
        </w:tblPrEx>
        <w:trPr>
          <w:trHeight w:val="4785" w:hRule="atLeast"/>
        </w:trPr>
        <w:tc>
          <w:tcPr>
            <w:tcW w:type="dxa" w:w="179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标准编制原则</w:t>
            </w:r>
          </w:p>
        </w:tc>
        <w:tc>
          <w:tcPr>
            <w:tcW w:type="dxa" w:w="759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304"/>
              <w:rPr>
                <w:rFonts w:ascii="Times New Roman" w:cs="Times New Roman" w:hAnsi="Times New Roman" w:eastAsia="Times New Roman"/>
                <w:shd w:val="nil" w:color="auto" w:fill="auto"/>
              </w:rPr>
            </w:pPr>
            <w:r>
              <w:rPr>
                <w:rFonts w:eastAsia="SimSun" w:hint="eastAsia"/>
                <w:shd w:val="nil" w:color="auto" w:fill="auto"/>
                <w:rtl w:val="0"/>
                <w:lang w:val="zh-TW" w:eastAsia="zh-TW"/>
              </w:rPr>
              <w:t>本文件按照</w:t>
            </w:r>
            <w:r>
              <w:rPr>
                <w:rFonts w:ascii="Times New Roman" w:hAnsi="Times New Roman"/>
                <w:shd w:val="nil" w:color="auto" w:fill="auto"/>
                <w:rtl w:val="0"/>
                <w:lang w:val="en-US"/>
              </w:rPr>
              <w:t xml:space="preserve"> GB/T 1.1-2020</w:t>
            </w:r>
            <w:r>
              <w:rPr>
                <w:rFonts w:eastAsia="SimSun" w:hint="eastAsia"/>
                <w:shd w:val="nil" w:color="auto" w:fill="auto"/>
                <w:rtl w:val="0"/>
                <w:lang w:val="zh-TW" w:eastAsia="zh-TW"/>
              </w:rPr>
              <w:t>《标准化工作导则</w:t>
            </w:r>
            <w:r>
              <w:rPr>
                <w:rFonts w:ascii="Times New Roman" w:hAnsi="Times New Roman"/>
                <w:shd w:val="nil" w:color="auto" w:fill="auto"/>
                <w:rtl w:val="0"/>
                <w:lang w:val="en-US"/>
              </w:rPr>
              <w:t xml:space="preserve"> </w:t>
            </w:r>
            <w:r>
              <w:rPr>
                <w:rFonts w:eastAsia="SimSun" w:hint="eastAsia"/>
                <w:shd w:val="nil" w:color="auto" w:fill="auto"/>
                <w:rtl w:val="0"/>
                <w:lang w:val="zh-TW" w:eastAsia="zh-TW"/>
              </w:rPr>
              <w:t>第</w:t>
            </w:r>
            <w:r>
              <w:rPr>
                <w:rFonts w:ascii="Times New Roman" w:hAnsi="Times New Roman"/>
                <w:shd w:val="nil" w:color="auto" w:fill="auto"/>
                <w:rtl w:val="0"/>
                <w:lang w:val="en-US"/>
              </w:rPr>
              <w:t xml:space="preserve"> 1 </w:t>
            </w:r>
            <w:r>
              <w:rPr>
                <w:rFonts w:eastAsia="SimSun" w:hint="eastAsia"/>
                <w:shd w:val="nil" w:color="auto" w:fill="auto"/>
                <w:rtl w:val="0"/>
                <w:lang w:val="zh-TW" w:eastAsia="zh-TW"/>
              </w:rPr>
              <w:t>部分：标准化文件的结构和起草规则》的规定起草。</w:t>
            </w:r>
          </w:p>
          <w:p>
            <w:pPr>
              <w:pStyle w:val="段"/>
              <w:widowControl w:val="1"/>
              <w:tabs>
                <w:tab w:val="right" w:pos="8280" w:leader="dot"/>
                <w:tab w:val="clear" w:pos="9298"/>
              </w:tabs>
              <w:bidi w:val="0"/>
              <w:ind w:left="0" w:right="0" w:firstLine="420"/>
              <w:jc w:val="both"/>
              <w:rPr>
                <w:rFonts w:ascii="黑体" w:cs="黑体" w:hAnsi="黑体" w:eastAsia="黑体"/>
                <w:shd w:val="nil" w:color="auto" w:fill="auto"/>
                <w:rtl w:val="0"/>
              </w:rPr>
            </w:pPr>
            <w:r>
              <w:rPr>
                <w:rFonts w:ascii="黑体" w:cs="黑体" w:hAnsi="黑体" w:eastAsia="黑体"/>
                <w:shd w:val="nil" w:color="auto" w:fill="auto"/>
                <w:rtl w:val="0"/>
                <w:lang w:val="en-US"/>
              </w:rPr>
              <w:t xml:space="preserve">1. </w:t>
            </w:r>
            <w:r>
              <w:rPr>
                <w:rFonts w:ascii="黑体" w:cs="黑体" w:hAnsi="黑体" w:eastAsia="黑体"/>
                <w:shd w:val="nil" w:color="auto" w:fill="auto"/>
                <w:rtl w:val="0"/>
                <w:lang w:val="zh-TW" w:eastAsia="zh-TW"/>
              </w:rPr>
              <w:t>统一性</w:t>
            </w:r>
          </w:p>
          <w:p>
            <w:pPr>
              <w:pStyle w:val="段"/>
              <w:widowControl w:val="1"/>
              <w:tabs>
                <w:tab w:val="right" w:pos="8280" w:leader="dot"/>
                <w:tab w:val="clear" w:pos="9298"/>
              </w:tabs>
              <w:bidi w:val="0"/>
              <w:ind w:left="0" w:right="0" w:firstLine="420"/>
              <w:jc w:val="both"/>
              <w:rPr>
                <w:rFonts w:ascii="等线" w:cs="等线" w:hAnsi="等线" w:eastAsia="等线"/>
                <w:shd w:val="nil" w:color="auto" w:fill="auto"/>
                <w:rtl w:val="0"/>
              </w:rPr>
            </w:pPr>
            <w:r>
              <w:rPr>
                <w:rFonts w:ascii="等线" w:cs="等线" w:hAnsi="等线" w:eastAsia="SimSun" w:hint="eastAsia"/>
                <w:shd w:val="nil" w:color="auto" w:fill="auto"/>
                <w:rtl w:val="0"/>
                <w:lang w:val="zh-TW" w:eastAsia="zh-TW"/>
              </w:rPr>
              <w:t>本文件的编制参照了</w:t>
            </w:r>
            <w:r>
              <w:rPr>
                <w:rFonts w:ascii="Times New Roman" w:cs="等线" w:hAnsi="Times New Roman" w:eastAsia="等线"/>
                <w:shd w:val="nil" w:color="auto" w:fill="auto"/>
                <w:rtl w:val="0"/>
                <w:lang w:val="en-US"/>
              </w:rPr>
              <w:t>GB/T 24040</w:t>
            </w:r>
            <w:r>
              <w:rPr>
                <w:rFonts w:ascii="Times New Roman" w:cs="等线" w:hAnsi="Times New Roman" w:eastAsia="等线" w:hint="default"/>
                <w:shd w:val="nil" w:color="auto" w:fill="auto"/>
                <w:rtl w:val="0"/>
                <w:lang w:val="en-US"/>
              </w:rPr>
              <w:t>—</w:t>
            </w:r>
            <w:r>
              <w:rPr>
                <w:rFonts w:ascii="Times New Roman" w:cs="等线" w:hAnsi="Times New Roman" w:eastAsia="等线"/>
                <w:shd w:val="nil" w:color="auto" w:fill="auto"/>
                <w:rtl w:val="0"/>
                <w:lang w:val="en-US"/>
              </w:rPr>
              <w:t xml:space="preserve">2008 </w:t>
            </w:r>
            <w:r>
              <w:rPr>
                <w:rFonts w:ascii="等线" w:cs="等线" w:hAnsi="等线" w:eastAsia="SimSun" w:hint="eastAsia"/>
                <w:shd w:val="nil" w:color="auto" w:fill="auto"/>
                <w:rtl w:val="0"/>
                <w:lang w:val="zh-TW" w:eastAsia="zh-TW"/>
              </w:rPr>
              <w:t>《环境管理</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生命周期评价</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原则与框架》、</w:t>
            </w:r>
            <w:r>
              <w:rPr>
                <w:rFonts w:ascii="Times New Roman" w:cs="等线" w:hAnsi="Times New Roman" w:eastAsia="等线"/>
                <w:shd w:val="nil" w:color="auto" w:fill="auto"/>
                <w:rtl w:val="0"/>
                <w:lang w:val="en-US"/>
              </w:rPr>
              <w:t>GB/T 24044</w:t>
            </w:r>
            <w:r>
              <w:rPr>
                <w:rFonts w:ascii="Times New Roman" w:cs="等线" w:hAnsi="Times New Roman" w:eastAsia="等线" w:hint="default"/>
                <w:shd w:val="nil" w:color="auto" w:fill="auto"/>
                <w:rtl w:val="0"/>
                <w:lang w:val="en-US"/>
              </w:rPr>
              <w:t>—</w:t>
            </w:r>
            <w:r>
              <w:rPr>
                <w:rFonts w:ascii="Times New Roman" w:cs="等线" w:hAnsi="Times New Roman" w:eastAsia="等线"/>
                <w:shd w:val="nil" w:color="auto" w:fill="auto"/>
                <w:rtl w:val="0"/>
                <w:lang w:val="en-US"/>
              </w:rPr>
              <w:t>2008</w:t>
            </w:r>
            <w:r>
              <w:rPr>
                <w:rFonts w:ascii="等线" w:cs="等线" w:hAnsi="等线" w:eastAsia="SimSun" w:hint="eastAsia"/>
                <w:shd w:val="nil" w:color="auto" w:fill="auto"/>
                <w:rtl w:val="0"/>
                <w:lang w:val="zh-TW" w:eastAsia="zh-TW"/>
              </w:rPr>
              <w:t>《环境管理</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生命周期评价</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要求与指南》、</w:t>
            </w:r>
            <w:r>
              <w:rPr>
                <w:rFonts w:ascii="Times New Roman" w:cs="等线" w:hAnsi="Times New Roman" w:eastAsia="等线"/>
                <w:shd w:val="nil" w:color="auto" w:fill="auto"/>
                <w:rtl w:val="0"/>
                <w:lang w:val="en-US"/>
              </w:rPr>
              <w:t>GB/T 32150</w:t>
            </w:r>
            <w:r>
              <w:rPr>
                <w:rFonts w:ascii="Times New Roman" w:cs="等线" w:hAnsi="Times New Roman" w:eastAsia="等线" w:hint="default"/>
                <w:shd w:val="nil" w:color="auto" w:fill="auto"/>
                <w:rtl w:val="0"/>
                <w:lang w:val="en-US"/>
              </w:rPr>
              <w:t>—</w:t>
            </w:r>
            <w:r>
              <w:rPr>
                <w:rFonts w:ascii="Times New Roman" w:cs="等线" w:hAnsi="Times New Roman" w:eastAsia="等线"/>
                <w:shd w:val="nil" w:color="auto" w:fill="auto"/>
                <w:rtl w:val="0"/>
                <w:lang w:val="en-US"/>
              </w:rPr>
              <w:t>2015</w:t>
            </w:r>
            <w:r>
              <w:rPr>
                <w:rFonts w:ascii="等线" w:cs="等线" w:hAnsi="等线" w:eastAsia="SimSun" w:hint="eastAsia"/>
                <w:shd w:val="nil" w:color="auto" w:fill="auto"/>
                <w:rtl w:val="0"/>
                <w:lang w:val="zh-TW" w:eastAsia="zh-TW"/>
              </w:rPr>
              <w:t>《工业企业温室气体排放核算和报告通则》、</w:t>
            </w:r>
            <w:r>
              <w:rPr>
                <w:rFonts w:ascii="Times New Roman" w:cs="等线" w:hAnsi="Times New Roman" w:eastAsia="等线"/>
                <w:shd w:val="nil" w:color="auto" w:fill="auto"/>
                <w:rtl w:val="0"/>
                <w:lang w:val="en-US"/>
              </w:rPr>
              <w:t>ISO 14067-2018</w:t>
            </w:r>
            <w:r>
              <w:rPr>
                <w:rFonts w:ascii="等线" w:cs="等线" w:hAnsi="等线" w:eastAsia="SimSun" w:hint="eastAsia"/>
                <w:shd w:val="nil" w:color="auto" w:fill="auto"/>
                <w:rtl w:val="0"/>
                <w:lang w:val="zh-TW" w:eastAsia="zh-TW"/>
              </w:rPr>
              <w:t>《温室气体</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产品碳足迹</w:t>
            </w:r>
            <w:r>
              <w:rPr>
                <w:rFonts w:ascii="Times New Roman" w:cs="等线" w:hAnsi="Times New Roman" w:eastAsia="等线"/>
                <w:shd w:val="nil" w:color="auto" w:fill="auto"/>
                <w:rtl w:val="0"/>
                <w:lang w:val="en-US"/>
              </w:rPr>
              <w:t xml:space="preserve"> </w:t>
            </w:r>
            <w:r>
              <w:rPr>
                <w:rFonts w:ascii="等线" w:cs="等线" w:hAnsi="等线" w:eastAsia="SimSun" w:hint="eastAsia"/>
                <w:shd w:val="nil" w:color="auto" w:fill="auto"/>
                <w:rtl w:val="0"/>
                <w:lang w:val="zh-TW" w:eastAsia="zh-TW"/>
              </w:rPr>
              <w:t>量化要求和指南》、</w:t>
            </w:r>
            <w:r>
              <w:rPr>
                <w:rFonts w:ascii="Times New Roman" w:cs="等线" w:hAnsi="Times New Roman" w:eastAsia="等线"/>
                <w:shd w:val="nil" w:color="auto" w:fill="auto"/>
                <w:rtl w:val="0"/>
                <w:lang w:val="en-US"/>
              </w:rPr>
              <w:t>RB/T 127-2022</w:t>
            </w:r>
            <w:r>
              <w:rPr>
                <w:rFonts w:ascii="等线" w:cs="等线" w:hAnsi="等线" w:eastAsia="SimSun" w:hint="eastAsia"/>
                <w:shd w:val="nil" w:color="auto" w:fill="auto"/>
                <w:rtl w:val="0"/>
                <w:lang w:val="zh-TW" w:eastAsia="zh-TW"/>
              </w:rPr>
              <w:t>《奶牛养殖企业温室气体排放核算方法与报告指南》、</w:t>
            </w:r>
            <w:r>
              <w:rPr>
                <w:rFonts w:ascii="Times New Roman" w:cs="等线" w:hAnsi="Times New Roman" w:eastAsia="等线"/>
                <w:shd w:val="nil" w:color="auto" w:fill="auto"/>
                <w:rtl w:val="0"/>
                <w:lang w:val="en-US"/>
              </w:rPr>
              <w:t>NY/T 4243-2022</w:t>
            </w:r>
            <w:r>
              <w:rPr>
                <w:rFonts w:ascii="等线" w:cs="等线" w:hAnsi="等线" w:eastAsia="SimSun" w:hint="eastAsia"/>
                <w:shd w:val="nil" w:color="auto" w:fill="auto"/>
                <w:rtl w:val="0"/>
                <w:lang w:val="zh-TW" w:eastAsia="zh-TW"/>
              </w:rPr>
              <w:t>《畜禽养殖场温室气体排放核算方法》、</w:t>
            </w:r>
            <w:r>
              <w:rPr>
                <w:rFonts w:ascii="Times New Roman" w:cs="等线" w:hAnsi="Times New Roman" w:eastAsia="等线"/>
                <w:shd w:val="nil" w:color="auto" w:fill="auto"/>
                <w:rtl w:val="0"/>
                <w:lang w:val="en-US"/>
              </w:rPr>
              <w:t>T/CECA-G 0171-2022</w:t>
            </w:r>
            <w:r>
              <w:rPr>
                <w:rFonts w:ascii="等线" w:cs="等线" w:hAnsi="等线" w:eastAsia="SimSun" w:hint="eastAsia"/>
                <w:shd w:val="nil" w:color="auto" w:fill="auto"/>
                <w:rtl w:val="0"/>
                <w:lang w:val="zh-TW" w:eastAsia="zh-TW"/>
              </w:rPr>
              <w:t>《零碳工厂评价规范》相关要求，针对规模化奶牛养殖场低碳发展情况进行编写。</w:t>
            </w:r>
          </w:p>
          <w:p>
            <w:pPr>
              <w:pStyle w:val="段"/>
              <w:widowControl w:val="1"/>
              <w:tabs>
                <w:tab w:val="right" w:pos="8280" w:leader="dot"/>
                <w:tab w:val="clear" w:pos="9298"/>
              </w:tabs>
              <w:bidi w:val="0"/>
              <w:ind w:left="0" w:right="0" w:firstLine="420"/>
              <w:jc w:val="both"/>
              <w:rPr>
                <w:rFonts w:ascii="黑体" w:cs="黑体" w:hAnsi="黑体" w:eastAsia="黑体"/>
                <w:shd w:val="nil" w:color="auto" w:fill="auto"/>
                <w:rtl w:val="0"/>
              </w:rPr>
            </w:pPr>
            <w:r>
              <w:rPr>
                <w:rFonts w:ascii="黑体" w:cs="黑体" w:hAnsi="黑体" w:eastAsia="黑体"/>
                <w:shd w:val="nil" w:color="auto" w:fill="auto"/>
                <w:rtl w:val="0"/>
                <w:lang w:val="en-US"/>
              </w:rPr>
              <w:t xml:space="preserve">2. </w:t>
            </w:r>
            <w:r>
              <w:rPr>
                <w:rFonts w:ascii="黑体" w:cs="黑体" w:hAnsi="黑体" w:eastAsia="黑体"/>
                <w:shd w:val="nil" w:color="auto" w:fill="auto"/>
                <w:rtl w:val="0"/>
                <w:lang w:val="zh-TW" w:eastAsia="zh-TW"/>
              </w:rPr>
              <w:t>适用性</w:t>
            </w:r>
          </w:p>
          <w:p>
            <w:pPr>
              <w:pStyle w:val="段"/>
              <w:widowControl w:val="1"/>
              <w:tabs>
                <w:tab w:val="right" w:pos="8280" w:leader="dot"/>
                <w:tab w:val="clear" w:pos="9298"/>
              </w:tabs>
              <w:bidi w:val="0"/>
              <w:ind w:left="0" w:right="0" w:firstLine="42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本文件的编制综合了乳品加工、低碳减排技术应用、评价原则和规范等对乳品加工企业的低碳化发展情况进行系统评价，通过文件调查、文献检索、实地调研、组织研讨等方式，制订出符合我国乳品加工企业的低碳评价技术规范，旨在推动和引领绿色低碳可持续发展。</w:t>
            </w:r>
          </w:p>
          <w:p>
            <w:pPr>
              <w:pStyle w:val="段"/>
              <w:widowControl w:val="1"/>
              <w:tabs>
                <w:tab w:val="right" w:pos="8280" w:leader="dot"/>
                <w:tab w:val="clear" w:pos="9298"/>
              </w:tabs>
              <w:bidi w:val="0"/>
              <w:ind w:left="0" w:right="0" w:firstLine="420"/>
              <w:jc w:val="both"/>
              <w:rPr>
                <w:rFonts w:ascii="黑体" w:cs="黑体" w:hAnsi="黑体" w:eastAsia="黑体"/>
                <w:shd w:val="nil" w:color="auto" w:fill="auto"/>
                <w:rtl w:val="0"/>
              </w:rPr>
            </w:pPr>
            <w:r>
              <w:rPr>
                <w:rFonts w:ascii="黑体" w:cs="黑体" w:hAnsi="黑体" w:eastAsia="黑体"/>
                <w:shd w:val="nil" w:color="auto" w:fill="auto"/>
                <w:rtl w:val="0"/>
                <w:lang w:val="en-US"/>
              </w:rPr>
              <w:t xml:space="preserve">3. </w:t>
            </w:r>
            <w:r>
              <w:rPr>
                <w:rFonts w:ascii="黑体" w:cs="黑体" w:hAnsi="黑体" w:eastAsia="黑体"/>
                <w:shd w:val="nil" w:color="auto" w:fill="auto"/>
                <w:rtl w:val="0"/>
                <w:lang w:val="zh-TW" w:eastAsia="zh-TW"/>
              </w:rPr>
              <w:t>可操作性</w:t>
            </w:r>
          </w:p>
          <w:p>
            <w:pPr>
              <w:pStyle w:val="段"/>
              <w:widowControl w:val="1"/>
              <w:tabs>
                <w:tab w:val="right" w:pos="8280" w:leader="dot"/>
                <w:tab w:val="clear" w:pos="9298"/>
              </w:tabs>
              <w:bidi w:val="0"/>
              <w:ind w:left="0" w:right="0" w:firstLine="42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本文件的编制吸纳了具有理论基础雄厚、实践经验丰富的相关方共同参与，使标准具有更强的可操作性。</w:t>
            </w:r>
          </w:p>
          <w:p>
            <w:pPr>
              <w:pStyle w:val="段"/>
              <w:widowControl w:val="1"/>
              <w:tabs>
                <w:tab w:val="right" w:pos="8280" w:leader="dot"/>
                <w:tab w:val="clear" w:pos="9298"/>
              </w:tabs>
              <w:bidi w:val="0"/>
              <w:ind w:left="0" w:right="0" w:firstLine="420"/>
              <w:jc w:val="both"/>
              <w:rPr>
                <w:rFonts w:ascii="黑体" w:cs="黑体" w:hAnsi="黑体" w:eastAsia="黑体"/>
                <w:shd w:val="nil" w:color="auto" w:fill="auto"/>
                <w:rtl w:val="0"/>
              </w:rPr>
            </w:pPr>
            <w:r>
              <w:rPr>
                <w:rFonts w:ascii="黑体" w:cs="黑体" w:hAnsi="黑体" w:eastAsia="黑体"/>
                <w:shd w:val="nil" w:color="auto" w:fill="auto"/>
                <w:rtl w:val="0"/>
                <w:lang w:val="en-US"/>
              </w:rPr>
              <w:t xml:space="preserve">4. </w:t>
            </w:r>
            <w:r>
              <w:rPr>
                <w:rFonts w:ascii="黑体" w:cs="黑体" w:hAnsi="黑体" w:eastAsia="黑体"/>
                <w:shd w:val="nil" w:color="auto" w:fill="auto"/>
                <w:rtl w:val="0"/>
                <w:lang w:val="zh-TW" w:eastAsia="zh-TW"/>
              </w:rPr>
              <w:t>持续改进</w:t>
            </w:r>
          </w:p>
          <w:p>
            <w:pPr>
              <w:pStyle w:val="段"/>
              <w:widowControl w:val="1"/>
              <w:tabs>
                <w:tab w:val="right" w:pos="8280" w:leader="dot"/>
                <w:tab w:val="clear" w:pos="9298"/>
              </w:tabs>
              <w:bidi w:val="0"/>
              <w:ind w:left="0" w:right="0" w:firstLine="420"/>
              <w:jc w:val="both"/>
              <w:rPr>
                <w:rtl w:val="0"/>
              </w:rPr>
            </w:pPr>
            <w:r>
              <w:rPr>
                <w:rFonts w:eastAsia="SimSun" w:hint="eastAsia"/>
                <w:shd w:val="nil" w:color="auto" w:fill="auto"/>
                <w:rtl w:val="0"/>
                <w:lang w:val="zh-TW" w:eastAsia="zh-TW"/>
              </w:rPr>
              <w:t>该文件将持续考虑乳品加工企业的实际发展情况，根据相应结果进行持续检验和发展。</w:t>
            </w:r>
          </w:p>
        </w:tc>
      </w:tr>
      <w:tr>
        <w:tblPrEx>
          <w:shd w:val="clear" w:color="auto" w:fill="cdd4e9"/>
        </w:tblPrEx>
        <w:trPr>
          <w:trHeight w:val="3485" w:hRule="atLeast"/>
        </w:trPr>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标准主要内容及其相关说明</w:t>
            </w:r>
          </w:p>
        </w:tc>
        <w:tc>
          <w:tcPr>
            <w:tcW w:type="dxa" w:w="775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Times New Roman" w:cs="Times New Roman" w:hAnsi="Times New Roman" w:eastAsia="Times New Roman"/>
                <w:shd w:val="nil" w:color="auto" w:fill="auto"/>
              </w:rPr>
            </w:pPr>
            <w:r>
              <w:rPr>
                <w:rFonts w:eastAsia="SimSun" w:hint="eastAsia"/>
                <w:shd w:val="nil" w:color="auto" w:fill="auto"/>
                <w:rtl w:val="0"/>
                <w:lang w:val="zh-TW" w:eastAsia="zh-TW"/>
              </w:rPr>
              <w:t>本文件的主要内容包括范围，规范性引用文件，术语和定义，评价原则，评价程序，评价方法，评价报告。</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1. </w:t>
            </w:r>
            <w:r>
              <w:rPr>
                <w:rFonts w:eastAsia="SimSun" w:hint="eastAsia"/>
                <w:shd w:val="nil" w:color="auto" w:fill="auto"/>
                <w:rtl w:val="0"/>
                <w:lang w:val="zh-TW" w:eastAsia="zh-TW"/>
              </w:rPr>
              <w:t>规范性引用文件</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下列文件中的内容通过文中的规范性引用而构成本文件必不可少的条款。</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2. </w:t>
            </w:r>
            <w:r>
              <w:rPr>
                <w:rFonts w:eastAsia="SimSun" w:hint="eastAsia"/>
                <w:shd w:val="nil" w:color="auto" w:fill="auto"/>
                <w:rtl w:val="0"/>
                <w:lang w:val="zh-TW" w:eastAsia="zh-TW"/>
              </w:rPr>
              <w:t>术语和定义</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列出了温室气体，报告主体，排放因子，碳抵消等重点术语。</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3. </w:t>
            </w:r>
            <w:r>
              <w:rPr>
                <w:rFonts w:eastAsia="SimSun" w:hint="eastAsia"/>
                <w:shd w:val="nil" w:color="auto" w:fill="auto"/>
                <w:rtl w:val="0"/>
                <w:lang w:val="zh-TW" w:eastAsia="zh-TW"/>
              </w:rPr>
              <w:t>报告主体的基本要求</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列出了合规性要求、管理要求以及信息报告原则等内容。</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4. </w:t>
            </w:r>
            <w:r>
              <w:rPr>
                <w:rFonts w:eastAsia="SimSun" w:hint="eastAsia"/>
                <w:shd w:val="nil" w:color="auto" w:fill="auto"/>
                <w:rtl w:val="0"/>
                <w:lang w:val="zh-TW" w:eastAsia="zh-TW"/>
              </w:rPr>
              <w:t>评价原则</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包括了客观独立、诚实守信、公平公正、专业严谨。</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5. </w:t>
            </w:r>
            <w:r>
              <w:rPr>
                <w:rFonts w:eastAsia="SimSun" w:hint="eastAsia"/>
                <w:shd w:val="nil" w:color="auto" w:fill="auto"/>
                <w:rtl w:val="0"/>
                <w:lang w:val="zh-TW" w:eastAsia="zh-TW"/>
              </w:rPr>
              <w:t>评价程序</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包括了评价流程、评价申请、评价准备等。</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6. </w:t>
            </w:r>
            <w:r>
              <w:rPr>
                <w:rFonts w:eastAsia="SimSun" w:hint="eastAsia"/>
                <w:shd w:val="nil" w:color="auto" w:fill="auto"/>
                <w:rtl w:val="0"/>
                <w:lang w:val="zh-TW" w:eastAsia="zh-TW"/>
              </w:rPr>
              <w:t>评价方法</w:t>
            </w:r>
          </w:p>
          <w:p>
            <w:pPr>
              <w:pStyle w:val="Normal.0"/>
              <w:bidi w:val="0"/>
              <w:ind w:left="0" w:right="0" w:firstLine="0"/>
              <w:jc w:val="both"/>
              <w:rPr>
                <w:rFonts w:ascii="Times New Roman" w:cs="Times New Roman" w:hAnsi="Times New Roman" w:eastAsia="Times New Roman"/>
                <w:shd w:val="nil" w:color="auto" w:fill="auto"/>
                <w:rtl w:val="0"/>
              </w:rPr>
            </w:pPr>
            <w:r>
              <w:rPr>
                <w:rFonts w:eastAsia="SimSun" w:hint="eastAsia"/>
                <w:shd w:val="nil" w:color="auto" w:fill="auto"/>
                <w:rtl w:val="0"/>
                <w:lang w:val="zh-TW" w:eastAsia="zh-TW"/>
              </w:rPr>
              <w:t>包括了指标体系构建、评分方法等。</w:t>
            </w:r>
          </w:p>
          <w:p>
            <w:pPr>
              <w:pStyle w:val="Normal.0"/>
              <w:bidi w:val="0"/>
              <w:ind w:left="0" w:right="0" w:firstLine="0"/>
              <w:jc w:val="both"/>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7. </w:t>
            </w:r>
            <w:r>
              <w:rPr>
                <w:rFonts w:eastAsia="SimSun" w:hint="eastAsia"/>
                <w:shd w:val="nil" w:color="auto" w:fill="auto"/>
                <w:rtl w:val="0"/>
                <w:lang w:val="zh-TW" w:eastAsia="zh-TW"/>
              </w:rPr>
              <w:t>评价报告</w:t>
            </w:r>
          </w:p>
          <w:p>
            <w:pPr>
              <w:pStyle w:val="Normal.0"/>
              <w:bidi w:val="0"/>
              <w:ind w:left="0" w:right="0" w:firstLine="0"/>
              <w:jc w:val="both"/>
              <w:rPr>
                <w:rtl w:val="0"/>
              </w:rPr>
            </w:pPr>
            <w:r>
              <w:rPr>
                <w:rFonts w:eastAsia="SimSun" w:hint="eastAsia"/>
                <w:shd w:val="nil" w:color="auto" w:fill="auto"/>
                <w:rtl w:val="0"/>
                <w:lang w:val="zh-TW" w:eastAsia="zh-TW"/>
              </w:rPr>
              <w:t>包括了评价报告的主要内容</w:t>
            </w:r>
            <w:r>
              <w:rPr>
                <w:rFonts w:ascii="黑体" w:cs="黑体" w:hAnsi="黑体" w:eastAsia="黑体" w:hint="eastAsia"/>
                <w:shd w:val="nil" w:color="auto" w:fill="auto"/>
                <w:rtl w:val="0"/>
                <w:lang w:val="zh-TW" w:eastAsia="zh-TW"/>
              </w:rPr>
              <w:t>。</w:t>
            </w: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与现行法律法规、强制性标准和其他有关标准的关系</w:t>
            </w:r>
          </w:p>
        </w:tc>
      </w:tr>
      <w:tr>
        <w:tblPrEx>
          <w:shd w:val="clear" w:color="auto" w:fill="cdd4e9"/>
        </w:tblPrEx>
        <w:trPr>
          <w:trHeight w:val="610" w:hRule="atLeast"/>
        </w:trPr>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法律法规和强制性标准的关系</w:t>
            </w:r>
          </w:p>
        </w:tc>
        <w:tc>
          <w:tcPr>
            <w:tcW w:type="dxa" w:w="775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304"/>
            </w:pPr>
            <w:r>
              <w:rPr>
                <w:rFonts w:eastAsia="SimSun" w:hint="eastAsia"/>
                <w:shd w:val="nil" w:color="auto" w:fill="auto"/>
                <w:rtl w:val="0"/>
                <w:lang w:val="zh-TW" w:eastAsia="zh-TW"/>
              </w:rPr>
              <w:t>在标准制定过程中，通过充分调研，注意与现有的有关社区的国际标准、国际组织标准以及国家和地方标准的协调一致。</w:t>
            </w:r>
          </w:p>
        </w:tc>
      </w:tr>
      <w:tr>
        <w:tblPrEx>
          <w:shd w:val="clear" w:color="auto" w:fill="cdd4e9"/>
        </w:tblPrEx>
        <w:trPr>
          <w:trHeight w:val="410" w:hRule="atLeast"/>
        </w:trPr>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56"/>
            </w:tcMar>
            <w:vAlign w:val="center"/>
          </w:tcPr>
          <w:p>
            <w:pPr>
              <w:pStyle w:val="Normal.0"/>
              <w:ind w:right="176"/>
            </w:pPr>
            <w:r>
              <w:rPr>
                <w:rFonts w:eastAsia="SimSun" w:hint="eastAsia"/>
                <w:shd w:val="nil" w:color="auto" w:fill="auto"/>
                <w:rtl w:val="0"/>
                <w:lang w:val="zh-TW" w:eastAsia="zh-TW"/>
              </w:rPr>
              <w:t>与其他有关标准的关系</w:t>
            </w:r>
          </w:p>
        </w:tc>
        <w:tc>
          <w:tcPr>
            <w:tcW w:type="dxa" w:w="775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征求意见的情况及处理结果和依据</w:t>
            </w:r>
          </w:p>
        </w:tc>
      </w:tr>
      <w:tr>
        <w:tblPrEx>
          <w:shd w:val="clear" w:color="auto" w:fill="cdd4e9"/>
        </w:tblPrEx>
        <w:trPr>
          <w:trHeight w:val="881"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Times New Roman" w:cs="Times New Roman" w:hAnsi="Times New Roman" w:eastAsia="Times New Roman"/>
                <w:shd w:val="nil" w:color="auto" w:fill="auto"/>
                <w:lang w:val="en-US"/>
              </w:rPr>
            </w:pPr>
          </w:p>
          <w:p>
            <w:pPr>
              <w:pStyle w:val="Normal.0"/>
              <w:rPr>
                <w:rFonts w:ascii="Times New Roman" w:cs="Times New Roman" w:hAnsi="Times New Roman" w:eastAsia="Times New Roman"/>
                <w:shd w:val="nil" w:color="auto" w:fill="auto"/>
                <w:lang w:val="en-US"/>
              </w:rPr>
            </w:pPr>
          </w:p>
          <w:p>
            <w:pPr>
              <w:pStyle w:val="Normal.0"/>
            </w:pPr>
            <w:r>
              <w:rPr>
                <w:rFonts w:ascii="Times New Roman" w:cs="Times New Roman" w:hAnsi="Times New Roman" w:eastAsia="Times New Roman"/>
                <w:shd w:val="nil" w:color="auto" w:fill="auto"/>
                <w:lang w:val="en-US"/>
              </w:rPr>
            </w:r>
          </w:p>
        </w:tc>
      </w:tr>
      <w:tr>
        <w:tblPrEx>
          <w:shd w:val="clear" w:color="auto" w:fill="cdd4e9"/>
        </w:tblPrEx>
        <w:trPr>
          <w:trHeight w:val="290"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eastAsia="SimSun" w:hint="eastAsia"/>
                <w:sz w:val="28"/>
                <w:szCs w:val="28"/>
                <w:shd w:val="nil" w:color="auto" w:fill="auto"/>
                <w:rtl w:val="0"/>
                <w:lang w:val="zh-TW" w:eastAsia="zh-TW"/>
              </w:rPr>
              <w:t>贯彻该标准的要求和措施建议</w:t>
            </w:r>
          </w:p>
        </w:tc>
      </w:tr>
      <w:tr>
        <w:tblPrEx>
          <w:shd w:val="clear" w:color="auto" w:fill="cdd4e9"/>
        </w:tblPrEx>
        <w:trPr>
          <w:trHeight w:val="1101" w:hRule="atLeast"/>
        </w:trPr>
        <w:tc>
          <w:tcPr>
            <w:tcW w:type="dxa" w:w="938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Times New Roman" w:cs="Times New Roman" w:hAnsi="Times New Roman" w:eastAsia="Times New Roman"/>
                <w:shd w:val="nil" w:color="auto" w:fill="auto"/>
                <w:lang w:val="en-US"/>
              </w:rPr>
            </w:pPr>
          </w:p>
          <w:p>
            <w:pPr>
              <w:pStyle w:val="Normal.0"/>
              <w:rPr>
                <w:rFonts w:ascii="Times New Roman" w:cs="Times New Roman" w:hAnsi="Times New Roman" w:eastAsia="Times New Roman"/>
                <w:shd w:val="nil" w:color="auto" w:fill="auto"/>
                <w:lang w:val="en-US"/>
              </w:rPr>
            </w:pPr>
          </w:p>
          <w:p>
            <w:pPr>
              <w:pStyle w:val="Normal.0"/>
              <w:rPr>
                <w:rFonts w:ascii="Times New Roman" w:cs="Times New Roman" w:hAnsi="Times New Roman" w:eastAsia="Times New Roman"/>
                <w:shd w:val="nil" w:color="auto" w:fill="auto"/>
                <w:lang w:val="en-US"/>
              </w:rPr>
            </w:pPr>
          </w:p>
          <w:p>
            <w:pPr>
              <w:pStyle w:val="Normal.0"/>
            </w:pPr>
            <w:r>
              <w:rPr>
                <w:rFonts w:ascii="Times New Roman" w:cs="Times New Roman" w:hAnsi="Times New Roman" w:eastAsia="Times New Roman"/>
                <w:shd w:val="nil" w:color="auto" w:fill="auto"/>
                <w:lang w:val="en-US"/>
              </w:rPr>
            </w:r>
          </w:p>
        </w:tc>
      </w:tr>
    </w:tbl>
    <w:p>
      <w:pPr>
        <w:pStyle w:val="Normal.0"/>
        <w:jc w:val="center"/>
      </w:pPr>
      <w:r>
        <w:rPr>
          <w:outline w:val="0"/>
          <w:color w:val="000000"/>
          <w:u w:color="000000"/>
          <w14:textFill>
            <w14:solidFill>
              <w14:srgbClr w14:val="000000"/>
            </w14:solidFill>
          </w14:textFill>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等线">
    <w:charset w:val="00"/>
    <w:family w:val="roman"/>
    <w:pitch w:val="default"/>
  </w:font>
  <w:font w:name="黑体">
    <w:charset w:val="00"/>
    <w:family w:val="roman"/>
    <w:pitch w:val="default"/>
  </w:font>
  <w:font w:name="SimSun">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rtl w:val="0"/>
        <w:lang w:val="zh-TW" w:eastAsia="zh-TW"/>
      </w:rPr>
      <w:t xml:space="preserve"> </w:t>
    </w:r>
    <w:r>
      <w:rPr>
        <w:rFonts w:ascii="等线" w:cs="等线" w:hAnsi="等线" w:eastAsia="等线"/>
        <w:b w:val="1"/>
        <w:bCs w:val="1"/>
        <w:rtl w:val="0"/>
        <w:lang w:val="en-US"/>
      </w:rPr>
      <w:fldChar w:fldCharType="begin" w:fldLock="0"/>
    </w:r>
    <w:r>
      <w:rPr>
        <w:rFonts w:ascii="等线" w:cs="等线" w:hAnsi="等线" w:eastAsia="等线"/>
        <w:b w:val="1"/>
        <w:bCs w:val="1"/>
        <w:rtl w:val="0"/>
        <w:lang w:val="en-US"/>
      </w:rPr>
      <w:instrText xml:space="preserve"> PAGE </w:instrText>
    </w:r>
    <w:r>
      <w:rPr>
        <w:rFonts w:ascii="等线" w:cs="等线" w:hAnsi="等线" w:eastAsia="等线"/>
        <w:b w:val="1"/>
        <w:bCs w:val="1"/>
        <w:rtl w:val="0"/>
        <w:lang w:val="en-US"/>
      </w:rPr>
      <w:fldChar w:fldCharType="separate" w:fldLock="0"/>
    </w:r>
    <w:r>
      <w:rPr>
        <w:rFonts w:ascii="等线" w:cs="等线" w:hAnsi="等线" w:eastAsia="等线"/>
        <w:b w:val="1"/>
        <w:bCs w:val="1"/>
        <w:rtl w:val="0"/>
        <w:lang w:val="en-US"/>
      </w:rPr>
    </w:r>
    <w:r>
      <w:rPr>
        <w:rFonts w:ascii="等线" w:cs="等线" w:hAnsi="等线" w:eastAsia="等线"/>
        <w:b w:val="1"/>
        <w:bCs w:val="1"/>
        <w:rtl w:val="0"/>
        <w:lang w:val="en-US"/>
      </w:rPr>
      <w:fldChar w:fldCharType="end" w:fldLock="0"/>
    </w:r>
    <w:r>
      <w:rPr>
        <w:rtl w:val="0"/>
        <w:lang w:val="zh-TW" w:eastAsia="zh-TW"/>
      </w:rPr>
      <w:t xml:space="preserve"> / </w:t>
    </w:r>
    <w:r>
      <w:rPr>
        <w:rFonts w:ascii="等线" w:cs="等线" w:hAnsi="等线" w:eastAsia="等线"/>
        <w:b w:val="1"/>
        <w:bCs w:val="1"/>
        <w:rtl w:val="0"/>
        <w:lang w:val="en-US"/>
      </w:rPr>
      <w:fldChar w:fldCharType="begin" w:fldLock="0"/>
    </w:r>
    <w:r>
      <w:rPr>
        <w:rFonts w:ascii="等线" w:cs="等线" w:hAnsi="等线" w:eastAsia="等线"/>
        <w:b w:val="1"/>
        <w:bCs w:val="1"/>
        <w:rtl w:val="0"/>
        <w:lang w:val="en-US"/>
      </w:rPr>
      <w:instrText xml:space="preserve"> NUMPAGES </w:instrText>
    </w:r>
    <w:r>
      <w:rPr>
        <w:rFonts w:ascii="等线" w:cs="等线" w:hAnsi="等线" w:eastAsia="等线"/>
        <w:b w:val="1"/>
        <w:bCs w:val="1"/>
        <w:rtl w:val="0"/>
        <w:lang w:val="en-US"/>
      </w:rPr>
      <w:fldChar w:fldCharType="separate" w:fldLock="0"/>
    </w:r>
    <w:r>
      <w:rPr>
        <w:rFonts w:ascii="等线" w:cs="等线" w:hAnsi="等线" w:eastAsia="等线"/>
        <w:b w:val="1"/>
        <w:bCs w:val="1"/>
        <w:rtl w:val="0"/>
        <w:lang w:val="en-US"/>
      </w:rPr>
    </w:r>
    <w:r>
      <w:rPr>
        <w:rFonts w:ascii="等线" w:cs="等线" w:hAnsi="等线" w:eastAsia="等线"/>
        <w:b w:val="1"/>
        <w:bCs w:val="1"/>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等线" w:cs="等线" w:hAnsi="等线" w:eastAsia="等线"/>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段">
    <w:name w:val="段"/>
    <w:next w:val="段"/>
    <w:pPr>
      <w:keepNext w:val="0"/>
      <w:keepLines w:val="0"/>
      <w:pageBreakBefore w:val="0"/>
      <w:widowControl w:val="0"/>
      <w:shd w:val="clear" w:color="auto" w:fill="auto"/>
      <w:tabs>
        <w:tab w:val="center" w:pos="4201"/>
        <w:tab w:val="right" w:pos="9298" w:leader="dot"/>
      </w:tabs>
      <w:suppressAutoHyphens w:val="0"/>
      <w:bidi w:val="0"/>
      <w:spacing w:before="0" w:after="0" w:line="240" w:lineRule="auto"/>
      <w:ind w:left="0" w:right="0" w:firstLine="420"/>
      <w:jc w:val="both"/>
      <w:outlineLvl w:val="9"/>
    </w:pPr>
    <w:rPr>
      <w:rFonts w:ascii="SimSun" w:cs="Arial Unicode MS" w:hAnsi="SimSu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